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DD81E" w14:textId="174FC132" w:rsidR="00B00F1A" w:rsidRPr="00E14EBC" w:rsidRDefault="00BF5803">
      <w:r w:rsidRPr="00E14EBC">
        <w:rPr>
          <w:noProof/>
        </w:rPr>
        <w:drawing>
          <wp:anchor distT="0" distB="0" distL="114300" distR="114300" simplePos="0" relativeHeight="251658245" behindDoc="1" locked="0" layoutInCell="1" allowOverlap="1" wp14:anchorId="7680AA07" wp14:editId="56CB4934">
            <wp:simplePos x="0" y="0"/>
            <wp:positionH relativeFrom="margin">
              <wp:align>right</wp:align>
            </wp:positionH>
            <wp:positionV relativeFrom="paragraph">
              <wp:posOffset>-2688590</wp:posOffset>
            </wp:positionV>
            <wp:extent cx="1806575" cy="466725"/>
            <wp:effectExtent l="0" t="0" r="3175" b="9525"/>
            <wp:wrapNone/>
            <wp:docPr id="942869664" name="Pilt 1" descr="Pilt, millel on kujutatud Font, logo, tekst,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69664" name="Pilt 1" descr="Pilt, millel on kujutatud Font, logo, tekst, Graafika&#10;&#10;Kirjeldus on genereeritud automaatselt"/>
                    <pic:cNvPicPr/>
                  </pic:nvPicPr>
                  <pic:blipFill>
                    <a:blip r:embed="rId12"/>
                    <a:stretch>
                      <a:fillRect/>
                    </a:stretch>
                  </pic:blipFill>
                  <pic:spPr>
                    <a:xfrm>
                      <a:off x="0" y="0"/>
                      <a:ext cx="1806575" cy="466725"/>
                    </a:xfrm>
                    <a:prstGeom prst="rect">
                      <a:avLst/>
                    </a:prstGeom>
                  </pic:spPr>
                </pic:pic>
              </a:graphicData>
            </a:graphic>
          </wp:anchor>
        </w:drawing>
      </w:r>
    </w:p>
    <w:sdt>
      <w:sdtPr>
        <w:id w:val="-1239634245"/>
        <w:docPartObj>
          <w:docPartGallery w:val="Cover Pages"/>
          <w:docPartUnique/>
        </w:docPartObj>
      </w:sdtPr>
      <w:sdtContent>
        <w:p w14:paraId="0A1B2C4A" w14:textId="3A274F3E" w:rsidR="00001222" w:rsidRPr="00E14EBC" w:rsidRDefault="00001222">
          <w:r w:rsidRPr="00E14EBC">
            <w:rPr>
              <w:noProof/>
            </w:rPr>
            <mc:AlternateContent>
              <mc:Choice Requires="wps">
                <w:drawing>
                  <wp:anchor distT="0" distB="0" distL="114300" distR="114300" simplePos="0" relativeHeight="251658244" behindDoc="0" locked="1" layoutInCell="1" allowOverlap="1" wp14:anchorId="125E5956" wp14:editId="1DD4316E">
                    <wp:simplePos x="0" y="0"/>
                    <wp:positionH relativeFrom="margin">
                      <wp:posOffset>-394970</wp:posOffset>
                    </wp:positionH>
                    <wp:positionV relativeFrom="margin">
                      <wp:posOffset>981075</wp:posOffset>
                    </wp:positionV>
                    <wp:extent cx="6994525" cy="5309870"/>
                    <wp:effectExtent l="0" t="0" r="0" b="5080"/>
                    <wp:wrapNone/>
                    <wp:docPr id="225097532" name="Text Box 15"/>
                    <wp:cNvGraphicFramePr/>
                    <a:graphic xmlns:a="http://schemas.openxmlformats.org/drawingml/2006/main">
                      <a:graphicData uri="http://schemas.microsoft.com/office/word/2010/wordprocessingShape">
                        <wps:wsp>
                          <wps:cNvSpPr txBox="1"/>
                          <wps:spPr>
                            <a:xfrm>
                              <a:off x="0" y="0"/>
                              <a:ext cx="6994525" cy="5309870"/>
                            </a:xfrm>
                            <a:prstGeom prst="rect">
                              <a:avLst/>
                            </a:prstGeom>
                            <a:noFill/>
                            <a:ln w="6350">
                              <a:noFill/>
                            </a:ln>
                          </wps:spPr>
                          <wps:txbx>
                            <w:txbxContent>
                              <w:p w14:paraId="09D7C366" w14:textId="1468DD1C" w:rsidR="00001222" w:rsidRPr="00784CF1" w:rsidRDefault="005A4D39" w:rsidP="00436AE7">
                                <w:pPr>
                                  <w:pStyle w:val="CoverTitle"/>
                                  <w:rPr>
                                    <w:rFonts w:hint="eastAsia"/>
                                  </w:rPr>
                                </w:pPr>
                                <w:r w:rsidRPr="00784CF1">
                                  <w:t>Rakendusuuring „Lühiajalise üüri turg Eestis“</w:t>
                                </w:r>
                              </w:p>
                              <w:p w14:paraId="356FD601" w14:textId="77777777" w:rsidR="00001222" w:rsidRPr="00784CF1" w:rsidRDefault="00001222" w:rsidP="00436AE7">
                                <w:pPr>
                                  <w:pStyle w:val="CoverSubject"/>
                                  <w:rPr>
                                    <w:rFonts w:hint="eastAsia"/>
                                  </w:rPr>
                                </w:pPr>
                              </w:p>
                              <w:p w14:paraId="375D55F6" w14:textId="77777777" w:rsidR="004335EC" w:rsidRPr="00784CF1" w:rsidRDefault="004335EC" w:rsidP="00436AE7">
                                <w:pPr>
                                  <w:pStyle w:val="CoverText"/>
                                  <w:rPr>
                                    <w:rStyle w:val="Strong"/>
                                  </w:rPr>
                                </w:pPr>
                              </w:p>
                              <w:p w14:paraId="648CF3F2" w14:textId="7720D8BA" w:rsidR="00001222" w:rsidRPr="00784CF1" w:rsidRDefault="00E27935" w:rsidP="00436AE7">
                                <w:pPr>
                                  <w:pStyle w:val="CoverText"/>
                                  <w:rPr>
                                    <w:rStyle w:val="Strong"/>
                                  </w:rPr>
                                </w:pPr>
                                <w:r>
                                  <w:rPr>
                                    <w:rStyle w:val="Strong"/>
                                  </w:rPr>
                                  <w:t>LÕPPARUAN</w:t>
                                </w:r>
                                <w:r w:rsidR="00F609EE">
                                  <w:rPr>
                                    <w:rStyle w:val="Strong"/>
                                  </w:rPr>
                                  <w:t>NE</w:t>
                                </w:r>
                                <w:r w:rsidR="00640D40">
                                  <w:rPr>
                                    <w:rStyle w:val="Strong"/>
                                  </w:rPr>
                                  <w:t xml:space="preserve"> </w:t>
                                </w:r>
                              </w:p>
                              <w:p w14:paraId="4F95D697" w14:textId="77777777" w:rsidR="004335EC" w:rsidRPr="00784CF1" w:rsidRDefault="004335EC" w:rsidP="00436AE7">
                                <w:pPr>
                                  <w:pStyle w:val="CoverText"/>
                                  <w:rPr>
                                    <w:rStyle w:val="Strong"/>
                                    <w:b w:val="0"/>
                                    <w:bCs w:val="0"/>
                                  </w:rPr>
                                </w:pPr>
                              </w:p>
                              <w:p w14:paraId="0E777BE9" w14:textId="73784B75" w:rsidR="00001222" w:rsidRDefault="006C7016" w:rsidP="00436AE7">
                                <w:pPr>
                                  <w:pStyle w:val="CoverText"/>
                                </w:pPr>
                                <w:r>
                                  <w:t>30. september</w:t>
                                </w:r>
                                <w:r w:rsidR="001B3A28">
                                  <w:t xml:space="preserve"> </w:t>
                                </w:r>
                                <w:r w:rsidR="00001222" w:rsidRPr="00784CF1">
                                  <w:t>202</w:t>
                                </w:r>
                                <w:r w:rsidR="00474F03" w:rsidRPr="00784CF1">
                                  <w:t>5</w:t>
                                </w:r>
                              </w:p>
                              <w:p w14:paraId="1D07C979" w14:textId="59C8247C" w:rsidR="004458C2" w:rsidRDefault="004A1D35" w:rsidP="004A1D35">
                                <w:pPr>
                                  <w:pStyle w:val="CoverText"/>
                                </w:pPr>
                                <w:r>
                                  <w:t>M</w:t>
                                </w:r>
                                <w:r w:rsidR="004458C2">
                                  <w:t xml:space="preserve">uudetud </w:t>
                                </w:r>
                                <w:r>
                                  <w:t>6. jaanuar 2026</w:t>
                                </w:r>
                              </w:p>
                              <w:p w14:paraId="2302B8F5" w14:textId="77777777" w:rsidR="004458C2" w:rsidRPr="00784CF1" w:rsidRDefault="004458C2" w:rsidP="00436AE7">
                                <w:pPr>
                                  <w:pStyle w:val="CoverText"/>
                                </w:pPr>
                              </w:p>
                              <w:p w14:paraId="62F1F59F" w14:textId="23F9CCA7" w:rsidR="00001222" w:rsidRPr="00784CF1" w:rsidRDefault="00001222" w:rsidP="00436AE7">
                                <w:pPr>
                                  <w:pStyle w:val="CoverTitle"/>
                                  <w:rPr>
                                    <w:rFonts w:hint="eastAsia"/>
                                  </w:rPr>
                                </w:pPr>
                              </w:p>
                              <w:p w14:paraId="7768CA05" w14:textId="68AF4DD2" w:rsidR="00001222" w:rsidRPr="00784CF1" w:rsidRDefault="00001222" w:rsidP="00581024">
                                <w:pPr>
                                  <w:pStyle w:val="CoverTitle"/>
                                  <w:rPr>
                                    <w:rFonts w:hint="eastAsia"/>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5E5956" id="_x0000_t202" coordsize="21600,21600" o:spt="202" path="m,l,21600r21600,l21600,xe">
                    <v:stroke joinstyle="miter"/>
                    <v:path gradientshapeok="t" o:connecttype="rect"/>
                  </v:shapetype>
                  <v:shape id="Text Box 15" o:spid="_x0000_s1026" type="#_x0000_t202" style="position:absolute;margin-left:-31.1pt;margin-top:77.25pt;width:550.75pt;height:418.1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" filled="f" stroked="f" strokeweight=".5pt">
                    <v:textbox inset="0,0,0,0">
                      <w:txbxContent>
                        <w:p w14:paraId="09D7C366" w14:textId="1468DD1C" w:rsidR="00001222" w:rsidRPr="00784CF1" w:rsidRDefault="005A4D39" w:rsidP="00436AE7">
                          <w:pPr>
                            <w:pStyle w:val="CoverTitle"/>
                            <w:rPr>
                              <w:rFonts w:hint="eastAsia"/>
                            </w:rPr>
                          </w:pPr>
                          <w:r w:rsidRPr="00784CF1">
                            <w:t>Rakendusuuring „Lühiajalise üüri turg Eestis“</w:t>
                          </w:r>
                        </w:p>
                        <w:p w14:paraId="356FD601" w14:textId="77777777" w:rsidR="00001222" w:rsidRPr="00784CF1" w:rsidRDefault="00001222" w:rsidP="00436AE7">
                          <w:pPr>
                            <w:pStyle w:val="CoverSubject"/>
                            <w:rPr>
                              <w:rFonts w:hint="eastAsia"/>
                            </w:rPr>
                          </w:pPr>
                        </w:p>
                        <w:p w14:paraId="375D55F6" w14:textId="77777777" w:rsidR="004335EC" w:rsidRPr="00784CF1" w:rsidRDefault="004335EC" w:rsidP="00436AE7">
                          <w:pPr>
                            <w:pStyle w:val="CoverText"/>
                            <w:rPr>
                              <w:rStyle w:val="Strong"/>
                            </w:rPr>
                          </w:pPr>
                        </w:p>
                        <w:p w14:paraId="648CF3F2" w14:textId="7720D8BA" w:rsidR="00001222" w:rsidRPr="00784CF1" w:rsidRDefault="00E27935" w:rsidP="00436AE7">
                          <w:pPr>
                            <w:pStyle w:val="CoverText"/>
                            <w:rPr>
                              <w:rStyle w:val="Strong"/>
                            </w:rPr>
                          </w:pPr>
                          <w:r>
                            <w:rPr>
                              <w:rStyle w:val="Strong"/>
                            </w:rPr>
                            <w:t>LÕPPARUAN</w:t>
                          </w:r>
                          <w:r w:rsidR="00F609EE">
                            <w:rPr>
                              <w:rStyle w:val="Strong"/>
                            </w:rPr>
                            <w:t>NE</w:t>
                          </w:r>
                          <w:r w:rsidR="00640D40">
                            <w:rPr>
                              <w:rStyle w:val="Strong"/>
                            </w:rPr>
                            <w:t xml:space="preserve"> </w:t>
                          </w:r>
                        </w:p>
                        <w:p w14:paraId="4F95D697" w14:textId="77777777" w:rsidR="004335EC" w:rsidRPr="00784CF1" w:rsidRDefault="004335EC" w:rsidP="00436AE7">
                          <w:pPr>
                            <w:pStyle w:val="CoverText"/>
                            <w:rPr>
                              <w:rStyle w:val="Strong"/>
                              <w:b w:val="0"/>
                              <w:bCs w:val="0"/>
                            </w:rPr>
                          </w:pPr>
                        </w:p>
                        <w:p w14:paraId="0E777BE9" w14:textId="73784B75" w:rsidR="00001222" w:rsidRDefault="006C7016" w:rsidP="00436AE7">
                          <w:pPr>
                            <w:pStyle w:val="CoverText"/>
                          </w:pPr>
                          <w:r>
                            <w:t>30. september</w:t>
                          </w:r>
                          <w:r w:rsidR="001B3A28">
                            <w:t xml:space="preserve"> </w:t>
                          </w:r>
                          <w:r w:rsidR="00001222" w:rsidRPr="00784CF1">
                            <w:t>202</w:t>
                          </w:r>
                          <w:r w:rsidR="00474F03" w:rsidRPr="00784CF1">
                            <w:t>5</w:t>
                          </w:r>
                        </w:p>
                        <w:p w14:paraId="1D07C979" w14:textId="59C8247C" w:rsidR="004458C2" w:rsidRDefault="004A1D35" w:rsidP="004A1D35">
                          <w:pPr>
                            <w:pStyle w:val="CoverText"/>
                          </w:pPr>
                          <w:r>
                            <w:t>M</w:t>
                          </w:r>
                          <w:r w:rsidR="004458C2">
                            <w:t xml:space="preserve">uudetud </w:t>
                          </w:r>
                          <w:r>
                            <w:t>6. jaanuar 2026</w:t>
                          </w:r>
                        </w:p>
                        <w:p w14:paraId="2302B8F5" w14:textId="77777777" w:rsidR="004458C2" w:rsidRPr="00784CF1" w:rsidRDefault="004458C2" w:rsidP="00436AE7">
                          <w:pPr>
                            <w:pStyle w:val="CoverText"/>
                          </w:pPr>
                        </w:p>
                        <w:p w14:paraId="62F1F59F" w14:textId="23F9CCA7" w:rsidR="00001222" w:rsidRPr="00784CF1" w:rsidRDefault="00001222" w:rsidP="00436AE7">
                          <w:pPr>
                            <w:pStyle w:val="CoverTitle"/>
                            <w:rPr>
                              <w:rFonts w:hint="eastAsia"/>
                            </w:rPr>
                          </w:pPr>
                        </w:p>
                        <w:p w14:paraId="7768CA05" w14:textId="68AF4DD2" w:rsidR="00001222" w:rsidRPr="00784CF1" w:rsidRDefault="00001222" w:rsidP="00581024">
                          <w:pPr>
                            <w:pStyle w:val="CoverTitle"/>
                            <w:rPr>
                              <w:rFonts w:hint="eastAsia"/>
                            </w:rPr>
                          </w:pPr>
                        </w:p>
                      </w:txbxContent>
                    </v:textbox>
                    <w10:wrap anchorx="margin" anchory="margin"/>
                    <w10:anchorlock/>
                  </v:shape>
                </w:pict>
              </mc:Fallback>
            </mc:AlternateContent>
          </w:r>
        </w:p>
        <w:p w14:paraId="4F7EB9C5" w14:textId="77777777" w:rsidR="00001222" w:rsidRPr="00E14EBC" w:rsidRDefault="00001222"/>
        <w:p w14:paraId="4BA99ED2" w14:textId="77777777" w:rsidR="00001222" w:rsidRPr="00E14EBC" w:rsidRDefault="00001222"/>
        <w:p w14:paraId="39E346FA" w14:textId="3B5C130F" w:rsidR="00001222" w:rsidRPr="00E14EBC" w:rsidRDefault="00001222" w:rsidP="00F45AEF">
          <w:pPr>
            <w:spacing w:before="0" w:line="259" w:lineRule="auto"/>
          </w:pPr>
          <w:r w:rsidRPr="00E14EBC">
            <w:rPr>
              <w:noProof/>
            </w:rPr>
            <w:drawing>
              <wp:anchor distT="0" distB="0" distL="114300" distR="114300" simplePos="0" relativeHeight="251658243" behindDoc="1" locked="1" layoutInCell="1" allowOverlap="1" wp14:anchorId="3AD13FE5" wp14:editId="5B61E8AF">
                <wp:simplePos x="0" y="0"/>
                <wp:positionH relativeFrom="page">
                  <wp:posOffset>0</wp:posOffset>
                </wp:positionH>
                <wp:positionV relativeFrom="page">
                  <wp:posOffset>14605</wp:posOffset>
                </wp:positionV>
                <wp:extent cx="7543800" cy="10669270"/>
                <wp:effectExtent l="0" t="0" r="0" b="0"/>
                <wp:wrapNone/>
                <wp:docPr id="9268249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287709" name="Picture 4"/>
                        <pic:cNvPicPr/>
                      </pic:nvPicPr>
                      <pic:blipFill>
                        <a:blip r:embed="rId13"/>
                        <a:stretch>
                          <a:fillRect/>
                        </a:stretch>
                      </pic:blipFill>
                      <pic:spPr>
                        <a:xfrm>
                          <a:off x="0" y="0"/>
                          <a:ext cx="7543800" cy="10669270"/>
                        </a:xfrm>
                        <a:prstGeom prst="rect">
                          <a:avLst/>
                        </a:prstGeom>
                      </pic:spPr>
                    </pic:pic>
                  </a:graphicData>
                </a:graphic>
                <wp14:sizeRelH relativeFrom="margin">
                  <wp14:pctWidth>0</wp14:pctWidth>
                </wp14:sizeRelH>
                <wp14:sizeRelV relativeFrom="margin">
                  <wp14:pctHeight>0</wp14:pctHeight>
                </wp14:sizeRelV>
              </wp:anchor>
            </w:drawing>
          </w:r>
          <w:r w:rsidRPr="00E14EBC">
            <w:br w:type="page"/>
          </w:r>
        </w:p>
      </w:sdtContent>
    </w:sdt>
    <w:p w14:paraId="5081F5A0" w14:textId="62CCA4E6" w:rsidR="00662A47" w:rsidRPr="00E14EBC" w:rsidRDefault="00662A47" w:rsidP="00F45AEF">
      <w:pPr>
        <w:spacing w:before="0" w:line="259" w:lineRule="auto"/>
        <w:sectPr w:rsidR="00662A47" w:rsidRPr="00E14EBC" w:rsidSect="00436AE7">
          <w:headerReference w:type="default" r:id="rId14"/>
          <w:footerReference w:type="default" r:id="rId15"/>
          <w:pgSz w:w="11906" w:h="16838"/>
          <w:pgMar w:top="5671" w:right="822" w:bottom="1474" w:left="822" w:header="709" w:footer="709" w:gutter="0"/>
          <w:pgNumType w:start="0"/>
          <w:cols w:space="708"/>
          <w:titlePg/>
          <w:docGrid w:linePitch="360"/>
        </w:sectPr>
      </w:pPr>
    </w:p>
    <w:p w14:paraId="39C0F8B5" w14:textId="1340D965" w:rsidR="00666975" w:rsidRPr="00E14EBC" w:rsidRDefault="002B7024" w:rsidP="00151D99">
      <w:pPr>
        <w:jc w:val="both"/>
      </w:pPr>
      <w:r w:rsidRPr="00E14EBC">
        <w:lastRenderedPageBreak/>
        <w:t>Rakendusuuringu „Lühiajalise üüri turg Eestis“ viisid Majandus- ja Kommunikatsiooniministeeriumi tellimusel läbi Civitta Eesti AS ja Tallinna Ülikool.</w:t>
      </w:r>
    </w:p>
    <w:p w14:paraId="7B49FFD5" w14:textId="77777777" w:rsidR="002B7024" w:rsidRPr="00E14EBC" w:rsidRDefault="002B7024" w:rsidP="00151D99">
      <w:pPr>
        <w:jc w:val="both"/>
      </w:pPr>
    </w:p>
    <w:p w14:paraId="6C1FE6B4" w14:textId="77777777" w:rsidR="004633E8" w:rsidRPr="00E14EBC" w:rsidRDefault="004633E8" w:rsidP="00151D99">
      <w:pPr>
        <w:jc w:val="both"/>
      </w:pPr>
    </w:p>
    <w:p w14:paraId="6F8E2527" w14:textId="77777777" w:rsidR="00CC487D" w:rsidRPr="00E14EBC" w:rsidRDefault="00CC487D" w:rsidP="00151D99">
      <w:pPr>
        <w:jc w:val="both"/>
      </w:pPr>
    </w:p>
    <w:p w14:paraId="20C061C9" w14:textId="3FF0ECE9" w:rsidR="003121C2" w:rsidRPr="00E14EBC" w:rsidRDefault="003121C2" w:rsidP="00151D99">
      <w:pPr>
        <w:jc w:val="both"/>
      </w:pPr>
      <w:r w:rsidRPr="00E14EBC">
        <w:t>Tellija</w:t>
      </w:r>
      <w:r w:rsidR="00E77733" w:rsidRPr="00E14EBC">
        <w:t xml:space="preserve">t esindasid Majandus- ja Kommunikatsiooniministeeriumi </w:t>
      </w:r>
      <w:r w:rsidR="00F97B96" w:rsidRPr="00E14EBC">
        <w:t xml:space="preserve">ettevõtluskeskkonna ja tööstuse osakonna </w:t>
      </w:r>
      <w:r w:rsidR="003D1A83" w:rsidRPr="00E14EBC">
        <w:t>t</w:t>
      </w:r>
      <w:r w:rsidR="00F97B96" w:rsidRPr="00E14EBC">
        <w:t>urisminõunik</w:t>
      </w:r>
      <w:r w:rsidR="003D1A83" w:rsidRPr="00E14EBC">
        <w:t>ud</w:t>
      </w:r>
      <w:r w:rsidR="00F97B96" w:rsidRPr="00E14EBC">
        <w:t xml:space="preserve"> Aleksandr Michelson ja </w:t>
      </w:r>
      <w:r w:rsidR="003D1A83" w:rsidRPr="00E14EBC">
        <w:t>Kati Kikas.</w:t>
      </w:r>
    </w:p>
    <w:p w14:paraId="76E0AB8C" w14:textId="056408E7" w:rsidR="00540184" w:rsidRPr="00E14EBC" w:rsidRDefault="004E05F2" w:rsidP="00151D99">
      <w:pPr>
        <w:jc w:val="both"/>
        <w:rPr>
          <w:rFonts w:ascii="Arial" w:hAnsi="Arial" w:cs="Arial"/>
          <w:color w:val="232323" w:themeColor="text1"/>
        </w:rPr>
      </w:pPr>
      <w:r w:rsidRPr="00E14EBC">
        <w:rPr>
          <w:rFonts w:ascii="Arial" w:hAnsi="Arial" w:cs="Arial"/>
        </w:rPr>
        <w:t xml:space="preserve">Uuringu läbiviimist toetas </w:t>
      </w:r>
      <w:r w:rsidR="00540184" w:rsidRPr="00E14EBC">
        <w:rPr>
          <w:rFonts w:ascii="Arial" w:hAnsi="Arial" w:cs="Arial"/>
        </w:rPr>
        <w:t xml:space="preserve">juhtrühm koosseisus: </w:t>
      </w:r>
      <w:r w:rsidR="00243B1F" w:rsidRPr="00E14EBC">
        <w:t xml:space="preserve">Mario Lambing ja Andres Levald (Majandus- ja Kommunikatsiooniministeerium), </w:t>
      </w:r>
      <w:r w:rsidR="00210C44" w:rsidRPr="00E14EBC">
        <w:t>Piret Pukk (Statistikaamet)</w:t>
      </w:r>
      <w:r w:rsidR="00210C44">
        <w:t xml:space="preserve">, </w:t>
      </w:r>
      <w:r w:rsidR="00243B1F" w:rsidRPr="00E14EBC">
        <w:t>Kaja Pae</w:t>
      </w:r>
      <w:r w:rsidR="00151D99" w:rsidRPr="00E14EBC">
        <w:t xml:space="preserve"> ja</w:t>
      </w:r>
      <w:r w:rsidR="00243B1F" w:rsidRPr="00E14EBC">
        <w:t xml:space="preserve"> </w:t>
      </w:r>
      <w:r w:rsidR="00151D99" w:rsidRPr="00E14EBC">
        <w:t xml:space="preserve">Kaspar Alev </w:t>
      </w:r>
      <w:r w:rsidR="00243B1F" w:rsidRPr="00E14EBC">
        <w:t xml:space="preserve">(Kliimaministeerium), Kalle Killar </w:t>
      </w:r>
      <w:r w:rsidR="00151D99" w:rsidRPr="00E14EBC">
        <w:t xml:space="preserve">ja </w:t>
      </w:r>
      <w:r w:rsidR="00243B1F" w:rsidRPr="00E14EBC">
        <w:t xml:space="preserve">Asko Tamm (Tallinna </w:t>
      </w:r>
      <w:r w:rsidR="00151D99" w:rsidRPr="00E14EBC">
        <w:t>linnavalitsus</w:t>
      </w:r>
      <w:r w:rsidR="00243B1F" w:rsidRPr="00E14EBC">
        <w:t>)</w:t>
      </w:r>
      <w:r w:rsidR="00151D99" w:rsidRPr="00E14EBC">
        <w:t>.</w:t>
      </w:r>
    </w:p>
    <w:p w14:paraId="49F2B0A6" w14:textId="4377391E" w:rsidR="004E05F2" w:rsidRPr="00E14EBC" w:rsidRDefault="004A4364" w:rsidP="00151D99">
      <w:pPr>
        <w:jc w:val="both"/>
      </w:pPr>
      <w:r w:rsidRPr="00E14EBC">
        <w:t xml:space="preserve">Täname kõiki intervjueerituid või uuringusse muul moel panustanud ettevõtete, </w:t>
      </w:r>
      <w:r w:rsidR="00E531EE" w:rsidRPr="00E14EBC">
        <w:t xml:space="preserve">erialaliitude ja organistioonide, </w:t>
      </w:r>
      <w:r w:rsidR="0044721B" w:rsidRPr="00E14EBC">
        <w:t>kohalike omavalitsuste</w:t>
      </w:r>
      <w:r w:rsidR="00E531EE" w:rsidRPr="00E14EBC">
        <w:t xml:space="preserve"> </w:t>
      </w:r>
      <w:r w:rsidR="00E51D2D" w:rsidRPr="00E14EBC">
        <w:t>ja</w:t>
      </w:r>
      <w:r w:rsidR="0044721B" w:rsidRPr="00E14EBC">
        <w:t xml:space="preserve"> r</w:t>
      </w:r>
      <w:r w:rsidRPr="00E14EBC">
        <w:t>iigiasutuste</w:t>
      </w:r>
      <w:r w:rsidR="00FB72A6" w:rsidRPr="00E14EBC">
        <w:t xml:space="preserve"> esindajaid ning </w:t>
      </w:r>
      <w:r w:rsidR="00864D52" w:rsidRPr="00E14EBC">
        <w:t>teisi</w:t>
      </w:r>
      <w:r w:rsidR="00FB72A6" w:rsidRPr="00E14EBC">
        <w:t xml:space="preserve"> turuosalisi ja eksperte</w:t>
      </w:r>
      <w:r w:rsidR="00864D52" w:rsidRPr="00E14EBC">
        <w:t>.</w:t>
      </w:r>
    </w:p>
    <w:p w14:paraId="60F73B34" w14:textId="77777777" w:rsidR="000A6093" w:rsidRPr="00E14EBC" w:rsidRDefault="000A6093" w:rsidP="00565A10">
      <w:pPr>
        <w:jc w:val="both"/>
      </w:pPr>
    </w:p>
    <w:p w14:paraId="2F81A08C" w14:textId="77777777" w:rsidR="00151D99" w:rsidRPr="00E14EBC" w:rsidRDefault="00151D99" w:rsidP="00565A10">
      <w:pPr>
        <w:jc w:val="both"/>
      </w:pPr>
    </w:p>
    <w:p w14:paraId="3D3A872E" w14:textId="4106444D" w:rsidR="00151D99" w:rsidRPr="00E14EBC" w:rsidRDefault="00151D99" w:rsidP="00565A10">
      <w:pPr>
        <w:jc w:val="both"/>
      </w:pPr>
      <w:r w:rsidRPr="00E14EBC">
        <w:t xml:space="preserve">Viitamine: </w:t>
      </w:r>
      <w:r w:rsidR="004340F3" w:rsidRPr="00E14EBC">
        <w:t>Saar, I., Viks-Binsol, P., Repnau, M., Terk, E., Kirs, K., Lõoke, K.</w:t>
      </w:r>
      <w:r w:rsidR="006F68F4">
        <w:t>,</w:t>
      </w:r>
      <w:r w:rsidR="004340F3" w:rsidRPr="00E14EBC">
        <w:t xml:space="preserve"> </w:t>
      </w:r>
      <w:r w:rsidR="00B4106F" w:rsidRPr="00E14EBC">
        <w:t>Kukk, U.,</w:t>
      </w:r>
      <w:r w:rsidR="004340F3" w:rsidRPr="00E14EBC">
        <w:t xml:space="preserve"> </w:t>
      </w:r>
      <w:r w:rsidR="00045553">
        <w:t>Looveer</w:t>
      </w:r>
      <w:r w:rsidR="00DD01FC">
        <w:t xml:space="preserve"> J.-A.</w:t>
      </w:r>
      <w:r w:rsidR="00286410">
        <w:t xml:space="preserve">, </w:t>
      </w:r>
      <w:r w:rsidR="004340F3" w:rsidRPr="00E14EBC">
        <w:t xml:space="preserve">2025. </w:t>
      </w:r>
      <w:r w:rsidR="004340F3" w:rsidRPr="00E14EBC">
        <w:rPr>
          <w:i/>
          <w:iCs/>
        </w:rPr>
        <w:t>Lühiajalise üüri turg Eestis</w:t>
      </w:r>
      <w:r w:rsidR="004340F3" w:rsidRPr="00E14EBC">
        <w:t>. Civitta Eesti AS, Tallinna Ülikool.</w:t>
      </w:r>
    </w:p>
    <w:p w14:paraId="69B1F45B" w14:textId="77777777" w:rsidR="0082215D" w:rsidRDefault="0082215D" w:rsidP="000A6093">
      <w:pPr>
        <w:rPr>
          <w:rFonts w:eastAsia="Times New Roman"/>
        </w:rPr>
      </w:pPr>
    </w:p>
    <w:p w14:paraId="7342E9BD" w14:textId="77777777" w:rsidR="00AE06AD" w:rsidRDefault="00AE06AD" w:rsidP="00926311">
      <w:pPr>
        <w:spacing w:before="0" w:line="240" w:lineRule="auto"/>
        <w:rPr>
          <w:rFonts w:ascii="Arial" w:eastAsia="Times New Roman" w:hAnsi="Arial" w:cs="Arial"/>
          <w:color w:val="222222"/>
          <w:kern w:val="0"/>
          <w:szCs w:val="24"/>
          <w:lang w:eastAsia="et-EE"/>
          <w14:ligatures w14:val="none"/>
        </w:rPr>
      </w:pPr>
    </w:p>
    <w:p w14:paraId="71DC92ED" w14:textId="35F42BD9" w:rsidR="00926311" w:rsidRPr="00926311" w:rsidRDefault="00926311" w:rsidP="00926311">
      <w:pPr>
        <w:spacing w:before="0" w:line="240" w:lineRule="auto"/>
        <w:rPr>
          <w:rFonts w:ascii="Arial" w:eastAsia="Times New Roman" w:hAnsi="Arial" w:cs="Arial"/>
          <w:color w:val="222222"/>
          <w:kern w:val="0"/>
          <w:szCs w:val="24"/>
          <w:lang w:eastAsia="et-EE"/>
          <w14:ligatures w14:val="none"/>
        </w:rPr>
      </w:pPr>
      <w:r w:rsidRPr="00926311">
        <w:rPr>
          <w:rFonts w:ascii="Arial" w:eastAsia="Times New Roman" w:hAnsi="Arial" w:cs="Arial"/>
          <w:color w:val="222222"/>
          <w:kern w:val="0"/>
          <w:szCs w:val="24"/>
          <w:lang w:eastAsia="et-EE"/>
          <w14:ligatures w14:val="none"/>
        </w:rPr>
        <w:t>ISBN 978-9916-4-3337-9 (pdf)</w:t>
      </w:r>
    </w:p>
    <w:p w14:paraId="2CDD8EDB" w14:textId="05BC82A1" w:rsidR="000A6093" w:rsidRPr="00E14EBC" w:rsidRDefault="000A6093" w:rsidP="000A6093">
      <w:pPr>
        <w:rPr>
          <w:caps/>
        </w:rPr>
      </w:pPr>
    </w:p>
    <w:p w14:paraId="11DEF70A" w14:textId="77777777" w:rsidR="002B7024" w:rsidRPr="00E14EBC" w:rsidRDefault="002B7024">
      <w:pPr>
        <w:rPr>
          <w:sz w:val="22"/>
          <w:szCs w:val="20"/>
        </w:rPr>
      </w:pPr>
    </w:p>
    <w:p w14:paraId="57137F8C" w14:textId="77777777" w:rsidR="00831DB4" w:rsidRPr="00E14EBC" w:rsidRDefault="00831DB4">
      <w:pPr>
        <w:rPr>
          <w:sz w:val="22"/>
          <w:szCs w:val="20"/>
        </w:rPr>
      </w:pPr>
    </w:p>
    <w:p w14:paraId="54E50FB2" w14:textId="2F20CB2E" w:rsidR="00831DB4" w:rsidRPr="00E14EBC" w:rsidRDefault="00831DB4">
      <w:pPr>
        <w:spacing w:before="0" w:line="259" w:lineRule="auto"/>
        <w:rPr>
          <w:sz w:val="22"/>
          <w:szCs w:val="20"/>
        </w:rPr>
      </w:pPr>
      <w:r w:rsidRPr="00E14EBC">
        <w:rPr>
          <w:sz w:val="22"/>
          <w:szCs w:val="20"/>
        </w:rPr>
        <w:br w:type="page"/>
      </w:r>
    </w:p>
    <w:sdt>
      <w:sdtPr>
        <w:rPr>
          <w:rFonts w:asciiTheme="minorHAnsi" w:eastAsiaTheme="minorEastAsia" w:hAnsiTheme="minorHAnsi" w:cstheme="minorBidi"/>
          <w:b w:val="0"/>
          <w:kern w:val="2"/>
          <w:sz w:val="24"/>
          <w:szCs w:val="24"/>
        </w:rPr>
        <w:id w:val="1443878567"/>
        <w:docPartObj>
          <w:docPartGallery w:val="Table of Contents"/>
          <w:docPartUnique/>
        </w:docPartObj>
      </w:sdtPr>
      <w:sdtContent>
        <w:p w14:paraId="6EF8FB75" w14:textId="23795492" w:rsidR="0071754B" w:rsidRPr="005A14AB" w:rsidRDefault="0071754B" w:rsidP="001A055C">
          <w:pPr>
            <w:pStyle w:val="Title"/>
            <w:rPr>
              <w:rFonts w:hint="eastAsia"/>
              <w:sz w:val="24"/>
              <w:szCs w:val="24"/>
            </w:rPr>
          </w:pPr>
          <w:r w:rsidRPr="005A14AB">
            <w:rPr>
              <w:sz w:val="24"/>
              <w:szCs w:val="24"/>
            </w:rPr>
            <w:t>Sisukord</w:t>
          </w:r>
        </w:p>
        <w:p w14:paraId="505DE475" w14:textId="7366F5A3" w:rsidR="009A2B46" w:rsidRDefault="0071754B">
          <w:pPr>
            <w:pStyle w:val="TOC1"/>
            <w:rPr>
              <w:rFonts w:eastAsiaTheme="minorEastAsia"/>
              <w:noProof/>
              <w:szCs w:val="24"/>
              <w:lang w:eastAsia="et-EE"/>
            </w:rPr>
          </w:pPr>
          <w:r w:rsidRPr="00537B2B">
            <w:rPr>
              <w:sz w:val="20"/>
              <w:szCs w:val="20"/>
            </w:rPr>
            <w:fldChar w:fldCharType="begin"/>
          </w:r>
          <w:r w:rsidRPr="00537B2B">
            <w:rPr>
              <w:sz w:val="20"/>
              <w:szCs w:val="20"/>
            </w:rPr>
            <w:instrText xml:space="preserve"> TOC \o "1-3" \h \z \u </w:instrText>
          </w:r>
          <w:r w:rsidRPr="00537B2B">
            <w:rPr>
              <w:sz w:val="20"/>
              <w:szCs w:val="20"/>
            </w:rPr>
            <w:fldChar w:fldCharType="separate"/>
          </w:r>
          <w:hyperlink w:anchor="_Toc208991561" w:history="1">
            <w:r w:rsidR="009A2B46" w:rsidRPr="001506E8">
              <w:rPr>
                <w:rStyle w:val="Hyperlink"/>
                <w:noProof/>
              </w:rPr>
              <w:t>Kasutatud lühendid</w:t>
            </w:r>
            <w:r w:rsidR="009A2B46">
              <w:rPr>
                <w:noProof/>
                <w:webHidden/>
              </w:rPr>
              <w:tab/>
            </w:r>
            <w:r w:rsidR="009A2B46">
              <w:rPr>
                <w:noProof/>
                <w:webHidden/>
              </w:rPr>
              <w:fldChar w:fldCharType="begin"/>
            </w:r>
            <w:r w:rsidR="009A2B46">
              <w:rPr>
                <w:noProof/>
                <w:webHidden/>
              </w:rPr>
              <w:instrText xml:space="preserve"> PAGEREF _Toc208991561 \h </w:instrText>
            </w:r>
            <w:r w:rsidR="009A2B46">
              <w:rPr>
                <w:noProof/>
                <w:webHidden/>
              </w:rPr>
            </w:r>
            <w:r w:rsidR="009A2B46">
              <w:rPr>
                <w:noProof/>
                <w:webHidden/>
              </w:rPr>
              <w:fldChar w:fldCharType="separate"/>
            </w:r>
            <w:r w:rsidR="00C55BCB">
              <w:rPr>
                <w:noProof/>
                <w:webHidden/>
              </w:rPr>
              <w:t>5</w:t>
            </w:r>
            <w:r w:rsidR="009A2B46">
              <w:rPr>
                <w:noProof/>
                <w:webHidden/>
              </w:rPr>
              <w:fldChar w:fldCharType="end"/>
            </w:r>
          </w:hyperlink>
        </w:p>
        <w:p w14:paraId="3D123D9D" w14:textId="2F920E51" w:rsidR="009A2B46" w:rsidRDefault="009A2B46">
          <w:pPr>
            <w:pStyle w:val="TOC1"/>
            <w:rPr>
              <w:rFonts w:eastAsiaTheme="minorEastAsia"/>
              <w:noProof/>
              <w:szCs w:val="24"/>
              <w:lang w:eastAsia="et-EE"/>
            </w:rPr>
          </w:pPr>
          <w:hyperlink w:anchor="_Toc208991562" w:history="1">
            <w:r w:rsidRPr="001506E8">
              <w:rPr>
                <w:rStyle w:val="Hyperlink"/>
                <w:noProof/>
              </w:rPr>
              <w:t>Kokkuvõte</w:t>
            </w:r>
            <w:r>
              <w:rPr>
                <w:noProof/>
                <w:webHidden/>
              </w:rPr>
              <w:tab/>
            </w:r>
            <w:r>
              <w:rPr>
                <w:noProof/>
                <w:webHidden/>
              </w:rPr>
              <w:fldChar w:fldCharType="begin"/>
            </w:r>
            <w:r>
              <w:rPr>
                <w:noProof/>
                <w:webHidden/>
              </w:rPr>
              <w:instrText xml:space="preserve"> PAGEREF _Toc208991562 \h </w:instrText>
            </w:r>
            <w:r>
              <w:rPr>
                <w:noProof/>
                <w:webHidden/>
              </w:rPr>
            </w:r>
            <w:r>
              <w:rPr>
                <w:noProof/>
                <w:webHidden/>
              </w:rPr>
              <w:fldChar w:fldCharType="separate"/>
            </w:r>
            <w:r w:rsidR="00C55BCB">
              <w:rPr>
                <w:noProof/>
                <w:webHidden/>
              </w:rPr>
              <w:t>7</w:t>
            </w:r>
            <w:r>
              <w:rPr>
                <w:noProof/>
                <w:webHidden/>
              </w:rPr>
              <w:fldChar w:fldCharType="end"/>
            </w:r>
          </w:hyperlink>
        </w:p>
        <w:p w14:paraId="19C5A6AE" w14:textId="464F054F" w:rsidR="009A2B46" w:rsidRDefault="009A2B46">
          <w:pPr>
            <w:pStyle w:val="TOC1"/>
            <w:rPr>
              <w:rFonts w:eastAsiaTheme="minorEastAsia"/>
              <w:noProof/>
              <w:szCs w:val="24"/>
              <w:lang w:eastAsia="et-EE"/>
            </w:rPr>
          </w:pPr>
          <w:hyperlink w:anchor="_Toc208991571" w:history="1">
            <w:r w:rsidRPr="001506E8">
              <w:rPr>
                <w:rStyle w:val="Hyperlink"/>
                <w:noProof/>
              </w:rPr>
              <w:t>Executive summary</w:t>
            </w:r>
            <w:r>
              <w:rPr>
                <w:noProof/>
                <w:webHidden/>
              </w:rPr>
              <w:tab/>
            </w:r>
            <w:r>
              <w:rPr>
                <w:noProof/>
                <w:webHidden/>
              </w:rPr>
              <w:fldChar w:fldCharType="begin"/>
            </w:r>
            <w:r>
              <w:rPr>
                <w:noProof/>
                <w:webHidden/>
              </w:rPr>
              <w:instrText xml:space="preserve"> PAGEREF _Toc208991571 \h </w:instrText>
            </w:r>
            <w:r>
              <w:rPr>
                <w:noProof/>
                <w:webHidden/>
              </w:rPr>
            </w:r>
            <w:r>
              <w:rPr>
                <w:noProof/>
                <w:webHidden/>
              </w:rPr>
              <w:fldChar w:fldCharType="separate"/>
            </w:r>
            <w:r w:rsidR="00C55BCB">
              <w:rPr>
                <w:noProof/>
                <w:webHidden/>
              </w:rPr>
              <w:t>12</w:t>
            </w:r>
            <w:r>
              <w:rPr>
                <w:noProof/>
                <w:webHidden/>
              </w:rPr>
              <w:fldChar w:fldCharType="end"/>
            </w:r>
          </w:hyperlink>
        </w:p>
        <w:p w14:paraId="28C908A9" w14:textId="640F1021" w:rsidR="009A2B46" w:rsidRDefault="009A2B46">
          <w:pPr>
            <w:pStyle w:val="TOC1"/>
            <w:rPr>
              <w:rFonts w:eastAsiaTheme="minorEastAsia"/>
              <w:noProof/>
              <w:szCs w:val="24"/>
              <w:lang w:eastAsia="et-EE"/>
            </w:rPr>
          </w:pPr>
          <w:hyperlink w:anchor="_Toc208991580" w:history="1">
            <w:r w:rsidRPr="001506E8">
              <w:rPr>
                <w:rStyle w:val="Hyperlink"/>
                <w:noProof/>
              </w:rPr>
              <w:t>Sissejuhatus</w:t>
            </w:r>
            <w:r>
              <w:rPr>
                <w:noProof/>
                <w:webHidden/>
              </w:rPr>
              <w:tab/>
            </w:r>
            <w:r>
              <w:rPr>
                <w:noProof/>
                <w:webHidden/>
              </w:rPr>
              <w:fldChar w:fldCharType="begin"/>
            </w:r>
            <w:r>
              <w:rPr>
                <w:noProof/>
                <w:webHidden/>
              </w:rPr>
              <w:instrText xml:space="preserve"> PAGEREF _Toc208991580 \h </w:instrText>
            </w:r>
            <w:r>
              <w:rPr>
                <w:noProof/>
                <w:webHidden/>
              </w:rPr>
            </w:r>
            <w:r>
              <w:rPr>
                <w:noProof/>
                <w:webHidden/>
              </w:rPr>
              <w:fldChar w:fldCharType="separate"/>
            </w:r>
            <w:r w:rsidR="00C55BCB">
              <w:rPr>
                <w:noProof/>
                <w:webHidden/>
              </w:rPr>
              <w:t>18</w:t>
            </w:r>
            <w:r>
              <w:rPr>
                <w:noProof/>
                <w:webHidden/>
              </w:rPr>
              <w:fldChar w:fldCharType="end"/>
            </w:r>
          </w:hyperlink>
        </w:p>
        <w:p w14:paraId="435E0E1E" w14:textId="360F472B" w:rsidR="009A2B46" w:rsidRDefault="009A2B46">
          <w:pPr>
            <w:pStyle w:val="TOC1"/>
            <w:rPr>
              <w:rFonts w:eastAsiaTheme="minorEastAsia"/>
              <w:noProof/>
              <w:szCs w:val="24"/>
              <w:lang w:eastAsia="et-EE"/>
            </w:rPr>
          </w:pPr>
          <w:hyperlink w:anchor="_Toc208991581" w:history="1">
            <w:r w:rsidRPr="001506E8">
              <w:rPr>
                <w:rStyle w:val="Hyperlink"/>
                <w:noProof/>
              </w:rPr>
              <w:t>Metoodika</w:t>
            </w:r>
            <w:r>
              <w:rPr>
                <w:noProof/>
                <w:webHidden/>
              </w:rPr>
              <w:tab/>
            </w:r>
            <w:r>
              <w:rPr>
                <w:noProof/>
                <w:webHidden/>
              </w:rPr>
              <w:fldChar w:fldCharType="begin"/>
            </w:r>
            <w:r>
              <w:rPr>
                <w:noProof/>
                <w:webHidden/>
              </w:rPr>
              <w:instrText xml:space="preserve"> PAGEREF _Toc208991581 \h </w:instrText>
            </w:r>
            <w:r>
              <w:rPr>
                <w:noProof/>
                <w:webHidden/>
              </w:rPr>
            </w:r>
            <w:r>
              <w:rPr>
                <w:noProof/>
                <w:webHidden/>
              </w:rPr>
              <w:fldChar w:fldCharType="separate"/>
            </w:r>
            <w:r w:rsidR="00C55BCB">
              <w:rPr>
                <w:noProof/>
                <w:webHidden/>
              </w:rPr>
              <w:t>20</w:t>
            </w:r>
            <w:r>
              <w:rPr>
                <w:noProof/>
                <w:webHidden/>
              </w:rPr>
              <w:fldChar w:fldCharType="end"/>
            </w:r>
          </w:hyperlink>
        </w:p>
        <w:p w14:paraId="0A505CC2" w14:textId="7E95D697" w:rsidR="009A2B46" w:rsidRDefault="009A2B46">
          <w:pPr>
            <w:pStyle w:val="TOC1"/>
            <w:rPr>
              <w:rFonts w:eastAsiaTheme="minorEastAsia"/>
              <w:noProof/>
              <w:szCs w:val="24"/>
              <w:lang w:eastAsia="et-EE"/>
            </w:rPr>
          </w:pPr>
          <w:hyperlink w:anchor="_Toc208991582" w:history="1">
            <w:r w:rsidRPr="001506E8">
              <w:rPr>
                <w:rStyle w:val="Hyperlink"/>
                <w:b/>
                <w:bCs/>
                <w:noProof/>
              </w:rPr>
              <w:t>1.</w:t>
            </w:r>
            <w:r>
              <w:rPr>
                <w:rFonts w:eastAsiaTheme="minorEastAsia"/>
                <w:noProof/>
                <w:szCs w:val="24"/>
                <w:lang w:eastAsia="et-EE"/>
              </w:rPr>
              <w:tab/>
            </w:r>
            <w:r w:rsidRPr="001506E8">
              <w:rPr>
                <w:rStyle w:val="Hyperlink"/>
                <w:b/>
                <w:bCs/>
                <w:noProof/>
              </w:rPr>
              <w:t>Lühiajalise üüri turu käsitlus Eesti majandus- ja ettevõtluskeskkonnas ja õigusruumis</w:t>
            </w:r>
            <w:r>
              <w:rPr>
                <w:noProof/>
                <w:webHidden/>
              </w:rPr>
              <w:tab/>
            </w:r>
            <w:r>
              <w:rPr>
                <w:noProof/>
                <w:webHidden/>
              </w:rPr>
              <w:fldChar w:fldCharType="begin"/>
            </w:r>
            <w:r>
              <w:rPr>
                <w:noProof/>
                <w:webHidden/>
              </w:rPr>
              <w:instrText xml:space="preserve"> PAGEREF _Toc208991582 \h </w:instrText>
            </w:r>
            <w:r>
              <w:rPr>
                <w:noProof/>
                <w:webHidden/>
              </w:rPr>
            </w:r>
            <w:r>
              <w:rPr>
                <w:noProof/>
                <w:webHidden/>
              </w:rPr>
              <w:fldChar w:fldCharType="separate"/>
            </w:r>
            <w:r w:rsidR="00C55BCB">
              <w:rPr>
                <w:noProof/>
                <w:webHidden/>
              </w:rPr>
              <w:t>26</w:t>
            </w:r>
            <w:r>
              <w:rPr>
                <w:noProof/>
                <w:webHidden/>
              </w:rPr>
              <w:fldChar w:fldCharType="end"/>
            </w:r>
          </w:hyperlink>
        </w:p>
        <w:p w14:paraId="4803395F" w14:textId="6D5BAD31" w:rsidR="009A2B46" w:rsidRDefault="009A2B46">
          <w:pPr>
            <w:pStyle w:val="TOC2"/>
            <w:rPr>
              <w:rFonts w:asciiTheme="minorHAnsi" w:eastAsiaTheme="minorEastAsia" w:hAnsiTheme="minorHAnsi" w:cstheme="minorBidi"/>
              <w:b w:val="0"/>
              <w:bCs w:val="0"/>
              <w:szCs w:val="24"/>
              <w:lang w:eastAsia="et-EE"/>
            </w:rPr>
          </w:pPr>
          <w:hyperlink w:anchor="_Toc208991583" w:history="1">
            <w:r w:rsidRPr="001506E8">
              <w:rPr>
                <w:rStyle w:val="Hyperlink"/>
              </w:rPr>
              <w:t>1.1.</w:t>
            </w:r>
            <w:r>
              <w:rPr>
                <w:rFonts w:asciiTheme="minorHAnsi" w:eastAsiaTheme="minorEastAsia" w:hAnsiTheme="minorHAnsi" w:cstheme="minorBidi"/>
                <w:b w:val="0"/>
                <w:bCs w:val="0"/>
                <w:szCs w:val="24"/>
                <w:lang w:eastAsia="et-EE"/>
              </w:rPr>
              <w:tab/>
            </w:r>
            <w:r w:rsidRPr="001506E8">
              <w:rPr>
                <w:rStyle w:val="Hyperlink"/>
              </w:rPr>
              <w:t>Teoreetiline taust lühiajalise üüri käsitlemisel: jagamismajandus ja platvormimajandus</w:t>
            </w:r>
            <w:r>
              <w:rPr>
                <w:webHidden/>
              </w:rPr>
              <w:tab/>
            </w:r>
            <w:r>
              <w:rPr>
                <w:webHidden/>
              </w:rPr>
              <w:fldChar w:fldCharType="begin"/>
            </w:r>
            <w:r>
              <w:rPr>
                <w:webHidden/>
              </w:rPr>
              <w:instrText xml:space="preserve"> PAGEREF _Toc208991583 \h </w:instrText>
            </w:r>
            <w:r>
              <w:rPr>
                <w:webHidden/>
              </w:rPr>
            </w:r>
            <w:r>
              <w:rPr>
                <w:webHidden/>
              </w:rPr>
              <w:fldChar w:fldCharType="separate"/>
            </w:r>
            <w:r w:rsidR="00C55BCB">
              <w:rPr>
                <w:rFonts w:hint="eastAsia"/>
                <w:webHidden/>
              </w:rPr>
              <w:t>26</w:t>
            </w:r>
            <w:r>
              <w:rPr>
                <w:webHidden/>
              </w:rPr>
              <w:fldChar w:fldCharType="end"/>
            </w:r>
          </w:hyperlink>
        </w:p>
        <w:p w14:paraId="3EBCC282" w14:textId="1229C816" w:rsidR="009A2B46" w:rsidRDefault="009A2B46">
          <w:pPr>
            <w:pStyle w:val="TOC3"/>
            <w:tabs>
              <w:tab w:val="left" w:pos="1701"/>
              <w:tab w:val="right" w:leader="dot" w:pos="10252"/>
            </w:tabs>
            <w:rPr>
              <w:rFonts w:eastAsiaTheme="minorEastAsia"/>
              <w:noProof/>
              <w:szCs w:val="24"/>
              <w:lang w:eastAsia="et-EE"/>
            </w:rPr>
          </w:pPr>
          <w:hyperlink w:anchor="_Toc208991584" w:history="1">
            <w:r w:rsidRPr="001506E8">
              <w:rPr>
                <w:rStyle w:val="Hyperlink"/>
                <w:noProof/>
              </w:rPr>
              <w:t>1.1.1.</w:t>
            </w:r>
            <w:r>
              <w:rPr>
                <w:rFonts w:eastAsiaTheme="minorEastAsia"/>
                <w:noProof/>
                <w:szCs w:val="24"/>
                <w:lang w:eastAsia="et-EE"/>
              </w:rPr>
              <w:tab/>
            </w:r>
            <w:r w:rsidRPr="001506E8">
              <w:rPr>
                <w:rStyle w:val="Hyperlink"/>
                <w:noProof/>
              </w:rPr>
              <w:t>Jagamismajandus</w:t>
            </w:r>
            <w:r>
              <w:rPr>
                <w:noProof/>
                <w:webHidden/>
              </w:rPr>
              <w:tab/>
            </w:r>
            <w:r>
              <w:rPr>
                <w:noProof/>
                <w:webHidden/>
              </w:rPr>
              <w:fldChar w:fldCharType="begin"/>
            </w:r>
            <w:r>
              <w:rPr>
                <w:noProof/>
                <w:webHidden/>
              </w:rPr>
              <w:instrText xml:space="preserve"> PAGEREF _Toc208991584 \h </w:instrText>
            </w:r>
            <w:r>
              <w:rPr>
                <w:noProof/>
                <w:webHidden/>
              </w:rPr>
            </w:r>
            <w:r>
              <w:rPr>
                <w:noProof/>
                <w:webHidden/>
              </w:rPr>
              <w:fldChar w:fldCharType="separate"/>
            </w:r>
            <w:r w:rsidR="00C55BCB">
              <w:rPr>
                <w:noProof/>
                <w:webHidden/>
              </w:rPr>
              <w:t>26</w:t>
            </w:r>
            <w:r>
              <w:rPr>
                <w:noProof/>
                <w:webHidden/>
              </w:rPr>
              <w:fldChar w:fldCharType="end"/>
            </w:r>
          </w:hyperlink>
        </w:p>
        <w:p w14:paraId="6A7EDCA0" w14:textId="23D3F18B" w:rsidR="009A2B46" w:rsidRDefault="009A2B46">
          <w:pPr>
            <w:pStyle w:val="TOC3"/>
            <w:tabs>
              <w:tab w:val="left" w:pos="1701"/>
              <w:tab w:val="right" w:leader="dot" w:pos="10252"/>
            </w:tabs>
            <w:rPr>
              <w:rFonts w:eastAsiaTheme="minorEastAsia"/>
              <w:noProof/>
              <w:szCs w:val="24"/>
              <w:lang w:eastAsia="et-EE"/>
            </w:rPr>
          </w:pPr>
          <w:hyperlink w:anchor="_Toc208991585" w:history="1">
            <w:r w:rsidRPr="001506E8">
              <w:rPr>
                <w:rStyle w:val="Hyperlink"/>
                <w:noProof/>
              </w:rPr>
              <w:t>1.1.2.</w:t>
            </w:r>
            <w:r>
              <w:rPr>
                <w:rFonts w:eastAsiaTheme="minorEastAsia"/>
                <w:noProof/>
                <w:szCs w:val="24"/>
                <w:lang w:eastAsia="et-EE"/>
              </w:rPr>
              <w:tab/>
            </w:r>
            <w:r w:rsidRPr="001506E8">
              <w:rPr>
                <w:rStyle w:val="Hyperlink"/>
                <w:noProof/>
              </w:rPr>
              <w:t>Uus fookus: platvormimajandus</w:t>
            </w:r>
            <w:r>
              <w:rPr>
                <w:noProof/>
                <w:webHidden/>
              </w:rPr>
              <w:tab/>
            </w:r>
            <w:r>
              <w:rPr>
                <w:noProof/>
                <w:webHidden/>
              </w:rPr>
              <w:fldChar w:fldCharType="begin"/>
            </w:r>
            <w:r>
              <w:rPr>
                <w:noProof/>
                <w:webHidden/>
              </w:rPr>
              <w:instrText xml:space="preserve"> PAGEREF _Toc208991585 \h </w:instrText>
            </w:r>
            <w:r>
              <w:rPr>
                <w:noProof/>
                <w:webHidden/>
              </w:rPr>
            </w:r>
            <w:r>
              <w:rPr>
                <w:noProof/>
                <w:webHidden/>
              </w:rPr>
              <w:fldChar w:fldCharType="separate"/>
            </w:r>
            <w:r w:rsidR="00C55BCB">
              <w:rPr>
                <w:noProof/>
                <w:webHidden/>
              </w:rPr>
              <w:t>32</w:t>
            </w:r>
            <w:r>
              <w:rPr>
                <w:noProof/>
                <w:webHidden/>
              </w:rPr>
              <w:fldChar w:fldCharType="end"/>
            </w:r>
          </w:hyperlink>
        </w:p>
        <w:p w14:paraId="1FE2D971" w14:textId="5C0F8B7D" w:rsidR="009A2B46" w:rsidRDefault="009A2B46">
          <w:pPr>
            <w:pStyle w:val="TOC2"/>
            <w:rPr>
              <w:rFonts w:asciiTheme="minorHAnsi" w:eastAsiaTheme="minorEastAsia" w:hAnsiTheme="minorHAnsi" w:cstheme="minorBidi"/>
              <w:b w:val="0"/>
              <w:bCs w:val="0"/>
              <w:szCs w:val="24"/>
              <w:lang w:eastAsia="et-EE"/>
            </w:rPr>
          </w:pPr>
          <w:hyperlink w:anchor="_Toc208991586" w:history="1">
            <w:r w:rsidRPr="001506E8">
              <w:rPr>
                <w:rStyle w:val="Hyperlink"/>
              </w:rPr>
              <w:t>1.2.</w:t>
            </w:r>
            <w:r>
              <w:rPr>
                <w:rFonts w:asciiTheme="minorHAnsi" w:eastAsiaTheme="minorEastAsia" w:hAnsiTheme="minorHAnsi" w:cstheme="minorBidi"/>
                <w:b w:val="0"/>
                <w:bCs w:val="0"/>
                <w:szCs w:val="24"/>
                <w:lang w:eastAsia="et-EE"/>
              </w:rPr>
              <w:tab/>
            </w:r>
            <w:r w:rsidRPr="001506E8">
              <w:rPr>
                <w:rStyle w:val="Hyperlink"/>
              </w:rPr>
              <w:t>Lühiajaline üürimine Eesti õigusruumis</w:t>
            </w:r>
            <w:r>
              <w:rPr>
                <w:webHidden/>
              </w:rPr>
              <w:tab/>
            </w:r>
            <w:r>
              <w:rPr>
                <w:webHidden/>
              </w:rPr>
              <w:fldChar w:fldCharType="begin"/>
            </w:r>
            <w:r>
              <w:rPr>
                <w:webHidden/>
              </w:rPr>
              <w:instrText xml:space="preserve"> PAGEREF _Toc208991586 \h </w:instrText>
            </w:r>
            <w:r>
              <w:rPr>
                <w:webHidden/>
              </w:rPr>
            </w:r>
            <w:r>
              <w:rPr>
                <w:webHidden/>
              </w:rPr>
              <w:fldChar w:fldCharType="separate"/>
            </w:r>
            <w:r w:rsidR="00C55BCB">
              <w:rPr>
                <w:rFonts w:hint="eastAsia"/>
                <w:webHidden/>
              </w:rPr>
              <w:t>37</w:t>
            </w:r>
            <w:r>
              <w:rPr>
                <w:webHidden/>
              </w:rPr>
              <w:fldChar w:fldCharType="end"/>
            </w:r>
          </w:hyperlink>
        </w:p>
        <w:p w14:paraId="5CBC8C6E" w14:textId="1BB1B63C" w:rsidR="009A2B46" w:rsidRDefault="009A2B46">
          <w:pPr>
            <w:pStyle w:val="TOC3"/>
            <w:tabs>
              <w:tab w:val="left" w:pos="1701"/>
              <w:tab w:val="right" w:leader="dot" w:pos="10252"/>
            </w:tabs>
            <w:rPr>
              <w:rFonts w:eastAsiaTheme="minorEastAsia"/>
              <w:noProof/>
              <w:szCs w:val="24"/>
              <w:lang w:eastAsia="et-EE"/>
            </w:rPr>
          </w:pPr>
          <w:hyperlink w:anchor="_Toc208991587" w:history="1">
            <w:r w:rsidRPr="001506E8">
              <w:rPr>
                <w:rStyle w:val="Hyperlink"/>
                <w:noProof/>
              </w:rPr>
              <w:t>1.2.1.</w:t>
            </w:r>
            <w:r>
              <w:rPr>
                <w:rFonts w:eastAsiaTheme="minorEastAsia"/>
                <w:noProof/>
                <w:szCs w:val="24"/>
                <w:lang w:eastAsia="et-EE"/>
              </w:rPr>
              <w:tab/>
            </w:r>
            <w:r w:rsidRPr="001506E8">
              <w:rPr>
                <w:rStyle w:val="Hyperlink"/>
                <w:noProof/>
              </w:rPr>
              <w:t>Üürimisele rakenduvad normid</w:t>
            </w:r>
            <w:r>
              <w:rPr>
                <w:noProof/>
                <w:webHidden/>
              </w:rPr>
              <w:tab/>
            </w:r>
            <w:r>
              <w:rPr>
                <w:noProof/>
                <w:webHidden/>
              </w:rPr>
              <w:fldChar w:fldCharType="begin"/>
            </w:r>
            <w:r>
              <w:rPr>
                <w:noProof/>
                <w:webHidden/>
              </w:rPr>
              <w:instrText xml:space="preserve"> PAGEREF _Toc208991587 \h </w:instrText>
            </w:r>
            <w:r>
              <w:rPr>
                <w:noProof/>
                <w:webHidden/>
              </w:rPr>
            </w:r>
            <w:r>
              <w:rPr>
                <w:noProof/>
                <w:webHidden/>
              </w:rPr>
              <w:fldChar w:fldCharType="separate"/>
            </w:r>
            <w:r w:rsidR="00C55BCB">
              <w:rPr>
                <w:noProof/>
                <w:webHidden/>
              </w:rPr>
              <w:t>39</w:t>
            </w:r>
            <w:r>
              <w:rPr>
                <w:noProof/>
                <w:webHidden/>
              </w:rPr>
              <w:fldChar w:fldCharType="end"/>
            </w:r>
          </w:hyperlink>
        </w:p>
        <w:p w14:paraId="486443A2" w14:textId="6A4C1240" w:rsidR="009A2B46" w:rsidRDefault="009A2B46">
          <w:pPr>
            <w:pStyle w:val="TOC3"/>
            <w:tabs>
              <w:tab w:val="left" w:pos="1701"/>
              <w:tab w:val="right" w:leader="dot" w:pos="10252"/>
            </w:tabs>
            <w:rPr>
              <w:rFonts w:eastAsiaTheme="minorEastAsia"/>
              <w:noProof/>
              <w:szCs w:val="24"/>
              <w:lang w:eastAsia="et-EE"/>
            </w:rPr>
          </w:pPr>
          <w:hyperlink w:anchor="_Toc208991588" w:history="1">
            <w:r w:rsidRPr="001506E8">
              <w:rPr>
                <w:rStyle w:val="Hyperlink"/>
                <w:noProof/>
              </w:rPr>
              <w:t>1.2.2.</w:t>
            </w:r>
            <w:r>
              <w:rPr>
                <w:rFonts w:eastAsiaTheme="minorEastAsia"/>
                <w:noProof/>
                <w:szCs w:val="24"/>
                <w:lang w:eastAsia="et-EE"/>
              </w:rPr>
              <w:tab/>
            </w:r>
            <w:r w:rsidRPr="001506E8">
              <w:rPr>
                <w:rStyle w:val="Hyperlink"/>
                <w:noProof/>
              </w:rPr>
              <w:t>Majutusteenusele rakenduvad normid</w:t>
            </w:r>
            <w:r>
              <w:rPr>
                <w:noProof/>
                <w:webHidden/>
              </w:rPr>
              <w:tab/>
            </w:r>
            <w:r>
              <w:rPr>
                <w:noProof/>
                <w:webHidden/>
              </w:rPr>
              <w:fldChar w:fldCharType="begin"/>
            </w:r>
            <w:r>
              <w:rPr>
                <w:noProof/>
                <w:webHidden/>
              </w:rPr>
              <w:instrText xml:space="preserve"> PAGEREF _Toc208991588 \h </w:instrText>
            </w:r>
            <w:r>
              <w:rPr>
                <w:noProof/>
                <w:webHidden/>
              </w:rPr>
            </w:r>
            <w:r>
              <w:rPr>
                <w:noProof/>
                <w:webHidden/>
              </w:rPr>
              <w:fldChar w:fldCharType="separate"/>
            </w:r>
            <w:r w:rsidR="00C55BCB">
              <w:rPr>
                <w:noProof/>
                <w:webHidden/>
              </w:rPr>
              <w:t>41</w:t>
            </w:r>
            <w:r>
              <w:rPr>
                <w:noProof/>
                <w:webHidden/>
              </w:rPr>
              <w:fldChar w:fldCharType="end"/>
            </w:r>
          </w:hyperlink>
        </w:p>
        <w:p w14:paraId="4983785D" w14:textId="5565E2FD" w:rsidR="009A2B46" w:rsidRDefault="009A2B46">
          <w:pPr>
            <w:pStyle w:val="TOC3"/>
            <w:tabs>
              <w:tab w:val="left" w:pos="1701"/>
              <w:tab w:val="right" w:leader="dot" w:pos="10252"/>
            </w:tabs>
            <w:rPr>
              <w:rFonts w:eastAsiaTheme="minorEastAsia"/>
              <w:noProof/>
              <w:szCs w:val="24"/>
              <w:lang w:eastAsia="et-EE"/>
            </w:rPr>
          </w:pPr>
          <w:hyperlink w:anchor="_Toc208991589" w:history="1">
            <w:r w:rsidRPr="001506E8">
              <w:rPr>
                <w:rStyle w:val="Hyperlink"/>
                <w:noProof/>
              </w:rPr>
              <w:t>1.2.3.</w:t>
            </w:r>
            <w:r>
              <w:rPr>
                <w:rFonts w:eastAsiaTheme="minorEastAsia"/>
                <w:noProof/>
                <w:szCs w:val="24"/>
                <w:lang w:eastAsia="et-EE"/>
              </w:rPr>
              <w:tab/>
            </w:r>
            <w:r w:rsidRPr="001506E8">
              <w:rPr>
                <w:rStyle w:val="Hyperlink"/>
                <w:noProof/>
              </w:rPr>
              <w:t>Lühiajalise üüri teenuse ajalisest kestusest</w:t>
            </w:r>
            <w:r>
              <w:rPr>
                <w:noProof/>
                <w:webHidden/>
              </w:rPr>
              <w:tab/>
            </w:r>
            <w:r>
              <w:rPr>
                <w:noProof/>
                <w:webHidden/>
              </w:rPr>
              <w:fldChar w:fldCharType="begin"/>
            </w:r>
            <w:r>
              <w:rPr>
                <w:noProof/>
                <w:webHidden/>
              </w:rPr>
              <w:instrText xml:space="preserve"> PAGEREF _Toc208991589 \h </w:instrText>
            </w:r>
            <w:r>
              <w:rPr>
                <w:noProof/>
                <w:webHidden/>
              </w:rPr>
            </w:r>
            <w:r>
              <w:rPr>
                <w:noProof/>
                <w:webHidden/>
              </w:rPr>
              <w:fldChar w:fldCharType="separate"/>
            </w:r>
            <w:r w:rsidR="00C55BCB">
              <w:rPr>
                <w:noProof/>
                <w:webHidden/>
              </w:rPr>
              <w:t>43</w:t>
            </w:r>
            <w:r>
              <w:rPr>
                <w:noProof/>
                <w:webHidden/>
              </w:rPr>
              <w:fldChar w:fldCharType="end"/>
            </w:r>
          </w:hyperlink>
        </w:p>
        <w:p w14:paraId="53AD71CF" w14:textId="6C3BF431" w:rsidR="009A2B46" w:rsidRDefault="009A2B46">
          <w:pPr>
            <w:pStyle w:val="TOC3"/>
            <w:tabs>
              <w:tab w:val="left" w:pos="1701"/>
              <w:tab w:val="right" w:leader="dot" w:pos="10252"/>
            </w:tabs>
            <w:rPr>
              <w:rFonts w:eastAsiaTheme="minorEastAsia"/>
              <w:noProof/>
              <w:szCs w:val="24"/>
              <w:lang w:eastAsia="et-EE"/>
            </w:rPr>
          </w:pPr>
          <w:hyperlink w:anchor="_Toc208991590" w:history="1">
            <w:r w:rsidRPr="001506E8">
              <w:rPr>
                <w:rStyle w:val="Hyperlink"/>
                <w:noProof/>
              </w:rPr>
              <w:t>1.2.4.</w:t>
            </w:r>
            <w:r>
              <w:rPr>
                <w:rFonts w:eastAsiaTheme="minorEastAsia"/>
                <w:noProof/>
                <w:szCs w:val="24"/>
                <w:lang w:eastAsia="et-EE"/>
              </w:rPr>
              <w:tab/>
            </w:r>
            <w:r w:rsidRPr="001506E8">
              <w:rPr>
                <w:rStyle w:val="Hyperlink"/>
                <w:noProof/>
              </w:rPr>
              <w:t>Külastajate registreerimise ja andmete esitamise kohustus</w:t>
            </w:r>
            <w:r>
              <w:rPr>
                <w:noProof/>
                <w:webHidden/>
              </w:rPr>
              <w:tab/>
            </w:r>
            <w:r>
              <w:rPr>
                <w:noProof/>
                <w:webHidden/>
              </w:rPr>
              <w:fldChar w:fldCharType="begin"/>
            </w:r>
            <w:r>
              <w:rPr>
                <w:noProof/>
                <w:webHidden/>
              </w:rPr>
              <w:instrText xml:space="preserve"> PAGEREF _Toc208991590 \h </w:instrText>
            </w:r>
            <w:r>
              <w:rPr>
                <w:noProof/>
                <w:webHidden/>
              </w:rPr>
            </w:r>
            <w:r>
              <w:rPr>
                <w:noProof/>
                <w:webHidden/>
              </w:rPr>
              <w:fldChar w:fldCharType="separate"/>
            </w:r>
            <w:r w:rsidR="00C55BCB">
              <w:rPr>
                <w:noProof/>
                <w:webHidden/>
              </w:rPr>
              <w:t>44</w:t>
            </w:r>
            <w:r>
              <w:rPr>
                <w:noProof/>
                <w:webHidden/>
              </w:rPr>
              <w:fldChar w:fldCharType="end"/>
            </w:r>
          </w:hyperlink>
        </w:p>
        <w:p w14:paraId="3FF3ECDD" w14:textId="3C67B5C6" w:rsidR="009A2B46" w:rsidRDefault="009A2B46">
          <w:pPr>
            <w:pStyle w:val="TOC3"/>
            <w:tabs>
              <w:tab w:val="left" w:pos="1701"/>
              <w:tab w:val="right" w:leader="dot" w:pos="10252"/>
            </w:tabs>
            <w:rPr>
              <w:rFonts w:eastAsiaTheme="minorEastAsia"/>
              <w:noProof/>
              <w:szCs w:val="24"/>
              <w:lang w:eastAsia="et-EE"/>
            </w:rPr>
          </w:pPr>
          <w:hyperlink w:anchor="_Toc208991591" w:history="1">
            <w:r w:rsidRPr="001506E8">
              <w:rPr>
                <w:rStyle w:val="Hyperlink"/>
                <w:noProof/>
              </w:rPr>
              <w:t>1.2.5.</w:t>
            </w:r>
            <w:r>
              <w:rPr>
                <w:rFonts w:eastAsiaTheme="minorEastAsia"/>
                <w:noProof/>
                <w:szCs w:val="24"/>
                <w:lang w:eastAsia="et-EE"/>
              </w:rPr>
              <w:tab/>
            </w:r>
            <w:r w:rsidRPr="001506E8">
              <w:rPr>
                <w:rStyle w:val="Hyperlink"/>
                <w:noProof/>
              </w:rPr>
              <w:t>Üürimiseks ja majutusteenuseks kasutatavate ruumide nõuded</w:t>
            </w:r>
            <w:r>
              <w:rPr>
                <w:noProof/>
                <w:webHidden/>
              </w:rPr>
              <w:tab/>
            </w:r>
            <w:r>
              <w:rPr>
                <w:noProof/>
                <w:webHidden/>
              </w:rPr>
              <w:fldChar w:fldCharType="begin"/>
            </w:r>
            <w:r>
              <w:rPr>
                <w:noProof/>
                <w:webHidden/>
              </w:rPr>
              <w:instrText xml:space="preserve"> PAGEREF _Toc208991591 \h </w:instrText>
            </w:r>
            <w:r>
              <w:rPr>
                <w:noProof/>
                <w:webHidden/>
              </w:rPr>
            </w:r>
            <w:r>
              <w:rPr>
                <w:noProof/>
                <w:webHidden/>
              </w:rPr>
              <w:fldChar w:fldCharType="separate"/>
            </w:r>
            <w:r w:rsidR="00C55BCB">
              <w:rPr>
                <w:noProof/>
                <w:webHidden/>
              </w:rPr>
              <w:t>44</w:t>
            </w:r>
            <w:r>
              <w:rPr>
                <w:noProof/>
                <w:webHidden/>
              </w:rPr>
              <w:fldChar w:fldCharType="end"/>
            </w:r>
          </w:hyperlink>
        </w:p>
        <w:p w14:paraId="0BD2ABE3" w14:textId="4F130BA6" w:rsidR="009A2B46" w:rsidRDefault="009A2B46">
          <w:pPr>
            <w:pStyle w:val="TOC3"/>
            <w:tabs>
              <w:tab w:val="left" w:pos="1701"/>
              <w:tab w:val="right" w:leader="dot" w:pos="10252"/>
            </w:tabs>
            <w:rPr>
              <w:rFonts w:eastAsiaTheme="minorEastAsia"/>
              <w:noProof/>
              <w:szCs w:val="24"/>
              <w:lang w:eastAsia="et-EE"/>
            </w:rPr>
          </w:pPr>
          <w:hyperlink w:anchor="_Toc208991592" w:history="1">
            <w:r w:rsidRPr="001506E8">
              <w:rPr>
                <w:rStyle w:val="Hyperlink"/>
                <w:noProof/>
              </w:rPr>
              <w:t>1.2.6.</w:t>
            </w:r>
            <w:r>
              <w:rPr>
                <w:rFonts w:eastAsiaTheme="minorEastAsia"/>
                <w:noProof/>
                <w:szCs w:val="24"/>
                <w:lang w:eastAsia="et-EE"/>
              </w:rPr>
              <w:tab/>
            </w:r>
            <w:r w:rsidRPr="001506E8">
              <w:rPr>
                <w:rStyle w:val="Hyperlink"/>
                <w:noProof/>
              </w:rPr>
              <w:t>Maksustamise õiguslik raamistik</w:t>
            </w:r>
            <w:r>
              <w:rPr>
                <w:noProof/>
                <w:webHidden/>
              </w:rPr>
              <w:tab/>
            </w:r>
            <w:r>
              <w:rPr>
                <w:noProof/>
                <w:webHidden/>
              </w:rPr>
              <w:fldChar w:fldCharType="begin"/>
            </w:r>
            <w:r>
              <w:rPr>
                <w:noProof/>
                <w:webHidden/>
              </w:rPr>
              <w:instrText xml:space="preserve"> PAGEREF _Toc208991592 \h </w:instrText>
            </w:r>
            <w:r>
              <w:rPr>
                <w:noProof/>
                <w:webHidden/>
              </w:rPr>
            </w:r>
            <w:r>
              <w:rPr>
                <w:noProof/>
                <w:webHidden/>
              </w:rPr>
              <w:fldChar w:fldCharType="separate"/>
            </w:r>
            <w:r w:rsidR="00C55BCB">
              <w:rPr>
                <w:noProof/>
                <w:webHidden/>
              </w:rPr>
              <w:t>52</w:t>
            </w:r>
            <w:r>
              <w:rPr>
                <w:noProof/>
                <w:webHidden/>
              </w:rPr>
              <w:fldChar w:fldCharType="end"/>
            </w:r>
          </w:hyperlink>
        </w:p>
        <w:p w14:paraId="2C18CF86" w14:textId="6ADA5918" w:rsidR="009A2B46" w:rsidRDefault="009A2B46">
          <w:pPr>
            <w:pStyle w:val="TOC3"/>
            <w:tabs>
              <w:tab w:val="left" w:pos="1701"/>
              <w:tab w:val="right" w:leader="dot" w:pos="10252"/>
            </w:tabs>
            <w:rPr>
              <w:rFonts w:eastAsiaTheme="minorEastAsia"/>
              <w:noProof/>
              <w:szCs w:val="24"/>
              <w:lang w:eastAsia="et-EE"/>
            </w:rPr>
          </w:pPr>
          <w:hyperlink w:anchor="_Toc208991593" w:history="1">
            <w:r w:rsidRPr="001506E8">
              <w:rPr>
                <w:rStyle w:val="Hyperlink"/>
                <w:noProof/>
              </w:rPr>
              <w:t>1.2.7.</w:t>
            </w:r>
            <w:r>
              <w:rPr>
                <w:rFonts w:eastAsiaTheme="minorEastAsia"/>
                <w:noProof/>
                <w:szCs w:val="24"/>
                <w:lang w:eastAsia="et-EE"/>
              </w:rPr>
              <w:tab/>
            </w:r>
            <w:r w:rsidRPr="001506E8">
              <w:rPr>
                <w:rStyle w:val="Hyperlink"/>
                <w:noProof/>
              </w:rPr>
              <w:t>Euroopa Liidu raamistik</w:t>
            </w:r>
            <w:r>
              <w:rPr>
                <w:noProof/>
                <w:webHidden/>
              </w:rPr>
              <w:tab/>
            </w:r>
            <w:r>
              <w:rPr>
                <w:noProof/>
                <w:webHidden/>
              </w:rPr>
              <w:fldChar w:fldCharType="begin"/>
            </w:r>
            <w:r>
              <w:rPr>
                <w:noProof/>
                <w:webHidden/>
              </w:rPr>
              <w:instrText xml:space="preserve"> PAGEREF _Toc208991593 \h </w:instrText>
            </w:r>
            <w:r>
              <w:rPr>
                <w:noProof/>
                <w:webHidden/>
              </w:rPr>
            </w:r>
            <w:r>
              <w:rPr>
                <w:noProof/>
                <w:webHidden/>
              </w:rPr>
              <w:fldChar w:fldCharType="separate"/>
            </w:r>
            <w:r w:rsidR="00C55BCB">
              <w:rPr>
                <w:noProof/>
                <w:webHidden/>
              </w:rPr>
              <w:t>56</w:t>
            </w:r>
            <w:r>
              <w:rPr>
                <w:noProof/>
                <w:webHidden/>
              </w:rPr>
              <w:fldChar w:fldCharType="end"/>
            </w:r>
          </w:hyperlink>
        </w:p>
        <w:p w14:paraId="4EDE1A06" w14:textId="65B5D672" w:rsidR="009A2B46" w:rsidRDefault="009A2B46">
          <w:pPr>
            <w:pStyle w:val="TOC2"/>
            <w:rPr>
              <w:rFonts w:asciiTheme="minorHAnsi" w:eastAsiaTheme="minorEastAsia" w:hAnsiTheme="minorHAnsi" w:cstheme="minorBidi"/>
              <w:b w:val="0"/>
              <w:bCs w:val="0"/>
              <w:szCs w:val="24"/>
              <w:lang w:eastAsia="et-EE"/>
            </w:rPr>
          </w:pPr>
          <w:hyperlink w:anchor="_Toc208991594" w:history="1">
            <w:r w:rsidRPr="001506E8">
              <w:rPr>
                <w:rStyle w:val="Hyperlink"/>
              </w:rPr>
              <w:t>1.3.</w:t>
            </w:r>
            <w:r>
              <w:rPr>
                <w:rFonts w:asciiTheme="minorHAnsi" w:eastAsiaTheme="minorEastAsia" w:hAnsiTheme="minorHAnsi" w:cstheme="minorBidi"/>
                <w:b w:val="0"/>
                <w:bCs w:val="0"/>
                <w:szCs w:val="24"/>
                <w:lang w:eastAsia="et-EE"/>
              </w:rPr>
              <w:tab/>
            </w:r>
            <w:r w:rsidRPr="001506E8">
              <w:rPr>
                <w:rStyle w:val="Hyperlink"/>
              </w:rPr>
              <w:t>Eesti turuosaliste arvamused lühiajalise üüri turu toimimise kohta</w:t>
            </w:r>
            <w:r>
              <w:rPr>
                <w:webHidden/>
              </w:rPr>
              <w:tab/>
            </w:r>
            <w:r>
              <w:rPr>
                <w:webHidden/>
              </w:rPr>
              <w:fldChar w:fldCharType="begin"/>
            </w:r>
            <w:r>
              <w:rPr>
                <w:webHidden/>
              </w:rPr>
              <w:instrText xml:space="preserve"> PAGEREF _Toc208991594 \h </w:instrText>
            </w:r>
            <w:r>
              <w:rPr>
                <w:webHidden/>
              </w:rPr>
            </w:r>
            <w:r>
              <w:rPr>
                <w:webHidden/>
              </w:rPr>
              <w:fldChar w:fldCharType="separate"/>
            </w:r>
            <w:r w:rsidR="00C55BCB">
              <w:rPr>
                <w:rFonts w:hint="eastAsia"/>
                <w:webHidden/>
              </w:rPr>
              <w:t>59</w:t>
            </w:r>
            <w:r>
              <w:rPr>
                <w:webHidden/>
              </w:rPr>
              <w:fldChar w:fldCharType="end"/>
            </w:r>
          </w:hyperlink>
        </w:p>
        <w:p w14:paraId="399949EC" w14:textId="2FA2D534" w:rsidR="009A2B46" w:rsidRDefault="009A2B46">
          <w:pPr>
            <w:pStyle w:val="TOC2"/>
            <w:rPr>
              <w:rFonts w:asciiTheme="minorHAnsi" w:eastAsiaTheme="minorEastAsia" w:hAnsiTheme="minorHAnsi" w:cstheme="minorBidi"/>
              <w:b w:val="0"/>
              <w:bCs w:val="0"/>
              <w:szCs w:val="24"/>
              <w:lang w:eastAsia="et-EE"/>
            </w:rPr>
          </w:pPr>
          <w:hyperlink w:anchor="_Toc208991595" w:history="1">
            <w:r w:rsidRPr="001506E8">
              <w:rPr>
                <w:rStyle w:val="Hyperlink"/>
              </w:rPr>
              <w:t>1.4.</w:t>
            </w:r>
            <w:r>
              <w:rPr>
                <w:rFonts w:asciiTheme="minorHAnsi" w:eastAsiaTheme="minorEastAsia" w:hAnsiTheme="minorHAnsi" w:cstheme="minorBidi"/>
                <w:b w:val="0"/>
                <w:bCs w:val="0"/>
                <w:szCs w:val="24"/>
                <w:lang w:eastAsia="et-EE"/>
              </w:rPr>
              <w:tab/>
            </w:r>
            <w:r w:rsidRPr="001506E8">
              <w:rPr>
                <w:rStyle w:val="Hyperlink"/>
              </w:rPr>
              <w:t>Lühiajalise üüri teenuse mõiste defineerimine ja turu toimimine Eesti majanduskeskkonnas</w:t>
            </w:r>
            <w:r>
              <w:rPr>
                <w:webHidden/>
              </w:rPr>
              <w:tab/>
            </w:r>
            <w:r>
              <w:rPr>
                <w:webHidden/>
              </w:rPr>
              <w:fldChar w:fldCharType="begin"/>
            </w:r>
            <w:r>
              <w:rPr>
                <w:webHidden/>
              </w:rPr>
              <w:instrText xml:space="preserve"> PAGEREF _Toc208991595 \h </w:instrText>
            </w:r>
            <w:r>
              <w:rPr>
                <w:webHidden/>
              </w:rPr>
            </w:r>
            <w:r>
              <w:rPr>
                <w:webHidden/>
              </w:rPr>
              <w:fldChar w:fldCharType="separate"/>
            </w:r>
            <w:r w:rsidR="00C55BCB">
              <w:rPr>
                <w:rFonts w:hint="eastAsia"/>
                <w:webHidden/>
              </w:rPr>
              <w:t>62</w:t>
            </w:r>
            <w:r>
              <w:rPr>
                <w:webHidden/>
              </w:rPr>
              <w:fldChar w:fldCharType="end"/>
            </w:r>
          </w:hyperlink>
        </w:p>
        <w:p w14:paraId="48B5B23C" w14:textId="088E25F7" w:rsidR="009A2B46" w:rsidRDefault="009A2B46">
          <w:pPr>
            <w:pStyle w:val="TOC1"/>
            <w:rPr>
              <w:rFonts w:eastAsiaTheme="minorEastAsia"/>
              <w:noProof/>
              <w:szCs w:val="24"/>
              <w:lang w:eastAsia="et-EE"/>
            </w:rPr>
          </w:pPr>
          <w:hyperlink w:anchor="_Toc208991596" w:history="1">
            <w:r w:rsidRPr="001506E8">
              <w:rPr>
                <w:rStyle w:val="Hyperlink"/>
                <w:b/>
                <w:bCs/>
                <w:noProof/>
              </w:rPr>
              <w:t>2.</w:t>
            </w:r>
            <w:r>
              <w:rPr>
                <w:rFonts w:eastAsiaTheme="minorEastAsia"/>
                <w:noProof/>
                <w:szCs w:val="24"/>
                <w:lang w:eastAsia="et-EE"/>
              </w:rPr>
              <w:tab/>
            </w:r>
            <w:r w:rsidRPr="001506E8">
              <w:rPr>
                <w:rStyle w:val="Hyperlink"/>
                <w:b/>
                <w:bCs/>
                <w:noProof/>
              </w:rPr>
              <w:t>Eesti lühiajalise üüri turu maht ja omadused</w:t>
            </w:r>
            <w:r>
              <w:rPr>
                <w:noProof/>
                <w:webHidden/>
              </w:rPr>
              <w:tab/>
            </w:r>
            <w:r>
              <w:rPr>
                <w:noProof/>
                <w:webHidden/>
              </w:rPr>
              <w:fldChar w:fldCharType="begin"/>
            </w:r>
            <w:r>
              <w:rPr>
                <w:noProof/>
                <w:webHidden/>
              </w:rPr>
              <w:instrText xml:space="preserve"> PAGEREF _Toc208991596 \h </w:instrText>
            </w:r>
            <w:r>
              <w:rPr>
                <w:noProof/>
                <w:webHidden/>
              </w:rPr>
            </w:r>
            <w:r>
              <w:rPr>
                <w:noProof/>
                <w:webHidden/>
              </w:rPr>
              <w:fldChar w:fldCharType="separate"/>
            </w:r>
            <w:r w:rsidR="00C55BCB">
              <w:rPr>
                <w:noProof/>
                <w:webHidden/>
              </w:rPr>
              <w:t>67</w:t>
            </w:r>
            <w:r>
              <w:rPr>
                <w:noProof/>
                <w:webHidden/>
              </w:rPr>
              <w:fldChar w:fldCharType="end"/>
            </w:r>
          </w:hyperlink>
        </w:p>
        <w:p w14:paraId="7D8376EB" w14:textId="235F523A" w:rsidR="009A2B46" w:rsidRDefault="009A2B46">
          <w:pPr>
            <w:pStyle w:val="TOC2"/>
            <w:rPr>
              <w:rFonts w:asciiTheme="minorHAnsi" w:eastAsiaTheme="minorEastAsia" w:hAnsiTheme="minorHAnsi" w:cstheme="minorBidi"/>
              <w:b w:val="0"/>
              <w:bCs w:val="0"/>
              <w:szCs w:val="24"/>
              <w:lang w:eastAsia="et-EE"/>
            </w:rPr>
          </w:pPr>
          <w:hyperlink w:anchor="_Toc208991597" w:history="1">
            <w:r w:rsidRPr="001506E8">
              <w:rPr>
                <w:rStyle w:val="Hyperlink"/>
              </w:rPr>
              <w:t>2.1. Turu analüüsimise andmed, metoodika ja piirangud</w:t>
            </w:r>
            <w:r>
              <w:rPr>
                <w:webHidden/>
              </w:rPr>
              <w:tab/>
            </w:r>
            <w:r>
              <w:rPr>
                <w:webHidden/>
              </w:rPr>
              <w:fldChar w:fldCharType="begin"/>
            </w:r>
            <w:r>
              <w:rPr>
                <w:webHidden/>
              </w:rPr>
              <w:instrText xml:space="preserve"> PAGEREF _Toc208991597 \h </w:instrText>
            </w:r>
            <w:r>
              <w:rPr>
                <w:webHidden/>
              </w:rPr>
            </w:r>
            <w:r>
              <w:rPr>
                <w:webHidden/>
              </w:rPr>
              <w:fldChar w:fldCharType="separate"/>
            </w:r>
            <w:r w:rsidR="00C55BCB">
              <w:rPr>
                <w:rFonts w:hint="eastAsia"/>
                <w:webHidden/>
              </w:rPr>
              <w:t>68</w:t>
            </w:r>
            <w:r>
              <w:rPr>
                <w:webHidden/>
              </w:rPr>
              <w:fldChar w:fldCharType="end"/>
            </w:r>
          </w:hyperlink>
        </w:p>
        <w:p w14:paraId="37760E62" w14:textId="74D5435C" w:rsidR="009A2B46" w:rsidRDefault="009A2B46">
          <w:pPr>
            <w:pStyle w:val="TOC2"/>
            <w:rPr>
              <w:rFonts w:asciiTheme="minorHAnsi" w:eastAsiaTheme="minorEastAsia" w:hAnsiTheme="minorHAnsi" w:cstheme="minorBidi"/>
              <w:b w:val="0"/>
              <w:bCs w:val="0"/>
              <w:szCs w:val="24"/>
              <w:lang w:eastAsia="et-EE"/>
            </w:rPr>
          </w:pPr>
          <w:hyperlink w:anchor="_Toc208991598" w:history="1">
            <w:r w:rsidRPr="001506E8">
              <w:rPr>
                <w:rStyle w:val="Hyperlink"/>
              </w:rPr>
              <w:t>2.2. Pakkumine lühiajalise üüri turul</w:t>
            </w:r>
            <w:r>
              <w:rPr>
                <w:webHidden/>
              </w:rPr>
              <w:tab/>
            </w:r>
            <w:r>
              <w:rPr>
                <w:webHidden/>
              </w:rPr>
              <w:fldChar w:fldCharType="begin"/>
            </w:r>
            <w:r>
              <w:rPr>
                <w:webHidden/>
              </w:rPr>
              <w:instrText xml:space="preserve"> PAGEREF _Toc208991598 \h </w:instrText>
            </w:r>
            <w:r>
              <w:rPr>
                <w:webHidden/>
              </w:rPr>
            </w:r>
            <w:r>
              <w:rPr>
                <w:webHidden/>
              </w:rPr>
              <w:fldChar w:fldCharType="separate"/>
            </w:r>
            <w:r w:rsidR="00C55BCB">
              <w:rPr>
                <w:rFonts w:hint="eastAsia"/>
                <w:webHidden/>
              </w:rPr>
              <w:t>72</w:t>
            </w:r>
            <w:r>
              <w:rPr>
                <w:webHidden/>
              </w:rPr>
              <w:fldChar w:fldCharType="end"/>
            </w:r>
          </w:hyperlink>
        </w:p>
        <w:p w14:paraId="47128690" w14:textId="1931055B" w:rsidR="009A2B46" w:rsidRDefault="009A2B46">
          <w:pPr>
            <w:pStyle w:val="TOC3"/>
            <w:tabs>
              <w:tab w:val="right" w:leader="dot" w:pos="10252"/>
            </w:tabs>
            <w:rPr>
              <w:rFonts w:eastAsiaTheme="minorEastAsia"/>
              <w:noProof/>
              <w:szCs w:val="24"/>
              <w:lang w:eastAsia="et-EE"/>
            </w:rPr>
          </w:pPr>
          <w:hyperlink w:anchor="_Toc208991599" w:history="1">
            <w:r w:rsidRPr="001506E8">
              <w:rPr>
                <w:rStyle w:val="Hyperlink"/>
                <w:noProof/>
              </w:rPr>
              <w:t>2.2.1. Pakkumisest üldiselt</w:t>
            </w:r>
            <w:r>
              <w:rPr>
                <w:noProof/>
                <w:webHidden/>
              </w:rPr>
              <w:tab/>
            </w:r>
            <w:r>
              <w:rPr>
                <w:noProof/>
                <w:webHidden/>
              </w:rPr>
              <w:fldChar w:fldCharType="begin"/>
            </w:r>
            <w:r>
              <w:rPr>
                <w:noProof/>
                <w:webHidden/>
              </w:rPr>
              <w:instrText xml:space="preserve"> PAGEREF _Toc208991599 \h </w:instrText>
            </w:r>
            <w:r>
              <w:rPr>
                <w:noProof/>
                <w:webHidden/>
              </w:rPr>
            </w:r>
            <w:r>
              <w:rPr>
                <w:noProof/>
                <w:webHidden/>
              </w:rPr>
              <w:fldChar w:fldCharType="separate"/>
            </w:r>
            <w:r w:rsidR="00C55BCB">
              <w:rPr>
                <w:noProof/>
                <w:webHidden/>
              </w:rPr>
              <w:t>72</w:t>
            </w:r>
            <w:r>
              <w:rPr>
                <w:noProof/>
                <w:webHidden/>
              </w:rPr>
              <w:fldChar w:fldCharType="end"/>
            </w:r>
          </w:hyperlink>
        </w:p>
        <w:p w14:paraId="2CC12EA9" w14:textId="0EE9ACDA" w:rsidR="009A2B46" w:rsidRDefault="009A2B46">
          <w:pPr>
            <w:pStyle w:val="TOC3"/>
            <w:tabs>
              <w:tab w:val="right" w:leader="dot" w:pos="10252"/>
            </w:tabs>
            <w:rPr>
              <w:rFonts w:eastAsiaTheme="minorEastAsia"/>
              <w:noProof/>
              <w:szCs w:val="24"/>
              <w:lang w:eastAsia="et-EE"/>
            </w:rPr>
          </w:pPr>
          <w:hyperlink w:anchor="_Toc208991600" w:history="1">
            <w:r w:rsidRPr="001506E8">
              <w:rPr>
                <w:rStyle w:val="Hyperlink"/>
                <w:noProof/>
              </w:rPr>
              <w:t>2.2.2. Regionaalne vaade</w:t>
            </w:r>
            <w:r>
              <w:rPr>
                <w:noProof/>
                <w:webHidden/>
              </w:rPr>
              <w:tab/>
            </w:r>
            <w:r>
              <w:rPr>
                <w:noProof/>
                <w:webHidden/>
              </w:rPr>
              <w:fldChar w:fldCharType="begin"/>
            </w:r>
            <w:r>
              <w:rPr>
                <w:noProof/>
                <w:webHidden/>
              </w:rPr>
              <w:instrText xml:space="preserve"> PAGEREF _Toc208991600 \h </w:instrText>
            </w:r>
            <w:r>
              <w:rPr>
                <w:noProof/>
                <w:webHidden/>
              </w:rPr>
            </w:r>
            <w:r>
              <w:rPr>
                <w:noProof/>
                <w:webHidden/>
              </w:rPr>
              <w:fldChar w:fldCharType="separate"/>
            </w:r>
            <w:r w:rsidR="00C55BCB">
              <w:rPr>
                <w:noProof/>
                <w:webHidden/>
              </w:rPr>
              <w:t>75</w:t>
            </w:r>
            <w:r>
              <w:rPr>
                <w:noProof/>
                <w:webHidden/>
              </w:rPr>
              <w:fldChar w:fldCharType="end"/>
            </w:r>
          </w:hyperlink>
        </w:p>
        <w:p w14:paraId="0A27D5E6" w14:textId="43DEAC19" w:rsidR="009A2B46" w:rsidRDefault="009A2B46">
          <w:pPr>
            <w:pStyle w:val="TOC3"/>
            <w:tabs>
              <w:tab w:val="right" w:leader="dot" w:pos="10252"/>
            </w:tabs>
            <w:rPr>
              <w:rFonts w:eastAsiaTheme="minorEastAsia"/>
              <w:noProof/>
              <w:szCs w:val="24"/>
              <w:lang w:eastAsia="et-EE"/>
            </w:rPr>
          </w:pPr>
          <w:hyperlink w:anchor="_Toc208991601" w:history="1">
            <w:r w:rsidRPr="001506E8">
              <w:rPr>
                <w:rStyle w:val="Hyperlink"/>
                <w:noProof/>
              </w:rPr>
              <w:t>2.2.3. Sensitiivsed piirkonnad</w:t>
            </w:r>
            <w:r>
              <w:rPr>
                <w:noProof/>
                <w:webHidden/>
              </w:rPr>
              <w:tab/>
            </w:r>
            <w:r>
              <w:rPr>
                <w:noProof/>
                <w:webHidden/>
              </w:rPr>
              <w:fldChar w:fldCharType="begin"/>
            </w:r>
            <w:r>
              <w:rPr>
                <w:noProof/>
                <w:webHidden/>
              </w:rPr>
              <w:instrText xml:space="preserve"> PAGEREF _Toc208991601 \h </w:instrText>
            </w:r>
            <w:r>
              <w:rPr>
                <w:noProof/>
                <w:webHidden/>
              </w:rPr>
            </w:r>
            <w:r>
              <w:rPr>
                <w:noProof/>
                <w:webHidden/>
              </w:rPr>
              <w:fldChar w:fldCharType="separate"/>
            </w:r>
            <w:r w:rsidR="00C55BCB">
              <w:rPr>
                <w:noProof/>
                <w:webHidden/>
              </w:rPr>
              <w:t>81</w:t>
            </w:r>
            <w:r>
              <w:rPr>
                <w:noProof/>
                <w:webHidden/>
              </w:rPr>
              <w:fldChar w:fldCharType="end"/>
            </w:r>
          </w:hyperlink>
        </w:p>
        <w:p w14:paraId="35459D7D" w14:textId="674B2DEA" w:rsidR="009A2B46" w:rsidRDefault="009A2B46">
          <w:pPr>
            <w:pStyle w:val="TOC3"/>
            <w:tabs>
              <w:tab w:val="right" w:leader="dot" w:pos="10252"/>
            </w:tabs>
            <w:rPr>
              <w:rFonts w:eastAsiaTheme="minorEastAsia"/>
              <w:noProof/>
              <w:szCs w:val="24"/>
              <w:lang w:eastAsia="et-EE"/>
            </w:rPr>
          </w:pPr>
          <w:hyperlink w:anchor="_Toc208991602" w:history="1">
            <w:r w:rsidRPr="001506E8">
              <w:rPr>
                <w:rStyle w:val="Hyperlink"/>
                <w:noProof/>
              </w:rPr>
              <w:t>2.2.4. Majutajad</w:t>
            </w:r>
            <w:r>
              <w:rPr>
                <w:noProof/>
                <w:webHidden/>
              </w:rPr>
              <w:tab/>
            </w:r>
            <w:r>
              <w:rPr>
                <w:noProof/>
                <w:webHidden/>
              </w:rPr>
              <w:fldChar w:fldCharType="begin"/>
            </w:r>
            <w:r>
              <w:rPr>
                <w:noProof/>
                <w:webHidden/>
              </w:rPr>
              <w:instrText xml:space="preserve"> PAGEREF _Toc208991602 \h </w:instrText>
            </w:r>
            <w:r>
              <w:rPr>
                <w:noProof/>
                <w:webHidden/>
              </w:rPr>
            </w:r>
            <w:r>
              <w:rPr>
                <w:noProof/>
                <w:webHidden/>
              </w:rPr>
              <w:fldChar w:fldCharType="separate"/>
            </w:r>
            <w:r w:rsidR="00C55BCB">
              <w:rPr>
                <w:noProof/>
                <w:webHidden/>
              </w:rPr>
              <w:t>81</w:t>
            </w:r>
            <w:r>
              <w:rPr>
                <w:noProof/>
                <w:webHidden/>
              </w:rPr>
              <w:fldChar w:fldCharType="end"/>
            </w:r>
          </w:hyperlink>
        </w:p>
        <w:p w14:paraId="4AB7A272" w14:textId="4B5ECAA4" w:rsidR="009A2B46" w:rsidRDefault="009A2B46">
          <w:pPr>
            <w:pStyle w:val="TOC2"/>
            <w:rPr>
              <w:rFonts w:asciiTheme="minorHAnsi" w:eastAsiaTheme="minorEastAsia" w:hAnsiTheme="minorHAnsi" w:cstheme="minorBidi"/>
              <w:b w:val="0"/>
              <w:bCs w:val="0"/>
              <w:szCs w:val="24"/>
              <w:lang w:eastAsia="et-EE"/>
            </w:rPr>
          </w:pPr>
          <w:hyperlink w:anchor="_Toc208991603" w:history="1">
            <w:r w:rsidRPr="001506E8">
              <w:rPr>
                <w:rStyle w:val="Hyperlink"/>
              </w:rPr>
              <w:t>2.3. Nõudlus lühiajalise üüri turul</w:t>
            </w:r>
            <w:r>
              <w:rPr>
                <w:webHidden/>
              </w:rPr>
              <w:tab/>
            </w:r>
            <w:r>
              <w:rPr>
                <w:webHidden/>
              </w:rPr>
              <w:fldChar w:fldCharType="begin"/>
            </w:r>
            <w:r>
              <w:rPr>
                <w:webHidden/>
              </w:rPr>
              <w:instrText xml:space="preserve"> PAGEREF _Toc208991603 \h </w:instrText>
            </w:r>
            <w:r>
              <w:rPr>
                <w:webHidden/>
              </w:rPr>
            </w:r>
            <w:r>
              <w:rPr>
                <w:webHidden/>
              </w:rPr>
              <w:fldChar w:fldCharType="separate"/>
            </w:r>
            <w:r w:rsidR="00C55BCB">
              <w:rPr>
                <w:rFonts w:hint="eastAsia"/>
                <w:webHidden/>
              </w:rPr>
              <w:t>83</w:t>
            </w:r>
            <w:r>
              <w:rPr>
                <w:webHidden/>
              </w:rPr>
              <w:fldChar w:fldCharType="end"/>
            </w:r>
          </w:hyperlink>
        </w:p>
        <w:p w14:paraId="01DFC7AF" w14:textId="670A0FAB" w:rsidR="009A2B46" w:rsidRDefault="009A2B46">
          <w:pPr>
            <w:pStyle w:val="TOC3"/>
            <w:tabs>
              <w:tab w:val="right" w:leader="dot" w:pos="10252"/>
            </w:tabs>
            <w:rPr>
              <w:rFonts w:eastAsiaTheme="minorEastAsia"/>
              <w:noProof/>
              <w:szCs w:val="24"/>
              <w:lang w:eastAsia="et-EE"/>
            </w:rPr>
          </w:pPr>
          <w:hyperlink w:anchor="_Toc208991604" w:history="1">
            <w:r w:rsidRPr="001506E8">
              <w:rPr>
                <w:rStyle w:val="Hyperlink"/>
                <w:noProof/>
              </w:rPr>
              <w:t>2.3.1. Nõudlusest üldiselt</w:t>
            </w:r>
            <w:r>
              <w:rPr>
                <w:noProof/>
                <w:webHidden/>
              </w:rPr>
              <w:tab/>
            </w:r>
            <w:r>
              <w:rPr>
                <w:noProof/>
                <w:webHidden/>
              </w:rPr>
              <w:fldChar w:fldCharType="begin"/>
            </w:r>
            <w:r>
              <w:rPr>
                <w:noProof/>
                <w:webHidden/>
              </w:rPr>
              <w:instrText xml:space="preserve"> PAGEREF _Toc208991604 \h </w:instrText>
            </w:r>
            <w:r>
              <w:rPr>
                <w:noProof/>
                <w:webHidden/>
              </w:rPr>
            </w:r>
            <w:r>
              <w:rPr>
                <w:noProof/>
                <w:webHidden/>
              </w:rPr>
              <w:fldChar w:fldCharType="separate"/>
            </w:r>
            <w:r w:rsidR="00C55BCB">
              <w:rPr>
                <w:noProof/>
                <w:webHidden/>
              </w:rPr>
              <w:t>83</w:t>
            </w:r>
            <w:r>
              <w:rPr>
                <w:noProof/>
                <w:webHidden/>
              </w:rPr>
              <w:fldChar w:fldCharType="end"/>
            </w:r>
          </w:hyperlink>
        </w:p>
        <w:p w14:paraId="00FC3701" w14:textId="341A3F88" w:rsidR="009A2B46" w:rsidRDefault="009A2B46">
          <w:pPr>
            <w:pStyle w:val="TOC3"/>
            <w:tabs>
              <w:tab w:val="right" w:leader="dot" w:pos="10252"/>
            </w:tabs>
            <w:rPr>
              <w:rFonts w:eastAsiaTheme="minorEastAsia"/>
              <w:noProof/>
              <w:szCs w:val="24"/>
              <w:lang w:eastAsia="et-EE"/>
            </w:rPr>
          </w:pPr>
          <w:hyperlink w:anchor="_Toc208991605" w:history="1">
            <w:r w:rsidRPr="001506E8">
              <w:rPr>
                <w:rStyle w:val="Hyperlink"/>
                <w:noProof/>
              </w:rPr>
              <w:t>2.3.2. Regionaalne vaade</w:t>
            </w:r>
            <w:r>
              <w:rPr>
                <w:noProof/>
                <w:webHidden/>
              </w:rPr>
              <w:tab/>
            </w:r>
            <w:r>
              <w:rPr>
                <w:noProof/>
                <w:webHidden/>
              </w:rPr>
              <w:fldChar w:fldCharType="begin"/>
            </w:r>
            <w:r>
              <w:rPr>
                <w:noProof/>
                <w:webHidden/>
              </w:rPr>
              <w:instrText xml:space="preserve"> PAGEREF _Toc208991605 \h </w:instrText>
            </w:r>
            <w:r>
              <w:rPr>
                <w:noProof/>
                <w:webHidden/>
              </w:rPr>
            </w:r>
            <w:r>
              <w:rPr>
                <w:noProof/>
                <w:webHidden/>
              </w:rPr>
              <w:fldChar w:fldCharType="separate"/>
            </w:r>
            <w:r w:rsidR="00C55BCB">
              <w:rPr>
                <w:noProof/>
                <w:webHidden/>
              </w:rPr>
              <w:t>84</w:t>
            </w:r>
            <w:r>
              <w:rPr>
                <w:noProof/>
                <w:webHidden/>
              </w:rPr>
              <w:fldChar w:fldCharType="end"/>
            </w:r>
          </w:hyperlink>
        </w:p>
        <w:p w14:paraId="66D6DE35" w14:textId="2BBEEE74" w:rsidR="009A2B46" w:rsidRDefault="009A2B46">
          <w:pPr>
            <w:pStyle w:val="TOC3"/>
            <w:tabs>
              <w:tab w:val="right" w:leader="dot" w:pos="10252"/>
            </w:tabs>
            <w:rPr>
              <w:rFonts w:eastAsiaTheme="minorEastAsia"/>
              <w:noProof/>
              <w:szCs w:val="24"/>
              <w:lang w:eastAsia="et-EE"/>
            </w:rPr>
          </w:pPr>
          <w:hyperlink w:anchor="_Toc208991606" w:history="1">
            <w:r w:rsidRPr="001506E8">
              <w:rPr>
                <w:rStyle w:val="Hyperlink"/>
                <w:noProof/>
              </w:rPr>
              <w:t>2.3.3. Täitumus ja müügitulu</w:t>
            </w:r>
            <w:r>
              <w:rPr>
                <w:noProof/>
                <w:webHidden/>
              </w:rPr>
              <w:tab/>
            </w:r>
            <w:r>
              <w:rPr>
                <w:noProof/>
                <w:webHidden/>
              </w:rPr>
              <w:fldChar w:fldCharType="begin"/>
            </w:r>
            <w:r>
              <w:rPr>
                <w:noProof/>
                <w:webHidden/>
              </w:rPr>
              <w:instrText xml:space="preserve"> PAGEREF _Toc208991606 \h </w:instrText>
            </w:r>
            <w:r>
              <w:rPr>
                <w:noProof/>
                <w:webHidden/>
              </w:rPr>
            </w:r>
            <w:r>
              <w:rPr>
                <w:noProof/>
                <w:webHidden/>
              </w:rPr>
              <w:fldChar w:fldCharType="separate"/>
            </w:r>
            <w:r w:rsidR="00C55BCB">
              <w:rPr>
                <w:noProof/>
                <w:webHidden/>
              </w:rPr>
              <w:t>86</w:t>
            </w:r>
            <w:r>
              <w:rPr>
                <w:noProof/>
                <w:webHidden/>
              </w:rPr>
              <w:fldChar w:fldCharType="end"/>
            </w:r>
          </w:hyperlink>
        </w:p>
        <w:p w14:paraId="5C17749B" w14:textId="4F7B1F4A" w:rsidR="009A2B46" w:rsidRDefault="009A2B46">
          <w:pPr>
            <w:pStyle w:val="TOC3"/>
            <w:tabs>
              <w:tab w:val="right" w:leader="dot" w:pos="10252"/>
            </w:tabs>
            <w:rPr>
              <w:rFonts w:eastAsiaTheme="minorEastAsia"/>
              <w:noProof/>
              <w:szCs w:val="24"/>
              <w:lang w:eastAsia="et-EE"/>
            </w:rPr>
          </w:pPr>
          <w:hyperlink w:anchor="_Toc208991607" w:history="1">
            <w:r w:rsidRPr="001506E8">
              <w:rPr>
                <w:rStyle w:val="Hyperlink"/>
                <w:noProof/>
              </w:rPr>
              <w:t>2.3.4. Hooajalisus</w:t>
            </w:r>
            <w:r>
              <w:rPr>
                <w:noProof/>
                <w:webHidden/>
              </w:rPr>
              <w:tab/>
            </w:r>
            <w:r>
              <w:rPr>
                <w:noProof/>
                <w:webHidden/>
              </w:rPr>
              <w:fldChar w:fldCharType="begin"/>
            </w:r>
            <w:r>
              <w:rPr>
                <w:noProof/>
                <w:webHidden/>
              </w:rPr>
              <w:instrText xml:space="preserve"> PAGEREF _Toc208991607 \h </w:instrText>
            </w:r>
            <w:r>
              <w:rPr>
                <w:noProof/>
                <w:webHidden/>
              </w:rPr>
            </w:r>
            <w:r>
              <w:rPr>
                <w:noProof/>
                <w:webHidden/>
              </w:rPr>
              <w:fldChar w:fldCharType="separate"/>
            </w:r>
            <w:r w:rsidR="00C55BCB">
              <w:rPr>
                <w:noProof/>
                <w:webHidden/>
              </w:rPr>
              <w:t>87</w:t>
            </w:r>
            <w:r>
              <w:rPr>
                <w:noProof/>
                <w:webHidden/>
              </w:rPr>
              <w:fldChar w:fldCharType="end"/>
            </w:r>
          </w:hyperlink>
        </w:p>
        <w:p w14:paraId="0AE157D9" w14:textId="7175F5F1" w:rsidR="009A2B46" w:rsidRDefault="009A2B46">
          <w:pPr>
            <w:pStyle w:val="TOC2"/>
            <w:rPr>
              <w:rFonts w:asciiTheme="minorHAnsi" w:eastAsiaTheme="minorEastAsia" w:hAnsiTheme="minorHAnsi" w:cstheme="minorBidi"/>
              <w:b w:val="0"/>
              <w:bCs w:val="0"/>
              <w:szCs w:val="24"/>
              <w:lang w:eastAsia="et-EE"/>
            </w:rPr>
          </w:pPr>
          <w:hyperlink w:anchor="_Toc208991608" w:history="1">
            <w:r w:rsidRPr="001506E8">
              <w:rPr>
                <w:rStyle w:val="Hyperlink"/>
              </w:rPr>
              <w:t>2.4. Ametliku majutusstatistika ja lühiajalise üüri turu andmete kattuvus</w:t>
            </w:r>
            <w:r>
              <w:rPr>
                <w:webHidden/>
              </w:rPr>
              <w:tab/>
            </w:r>
            <w:r>
              <w:rPr>
                <w:webHidden/>
              </w:rPr>
              <w:fldChar w:fldCharType="begin"/>
            </w:r>
            <w:r>
              <w:rPr>
                <w:webHidden/>
              </w:rPr>
              <w:instrText xml:space="preserve"> PAGEREF _Toc208991608 \h </w:instrText>
            </w:r>
            <w:r>
              <w:rPr>
                <w:webHidden/>
              </w:rPr>
            </w:r>
            <w:r>
              <w:rPr>
                <w:webHidden/>
              </w:rPr>
              <w:fldChar w:fldCharType="separate"/>
            </w:r>
            <w:r w:rsidR="00C55BCB">
              <w:rPr>
                <w:rFonts w:hint="eastAsia"/>
                <w:webHidden/>
              </w:rPr>
              <w:t>88</w:t>
            </w:r>
            <w:r>
              <w:rPr>
                <w:webHidden/>
              </w:rPr>
              <w:fldChar w:fldCharType="end"/>
            </w:r>
          </w:hyperlink>
        </w:p>
        <w:p w14:paraId="01F3C4C7" w14:textId="3B917216" w:rsidR="009A2B46" w:rsidRDefault="009A2B46">
          <w:pPr>
            <w:pStyle w:val="TOC2"/>
            <w:rPr>
              <w:rFonts w:asciiTheme="minorHAnsi" w:eastAsiaTheme="minorEastAsia" w:hAnsiTheme="minorHAnsi" w:cstheme="minorBidi"/>
              <w:b w:val="0"/>
              <w:bCs w:val="0"/>
              <w:szCs w:val="24"/>
              <w:lang w:eastAsia="et-EE"/>
            </w:rPr>
          </w:pPr>
          <w:hyperlink w:anchor="_Toc208991609" w:history="1">
            <w:r w:rsidRPr="001506E8">
              <w:rPr>
                <w:rStyle w:val="Hyperlink"/>
              </w:rPr>
              <w:t>2.5. Järeldused turu analüüsiks sobivate andmete ja andmeallikate kohta</w:t>
            </w:r>
            <w:r>
              <w:rPr>
                <w:webHidden/>
              </w:rPr>
              <w:tab/>
            </w:r>
            <w:r>
              <w:rPr>
                <w:webHidden/>
              </w:rPr>
              <w:fldChar w:fldCharType="begin"/>
            </w:r>
            <w:r>
              <w:rPr>
                <w:webHidden/>
              </w:rPr>
              <w:instrText xml:space="preserve"> PAGEREF _Toc208991609 \h </w:instrText>
            </w:r>
            <w:r>
              <w:rPr>
                <w:webHidden/>
              </w:rPr>
            </w:r>
            <w:r>
              <w:rPr>
                <w:webHidden/>
              </w:rPr>
              <w:fldChar w:fldCharType="separate"/>
            </w:r>
            <w:r w:rsidR="00C55BCB">
              <w:rPr>
                <w:rFonts w:hint="eastAsia"/>
                <w:webHidden/>
              </w:rPr>
              <w:t>91</w:t>
            </w:r>
            <w:r>
              <w:rPr>
                <w:webHidden/>
              </w:rPr>
              <w:fldChar w:fldCharType="end"/>
            </w:r>
          </w:hyperlink>
        </w:p>
        <w:p w14:paraId="7FD0A875" w14:textId="09D090F6" w:rsidR="009A2B46" w:rsidRDefault="009A2B46">
          <w:pPr>
            <w:pStyle w:val="TOC2"/>
            <w:rPr>
              <w:rFonts w:asciiTheme="minorHAnsi" w:eastAsiaTheme="minorEastAsia" w:hAnsiTheme="minorHAnsi" w:cstheme="minorBidi"/>
              <w:b w:val="0"/>
              <w:bCs w:val="0"/>
              <w:szCs w:val="24"/>
              <w:lang w:eastAsia="et-EE"/>
            </w:rPr>
          </w:pPr>
          <w:hyperlink w:anchor="_Toc208991610" w:history="1">
            <w:r w:rsidRPr="001506E8">
              <w:rPr>
                <w:rStyle w:val="Hyperlink"/>
              </w:rPr>
              <w:t>2.6. Järeldused Eesti lühiajalise üüri turu mahu ja omaduste kohta olemasolevate andmete põhjal</w:t>
            </w:r>
            <w:r>
              <w:rPr>
                <w:webHidden/>
              </w:rPr>
              <w:tab/>
            </w:r>
            <w:r>
              <w:rPr>
                <w:webHidden/>
              </w:rPr>
              <w:fldChar w:fldCharType="begin"/>
            </w:r>
            <w:r>
              <w:rPr>
                <w:webHidden/>
              </w:rPr>
              <w:instrText xml:space="preserve"> PAGEREF _Toc208991610 \h </w:instrText>
            </w:r>
            <w:r>
              <w:rPr>
                <w:webHidden/>
              </w:rPr>
            </w:r>
            <w:r>
              <w:rPr>
                <w:webHidden/>
              </w:rPr>
              <w:fldChar w:fldCharType="separate"/>
            </w:r>
            <w:r w:rsidR="00C55BCB">
              <w:rPr>
                <w:rFonts w:hint="eastAsia"/>
                <w:webHidden/>
              </w:rPr>
              <w:t>96</w:t>
            </w:r>
            <w:r>
              <w:rPr>
                <w:webHidden/>
              </w:rPr>
              <w:fldChar w:fldCharType="end"/>
            </w:r>
          </w:hyperlink>
        </w:p>
        <w:p w14:paraId="02DB8A1E" w14:textId="75214157" w:rsidR="009A2B46" w:rsidRDefault="009A2B46">
          <w:pPr>
            <w:pStyle w:val="TOC1"/>
            <w:rPr>
              <w:rFonts w:eastAsiaTheme="minorEastAsia"/>
              <w:noProof/>
              <w:szCs w:val="24"/>
              <w:lang w:eastAsia="et-EE"/>
            </w:rPr>
          </w:pPr>
          <w:hyperlink w:anchor="_Toc208991611" w:history="1">
            <w:r w:rsidRPr="001506E8">
              <w:rPr>
                <w:rStyle w:val="Hyperlink"/>
                <w:b/>
                <w:bCs/>
                <w:noProof/>
              </w:rPr>
              <w:t>3.</w:t>
            </w:r>
            <w:r>
              <w:rPr>
                <w:rFonts w:eastAsiaTheme="minorEastAsia"/>
                <w:noProof/>
                <w:szCs w:val="24"/>
                <w:lang w:eastAsia="et-EE"/>
              </w:rPr>
              <w:tab/>
            </w:r>
            <w:r w:rsidRPr="001506E8">
              <w:rPr>
                <w:rStyle w:val="Hyperlink"/>
                <w:b/>
                <w:bCs/>
                <w:noProof/>
              </w:rPr>
              <w:t>Lühiajalise üüri turu sotsiaal-majanduslikud mõjud</w:t>
            </w:r>
            <w:r>
              <w:rPr>
                <w:noProof/>
                <w:webHidden/>
              </w:rPr>
              <w:tab/>
            </w:r>
            <w:r>
              <w:rPr>
                <w:noProof/>
                <w:webHidden/>
              </w:rPr>
              <w:fldChar w:fldCharType="begin"/>
            </w:r>
            <w:r>
              <w:rPr>
                <w:noProof/>
                <w:webHidden/>
              </w:rPr>
              <w:instrText xml:space="preserve"> PAGEREF _Toc208991611 \h </w:instrText>
            </w:r>
            <w:r>
              <w:rPr>
                <w:noProof/>
                <w:webHidden/>
              </w:rPr>
            </w:r>
            <w:r>
              <w:rPr>
                <w:noProof/>
                <w:webHidden/>
              </w:rPr>
              <w:fldChar w:fldCharType="separate"/>
            </w:r>
            <w:r w:rsidR="00C55BCB">
              <w:rPr>
                <w:noProof/>
                <w:webHidden/>
              </w:rPr>
              <w:t>99</w:t>
            </w:r>
            <w:r>
              <w:rPr>
                <w:noProof/>
                <w:webHidden/>
              </w:rPr>
              <w:fldChar w:fldCharType="end"/>
            </w:r>
          </w:hyperlink>
        </w:p>
        <w:p w14:paraId="3B4E63CF" w14:textId="4FE5B4DA" w:rsidR="009A2B46" w:rsidRDefault="009A2B46">
          <w:pPr>
            <w:pStyle w:val="TOC2"/>
            <w:rPr>
              <w:rFonts w:asciiTheme="minorHAnsi" w:eastAsiaTheme="minorEastAsia" w:hAnsiTheme="minorHAnsi" w:cstheme="minorBidi"/>
              <w:b w:val="0"/>
              <w:bCs w:val="0"/>
              <w:szCs w:val="24"/>
              <w:lang w:eastAsia="et-EE"/>
            </w:rPr>
          </w:pPr>
          <w:hyperlink w:anchor="_Toc208991612" w:history="1">
            <w:r w:rsidRPr="001506E8">
              <w:rPr>
                <w:rStyle w:val="Hyperlink"/>
              </w:rPr>
              <w:t>3.1.</w:t>
            </w:r>
            <w:r>
              <w:rPr>
                <w:rFonts w:asciiTheme="minorHAnsi" w:eastAsiaTheme="minorEastAsia" w:hAnsiTheme="minorHAnsi" w:cstheme="minorBidi"/>
                <w:b w:val="0"/>
                <w:bCs w:val="0"/>
                <w:szCs w:val="24"/>
                <w:lang w:eastAsia="et-EE"/>
              </w:rPr>
              <w:tab/>
            </w:r>
            <w:r w:rsidRPr="001506E8">
              <w:rPr>
                <w:rStyle w:val="Hyperlink"/>
              </w:rPr>
              <w:t>Sotsiaal-majanduslike mõjude hindamise metoodika</w:t>
            </w:r>
            <w:r>
              <w:rPr>
                <w:webHidden/>
              </w:rPr>
              <w:tab/>
            </w:r>
            <w:r>
              <w:rPr>
                <w:webHidden/>
              </w:rPr>
              <w:fldChar w:fldCharType="begin"/>
            </w:r>
            <w:r>
              <w:rPr>
                <w:webHidden/>
              </w:rPr>
              <w:instrText xml:space="preserve"> PAGEREF _Toc208991612 \h </w:instrText>
            </w:r>
            <w:r>
              <w:rPr>
                <w:webHidden/>
              </w:rPr>
            </w:r>
            <w:r>
              <w:rPr>
                <w:webHidden/>
              </w:rPr>
              <w:fldChar w:fldCharType="separate"/>
            </w:r>
            <w:r w:rsidR="00C55BCB">
              <w:rPr>
                <w:rFonts w:hint="eastAsia"/>
                <w:webHidden/>
              </w:rPr>
              <w:t>99</w:t>
            </w:r>
            <w:r>
              <w:rPr>
                <w:webHidden/>
              </w:rPr>
              <w:fldChar w:fldCharType="end"/>
            </w:r>
          </w:hyperlink>
        </w:p>
        <w:p w14:paraId="4957DDE8" w14:textId="58AAFA6A" w:rsidR="009A2B46" w:rsidRDefault="009A2B46">
          <w:pPr>
            <w:pStyle w:val="TOC2"/>
            <w:rPr>
              <w:rFonts w:asciiTheme="minorHAnsi" w:eastAsiaTheme="minorEastAsia" w:hAnsiTheme="minorHAnsi" w:cstheme="minorBidi"/>
              <w:b w:val="0"/>
              <w:bCs w:val="0"/>
              <w:szCs w:val="24"/>
              <w:lang w:eastAsia="et-EE"/>
            </w:rPr>
          </w:pPr>
          <w:hyperlink w:anchor="_Toc208991613" w:history="1">
            <w:r w:rsidRPr="001506E8">
              <w:rPr>
                <w:rStyle w:val="Hyperlink"/>
              </w:rPr>
              <w:t>3.2. Välisriikide praktikate analüüsi tulemused</w:t>
            </w:r>
            <w:r>
              <w:rPr>
                <w:webHidden/>
              </w:rPr>
              <w:tab/>
            </w:r>
            <w:r>
              <w:rPr>
                <w:webHidden/>
              </w:rPr>
              <w:fldChar w:fldCharType="begin"/>
            </w:r>
            <w:r>
              <w:rPr>
                <w:webHidden/>
              </w:rPr>
              <w:instrText xml:space="preserve"> PAGEREF _Toc208991613 \h </w:instrText>
            </w:r>
            <w:r>
              <w:rPr>
                <w:webHidden/>
              </w:rPr>
            </w:r>
            <w:r>
              <w:rPr>
                <w:webHidden/>
              </w:rPr>
              <w:fldChar w:fldCharType="separate"/>
            </w:r>
            <w:r w:rsidR="00C55BCB">
              <w:rPr>
                <w:rFonts w:hint="eastAsia"/>
                <w:webHidden/>
              </w:rPr>
              <w:t>103</w:t>
            </w:r>
            <w:r>
              <w:rPr>
                <w:webHidden/>
              </w:rPr>
              <w:fldChar w:fldCharType="end"/>
            </w:r>
          </w:hyperlink>
        </w:p>
        <w:p w14:paraId="4AE8F8BA" w14:textId="1B39705B" w:rsidR="009A2B46" w:rsidRDefault="009A2B46">
          <w:pPr>
            <w:pStyle w:val="TOC3"/>
            <w:tabs>
              <w:tab w:val="left" w:pos="1701"/>
              <w:tab w:val="right" w:leader="dot" w:pos="10252"/>
            </w:tabs>
            <w:rPr>
              <w:rFonts w:eastAsiaTheme="minorEastAsia"/>
              <w:noProof/>
              <w:szCs w:val="24"/>
              <w:lang w:eastAsia="et-EE"/>
            </w:rPr>
          </w:pPr>
          <w:hyperlink w:anchor="_Toc208991614" w:history="1">
            <w:r w:rsidRPr="001506E8">
              <w:rPr>
                <w:rStyle w:val="Hyperlink"/>
                <w:noProof/>
              </w:rPr>
              <w:t>3.1.1.</w:t>
            </w:r>
            <w:r>
              <w:rPr>
                <w:rFonts w:eastAsiaTheme="minorEastAsia"/>
                <w:noProof/>
                <w:szCs w:val="24"/>
                <w:lang w:eastAsia="et-EE"/>
              </w:rPr>
              <w:tab/>
            </w:r>
            <w:r w:rsidRPr="001506E8">
              <w:rPr>
                <w:rStyle w:val="Hyperlink"/>
                <w:noProof/>
              </w:rPr>
              <w:t>Välisriikides avaldunud lühiajalise üüri turu mõjud ning turu reguleerimise kogemused</w:t>
            </w:r>
            <w:r>
              <w:rPr>
                <w:noProof/>
                <w:webHidden/>
              </w:rPr>
              <w:tab/>
            </w:r>
            <w:r>
              <w:rPr>
                <w:noProof/>
                <w:webHidden/>
              </w:rPr>
              <w:fldChar w:fldCharType="begin"/>
            </w:r>
            <w:r>
              <w:rPr>
                <w:noProof/>
                <w:webHidden/>
              </w:rPr>
              <w:instrText xml:space="preserve"> PAGEREF _Toc208991614 \h </w:instrText>
            </w:r>
            <w:r>
              <w:rPr>
                <w:noProof/>
                <w:webHidden/>
              </w:rPr>
            </w:r>
            <w:r>
              <w:rPr>
                <w:noProof/>
                <w:webHidden/>
              </w:rPr>
              <w:fldChar w:fldCharType="separate"/>
            </w:r>
            <w:r w:rsidR="00C55BCB">
              <w:rPr>
                <w:noProof/>
                <w:webHidden/>
              </w:rPr>
              <w:t>103</w:t>
            </w:r>
            <w:r>
              <w:rPr>
                <w:noProof/>
                <w:webHidden/>
              </w:rPr>
              <w:fldChar w:fldCharType="end"/>
            </w:r>
          </w:hyperlink>
        </w:p>
        <w:p w14:paraId="669AE38A" w14:textId="34A422EA" w:rsidR="009A2B46" w:rsidRDefault="009A2B46">
          <w:pPr>
            <w:pStyle w:val="TOC3"/>
            <w:tabs>
              <w:tab w:val="left" w:pos="1701"/>
              <w:tab w:val="right" w:leader="dot" w:pos="10252"/>
            </w:tabs>
            <w:rPr>
              <w:rFonts w:eastAsiaTheme="minorEastAsia"/>
              <w:noProof/>
              <w:szCs w:val="24"/>
              <w:lang w:eastAsia="et-EE"/>
            </w:rPr>
          </w:pPr>
          <w:hyperlink w:anchor="_Toc208991615" w:history="1">
            <w:r w:rsidRPr="001506E8">
              <w:rPr>
                <w:rStyle w:val="Hyperlink"/>
                <w:noProof/>
              </w:rPr>
              <w:t>3.1.2.</w:t>
            </w:r>
            <w:r>
              <w:rPr>
                <w:rFonts w:eastAsiaTheme="minorEastAsia"/>
                <w:noProof/>
                <w:szCs w:val="24"/>
                <w:lang w:eastAsia="et-EE"/>
              </w:rPr>
              <w:tab/>
            </w:r>
            <w:r w:rsidRPr="001506E8">
              <w:rPr>
                <w:rStyle w:val="Hyperlink"/>
                <w:noProof/>
              </w:rPr>
              <w:t>Välisriikide kogemused lühiajalise üüri turu regulatsioonide mõjude ja turu muutuste hindamisel</w:t>
            </w:r>
            <w:r>
              <w:rPr>
                <w:noProof/>
                <w:webHidden/>
              </w:rPr>
              <w:tab/>
            </w:r>
            <w:r>
              <w:rPr>
                <w:noProof/>
                <w:webHidden/>
              </w:rPr>
              <w:fldChar w:fldCharType="begin"/>
            </w:r>
            <w:r>
              <w:rPr>
                <w:noProof/>
                <w:webHidden/>
              </w:rPr>
              <w:instrText xml:space="preserve"> PAGEREF _Toc208991615 \h </w:instrText>
            </w:r>
            <w:r>
              <w:rPr>
                <w:noProof/>
                <w:webHidden/>
              </w:rPr>
            </w:r>
            <w:r>
              <w:rPr>
                <w:noProof/>
                <w:webHidden/>
              </w:rPr>
              <w:fldChar w:fldCharType="separate"/>
            </w:r>
            <w:r w:rsidR="00C55BCB">
              <w:rPr>
                <w:noProof/>
                <w:webHidden/>
              </w:rPr>
              <w:t>107</w:t>
            </w:r>
            <w:r>
              <w:rPr>
                <w:noProof/>
                <w:webHidden/>
              </w:rPr>
              <w:fldChar w:fldCharType="end"/>
            </w:r>
          </w:hyperlink>
        </w:p>
        <w:p w14:paraId="5F181B85" w14:textId="799A5B5F" w:rsidR="009A2B46" w:rsidRDefault="009A2B46">
          <w:pPr>
            <w:pStyle w:val="TOC2"/>
            <w:rPr>
              <w:rFonts w:asciiTheme="minorHAnsi" w:eastAsiaTheme="minorEastAsia" w:hAnsiTheme="minorHAnsi" w:cstheme="minorBidi"/>
              <w:b w:val="0"/>
              <w:bCs w:val="0"/>
              <w:szCs w:val="24"/>
              <w:lang w:eastAsia="et-EE"/>
            </w:rPr>
          </w:pPr>
          <w:hyperlink w:anchor="_Toc208991616" w:history="1">
            <w:r w:rsidRPr="001506E8">
              <w:rPr>
                <w:rStyle w:val="Hyperlink"/>
              </w:rPr>
              <w:t>3.2.</w:t>
            </w:r>
            <w:r>
              <w:rPr>
                <w:rFonts w:asciiTheme="minorHAnsi" w:eastAsiaTheme="minorEastAsia" w:hAnsiTheme="minorHAnsi" w:cstheme="minorBidi"/>
                <w:b w:val="0"/>
                <w:bCs w:val="0"/>
                <w:szCs w:val="24"/>
                <w:lang w:eastAsia="et-EE"/>
              </w:rPr>
              <w:tab/>
            </w:r>
            <w:r w:rsidRPr="001506E8">
              <w:rPr>
                <w:rStyle w:val="Hyperlink"/>
              </w:rPr>
              <w:t>Intervjuude ja päringute tulemused</w:t>
            </w:r>
            <w:r>
              <w:rPr>
                <w:webHidden/>
              </w:rPr>
              <w:tab/>
            </w:r>
            <w:r>
              <w:rPr>
                <w:webHidden/>
              </w:rPr>
              <w:fldChar w:fldCharType="begin"/>
            </w:r>
            <w:r>
              <w:rPr>
                <w:webHidden/>
              </w:rPr>
              <w:instrText xml:space="preserve"> PAGEREF _Toc208991616 \h </w:instrText>
            </w:r>
            <w:r>
              <w:rPr>
                <w:webHidden/>
              </w:rPr>
            </w:r>
            <w:r>
              <w:rPr>
                <w:webHidden/>
              </w:rPr>
              <w:fldChar w:fldCharType="separate"/>
            </w:r>
            <w:r w:rsidR="00C55BCB">
              <w:rPr>
                <w:rFonts w:hint="eastAsia"/>
                <w:webHidden/>
              </w:rPr>
              <w:t>109</w:t>
            </w:r>
            <w:r>
              <w:rPr>
                <w:webHidden/>
              </w:rPr>
              <w:fldChar w:fldCharType="end"/>
            </w:r>
          </w:hyperlink>
        </w:p>
        <w:p w14:paraId="3AE496DB" w14:textId="4FFFC3B6" w:rsidR="009A2B46" w:rsidRDefault="009A2B46">
          <w:pPr>
            <w:pStyle w:val="TOC3"/>
            <w:tabs>
              <w:tab w:val="left" w:pos="1701"/>
              <w:tab w:val="right" w:leader="dot" w:pos="10252"/>
            </w:tabs>
            <w:rPr>
              <w:rFonts w:eastAsiaTheme="minorEastAsia"/>
              <w:noProof/>
              <w:szCs w:val="24"/>
              <w:lang w:eastAsia="et-EE"/>
            </w:rPr>
          </w:pPr>
          <w:hyperlink w:anchor="_Toc208991617" w:history="1">
            <w:r w:rsidRPr="001506E8">
              <w:rPr>
                <w:rStyle w:val="Hyperlink"/>
                <w:noProof/>
              </w:rPr>
              <w:t>3.2.1.</w:t>
            </w:r>
            <w:r>
              <w:rPr>
                <w:rFonts w:eastAsiaTheme="minorEastAsia"/>
                <w:noProof/>
                <w:szCs w:val="24"/>
                <w:lang w:eastAsia="et-EE"/>
              </w:rPr>
              <w:tab/>
            </w:r>
            <w:r w:rsidRPr="001506E8">
              <w:rPr>
                <w:rStyle w:val="Hyperlink"/>
                <w:noProof/>
              </w:rPr>
              <w:t>Eesti turuosaliste vaade lühiajalise üüri turu mõjude kohta</w:t>
            </w:r>
            <w:r>
              <w:rPr>
                <w:noProof/>
                <w:webHidden/>
              </w:rPr>
              <w:tab/>
            </w:r>
            <w:r>
              <w:rPr>
                <w:noProof/>
                <w:webHidden/>
              </w:rPr>
              <w:fldChar w:fldCharType="begin"/>
            </w:r>
            <w:r>
              <w:rPr>
                <w:noProof/>
                <w:webHidden/>
              </w:rPr>
              <w:instrText xml:space="preserve"> PAGEREF _Toc208991617 \h </w:instrText>
            </w:r>
            <w:r>
              <w:rPr>
                <w:noProof/>
                <w:webHidden/>
              </w:rPr>
            </w:r>
            <w:r>
              <w:rPr>
                <w:noProof/>
                <w:webHidden/>
              </w:rPr>
              <w:fldChar w:fldCharType="separate"/>
            </w:r>
            <w:r w:rsidR="00C55BCB">
              <w:rPr>
                <w:noProof/>
                <w:webHidden/>
              </w:rPr>
              <w:t>109</w:t>
            </w:r>
            <w:r>
              <w:rPr>
                <w:noProof/>
                <w:webHidden/>
              </w:rPr>
              <w:fldChar w:fldCharType="end"/>
            </w:r>
          </w:hyperlink>
        </w:p>
        <w:p w14:paraId="6E7C2BB8" w14:textId="0E9E75BD" w:rsidR="009A2B46" w:rsidRDefault="009A2B46">
          <w:pPr>
            <w:pStyle w:val="TOC3"/>
            <w:tabs>
              <w:tab w:val="left" w:pos="1701"/>
              <w:tab w:val="right" w:leader="dot" w:pos="10252"/>
            </w:tabs>
            <w:rPr>
              <w:rFonts w:eastAsiaTheme="minorEastAsia"/>
              <w:noProof/>
              <w:szCs w:val="24"/>
              <w:lang w:eastAsia="et-EE"/>
            </w:rPr>
          </w:pPr>
          <w:hyperlink w:anchor="_Toc208991618" w:history="1">
            <w:r w:rsidRPr="001506E8">
              <w:rPr>
                <w:rStyle w:val="Hyperlink"/>
                <w:noProof/>
              </w:rPr>
              <w:t>3.2.2.</w:t>
            </w:r>
            <w:r>
              <w:rPr>
                <w:rFonts w:eastAsiaTheme="minorEastAsia"/>
                <w:noProof/>
                <w:szCs w:val="24"/>
                <w:lang w:eastAsia="et-EE"/>
              </w:rPr>
              <w:tab/>
            </w:r>
            <w:r w:rsidRPr="001506E8">
              <w:rPr>
                <w:rStyle w:val="Hyperlink"/>
                <w:noProof/>
              </w:rPr>
              <w:t>Eesti turuosaliste kogemused turu mahu ja andmete vajaduse kohta</w:t>
            </w:r>
            <w:r>
              <w:rPr>
                <w:noProof/>
                <w:webHidden/>
              </w:rPr>
              <w:tab/>
            </w:r>
            <w:r>
              <w:rPr>
                <w:noProof/>
                <w:webHidden/>
              </w:rPr>
              <w:fldChar w:fldCharType="begin"/>
            </w:r>
            <w:r>
              <w:rPr>
                <w:noProof/>
                <w:webHidden/>
              </w:rPr>
              <w:instrText xml:space="preserve"> PAGEREF _Toc208991618 \h </w:instrText>
            </w:r>
            <w:r>
              <w:rPr>
                <w:noProof/>
                <w:webHidden/>
              </w:rPr>
            </w:r>
            <w:r>
              <w:rPr>
                <w:noProof/>
                <w:webHidden/>
              </w:rPr>
              <w:fldChar w:fldCharType="separate"/>
            </w:r>
            <w:r w:rsidR="00C55BCB">
              <w:rPr>
                <w:noProof/>
                <w:webHidden/>
              </w:rPr>
              <w:t>115</w:t>
            </w:r>
            <w:r>
              <w:rPr>
                <w:noProof/>
                <w:webHidden/>
              </w:rPr>
              <w:fldChar w:fldCharType="end"/>
            </w:r>
          </w:hyperlink>
        </w:p>
        <w:p w14:paraId="2CA61BB8" w14:textId="512C80F2" w:rsidR="009A2B46" w:rsidRDefault="009A2B46">
          <w:pPr>
            <w:pStyle w:val="TOC3"/>
            <w:tabs>
              <w:tab w:val="left" w:pos="1701"/>
              <w:tab w:val="right" w:leader="dot" w:pos="10252"/>
            </w:tabs>
            <w:rPr>
              <w:rFonts w:eastAsiaTheme="minorEastAsia"/>
              <w:noProof/>
              <w:szCs w:val="24"/>
              <w:lang w:eastAsia="et-EE"/>
            </w:rPr>
          </w:pPr>
          <w:hyperlink w:anchor="_Toc208991619" w:history="1">
            <w:r w:rsidRPr="001506E8">
              <w:rPr>
                <w:rStyle w:val="Hyperlink"/>
                <w:noProof/>
              </w:rPr>
              <w:t>3.2.3.</w:t>
            </w:r>
            <w:r>
              <w:rPr>
                <w:rFonts w:eastAsiaTheme="minorEastAsia"/>
                <w:noProof/>
                <w:szCs w:val="24"/>
                <w:lang w:eastAsia="et-EE"/>
              </w:rPr>
              <w:tab/>
            </w:r>
            <w:r w:rsidRPr="001506E8">
              <w:rPr>
                <w:rStyle w:val="Hyperlink"/>
                <w:noProof/>
              </w:rPr>
              <w:t>Eesti turuosaliste arvamused turu reguleerimise vajaduse ja võimaluste kohta</w:t>
            </w:r>
            <w:r>
              <w:rPr>
                <w:noProof/>
                <w:webHidden/>
              </w:rPr>
              <w:tab/>
            </w:r>
            <w:r>
              <w:rPr>
                <w:noProof/>
                <w:webHidden/>
              </w:rPr>
              <w:fldChar w:fldCharType="begin"/>
            </w:r>
            <w:r>
              <w:rPr>
                <w:noProof/>
                <w:webHidden/>
              </w:rPr>
              <w:instrText xml:space="preserve"> PAGEREF _Toc208991619 \h </w:instrText>
            </w:r>
            <w:r>
              <w:rPr>
                <w:noProof/>
                <w:webHidden/>
              </w:rPr>
            </w:r>
            <w:r>
              <w:rPr>
                <w:noProof/>
                <w:webHidden/>
              </w:rPr>
              <w:fldChar w:fldCharType="separate"/>
            </w:r>
            <w:r w:rsidR="00C55BCB">
              <w:rPr>
                <w:noProof/>
                <w:webHidden/>
              </w:rPr>
              <w:t>116</w:t>
            </w:r>
            <w:r>
              <w:rPr>
                <w:noProof/>
                <w:webHidden/>
              </w:rPr>
              <w:fldChar w:fldCharType="end"/>
            </w:r>
          </w:hyperlink>
        </w:p>
        <w:p w14:paraId="7B822EA4" w14:textId="60409E6F" w:rsidR="009A2B46" w:rsidRDefault="009A2B46">
          <w:pPr>
            <w:pStyle w:val="TOC2"/>
            <w:rPr>
              <w:rFonts w:asciiTheme="minorHAnsi" w:eastAsiaTheme="minorEastAsia" w:hAnsiTheme="minorHAnsi" w:cstheme="minorBidi"/>
              <w:b w:val="0"/>
              <w:bCs w:val="0"/>
              <w:szCs w:val="24"/>
              <w:lang w:eastAsia="et-EE"/>
            </w:rPr>
          </w:pPr>
          <w:hyperlink w:anchor="_Toc208991620" w:history="1">
            <w:r w:rsidRPr="001506E8">
              <w:rPr>
                <w:rStyle w:val="Hyperlink"/>
              </w:rPr>
              <w:t>3.3.</w:t>
            </w:r>
            <w:r>
              <w:rPr>
                <w:rFonts w:asciiTheme="minorHAnsi" w:eastAsiaTheme="minorEastAsia" w:hAnsiTheme="minorHAnsi" w:cstheme="minorBidi"/>
                <w:b w:val="0"/>
                <w:bCs w:val="0"/>
                <w:szCs w:val="24"/>
                <w:lang w:eastAsia="et-EE"/>
              </w:rPr>
              <w:tab/>
            </w:r>
            <w:r w:rsidRPr="001506E8">
              <w:rPr>
                <w:rStyle w:val="Hyperlink"/>
              </w:rPr>
              <w:t>Ökonomeetrilise mudeldamise tulemused</w:t>
            </w:r>
            <w:r>
              <w:rPr>
                <w:webHidden/>
              </w:rPr>
              <w:tab/>
            </w:r>
            <w:r>
              <w:rPr>
                <w:webHidden/>
              </w:rPr>
              <w:fldChar w:fldCharType="begin"/>
            </w:r>
            <w:r>
              <w:rPr>
                <w:webHidden/>
              </w:rPr>
              <w:instrText xml:space="preserve"> PAGEREF _Toc208991620 \h </w:instrText>
            </w:r>
            <w:r>
              <w:rPr>
                <w:webHidden/>
              </w:rPr>
            </w:r>
            <w:r>
              <w:rPr>
                <w:webHidden/>
              </w:rPr>
              <w:fldChar w:fldCharType="separate"/>
            </w:r>
            <w:r w:rsidR="00C55BCB">
              <w:rPr>
                <w:rFonts w:hint="eastAsia"/>
                <w:webHidden/>
              </w:rPr>
              <w:t>119</w:t>
            </w:r>
            <w:r>
              <w:rPr>
                <w:webHidden/>
              </w:rPr>
              <w:fldChar w:fldCharType="end"/>
            </w:r>
          </w:hyperlink>
        </w:p>
        <w:p w14:paraId="4C4450C0" w14:textId="014AD7A3" w:rsidR="009A2B46" w:rsidRDefault="009A2B46">
          <w:pPr>
            <w:pStyle w:val="TOC2"/>
            <w:rPr>
              <w:rFonts w:asciiTheme="minorHAnsi" w:eastAsiaTheme="minorEastAsia" w:hAnsiTheme="minorHAnsi" w:cstheme="minorBidi"/>
              <w:b w:val="0"/>
              <w:bCs w:val="0"/>
              <w:szCs w:val="24"/>
              <w:lang w:eastAsia="et-EE"/>
            </w:rPr>
          </w:pPr>
          <w:hyperlink w:anchor="_Toc208991621" w:history="1">
            <w:r w:rsidRPr="001506E8">
              <w:rPr>
                <w:rStyle w:val="Hyperlink"/>
              </w:rPr>
              <w:t>3.4.</w:t>
            </w:r>
            <w:r>
              <w:rPr>
                <w:rFonts w:asciiTheme="minorHAnsi" w:eastAsiaTheme="minorEastAsia" w:hAnsiTheme="minorHAnsi" w:cstheme="minorBidi"/>
                <w:b w:val="0"/>
                <w:bCs w:val="0"/>
                <w:szCs w:val="24"/>
                <w:lang w:eastAsia="et-EE"/>
              </w:rPr>
              <w:tab/>
            </w:r>
            <w:r w:rsidRPr="001506E8">
              <w:rPr>
                <w:rStyle w:val="Hyperlink"/>
              </w:rPr>
              <w:t>Koondülevaade tuvastatud mõjudest</w:t>
            </w:r>
            <w:r>
              <w:rPr>
                <w:webHidden/>
              </w:rPr>
              <w:tab/>
            </w:r>
            <w:r>
              <w:rPr>
                <w:webHidden/>
              </w:rPr>
              <w:fldChar w:fldCharType="begin"/>
            </w:r>
            <w:r>
              <w:rPr>
                <w:webHidden/>
              </w:rPr>
              <w:instrText xml:space="preserve"> PAGEREF _Toc208991621 \h </w:instrText>
            </w:r>
            <w:r>
              <w:rPr>
                <w:webHidden/>
              </w:rPr>
            </w:r>
            <w:r>
              <w:rPr>
                <w:webHidden/>
              </w:rPr>
              <w:fldChar w:fldCharType="separate"/>
            </w:r>
            <w:r w:rsidR="00C55BCB">
              <w:rPr>
                <w:rFonts w:hint="eastAsia"/>
                <w:webHidden/>
              </w:rPr>
              <w:t>129</w:t>
            </w:r>
            <w:r>
              <w:rPr>
                <w:webHidden/>
              </w:rPr>
              <w:fldChar w:fldCharType="end"/>
            </w:r>
          </w:hyperlink>
        </w:p>
        <w:p w14:paraId="73DAA34C" w14:textId="27D6477E" w:rsidR="009A2B46" w:rsidRDefault="009A2B46">
          <w:pPr>
            <w:pStyle w:val="TOC3"/>
            <w:tabs>
              <w:tab w:val="left" w:pos="1701"/>
              <w:tab w:val="right" w:leader="dot" w:pos="10252"/>
            </w:tabs>
            <w:rPr>
              <w:rFonts w:eastAsiaTheme="minorEastAsia"/>
              <w:noProof/>
              <w:szCs w:val="24"/>
              <w:lang w:eastAsia="et-EE"/>
            </w:rPr>
          </w:pPr>
          <w:hyperlink w:anchor="_Toc208991622" w:history="1">
            <w:r w:rsidRPr="001506E8">
              <w:rPr>
                <w:rStyle w:val="Hyperlink"/>
                <w:noProof/>
              </w:rPr>
              <w:t>3.4.1.</w:t>
            </w:r>
            <w:r>
              <w:rPr>
                <w:rFonts w:eastAsiaTheme="minorEastAsia"/>
                <w:noProof/>
                <w:szCs w:val="24"/>
                <w:lang w:eastAsia="et-EE"/>
              </w:rPr>
              <w:tab/>
            </w:r>
            <w:r w:rsidRPr="001506E8">
              <w:rPr>
                <w:rStyle w:val="Hyperlink"/>
                <w:noProof/>
              </w:rPr>
              <w:t>Mõjud majutusteenuste turule</w:t>
            </w:r>
            <w:r>
              <w:rPr>
                <w:noProof/>
                <w:webHidden/>
              </w:rPr>
              <w:tab/>
            </w:r>
            <w:r>
              <w:rPr>
                <w:noProof/>
                <w:webHidden/>
              </w:rPr>
              <w:fldChar w:fldCharType="begin"/>
            </w:r>
            <w:r>
              <w:rPr>
                <w:noProof/>
                <w:webHidden/>
              </w:rPr>
              <w:instrText xml:space="preserve"> PAGEREF _Toc208991622 \h </w:instrText>
            </w:r>
            <w:r>
              <w:rPr>
                <w:noProof/>
                <w:webHidden/>
              </w:rPr>
            </w:r>
            <w:r>
              <w:rPr>
                <w:noProof/>
                <w:webHidden/>
              </w:rPr>
              <w:fldChar w:fldCharType="separate"/>
            </w:r>
            <w:r w:rsidR="00C55BCB">
              <w:rPr>
                <w:noProof/>
                <w:webHidden/>
              </w:rPr>
              <w:t>131</w:t>
            </w:r>
            <w:r>
              <w:rPr>
                <w:noProof/>
                <w:webHidden/>
              </w:rPr>
              <w:fldChar w:fldCharType="end"/>
            </w:r>
          </w:hyperlink>
        </w:p>
        <w:p w14:paraId="25B79ABD" w14:textId="1C76A966" w:rsidR="009A2B46" w:rsidRDefault="009A2B46">
          <w:pPr>
            <w:pStyle w:val="TOC3"/>
            <w:tabs>
              <w:tab w:val="left" w:pos="1701"/>
              <w:tab w:val="right" w:leader="dot" w:pos="10252"/>
            </w:tabs>
            <w:rPr>
              <w:rFonts w:eastAsiaTheme="minorEastAsia"/>
              <w:noProof/>
              <w:szCs w:val="24"/>
              <w:lang w:eastAsia="et-EE"/>
            </w:rPr>
          </w:pPr>
          <w:hyperlink w:anchor="_Toc208991623" w:history="1">
            <w:r w:rsidRPr="001506E8">
              <w:rPr>
                <w:rStyle w:val="Hyperlink"/>
                <w:noProof/>
              </w:rPr>
              <w:t>3.4.2.</w:t>
            </w:r>
            <w:r>
              <w:rPr>
                <w:rFonts w:eastAsiaTheme="minorEastAsia"/>
                <w:noProof/>
                <w:szCs w:val="24"/>
                <w:lang w:eastAsia="et-EE"/>
              </w:rPr>
              <w:tab/>
            </w:r>
            <w:r w:rsidRPr="001506E8">
              <w:rPr>
                <w:rStyle w:val="Hyperlink"/>
                <w:noProof/>
              </w:rPr>
              <w:t>Mõjud eluasemeturule</w:t>
            </w:r>
            <w:r>
              <w:rPr>
                <w:noProof/>
                <w:webHidden/>
              </w:rPr>
              <w:tab/>
            </w:r>
            <w:r>
              <w:rPr>
                <w:noProof/>
                <w:webHidden/>
              </w:rPr>
              <w:fldChar w:fldCharType="begin"/>
            </w:r>
            <w:r>
              <w:rPr>
                <w:noProof/>
                <w:webHidden/>
              </w:rPr>
              <w:instrText xml:space="preserve"> PAGEREF _Toc208991623 \h </w:instrText>
            </w:r>
            <w:r>
              <w:rPr>
                <w:noProof/>
                <w:webHidden/>
              </w:rPr>
            </w:r>
            <w:r>
              <w:rPr>
                <w:noProof/>
                <w:webHidden/>
              </w:rPr>
              <w:fldChar w:fldCharType="separate"/>
            </w:r>
            <w:r w:rsidR="00C55BCB">
              <w:rPr>
                <w:noProof/>
                <w:webHidden/>
              </w:rPr>
              <w:t>138</w:t>
            </w:r>
            <w:r>
              <w:rPr>
                <w:noProof/>
                <w:webHidden/>
              </w:rPr>
              <w:fldChar w:fldCharType="end"/>
            </w:r>
          </w:hyperlink>
        </w:p>
        <w:p w14:paraId="0FB80F84" w14:textId="26B1CF6F" w:rsidR="009A2B46" w:rsidRDefault="009A2B46">
          <w:pPr>
            <w:pStyle w:val="TOC3"/>
            <w:tabs>
              <w:tab w:val="left" w:pos="1701"/>
              <w:tab w:val="right" w:leader="dot" w:pos="10252"/>
            </w:tabs>
            <w:rPr>
              <w:rFonts w:eastAsiaTheme="minorEastAsia"/>
              <w:noProof/>
              <w:szCs w:val="24"/>
              <w:lang w:eastAsia="et-EE"/>
            </w:rPr>
          </w:pPr>
          <w:hyperlink w:anchor="_Toc208991624" w:history="1">
            <w:r w:rsidRPr="001506E8">
              <w:rPr>
                <w:rStyle w:val="Hyperlink"/>
                <w:noProof/>
              </w:rPr>
              <w:t>3.4.3.</w:t>
            </w:r>
            <w:r>
              <w:rPr>
                <w:rFonts w:eastAsiaTheme="minorEastAsia"/>
                <w:noProof/>
                <w:szCs w:val="24"/>
                <w:lang w:eastAsia="et-EE"/>
              </w:rPr>
              <w:tab/>
            </w:r>
            <w:r w:rsidRPr="001506E8">
              <w:rPr>
                <w:rStyle w:val="Hyperlink"/>
                <w:noProof/>
              </w:rPr>
              <w:t>Mõjud regioonidele ja regionaalsele arengule</w:t>
            </w:r>
            <w:r>
              <w:rPr>
                <w:noProof/>
                <w:webHidden/>
              </w:rPr>
              <w:tab/>
            </w:r>
            <w:r>
              <w:rPr>
                <w:noProof/>
                <w:webHidden/>
              </w:rPr>
              <w:fldChar w:fldCharType="begin"/>
            </w:r>
            <w:r>
              <w:rPr>
                <w:noProof/>
                <w:webHidden/>
              </w:rPr>
              <w:instrText xml:space="preserve"> PAGEREF _Toc208991624 \h </w:instrText>
            </w:r>
            <w:r>
              <w:rPr>
                <w:noProof/>
                <w:webHidden/>
              </w:rPr>
            </w:r>
            <w:r>
              <w:rPr>
                <w:noProof/>
                <w:webHidden/>
              </w:rPr>
              <w:fldChar w:fldCharType="separate"/>
            </w:r>
            <w:r w:rsidR="00C55BCB">
              <w:rPr>
                <w:noProof/>
                <w:webHidden/>
              </w:rPr>
              <w:t>143</w:t>
            </w:r>
            <w:r>
              <w:rPr>
                <w:noProof/>
                <w:webHidden/>
              </w:rPr>
              <w:fldChar w:fldCharType="end"/>
            </w:r>
          </w:hyperlink>
        </w:p>
        <w:p w14:paraId="2338000A" w14:textId="6A77F445" w:rsidR="009A2B46" w:rsidRDefault="009A2B46">
          <w:pPr>
            <w:pStyle w:val="TOC3"/>
            <w:tabs>
              <w:tab w:val="left" w:pos="1701"/>
              <w:tab w:val="right" w:leader="dot" w:pos="10252"/>
            </w:tabs>
            <w:rPr>
              <w:rFonts w:eastAsiaTheme="minorEastAsia"/>
              <w:noProof/>
              <w:szCs w:val="24"/>
              <w:lang w:eastAsia="et-EE"/>
            </w:rPr>
          </w:pPr>
          <w:hyperlink w:anchor="_Toc208991625" w:history="1">
            <w:r w:rsidRPr="001506E8">
              <w:rPr>
                <w:rStyle w:val="Hyperlink"/>
                <w:noProof/>
              </w:rPr>
              <w:t>3.4.4.</w:t>
            </w:r>
            <w:r>
              <w:rPr>
                <w:rFonts w:eastAsiaTheme="minorEastAsia"/>
                <w:noProof/>
                <w:szCs w:val="24"/>
                <w:lang w:eastAsia="et-EE"/>
              </w:rPr>
              <w:tab/>
            </w:r>
            <w:r w:rsidRPr="001506E8">
              <w:rPr>
                <w:rStyle w:val="Hyperlink"/>
                <w:noProof/>
              </w:rPr>
              <w:t>Mõjud ohutusele, turvalisusele ja julgeolekule</w:t>
            </w:r>
            <w:r>
              <w:rPr>
                <w:noProof/>
                <w:webHidden/>
              </w:rPr>
              <w:tab/>
            </w:r>
            <w:r>
              <w:rPr>
                <w:noProof/>
                <w:webHidden/>
              </w:rPr>
              <w:fldChar w:fldCharType="begin"/>
            </w:r>
            <w:r>
              <w:rPr>
                <w:noProof/>
                <w:webHidden/>
              </w:rPr>
              <w:instrText xml:space="preserve"> PAGEREF _Toc208991625 \h </w:instrText>
            </w:r>
            <w:r>
              <w:rPr>
                <w:noProof/>
                <w:webHidden/>
              </w:rPr>
            </w:r>
            <w:r>
              <w:rPr>
                <w:noProof/>
                <w:webHidden/>
              </w:rPr>
              <w:fldChar w:fldCharType="separate"/>
            </w:r>
            <w:r w:rsidR="00C55BCB">
              <w:rPr>
                <w:noProof/>
                <w:webHidden/>
              </w:rPr>
              <w:t>146</w:t>
            </w:r>
            <w:r>
              <w:rPr>
                <w:noProof/>
                <w:webHidden/>
              </w:rPr>
              <w:fldChar w:fldCharType="end"/>
            </w:r>
          </w:hyperlink>
        </w:p>
        <w:p w14:paraId="3666453E" w14:textId="180E6E72" w:rsidR="009A2B46" w:rsidRDefault="009A2B46">
          <w:pPr>
            <w:pStyle w:val="TOC3"/>
            <w:tabs>
              <w:tab w:val="left" w:pos="1701"/>
              <w:tab w:val="right" w:leader="dot" w:pos="10252"/>
            </w:tabs>
            <w:rPr>
              <w:rFonts w:eastAsiaTheme="minorEastAsia"/>
              <w:noProof/>
              <w:szCs w:val="24"/>
              <w:lang w:eastAsia="et-EE"/>
            </w:rPr>
          </w:pPr>
          <w:hyperlink w:anchor="_Toc208991626" w:history="1">
            <w:r w:rsidRPr="001506E8">
              <w:rPr>
                <w:rStyle w:val="Hyperlink"/>
                <w:noProof/>
              </w:rPr>
              <w:t>3.4.5.</w:t>
            </w:r>
            <w:r>
              <w:rPr>
                <w:rFonts w:eastAsiaTheme="minorEastAsia"/>
                <w:noProof/>
                <w:szCs w:val="24"/>
                <w:lang w:eastAsia="et-EE"/>
              </w:rPr>
              <w:tab/>
            </w:r>
            <w:r w:rsidRPr="001506E8">
              <w:rPr>
                <w:rStyle w:val="Hyperlink"/>
                <w:noProof/>
              </w:rPr>
              <w:t>Mõjud elukeskkonnale ja linnaruumile</w:t>
            </w:r>
            <w:r>
              <w:rPr>
                <w:noProof/>
                <w:webHidden/>
              </w:rPr>
              <w:tab/>
            </w:r>
            <w:r>
              <w:rPr>
                <w:noProof/>
                <w:webHidden/>
              </w:rPr>
              <w:fldChar w:fldCharType="begin"/>
            </w:r>
            <w:r>
              <w:rPr>
                <w:noProof/>
                <w:webHidden/>
              </w:rPr>
              <w:instrText xml:space="preserve"> PAGEREF _Toc208991626 \h </w:instrText>
            </w:r>
            <w:r>
              <w:rPr>
                <w:noProof/>
                <w:webHidden/>
              </w:rPr>
            </w:r>
            <w:r>
              <w:rPr>
                <w:noProof/>
                <w:webHidden/>
              </w:rPr>
              <w:fldChar w:fldCharType="separate"/>
            </w:r>
            <w:r w:rsidR="00C55BCB">
              <w:rPr>
                <w:noProof/>
                <w:webHidden/>
              </w:rPr>
              <w:t>149</w:t>
            </w:r>
            <w:r>
              <w:rPr>
                <w:noProof/>
                <w:webHidden/>
              </w:rPr>
              <w:fldChar w:fldCharType="end"/>
            </w:r>
          </w:hyperlink>
        </w:p>
        <w:p w14:paraId="0C7B2B8D" w14:textId="7FB0862D" w:rsidR="009A2B46" w:rsidRDefault="009A2B46">
          <w:pPr>
            <w:pStyle w:val="TOC3"/>
            <w:tabs>
              <w:tab w:val="left" w:pos="1701"/>
              <w:tab w:val="right" w:leader="dot" w:pos="10252"/>
            </w:tabs>
            <w:rPr>
              <w:rFonts w:eastAsiaTheme="minorEastAsia"/>
              <w:noProof/>
              <w:szCs w:val="24"/>
              <w:lang w:eastAsia="et-EE"/>
            </w:rPr>
          </w:pPr>
          <w:hyperlink w:anchor="_Toc208991627" w:history="1">
            <w:r w:rsidRPr="001506E8">
              <w:rPr>
                <w:rStyle w:val="Hyperlink"/>
                <w:noProof/>
              </w:rPr>
              <w:t>3.4.6.</w:t>
            </w:r>
            <w:r>
              <w:rPr>
                <w:rFonts w:eastAsiaTheme="minorEastAsia"/>
                <w:noProof/>
                <w:szCs w:val="24"/>
                <w:lang w:eastAsia="et-EE"/>
              </w:rPr>
              <w:tab/>
            </w:r>
            <w:r w:rsidRPr="001506E8">
              <w:rPr>
                <w:rStyle w:val="Hyperlink"/>
                <w:noProof/>
              </w:rPr>
              <w:t>Mõju avalikule sektorile</w:t>
            </w:r>
            <w:r>
              <w:rPr>
                <w:noProof/>
                <w:webHidden/>
              </w:rPr>
              <w:tab/>
            </w:r>
            <w:r>
              <w:rPr>
                <w:noProof/>
                <w:webHidden/>
              </w:rPr>
              <w:fldChar w:fldCharType="begin"/>
            </w:r>
            <w:r>
              <w:rPr>
                <w:noProof/>
                <w:webHidden/>
              </w:rPr>
              <w:instrText xml:space="preserve"> PAGEREF _Toc208991627 \h </w:instrText>
            </w:r>
            <w:r>
              <w:rPr>
                <w:noProof/>
                <w:webHidden/>
              </w:rPr>
            </w:r>
            <w:r>
              <w:rPr>
                <w:noProof/>
                <w:webHidden/>
              </w:rPr>
              <w:fldChar w:fldCharType="separate"/>
            </w:r>
            <w:r w:rsidR="00C55BCB">
              <w:rPr>
                <w:noProof/>
                <w:webHidden/>
              </w:rPr>
              <w:t>152</w:t>
            </w:r>
            <w:r>
              <w:rPr>
                <w:noProof/>
                <w:webHidden/>
              </w:rPr>
              <w:fldChar w:fldCharType="end"/>
            </w:r>
          </w:hyperlink>
        </w:p>
        <w:p w14:paraId="6C427365" w14:textId="6AF59267" w:rsidR="009A2B46" w:rsidRDefault="009A2B46">
          <w:pPr>
            <w:pStyle w:val="TOC1"/>
            <w:rPr>
              <w:rFonts w:eastAsiaTheme="minorEastAsia"/>
              <w:noProof/>
              <w:szCs w:val="24"/>
              <w:lang w:eastAsia="et-EE"/>
            </w:rPr>
          </w:pPr>
          <w:hyperlink w:anchor="_Toc208991628" w:history="1">
            <w:r w:rsidRPr="001506E8">
              <w:rPr>
                <w:rStyle w:val="Hyperlink"/>
                <w:b/>
                <w:bCs/>
                <w:noProof/>
              </w:rPr>
              <w:t>4.</w:t>
            </w:r>
            <w:r>
              <w:rPr>
                <w:rFonts w:eastAsiaTheme="minorEastAsia"/>
                <w:noProof/>
                <w:szCs w:val="24"/>
                <w:lang w:eastAsia="et-EE"/>
              </w:rPr>
              <w:tab/>
            </w:r>
            <w:r w:rsidRPr="001506E8">
              <w:rPr>
                <w:rStyle w:val="Hyperlink"/>
                <w:b/>
                <w:bCs/>
                <w:noProof/>
              </w:rPr>
              <w:t>Poliitikasoovitused turu arengu toetamiseks</w:t>
            </w:r>
            <w:r>
              <w:rPr>
                <w:noProof/>
                <w:webHidden/>
              </w:rPr>
              <w:tab/>
            </w:r>
            <w:r>
              <w:rPr>
                <w:noProof/>
                <w:webHidden/>
              </w:rPr>
              <w:fldChar w:fldCharType="begin"/>
            </w:r>
            <w:r>
              <w:rPr>
                <w:noProof/>
                <w:webHidden/>
              </w:rPr>
              <w:instrText xml:space="preserve"> PAGEREF _Toc208991628 \h </w:instrText>
            </w:r>
            <w:r>
              <w:rPr>
                <w:noProof/>
                <w:webHidden/>
              </w:rPr>
            </w:r>
            <w:r>
              <w:rPr>
                <w:noProof/>
                <w:webHidden/>
              </w:rPr>
              <w:fldChar w:fldCharType="separate"/>
            </w:r>
            <w:r w:rsidR="00C55BCB">
              <w:rPr>
                <w:noProof/>
                <w:webHidden/>
              </w:rPr>
              <w:t>154</w:t>
            </w:r>
            <w:r>
              <w:rPr>
                <w:noProof/>
                <w:webHidden/>
              </w:rPr>
              <w:fldChar w:fldCharType="end"/>
            </w:r>
          </w:hyperlink>
        </w:p>
        <w:p w14:paraId="4C51EC37" w14:textId="604514AF" w:rsidR="009A2B46" w:rsidRDefault="009A2B46">
          <w:pPr>
            <w:pStyle w:val="TOC2"/>
            <w:rPr>
              <w:rFonts w:asciiTheme="minorHAnsi" w:eastAsiaTheme="minorEastAsia" w:hAnsiTheme="minorHAnsi" w:cstheme="minorBidi"/>
              <w:b w:val="0"/>
              <w:bCs w:val="0"/>
              <w:szCs w:val="24"/>
              <w:lang w:eastAsia="et-EE"/>
            </w:rPr>
          </w:pPr>
          <w:hyperlink w:anchor="_Toc208991629" w:history="1">
            <w:r w:rsidRPr="001506E8">
              <w:rPr>
                <w:rStyle w:val="Hyperlink"/>
              </w:rPr>
              <w:t>4.1.</w:t>
            </w:r>
            <w:r>
              <w:rPr>
                <w:rFonts w:asciiTheme="minorHAnsi" w:eastAsiaTheme="minorEastAsia" w:hAnsiTheme="minorHAnsi" w:cstheme="minorBidi"/>
                <w:b w:val="0"/>
                <w:bCs w:val="0"/>
                <w:szCs w:val="24"/>
                <w:lang w:eastAsia="et-EE"/>
              </w:rPr>
              <w:tab/>
            </w:r>
            <w:r w:rsidRPr="001506E8">
              <w:rPr>
                <w:rStyle w:val="Hyperlink"/>
              </w:rPr>
              <w:t>Sekkumiste taust ja üldloogika</w:t>
            </w:r>
            <w:r>
              <w:rPr>
                <w:webHidden/>
              </w:rPr>
              <w:tab/>
            </w:r>
            <w:r>
              <w:rPr>
                <w:webHidden/>
              </w:rPr>
              <w:fldChar w:fldCharType="begin"/>
            </w:r>
            <w:r>
              <w:rPr>
                <w:webHidden/>
              </w:rPr>
              <w:instrText xml:space="preserve"> PAGEREF _Toc208991629 \h </w:instrText>
            </w:r>
            <w:r>
              <w:rPr>
                <w:webHidden/>
              </w:rPr>
            </w:r>
            <w:r>
              <w:rPr>
                <w:webHidden/>
              </w:rPr>
              <w:fldChar w:fldCharType="separate"/>
            </w:r>
            <w:r w:rsidR="00C55BCB">
              <w:rPr>
                <w:rFonts w:hint="eastAsia"/>
                <w:webHidden/>
              </w:rPr>
              <w:t>154</w:t>
            </w:r>
            <w:r>
              <w:rPr>
                <w:webHidden/>
              </w:rPr>
              <w:fldChar w:fldCharType="end"/>
            </w:r>
          </w:hyperlink>
        </w:p>
        <w:p w14:paraId="7DDFE400" w14:textId="4BB33A8B" w:rsidR="009A2B46" w:rsidRDefault="009A2B46">
          <w:pPr>
            <w:pStyle w:val="TOC2"/>
            <w:rPr>
              <w:rFonts w:asciiTheme="minorHAnsi" w:eastAsiaTheme="minorEastAsia" w:hAnsiTheme="minorHAnsi" w:cstheme="minorBidi"/>
              <w:b w:val="0"/>
              <w:bCs w:val="0"/>
              <w:szCs w:val="24"/>
              <w:lang w:eastAsia="et-EE"/>
            </w:rPr>
          </w:pPr>
          <w:hyperlink w:anchor="_Toc208991630" w:history="1">
            <w:r w:rsidRPr="001506E8">
              <w:rPr>
                <w:rStyle w:val="Hyperlink"/>
              </w:rPr>
              <w:t>4.2.</w:t>
            </w:r>
            <w:r>
              <w:rPr>
                <w:rFonts w:asciiTheme="minorHAnsi" w:eastAsiaTheme="minorEastAsia" w:hAnsiTheme="minorHAnsi" w:cstheme="minorBidi"/>
                <w:b w:val="0"/>
                <w:bCs w:val="0"/>
                <w:szCs w:val="24"/>
                <w:lang w:eastAsia="et-EE"/>
              </w:rPr>
              <w:tab/>
            </w:r>
            <w:r w:rsidRPr="001506E8">
              <w:rPr>
                <w:rStyle w:val="Hyperlink"/>
              </w:rPr>
              <w:t>Sekkumiste kirjeldused ja põhjendused</w:t>
            </w:r>
            <w:r>
              <w:rPr>
                <w:webHidden/>
              </w:rPr>
              <w:tab/>
            </w:r>
            <w:r>
              <w:rPr>
                <w:webHidden/>
              </w:rPr>
              <w:fldChar w:fldCharType="begin"/>
            </w:r>
            <w:r>
              <w:rPr>
                <w:webHidden/>
              </w:rPr>
              <w:instrText xml:space="preserve"> PAGEREF _Toc208991630 \h </w:instrText>
            </w:r>
            <w:r>
              <w:rPr>
                <w:webHidden/>
              </w:rPr>
            </w:r>
            <w:r>
              <w:rPr>
                <w:webHidden/>
              </w:rPr>
              <w:fldChar w:fldCharType="separate"/>
            </w:r>
            <w:r w:rsidR="00C55BCB">
              <w:rPr>
                <w:rFonts w:hint="eastAsia"/>
                <w:webHidden/>
              </w:rPr>
              <w:t>157</w:t>
            </w:r>
            <w:r>
              <w:rPr>
                <w:webHidden/>
              </w:rPr>
              <w:fldChar w:fldCharType="end"/>
            </w:r>
          </w:hyperlink>
        </w:p>
        <w:p w14:paraId="113AD508" w14:textId="7F3E4331" w:rsidR="009A2B46" w:rsidRDefault="009A2B46">
          <w:pPr>
            <w:pStyle w:val="TOC3"/>
            <w:tabs>
              <w:tab w:val="left" w:pos="1701"/>
              <w:tab w:val="right" w:leader="dot" w:pos="10252"/>
            </w:tabs>
            <w:rPr>
              <w:rFonts w:eastAsiaTheme="minorEastAsia"/>
              <w:noProof/>
              <w:szCs w:val="24"/>
              <w:lang w:eastAsia="et-EE"/>
            </w:rPr>
          </w:pPr>
          <w:hyperlink w:anchor="_Toc208991631" w:history="1">
            <w:r w:rsidRPr="001506E8">
              <w:rPr>
                <w:rStyle w:val="Hyperlink"/>
                <w:noProof/>
              </w:rPr>
              <w:t>4.2.1.</w:t>
            </w:r>
            <w:r>
              <w:rPr>
                <w:rFonts w:eastAsiaTheme="minorEastAsia"/>
                <w:noProof/>
                <w:szCs w:val="24"/>
                <w:lang w:eastAsia="et-EE"/>
              </w:rPr>
              <w:tab/>
            </w:r>
            <w:r w:rsidRPr="001506E8">
              <w:rPr>
                <w:rStyle w:val="Hyperlink"/>
                <w:noProof/>
              </w:rPr>
              <w:t>Lühiajalise üüri teenuse määratlemine ja sellele kohalduvate normide selgitamine</w:t>
            </w:r>
            <w:r>
              <w:rPr>
                <w:noProof/>
                <w:webHidden/>
              </w:rPr>
              <w:tab/>
            </w:r>
            <w:r>
              <w:rPr>
                <w:noProof/>
                <w:webHidden/>
              </w:rPr>
              <w:fldChar w:fldCharType="begin"/>
            </w:r>
            <w:r>
              <w:rPr>
                <w:noProof/>
                <w:webHidden/>
              </w:rPr>
              <w:instrText xml:space="preserve"> PAGEREF _Toc208991631 \h </w:instrText>
            </w:r>
            <w:r>
              <w:rPr>
                <w:noProof/>
                <w:webHidden/>
              </w:rPr>
            </w:r>
            <w:r>
              <w:rPr>
                <w:noProof/>
                <w:webHidden/>
              </w:rPr>
              <w:fldChar w:fldCharType="separate"/>
            </w:r>
            <w:r w:rsidR="00C55BCB">
              <w:rPr>
                <w:noProof/>
                <w:webHidden/>
              </w:rPr>
              <w:t>157</w:t>
            </w:r>
            <w:r>
              <w:rPr>
                <w:noProof/>
                <w:webHidden/>
              </w:rPr>
              <w:fldChar w:fldCharType="end"/>
            </w:r>
          </w:hyperlink>
        </w:p>
        <w:p w14:paraId="190B3F4B" w14:textId="546A1935" w:rsidR="009A2B46" w:rsidRDefault="009A2B46">
          <w:pPr>
            <w:pStyle w:val="TOC3"/>
            <w:tabs>
              <w:tab w:val="left" w:pos="1701"/>
              <w:tab w:val="right" w:leader="dot" w:pos="10252"/>
            </w:tabs>
            <w:rPr>
              <w:rFonts w:eastAsiaTheme="minorEastAsia"/>
              <w:noProof/>
              <w:szCs w:val="24"/>
              <w:lang w:eastAsia="et-EE"/>
            </w:rPr>
          </w:pPr>
          <w:hyperlink w:anchor="_Toc208991632" w:history="1">
            <w:r w:rsidRPr="001506E8">
              <w:rPr>
                <w:rStyle w:val="Hyperlink"/>
                <w:noProof/>
              </w:rPr>
              <w:t>4.2.2.</w:t>
            </w:r>
            <w:r>
              <w:rPr>
                <w:rFonts w:eastAsiaTheme="minorEastAsia"/>
                <w:noProof/>
                <w:szCs w:val="24"/>
                <w:lang w:eastAsia="et-EE"/>
              </w:rPr>
              <w:tab/>
            </w:r>
            <w:r w:rsidRPr="001506E8">
              <w:rPr>
                <w:rStyle w:val="Hyperlink"/>
                <w:noProof/>
              </w:rPr>
              <w:t>Võimekus turuseireks ja järelevalveks</w:t>
            </w:r>
            <w:r>
              <w:rPr>
                <w:noProof/>
                <w:webHidden/>
              </w:rPr>
              <w:tab/>
            </w:r>
            <w:r>
              <w:rPr>
                <w:noProof/>
                <w:webHidden/>
              </w:rPr>
              <w:fldChar w:fldCharType="begin"/>
            </w:r>
            <w:r>
              <w:rPr>
                <w:noProof/>
                <w:webHidden/>
              </w:rPr>
              <w:instrText xml:space="preserve"> PAGEREF _Toc208991632 \h </w:instrText>
            </w:r>
            <w:r>
              <w:rPr>
                <w:noProof/>
                <w:webHidden/>
              </w:rPr>
            </w:r>
            <w:r>
              <w:rPr>
                <w:noProof/>
                <w:webHidden/>
              </w:rPr>
              <w:fldChar w:fldCharType="separate"/>
            </w:r>
            <w:r w:rsidR="00C55BCB">
              <w:rPr>
                <w:noProof/>
                <w:webHidden/>
              </w:rPr>
              <w:t>160</w:t>
            </w:r>
            <w:r>
              <w:rPr>
                <w:noProof/>
                <w:webHidden/>
              </w:rPr>
              <w:fldChar w:fldCharType="end"/>
            </w:r>
          </w:hyperlink>
        </w:p>
        <w:p w14:paraId="5F87DA3D" w14:textId="4CECCE96" w:rsidR="009A2B46" w:rsidRDefault="009A2B46">
          <w:pPr>
            <w:pStyle w:val="TOC3"/>
            <w:tabs>
              <w:tab w:val="left" w:pos="1701"/>
              <w:tab w:val="right" w:leader="dot" w:pos="10252"/>
            </w:tabs>
            <w:rPr>
              <w:rFonts w:eastAsiaTheme="minorEastAsia"/>
              <w:noProof/>
              <w:szCs w:val="24"/>
              <w:lang w:eastAsia="et-EE"/>
            </w:rPr>
          </w:pPr>
          <w:hyperlink w:anchor="_Toc208991633" w:history="1">
            <w:r w:rsidRPr="001506E8">
              <w:rPr>
                <w:rStyle w:val="Hyperlink"/>
                <w:noProof/>
              </w:rPr>
              <w:t>4.2.3.</w:t>
            </w:r>
            <w:r>
              <w:rPr>
                <w:rFonts w:eastAsiaTheme="minorEastAsia"/>
                <w:noProof/>
                <w:szCs w:val="24"/>
                <w:lang w:eastAsia="et-EE"/>
              </w:rPr>
              <w:tab/>
            </w:r>
            <w:r w:rsidRPr="001506E8">
              <w:rPr>
                <w:rStyle w:val="Hyperlink"/>
                <w:noProof/>
              </w:rPr>
              <w:t>Nõustamine ja koostöö</w:t>
            </w:r>
            <w:r>
              <w:rPr>
                <w:noProof/>
                <w:webHidden/>
              </w:rPr>
              <w:tab/>
            </w:r>
            <w:r>
              <w:rPr>
                <w:noProof/>
                <w:webHidden/>
              </w:rPr>
              <w:fldChar w:fldCharType="begin"/>
            </w:r>
            <w:r>
              <w:rPr>
                <w:noProof/>
                <w:webHidden/>
              </w:rPr>
              <w:instrText xml:space="preserve"> PAGEREF _Toc208991633 \h </w:instrText>
            </w:r>
            <w:r>
              <w:rPr>
                <w:noProof/>
                <w:webHidden/>
              </w:rPr>
            </w:r>
            <w:r>
              <w:rPr>
                <w:noProof/>
                <w:webHidden/>
              </w:rPr>
              <w:fldChar w:fldCharType="separate"/>
            </w:r>
            <w:r w:rsidR="00C55BCB">
              <w:rPr>
                <w:noProof/>
                <w:webHidden/>
              </w:rPr>
              <w:t>163</w:t>
            </w:r>
            <w:r>
              <w:rPr>
                <w:noProof/>
                <w:webHidden/>
              </w:rPr>
              <w:fldChar w:fldCharType="end"/>
            </w:r>
          </w:hyperlink>
        </w:p>
        <w:p w14:paraId="79CC46A0" w14:textId="20CCB7AA" w:rsidR="009A2B46" w:rsidRDefault="009A2B46">
          <w:pPr>
            <w:pStyle w:val="TOC3"/>
            <w:tabs>
              <w:tab w:val="left" w:pos="1701"/>
              <w:tab w:val="right" w:leader="dot" w:pos="10252"/>
            </w:tabs>
            <w:rPr>
              <w:rFonts w:eastAsiaTheme="minorEastAsia"/>
              <w:noProof/>
              <w:szCs w:val="24"/>
              <w:lang w:eastAsia="et-EE"/>
            </w:rPr>
          </w:pPr>
          <w:hyperlink w:anchor="_Toc208991634" w:history="1">
            <w:r w:rsidRPr="001506E8">
              <w:rPr>
                <w:rStyle w:val="Hyperlink"/>
                <w:noProof/>
              </w:rPr>
              <w:t>4.2.4.</w:t>
            </w:r>
            <w:r>
              <w:rPr>
                <w:rFonts w:eastAsiaTheme="minorEastAsia"/>
                <w:noProof/>
                <w:szCs w:val="24"/>
                <w:lang w:eastAsia="et-EE"/>
              </w:rPr>
              <w:tab/>
            </w:r>
            <w:r w:rsidRPr="001506E8">
              <w:rPr>
                <w:rStyle w:val="Hyperlink"/>
                <w:noProof/>
              </w:rPr>
              <w:t>Korteriühistute õigused</w:t>
            </w:r>
            <w:r>
              <w:rPr>
                <w:noProof/>
                <w:webHidden/>
              </w:rPr>
              <w:tab/>
            </w:r>
            <w:r>
              <w:rPr>
                <w:noProof/>
                <w:webHidden/>
              </w:rPr>
              <w:fldChar w:fldCharType="begin"/>
            </w:r>
            <w:r>
              <w:rPr>
                <w:noProof/>
                <w:webHidden/>
              </w:rPr>
              <w:instrText xml:space="preserve"> PAGEREF _Toc208991634 \h </w:instrText>
            </w:r>
            <w:r>
              <w:rPr>
                <w:noProof/>
                <w:webHidden/>
              </w:rPr>
            </w:r>
            <w:r>
              <w:rPr>
                <w:noProof/>
                <w:webHidden/>
              </w:rPr>
              <w:fldChar w:fldCharType="separate"/>
            </w:r>
            <w:r w:rsidR="00C55BCB">
              <w:rPr>
                <w:noProof/>
                <w:webHidden/>
              </w:rPr>
              <w:t>165</w:t>
            </w:r>
            <w:r>
              <w:rPr>
                <w:noProof/>
                <w:webHidden/>
              </w:rPr>
              <w:fldChar w:fldCharType="end"/>
            </w:r>
          </w:hyperlink>
        </w:p>
        <w:p w14:paraId="2CBE5A9E" w14:textId="14A03C1C" w:rsidR="009A2B46" w:rsidRDefault="009A2B46">
          <w:pPr>
            <w:pStyle w:val="TOC3"/>
            <w:tabs>
              <w:tab w:val="left" w:pos="1701"/>
              <w:tab w:val="right" w:leader="dot" w:pos="10252"/>
            </w:tabs>
            <w:rPr>
              <w:rFonts w:eastAsiaTheme="minorEastAsia"/>
              <w:noProof/>
              <w:szCs w:val="24"/>
              <w:lang w:eastAsia="et-EE"/>
            </w:rPr>
          </w:pPr>
          <w:hyperlink w:anchor="_Toc208991635" w:history="1">
            <w:r w:rsidRPr="001506E8">
              <w:rPr>
                <w:rStyle w:val="Hyperlink"/>
                <w:noProof/>
              </w:rPr>
              <w:t>4.2.5.</w:t>
            </w:r>
            <w:r>
              <w:rPr>
                <w:rFonts w:eastAsiaTheme="minorEastAsia"/>
                <w:noProof/>
                <w:szCs w:val="24"/>
                <w:lang w:eastAsia="et-EE"/>
              </w:rPr>
              <w:tab/>
            </w:r>
            <w:r w:rsidRPr="001506E8">
              <w:rPr>
                <w:rStyle w:val="Hyperlink"/>
                <w:noProof/>
              </w:rPr>
              <w:t>Planeeringud, kaitsekorrad ja kasutusotstarve</w:t>
            </w:r>
            <w:r>
              <w:rPr>
                <w:noProof/>
                <w:webHidden/>
              </w:rPr>
              <w:tab/>
            </w:r>
            <w:r>
              <w:rPr>
                <w:noProof/>
                <w:webHidden/>
              </w:rPr>
              <w:fldChar w:fldCharType="begin"/>
            </w:r>
            <w:r>
              <w:rPr>
                <w:noProof/>
                <w:webHidden/>
              </w:rPr>
              <w:instrText xml:space="preserve"> PAGEREF _Toc208991635 \h </w:instrText>
            </w:r>
            <w:r>
              <w:rPr>
                <w:noProof/>
                <w:webHidden/>
              </w:rPr>
            </w:r>
            <w:r>
              <w:rPr>
                <w:noProof/>
                <w:webHidden/>
              </w:rPr>
              <w:fldChar w:fldCharType="separate"/>
            </w:r>
            <w:r w:rsidR="00C55BCB">
              <w:rPr>
                <w:noProof/>
                <w:webHidden/>
              </w:rPr>
              <w:t>167</w:t>
            </w:r>
            <w:r>
              <w:rPr>
                <w:noProof/>
                <w:webHidden/>
              </w:rPr>
              <w:fldChar w:fldCharType="end"/>
            </w:r>
          </w:hyperlink>
        </w:p>
        <w:p w14:paraId="1DA727DB" w14:textId="384D31D8" w:rsidR="009A2B46" w:rsidRDefault="009A2B46">
          <w:pPr>
            <w:pStyle w:val="TOC3"/>
            <w:tabs>
              <w:tab w:val="left" w:pos="1701"/>
              <w:tab w:val="right" w:leader="dot" w:pos="10252"/>
            </w:tabs>
            <w:rPr>
              <w:rFonts w:eastAsiaTheme="minorEastAsia"/>
              <w:noProof/>
              <w:szCs w:val="24"/>
              <w:lang w:eastAsia="et-EE"/>
            </w:rPr>
          </w:pPr>
          <w:hyperlink w:anchor="_Toc208991636" w:history="1">
            <w:r w:rsidRPr="001506E8">
              <w:rPr>
                <w:rStyle w:val="Hyperlink"/>
                <w:noProof/>
              </w:rPr>
              <w:t>4.2.6.</w:t>
            </w:r>
            <w:r>
              <w:rPr>
                <w:rFonts w:eastAsiaTheme="minorEastAsia"/>
                <w:noProof/>
                <w:szCs w:val="24"/>
                <w:lang w:eastAsia="et-EE"/>
              </w:rPr>
              <w:tab/>
            </w:r>
            <w:r w:rsidRPr="001506E8">
              <w:rPr>
                <w:rStyle w:val="Hyperlink"/>
                <w:noProof/>
              </w:rPr>
              <w:t>Stiimulite tekitamine</w:t>
            </w:r>
            <w:r>
              <w:rPr>
                <w:noProof/>
                <w:webHidden/>
              </w:rPr>
              <w:tab/>
            </w:r>
            <w:r>
              <w:rPr>
                <w:noProof/>
                <w:webHidden/>
              </w:rPr>
              <w:fldChar w:fldCharType="begin"/>
            </w:r>
            <w:r>
              <w:rPr>
                <w:noProof/>
                <w:webHidden/>
              </w:rPr>
              <w:instrText xml:space="preserve"> PAGEREF _Toc208991636 \h </w:instrText>
            </w:r>
            <w:r>
              <w:rPr>
                <w:noProof/>
                <w:webHidden/>
              </w:rPr>
            </w:r>
            <w:r>
              <w:rPr>
                <w:noProof/>
                <w:webHidden/>
              </w:rPr>
              <w:fldChar w:fldCharType="separate"/>
            </w:r>
            <w:r w:rsidR="00C55BCB">
              <w:rPr>
                <w:noProof/>
                <w:webHidden/>
              </w:rPr>
              <w:t>171</w:t>
            </w:r>
            <w:r>
              <w:rPr>
                <w:noProof/>
                <w:webHidden/>
              </w:rPr>
              <w:fldChar w:fldCharType="end"/>
            </w:r>
          </w:hyperlink>
        </w:p>
        <w:p w14:paraId="30B0C8D6" w14:textId="6EBBBA9B" w:rsidR="009A2B46" w:rsidRDefault="009A2B46">
          <w:pPr>
            <w:pStyle w:val="TOC3"/>
            <w:tabs>
              <w:tab w:val="left" w:pos="1701"/>
              <w:tab w:val="right" w:leader="dot" w:pos="10252"/>
            </w:tabs>
            <w:rPr>
              <w:rFonts w:eastAsiaTheme="minorEastAsia"/>
              <w:noProof/>
              <w:szCs w:val="24"/>
              <w:lang w:eastAsia="et-EE"/>
            </w:rPr>
          </w:pPr>
          <w:hyperlink w:anchor="_Toc208991637" w:history="1">
            <w:r w:rsidRPr="001506E8">
              <w:rPr>
                <w:rStyle w:val="Hyperlink"/>
                <w:noProof/>
              </w:rPr>
              <w:t>4.2.7.</w:t>
            </w:r>
            <w:r>
              <w:rPr>
                <w:rFonts w:eastAsiaTheme="minorEastAsia"/>
                <w:noProof/>
                <w:szCs w:val="24"/>
                <w:lang w:eastAsia="et-EE"/>
              </w:rPr>
              <w:tab/>
            </w:r>
            <w:r w:rsidRPr="001506E8">
              <w:rPr>
                <w:rStyle w:val="Hyperlink"/>
                <w:noProof/>
              </w:rPr>
              <w:t>Kohalikele omavalitsustele uute õiguslike võimaluste andmine</w:t>
            </w:r>
            <w:r>
              <w:rPr>
                <w:noProof/>
                <w:webHidden/>
              </w:rPr>
              <w:tab/>
            </w:r>
            <w:r>
              <w:rPr>
                <w:noProof/>
                <w:webHidden/>
              </w:rPr>
              <w:fldChar w:fldCharType="begin"/>
            </w:r>
            <w:r>
              <w:rPr>
                <w:noProof/>
                <w:webHidden/>
              </w:rPr>
              <w:instrText xml:space="preserve"> PAGEREF _Toc208991637 \h </w:instrText>
            </w:r>
            <w:r>
              <w:rPr>
                <w:noProof/>
                <w:webHidden/>
              </w:rPr>
            </w:r>
            <w:r>
              <w:rPr>
                <w:noProof/>
                <w:webHidden/>
              </w:rPr>
              <w:fldChar w:fldCharType="separate"/>
            </w:r>
            <w:r w:rsidR="00C55BCB">
              <w:rPr>
                <w:noProof/>
                <w:webHidden/>
              </w:rPr>
              <w:t>173</w:t>
            </w:r>
            <w:r>
              <w:rPr>
                <w:noProof/>
                <w:webHidden/>
              </w:rPr>
              <w:fldChar w:fldCharType="end"/>
            </w:r>
          </w:hyperlink>
        </w:p>
        <w:p w14:paraId="09159023" w14:textId="25498A09" w:rsidR="009A2B46" w:rsidRDefault="009A2B46">
          <w:pPr>
            <w:pStyle w:val="TOC2"/>
            <w:rPr>
              <w:rFonts w:asciiTheme="minorHAnsi" w:eastAsiaTheme="minorEastAsia" w:hAnsiTheme="minorHAnsi" w:cstheme="minorBidi"/>
              <w:b w:val="0"/>
              <w:bCs w:val="0"/>
              <w:szCs w:val="24"/>
              <w:lang w:eastAsia="et-EE"/>
            </w:rPr>
          </w:pPr>
          <w:hyperlink w:anchor="_Toc208991638" w:history="1">
            <w:r w:rsidRPr="001506E8">
              <w:rPr>
                <w:rStyle w:val="Hyperlink"/>
              </w:rPr>
              <w:t>4.3.</w:t>
            </w:r>
            <w:r>
              <w:rPr>
                <w:rFonts w:asciiTheme="minorHAnsi" w:eastAsiaTheme="minorEastAsia" w:hAnsiTheme="minorHAnsi" w:cstheme="minorBidi"/>
                <w:b w:val="0"/>
                <w:bCs w:val="0"/>
                <w:szCs w:val="24"/>
                <w:lang w:eastAsia="et-EE"/>
              </w:rPr>
              <w:tab/>
            </w:r>
            <w:r w:rsidRPr="001506E8">
              <w:rPr>
                <w:rStyle w:val="Hyperlink"/>
              </w:rPr>
              <w:t>Võimalikud lahendused Tallinna vanalinnas ja Pärnus</w:t>
            </w:r>
            <w:r>
              <w:rPr>
                <w:webHidden/>
              </w:rPr>
              <w:tab/>
            </w:r>
            <w:r>
              <w:rPr>
                <w:webHidden/>
              </w:rPr>
              <w:fldChar w:fldCharType="begin"/>
            </w:r>
            <w:r>
              <w:rPr>
                <w:webHidden/>
              </w:rPr>
              <w:instrText xml:space="preserve"> PAGEREF _Toc208991638 \h </w:instrText>
            </w:r>
            <w:r>
              <w:rPr>
                <w:webHidden/>
              </w:rPr>
            </w:r>
            <w:r>
              <w:rPr>
                <w:webHidden/>
              </w:rPr>
              <w:fldChar w:fldCharType="separate"/>
            </w:r>
            <w:r w:rsidR="00C55BCB">
              <w:rPr>
                <w:rFonts w:hint="eastAsia"/>
                <w:webHidden/>
              </w:rPr>
              <w:t>182</w:t>
            </w:r>
            <w:r>
              <w:rPr>
                <w:webHidden/>
              </w:rPr>
              <w:fldChar w:fldCharType="end"/>
            </w:r>
          </w:hyperlink>
        </w:p>
        <w:p w14:paraId="1B4752C1" w14:textId="0DF5B831" w:rsidR="009A2B46" w:rsidRDefault="009A2B46">
          <w:pPr>
            <w:pStyle w:val="TOC1"/>
            <w:rPr>
              <w:rFonts w:eastAsiaTheme="minorEastAsia"/>
              <w:noProof/>
              <w:szCs w:val="24"/>
              <w:lang w:eastAsia="et-EE"/>
            </w:rPr>
          </w:pPr>
          <w:hyperlink w:anchor="_Toc208991639" w:history="1">
            <w:r w:rsidRPr="001506E8">
              <w:rPr>
                <w:rStyle w:val="Hyperlink"/>
                <w:b/>
                <w:bCs/>
                <w:noProof/>
              </w:rPr>
              <w:t>5.</w:t>
            </w:r>
            <w:r>
              <w:rPr>
                <w:rFonts w:eastAsiaTheme="minorEastAsia"/>
                <w:noProof/>
                <w:szCs w:val="24"/>
                <w:lang w:eastAsia="et-EE"/>
              </w:rPr>
              <w:tab/>
            </w:r>
            <w:r w:rsidRPr="001506E8">
              <w:rPr>
                <w:rStyle w:val="Hyperlink"/>
                <w:b/>
                <w:bCs/>
                <w:noProof/>
              </w:rPr>
              <w:t>Lisad</w:t>
            </w:r>
            <w:r>
              <w:rPr>
                <w:noProof/>
                <w:webHidden/>
              </w:rPr>
              <w:tab/>
            </w:r>
            <w:r>
              <w:rPr>
                <w:noProof/>
                <w:webHidden/>
              </w:rPr>
              <w:fldChar w:fldCharType="begin"/>
            </w:r>
            <w:r>
              <w:rPr>
                <w:noProof/>
                <w:webHidden/>
              </w:rPr>
              <w:instrText xml:space="preserve"> PAGEREF _Toc208991639 \h </w:instrText>
            </w:r>
            <w:r>
              <w:rPr>
                <w:noProof/>
                <w:webHidden/>
              </w:rPr>
            </w:r>
            <w:r>
              <w:rPr>
                <w:noProof/>
                <w:webHidden/>
              </w:rPr>
              <w:fldChar w:fldCharType="separate"/>
            </w:r>
            <w:r w:rsidR="00C55BCB">
              <w:rPr>
                <w:noProof/>
                <w:webHidden/>
              </w:rPr>
              <w:t>184</w:t>
            </w:r>
            <w:r>
              <w:rPr>
                <w:noProof/>
                <w:webHidden/>
              </w:rPr>
              <w:fldChar w:fldCharType="end"/>
            </w:r>
          </w:hyperlink>
        </w:p>
        <w:p w14:paraId="1A3E66E5" w14:textId="0FAD64A7" w:rsidR="009A2B46" w:rsidRDefault="009A2B46">
          <w:pPr>
            <w:pStyle w:val="TOC2"/>
            <w:rPr>
              <w:rFonts w:asciiTheme="minorHAnsi" w:eastAsiaTheme="minorEastAsia" w:hAnsiTheme="minorHAnsi" w:cstheme="minorBidi"/>
              <w:b w:val="0"/>
              <w:bCs w:val="0"/>
              <w:szCs w:val="24"/>
              <w:lang w:eastAsia="et-EE"/>
            </w:rPr>
          </w:pPr>
          <w:hyperlink w:anchor="_Toc208991640" w:history="1">
            <w:r w:rsidRPr="001506E8">
              <w:rPr>
                <w:rStyle w:val="Hyperlink"/>
              </w:rPr>
              <w:t>Lisa 1. Ülevaade valitud välisriikide lühiajalise üüri turu toimimisest</w:t>
            </w:r>
            <w:r>
              <w:rPr>
                <w:webHidden/>
              </w:rPr>
              <w:tab/>
            </w:r>
            <w:r>
              <w:rPr>
                <w:webHidden/>
              </w:rPr>
              <w:fldChar w:fldCharType="begin"/>
            </w:r>
            <w:r>
              <w:rPr>
                <w:webHidden/>
              </w:rPr>
              <w:instrText xml:space="preserve"> PAGEREF _Toc208991640 \h </w:instrText>
            </w:r>
            <w:r>
              <w:rPr>
                <w:webHidden/>
              </w:rPr>
            </w:r>
            <w:r>
              <w:rPr>
                <w:webHidden/>
              </w:rPr>
              <w:fldChar w:fldCharType="separate"/>
            </w:r>
            <w:r w:rsidR="00C55BCB">
              <w:rPr>
                <w:rFonts w:hint="eastAsia"/>
                <w:webHidden/>
              </w:rPr>
              <w:t>185</w:t>
            </w:r>
            <w:r>
              <w:rPr>
                <w:webHidden/>
              </w:rPr>
              <w:fldChar w:fldCharType="end"/>
            </w:r>
          </w:hyperlink>
        </w:p>
        <w:p w14:paraId="66FE1C2E" w14:textId="7FCA8E11" w:rsidR="009A2B46" w:rsidRDefault="009A2B46">
          <w:pPr>
            <w:pStyle w:val="TOC3"/>
            <w:tabs>
              <w:tab w:val="right" w:leader="dot" w:pos="10252"/>
            </w:tabs>
            <w:rPr>
              <w:rFonts w:eastAsiaTheme="minorEastAsia"/>
              <w:noProof/>
              <w:szCs w:val="24"/>
              <w:lang w:eastAsia="et-EE"/>
            </w:rPr>
          </w:pPr>
          <w:hyperlink w:anchor="_Toc208991641" w:history="1">
            <w:r w:rsidRPr="001506E8">
              <w:rPr>
                <w:rStyle w:val="Hyperlink"/>
                <w:noProof/>
              </w:rPr>
              <w:t>Holland</w:t>
            </w:r>
            <w:r>
              <w:rPr>
                <w:noProof/>
                <w:webHidden/>
              </w:rPr>
              <w:tab/>
            </w:r>
            <w:r>
              <w:rPr>
                <w:noProof/>
                <w:webHidden/>
              </w:rPr>
              <w:fldChar w:fldCharType="begin"/>
            </w:r>
            <w:r>
              <w:rPr>
                <w:noProof/>
                <w:webHidden/>
              </w:rPr>
              <w:instrText xml:space="preserve"> PAGEREF _Toc208991641 \h </w:instrText>
            </w:r>
            <w:r>
              <w:rPr>
                <w:noProof/>
                <w:webHidden/>
              </w:rPr>
            </w:r>
            <w:r>
              <w:rPr>
                <w:noProof/>
                <w:webHidden/>
              </w:rPr>
              <w:fldChar w:fldCharType="separate"/>
            </w:r>
            <w:r w:rsidR="00C55BCB">
              <w:rPr>
                <w:noProof/>
                <w:webHidden/>
              </w:rPr>
              <w:t>185</w:t>
            </w:r>
            <w:r>
              <w:rPr>
                <w:noProof/>
                <w:webHidden/>
              </w:rPr>
              <w:fldChar w:fldCharType="end"/>
            </w:r>
          </w:hyperlink>
        </w:p>
        <w:p w14:paraId="3D8C0B5E" w14:textId="1040A23C" w:rsidR="009A2B46" w:rsidRDefault="009A2B46">
          <w:pPr>
            <w:pStyle w:val="TOC3"/>
            <w:tabs>
              <w:tab w:val="right" w:leader="dot" w:pos="10252"/>
            </w:tabs>
            <w:rPr>
              <w:rFonts w:eastAsiaTheme="minorEastAsia"/>
              <w:noProof/>
              <w:szCs w:val="24"/>
              <w:lang w:eastAsia="et-EE"/>
            </w:rPr>
          </w:pPr>
          <w:hyperlink w:anchor="_Toc208991642" w:history="1">
            <w:r w:rsidRPr="001506E8">
              <w:rPr>
                <w:rStyle w:val="Hyperlink"/>
                <w:noProof/>
              </w:rPr>
              <w:t>Saksamaa</w:t>
            </w:r>
            <w:r>
              <w:rPr>
                <w:noProof/>
                <w:webHidden/>
              </w:rPr>
              <w:tab/>
            </w:r>
            <w:r>
              <w:rPr>
                <w:noProof/>
                <w:webHidden/>
              </w:rPr>
              <w:fldChar w:fldCharType="begin"/>
            </w:r>
            <w:r>
              <w:rPr>
                <w:noProof/>
                <w:webHidden/>
              </w:rPr>
              <w:instrText xml:space="preserve"> PAGEREF _Toc208991642 \h </w:instrText>
            </w:r>
            <w:r>
              <w:rPr>
                <w:noProof/>
                <w:webHidden/>
              </w:rPr>
            </w:r>
            <w:r>
              <w:rPr>
                <w:noProof/>
                <w:webHidden/>
              </w:rPr>
              <w:fldChar w:fldCharType="separate"/>
            </w:r>
            <w:r w:rsidR="00C55BCB">
              <w:rPr>
                <w:noProof/>
                <w:webHidden/>
              </w:rPr>
              <w:t>188</w:t>
            </w:r>
            <w:r>
              <w:rPr>
                <w:noProof/>
                <w:webHidden/>
              </w:rPr>
              <w:fldChar w:fldCharType="end"/>
            </w:r>
          </w:hyperlink>
        </w:p>
        <w:p w14:paraId="409CFC40" w14:textId="02E56A9D" w:rsidR="009A2B46" w:rsidRDefault="009A2B46">
          <w:pPr>
            <w:pStyle w:val="TOC3"/>
            <w:tabs>
              <w:tab w:val="right" w:leader="dot" w:pos="10252"/>
            </w:tabs>
            <w:rPr>
              <w:rFonts w:eastAsiaTheme="minorEastAsia"/>
              <w:noProof/>
              <w:szCs w:val="24"/>
              <w:lang w:eastAsia="et-EE"/>
            </w:rPr>
          </w:pPr>
          <w:hyperlink w:anchor="_Toc208991643" w:history="1">
            <w:r w:rsidRPr="001506E8">
              <w:rPr>
                <w:rStyle w:val="Hyperlink"/>
                <w:noProof/>
              </w:rPr>
              <w:t>Soome</w:t>
            </w:r>
            <w:r>
              <w:rPr>
                <w:noProof/>
                <w:webHidden/>
              </w:rPr>
              <w:tab/>
            </w:r>
            <w:r>
              <w:rPr>
                <w:noProof/>
                <w:webHidden/>
              </w:rPr>
              <w:fldChar w:fldCharType="begin"/>
            </w:r>
            <w:r>
              <w:rPr>
                <w:noProof/>
                <w:webHidden/>
              </w:rPr>
              <w:instrText xml:space="preserve"> PAGEREF _Toc208991643 \h </w:instrText>
            </w:r>
            <w:r>
              <w:rPr>
                <w:noProof/>
                <w:webHidden/>
              </w:rPr>
            </w:r>
            <w:r>
              <w:rPr>
                <w:noProof/>
                <w:webHidden/>
              </w:rPr>
              <w:fldChar w:fldCharType="separate"/>
            </w:r>
            <w:r w:rsidR="00C55BCB">
              <w:rPr>
                <w:noProof/>
                <w:webHidden/>
              </w:rPr>
              <w:t>193</w:t>
            </w:r>
            <w:r>
              <w:rPr>
                <w:noProof/>
                <w:webHidden/>
              </w:rPr>
              <w:fldChar w:fldCharType="end"/>
            </w:r>
          </w:hyperlink>
        </w:p>
        <w:p w14:paraId="6185FAB1" w14:textId="13C91973" w:rsidR="009A2B46" w:rsidRDefault="009A2B46">
          <w:pPr>
            <w:pStyle w:val="TOC3"/>
            <w:tabs>
              <w:tab w:val="right" w:leader="dot" w:pos="10252"/>
            </w:tabs>
            <w:rPr>
              <w:rFonts w:eastAsiaTheme="minorEastAsia"/>
              <w:noProof/>
              <w:szCs w:val="24"/>
              <w:lang w:eastAsia="et-EE"/>
            </w:rPr>
          </w:pPr>
          <w:hyperlink w:anchor="_Toc208991644" w:history="1">
            <w:r w:rsidRPr="001506E8">
              <w:rPr>
                <w:rStyle w:val="Hyperlink"/>
                <w:noProof/>
              </w:rPr>
              <w:t>Tšehhi</w:t>
            </w:r>
            <w:r>
              <w:rPr>
                <w:noProof/>
                <w:webHidden/>
              </w:rPr>
              <w:tab/>
            </w:r>
            <w:r>
              <w:rPr>
                <w:noProof/>
                <w:webHidden/>
              </w:rPr>
              <w:fldChar w:fldCharType="begin"/>
            </w:r>
            <w:r>
              <w:rPr>
                <w:noProof/>
                <w:webHidden/>
              </w:rPr>
              <w:instrText xml:space="preserve"> PAGEREF _Toc208991644 \h </w:instrText>
            </w:r>
            <w:r>
              <w:rPr>
                <w:noProof/>
                <w:webHidden/>
              </w:rPr>
            </w:r>
            <w:r>
              <w:rPr>
                <w:noProof/>
                <w:webHidden/>
              </w:rPr>
              <w:fldChar w:fldCharType="separate"/>
            </w:r>
            <w:r w:rsidR="00C55BCB">
              <w:rPr>
                <w:noProof/>
                <w:webHidden/>
              </w:rPr>
              <w:t>199</w:t>
            </w:r>
            <w:r>
              <w:rPr>
                <w:noProof/>
                <w:webHidden/>
              </w:rPr>
              <w:fldChar w:fldCharType="end"/>
            </w:r>
          </w:hyperlink>
        </w:p>
        <w:p w14:paraId="6BEF312A" w14:textId="0C5FD395" w:rsidR="009A2B46" w:rsidRDefault="009A2B46">
          <w:pPr>
            <w:pStyle w:val="TOC3"/>
            <w:tabs>
              <w:tab w:val="right" w:leader="dot" w:pos="10252"/>
            </w:tabs>
            <w:rPr>
              <w:rFonts w:eastAsiaTheme="minorEastAsia"/>
              <w:noProof/>
              <w:szCs w:val="24"/>
              <w:lang w:eastAsia="et-EE"/>
            </w:rPr>
          </w:pPr>
          <w:hyperlink w:anchor="_Toc208991645" w:history="1">
            <w:r w:rsidRPr="001506E8">
              <w:rPr>
                <w:rStyle w:val="Hyperlink"/>
                <w:noProof/>
              </w:rPr>
              <w:t>Šveits</w:t>
            </w:r>
            <w:r>
              <w:rPr>
                <w:noProof/>
                <w:webHidden/>
              </w:rPr>
              <w:tab/>
            </w:r>
            <w:r>
              <w:rPr>
                <w:noProof/>
                <w:webHidden/>
              </w:rPr>
              <w:fldChar w:fldCharType="begin"/>
            </w:r>
            <w:r>
              <w:rPr>
                <w:noProof/>
                <w:webHidden/>
              </w:rPr>
              <w:instrText xml:space="preserve"> PAGEREF _Toc208991645 \h </w:instrText>
            </w:r>
            <w:r>
              <w:rPr>
                <w:noProof/>
                <w:webHidden/>
              </w:rPr>
            </w:r>
            <w:r>
              <w:rPr>
                <w:noProof/>
                <w:webHidden/>
              </w:rPr>
              <w:fldChar w:fldCharType="separate"/>
            </w:r>
            <w:r w:rsidR="00C55BCB">
              <w:rPr>
                <w:noProof/>
                <w:webHidden/>
              </w:rPr>
              <w:t>204</w:t>
            </w:r>
            <w:r>
              <w:rPr>
                <w:noProof/>
                <w:webHidden/>
              </w:rPr>
              <w:fldChar w:fldCharType="end"/>
            </w:r>
          </w:hyperlink>
        </w:p>
        <w:p w14:paraId="523E026E" w14:textId="0FED9F53" w:rsidR="009A2B46" w:rsidRDefault="009A2B46">
          <w:pPr>
            <w:pStyle w:val="TOC2"/>
            <w:rPr>
              <w:rFonts w:asciiTheme="minorHAnsi" w:eastAsiaTheme="minorEastAsia" w:hAnsiTheme="minorHAnsi" w:cstheme="minorBidi"/>
              <w:b w:val="0"/>
              <w:bCs w:val="0"/>
              <w:szCs w:val="24"/>
              <w:lang w:eastAsia="et-EE"/>
            </w:rPr>
          </w:pPr>
          <w:hyperlink w:anchor="_Toc208991646" w:history="1">
            <w:r w:rsidRPr="001506E8">
              <w:rPr>
                <w:rStyle w:val="Hyperlink"/>
              </w:rPr>
              <w:t>Lisa 2. Kokkuvõte välisriikide kogemustest</w:t>
            </w:r>
            <w:r>
              <w:rPr>
                <w:webHidden/>
              </w:rPr>
              <w:tab/>
            </w:r>
            <w:r>
              <w:rPr>
                <w:webHidden/>
              </w:rPr>
              <w:fldChar w:fldCharType="begin"/>
            </w:r>
            <w:r>
              <w:rPr>
                <w:webHidden/>
              </w:rPr>
              <w:instrText xml:space="preserve"> PAGEREF _Toc208991646 \h </w:instrText>
            </w:r>
            <w:r>
              <w:rPr>
                <w:webHidden/>
              </w:rPr>
            </w:r>
            <w:r>
              <w:rPr>
                <w:webHidden/>
              </w:rPr>
              <w:fldChar w:fldCharType="separate"/>
            </w:r>
            <w:r w:rsidR="00C55BCB">
              <w:rPr>
                <w:rFonts w:hint="eastAsia"/>
                <w:webHidden/>
              </w:rPr>
              <w:t>208</w:t>
            </w:r>
            <w:r>
              <w:rPr>
                <w:webHidden/>
              </w:rPr>
              <w:fldChar w:fldCharType="end"/>
            </w:r>
          </w:hyperlink>
        </w:p>
        <w:p w14:paraId="2FF01EA3" w14:textId="4092B2F8" w:rsidR="009A2B46" w:rsidRDefault="009A2B46">
          <w:pPr>
            <w:pStyle w:val="TOC2"/>
            <w:rPr>
              <w:rFonts w:asciiTheme="minorHAnsi" w:eastAsiaTheme="minorEastAsia" w:hAnsiTheme="minorHAnsi" w:cstheme="minorBidi"/>
              <w:b w:val="0"/>
              <w:bCs w:val="0"/>
              <w:szCs w:val="24"/>
              <w:lang w:eastAsia="et-EE"/>
            </w:rPr>
          </w:pPr>
          <w:hyperlink w:anchor="_Toc208991647" w:history="1">
            <w:r w:rsidRPr="001506E8">
              <w:rPr>
                <w:rStyle w:val="Hyperlink"/>
              </w:rPr>
              <w:t>Lisa 3. Kokkuvõte välisriikides avaldunud lühiajalise üüri turu mõjudest</w:t>
            </w:r>
            <w:r>
              <w:rPr>
                <w:webHidden/>
              </w:rPr>
              <w:tab/>
            </w:r>
            <w:r>
              <w:rPr>
                <w:webHidden/>
              </w:rPr>
              <w:fldChar w:fldCharType="begin"/>
            </w:r>
            <w:r>
              <w:rPr>
                <w:webHidden/>
              </w:rPr>
              <w:instrText xml:space="preserve"> PAGEREF _Toc208991647 \h </w:instrText>
            </w:r>
            <w:r>
              <w:rPr>
                <w:webHidden/>
              </w:rPr>
            </w:r>
            <w:r>
              <w:rPr>
                <w:webHidden/>
              </w:rPr>
              <w:fldChar w:fldCharType="separate"/>
            </w:r>
            <w:r w:rsidR="00C55BCB">
              <w:rPr>
                <w:rFonts w:hint="eastAsia"/>
                <w:webHidden/>
              </w:rPr>
              <w:t>214</w:t>
            </w:r>
            <w:r>
              <w:rPr>
                <w:webHidden/>
              </w:rPr>
              <w:fldChar w:fldCharType="end"/>
            </w:r>
          </w:hyperlink>
        </w:p>
        <w:p w14:paraId="29D4238A" w14:textId="3793796D" w:rsidR="009A2B46" w:rsidRDefault="009A2B46">
          <w:pPr>
            <w:pStyle w:val="TOC2"/>
            <w:rPr>
              <w:rFonts w:asciiTheme="minorHAnsi" w:eastAsiaTheme="minorEastAsia" w:hAnsiTheme="minorHAnsi" w:cstheme="minorBidi"/>
              <w:b w:val="0"/>
              <w:bCs w:val="0"/>
              <w:szCs w:val="24"/>
              <w:lang w:eastAsia="et-EE"/>
            </w:rPr>
          </w:pPr>
          <w:hyperlink w:anchor="_Toc208991648" w:history="1">
            <w:r w:rsidRPr="001506E8">
              <w:rPr>
                <w:rStyle w:val="Hyperlink"/>
              </w:rPr>
              <w:t>Lisa 4. Kokkuvõte Eesti turuosaliste poolt intervjuudes välja toodud lühiajalise üüri turu mõjud</w:t>
            </w:r>
            <w:r>
              <w:rPr>
                <w:webHidden/>
              </w:rPr>
              <w:tab/>
            </w:r>
            <w:r>
              <w:rPr>
                <w:webHidden/>
              </w:rPr>
              <w:fldChar w:fldCharType="begin"/>
            </w:r>
            <w:r>
              <w:rPr>
                <w:webHidden/>
              </w:rPr>
              <w:instrText xml:space="preserve"> PAGEREF _Toc208991648 \h </w:instrText>
            </w:r>
            <w:r>
              <w:rPr>
                <w:webHidden/>
              </w:rPr>
            </w:r>
            <w:r>
              <w:rPr>
                <w:webHidden/>
              </w:rPr>
              <w:fldChar w:fldCharType="separate"/>
            </w:r>
            <w:r w:rsidR="00C55BCB">
              <w:rPr>
                <w:rFonts w:hint="eastAsia"/>
                <w:webHidden/>
              </w:rPr>
              <w:t>215</w:t>
            </w:r>
            <w:r>
              <w:rPr>
                <w:webHidden/>
              </w:rPr>
              <w:fldChar w:fldCharType="end"/>
            </w:r>
          </w:hyperlink>
        </w:p>
        <w:p w14:paraId="4A64342F" w14:textId="155D5C84" w:rsidR="009A2B46" w:rsidRDefault="009A2B46">
          <w:pPr>
            <w:pStyle w:val="TOC2"/>
            <w:rPr>
              <w:rFonts w:asciiTheme="minorHAnsi" w:eastAsiaTheme="minorEastAsia" w:hAnsiTheme="minorHAnsi" w:cstheme="minorBidi"/>
              <w:b w:val="0"/>
              <w:bCs w:val="0"/>
              <w:szCs w:val="24"/>
              <w:lang w:eastAsia="et-EE"/>
            </w:rPr>
          </w:pPr>
          <w:hyperlink w:anchor="_Toc208991649" w:history="1">
            <w:r w:rsidRPr="001506E8">
              <w:rPr>
                <w:rStyle w:val="Hyperlink"/>
              </w:rPr>
              <w:t>Lisa 5. Turu mahtu kajastavad andmeallikad ja andmed</w:t>
            </w:r>
            <w:r>
              <w:rPr>
                <w:webHidden/>
              </w:rPr>
              <w:tab/>
            </w:r>
            <w:r>
              <w:rPr>
                <w:webHidden/>
              </w:rPr>
              <w:fldChar w:fldCharType="begin"/>
            </w:r>
            <w:r>
              <w:rPr>
                <w:webHidden/>
              </w:rPr>
              <w:instrText xml:space="preserve"> PAGEREF _Toc208991649 \h </w:instrText>
            </w:r>
            <w:r>
              <w:rPr>
                <w:webHidden/>
              </w:rPr>
            </w:r>
            <w:r>
              <w:rPr>
                <w:webHidden/>
              </w:rPr>
              <w:fldChar w:fldCharType="separate"/>
            </w:r>
            <w:r w:rsidR="00C55BCB">
              <w:rPr>
                <w:rFonts w:hint="eastAsia"/>
                <w:webHidden/>
              </w:rPr>
              <w:t>218</w:t>
            </w:r>
            <w:r>
              <w:rPr>
                <w:webHidden/>
              </w:rPr>
              <w:fldChar w:fldCharType="end"/>
            </w:r>
          </w:hyperlink>
        </w:p>
        <w:p w14:paraId="0132BAC2" w14:textId="2056ADC6" w:rsidR="009A2B46" w:rsidRDefault="009A2B46">
          <w:pPr>
            <w:pStyle w:val="TOC2"/>
            <w:rPr>
              <w:rFonts w:asciiTheme="minorHAnsi" w:eastAsiaTheme="minorEastAsia" w:hAnsiTheme="minorHAnsi" w:cstheme="minorBidi"/>
              <w:b w:val="0"/>
              <w:bCs w:val="0"/>
              <w:szCs w:val="24"/>
              <w:lang w:eastAsia="et-EE"/>
            </w:rPr>
          </w:pPr>
          <w:hyperlink w:anchor="_Toc208991650" w:history="1">
            <w:r w:rsidRPr="001506E8">
              <w:rPr>
                <w:rStyle w:val="Hyperlink"/>
              </w:rPr>
              <w:t>Lisa 5a. Andmekraapimiste metoodika ja tulemused</w:t>
            </w:r>
            <w:r>
              <w:rPr>
                <w:webHidden/>
              </w:rPr>
              <w:tab/>
            </w:r>
            <w:r>
              <w:rPr>
                <w:webHidden/>
              </w:rPr>
              <w:fldChar w:fldCharType="begin"/>
            </w:r>
            <w:r>
              <w:rPr>
                <w:webHidden/>
              </w:rPr>
              <w:instrText xml:space="preserve"> PAGEREF _Toc208991650 \h </w:instrText>
            </w:r>
            <w:r>
              <w:rPr>
                <w:webHidden/>
              </w:rPr>
            </w:r>
            <w:r>
              <w:rPr>
                <w:webHidden/>
              </w:rPr>
              <w:fldChar w:fldCharType="separate"/>
            </w:r>
            <w:r w:rsidR="00C55BCB">
              <w:rPr>
                <w:rFonts w:hint="eastAsia"/>
                <w:webHidden/>
              </w:rPr>
              <w:t>241</w:t>
            </w:r>
            <w:r>
              <w:rPr>
                <w:webHidden/>
              </w:rPr>
              <w:fldChar w:fldCharType="end"/>
            </w:r>
          </w:hyperlink>
        </w:p>
        <w:p w14:paraId="12334320" w14:textId="382E01C8" w:rsidR="009A2B46" w:rsidRDefault="009A2B46">
          <w:pPr>
            <w:pStyle w:val="TOC2"/>
            <w:rPr>
              <w:rFonts w:asciiTheme="minorHAnsi" w:eastAsiaTheme="minorEastAsia" w:hAnsiTheme="minorHAnsi" w:cstheme="minorBidi"/>
              <w:b w:val="0"/>
              <w:bCs w:val="0"/>
              <w:szCs w:val="24"/>
              <w:lang w:eastAsia="et-EE"/>
            </w:rPr>
          </w:pPr>
          <w:hyperlink w:anchor="_Toc208991651" w:history="1">
            <w:r w:rsidRPr="001506E8">
              <w:rPr>
                <w:rStyle w:val="Hyperlink"/>
              </w:rPr>
              <w:t>Lisa 6. Uuringus osalenute valim</w:t>
            </w:r>
            <w:r>
              <w:rPr>
                <w:webHidden/>
              </w:rPr>
              <w:tab/>
            </w:r>
            <w:r>
              <w:rPr>
                <w:webHidden/>
              </w:rPr>
              <w:fldChar w:fldCharType="begin"/>
            </w:r>
            <w:r>
              <w:rPr>
                <w:webHidden/>
              </w:rPr>
              <w:instrText xml:space="preserve"> PAGEREF _Toc208991651 \h </w:instrText>
            </w:r>
            <w:r>
              <w:rPr>
                <w:webHidden/>
              </w:rPr>
            </w:r>
            <w:r>
              <w:rPr>
                <w:webHidden/>
              </w:rPr>
              <w:fldChar w:fldCharType="separate"/>
            </w:r>
            <w:r w:rsidR="00C55BCB">
              <w:rPr>
                <w:rFonts w:hint="eastAsia"/>
                <w:webHidden/>
              </w:rPr>
              <w:t>244</w:t>
            </w:r>
            <w:r>
              <w:rPr>
                <w:webHidden/>
              </w:rPr>
              <w:fldChar w:fldCharType="end"/>
            </w:r>
          </w:hyperlink>
        </w:p>
        <w:p w14:paraId="60D39CBB" w14:textId="53A2E144" w:rsidR="0071754B" w:rsidRPr="00E14EBC" w:rsidRDefault="0071754B">
          <w:r w:rsidRPr="00537B2B">
            <w:rPr>
              <w:b/>
              <w:bCs/>
              <w:noProof/>
              <w:sz w:val="20"/>
              <w:szCs w:val="20"/>
            </w:rPr>
            <w:fldChar w:fldCharType="end"/>
          </w:r>
        </w:p>
      </w:sdtContent>
    </w:sdt>
    <w:p w14:paraId="4DAD001E" w14:textId="77777777" w:rsidR="00831DB4" w:rsidRPr="00E14EBC" w:rsidRDefault="00831DB4">
      <w:pPr>
        <w:rPr>
          <w:sz w:val="22"/>
          <w:szCs w:val="20"/>
        </w:rPr>
      </w:pPr>
    </w:p>
    <w:p w14:paraId="77D268E9" w14:textId="6CE95384" w:rsidR="000A1DBF" w:rsidRPr="00E14EBC" w:rsidRDefault="000A1DBF" w:rsidP="000A1DBF">
      <w:pPr>
        <w:spacing w:before="0" w:line="259" w:lineRule="auto"/>
      </w:pPr>
      <w:r w:rsidRPr="00E14EBC">
        <w:br w:type="page"/>
      </w:r>
    </w:p>
    <w:p w14:paraId="4EEB2132" w14:textId="5EBA6B45" w:rsidR="00286BAF" w:rsidRPr="00E14EBC" w:rsidRDefault="63AADEE8" w:rsidP="64F64B3A">
      <w:pPr>
        <w:pStyle w:val="Heading1"/>
        <w:numPr>
          <w:ilvl w:val="0"/>
          <w:numId w:val="0"/>
        </w:numPr>
        <w:ind w:left="454" w:hanging="454"/>
        <w:rPr>
          <w:rFonts w:hint="eastAsia"/>
        </w:rPr>
      </w:pPr>
      <w:bookmarkStart w:id="0" w:name="_Toc197718046"/>
      <w:bookmarkStart w:id="1" w:name="_Toc208991561"/>
      <w:bookmarkStart w:id="2" w:name="_Toc171806610"/>
      <w:r>
        <w:lastRenderedPageBreak/>
        <w:t>Kasutatud lühendid</w:t>
      </w:r>
      <w:bookmarkEnd w:id="0"/>
      <w:bookmarkEnd w:id="1"/>
    </w:p>
    <w:tbl>
      <w:tblPr>
        <w:tblStyle w:val="TableGrid"/>
        <w:tblW w:w="0" w:type="auto"/>
        <w:tblLook w:val="04A0" w:firstRow="1" w:lastRow="0" w:firstColumn="1" w:lastColumn="0" w:noHBand="0" w:noVBand="1"/>
      </w:tblPr>
      <w:tblGrid>
        <w:gridCol w:w="1060"/>
        <w:gridCol w:w="9192"/>
      </w:tblGrid>
      <w:tr w:rsidR="00A700B0" w:rsidRPr="00E14EBC" w14:paraId="4E0CA20B" w14:textId="77777777" w:rsidTr="00817CF0">
        <w:tc>
          <w:tcPr>
            <w:tcW w:w="1060" w:type="dxa"/>
          </w:tcPr>
          <w:p w14:paraId="538D12EB" w14:textId="77777777" w:rsidR="00A700B0" w:rsidRPr="006A7CE2" w:rsidRDefault="00A700B0" w:rsidP="00A700B0">
            <w:pPr>
              <w:spacing w:before="0" w:after="100" w:afterAutospacing="1" w:line="240" w:lineRule="auto"/>
              <w:rPr>
                <w:sz w:val="20"/>
                <w:szCs w:val="20"/>
              </w:rPr>
            </w:pPr>
            <w:r w:rsidRPr="006A7CE2">
              <w:rPr>
                <w:sz w:val="20"/>
                <w:szCs w:val="20"/>
              </w:rPr>
              <w:t xml:space="preserve">ADR </w:t>
            </w:r>
          </w:p>
        </w:tc>
        <w:tc>
          <w:tcPr>
            <w:tcW w:w="9192" w:type="dxa"/>
          </w:tcPr>
          <w:p w14:paraId="661BA819" w14:textId="68142EB1" w:rsidR="00A700B0" w:rsidRPr="006A7CE2" w:rsidRDefault="00A700B0" w:rsidP="00A700B0">
            <w:pPr>
              <w:spacing w:before="0" w:after="100" w:afterAutospacing="1" w:line="240" w:lineRule="auto"/>
              <w:rPr>
                <w:sz w:val="20"/>
                <w:szCs w:val="20"/>
              </w:rPr>
            </w:pPr>
            <w:r w:rsidRPr="006A7CE2">
              <w:rPr>
                <w:i/>
                <w:iCs/>
                <w:sz w:val="20"/>
                <w:szCs w:val="20"/>
              </w:rPr>
              <w:t>average daily rate</w:t>
            </w:r>
            <w:r w:rsidRPr="006A7CE2">
              <w:rPr>
                <w:sz w:val="20"/>
                <w:szCs w:val="20"/>
              </w:rPr>
              <w:t xml:space="preserve"> ehk (toa või majutuskoha) keskmine päevahind</w:t>
            </w:r>
          </w:p>
        </w:tc>
      </w:tr>
      <w:tr w:rsidR="00A700B0" w:rsidRPr="00E14EBC" w14:paraId="1E217341" w14:textId="77777777" w:rsidTr="00817CF0">
        <w:tc>
          <w:tcPr>
            <w:tcW w:w="1060" w:type="dxa"/>
          </w:tcPr>
          <w:p w14:paraId="55B16D77" w14:textId="77777777" w:rsidR="00A700B0" w:rsidRPr="006A7CE2" w:rsidRDefault="00A700B0" w:rsidP="00A700B0">
            <w:pPr>
              <w:spacing w:before="0" w:after="100" w:afterAutospacing="1" w:line="240" w:lineRule="auto"/>
              <w:rPr>
                <w:sz w:val="20"/>
                <w:szCs w:val="20"/>
              </w:rPr>
            </w:pPr>
            <w:r w:rsidRPr="006A7CE2">
              <w:rPr>
                <w:sz w:val="20"/>
                <w:szCs w:val="20"/>
              </w:rPr>
              <w:t xml:space="preserve">DAC7 </w:t>
            </w:r>
          </w:p>
        </w:tc>
        <w:tc>
          <w:tcPr>
            <w:tcW w:w="9192" w:type="dxa"/>
          </w:tcPr>
          <w:p w14:paraId="12C15689" w14:textId="5C437795" w:rsidR="00A700B0" w:rsidRPr="006A7CE2" w:rsidRDefault="00A700B0" w:rsidP="5EA08A04">
            <w:pPr>
              <w:spacing w:before="0" w:afterAutospacing="1" w:line="240" w:lineRule="auto"/>
              <w:rPr>
                <w:sz w:val="20"/>
                <w:szCs w:val="20"/>
              </w:rPr>
            </w:pPr>
            <w:r w:rsidRPr="006A7CE2">
              <w:rPr>
                <w:sz w:val="20"/>
                <w:szCs w:val="20"/>
              </w:rPr>
              <w:t>Euroopa Nõukogu direktiiv (EL) 2021/514 (22.03.2021), millega muudetakse direktiivi 2011/16/EL maksustamisalase halduskoostöö kohta</w:t>
            </w:r>
          </w:p>
        </w:tc>
      </w:tr>
      <w:tr w:rsidR="00A700B0" w:rsidRPr="00E14EBC" w14:paraId="6EA1C19B" w14:textId="77777777" w:rsidTr="00817CF0">
        <w:tc>
          <w:tcPr>
            <w:tcW w:w="1060" w:type="dxa"/>
          </w:tcPr>
          <w:p w14:paraId="044F41E9" w14:textId="77777777" w:rsidR="00A700B0" w:rsidRPr="006A7CE2" w:rsidRDefault="00A700B0" w:rsidP="00A700B0">
            <w:pPr>
              <w:spacing w:before="0" w:after="100" w:afterAutospacing="1" w:line="240" w:lineRule="auto"/>
              <w:rPr>
                <w:sz w:val="20"/>
                <w:szCs w:val="20"/>
              </w:rPr>
            </w:pPr>
            <w:r w:rsidRPr="006A7CE2">
              <w:rPr>
                <w:sz w:val="20"/>
                <w:szCs w:val="20"/>
              </w:rPr>
              <w:t xml:space="preserve">DMO </w:t>
            </w:r>
          </w:p>
        </w:tc>
        <w:tc>
          <w:tcPr>
            <w:tcW w:w="9192" w:type="dxa"/>
          </w:tcPr>
          <w:p w14:paraId="6FA02B15" w14:textId="24840925" w:rsidR="00A700B0" w:rsidRPr="006A7CE2" w:rsidRDefault="1BF7694F" w:rsidP="1688D34F">
            <w:pPr>
              <w:spacing w:before="0" w:after="100" w:afterAutospacing="1" w:line="240" w:lineRule="auto"/>
              <w:rPr>
                <w:sz w:val="20"/>
                <w:szCs w:val="20"/>
              </w:rPr>
            </w:pPr>
            <w:r w:rsidRPr="1688D34F">
              <w:rPr>
                <w:i/>
                <w:iCs/>
                <w:sz w:val="20"/>
                <w:szCs w:val="20"/>
              </w:rPr>
              <w:t>destination management organisation</w:t>
            </w:r>
            <w:r w:rsidRPr="1688D34F">
              <w:rPr>
                <w:sz w:val="20"/>
                <w:szCs w:val="20"/>
              </w:rPr>
              <w:t xml:space="preserve"> ehk kohalik turismiedenduse organisatsioon</w:t>
            </w:r>
          </w:p>
        </w:tc>
      </w:tr>
      <w:tr w:rsidR="00A700B0" w:rsidRPr="00E14EBC" w14:paraId="0ADCE2EA" w14:textId="77777777" w:rsidTr="00817CF0">
        <w:tc>
          <w:tcPr>
            <w:tcW w:w="1060" w:type="dxa"/>
          </w:tcPr>
          <w:p w14:paraId="4E8D569C" w14:textId="77777777" w:rsidR="00A700B0" w:rsidRPr="006A7CE2" w:rsidRDefault="00A700B0" w:rsidP="00A700B0">
            <w:pPr>
              <w:spacing w:before="0" w:after="100" w:afterAutospacing="1" w:line="240" w:lineRule="auto"/>
              <w:rPr>
                <w:sz w:val="20"/>
                <w:szCs w:val="20"/>
              </w:rPr>
            </w:pPr>
            <w:r w:rsidRPr="006A7CE2">
              <w:rPr>
                <w:sz w:val="20"/>
                <w:szCs w:val="20"/>
              </w:rPr>
              <w:t xml:space="preserve">EHRL </w:t>
            </w:r>
          </w:p>
        </w:tc>
        <w:tc>
          <w:tcPr>
            <w:tcW w:w="9192" w:type="dxa"/>
          </w:tcPr>
          <w:p w14:paraId="1F408FE4" w14:textId="1B69D63C" w:rsidR="00A700B0" w:rsidRPr="006A7CE2" w:rsidRDefault="1BF7694F" w:rsidP="06639471">
            <w:pPr>
              <w:spacing w:before="0" w:after="100" w:afterAutospacing="1" w:line="240" w:lineRule="auto"/>
              <w:rPr>
                <w:sz w:val="20"/>
                <w:szCs w:val="20"/>
              </w:rPr>
            </w:pPr>
            <w:r w:rsidRPr="06639471">
              <w:rPr>
                <w:sz w:val="20"/>
                <w:szCs w:val="20"/>
              </w:rPr>
              <w:t xml:space="preserve">Eesti </w:t>
            </w:r>
            <w:r w:rsidR="2665C50A" w:rsidRPr="06639471">
              <w:rPr>
                <w:sz w:val="20"/>
                <w:szCs w:val="20"/>
              </w:rPr>
              <w:t>H</w:t>
            </w:r>
            <w:r w:rsidRPr="06639471">
              <w:rPr>
                <w:sz w:val="20"/>
                <w:szCs w:val="20"/>
              </w:rPr>
              <w:t xml:space="preserve">otellide ja </w:t>
            </w:r>
            <w:r w:rsidR="5407906A" w:rsidRPr="06639471">
              <w:rPr>
                <w:sz w:val="20"/>
                <w:szCs w:val="20"/>
              </w:rPr>
              <w:t>R</w:t>
            </w:r>
            <w:r w:rsidRPr="06639471">
              <w:rPr>
                <w:sz w:val="20"/>
                <w:szCs w:val="20"/>
              </w:rPr>
              <w:t xml:space="preserve">estoranide </w:t>
            </w:r>
            <w:r w:rsidR="4C5DC005" w:rsidRPr="06639471">
              <w:rPr>
                <w:sz w:val="20"/>
                <w:szCs w:val="20"/>
              </w:rPr>
              <w:t>L</w:t>
            </w:r>
            <w:r w:rsidRPr="06639471">
              <w:rPr>
                <w:sz w:val="20"/>
                <w:szCs w:val="20"/>
              </w:rPr>
              <w:t>iit</w:t>
            </w:r>
          </w:p>
        </w:tc>
      </w:tr>
      <w:tr w:rsidR="00A700B0" w:rsidRPr="00E14EBC" w14:paraId="4259E1C6" w14:textId="77777777" w:rsidTr="00817CF0">
        <w:tc>
          <w:tcPr>
            <w:tcW w:w="1060" w:type="dxa"/>
          </w:tcPr>
          <w:p w14:paraId="56F9F09D" w14:textId="54F39ED9" w:rsidR="00A700B0" w:rsidRPr="006A7CE2" w:rsidRDefault="00A700B0" w:rsidP="00A700B0">
            <w:pPr>
              <w:spacing w:before="0" w:after="100" w:afterAutospacing="1" w:line="240" w:lineRule="auto"/>
              <w:rPr>
                <w:sz w:val="20"/>
                <w:szCs w:val="20"/>
              </w:rPr>
            </w:pPr>
            <w:r w:rsidRPr="006A7CE2">
              <w:rPr>
                <w:sz w:val="20"/>
                <w:szCs w:val="20"/>
              </w:rPr>
              <w:t xml:space="preserve">EhS </w:t>
            </w:r>
          </w:p>
        </w:tc>
        <w:tc>
          <w:tcPr>
            <w:tcW w:w="9192" w:type="dxa"/>
          </w:tcPr>
          <w:p w14:paraId="4D90AD6C" w14:textId="2A26F45E" w:rsidR="00A700B0" w:rsidRPr="006A7CE2" w:rsidRDefault="00A700B0" w:rsidP="00A700B0">
            <w:pPr>
              <w:spacing w:before="0" w:after="100" w:afterAutospacing="1" w:line="240" w:lineRule="auto"/>
              <w:rPr>
                <w:sz w:val="20"/>
                <w:szCs w:val="20"/>
              </w:rPr>
            </w:pPr>
            <w:r w:rsidRPr="006A7CE2">
              <w:rPr>
                <w:sz w:val="20"/>
                <w:szCs w:val="20"/>
              </w:rPr>
              <w:t xml:space="preserve">ehitusseadustik </w:t>
            </w:r>
          </w:p>
        </w:tc>
      </w:tr>
      <w:tr w:rsidR="00A700B0" w:rsidRPr="00E14EBC" w14:paraId="07053D2A" w14:textId="77777777" w:rsidTr="00817CF0">
        <w:tc>
          <w:tcPr>
            <w:tcW w:w="1060" w:type="dxa"/>
          </w:tcPr>
          <w:p w14:paraId="0D374518" w14:textId="77777777" w:rsidR="00A700B0" w:rsidRPr="006A7CE2" w:rsidRDefault="00A700B0" w:rsidP="00A700B0">
            <w:pPr>
              <w:spacing w:before="0" w:after="100" w:afterAutospacing="1" w:line="240" w:lineRule="auto"/>
              <w:rPr>
                <w:sz w:val="20"/>
                <w:szCs w:val="20"/>
              </w:rPr>
            </w:pPr>
            <w:r w:rsidRPr="006A7CE2">
              <w:rPr>
                <w:sz w:val="20"/>
                <w:szCs w:val="20"/>
              </w:rPr>
              <w:t xml:space="preserve">EIS </w:t>
            </w:r>
          </w:p>
        </w:tc>
        <w:tc>
          <w:tcPr>
            <w:tcW w:w="9192" w:type="dxa"/>
          </w:tcPr>
          <w:p w14:paraId="1C626D3B" w14:textId="319FACAA" w:rsidR="00A700B0" w:rsidRPr="006A7CE2" w:rsidRDefault="00A700B0" w:rsidP="00A700B0">
            <w:pPr>
              <w:spacing w:before="0" w:after="100" w:afterAutospacing="1" w:line="240" w:lineRule="auto"/>
              <w:rPr>
                <w:sz w:val="20"/>
                <w:szCs w:val="20"/>
              </w:rPr>
            </w:pPr>
            <w:r w:rsidRPr="006A7CE2">
              <w:rPr>
                <w:sz w:val="20"/>
                <w:szCs w:val="20"/>
              </w:rPr>
              <w:t>Ettevõtluse ja Innovatsiooni Sihtasutus</w:t>
            </w:r>
          </w:p>
        </w:tc>
      </w:tr>
      <w:tr w:rsidR="00A700B0" w:rsidRPr="00E14EBC" w14:paraId="59D58BA2" w14:textId="77777777" w:rsidTr="00817CF0">
        <w:tc>
          <w:tcPr>
            <w:tcW w:w="1060" w:type="dxa"/>
          </w:tcPr>
          <w:p w14:paraId="6F0827BB" w14:textId="77777777" w:rsidR="00A700B0" w:rsidRPr="006A7CE2" w:rsidRDefault="00A700B0" w:rsidP="00A700B0">
            <w:pPr>
              <w:spacing w:before="0" w:after="100" w:afterAutospacing="1" w:line="240" w:lineRule="auto"/>
              <w:rPr>
                <w:sz w:val="20"/>
                <w:szCs w:val="20"/>
              </w:rPr>
            </w:pPr>
            <w:r w:rsidRPr="006A7CE2">
              <w:rPr>
                <w:sz w:val="20"/>
                <w:szCs w:val="20"/>
              </w:rPr>
              <w:t xml:space="preserve">EL </w:t>
            </w:r>
          </w:p>
        </w:tc>
        <w:tc>
          <w:tcPr>
            <w:tcW w:w="9192" w:type="dxa"/>
          </w:tcPr>
          <w:p w14:paraId="26E928F8" w14:textId="0DB34661" w:rsidR="00A700B0" w:rsidRPr="006A7CE2" w:rsidRDefault="00A700B0" w:rsidP="00A700B0">
            <w:pPr>
              <w:spacing w:before="0" w:after="100" w:afterAutospacing="1" w:line="240" w:lineRule="auto"/>
              <w:rPr>
                <w:sz w:val="20"/>
                <w:szCs w:val="20"/>
              </w:rPr>
            </w:pPr>
            <w:r w:rsidRPr="006A7CE2">
              <w:rPr>
                <w:sz w:val="20"/>
                <w:szCs w:val="20"/>
              </w:rPr>
              <w:t>Euroopa Liit</w:t>
            </w:r>
          </w:p>
        </w:tc>
      </w:tr>
      <w:tr w:rsidR="00A700B0" w:rsidRPr="00E14EBC" w14:paraId="69776E88" w14:textId="77777777" w:rsidTr="00817CF0">
        <w:tc>
          <w:tcPr>
            <w:tcW w:w="1060" w:type="dxa"/>
          </w:tcPr>
          <w:p w14:paraId="705AA203" w14:textId="77777777" w:rsidR="00A700B0" w:rsidRPr="006A7CE2" w:rsidRDefault="00A700B0" w:rsidP="00A700B0">
            <w:pPr>
              <w:spacing w:before="0" w:after="100" w:afterAutospacing="1" w:line="240" w:lineRule="auto"/>
              <w:rPr>
                <w:sz w:val="20"/>
                <w:szCs w:val="20"/>
              </w:rPr>
            </w:pPr>
            <w:r w:rsidRPr="006A7CE2">
              <w:rPr>
                <w:sz w:val="20"/>
                <w:szCs w:val="20"/>
              </w:rPr>
              <w:t xml:space="preserve">EMTAK </w:t>
            </w:r>
          </w:p>
        </w:tc>
        <w:tc>
          <w:tcPr>
            <w:tcW w:w="9192" w:type="dxa"/>
          </w:tcPr>
          <w:p w14:paraId="600636F6" w14:textId="3F7F3223" w:rsidR="00A700B0" w:rsidRPr="006A7CE2" w:rsidRDefault="00A700B0" w:rsidP="00A700B0">
            <w:pPr>
              <w:spacing w:before="0" w:after="100" w:afterAutospacing="1" w:line="240" w:lineRule="auto"/>
              <w:rPr>
                <w:sz w:val="20"/>
                <w:szCs w:val="20"/>
              </w:rPr>
            </w:pPr>
            <w:r w:rsidRPr="006A7CE2">
              <w:rPr>
                <w:sz w:val="20"/>
                <w:szCs w:val="20"/>
              </w:rPr>
              <w:t>Eesti Majanduse Tegevusalade Klassifikaator (EMTAK2008)</w:t>
            </w:r>
          </w:p>
        </w:tc>
      </w:tr>
      <w:tr w:rsidR="00A700B0" w:rsidRPr="00E14EBC" w14:paraId="3184322C" w14:textId="77777777" w:rsidTr="00817CF0">
        <w:tc>
          <w:tcPr>
            <w:tcW w:w="1060" w:type="dxa"/>
          </w:tcPr>
          <w:p w14:paraId="25D83837" w14:textId="13360ABB" w:rsidR="00A700B0" w:rsidRPr="006A7CE2" w:rsidRDefault="004044F1" w:rsidP="00A700B0">
            <w:pPr>
              <w:spacing w:before="0" w:after="100" w:afterAutospacing="1" w:line="240" w:lineRule="auto"/>
              <w:rPr>
                <w:rFonts w:ascii="Arial" w:hAnsi="Arial" w:cs="Arial"/>
                <w:sz w:val="20"/>
                <w:szCs w:val="20"/>
              </w:rPr>
            </w:pPr>
            <w:r>
              <w:rPr>
                <w:sz w:val="20"/>
                <w:szCs w:val="20"/>
              </w:rPr>
              <w:t>SA</w:t>
            </w:r>
          </w:p>
        </w:tc>
        <w:tc>
          <w:tcPr>
            <w:tcW w:w="9192" w:type="dxa"/>
          </w:tcPr>
          <w:p w14:paraId="72F16387" w14:textId="464C6FCC" w:rsidR="00A700B0" w:rsidRPr="006A7CE2" w:rsidRDefault="66C03F21" w:rsidP="06639471">
            <w:pPr>
              <w:spacing w:before="0" w:after="100" w:afterAutospacing="1" w:line="240" w:lineRule="auto"/>
              <w:rPr>
                <w:rFonts w:ascii="Arial" w:hAnsi="Arial" w:cs="Arial"/>
                <w:sz w:val="20"/>
                <w:szCs w:val="20"/>
              </w:rPr>
            </w:pPr>
            <w:r w:rsidRPr="06639471">
              <w:rPr>
                <w:sz w:val="20"/>
                <w:szCs w:val="20"/>
              </w:rPr>
              <w:t>S</w:t>
            </w:r>
            <w:r w:rsidR="1BF7694F" w:rsidRPr="06639471">
              <w:rPr>
                <w:sz w:val="20"/>
                <w:szCs w:val="20"/>
              </w:rPr>
              <w:t>tatistikaamet</w:t>
            </w:r>
          </w:p>
        </w:tc>
      </w:tr>
      <w:tr w:rsidR="00A700B0" w:rsidRPr="00E14EBC" w14:paraId="4C30F269" w14:textId="77777777" w:rsidTr="00817CF0">
        <w:tc>
          <w:tcPr>
            <w:tcW w:w="1060" w:type="dxa"/>
          </w:tcPr>
          <w:p w14:paraId="37858CD7" w14:textId="77777777" w:rsidR="00A700B0" w:rsidRPr="006A7CE2" w:rsidRDefault="00A700B0" w:rsidP="00A700B0">
            <w:pPr>
              <w:spacing w:before="0" w:after="100" w:afterAutospacing="1" w:line="240" w:lineRule="auto"/>
              <w:rPr>
                <w:sz w:val="20"/>
                <w:szCs w:val="20"/>
              </w:rPr>
            </w:pPr>
            <w:r w:rsidRPr="006A7CE2">
              <w:rPr>
                <w:sz w:val="20"/>
                <w:szCs w:val="20"/>
              </w:rPr>
              <w:t xml:space="preserve">Eurostat </w:t>
            </w:r>
          </w:p>
        </w:tc>
        <w:tc>
          <w:tcPr>
            <w:tcW w:w="9192" w:type="dxa"/>
          </w:tcPr>
          <w:p w14:paraId="1978D931" w14:textId="7997D3F1" w:rsidR="00A700B0" w:rsidRPr="006A7CE2" w:rsidRDefault="00A700B0" w:rsidP="00A700B0">
            <w:pPr>
              <w:spacing w:before="0" w:after="100" w:afterAutospacing="1" w:line="240" w:lineRule="auto"/>
              <w:rPr>
                <w:sz w:val="20"/>
                <w:szCs w:val="20"/>
              </w:rPr>
            </w:pPr>
            <w:r w:rsidRPr="006A7CE2">
              <w:rPr>
                <w:sz w:val="20"/>
                <w:szCs w:val="20"/>
              </w:rPr>
              <w:t>Euroopa Liidu statistikaamet</w:t>
            </w:r>
          </w:p>
        </w:tc>
      </w:tr>
      <w:tr w:rsidR="00A700B0" w:rsidRPr="00E14EBC" w14:paraId="4F01E60E" w14:textId="77777777" w:rsidTr="00817CF0">
        <w:tc>
          <w:tcPr>
            <w:tcW w:w="1060" w:type="dxa"/>
          </w:tcPr>
          <w:p w14:paraId="0CD0762C" w14:textId="77777777" w:rsidR="00A700B0" w:rsidRPr="006A7CE2" w:rsidRDefault="00A700B0" w:rsidP="00A700B0">
            <w:pPr>
              <w:spacing w:before="0" w:after="100" w:afterAutospacing="1" w:line="240" w:lineRule="auto"/>
              <w:rPr>
                <w:sz w:val="20"/>
                <w:szCs w:val="20"/>
              </w:rPr>
            </w:pPr>
            <w:r w:rsidRPr="006A7CE2">
              <w:rPr>
                <w:sz w:val="20"/>
                <w:szCs w:val="20"/>
              </w:rPr>
              <w:t xml:space="preserve">FIE </w:t>
            </w:r>
          </w:p>
        </w:tc>
        <w:tc>
          <w:tcPr>
            <w:tcW w:w="9192" w:type="dxa"/>
          </w:tcPr>
          <w:p w14:paraId="34522929" w14:textId="50AAB218" w:rsidR="00A700B0" w:rsidRPr="006A7CE2" w:rsidRDefault="00A700B0" w:rsidP="00A700B0">
            <w:pPr>
              <w:spacing w:before="0" w:after="100" w:afterAutospacing="1" w:line="240" w:lineRule="auto"/>
              <w:rPr>
                <w:sz w:val="20"/>
                <w:szCs w:val="20"/>
              </w:rPr>
            </w:pPr>
            <w:r w:rsidRPr="006A7CE2">
              <w:rPr>
                <w:sz w:val="20"/>
                <w:szCs w:val="20"/>
              </w:rPr>
              <w:t>füüsilisest isikust ettevõtja</w:t>
            </w:r>
          </w:p>
        </w:tc>
      </w:tr>
      <w:tr w:rsidR="00A700B0" w:rsidRPr="00E14EBC" w14:paraId="4553448F" w14:textId="77777777" w:rsidTr="00817CF0">
        <w:tc>
          <w:tcPr>
            <w:tcW w:w="1060" w:type="dxa"/>
          </w:tcPr>
          <w:p w14:paraId="16E390F6" w14:textId="652B184C" w:rsidR="00A700B0" w:rsidRPr="006A7CE2" w:rsidRDefault="00A700B0" w:rsidP="00A700B0">
            <w:pPr>
              <w:spacing w:before="0" w:after="100" w:afterAutospacing="1" w:line="240" w:lineRule="auto"/>
              <w:rPr>
                <w:sz w:val="20"/>
                <w:szCs w:val="20"/>
              </w:rPr>
            </w:pPr>
            <w:r w:rsidRPr="006A7CE2">
              <w:rPr>
                <w:sz w:val="20"/>
                <w:szCs w:val="20"/>
              </w:rPr>
              <w:t xml:space="preserve">IKÜM </w:t>
            </w:r>
          </w:p>
        </w:tc>
        <w:tc>
          <w:tcPr>
            <w:tcW w:w="9192" w:type="dxa"/>
          </w:tcPr>
          <w:p w14:paraId="333CFA18" w14:textId="4EE59DDC" w:rsidR="00A700B0" w:rsidRPr="006A7CE2" w:rsidRDefault="00A700B0" w:rsidP="00A700B0">
            <w:pPr>
              <w:spacing w:before="0" w:after="100" w:afterAutospacing="1" w:line="240" w:lineRule="auto"/>
              <w:rPr>
                <w:sz w:val="20"/>
                <w:szCs w:val="20"/>
              </w:rPr>
            </w:pPr>
            <w:r w:rsidRPr="006A7CE2">
              <w:rPr>
                <w:sz w:val="20"/>
                <w:szCs w:val="20"/>
              </w:rPr>
              <w:t>Euroopa Parlamendi ja Nõukogu määrus (EL) 2016/679 (27.04.2016) füüsiliste isikute kaitse kohta isikuandmete töötlemisel ja selliste andmete vaba liikumise ning direktiivi 95/46/EÜ kehtetuks tunnistamise kohta (isikuandmete kaitse üldmäärus)</w:t>
            </w:r>
          </w:p>
        </w:tc>
      </w:tr>
      <w:tr w:rsidR="00A700B0" w:rsidRPr="00E14EBC" w14:paraId="743A4A64" w14:textId="77777777" w:rsidTr="00817CF0">
        <w:tc>
          <w:tcPr>
            <w:tcW w:w="1060" w:type="dxa"/>
          </w:tcPr>
          <w:p w14:paraId="2679F39F" w14:textId="1579B8B5" w:rsidR="00A700B0" w:rsidRPr="006A7CE2" w:rsidRDefault="00A700B0" w:rsidP="00A700B0">
            <w:pPr>
              <w:spacing w:before="0" w:after="100" w:afterAutospacing="1" w:line="240" w:lineRule="auto"/>
              <w:rPr>
                <w:sz w:val="20"/>
                <w:szCs w:val="20"/>
              </w:rPr>
            </w:pPr>
            <w:r w:rsidRPr="006A7CE2">
              <w:rPr>
                <w:sz w:val="20"/>
                <w:szCs w:val="20"/>
              </w:rPr>
              <w:t xml:space="preserve">KliM </w:t>
            </w:r>
          </w:p>
        </w:tc>
        <w:tc>
          <w:tcPr>
            <w:tcW w:w="9192" w:type="dxa"/>
          </w:tcPr>
          <w:p w14:paraId="2F83F427" w14:textId="0AD4F1E9" w:rsidR="00A700B0" w:rsidRPr="006A7CE2" w:rsidRDefault="00A700B0" w:rsidP="00A700B0">
            <w:pPr>
              <w:spacing w:before="0" w:after="100" w:afterAutospacing="1" w:line="240" w:lineRule="auto"/>
              <w:rPr>
                <w:sz w:val="20"/>
                <w:szCs w:val="20"/>
              </w:rPr>
            </w:pPr>
            <w:r w:rsidRPr="006A7CE2">
              <w:rPr>
                <w:sz w:val="20"/>
                <w:szCs w:val="20"/>
              </w:rPr>
              <w:t>Kliimaministeerium</w:t>
            </w:r>
          </w:p>
        </w:tc>
      </w:tr>
      <w:tr w:rsidR="00A700B0" w:rsidRPr="00E14EBC" w14:paraId="2AF6CA28" w14:textId="77777777" w:rsidTr="00817CF0">
        <w:tc>
          <w:tcPr>
            <w:tcW w:w="1060" w:type="dxa"/>
          </w:tcPr>
          <w:p w14:paraId="7B44D071" w14:textId="4CA42DFA" w:rsidR="00A700B0" w:rsidRPr="006A7CE2" w:rsidRDefault="00A700B0" w:rsidP="00A700B0">
            <w:pPr>
              <w:spacing w:before="0" w:after="100" w:afterAutospacing="1" w:line="240" w:lineRule="auto"/>
              <w:rPr>
                <w:sz w:val="20"/>
                <w:szCs w:val="20"/>
              </w:rPr>
            </w:pPr>
            <w:r w:rsidRPr="006A7CE2">
              <w:rPr>
                <w:sz w:val="20"/>
                <w:szCs w:val="20"/>
              </w:rPr>
              <w:t xml:space="preserve">KMS </w:t>
            </w:r>
          </w:p>
        </w:tc>
        <w:tc>
          <w:tcPr>
            <w:tcW w:w="9192" w:type="dxa"/>
          </w:tcPr>
          <w:p w14:paraId="19FD7178" w14:textId="02AF780D" w:rsidR="00A700B0" w:rsidRPr="006A7CE2" w:rsidRDefault="00A700B0" w:rsidP="00A700B0">
            <w:pPr>
              <w:spacing w:before="0" w:after="100" w:afterAutospacing="1" w:line="240" w:lineRule="auto"/>
              <w:rPr>
                <w:sz w:val="20"/>
                <w:szCs w:val="20"/>
              </w:rPr>
            </w:pPr>
            <w:r w:rsidRPr="006A7CE2">
              <w:rPr>
                <w:sz w:val="20"/>
                <w:szCs w:val="20"/>
              </w:rPr>
              <w:t>käibemaksuseadus</w:t>
            </w:r>
          </w:p>
        </w:tc>
      </w:tr>
      <w:tr w:rsidR="00C76962" w:rsidRPr="00E14EBC" w14:paraId="7F593819" w14:textId="77777777" w:rsidTr="00817CF0">
        <w:tc>
          <w:tcPr>
            <w:tcW w:w="1060" w:type="dxa"/>
          </w:tcPr>
          <w:p w14:paraId="608F243A" w14:textId="3E690A53" w:rsidR="00C76962" w:rsidRPr="006A7CE2" w:rsidRDefault="00C76962" w:rsidP="00A700B0">
            <w:pPr>
              <w:spacing w:before="0" w:after="100" w:afterAutospacing="1" w:line="240" w:lineRule="auto"/>
              <w:rPr>
                <w:sz w:val="20"/>
                <w:szCs w:val="20"/>
              </w:rPr>
            </w:pPr>
            <w:r>
              <w:rPr>
                <w:sz w:val="20"/>
                <w:szCs w:val="20"/>
              </w:rPr>
              <w:t>KOV</w:t>
            </w:r>
          </w:p>
        </w:tc>
        <w:tc>
          <w:tcPr>
            <w:tcW w:w="9192" w:type="dxa"/>
          </w:tcPr>
          <w:p w14:paraId="6E6DA4D3" w14:textId="5C344C62" w:rsidR="00C76962" w:rsidRPr="006A7CE2" w:rsidRDefault="00C76962" w:rsidP="00A700B0">
            <w:pPr>
              <w:spacing w:before="0" w:after="100" w:afterAutospacing="1" w:line="240" w:lineRule="auto"/>
              <w:rPr>
                <w:sz w:val="20"/>
                <w:szCs w:val="20"/>
              </w:rPr>
            </w:pPr>
            <w:r>
              <w:rPr>
                <w:sz w:val="20"/>
                <w:szCs w:val="20"/>
              </w:rPr>
              <w:t>Kohalik omavalitsus</w:t>
            </w:r>
          </w:p>
        </w:tc>
      </w:tr>
      <w:tr w:rsidR="00A700B0" w:rsidRPr="00E14EBC" w14:paraId="36CDDE13" w14:textId="77777777" w:rsidTr="00817CF0">
        <w:tc>
          <w:tcPr>
            <w:tcW w:w="1060" w:type="dxa"/>
          </w:tcPr>
          <w:p w14:paraId="58B637E5" w14:textId="77777777" w:rsidR="00A700B0" w:rsidRPr="006A7CE2" w:rsidRDefault="00A700B0" w:rsidP="00A700B0">
            <w:pPr>
              <w:spacing w:before="0" w:after="100" w:afterAutospacing="1" w:line="240" w:lineRule="auto"/>
              <w:rPr>
                <w:sz w:val="20"/>
                <w:szCs w:val="20"/>
              </w:rPr>
            </w:pPr>
            <w:r w:rsidRPr="006A7CE2">
              <w:rPr>
                <w:rFonts w:ascii="Arial" w:hAnsi="Arial" w:cs="Arial"/>
                <w:sz w:val="20"/>
                <w:szCs w:val="20"/>
              </w:rPr>
              <w:t xml:space="preserve">KrtS </w:t>
            </w:r>
          </w:p>
        </w:tc>
        <w:tc>
          <w:tcPr>
            <w:tcW w:w="9192" w:type="dxa"/>
          </w:tcPr>
          <w:p w14:paraId="618B4473" w14:textId="45998885" w:rsidR="00A700B0" w:rsidRPr="006A7CE2" w:rsidRDefault="00A700B0" w:rsidP="00A700B0">
            <w:pPr>
              <w:spacing w:before="0" w:after="100" w:afterAutospacing="1" w:line="240" w:lineRule="auto"/>
              <w:rPr>
                <w:rFonts w:ascii="Arial" w:hAnsi="Arial" w:cs="Arial"/>
                <w:sz w:val="20"/>
                <w:szCs w:val="20"/>
              </w:rPr>
            </w:pPr>
            <w:r w:rsidRPr="006A7CE2">
              <w:rPr>
                <w:rFonts w:ascii="Arial" w:hAnsi="Arial" w:cs="Arial"/>
                <w:sz w:val="20"/>
                <w:szCs w:val="20"/>
              </w:rPr>
              <w:t>korteriomandi- ja korteriühistuseadus</w:t>
            </w:r>
          </w:p>
        </w:tc>
      </w:tr>
      <w:tr w:rsidR="0094340C" w:rsidRPr="00E14EBC" w14:paraId="15F898E5" w14:textId="77777777" w:rsidTr="00817CF0">
        <w:tc>
          <w:tcPr>
            <w:tcW w:w="1060" w:type="dxa"/>
          </w:tcPr>
          <w:p w14:paraId="64AE795D" w14:textId="5110D096" w:rsidR="0094340C" w:rsidRPr="006A7CE2" w:rsidRDefault="0094340C" w:rsidP="00A700B0">
            <w:pPr>
              <w:spacing w:before="0" w:after="100" w:afterAutospacing="1" w:line="240" w:lineRule="auto"/>
              <w:rPr>
                <w:rFonts w:ascii="Arial" w:hAnsi="Arial" w:cs="Arial"/>
                <w:sz w:val="20"/>
                <w:szCs w:val="20"/>
              </w:rPr>
            </w:pPr>
            <w:r>
              <w:rPr>
                <w:rFonts w:ascii="Arial" w:hAnsi="Arial" w:cs="Arial"/>
                <w:sz w:val="20"/>
                <w:szCs w:val="20"/>
              </w:rPr>
              <w:t>MaRu</w:t>
            </w:r>
          </w:p>
        </w:tc>
        <w:tc>
          <w:tcPr>
            <w:tcW w:w="9192" w:type="dxa"/>
          </w:tcPr>
          <w:p w14:paraId="1472DF98" w14:textId="0CC1DC90" w:rsidR="0094340C" w:rsidRPr="006A7CE2" w:rsidRDefault="0094340C" w:rsidP="00A700B0">
            <w:pPr>
              <w:spacing w:before="0" w:after="100" w:afterAutospacing="1" w:line="240" w:lineRule="auto"/>
              <w:rPr>
                <w:rFonts w:ascii="Arial" w:hAnsi="Arial" w:cs="Arial"/>
                <w:sz w:val="20"/>
                <w:szCs w:val="20"/>
              </w:rPr>
            </w:pPr>
            <w:r>
              <w:rPr>
                <w:rFonts w:ascii="Arial" w:hAnsi="Arial" w:cs="Arial"/>
                <w:sz w:val="20"/>
                <w:szCs w:val="20"/>
              </w:rPr>
              <w:t>Maa- ja Ruumiamet</w:t>
            </w:r>
          </w:p>
        </w:tc>
      </w:tr>
      <w:tr w:rsidR="0094340C" w:rsidRPr="00E14EBC" w14:paraId="4356DB92" w14:textId="77777777" w:rsidTr="00817CF0">
        <w:tc>
          <w:tcPr>
            <w:tcW w:w="1060" w:type="dxa"/>
          </w:tcPr>
          <w:p w14:paraId="17A7E72F" w14:textId="0189A3B2" w:rsidR="0094340C" w:rsidRPr="006A7CE2" w:rsidRDefault="0094340C" w:rsidP="00A700B0">
            <w:pPr>
              <w:spacing w:before="0" w:after="100" w:afterAutospacing="1" w:line="240" w:lineRule="auto"/>
              <w:rPr>
                <w:rFonts w:ascii="Arial" w:hAnsi="Arial" w:cs="Arial"/>
                <w:sz w:val="20"/>
                <w:szCs w:val="20"/>
              </w:rPr>
            </w:pPr>
            <w:r>
              <w:rPr>
                <w:rFonts w:ascii="Arial" w:hAnsi="Arial" w:cs="Arial"/>
                <w:sz w:val="20"/>
                <w:szCs w:val="20"/>
              </w:rPr>
              <w:t>MKA</w:t>
            </w:r>
          </w:p>
        </w:tc>
        <w:tc>
          <w:tcPr>
            <w:tcW w:w="9192" w:type="dxa"/>
          </w:tcPr>
          <w:p w14:paraId="1F5CB9F6" w14:textId="718CC0E8" w:rsidR="0094340C" w:rsidRPr="006A7CE2" w:rsidRDefault="0094340C" w:rsidP="00A700B0">
            <w:pPr>
              <w:spacing w:before="0" w:after="100" w:afterAutospacing="1" w:line="240" w:lineRule="auto"/>
              <w:rPr>
                <w:rFonts w:ascii="Arial" w:hAnsi="Arial" w:cs="Arial"/>
                <w:sz w:val="20"/>
                <w:szCs w:val="20"/>
              </w:rPr>
            </w:pPr>
            <w:r>
              <w:rPr>
                <w:rFonts w:ascii="Arial" w:hAnsi="Arial" w:cs="Arial"/>
                <w:sz w:val="20"/>
                <w:szCs w:val="20"/>
              </w:rPr>
              <w:t>Muinsuskaitseamet</w:t>
            </w:r>
          </w:p>
        </w:tc>
      </w:tr>
      <w:tr w:rsidR="00A700B0" w:rsidRPr="00E14EBC" w14:paraId="4751230B" w14:textId="77777777" w:rsidTr="00817CF0">
        <w:tc>
          <w:tcPr>
            <w:tcW w:w="1060" w:type="dxa"/>
          </w:tcPr>
          <w:p w14:paraId="12CD40C4" w14:textId="16EBDE02" w:rsidR="00A700B0" w:rsidRPr="006A7CE2" w:rsidRDefault="00A700B0" w:rsidP="00A700B0">
            <w:pPr>
              <w:spacing w:before="0" w:after="100" w:afterAutospacing="1" w:line="240" w:lineRule="auto"/>
              <w:rPr>
                <w:rFonts w:ascii="Arial" w:hAnsi="Arial" w:cs="Arial"/>
                <w:sz w:val="20"/>
                <w:szCs w:val="20"/>
              </w:rPr>
            </w:pPr>
            <w:r w:rsidRPr="006A7CE2">
              <w:rPr>
                <w:rFonts w:ascii="Arial" w:hAnsi="Arial" w:cs="Arial"/>
                <w:sz w:val="20"/>
                <w:szCs w:val="20"/>
              </w:rPr>
              <w:t xml:space="preserve">MKM </w:t>
            </w:r>
          </w:p>
        </w:tc>
        <w:tc>
          <w:tcPr>
            <w:tcW w:w="9192" w:type="dxa"/>
          </w:tcPr>
          <w:p w14:paraId="673A6C14" w14:textId="607E2CB2" w:rsidR="00A700B0" w:rsidRPr="006A7CE2" w:rsidRDefault="00A700B0" w:rsidP="00A700B0">
            <w:pPr>
              <w:spacing w:before="0" w:after="100" w:afterAutospacing="1" w:line="240" w:lineRule="auto"/>
              <w:rPr>
                <w:rFonts w:ascii="Arial" w:hAnsi="Arial" w:cs="Arial"/>
                <w:sz w:val="20"/>
                <w:szCs w:val="20"/>
              </w:rPr>
            </w:pPr>
            <w:r w:rsidRPr="006A7CE2">
              <w:rPr>
                <w:rFonts w:ascii="Arial" w:hAnsi="Arial" w:cs="Arial"/>
                <w:sz w:val="20"/>
                <w:szCs w:val="20"/>
              </w:rPr>
              <w:t>Majandus- ja Kommunikatsiooniministeerium</w:t>
            </w:r>
          </w:p>
        </w:tc>
      </w:tr>
      <w:tr w:rsidR="00A700B0" w:rsidRPr="00E14EBC" w14:paraId="21F302D8" w14:textId="77777777" w:rsidTr="00817CF0">
        <w:tc>
          <w:tcPr>
            <w:tcW w:w="1060" w:type="dxa"/>
          </w:tcPr>
          <w:p w14:paraId="0EBA266E" w14:textId="29627A90" w:rsidR="00A700B0" w:rsidRPr="006A7CE2" w:rsidRDefault="00A700B0" w:rsidP="00A700B0">
            <w:pPr>
              <w:spacing w:before="0" w:after="100" w:afterAutospacing="1" w:line="240" w:lineRule="auto"/>
              <w:rPr>
                <w:rFonts w:ascii="Arial" w:hAnsi="Arial" w:cs="Arial"/>
                <w:sz w:val="20"/>
                <w:szCs w:val="20"/>
              </w:rPr>
            </w:pPr>
            <w:r w:rsidRPr="006A7CE2">
              <w:rPr>
                <w:rFonts w:ascii="Arial" w:hAnsi="Arial" w:cs="Arial"/>
                <w:sz w:val="20"/>
                <w:szCs w:val="20"/>
              </w:rPr>
              <w:t xml:space="preserve">MSÜS </w:t>
            </w:r>
          </w:p>
        </w:tc>
        <w:tc>
          <w:tcPr>
            <w:tcW w:w="9192" w:type="dxa"/>
          </w:tcPr>
          <w:p w14:paraId="1660FDBD" w14:textId="0C3208BE" w:rsidR="00A700B0" w:rsidRPr="006A7CE2" w:rsidRDefault="00A700B0" w:rsidP="00A700B0">
            <w:pPr>
              <w:spacing w:before="0" w:after="100" w:afterAutospacing="1" w:line="240" w:lineRule="auto"/>
              <w:rPr>
                <w:rFonts w:ascii="Arial" w:hAnsi="Arial" w:cs="Arial"/>
                <w:sz w:val="20"/>
                <w:szCs w:val="20"/>
              </w:rPr>
            </w:pPr>
            <w:r w:rsidRPr="006A7CE2">
              <w:rPr>
                <w:rFonts w:ascii="Arial" w:hAnsi="Arial" w:cs="Arial"/>
                <w:sz w:val="20"/>
                <w:szCs w:val="20"/>
              </w:rPr>
              <w:t>majandustegevuse seadustiku üldosa seadus</w:t>
            </w:r>
          </w:p>
        </w:tc>
      </w:tr>
      <w:tr w:rsidR="00A700B0" w:rsidRPr="00E14EBC" w14:paraId="6BFEA49C" w14:textId="77777777" w:rsidTr="00817CF0">
        <w:tc>
          <w:tcPr>
            <w:tcW w:w="1060" w:type="dxa"/>
          </w:tcPr>
          <w:p w14:paraId="02C0E161" w14:textId="77777777" w:rsidR="00A700B0" w:rsidRPr="006A7CE2" w:rsidRDefault="00A700B0" w:rsidP="00A700B0">
            <w:pPr>
              <w:spacing w:before="0" w:after="100" w:afterAutospacing="1" w:line="240" w:lineRule="auto"/>
              <w:rPr>
                <w:sz w:val="20"/>
                <w:szCs w:val="20"/>
              </w:rPr>
            </w:pPr>
            <w:r w:rsidRPr="006A7CE2">
              <w:rPr>
                <w:sz w:val="20"/>
                <w:szCs w:val="20"/>
              </w:rPr>
              <w:t xml:space="preserve">MTA </w:t>
            </w:r>
          </w:p>
        </w:tc>
        <w:tc>
          <w:tcPr>
            <w:tcW w:w="9192" w:type="dxa"/>
          </w:tcPr>
          <w:p w14:paraId="3C92EF99" w14:textId="2E173E18" w:rsidR="00A700B0" w:rsidRPr="006A7CE2" w:rsidRDefault="00A700B0" w:rsidP="00A700B0">
            <w:pPr>
              <w:spacing w:before="0" w:after="100" w:afterAutospacing="1" w:line="240" w:lineRule="auto"/>
              <w:rPr>
                <w:sz w:val="20"/>
                <w:szCs w:val="20"/>
              </w:rPr>
            </w:pPr>
            <w:r w:rsidRPr="006A7CE2">
              <w:rPr>
                <w:sz w:val="20"/>
                <w:szCs w:val="20"/>
              </w:rPr>
              <w:t>Maksu- ja Tolliamet</w:t>
            </w:r>
          </w:p>
        </w:tc>
      </w:tr>
      <w:tr w:rsidR="00A700B0" w:rsidRPr="00E14EBC" w14:paraId="30CD1797" w14:textId="77777777" w:rsidTr="00817CF0">
        <w:tc>
          <w:tcPr>
            <w:tcW w:w="1060" w:type="dxa"/>
          </w:tcPr>
          <w:p w14:paraId="22FDF853" w14:textId="3EADF0E7" w:rsidR="00A700B0" w:rsidRPr="006A7CE2" w:rsidRDefault="00A700B0" w:rsidP="00A700B0">
            <w:pPr>
              <w:spacing w:before="0" w:after="100" w:afterAutospacing="1" w:line="240" w:lineRule="auto"/>
              <w:rPr>
                <w:sz w:val="20"/>
                <w:szCs w:val="20"/>
              </w:rPr>
            </w:pPr>
            <w:r w:rsidRPr="006A7CE2">
              <w:rPr>
                <w:sz w:val="20"/>
                <w:szCs w:val="20"/>
              </w:rPr>
              <w:t xml:space="preserve">NACE </w:t>
            </w:r>
          </w:p>
        </w:tc>
        <w:tc>
          <w:tcPr>
            <w:tcW w:w="9192" w:type="dxa"/>
          </w:tcPr>
          <w:p w14:paraId="042C412D" w14:textId="0D4EAAF2" w:rsidR="00A700B0" w:rsidRPr="006A7CE2" w:rsidRDefault="00A700B0" w:rsidP="00A700B0">
            <w:pPr>
              <w:spacing w:before="0" w:after="100" w:afterAutospacing="1" w:line="240" w:lineRule="auto"/>
              <w:rPr>
                <w:sz w:val="20"/>
                <w:szCs w:val="20"/>
              </w:rPr>
            </w:pPr>
            <w:r w:rsidRPr="006A7CE2">
              <w:rPr>
                <w:sz w:val="20"/>
                <w:szCs w:val="20"/>
              </w:rPr>
              <w:t>Euroopa Ühenduse</w:t>
            </w:r>
            <w:r w:rsidR="00B7799E" w:rsidRPr="006A7CE2">
              <w:rPr>
                <w:sz w:val="20"/>
                <w:szCs w:val="20"/>
              </w:rPr>
              <w:t xml:space="preserve"> </w:t>
            </w:r>
            <w:r w:rsidRPr="006A7CE2">
              <w:rPr>
                <w:sz w:val="20"/>
                <w:szCs w:val="20"/>
              </w:rPr>
              <w:t>majanduse tegevusalade klassifikaator (NACE Rev. 2)</w:t>
            </w:r>
          </w:p>
        </w:tc>
      </w:tr>
      <w:tr w:rsidR="00D236B5" w:rsidRPr="00E14EBC" w14:paraId="450956D5" w14:textId="77777777" w:rsidTr="00817CF0">
        <w:tc>
          <w:tcPr>
            <w:tcW w:w="1060" w:type="dxa"/>
          </w:tcPr>
          <w:p w14:paraId="37BB987B" w14:textId="738F79AB" w:rsidR="00D236B5" w:rsidRPr="006A7CE2" w:rsidRDefault="00D236B5" w:rsidP="00A700B0">
            <w:pPr>
              <w:spacing w:before="0" w:after="100" w:afterAutospacing="1" w:line="240" w:lineRule="auto"/>
              <w:rPr>
                <w:sz w:val="20"/>
                <w:szCs w:val="20"/>
              </w:rPr>
            </w:pPr>
            <w:r>
              <w:rPr>
                <w:sz w:val="20"/>
                <w:szCs w:val="20"/>
              </w:rPr>
              <w:t>NUTS</w:t>
            </w:r>
          </w:p>
        </w:tc>
        <w:tc>
          <w:tcPr>
            <w:tcW w:w="9192" w:type="dxa"/>
          </w:tcPr>
          <w:p w14:paraId="32D58984" w14:textId="234F7422" w:rsidR="00D236B5" w:rsidRPr="006A7CE2" w:rsidRDefault="00A95854" w:rsidP="00A700B0">
            <w:pPr>
              <w:spacing w:before="0" w:after="100" w:afterAutospacing="1" w:line="240" w:lineRule="auto"/>
              <w:rPr>
                <w:sz w:val="20"/>
                <w:szCs w:val="20"/>
              </w:rPr>
            </w:pPr>
            <w:r w:rsidRPr="00AD40E0">
              <w:rPr>
                <w:sz w:val="20"/>
                <w:szCs w:val="20"/>
              </w:rPr>
              <w:t xml:space="preserve">Statistiliste territoriaaljaotuste nomenklatuur (prantsuse </w:t>
            </w:r>
            <w:r w:rsidRPr="00AD40E0">
              <w:rPr>
                <w:i/>
                <w:iCs/>
                <w:sz w:val="20"/>
                <w:szCs w:val="20"/>
              </w:rPr>
              <w:t>nomenclature d'unités territoriales statistiques</w:t>
            </w:r>
            <w:r w:rsidRPr="00AD40E0">
              <w:rPr>
                <w:sz w:val="20"/>
                <w:szCs w:val="20"/>
              </w:rPr>
              <w:t>; lühend NUTS) on Euroopas kasutusel olev hierarhiline geokodeerimise standard riikide ja nende osade jaotuseks statistilistel eesmärkidel</w:t>
            </w:r>
            <w:r w:rsidR="0039699B">
              <w:rPr>
                <w:rStyle w:val="FootnoteReference"/>
                <w:sz w:val="20"/>
                <w:szCs w:val="20"/>
              </w:rPr>
              <w:footnoteReference w:id="2"/>
            </w:r>
          </w:p>
        </w:tc>
      </w:tr>
      <w:tr w:rsidR="00A700B0" w:rsidRPr="00E14EBC" w14:paraId="1B8D0573" w14:textId="77777777" w:rsidTr="00817CF0">
        <w:tc>
          <w:tcPr>
            <w:tcW w:w="1060" w:type="dxa"/>
          </w:tcPr>
          <w:p w14:paraId="470ED731" w14:textId="77777777" w:rsidR="00A700B0" w:rsidRPr="006A7CE2" w:rsidRDefault="00A700B0" w:rsidP="00A700B0">
            <w:pPr>
              <w:spacing w:before="0" w:after="100" w:afterAutospacing="1" w:line="240" w:lineRule="auto"/>
              <w:rPr>
                <w:sz w:val="20"/>
                <w:szCs w:val="20"/>
              </w:rPr>
            </w:pPr>
            <w:r w:rsidRPr="006A7CE2">
              <w:rPr>
                <w:sz w:val="20"/>
                <w:szCs w:val="20"/>
              </w:rPr>
              <w:t xml:space="preserve">OTA </w:t>
            </w:r>
          </w:p>
        </w:tc>
        <w:tc>
          <w:tcPr>
            <w:tcW w:w="9192" w:type="dxa"/>
          </w:tcPr>
          <w:p w14:paraId="1F625CC0" w14:textId="4CB5E826" w:rsidR="00A700B0" w:rsidRPr="006A7CE2" w:rsidRDefault="00A700B0" w:rsidP="00A700B0">
            <w:pPr>
              <w:spacing w:before="0" w:after="100" w:afterAutospacing="1" w:line="240" w:lineRule="auto"/>
              <w:rPr>
                <w:sz w:val="20"/>
                <w:szCs w:val="20"/>
              </w:rPr>
            </w:pPr>
            <w:r w:rsidRPr="006A7CE2">
              <w:rPr>
                <w:i/>
                <w:sz w:val="20"/>
                <w:szCs w:val="20"/>
              </w:rPr>
              <w:t>online travel agency</w:t>
            </w:r>
            <w:r w:rsidRPr="006A7CE2">
              <w:rPr>
                <w:sz w:val="20"/>
                <w:szCs w:val="20"/>
              </w:rPr>
              <w:t xml:space="preserve"> ehk veebipõhine reisibüroo</w:t>
            </w:r>
          </w:p>
        </w:tc>
      </w:tr>
      <w:tr w:rsidR="005C7B60" w:rsidRPr="00E14EBC" w14:paraId="039A8F84" w14:textId="77777777" w:rsidTr="00817CF0">
        <w:tc>
          <w:tcPr>
            <w:tcW w:w="1060" w:type="dxa"/>
          </w:tcPr>
          <w:p w14:paraId="7B777485" w14:textId="11C68D4A" w:rsidR="005C7B60" w:rsidRPr="006A7CE2" w:rsidRDefault="005C7B60" w:rsidP="00A700B0">
            <w:pPr>
              <w:spacing w:before="0" w:after="100" w:afterAutospacing="1" w:line="240" w:lineRule="auto"/>
              <w:rPr>
                <w:sz w:val="20"/>
                <w:szCs w:val="20"/>
              </w:rPr>
            </w:pPr>
            <w:r>
              <w:rPr>
                <w:sz w:val="20"/>
                <w:szCs w:val="20"/>
              </w:rPr>
              <w:t>PA</w:t>
            </w:r>
          </w:p>
        </w:tc>
        <w:tc>
          <w:tcPr>
            <w:tcW w:w="9192" w:type="dxa"/>
          </w:tcPr>
          <w:p w14:paraId="30BDFCDE" w14:textId="6466B6E2" w:rsidR="005C7B60" w:rsidRPr="002E1A41" w:rsidRDefault="005C7B60" w:rsidP="00A700B0">
            <w:pPr>
              <w:spacing w:before="0" w:after="100" w:afterAutospacing="1" w:line="240" w:lineRule="auto"/>
              <w:rPr>
                <w:sz w:val="20"/>
                <w:szCs w:val="20"/>
              </w:rPr>
            </w:pPr>
            <w:r w:rsidRPr="002E1A41">
              <w:rPr>
                <w:sz w:val="20"/>
                <w:szCs w:val="20"/>
              </w:rPr>
              <w:t>Päästeamet</w:t>
            </w:r>
          </w:p>
        </w:tc>
      </w:tr>
      <w:tr w:rsidR="009F7A19" w:rsidRPr="00E14EBC" w14:paraId="2C5AB4DF" w14:textId="77777777" w:rsidTr="00817CF0">
        <w:tc>
          <w:tcPr>
            <w:tcW w:w="1060" w:type="dxa"/>
          </w:tcPr>
          <w:p w14:paraId="3174BD7D" w14:textId="0B222DFA" w:rsidR="009F7A19" w:rsidRPr="006A7CE2" w:rsidRDefault="009F7A19" w:rsidP="00A700B0">
            <w:pPr>
              <w:spacing w:before="0" w:after="100" w:afterAutospacing="1" w:line="240" w:lineRule="auto"/>
              <w:rPr>
                <w:sz w:val="20"/>
                <w:szCs w:val="20"/>
              </w:rPr>
            </w:pPr>
            <w:r>
              <w:rPr>
                <w:sz w:val="20"/>
                <w:szCs w:val="20"/>
              </w:rPr>
              <w:t>PPA</w:t>
            </w:r>
          </w:p>
        </w:tc>
        <w:tc>
          <w:tcPr>
            <w:tcW w:w="9192" w:type="dxa"/>
          </w:tcPr>
          <w:p w14:paraId="66963ACD" w14:textId="3C46027C" w:rsidR="009F7A19" w:rsidRPr="009F7A19" w:rsidRDefault="009F7A19" w:rsidP="00A700B0">
            <w:pPr>
              <w:spacing w:before="0" w:after="100" w:afterAutospacing="1" w:line="240" w:lineRule="auto"/>
              <w:rPr>
                <w:iCs/>
                <w:sz w:val="20"/>
                <w:szCs w:val="20"/>
              </w:rPr>
            </w:pPr>
            <w:r>
              <w:rPr>
                <w:iCs/>
                <w:sz w:val="20"/>
                <w:szCs w:val="20"/>
              </w:rPr>
              <w:t>Politsei- ja Piirivalveamet</w:t>
            </w:r>
          </w:p>
        </w:tc>
      </w:tr>
      <w:tr w:rsidR="00A42EE2" w:rsidRPr="00E14EBC" w14:paraId="4B3FF5A9" w14:textId="77777777" w:rsidTr="00817CF0">
        <w:tc>
          <w:tcPr>
            <w:tcW w:w="1060" w:type="dxa"/>
          </w:tcPr>
          <w:p w14:paraId="7C741A31" w14:textId="7A834861" w:rsidR="00A42EE2" w:rsidRDefault="00A42EE2" w:rsidP="00A700B0">
            <w:pPr>
              <w:spacing w:before="0" w:after="100" w:afterAutospacing="1" w:line="240" w:lineRule="auto"/>
              <w:rPr>
                <w:sz w:val="20"/>
                <w:szCs w:val="20"/>
              </w:rPr>
            </w:pPr>
            <w:r>
              <w:rPr>
                <w:sz w:val="20"/>
                <w:szCs w:val="20"/>
              </w:rPr>
              <w:t>P</w:t>
            </w:r>
            <w:r w:rsidR="000F2053">
              <w:rPr>
                <w:sz w:val="20"/>
                <w:szCs w:val="20"/>
              </w:rPr>
              <w:t>lanS</w:t>
            </w:r>
          </w:p>
        </w:tc>
        <w:tc>
          <w:tcPr>
            <w:tcW w:w="9192" w:type="dxa"/>
          </w:tcPr>
          <w:p w14:paraId="0D1DCCA1" w14:textId="08149FE8" w:rsidR="00A42EE2" w:rsidRDefault="000F2053" w:rsidP="00A700B0">
            <w:pPr>
              <w:spacing w:before="0" w:after="100" w:afterAutospacing="1" w:line="240" w:lineRule="auto"/>
              <w:rPr>
                <w:iCs/>
                <w:sz w:val="20"/>
                <w:szCs w:val="20"/>
              </w:rPr>
            </w:pPr>
            <w:r>
              <w:rPr>
                <w:iCs/>
                <w:sz w:val="20"/>
                <w:szCs w:val="20"/>
              </w:rPr>
              <w:t>planeerimisseadus</w:t>
            </w:r>
          </w:p>
        </w:tc>
      </w:tr>
      <w:tr w:rsidR="009F1769" w:rsidRPr="00E14EBC" w14:paraId="17B75A60" w14:textId="77777777" w:rsidTr="00817CF0">
        <w:tc>
          <w:tcPr>
            <w:tcW w:w="1060" w:type="dxa"/>
          </w:tcPr>
          <w:p w14:paraId="067A6B6E" w14:textId="670E692B" w:rsidR="009F1769" w:rsidRDefault="009F1769" w:rsidP="00A700B0">
            <w:pPr>
              <w:spacing w:before="0" w:after="100" w:afterAutospacing="1" w:line="240" w:lineRule="auto"/>
              <w:rPr>
                <w:sz w:val="20"/>
                <w:szCs w:val="20"/>
              </w:rPr>
            </w:pPr>
            <w:r>
              <w:rPr>
                <w:sz w:val="20"/>
                <w:szCs w:val="20"/>
              </w:rPr>
              <w:t>REM</w:t>
            </w:r>
          </w:p>
        </w:tc>
        <w:tc>
          <w:tcPr>
            <w:tcW w:w="9192" w:type="dxa"/>
          </w:tcPr>
          <w:p w14:paraId="21781B2D" w14:textId="0E97F912" w:rsidR="009F1769" w:rsidRDefault="009F1769" w:rsidP="00A700B0">
            <w:pPr>
              <w:spacing w:before="0" w:after="100" w:afterAutospacing="1" w:line="240" w:lineRule="auto"/>
              <w:rPr>
                <w:iCs/>
                <w:sz w:val="20"/>
                <w:szCs w:val="20"/>
              </w:rPr>
            </w:pPr>
            <w:r>
              <w:rPr>
                <w:iCs/>
                <w:sz w:val="20"/>
                <w:szCs w:val="20"/>
              </w:rPr>
              <w:t>Regionaal- ja Põllumajandusministeerium</w:t>
            </w:r>
          </w:p>
        </w:tc>
      </w:tr>
      <w:tr w:rsidR="004666AC" w:rsidRPr="00E14EBC" w14:paraId="411BAF79" w14:textId="77777777" w:rsidTr="00817CF0">
        <w:tc>
          <w:tcPr>
            <w:tcW w:w="1060" w:type="dxa"/>
          </w:tcPr>
          <w:p w14:paraId="76F25A6C" w14:textId="2B5F3F28" w:rsidR="004666AC" w:rsidRPr="006A7CE2" w:rsidRDefault="004666AC" w:rsidP="00A700B0">
            <w:pPr>
              <w:spacing w:before="0" w:after="100" w:afterAutospacing="1" w:line="240" w:lineRule="auto"/>
              <w:rPr>
                <w:sz w:val="20"/>
                <w:szCs w:val="20"/>
              </w:rPr>
            </w:pPr>
            <w:r>
              <w:rPr>
                <w:sz w:val="20"/>
                <w:szCs w:val="20"/>
              </w:rPr>
              <w:t>RM</w:t>
            </w:r>
          </w:p>
        </w:tc>
        <w:tc>
          <w:tcPr>
            <w:tcW w:w="9192" w:type="dxa"/>
          </w:tcPr>
          <w:p w14:paraId="4A83E602" w14:textId="59756305" w:rsidR="004666AC" w:rsidRPr="004666AC" w:rsidRDefault="004666AC" w:rsidP="00A700B0">
            <w:pPr>
              <w:spacing w:before="0" w:after="100" w:afterAutospacing="1" w:line="240" w:lineRule="auto"/>
              <w:rPr>
                <w:iCs/>
                <w:sz w:val="20"/>
                <w:szCs w:val="20"/>
              </w:rPr>
            </w:pPr>
            <w:r>
              <w:rPr>
                <w:iCs/>
                <w:sz w:val="20"/>
                <w:szCs w:val="20"/>
              </w:rPr>
              <w:t>Rahandusministeerium</w:t>
            </w:r>
          </w:p>
        </w:tc>
      </w:tr>
      <w:tr w:rsidR="00A700B0" w:rsidRPr="00E14EBC" w14:paraId="23FFBCED" w14:textId="77777777" w:rsidTr="00817CF0">
        <w:tc>
          <w:tcPr>
            <w:tcW w:w="1060" w:type="dxa"/>
          </w:tcPr>
          <w:p w14:paraId="0C16BC23" w14:textId="77777777" w:rsidR="00A700B0" w:rsidRPr="006A7CE2" w:rsidRDefault="00A700B0" w:rsidP="00A700B0">
            <w:pPr>
              <w:spacing w:before="0" w:after="100" w:afterAutospacing="1" w:line="240" w:lineRule="auto"/>
              <w:rPr>
                <w:sz w:val="20"/>
                <w:szCs w:val="20"/>
              </w:rPr>
            </w:pPr>
            <w:r w:rsidRPr="006A7CE2">
              <w:rPr>
                <w:sz w:val="20"/>
                <w:szCs w:val="20"/>
              </w:rPr>
              <w:t xml:space="preserve">RevPAR </w:t>
            </w:r>
          </w:p>
        </w:tc>
        <w:tc>
          <w:tcPr>
            <w:tcW w:w="9192" w:type="dxa"/>
          </w:tcPr>
          <w:p w14:paraId="5F3C3665" w14:textId="69502FFD" w:rsidR="00A700B0" w:rsidRPr="006A7CE2" w:rsidRDefault="68873B32" w:rsidP="64F64B3A">
            <w:pPr>
              <w:spacing w:before="0" w:after="100" w:afterAutospacing="1" w:line="240" w:lineRule="auto"/>
              <w:rPr>
                <w:sz w:val="20"/>
                <w:szCs w:val="20"/>
              </w:rPr>
            </w:pPr>
            <w:r w:rsidRPr="64F64B3A">
              <w:rPr>
                <w:i/>
                <w:iCs/>
                <w:sz w:val="20"/>
                <w:szCs w:val="20"/>
              </w:rPr>
              <w:t>revenue per available room</w:t>
            </w:r>
            <w:r w:rsidRPr="006A7CE2">
              <w:rPr>
                <w:sz w:val="20"/>
                <w:szCs w:val="20"/>
              </w:rPr>
              <w:t xml:space="preserve"> ehk tulu saadavoleva toa või majutuskoha kohta. Arvutatakse järgnevalt: keskmine päevahind (ADR) x täitumus (%)</w:t>
            </w:r>
            <w:r w:rsidR="00A700B0" w:rsidRPr="006A7CE2">
              <w:rPr>
                <w:rStyle w:val="FootnoteReference"/>
                <w:sz w:val="20"/>
                <w:szCs w:val="20"/>
              </w:rPr>
              <w:footnoteReference w:id="3"/>
            </w:r>
          </w:p>
        </w:tc>
      </w:tr>
      <w:tr w:rsidR="00C76962" w:rsidRPr="00E14EBC" w14:paraId="79547115" w14:textId="77777777" w:rsidTr="00817CF0">
        <w:tc>
          <w:tcPr>
            <w:tcW w:w="1060" w:type="dxa"/>
          </w:tcPr>
          <w:p w14:paraId="02193FAC" w14:textId="1190A2C7" w:rsidR="00C76962" w:rsidRPr="006A7CE2" w:rsidRDefault="00C76962" w:rsidP="00A700B0">
            <w:pPr>
              <w:spacing w:before="0" w:after="100" w:afterAutospacing="1" w:line="240" w:lineRule="auto"/>
              <w:rPr>
                <w:sz w:val="20"/>
                <w:szCs w:val="20"/>
              </w:rPr>
            </w:pPr>
            <w:r>
              <w:rPr>
                <w:sz w:val="20"/>
                <w:szCs w:val="20"/>
              </w:rPr>
              <w:lastRenderedPageBreak/>
              <w:t>SiM</w:t>
            </w:r>
          </w:p>
        </w:tc>
        <w:tc>
          <w:tcPr>
            <w:tcW w:w="9192" w:type="dxa"/>
          </w:tcPr>
          <w:p w14:paraId="1DAC62BB" w14:textId="3C94687B" w:rsidR="00C76962" w:rsidRPr="00BE179D" w:rsidRDefault="00C76962" w:rsidP="64F64B3A">
            <w:pPr>
              <w:spacing w:before="0" w:after="100" w:afterAutospacing="1" w:line="240" w:lineRule="auto"/>
              <w:rPr>
                <w:sz w:val="20"/>
                <w:szCs w:val="20"/>
              </w:rPr>
            </w:pPr>
            <w:r w:rsidRPr="00BE179D">
              <w:rPr>
                <w:sz w:val="20"/>
                <w:szCs w:val="20"/>
              </w:rPr>
              <w:t>Siseministeerium</w:t>
            </w:r>
          </w:p>
        </w:tc>
      </w:tr>
      <w:tr w:rsidR="00A700B0" w:rsidRPr="00E14EBC" w14:paraId="62D14D53" w14:textId="77777777" w:rsidTr="00817CF0">
        <w:tc>
          <w:tcPr>
            <w:tcW w:w="1060" w:type="dxa"/>
          </w:tcPr>
          <w:p w14:paraId="24FF89B8" w14:textId="5D257E11" w:rsidR="00A700B0" w:rsidRPr="006A7CE2" w:rsidRDefault="1BF7694F" w:rsidP="06639471">
            <w:pPr>
              <w:spacing w:before="0" w:after="100" w:afterAutospacing="1" w:line="240" w:lineRule="auto"/>
              <w:rPr>
                <w:sz w:val="20"/>
                <w:szCs w:val="20"/>
              </w:rPr>
            </w:pPr>
            <w:r w:rsidRPr="06639471">
              <w:rPr>
                <w:sz w:val="20"/>
                <w:szCs w:val="20"/>
              </w:rPr>
              <w:t>SK</w:t>
            </w:r>
            <w:r w:rsidR="168E127A" w:rsidRPr="06639471">
              <w:rPr>
                <w:sz w:val="20"/>
                <w:szCs w:val="20"/>
              </w:rPr>
              <w:t>P</w:t>
            </w:r>
          </w:p>
        </w:tc>
        <w:tc>
          <w:tcPr>
            <w:tcW w:w="9192" w:type="dxa"/>
          </w:tcPr>
          <w:p w14:paraId="7A532577" w14:textId="02624964" w:rsidR="00A700B0" w:rsidRPr="006A7CE2" w:rsidRDefault="1BF7694F" w:rsidP="06639471">
            <w:pPr>
              <w:spacing w:before="0" w:after="100" w:afterAutospacing="1" w:line="240" w:lineRule="auto"/>
              <w:rPr>
                <w:sz w:val="20"/>
                <w:szCs w:val="20"/>
              </w:rPr>
            </w:pPr>
            <w:r w:rsidRPr="06639471">
              <w:rPr>
                <w:sz w:val="20"/>
                <w:szCs w:val="20"/>
              </w:rPr>
              <w:t>sisemajanduse kogu</w:t>
            </w:r>
            <w:r w:rsidR="19B71D1A" w:rsidRPr="06639471">
              <w:rPr>
                <w:sz w:val="20"/>
                <w:szCs w:val="20"/>
              </w:rPr>
              <w:t>produkt</w:t>
            </w:r>
          </w:p>
        </w:tc>
      </w:tr>
      <w:tr w:rsidR="00A700B0" w:rsidRPr="00E14EBC" w14:paraId="227A9051" w14:textId="77777777" w:rsidTr="00817CF0">
        <w:tc>
          <w:tcPr>
            <w:tcW w:w="1060" w:type="dxa"/>
          </w:tcPr>
          <w:p w14:paraId="1290562D" w14:textId="77777777" w:rsidR="00A700B0" w:rsidRPr="006A7CE2" w:rsidRDefault="00A700B0" w:rsidP="00A700B0">
            <w:pPr>
              <w:spacing w:before="0" w:after="100" w:afterAutospacing="1" w:line="240" w:lineRule="auto"/>
              <w:rPr>
                <w:sz w:val="20"/>
                <w:szCs w:val="20"/>
              </w:rPr>
            </w:pPr>
            <w:r w:rsidRPr="006A7CE2">
              <w:rPr>
                <w:sz w:val="20"/>
                <w:szCs w:val="20"/>
              </w:rPr>
              <w:t xml:space="preserve">STR </w:t>
            </w:r>
          </w:p>
        </w:tc>
        <w:tc>
          <w:tcPr>
            <w:tcW w:w="9192" w:type="dxa"/>
          </w:tcPr>
          <w:p w14:paraId="4646BAD6" w14:textId="68AA3D4E" w:rsidR="00A700B0" w:rsidRPr="006A7CE2" w:rsidRDefault="00A700B0" w:rsidP="00A700B0">
            <w:pPr>
              <w:spacing w:before="0" w:after="100" w:afterAutospacing="1" w:line="240" w:lineRule="auto"/>
              <w:rPr>
                <w:sz w:val="20"/>
                <w:szCs w:val="20"/>
              </w:rPr>
            </w:pPr>
            <w:r w:rsidRPr="006A7CE2">
              <w:rPr>
                <w:i/>
                <w:iCs/>
                <w:sz w:val="20"/>
                <w:szCs w:val="20"/>
              </w:rPr>
              <w:t>short-term accommodation rentals</w:t>
            </w:r>
            <w:r w:rsidRPr="006A7CE2">
              <w:rPr>
                <w:sz w:val="20"/>
                <w:szCs w:val="20"/>
              </w:rPr>
              <w:t xml:space="preserve"> ehk</w:t>
            </w:r>
            <w:r w:rsidR="00E6475F">
              <w:rPr>
                <w:sz w:val="20"/>
                <w:szCs w:val="20"/>
              </w:rPr>
              <w:t xml:space="preserve"> olenevalt tõlkest</w:t>
            </w:r>
            <w:r w:rsidRPr="006A7CE2">
              <w:rPr>
                <w:sz w:val="20"/>
                <w:szCs w:val="20"/>
              </w:rPr>
              <w:t xml:space="preserve"> lühiajalise majutuse</w:t>
            </w:r>
            <w:r w:rsidR="00C66B0C">
              <w:rPr>
                <w:sz w:val="20"/>
                <w:szCs w:val="20"/>
              </w:rPr>
              <w:t xml:space="preserve"> rend</w:t>
            </w:r>
            <w:r w:rsidR="00ED0D6F">
              <w:rPr>
                <w:sz w:val="20"/>
                <w:szCs w:val="20"/>
              </w:rPr>
              <w:t>iteenu</w:t>
            </w:r>
            <w:r w:rsidR="002D65F9">
              <w:rPr>
                <w:sz w:val="20"/>
                <w:szCs w:val="20"/>
              </w:rPr>
              <w:t>s</w:t>
            </w:r>
            <w:r w:rsidR="00ED0D6F">
              <w:rPr>
                <w:sz w:val="20"/>
                <w:szCs w:val="20"/>
              </w:rPr>
              <w:t xml:space="preserve"> või lühi</w:t>
            </w:r>
            <w:r w:rsidR="002D65F9">
              <w:rPr>
                <w:sz w:val="20"/>
                <w:szCs w:val="20"/>
              </w:rPr>
              <w:t>a</w:t>
            </w:r>
            <w:r w:rsidR="00ED0D6F">
              <w:rPr>
                <w:sz w:val="20"/>
                <w:szCs w:val="20"/>
              </w:rPr>
              <w:t>jalise majutuse</w:t>
            </w:r>
            <w:r w:rsidRPr="006A7CE2">
              <w:rPr>
                <w:sz w:val="20"/>
                <w:szCs w:val="20"/>
              </w:rPr>
              <w:t xml:space="preserve"> üüriteenus</w:t>
            </w:r>
          </w:p>
        </w:tc>
      </w:tr>
      <w:tr w:rsidR="005C7B60" w:rsidRPr="00E14EBC" w14:paraId="75DC920D" w14:textId="77777777" w:rsidTr="00817CF0">
        <w:tc>
          <w:tcPr>
            <w:tcW w:w="1060" w:type="dxa"/>
          </w:tcPr>
          <w:p w14:paraId="44F5C6A9" w14:textId="6FC6840E" w:rsidR="005C7B60" w:rsidRPr="006A7CE2" w:rsidRDefault="005C7B60" w:rsidP="00A700B0">
            <w:pPr>
              <w:spacing w:before="0" w:after="100" w:afterAutospacing="1" w:line="240" w:lineRule="auto"/>
              <w:rPr>
                <w:sz w:val="20"/>
                <w:szCs w:val="20"/>
              </w:rPr>
            </w:pPr>
            <w:r>
              <w:rPr>
                <w:sz w:val="20"/>
                <w:szCs w:val="20"/>
              </w:rPr>
              <w:t>TA</w:t>
            </w:r>
          </w:p>
        </w:tc>
        <w:tc>
          <w:tcPr>
            <w:tcW w:w="9192" w:type="dxa"/>
          </w:tcPr>
          <w:p w14:paraId="23D3226E" w14:textId="2F82259C" w:rsidR="005C7B60" w:rsidRPr="000A01E6" w:rsidRDefault="005C7B60" w:rsidP="00A700B0">
            <w:pPr>
              <w:spacing w:before="0" w:after="100" w:afterAutospacing="1" w:line="240" w:lineRule="auto"/>
              <w:rPr>
                <w:sz w:val="20"/>
                <w:szCs w:val="20"/>
              </w:rPr>
            </w:pPr>
            <w:r w:rsidRPr="000A01E6">
              <w:rPr>
                <w:sz w:val="20"/>
                <w:szCs w:val="20"/>
              </w:rPr>
              <w:t>Terviseamet</w:t>
            </w:r>
          </w:p>
        </w:tc>
      </w:tr>
      <w:tr w:rsidR="00A700B0" w:rsidRPr="00E14EBC" w14:paraId="6B036A33" w14:textId="77777777" w:rsidTr="00817CF0">
        <w:tc>
          <w:tcPr>
            <w:tcW w:w="1060" w:type="dxa"/>
          </w:tcPr>
          <w:p w14:paraId="52FF2E78" w14:textId="77777777" w:rsidR="00A700B0" w:rsidRPr="006A7CE2" w:rsidRDefault="00A700B0" w:rsidP="00A700B0">
            <w:pPr>
              <w:spacing w:before="0" w:after="100" w:afterAutospacing="1" w:line="240" w:lineRule="auto"/>
              <w:rPr>
                <w:sz w:val="20"/>
                <w:szCs w:val="20"/>
              </w:rPr>
            </w:pPr>
            <w:r w:rsidRPr="006A7CE2">
              <w:rPr>
                <w:sz w:val="20"/>
                <w:szCs w:val="20"/>
              </w:rPr>
              <w:t xml:space="preserve">THI </w:t>
            </w:r>
          </w:p>
        </w:tc>
        <w:tc>
          <w:tcPr>
            <w:tcW w:w="9192" w:type="dxa"/>
          </w:tcPr>
          <w:p w14:paraId="22A69088" w14:textId="578DE042" w:rsidR="00A700B0" w:rsidRPr="006A7CE2" w:rsidRDefault="00A700B0" w:rsidP="00A700B0">
            <w:pPr>
              <w:spacing w:before="0" w:after="100" w:afterAutospacing="1" w:line="240" w:lineRule="auto"/>
              <w:rPr>
                <w:sz w:val="20"/>
                <w:szCs w:val="20"/>
              </w:rPr>
            </w:pPr>
            <w:r w:rsidRPr="006A7CE2">
              <w:rPr>
                <w:sz w:val="20"/>
                <w:szCs w:val="20"/>
              </w:rPr>
              <w:t>tarbijahinnaindeks</w:t>
            </w:r>
          </w:p>
        </w:tc>
      </w:tr>
      <w:tr w:rsidR="00831A6B" w:rsidRPr="00E14EBC" w14:paraId="65662C23" w14:textId="77777777" w:rsidTr="00817CF0">
        <w:tc>
          <w:tcPr>
            <w:tcW w:w="1060" w:type="dxa"/>
          </w:tcPr>
          <w:p w14:paraId="5AB98427" w14:textId="2B5FA748" w:rsidR="00831A6B" w:rsidRPr="006A7CE2" w:rsidRDefault="00831A6B" w:rsidP="00A700B0">
            <w:pPr>
              <w:spacing w:before="0" w:after="100" w:afterAutospacing="1" w:line="240" w:lineRule="auto"/>
              <w:rPr>
                <w:sz w:val="20"/>
                <w:szCs w:val="20"/>
              </w:rPr>
            </w:pPr>
            <w:r>
              <w:rPr>
                <w:sz w:val="20"/>
                <w:szCs w:val="20"/>
              </w:rPr>
              <w:t xml:space="preserve">TTJA </w:t>
            </w:r>
          </w:p>
        </w:tc>
        <w:tc>
          <w:tcPr>
            <w:tcW w:w="9192" w:type="dxa"/>
          </w:tcPr>
          <w:p w14:paraId="1A0FA629" w14:textId="52D44421" w:rsidR="00831A6B" w:rsidRPr="006A7CE2" w:rsidRDefault="00831A6B" w:rsidP="00A700B0">
            <w:pPr>
              <w:spacing w:before="0" w:after="100" w:afterAutospacing="1" w:line="240" w:lineRule="auto"/>
              <w:rPr>
                <w:sz w:val="20"/>
                <w:szCs w:val="20"/>
              </w:rPr>
            </w:pPr>
            <w:r>
              <w:rPr>
                <w:sz w:val="20"/>
                <w:szCs w:val="20"/>
              </w:rPr>
              <w:t>Tarbijakaitse ja Tehnilise Järelevalve Amet</w:t>
            </w:r>
          </w:p>
        </w:tc>
      </w:tr>
      <w:tr w:rsidR="00A700B0" w:rsidRPr="00E14EBC" w14:paraId="3C81E25B" w14:textId="77777777" w:rsidTr="00817CF0">
        <w:tc>
          <w:tcPr>
            <w:tcW w:w="1060" w:type="dxa"/>
          </w:tcPr>
          <w:p w14:paraId="7D0E1A96" w14:textId="5C298D6B" w:rsidR="00A700B0" w:rsidRPr="006A7CE2" w:rsidRDefault="00A700B0" w:rsidP="00A700B0">
            <w:pPr>
              <w:spacing w:before="0" w:after="100" w:afterAutospacing="1" w:line="240" w:lineRule="auto"/>
              <w:rPr>
                <w:sz w:val="20"/>
                <w:szCs w:val="20"/>
              </w:rPr>
            </w:pPr>
            <w:r w:rsidRPr="006A7CE2">
              <w:rPr>
                <w:rFonts w:ascii="Arial" w:hAnsi="Arial" w:cs="Arial"/>
                <w:sz w:val="20"/>
                <w:szCs w:val="20"/>
              </w:rPr>
              <w:t xml:space="preserve">TumS </w:t>
            </w:r>
          </w:p>
        </w:tc>
        <w:tc>
          <w:tcPr>
            <w:tcW w:w="9192" w:type="dxa"/>
          </w:tcPr>
          <w:p w14:paraId="211EFAA2" w14:textId="65F52569" w:rsidR="00A700B0" w:rsidRPr="006A7CE2" w:rsidRDefault="00A700B0" w:rsidP="00A700B0">
            <w:pPr>
              <w:spacing w:before="0" w:after="100" w:afterAutospacing="1" w:line="240" w:lineRule="auto"/>
              <w:rPr>
                <w:sz w:val="20"/>
                <w:szCs w:val="20"/>
              </w:rPr>
            </w:pPr>
            <w:r w:rsidRPr="006A7CE2">
              <w:rPr>
                <w:rFonts w:ascii="Arial" w:hAnsi="Arial" w:cs="Arial"/>
                <w:sz w:val="20"/>
                <w:szCs w:val="20"/>
              </w:rPr>
              <w:t>tulumaksuseadus</w:t>
            </w:r>
          </w:p>
        </w:tc>
      </w:tr>
      <w:tr w:rsidR="00A700B0" w:rsidRPr="00E14EBC" w14:paraId="0F37F4DB" w14:textId="77777777" w:rsidTr="00817CF0">
        <w:tc>
          <w:tcPr>
            <w:tcW w:w="1060" w:type="dxa"/>
          </w:tcPr>
          <w:p w14:paraId="5DD59E2A" w14:textId="77777777" w:rsidR="00A700B0" w:rsidRPr="006A7CE2" w:rsidRDefault="00A700B0" w:rsidP="00A700B0">
            <w:pPr>
              <w:spacing w:before="0" w:after="100" w:afterAutospacing="1" w:line="240" w:lineRule="auto"/>
              <w:rPr>
                <w:sz w:val="20"/>
                <w:szCs w:val="20"/>
              </w:rPr>
            </w:pPr>
            <w:r w:rsidRPr="006A7CE2">
              <w:rPr>
                <w:sz w:val="20"/>
                <w:szCs w:val="20"/>
              </w:rPr>
              <w:t xml:space="preserve">TurS </w:t>
            </w:r>
          </w:p>
        </w:tc>
        <w:tc>
          <w:tcPr>
            <w:tcW w:w="9192" w:type="dxa"/>
          </w:tcPr>
          <w:p w14:paraId="67219AAE" w14:textId="6F0DEEEC" w:rsidR="00A700B0" w:rsidRPr="006A7CE2" w:rsidRDefault="00A700B0" w:rsidP="00A700B0">
            <w:pPr>
              <w:spacing w:before="0" w:after="100" w:afterAutospacing="1" w:line="240" w:lineRule="auto"/>
              <w:rPr>
                <w:sz w:val="20"/>
                <w:szCs w:val="20"/>
              </w:rPr>
            </w:pPr>
            <w:r w:rsidRPr="006A7CE2">
              <w:rPr>
                <w:sz w:val="20"/>
                <w:szCs w:val="20"/>
              </w:rPr>
              <w:t>turismiseadus</w:t>
            </w:r>
          </w:p>
        </w:tc>
      </w:tr>
      <w:tr w:rsidR="00A700B0" w:rsidRPr="00E14EBC" w14:paraId="7BFCE9DB" w14:textId="77777777" w:rsidTr="00817CF0">
        <w:tc>
          <w:tcPr>
            <w:tcW w:w="1060" w:type="dxa"/>
          </w:tcPr>
          <w:p w14:paraId="70B941C2" w14:textId="76861937" w:rsidR="00A700B0" w:rsidRPr="006A7CE2" w:rsidRDefault="00A700B0" w:rsidP="00A700B0">
            <w:pPr>
              <w:spacing w:before="0" w:after="100" w:afterAutospacing="1" w:line="240" w:lineRule="auto"/>
              <w:rPr>
                <w:sz w:val="20"/>
                <w:szCs w:val="20"/>
              </w:rPr>
            </w:pPr>
            <w:r w:rsidRPr="006A7CE2">
              <w:rPr>
                <w:sz w:val="20"/>
                <w:szCs w:val="20"/>
              </w:rPr>
              <w:t>V</w:t>
            </w:r>
            <w:r w:rsidR="00342881">
              <w:rPr>
                <w:sz w:val="20"/>
                <w:szCs w:val="20"/>
              </w:rPr>
              <w:t>Õ</w:t>
            </w:r>
            <w:r w:rsidRPr="006A7CE2">
              <w:rPr>
                <w:sz w:val="20"/>
                <w:szCs w:val="20"/>
              </w:rPr>
              <w:t xml:space="preserve">S </w:t>
            </w:r>
          </w:p>
        </w:tc>
        <w:tc>
          <w:tcPr>
            <w:tcW w:w="9192" w:type="dxa"/>
          </w:tcPr>
          <w:p w14:paraId="0E1CA544" w14:textId="78E11C77" w:rsidR="00A700B0" w:rsidRPr="006A7CE2" w:rsidRDefault="00A700B0" w:rsidP="00A700B0">
            <w:pPr>
              <w:spacing w:before="0" w:after="100" w:afterAutospacing="1" w:line="240" w:lineRule="auto"/>
              <w:rPr>
                <w:sz w:val="20"/>
                <w:szCs w:val="20"/>
              </w:rPr>
            </w:pPr>
            <w:r w:rsidRPr="006A7CE2">
              <w:rPr>
                <w:sz w:val="20"/>
                <w:szCs w:val="20"/>
              </w:rPr>
              <w:t>võlaõigusseadus</w:t>
            </w:r>
          </w:p>
        </w:tc>
      </w:tr>
    </w:tbl>
    <w:p w14:paraId="626E2E52" w14:textId="13BD1276" w:rsidR="000A01E6" w:rsidRDefault="000A01E6" w:rsidP="000A01E6"/>
    <w:p w14:paraId="577A0298" w14:textId="77777777" w:rsidR="000A01E6" w:rsidRDefault="000A01E6">
      <w:pPr>
        <w:spacing w:before="0" w:line="259" w:lineRule="auto"/>
      </w:pPr>
      <w:r>
        <w:br w:type="page"/>
      </w:r>
    </w:p>
    <w:p w14:paraId="62B34662" w14:textId="2388EB88" w:rsidR="00917D34" w:rsidRPr="00E14EBC" w:rsidRDefault="00247DAE" w:rsidP="00953A93">
      <w:pPr>
        <w:pStyle w:val="Heading1"/>
        <w:numPr>
          <w:ilvl w:val="0"/>
          <w:numId w:val="0"/>
        </w:numPr>
        <w:ind w:left="454" w:hanging="454"/>
        <w:rPr>
          <w:rFonts w:hint="eastAsia"/>
        </w:rPr>
      </w:pPr>
      <w:bookmarkStart w:id="3" w:name="_Toc208991562"/>
      <w:r w:rsidRPr="00E14EBC">
        <w:lastRenderedPageBreak/>
        <w:t>Kokkuvõte</w:t>
      </w:r>
      <w:bookmarkEnd w:id="3"/>
    </w:p>
    <w:p w14:paraId="4F6CA094" w14:textId="307924FC" w:rsidR="003377F8" w:rsidRDefault="003377F8" w:rsidP="003377F8">
      <w:pPr>
        <w:jc w:val="both"/>
      </w:pPr>
      <w:r w:rsidRPr="003E51F6">
        <w:t>Eestis ei ole lühiajalise üüri turu sotsiaal-majanduslikke mõjusid laialdaselt uuritud</w:t>
      </w:r>
      <w:r w:rsidRPr="00E14EBC">
        <w:t xml:space="preserve"> ega turgu eraldi reguleeritud. </w:t>
      </w:r>
      <w:r w:rsidRPr="00AE09B0">
        <w:t xml:space="preserve">Käesoleva rakendusuuringu eesmärk on </w:t>
      </w:r>
      <w:r>
        <w:t xml:space="preserve">anda ülevaade </w:t>
      </w:r>
      <w:r w:rsidRPr="00AE09B0">
        <w:t xml:space="preserve">lühiajalise üüri teenuste </w:t>
      </w:r>
      <w:r>
        <w:t>turu olukorrast, hinnata turu sotsiaal</w:t>
      </w:r>
      <w:r w:rsidR="00EC6EAB">
        <w:t>-</w:t>
      </w:r>
      <w:r>
        <w:t>majanduslikke mõjusid ning pakkuda lahendusi nende leevendamiseks ja ennetamiseks</w:t>
      </w:r>
      <w:r w:rsidR="00F91868">
        <w:t xml:space="preserve"> ning </w:t>
      </w:r>
      <w:r w:rsidR="00F21EB2">
        <w:t xml:space="preserve">turu </w:t>
      </w:r>
      <w:r w:rsidR="00F91868">
        <w:t xml:space="preserve">tugevuste </w:t>
      </w:r>
      <w:r w:rsidR="00482381">
        <w:t>võimendamiseks</w:t>
      </w:r>
      <w:r>
        <w:t xml:space="preserve">. </w:t>
      </w:r>
      <w:r w:rsidR="004B0F09">
        <w:t xml:space="preserve">Eesmärgi saavutamiseks </w:t>
      </w:r>
      <w:r w:rsidR="00A77261">
        <w:t xml:space="preserve">analüüsisime </w:t>
      </w:r>
      <w:r w:rsidR="00220A81">
        <w:t xml:space="preserve">teaduskirjandust, Eesti õigusruumi, </w:t>
      </w:r>
      <w:r w:rsidR="00546F28">
        <w:t xml:space="preserve">välisriikide praktikat, </w:t>
      </w:r>
      <w:r w:rsidR="00F56F9D">
        <w:t>lühiajalise üüri turuga seonduvat statistikat</w:t>
      </w:r>
      <w:r w:rsidR="00DC2B91">
        <w:t xml:space="preserve"> ning</w:t>
      </w:r>
      <w:r w:rsidR="00F56F9D">
        <w:t xml:space="preserve"> </w:t>
      </w:r>
      <w:r w:rsidR="00DC42D7">
        <w:t>turuosaliste, poliitikakujundajate ja järelevalveasutuste seisukohti</w:t>
      </w:r>
      <w:r w:rsidR="00DC2B91">
        <w:t>.</w:t>
      </w:r>
      <w:r w:rsidR="00DC42D7">
        <w:t xml:space="preserve"> </w:t>
      </w:r>
      <w:r w:rsidR="00DC2B91">
        <w:t>Kesksemate seoste uurimisel kasutasime ka ökonomeetrilist mudeldamist.</w:t>
      </w:r>
      <w:r w:rsidR="00546F28">
        <w:t xml:space="preserve"> </w:t>
      </w:r>
      <w:r w:rsidR="008746E6">
        <w:t xml:space="preserve">Uuringu uudsus </w:t>
      </w:r>
      <w:r w:rsidR="00247EBF">
        <w:t xml:space="preserve">seisneb </w:t>
      </w:r>
      <w:r w:rsidR="008C7838">
        <w:t xml:space="preserve">peamiselt </w:t>
      </w:r>
      <w:r w:rsidR="003C3C99">
        <w:t>kvalitatiivsete ja kvantitatiivsete meetodite kombineerimises</w:t>
      </w:r>
      <w:r w:rsidR="006D462D">
        <w:t xml:space="preserve">, mille tulemusel sünteesisime </w:t>
      </w:r>
      <w:r w:rsidR="00ED7FE2">
        <w:t>varasemate</w:t>
      </w:r>
      <w:r w:rsidR="00D17EDC">
        <w:t>s</w:t>
      </w:r>
      <w:r w:rsidR="00ED7FE2">
        <w:t xml:space="preserve"> teadustööde</w:t>
      </w:r>
      <w:r w:rsidR="00D17EDC">
        <w:t>s käsitletuga</w:t>
      </w:r>
      <w:r w:rsidR="00ED7FE2">
        <w:t xml:space="preserve"> võrreldes</w:t>
      </w:r>
      <w:r w:rsidR="006D462D">
        <w:t xml:space="preserve"> oluliselt laiema spektri poliitikasoovitusi. Lisaks kasutasime </w:t>
      </w:r>
      <w:r w:rsidR="000C717D">
        <w:t>analüüsis alles eksperimentaalstatistika staatuses olevat Eurostati andmestik</w:t>
      </w:r>
      <w:r w:rsidR="48BB399F">
        <w:t>k</w:t>
      </w:r>
      <w:r w:rsidR="000C717D">
        <w:t xml:space="preserve">u, </w:t>
      </w:r>
      <w:r w:rsidR="009B53BB">
        <w:t xml:space="preserve">mis kinnitas nende </w:t>
      </w:r>
      <w:r w:rsidR="004D603C">
        <w:t>suurt väärtust edaspidiste analüüside</w:t>
      </w:r>
      <w:r w:rsidR="002F1EF3">
        <w:t xml:space="preserve"> jaoks</w:t>
      </w:r>
      <w:r w:rsidR="004D603C">
        <w:t>.</w:t>
      </w:r>
    </w:p>
    <w:p w14:paraId="16968AE6" w14:textId="4370E178" w:rsidR="003377F8" w:rsidRDefault="003377F8" w:rsidP="003377F8">
      <w:pPr>
        <w:jc w:val="both"/>
      </w:pPr>
      <w:r w:rsidRPr="00541405">
        <w:rPr>
          <w:b/>
          <w:bCs/>
        </w:rPr>
        <w:t>Uuringu objektiks on lühiajalise üüri teenus</w:t>
      </w:r>
      <w:r w:rsidRPr="00541405">
        <w:rPr>
          <w:b/>
          <w:bCs/>
          <w:i/>
          <w:iCs/>
        </w:rPr>
        <w:t xml:space="preserve">, </w:t>
      </w:r>
      <w:r w:rsidRPr="00541405">
        <w:rPr>
          <w:b/>
          <w:bCs/>
        </w:rPr>
        <w:t>mida pakutakse ärilistel eesmärkidel eluruumides.</w:t>
      </w:r>
      <w:r>
        <w:rPr>
          <w:b/>
          <w:bCs/>
        </w:rPr>
        <w:t xml:space="preserve"> </w:t>
      </w:r>
      <w:r w:rsidRPr="00911A22">
        <w:t>Tuleb silmas pidada, et</w:t>
      </w:r>
      <w:r>
        <w:rPr>
          <w:b/>
          <w:bCs/>
        </w:rPr>
        <w:t xml:space="preserve"> </w:t>
      </w:r>
      <w:r w:rsidRPr="00E14EBC">
        <w:t>lühiajalise üüri teenus</w:t>
      </w:r>
      <w:r>
        <w:t xml:space="preserve">te puhul </w:t>
      </w:r>
      <w:r w:rsidRPr="00E14EBC">
        <w:t>ei ole tegemist uut tüüpi ärimudeliga, kuid tänu jagamis- ja platvormimajanduse tekkele on arenenud üürileandja ja üürniku kokku viimise võimalused</w:t>
      </w:r>
      <w:r>
        <w:t>.</w:t>
      </w:r>
      <w:r w:rsidR="0086757B">
        <w:t xml:space="preserve"> </w:t>
      </w:r>
      <w:r>
        <w:t xml:space="preserve">Lühiajalise üüri turu kiire kasv on tihedalt </w:t>
      </w:r>
      <w:r w:rsidRPr="003E51F6">
        <w:t>seotud jagamis- ja platvormimajanduse arenguga. Kui jagamismajanduse rõhuasutus on alakasutatud ressursside paremas kasutamises (nt enda eluruumis tühjana seisva toa lühiajaline kasutada andmine), siis digitaalsete vahendusplatvormide tekkimise kaudu on esile kerkinud hoopis äritegevus selliseks otstarbeks spetsiaalselt soetatud varaga. Taolise ettevõtlusega tegelejate kiire teke on iseloomulik ka lühiajalise üüri turule Eestis.</w:t>
      </w:r>
    </w:p>
    <w:p w14:paraId="54B4DA67" w14:textId="11825C07" w:rsidR="003377F8" w:rsidRDefault="003377F8" w:rsidP="003377F8">
      <w:pPr>
        <w:jc w:val="both"/>
      </w:pPr>
      <w:r>
        <w:t xml:space="preserve">Lühiajalise üüri teenuse mõiste on tekkinud aja jooksul erinevate EL poliitikadokumentide ja õigusloome tõlke käigus ning jäänud igapäevasesse kasutusse enimlevinud inglise keelse vaste </w:t>
      </w:r>
      <w:r w:rsidRPr="1C92C443">
        <w:rPr>
          <w:i/>
          <w:iCs/>
        </w:rPr>
        <w:t xml:space="preserve">short-term rental </w:t>
      </w:r>
      <w:r>
        <w:t>tõlkena.</w:t>
      </w:r>
      <w:r w:rsidR="007431E4">
        <w:t xml:space="preserve"> Sisuliselt mõeldakse selle all tüüpiliselt ajutise ööbimisvõimaluse pakkumist eluruumides</w:t>
      </w:r>
      <w:r w:rsidR="004764F3">
        <w:t>.</w:t>
      </w:r>
      <w:r w:rsidR="00BA5C38">
        <w:t xml:space="preserve"> Ajutise ööbimisvõimaluse pakkumin</w:t>
      </w:r>
      <w:r w:rsidR="00C17C36">
        <w:t>e</w:t>
      </w:r>
      <w:r w:rsidR="00BA5C38">
        <w:t xml:space="preserve"> on</w:t>
      </w:r>
      <w:r w:rsidR="00187B8A">
        <w:t xml:space="preserve"> TurS-</w:t>
      </w:r>
      <w:r w:rsidR="00BA5C38">
        <w:t>i tähenduses ka tavapärase majutusteenuse tuum</w:t>
      </w:r>
      <w:r w:rsidR="0078594A">
        <w:t>, kusjuures lühiajalise</w:t>
      </w:r>
      <w:r w:rsidR="000B14DA">
        <w:t xml:space="preserve"> üüri teenusele vasta</w:t>
      </w:r>
      <w:r w:rsidR="00953603">
        <w:t xml:space="preserve">vad TurS-i majutusteenuste liikidest külaliskorter, </w:t>
      </w:r>
      <w:r w:rsidR="00D7557F">
        <w:t>kodumajutus ja puhkemaja.</w:t>
      </w:r>
      <w:r w:rsidR="00AD05CE">
        <w:rPr>
          <w:b/>
          <w:bCs/>
        </w:rPr>
        <w:t xml:space="preserve"> </w:t>
      </w:r>
      <w:r w:rsidR="6715F2DF" w:rsidRPr="1C92C443">
        <w:rPr>
          <w:b/>
          <w:bCs/>
        </w:rPr>
        <w:t>Tuginedes analüüsi tulemustele</w:t>
      </w:r>
      <w:r w:rsidR="6E7253F5" w:rsidRPr="1C92C443">
        <w:rPr>
          <w:b/>
          <w:bCs/>
        </w:rPr>
        <w:t>,</w:t>
      </w:r>
      <w:r w:rsidR="6715F2DF" w:rsidRPr="1C92C443">
        <w:rPr>
          <w:b/>
          <w:bCs/>
        </w:rPr>
        <w:t xml:space="preserve"> saab järeldada, et sisuliselt on</w:t>
      </w:r>
      <w:r w:rsidR="00DC26A9">
        <w:rPr>
          <w:b/>
          <w:bCs/>
        </w:rPr>
        <w:t>gi</w:t>
      </w:r>
      <w:r w:rsidR="6715F2DF" w:rsidRPr="1C92C443">
        <w:rPr>
          <w:b/>
          <w:bCs/>
        </w:rPr>
        <w:t xml:space="preserve"> lühiajalise üüri teenuse puhul </w:t>
      </w:r>
      <w:r w:rsidR="525A7825" w:rsidRPr="1C92C443">
        <w:rPr>
          <w:b/>
          <w:bCs/>
        </w:rPr>
        <w:t xml:space="preserve">tegemist </w:t>
      </w:r>
      <w:r w:rsidR="6715F2DF" w:rsidRPr="1C92C443">
        <w:rPr>
          <w:b/>
          <w:bCs/>
        </w:rPr>
        <w:t xml:space="preserve">majutusteenuste pakkumisega, </w:t>
      </w:r>
      <w:r w:rsidR="6715F2DF">
        <w:t xml:space="preserve">mistõttu </w:t>
      </w:r>
      <w:r w:rsidR="00AE706A">
        <w:t xml:space="preserve">peaks üldjuhul </w:t>
      </w:r>
      <w:r w:rsidR="6715F2DF">
        <w:t xml:space="preserve">lühiajalise üüri teenuse pakkumisele </w:t>
      </w:r>
      <w:r w:rsidR="00AE706A">
        <w:t>kohalduma</w:t>
      </w:r>
      <w:r w:rsidR="00AE706A" w:rsidDel="002E6A3A">
        <w:t xml:space="preserve"> </w:t>
      </w:r>
      <w:r w:rsidR="002E6A3A">
        <w:t xml:space="preserve">TurS-i </w:t>
      </w:r>
      <w:r w:rsidR="6715F2DF">
        <w:t>sätted ning ka kõik majutusteenusele ja majutusteenuse osutajale kehtivad regulatsioonid.</w:t>
      </w:r>
      <w:r w:rsidR="00445A3F" w:rsidRPr="00445A3F">
        <w:t xml:space="preserve"> </w:t>
      </w:r>
      <w:r w:rsidR="00445A3F">
        <w:t>See tähenda</w:t>
      </w:r>
      <w:r w:rsidR="00450737">
        <w:t>b, et</w:t>
      </w:r>
      <w:r w:rsidR="00445A3F">
        <w:t xml:space="preserve"> </w:t>
      </w:r>
      <w:r w:rsidR="00450737">
        <w:t xml:space="preserve">lühiajalise üüri teenuse (ehk majutusteenuse) osutajad </w:t>
      </w:r>
      <w:r w:rsidR="00445A3F">
        <w:t>pea</w:t>
      </w:r>
      <w:r w:rsidR="00450737">
        <w:t>ksid</w:t>
      </w:r>
      <w:r w:rsidR="00445A3F">
        <w:t xml:space="preserve"> täitma erinevad teenuse ohutuse- ja hügieeniga seotud nõuded, aga ka külastajate registreerimise ja statistika esitamise kohustust, viimast juhul kui majutuskohas on 5 või enam voodikohta.</w:t>
      </w:r>
    </w:p>
    <w:p w14:paraId="392B726B" w14:textId="40B5F0F0" w:rsidR="003377F8" w:rsidRDefault="005746C9" w:rsidP="003377F8">
      <w:pPr>
        <w:jc w:val="both"/>
      </w:pPr>
      <w:r>
        <w:t xml:space="preserve">Kehtivas õigusruumis on seadusandja </w:t>
      </w:r>
      <w:r w:rsidR="00535718">
        <w:t xml:space="preserve">eesmärk olnud lihtsustada kodude </w:t>
      </w:r>
      <w:r w:rsidR="00B74793">
        <w:t>väljaüürimist nende</w:t>
      </w:r>
      <w:r w:rsidR="225B99B5">
        <w:t>l</w:t>
      </w:r>
      <w:r w:rsidR="00B74793">
        <w:t xml:space="preserve"> juhtudel, kui seda tehakse ajutiselt või ebaregulaarselt</w:t>
      </w:r>
      <w:r w:rsidR="008B6D5D">
        <w:t xml:space="preserve">. </w:t>
      </w:r>
      <w:r w:rsidR="00380DDF">
        <w:t>Samas näitas uuring, et selle tulemusel on l</w:t>
      </w:r>
      <w:r w:rsidR="65000B39">
        <w:t>ühiajalise üüri teenuse mõiste ja sisu</w:t>
      </w:r>
      <w:r w:rsidR="00DB008B">
        <w:t xml:space="preserve"> Eesti õigusruumi</w:t>
      </w:r>
      <w:r w:rsidR="00380DDF">
        <w:t>s</w:t>
      </w:r>
      <w:r w:rsidR="00DB008B">
        <w:t xml:space="preserve"> selgelt defineerimata</w:t>
      </w:r>
      <w:r w:rsidR="00852295">
        <w:t>, mis</w:t>
      </w:r>
      <w:r w:rsidR="65000B39">
        <w:t xml:space="preserve"> on </w:t>
      </w:r>
      <w:r w:rsidR="003512B1">
        <w:t xml:space="preserve">tekitanud </w:t>
      </w:r>
      <w:r w:rsidR="65000B39">
        <w:t>olukor</w:t>
      </w:r>
      <w:r w:rsidR="003512B1">
        <w:t>ra</w:t>
      </w:r>
      <w:r w:rsidR="65000B39">
        <w:t xml:space="preserve">, kus </w:t>
      </w:r>
      <w:r w:rsidR="00823A53">
        <w:rPr>
          <w:b/>
          <w:bCs/>
        </w:rPr>
        <w:t>ka paljud sellised</w:t>
      </w:r>
      <w:r w:rsidR="65000B39" w:rsidRPr="1C92C443">
        <w:rPr>
          <w:b/>
          <w:bCs/>
        </w:rPr>
        <w:t xml:space="preserve"> teenuse pakkujad</w:t>
      </w:r>
      <w:r w:rsidR="00823A53">
        <w:rPr>
          <w:b/>
          <w:bCs/>
        </w:rPr>
        <w:t xml:space="preserve">, kes tegutsevad </w:t>
      </w:r>
      <w:r w:rsidR="00E47283">
        <w:rPr>
          <w:b/>
          <w:bCs/>
        </w:rPr>
        <w:t>regulaarselt ja selgelt ärilisel eesmärgil,</w:t>
      </w:r>
      <w:r w:rsidR="65000B39" w:rsidRPr="1C92C443">
        <w:rPr>
          <w:b/>
          <w:bCs/>
        </w:rPr>
        <w:t xml:space="preserve"> selliseid nõudeid ilmselt ei täida</w:t>
      </w:r>
      <w:r w:rsidR="65000B39">
        <w:t xml:space="preserve"> ning tekitavad seeläbi teistega võrreldes ebaausa konkurentsi olukorra. Suurimad probleemid on tuleohutuse nõuete täitmisega</w:t>
      </w:r>
      <w:r w:rsidR="00931AD5">
        <w:t>, mida paljudes kortermajades polegi mõistlike kuludega võimalik täita</w:t>
      </w:r>
      <w:r w:rsidR="65000B39">
        <w:t xml:space="preserve">. </w:t>
      </w:r>
      <w:r w:rsidR="002F0F4E">
        <w:t xml:space="preserve">Samas järeldame uuringu tulemusel, et ka jagamismajanduse vormis ning ebaregulaarselt lühiajalise üüri teenuse osutamist </w:t>
      </w:r>
      <w:r w:rsidR="002F0F4E">
        <w:lastRenderedPageBreak/>
        <w:t>tuleks lugeda majutusteenuseks ning</w:t>
      </w:r>
      <w:r w:rsidR="00E37FD3">
        <w:t xml:space="preserve"> ka nendele majutuskohtadele peaks kehtima teenuse kasutajate </w:t>
      </w:r>
      <w:r w:rsidR="00A77B87">
        <w:t>ohutuse ja riigi julgeoleku tagamisega seotud nõuded</w:t>
      </w:r>
      <w:r w:rsidR="001106C0">
        <w:t>.</w:t>
      </w:r>
      <w:r w:rsidR="007F3D7F">
        <w:t xml:space="preserve"> </w:t>
      </w:r>
      <w:r w:rsidR="65000B39">
        <w:t>Teatud nõuete täitmise puhul vajavad tänased praktikad ning järelevalve korraldamine täpsustamist, sest majutusteenuse levikuga eluhoone</w:t>
      </w:r>
      <w:r w:rsidR="7B36C0AF">
        <w:t>te</w:t>
      </w:r>
      <w:r w:rsidR="65000B39">
        <w:t>sse ei pruugi need vastata enam tegelikele vajadustele, on kohmakad ja bürokraatlikud.</w:t>
      </w:r>
      <w:r w:rsidR="00D71702">
        <w:t xml:space="preserve"> </w:t>
      </w:r>
    </w:p>
    <w:p w14:paraId="3EC13E99" w14:textId="707B2AAF" w:rsidR="003377F8" w:rsidRDefault="003377F8" w:rsidP="003377F8">
      <w:pPr>
        <w:jc w:val="both"/>
      </w:pPr>
      <w:r>
        <w:t xml:space="preserve">Ühte täielikku ja usaldusväärset kvantitatiivset andmestikku </w:t>
      </w:r>
      <w:r w:rsidR="00CE4ACC">
        <w:t xml:space="preserve">Eesti </w:t>
      </w:r>
      <w:r>
        <w:t xml:space="preserve">turu mahu ja toimimise iseloomustamiseks ei ole, kuid olukorra hindamiseks saab kombineerida SA, Eurostati, MTA, </w:t>
      </w:r>
      <w:r w:rsidR="00527CAD">
        <w:t xml:space="preserve">                 </w:t>
      </w:r>
      <w:r>
        <w:t>EIS-i andmeid ning erinevate avalike platvormide ja erafirmade pakutavaid andmeid. Andmete kasutamisel on oluline pöörata tähelepanu sellele, et need oleks ajakohased (sest turg muutub kiiresti) ning võimalikult piirkonna põhised (sest turg on piirkonniti varieeruv).</w:t>
      </w:r>
    </w:p>
    <w:p w14:paraId="168B3BF7" w14:textId="7C3EEE81" w:rsidR="003377F8" w:rsidRDefault="65000B39" w:rsidP="1688D34F">
      <w:pPr>
        <w:jc w:val="both"/>
        <w:rPr>
          <w:rFonts w:eastAsiaTheme="minorEastAsia"/>
        </w:rPr>
      </w:pPr>
      <w:r>
        <w:t xml:space="preserve">Erinevate andmestike kombineerimise tulemusel saab hinnata, et Eesti lühiajalise turu </w:t>
      </w:r>
      <w:r w:rsidRPr="1688D34F">
        <w:rPr>
          <w:b/>
          <w:bCs/>
        </w:rPr>
        <w:t xml:space="preserve">pakkumise maht </w:t>
      </w:r>
      <w:r w:rsidR="007871AD" w:rsidRPr="1688D34F">
        <w:rPr>
          <w:b/>
          <w:bCs/>
        </w:rPr>
        <w:t>jääb vahemikku</w:t>
      </w:r>
      <w:r w:rsidRPr="1688D34F">
        <w:rPr>
          <w:b/>
          <w:bCs/>
        </w:rPr>
        <w:t xml:space="preserve"> </w:t>
      </w:r>
      <w:r w:rsidR="007871AD" w:rsidRPr="1688D34F">
        <w:rPr>
          <w:b/>
          <w:bCs/>
        </w:rPr>
        <w:t>30</w:t>
      </w:r>
      <w:r w:rsidR="00C514F6">
        <w:rPr>
          <w:b/>
          <w:bCs/>
        </w:rPr>
        <w:t>–</w:t>
      </w:r>
      <w:r w:rsidRPr="1688D34F">
        <w:rPr>
          <w:b/>
          <w:bCs/>
        </w:rPr>
        <w:t>50 tuhat voodikohta</w:t>
      </w:r>
      <w:r>
        <w:t>, suurima pakkumisega Tallinnas/Harjumaal, Lääne-Eestis ja Lõuna-Eestis.</w:t>
      </w:r>
      <w:r w:rsidR="007871AD">
        <w:t xml:space="preserve"> Pakkumise mahu hindamisel oleme lühiajalis</w:t>
      </w:r>
      <w:r w:rsidR="002A031C">
        <w:t>e üüri pindadena käsitlenud külaliskortereid, kodumajutusi ja p</w:t>
      </w:r>
      <w:r w:rsidR="00CB2CAB">
        <w:t>uhkemaja</w:t>
      </w:r>
      <w:r w:rsidR="3C25759A">
        <w:t>si</w:t>
      </w:r>
      <w:r w:rsidR="00CB2CAB">
        <w:t>d</w:t>
      </w:r>
      <w:r w:rsidR="00F01F61">
        <w:t>.</w:t>
      </w:r>
      <w:r w:rsidR="00E320DD">
        <w:t xml:space="preserve"> </w:t>
      </w:r>
      <w:r w:rsidR="00F01F61">
        <w:t>A</w:t>
      </w:r>
      <w:r w:rsidR="00E320DD">
        <w:t xml:space="preserve">rvestada tuleb ka seda, et umbes </w:t>
      </w:r>
      <w:r w:rsidR="000A37CA">
        <w:t xml:space="preserve">pooli voodikohti </w:t>
      </w:r>
      <w:r w:rsidR="00B04F71">
        <w:t>ei pakuta</w:t>
      </w:r>
      <w:r w:rsidR="00A87FE0">
        <w:t xml:space="preserve"> </w:t>
      </w:r>
      <w:r w:rsidR="000A37CA">
        <w:t>terve aasta jooksul, seega tegelik pakkumine on mõnevõrra väiksem</w:t>
      </w:r>
      <w:r w:rsidR="00CB2CAB">
        <w:t>.</w:t>
      </w:r>
      <w:r>
        <w:t xml:space="preserve"> </w:t>
      </w:r>
      <w:r w:rsidRPr="1688D34F">
        <w:rPr>
          <w:rFonts w:eastAsiaTheme="minorEastAsia"/>
          <w:b/>
          <w:bCs/>
        </w:rPr>
        <w:t xml:space="preserve">Nõudluse mahuks saab hinnata 2023. aastal </w:t>
      </w:r>
      <w:r w:rsidRPr="1688D34F">
        <w:rPr>
          <w:rFonts w:eastAsiaTheme="minorEastAsia"/>
          <w:b/>
          <w:bCs/>
          <w:i/>
          <w:iCs/>
        </w:rPr>
        <w:t>ca</w:t>
      </w:r>
      <w:r w:rsidRPr="1688D34F">
        <w:rPr>
          <w:rFonts w:eastAsiaTheme="minorEastAsia"/>
          <w:b/>
          <w:bCs/>
        </w:rPr>
        <w:t xml:space="preserve"> 1,5 miljonit ööbimist</w:t>
      </w:r>
      <w:r w:rsidRPr="1688D34F">
        <w:rPr>
          <w:rFonts w:eastAsiaTheme="minorEastAsia"/>
        </w:rPr>
        <w:t xml:space="preserve"> ja veidi üle 600 tuhande majutatu, millest </w:t>
      </w:r>
      <w:r w:rsidRPr="1688D34F">
        <w:rPr>
          <w:rFonts w:eastAsiaTheme="minorEastAsia"/>
          <w:i/>
          <w:iCs/>
        </w:rPr>
        <w:t>ca</w:t>
      </w:r>
      <w:r w:rsidRPr="1688D34F">
        <w:rPr>
          <w:rFonts w:eastAsiaTheme="minorEastAsia"/>
        </w:rPr>
        <w:t xml:space="preserve"> pooled olid Tallinnas. Andmete põhjal saab kokkuvõtvalt järeldada, et Eesti lühiajalist üüri turule on iseloomulik:</w:t>
      </w:r>
    </w:p>
    <w:p w14:paraId="76883809" w14:textId="37CC83F9" w:rsidR="003377F8" w:rsidRPr="00252349" w:rsidRDefault="003377F8" w:rsidP="003377F8">
      <w:pPr>
        <w:pStyle w:val="ListParagraph"/>
        <w:numPr>
          <w:ilvl w:val="0"/>
          <w:numId w:val="74"/>
        </w:numPr>
        <w:spacing w:before="0" w:line="259" w:lineRule="auto"/>
        <w:jc w:val="both"/>
        <w:rPr>
          <w:rFonts w:eastAsiaTheme="minorEastAsia"/>
        </w:rPr>
      </w:pPr>
      <w:r w:rsidRPr="00252349">
        <w:rPr>
          <w:rFonts w:eastAsiaTheme="minorEastAsia"/>
        </w:rPr>
        <w:t xml:space="preserve">Umbes kolmveerandi pakkumistest moodustavad väikesed 1- ja 2-toalised majutuskohad ning umbes 93% </w:t>
      </w:r>
      <w:r>
        <w:rPr>
          <w:rFonts w:eastAsiaTheme="minorEastAsia"/>
        </w:rPr>
        <w:t xml:space="preserve">pakkumistest on </w:t>
      </w:r>
      <w:r w:rsidRPr="00252349">
        <w:rPr>
          <w:rFonts w:eastAsiaTheme="minorEastAsia"/>
        </w:rPr>
        <w:t xml:space="preserve">alla </w:t>
      </w:r>
      <w:r w:rsidR="00055FC0">
        <w:rPr>
          <w:rFonts w:eastAsiaTheme="minorEastAsia"/>
        </w:rPr>
        <w:t>viie</w:t>
      </w:r>
      <w:r w:rsidRPr="00252349">
        <w:rPr>
          <w:rFonts w:eastAsiaTheme="minorEastAsia"/>
        </w:rPr>
        <w:t xml:space="preserve"> voodikohaga majutuskohad. Viimastele kehtivad leebemad </w:t>
      </w:r>
      <w:r w:rsidR="00C16616">
        <w:rPr>
          <w:rFonts w:eastAsiaTheme="minorEastAsia"/>
        </w:rPr>
        <w:t>TurS-i</w:t>
      </w:r>
      <w:r w:rsidRPr="00252349">
        <w:rPr>
          <w:rFonts w:eastAsiaTheme="minorEastAsia"/>
        </w:rPr>
        <w:t xml:space="preserve"> nõuded.</w:t>
      </w:r>
    </w:p>
    <w:p w14:paraId="62DAB225" w14:textId="0999C04B" w:rsidR="003377F8" w:rsidRPr="00252349" w:rsidRDefault="3B072434" w:rsidP="288A3578">
      <w:pPr>
        <w:pStyle w:val="ListParagraph"/>
        <w:numPr>
          <w:ilvl w:val="0"/>
          <w:numId w:val="74"/>
        </w:numPr>
        <w:spacing w:before="0" w:line="259" w:lineRule="auto"/>
        <w:jc w:val="both"/>
        <w:rPr>
          <w:rFonts w:eastAsiaTheme="minorEastAsia"/>
        </w:rPr>
      </w:pPr>
      <w:r w:rsidRPr="288A3578">
        <w:rPr>
          <w:rFonts w:eastAsiaTheme="minorEastAsia"/>
        </w:rPr>
        <w:t>2/3 pakkumistest on neljas piirkonnas (Tallinn/Harjumaa, Tartumaa, Pärnumaa ja Läänemaa), kusjuures Harjumaa ja Pärnumaa moodustavad kokku poole kogu pakkumisest ning nendes omakorda on tehingud kontsentreerunud kesk</w:t>
      </w:r>
      <w:r w:rsidR="664C4904" w:rsidRPr="288A3578">
        <w:rPr>
          <w:rFonts w:eastAsiaTheme="minorEastAsia"/>
        </w:rPr>
        <w:t>linna</w:t>
      </w:r>
      <w:r w:rsidRPr="288A3578">
        <w:rPr>
          <w:rFonts w:eastAsiaTheme="minorEastAsia"/>
        </w:rPr>
        <w:t xml:space="preserve"> ja vanalinna piirkonda. See kinnitab, et turg on väga aktiivne ainult üksikutes kitsastes piirkondades.</w:t>
      </w:r>
    </w:p>
    <w:p w14:paraId="7AF11F76" w14:textId="72009121" w:rsidR="003377F8" w:rsidRDefault="65000B39" w:rsidP="06639471">
      <w:pPr>
        <w:pStyle w:val="ListParagraph"/>
        <w:numPr>
          <w:ilvl w:val="0"/>
          <w:numId w:val="74"/>
        </w:numPr>
        <w:spacing w:before="0" w:line="257" w:lineRule="auto"/>
        <w:jc w:val="both"/>
        <w:rPr>
          <w:rFonts w:eastAsiaTheme="minorEastAsia"/>
          <w:szCs w:val="24"/>
        </w:rPr>
      </w:pPr>
      <w:r w:rsidRPr="288A3578">
        <w:rPr>
          <w:rFonts w:eastAsiaTheme="minorEastAsia"/>
        </w:rPr>
        <w:t>Umbes 98% juhtudel üüritak</w:t>
      </w:r>
      <w:r w:rsidR="4A7580D0" w:rsidRPr="288A3578">
        <w:rPr>
          <w:rFonts w:eastAsiaTheme="minorEastAsia"/>
        </w:rPr>
        <w:t>s</w:t>
      </w:r>
      <w:r w:rsidRPr="288A3578">
        <w:rPr>
          <w:rFonts w:eastAsiaTheme="minorEastAsia"/>
        </w:rPr>
        <w:t>e välja kogu elukoht ning vähemalt 3/4 majanduslikult aktiivsest turust kogu Eestis ja üle 4/5 Tallinnas moodustab püsiv (s.o mitte juhuslik või ajutine</w:t>
      </w:r>
      <w:r w:rsidR="00DD3068">
        <w:rPr>
          <w:rFonts w:eastAsiaTheme="minorEastAsia"/>
        </w:rPr>
        <w:t>, vaid juriidilise isiku kaudu</w:t>
      </w:r>
      <w:r w:rsidRPr="288A3578">
        <w:rPr>
          <w:rFonts w:eastAsiaTheme="minorEastAsia"/>
        </w:rPr>
        <w:t xml:space="preserve">) majandustegevus ehk ettevõtlus. </w:t>
      </w:r>
      <w:r w:rsidR="6D174230" w:rsidRPr="6D174230">
        <w:rPr>
          <w:rFonts w:eastAsiaTheme="minorEastAsia"/>
        </w:rPr>
        <w:t>See viitab, et suure osa turukäibest annab kutseline äritegevus, mitte klassikaline jagamismajandus.</w:t>
      </w:r>
    </w:p>
    <w:p w14:paraId="682081CD" w14:textId="47EC558D" w:rsidR="003377F8" w:rsidRPr="00252349" w:rsidRDefault="6D174230" w:rsidP="6D174230">
      <w:pPr>
        <w:pStyle w:val="ListParagraph"/>
        <w:numPr>
          <w:ilvl w:val="0"/>
          <w:numId w:val="74"/>
        </w:numPr>
        <w:spacing w:before="0" w:line="257" w:lineRule="auto"/>
        <w:jc w:val="both"/>
        <w:rPr>
          <w:rFonts w:eastAsiaTheme="minorEastAsia"/>
        </w:rPr>
      </w:pPr>
      <w:r w:rsidRPr="6D174230">
        <w:rPr>
          <w:rFonts w:eastAsiaTheme="minorEastAsia"/>
        </w:rPr>
        <w:t>Samas üle</w:t>
      </w:r>
      <w:r w:rsidR="6715F2DF" w:rsidRPr="1688D34F">
        <w:rPr>
          <w:rFonts w:eastAsiaTheme="minorEastAsia"/>
        </w:rPr>
        <w:t xml:space="preserve"> poole pakkumis</w:t>
      </w:r>
      <w:r w:rsidR="00445D3A">
        <w:rPr>
          <w:rFonts w:eastAsiaTheme="minorEastAsia"/>
        </w:rPr>
        <w:t>t</w:t>
      </w:r>
      <w:r w:rsidR="6715F2DF" w:rsidRPr="1688D34F">
        <w:rPr>
          <w:rFonts w:eastAsiaTheme="minorEastAsia"/>
        </w:rPr>
        <w:t>est on saadaval vähem kui 6 kuud aastas, mis viitab tegevuste hooajalisusele</w:t>
      </w:r>
      <w:r w:rsidR="001B1025" w:rsidRPr="1688D34F">
        <w:rPr>
          <w:rFonts w:eastAsiaTheme="minorEastAsia"/>
        </w:rPr>
        <w:t xml:space="preserve">, aga ka </w:t>
      </w:r>
      <w:r w:rsidR="005C40BF" w:rsidRPr="1688D34F">
        <w:rPr>
          <w:rFonts w:eastAsiaTheme="minorEastAsia"/>
        </w:rPr>
        <w:t>võimalusele, et neid ruume kasutatakse ka püsiva</w:t>
      </w:r>
      <w:r w:rsidR="3C1EEADE" w:rsidRPr="1688D34F">
        <w:rPr>
          <w:rFonts w:eastAsiaTheme="minorEastAsia"/>
        </w:rPr>
        <w:t>k</w:t>
      </w:r>
      <w:r w:rsidR="005C40BF" w:rsidRPr="1688D34F">
        <w:rPr>
          <w:rFonts w:eastAsiaTheme="minorEastAsia"/>
        </w:rPr>
        <w:t>s elamiseks</w:t>
      </w:r>
      <w:r w:rsidR="006B609B" w:rsidRPr="1688D34F">
        <w:rPr>
          <w:rFonts w:eastAsiaTheme="minorEastAsia"/>
        </w:rPr>
        <w:t xml:space="preserve"> ning majutusteenust pakutakse jagamismajanduse vormis</w:t>
      </w:r>
      <w:r w:rsidR="6715F2DF" w:rsidRPr="1688D34F">
        <w:rPr>
          <w:rFonts w:eastAsiaTheme="minorEastAsia"/>
        </w:rPr>
        <w:t>.</w:t>
      </w:r>
      <w:r w:rsidR="00BA07A7" w:rsidRPr="00BA07A7">
        <w:t xml:space="preserve"> </w:t>
      </w:r>
    </w:p>
    <w:p w14:paraId="0F50F2E6" w14:textId="3BEFC7E4" w:rsidR="003377F8" w:rsidRPr="00252349" w:rsidRDefault="00BA07A7" w:rsidP="1688D34F">
      <w:pPr>
        <w:pStyle w:val="ListParagraph"/>
        <w:numPr>
          <w:ilvl w:val="0"/>
          <w:numId w:val="74"/>
        </w:numPr>
        <w:spacing w:before="0" w:line="257" w:lineRule="auto"/>
        <w:jc w:val="both"/>
        <w:rPr>
          <w:rFonts w:eastAsiaTheme="minorEastAsia"/>
        </w:rPr>
      </w:pPr>
      <w:r w:rsidRPr="00BA07A7">
        <w:rPr>
          <w:rFonts w:eastAsiaTheme="minorEastAsia"/>
        </w:rPr>
        <w:t xml:space="preserve">Keskmine üüritulu kinnistusüksuse kohta oli 2023. aastal pisut üle 5900 </w:t>
      </w:r>
      <w:r w:rsidR="004F5BF9">
        <w:rPr>
          <w:rFonts w:eastAsiaTheme="minorEastAsia"/>
        </w:rPr>
        <w:t>euro</w:t>
      </w:r>
      <w:r w:rsidRPr="00BA07A7">
        <w:rPr>
          <w:rFonts w:eastAsiaTheme="minorEastAsia"/>
        </w:rPr>
        <w:t xml:space="preserve"> ja keskmine üüritulu müüja kohta ligi 9200 </w:t>
      </w:r>
      <w:r w:rsidR="004F5BF9">
        <w:rPr>
          <w:rFonts w:eastAsiaTheme="minorEastAsia"/>
        </w:rPr>
        <w:t>euro</w:t>
      </w:r>
      <w:r w:rsidRPr="00BA07A7">
        <w:rPr>
          <w:rFonts w:eastAsiaTheme="minorEastAsia"/>
        </w:rPr>
        <w:t>. Keskmine väljaüüritud ööde arv kinnistusüksuse kohta aastas oli maakondades 33 ja kolmes eraldi analüüsitud linnas (Tallinn, Tartu, Pärnu) 61</w:t>
      </w:r>
      <w:r w:rsidR="00092693">
        <w:rPr>
          <w:rFonts w:eastAsiaTheme="minorEastAsia"/>
        </w:rPr>
        <w:t>.</w:t>
      </w:r>
      <w:r w:rsidR="6D174230" w:rsidRPr="6D174230">
        <w:rPr>
          <w:rFonts w:eastAsiaTheme="minorEastAsia"/>
        </w:rPr>
        <w:t xml:space="preserve"> Ka tulude ja täitumuse põhjal võib väita, et valdavalt ei ole tegemist peamise elatusallikaga.</w:t>
      </w:r>
    </w:p>
    <w:p w14:paraId="2F830CF1" w14:textId="4A2935B6" w:rsidR="003377F8" w:rsidRDefault="65000B39" w:rsidP="003377F8">
      <w:pPr>
        <w:jc w:val="both"/>
      </w:pPr>
      <w:r>
        <w:t>Siinkohal on oluline rõhutada, et kirjeldatud pakkumiste hulgas on tõenäoliselt suur</w:t>
      </w:r>
      <w:r w:rsidR="4A7ECD61">
        <w:t>em</w:t>
      </w:r>
      <w:r>
        <w:t xml:space="preserve"> osa ka ettevõtteid ning isikuid, kes </w:t>
      </w:r>
      <w:r w:rsidR="3360A338">
        <w:t xml:space="preserve">täidavad </w:t>
      </w:r>
      <w:r w:rsidR="4A7ECD61">
        <w:t>kõiki turismi-, maksu- jms seadus</w:t>
      </w:r>
      <w:r w:rsidR="5A1CF1AC">
        <w:t>t</w:t>
      </w:r>
      <w:r w:rsidR="4A7ECD61">
        <w:t>e nõudeid.</w:t>
      </w:r>
    </w:p>
    <w:p w14:paraId="5194338B" w14:textId="3B821F2E" w:rsidR="003377F8" w:rsidRPr="007A38A6" w:rsidRDefault="6715F2DF" w:rsidP="003377F8">
      <w:pPr>
        <w:jc w:val="both"/>
        <w:rPr>
          <w:b/>
        </w:rPr>
      </w:pPr>
      <w:r>
        <w:t xml:space="preserve">Lühiajalise üüri turu kiire areng, eriti turismipiirkondades, </w:t>
      </w:r>
      <w:r w:rsidRPr="06639471">
        <w:rPr>
          <w:b/>
          <w:bCs/>
        </w:rPr>
        <w:t>toob kaasa erinevaid positiivseid ja negatiivseid sotsiaal-majanduslikke mõjusid.</w:t>
      </w:r>
      <w:r>
        <w:t xml:space="preserve"> Välisriikides on tuvastatud negatiivsed mõjud nagu elamispindade vähenemine ja üürihindade tõus, samuti kohalike elanike häiringud müra ja korrarikkumiste kaudu. </w:t>
      </w:r>
      <w:r w:rsidR="00A00A0B">
        <w:t xml:space="preserve">Üldiselt avalduvad need mõjud linnapiirkondades ja atraktiivsetes </w:t>
      </w:r>
      <w:r w:rsidR="00A00A0B">
        <w:lastRenderedPageBreak/>
        <w:t>turismipiirkondades.</w:t>
      </w:r>
      <w:r w:rsidR="004A556F">
        <w:t xml:space="preserve"> </w:t>
      </w:r>
      <w:r>
        <w:t>Nende leevendamiseks on rakendatud erinevaid meetmeid</w:t>
      </w:r>
      <w:r w:rsidR="1E03E990">
        <w:t>,</w:t>
      </w:r>
      <w:r>
        <w:t xml:space="preserve"> nagu üüriperioodi piirangud, sihtotstarbe reguleerimine, registreerimiskohustused ja trahvid. </w:t>
      </w:r>
      <w:r w:rsidR="401B8AA2">
        <w:t>Positiivseid mõjusid on analüüsitud vähem, kuid välja on toodud mõju kohalikule ettevõtlusele.</w:t>
      </w:r>
      <w:r w:rsidR="005E0009">
        <w:t xml:space="preserve"> </w:t>
      </w:r>
      <w:r w:rsidR="00781175">
        <w:t>Eesti kontekstis h</w:t>
      </w:r>
      <w:r w:rsidR="00781175" w:rsidRPr="00781175">
        <w:t xml:space="preserve">indasime, et </w:t>
      </w:r>
      <w:r w:rsidR="00937A99">
        <w:t xml:space="preserve">kui </w:t>
      </w:r>
      <w:r w:rsidR="00937A99" w:rsidRPr="00514229">
        <w:rPr>
          <w:b/>
        </w:rPr>
        <w:t xml:space="preserve">lühiajalisele üürimisele kulutatakse aastas ligikaudu </w:t>
      </w:r>
      <w:r w:rsidR="5A6C717C" w:rsidRPr="00514229">
        <w:rPr>
          <w:b/>
        </w:rPr>
        <w:t>32</w:t>
      </w:r>
      <w:r w:rsidR="00937A99" w:rsidRPr="00514229">
        <w:rPr>
          <w:b/>
        </w:rPr>
        <w:t xml:space="preserve"> m</w:t>
      </w:r>
      <w:r w:rsidR="005E0009" w:rsidRPr="00514229">
        <w:rPr>
          <w:b/>
        </w:rPr>
        <w:t>i</w:t>
      </w:r>
      <w:r w:rsidR="00937A99" w:rsidRPr="00514229">
        <w:rPr>
          <w:b/>
        </w:rPr>
        <w:t>ljonit eurot</w:t>
      </w:r>
      <w:r w:rsidR="00937A99">
        <w:t>, siis</w:t>
      </w:r>
      <w:r w:rsidR="00937A99" w:rsidRPr="00781175">
        <w:t xml:space="preserve"> </w:t>
      </w:r>
      <w:r w:rsidR="00781175" w:rsidRPr="007A38A6">
        <w:rPr>
          <w:b/>
        </w:rPr>
        <w:t>läbi kohalikku majandusse tehtud kulutuste toovad lühiajalise üüri teenust kasutavad välisturist</w:t>
      </w:r>
      <w:r w:rsidR="00445D3A">
        <w:rPr>
          <w:b/>
        </w:rPr>
        <w:t>i</w:t>
      </w:r>
      <w:r w:rsidR="00781175" w:rsidRPr="007A38A6">
        <w:rPr>
          <w:b/>
        </w:rPr>
        <w:t xml:space="preserve">d Eestisse </w:t>
      </w:r>
      <w:r w:rsidR="00937A99" w:rsidRPr="007A38A6">
        <w:rPr>
          <w:b/>
        </w:rPr>
        <w:t xml:space="preserve">aastas </w:t>
      </w:r>
      <w:r w:rsidR="00781175" w:rsidRPr="007A38A6">
        <w:rPr>
          <w:b/>
        </w:rPr>
        <w:t>1</w:t>
      </w:r>
      <w:r w:rsidR="00E20C75">
        <w:rPr>
          <w:b/>
        </w:rPr>
        <w:t>35</w:t>
      </w:r>
      <w:r w:rsidR="00781175" w:rsidRPr="007A38A6">
        <w:rPr>
          <w:b/>
        </w:rPr>
        <w:t xml:space="preserve"> miljoni</w:t>
      </w:r>
      <w:r w:rsidR="00E20C75">
        <w:rPr>
          <w:b/>
        </w:rPr>
        <w:t>t</w:t>
      </w:r>
      <w:r w:rsidR="00781175" w:rsidRPr="007A38A6">
        <w:rPr>
          <w:b/>
        </w:rPr>
        <w:t xml:space="preserve"> euro</w:t>
      </w:r>
      <w:r w:rsidR="00E20C75">
        <w:rPr>
          <w:b/>
        </w:rPr>
        <w:t>t</w:t>
      </w:r>
      <w:r w:rsidR="00781175" w:rsidRPr="007A38A6">
        <w:rPr>
          <w:b/>
        </w:rPr>
        <w:t xml:space="preserve">. </w:t>
      </w:r>
    </w:p>
    <w:p w14:paraId="1E5C71A2" w14:textId="3CA39A17" w:rsidR="008B6930" w:rsidRDefault="4AAEF8A4" w:rsidP="008B6930">
      <w:pPr>
        <w:jc w:val="both"/>
      </w:pPr>
      <w:r>
        <w:t>Eesti turuosalised toovad lühiajalise üüri negatiivsete turu</w:t>
      </w:r>
      <w:r w:rsidRPr="06639471">
        <w:rPr>
          <w:b/>
          <w:bCs/>
        </w:rPr>
        <w:t xml:space="preserve"> mõjudena välja gentrifikatsiooni riski, müra ja turvalisusega seotud probleemid ning maksukohu</w:t>
      </w:r>
      <w:r w:rsidR="699BE5AD" w:rsidRPr="06639471">
        <w:rPr>
          <w:b/>
          <w:bCs/>
        </w:rPr>
        <w:t>s</w:t>
      </w:r>
      <w:r w:rsidRPr="06639471">
        <w:rPr>
          <w:b/>
          <w:bCs/>
        </w:rPr>
        <w:t>tuse varjamise</w:t>
      </w:r>
      <w:r>
        <w:t xml:space="preserve">. Positiivsete mõjudena nähakse paremat </w:t>
      </w:r>
      <w:r w:rsidRPr="06639471">
        <w:rPr>
          <w:b/>
          <w:bCs/>
        </w:rPr>
        <w:t>majutusteenuse kättesaadavust (eriti väljaspool suuremaid linnu)</w:t>
      </w:r>
      <w:r w:rsidR="003E520B">
        <w:rPr>
          <w:b/>
          <w:bCs/>
        </w:rPr>
        <w:t xml:space="preserve"> ja mitmekesistumist</w:t>
      </w:r>
      <w:r w:rsidRPr="06639471">
        <w:rPr>
          <w:b/>
          <w:bCs/>
        </w:rPr>
        <w:t>,</w:t>
      </w:r>
      <w:r w:rsidR="006534A1">
        <w:rPr>
          <w:b/>
          <w:bCs/>
        </w:rPr>
        <w:t xml:space="preserve"> teenuse osutamise paindlikkust,</w:t>
      </w:r>
      <w:r w:rsidRPr="06639471">
        <w:rPr>
          <w:b/>
          <w:bCs/>
        </w:rPr>
        <w:t xml:space="preserve"> turismi ja kohaliku ettevõtluse</w:t>
      </w:r>
      <w:r w:rsidR="00EA6560">
        <w:rPr>
          <w:b/>
          <w:bCs/>
        </w:rPr>
        <w:t xml:space="preserve"> elavnemist</w:t>
      </w:r>
      <w:r>
        <w:t>. Turuosaliste hinnangul tuleks turgu reguleerida pigem pehmete meetmetega, mis muuhulgas aitaks koguda ka turu kohta täpsemaid andmeid, ning kontsentreerudes suurimate negatiivsete mõjudega piirkondadele. Vältima peaks ettevõtlusvabaduse piiramist ja täiendava halduskoormuse tekkimist.</w:t>
      </w:r>
    </w:p>
    <w:p w14:paraId="52BF3550" w14:textId="1BD0E675" w:rsidR="00670480" w:rsidRDefault="25285EE7" w:rsidP="00670480">
      <w:pPr>
        <w:jc w:val="both"/>
      </w:pPr>
      <w:r w:rsidRPr="1688D34F">
        <w:rPr>
          <w:b/>
          <w:bCs/>
        </w:rPr>
        <w:t>Ökonomeetriline mudeldamine</w:t>
      </w:r>
      <w:r>
        <w:t xml:space="preserve"> näitas, </w:t>
      </w:r>
      <w:r w:rsidR="081FBE04">
        <w:t>et</w:t>
      </w:r>
      <w:r>
        <w:t xml:space="preserve"> </w:t>
      </w:r>
      <w:r w:rsidR="004F6CBC">
        <w:t xml:space="preserve">teistes riikides kogetud tüüpilised majutussektoris ja eluasemeturul avalduvad mõjud on </w:t>
      </w:r>
      <w:r w:rsidR="00B27786">
        <w:t>teatud ul</w:t>
      </w:r>
      <w:r w:rsidR="00146E95">
        <w:t>atuses tuvastatavad</w:t>
      </w:r>
      <w:r w:rsidR="00B27786">
        <w:t xml:space="preserve"> ka Eestis. </w:t>
      </w:r>
      <w:r w:rsidR="007831FD" w:rsidRPr="007831FD">
        <w:t xml:space="preserve">Näiteks hindasime, et </w:t>
      </w:r>
      <w:r w:rsidR="007831FD" w:rsidRPr="00514229">
        <w:rPr>
          <w:b/>
          <w:bCs/>
        </w:rPr>
        <w:t>lühiajalise üüri turu kasvuga kaasnes uuritud perioodil nõudluse vähenemine traditsioonilises majutussektoris</w:t>
      </w:r>
      <w:r w:rsidR="007831FD" w:rsidRPr="007831FD">
        <w:t xml:space="preserve">, teatud määral saab lühiajalise üürimisega seostada ka </w:t>
      </w:r>
      <w:r w:rsidR="007831FD" w:rsidRPr="00514229">
        <w:rPr>
          <w:b/>
          <w:bCs/>
        </w:rPr>
        <w:t>traditsiooniliste majutusteenuste pakkumise vähenemist</w:t>
      </w:r>
      <w:r w:rsidR="007831FD" w:rsidRPr="007831FD">
        <w:t>.</w:t>
      </w:r>
      <w:r w:rsidR="007831FD">
        <w:t xml:space="preserve"> </w:t>
      </w:r>
      <w:r w:rsidR="00213AF6">
        <w:t>Samas paranda</w:t>
      </w:r>
      <w:r w:rsidR="00BF11F2">
        <w:t>s</w:t>
      </w:r>
      <w:r w:rsidR="00213AF6">
        <w:t xml:space="preserve"> see majutussektoris konkurentsi ja </w:t>
      </w:r>
      <w:r w:rsidR="00BF11F2">
        <w:t>on</w:t>
      </w:r>
      <w:r w:rsidR="00B5140F">
        <w:t xml:space="preserve"> hoidnud</w:t>
      </w:r>
      <w:r w:rsidR="00E423D3">
        <w:t xml:space="preserve"> turuhinnad </w:t>
      </w:r>
      <w:r w:rsidR="00153F2A">
        <w:t>madalamal, kui n</w:t>
      </w:r>
      <w:r w:rsidR="001C5610">
        <w:t>eed</w:t>
      </w:r>
      <w:r w:rsidR="00153F2A">
        <w:t xml:space="preserve"> </w:t>
      </w:r>
      <w:r w:rsidR="00843541">
        <w:t xml:space="preserve">muidu oleksid. </w:t>
      </w:r>
      <w:r w:rsidR="005234E2">
        <w:t xml:space="preserve">Analüüs </w:t>
      </w:r>
      <w:r w:rsidR="00CD2EFA">
        <w:t>näitas</w:t>
      </w:r>
      <w:r w:rsidR="005234E2">
        <w:t xml:space="preserve"> ka, et </w:t>
      </w:r>
      <w:r w:rsidR="005234E2" w:rsidRPr="00514229">
        <w:rPr>
          <w:b/>
          <w:bCs/>
        </w:rPr>
        <w:t>l</w:t>
      </w:r>
      <w:r w:rsidR="00325998" w:rsidRPr="00514229">
        <w:rPr>
          <w:b/>
          <w:bCs/>
        </w:rPr>
        <w:t>ühiajalise üüri turu kasv</w:t>
      </w:r>
      <w:r w:rsidR="00670480" w:rsidRPr="00514229">
        <w:rPr>
          <w:b/>
          <w:bCs/>
        </w:rPr>
        <w:t xml:space="preserve"> </w:t>
      </w:r>
      <w:r w:rsidR="007E0D6B">
        <w:rPr>
          <w:b/>
          <w:bCs/>
        </w:rPr>
        <w:t xml:space="preserve">Eestis </w:t>
      </w:r>
      <w:r w:rsidR="005234E2" w:rsidRPr="00514229">
        <w:rPr>
          <w:b/>
          <w:bCs/>
        </w:rPr>
        <w:t>vähenda</w:t>
      </w:r>
      <w:r w:rsidR="00167C29">
        <w:rPr>
          <w:b/>
          <w:bCs/>
        </w:rPr>
        <w:t>b</w:t>
      </w:r>
      <w:r w:rsidR="00670480" w:rsidRPr="00670480">
        <w:t xml:space="preserve"> </w:t>
      </w:r>
      <w:r w:rsidR="00670480" w:rsidRPr="00B54A22">
        <w:rPr>
          <w:b/>
          <w:bCs/>
        </w:rPr>
        <w:t>aktiivseid pakkumisi eluasemeturul</w:t>
      </w:r>
      <w:r w:rsidR="00670480" w:rsidRPr="00670480">
        <w:t xml:space="preserve"> ja </w:t>
      </w:r>
      <w:r w:rsidR="00670480" w:rsidRPr="00B54A22">
        <w:rPr>
          <w:b/>
          <w:bCs/>
        </w:rPr>
        <w:t>suurenda</w:t>
      </w:r>
      <w:r w:rsidR="00167C29">
        <w:rPr>
          <w:b/>
          <w:bCs/>
        </w:rPr>
        <w:t>b</w:t>
      </w:r>
      <w:r w:rsidR="00670480" w:rsidRPr="00B54A22">
        <w:rPr>
          <w:b/>
          <w:bCs/>
        </w:rPr>
        <w:t xml:space="preserve"> eluasemete turuhinda</w:t>
      </w:r>
      <w:r w:rsidR="00BE2027">
        <w:t>.</w:t>
      </w:r>
      <w:r w:rsidR="00670480" w:rsidRPr="00670480">
        <w:t xml:space="preserve"> </w:t>
      </w:r>
      <w:r w:rsidR="00CD2EFA">
        <w:t>Seda kinnitas</w:t>
      </w:r>
      <w:r w:rsidR="005714B3">
        <w:t xml:space="preserve"> </w:t>
      </w:r>
      <w:r w:rsidR="00670480" w:rsidRPr="00670480">
        <w:t xml:space="preserve">nii </w:t>
      </w:r>
      <w:r w:rsidR="00325998">
        <w:t xml:space="preserve">kinnisvaraportaalis KV.ee </w:t>
      </w:r>
      <w:r w:rsidR="00F5526F">
        <w:t xml:space="preserve">avaldatud </w:t>
      </w:r>
      <w:r w:rsidR="00670480" w:rsidRPr="00670480">
        <w:t>üüripakkumiste kui ka</w:t>
      </w:r>
      <w:r w:rsidR="00F5526F">
        <w:t xml:space="preserve"> tegelike</w:t>
      </w:r>
      <w:r w:rsidR="00670480" w:rsidRPr="00670480">
        <w:t xml:space="preserve"> üüritehingute </w:t>
      </w:r>
      <w:r w:rsidR="005714B3">
        <w:t>andmete põhjal hinnatud mudelid</w:t>
      </w:r>
      <w:r w:rsidR="00670480" w:rsidRPr="00670480">
        <w:t>. Samas leidsime</w:t>
      </w:r>
      <w:r w:rsidR="00ED3089">
        <w:t xml:space="preserve"> </w:t>
      </w:r>
      <w:r w:rsidR="002A4143">
        <w:t xml:space="preserve">statistilisi tõendeid </w:t>
      </w:r>
      <w:r w:rsidR="00ED3089">
        <w:t>ka mitme</w:t>
      </w:r>
      <w:r w:rsidR="00A35726">
        <w:t>te</w:t>
      </w:r>
      <w:r w:rsidR="00ED3089">
        <w:t xml:space="preserve"> positiivse</w:t>
      </w:r>
      <w:r w:rsidR="00A35726">
        <w:t>te</w:t>
      </w:r>
      <w:r w:rsidR="00ED3089">
        <w:t xml:space="preserve"> mõju</w:t>
      </w:r>
      <w:r w:rsidR="00A35726">
        <w:t>de kohta,</w:t>
      </w:r>
      <w:r w:rsidR="00670480" w:rsidRPr="00670480">
        <w:t xml:space="preserve"> </w:t>
      </w:r>
      <w:r w:rsidR="00437B0E">
        <w:t>näiteks</w:t>
      </w:r>
      <w:r w:rsidR="00670480" w:rsidRPr="00670480">
        <w:t xml:space="preserve"> lühiajalise üürimise laiem levik on seotud </w:t>
      </w:r>
      <w:r w:rsidR="00670480" w:rsidRPr="00B54A22">
        <w:rPr>
          <w:b/>
          <w:bCs/>
        </w:rPr>
        <w:t>väiksema registreeritud töötusega</w:t>
      </w:r>
      <w:r w:rsidR="005714B3">
        <w:t xml:space="preserve">, seda ka </w:t>
      </w:r>
      <w:r w:rsidR="00557C46">
        <w:t>mitmetes piirkondades välja</w:t>
      </w:r>
      <w:r w:rsidR="47E7F677">
        <w:t>s</w:t>
      </w:r>
      <w:r w:rsidR="00557C46">
        <w:t>pool Tallinna, Pärnut või Tartut</w:t>
      </w:r>
      <w:r w:rsidR="00670480" w:rsidRPr="00670480">
        <w:t xml:space="preserve">. Analüüs näitas ka, et </w:t>
      </w:r>
      <w:r w:rsidR="004E4E7A" w:rsidRPr="00B54A22">
        <w:rPr>
          <w:b/>
          <w:bCs/>
        </w:rPr>
        <w:t xml:space="preserve">lühiajalise üürimise kasvuga seoses </w:t>
      </w:r>
      <w:r w:rsidR="00670480" w:rsidRPr="00514229">
        <w:rPr>
          <w:b/>
          <w:bCs/>
        </w:rPr>
        <w:t xml:space="preserve">varavastaste </w:t>
      </w:r>
      <w:r w:rsidR="00037ABA" w:rsidRPr="004E4E7A">
        <w:rPr>
          <w:b/>
          <w:bCs/>
        </w:rPr>
        <w:t>s</w:t>
      </w:r>
      <w:r w:rsidR="00037ABA">
        <w:rPr>
          <w:b/>
          <w:bCs/>
        </w:rPr>
        <w:t>üütegude</w:t>
      </w:r>
      <w:r w:rsidR="00037ABA" w:rsidRPr="00B54A22">
        <w:rPr>
          <w:b/>
          <w:bCs/>
        </w:rPr>
        <w:t xml:space="preserve"> </w:t>
      </w:r>
      <w:r w:rsidR="00670480" w:rsidRPr="00B54A22">
        <w:rPr>
          <w:b/>
          <w:bCs/>
        </w:rPr>
        <w:t xml:space="preserve">arv </w:t>
      </w:r>
      <w:r w:rsidR="004E4E7A">
        <w:rPr>
          <w:b/>
          <w:bCs/>
        </w:rPr>
        <w:t>pigem väheneb</w:t>
      </w:r>
      <w:r w:rsidR="00670480" w:rsidRPr="00670480">
        <w:t xml:space="preserve">, kuigi tugevat ega statistiliselt </w:t>
      </w:r>
      <w:r w:rsidR="004E4E7A">
        <w:t>usaldusväärset</w:t>
      </w:r>
      <w:r w:rsidR="004E4E7A" w:rsidRPr="00670480">
        <w:t xml:space="preserve"> </w:t>
      </w:r>
      <w:r w:rsidR="00670480" w:rsidRPr="00670480">
        <w:t>seost me nende nähtuste vahel ei tuvastanud.</w:t>
      </w:r>
      <w:r w:rsidR="004D6CAB">
        <w:t xml:space="preserve"> Kuid </w:t>
      </w:r>
      <w:r w:rsidR="004E4E7A">
        <w:t xml:space="preserve">saime </w:t>
      </w:r>
      <w:r w:rsidR="001327BE">
        <w:t xml:space="preserve">analüüsiga </w:t>
      </w:r>
      <w:r w:rsidR="004E4E7A">
        <w:t>esmase kinnituse</w:t>
      </w:r>
      <w:r w:rsidR="004D6CAB">
        <w:t>, et teaduskirjanduses</w:t>
      </w:r>
      <w:r w:rsidR="009D2011">
        <w:t xml:space="preserve"> </w:t>
      </w:r>
      <w:r w:rsidR="004D6CAB">
        <w:t>lühiajalise üürimisega seost</w:t>
      </w:r>
      <w:r w:rsidR="00EA73A1">
        <w:t xml:space="preserve">atud </w:t>
      </w:r>
      <w:r w:rsidR="004D6CAB">
        <w:t>kuritegevuse kasv</w:t>
      </w:r>
      <w:r w:rsidR="00EA73A1">
        <w:t xml:space="preserve"> pole Eestis </w:t>
      </w:r>
      <w:r w:rsidR="00DF1378">
        <w:t xml:space="preserve">veel </w:t>
      </w:r>
      <w:r w:rsidR="00EA73A1">
        <w:t>probleemiks kujunenud.</w:t>
      </w:r>
    </w:p>
    <w:p w14:paraId="5BF338AD" w14:textId="437650BA" w:rsidR="008B6930" w:rsidRDefault="25285EE7" w:rsidP="008B6930">
      <w:pPr>
        <w:jc w:val="both"/>
      </w:pPr>
      <w:r w:rsidRPr="1C92C443">
        <w:rPr>
          <w:b/>
          <w:bCs/>
        </w:rPr>
        <w:t>Kokkuvõtvalt saab järeldada, et lühiajalise üüri turu sotsiaal-majanduslikud mõjud</w:t>
      </w:r>
      <w:r>
        <w:t xml:space="preserve"> on vähemal või suuremal määral avald</w:t>
      </w:r>
      <w:r w:rsidR="77BE744C">
        <w:t>u</w:t>
      </w:r>
      <w:r>
        <w:t xml:space="preserve">nud </w:t>
      </w:r>
      <w:r w:rsidRPr="1C92C443">
        <w:rPr>
          <w:b/>
          <w:bCs/>
        </w:rPr>
        <w:t>kuues valdkonnas</w:t>
      </w:r>
      <w:r>
        <w:t xml:space="preserve">: </w:t>
      </w:r>
      <w:r w:rsidRPr="1C92C443">
        <w:rPr>
          <w:b/>
          <w:bCs/>
        </w:rPr>
        <w:t>majutusteenuste turg, eluasemeturg, regionaalne areng, ohutus ja turvalisus, elukeskkond, avalik sektor</w:t>
      </w:r>
      <w:r>
        <w:t xml:space="preserve">, kusjuures enamus valdkondades avaldusid nii positiivsed kui </w:t>
      </w:r>
      <w:r w:rsidR="0C4CC20B">
        <w:t xml:space="preserve">ka </w:t>
      </w:r>
      <w:r>
        <w:t xml:space="preserve">negatiivsed mõjud. Läbivalt selge positiivne mõju on lühiajalisel üüri turul kohalikule ettevõtlusele. Negatiivne mõju on üldiselt kõikides valdkondades veel väga nõrk. </w:t>
      </w:r>
      <w:r w:rsidRPr="1C92C443">
        <w:rPr>
          <w:b/>
          <w:bCs/>
        </w:rPr>
        <w:t>Sekkumist vajavateks mõjukategooriateks hindame ebaausat konkurentsi, tuleohutuse halvenemist</w:t>
      </w:r>
      <w:r w:rsidR="0086615B" w:rsidRPr="1C92C443">
        <w:rPr>
          <w:b/>
          <w:bCs/>
        </w:rPr>
        <w:t>,</w:t>
      </w:r>
      <w:r w:rsidRPr="1C92C443">
        <w:rPr>
          <w:b/>
          <w:bCs/>
        </w:rPr>
        <w:t xml:space="preserve"> </w:t>
      </w:r>
      <w:r w:rsidR="00343E5D">
        <w:rPr>
          <w:b/>
          <w:bCs/>
        </w:rPr>
        <w:t>julgeol</w:t>
      </w:r>
      <w:r w:rsidR="00484EE2">
        <w:rPr>
          <w:b/>
          <w:bCs/>
        </w:rPr>
        <w:t>eku tagamise</w:t>
      </w:r>
      <w:r w:rsidRPr="1C92C443">
        <w:rPr>
          <w:b/>
          <w:bCs/>
        </w:rPr>
        <w:t xml:space="preserve"> raskendamist</w:t>
      </w:r>
      <w:r w:rsidR="0086615B" w:rsidRPr="1C92C443">
        <w:rPr>
          <w:b/>
          <w:bCs/>
        </w:rPr>
        <w:t xml:space="preserve">, </w:t>
      </w:r>
      <w:r w:rsidR="0086615B">
        <w:t>üksikutes piirkondades ka</w:t>
      </w:r>
      <w:r w:rsidR="0086615B" w:rsidRPr="1C92C443">
        <w:rPr>
          <w:b/>
          <w:bCs/>
        </w:rPr>
        <w:t xml:space="preserve"> </w:t>
      </w:r>
      <w:r w:rsidR="00C73B7D" w:rsidRPr="1C92C443">
        <w:rPr>
          <w:b/>
          <w:bCs/>
        </w:rPr>
        <w:t>elukeskkonna halvenemi</w:t>
      </w:r>
      <w:r w:rsidR="005B2493" w:rsidRPr="1C92C443">
        <w:rPr>
          <w:b/>
          <w:bCs/>
        </w:rPr>
        <w:t>st</w:t>
      </w:r>
      <w:r>
        <w:t>.</w:t>
      </w:r>
      <w:r w:rsidR="000A3182">
        <w:t xml:space="preserve"> </w:t>
      </w:r>
      <w:r w:rsidR="009573F7">
        <w:t>Sekkumise vajadus nendes</w:t>
      </w:r>
      <w:r w:rsidR="0021253E">
        <w:t xml:space="preserve"> valdkondades </w:t>
      </w:r>
      <w:r w:rsidR="009573F7">
        <w:t>tulene</w:t>
      </w:r>
      <w:r w:rsidR="0F014FF8">
        <w:t>b</w:t>
      </w:r>
      <w:r w:rsidR="009573F7">
        <w:t xml:space="preserve"> seal </w:t>
      </w:r>
      <w:r w:rsidR="0021253E">
        <w:t>ilmne</w:t>
      </w:r>
      <w:r w:rsidR="009573F7">
        <w:t>nud</w:t>
      </w:r>
      <w:r w:rsidR="0021253E">
        <w:t xml:space="preserve"> negatiivse</w:t>
      </w:r>
      <w:r w:rsidR="009573F7">
        <w:t>test</w:t>
      </w:r>
      <w:r w:rsidR="0021253E">
        <w:t xml:space="preserve"> mõjud</w:t>
      </w:r>
      <w:r w:rsidR="009573F7">
        <w:t>est, mis</w:t>
      </w:r>
      <w:r w:rsidR="00A64CA6">
        <w:t xml:space="preserve"> ulatuvad </w:t>
      </w:r>
      <w:r w:rsidR="00747ED1">
        <w:t xml:space="preserve">üleriiklikult väga paljude inimesteni ja/või on tegemist mõjudega, mis põhjustavad </w:t>
      </w:r>
      <w:r w:rsidR="00A85ACD">
        <w:t xml:space="preserve">teatud piirkondades </w:t>
      </w:r>
      <w:r w:rsidR="00747ED1">
        <w:t xml:space="preserve">olulisi muutusi </w:t>
      </w:r>
      <w:r w:rsidR="00A85ACD">
        <w:t xml:space="preserve">seal elavate inimeste </w:t>
      </w:r>
      <w:r w:rsidR="009A7075">
        <w:t>heaolus.</w:t>
      </w:r>
    </w:p>
    <w:p w14:paraId="0CF8ED09" w14:textId="2D03D374" w:rsidR="00747C08" w:rsidRDefault="147807D9" w:rsidP="00747C08">
      <w:pPr>
        <w:jc w:val="both"/>
      </w:pPr>
      <w:r>
        <w:lastRenderedPageBreak/>
        <w:t xml:space="preserve">Uuringu tulemustel avaldunud lühiajalise üüri turu põletavamate probleemkohtade leevendamiseks oleme </w:t>
      </w:r>
      <w:r w:rsidRPr="1688D34F">
        <w:rPr>
          <w:b/>
          <w:bCs/>
        </w:rPr>
        <w:t>välja pakkunud valiku võimalikke sekkumisi</w:t>
      </w:r>
      <w:r>
        <w:t>. Nende puhul oleme lähtunud majandusliku efektiivsuse printsiibist</w:t>
      </w:r>
      <w:r w:rsidR="4BF117D3">
        <w:t>,</w:t>
      </w:r>
      <w:r>
        <w:t xml:space="preserve"> aga ka uuringu tulemustest, mis näitavad, et tänaseks avaldunud probleemid on pigem lokaalsed</w:t>
      </w:r>
      <w:r w:rsidR="006F3748">
        <w:t>.</w:t>
      </w:r>
      <w:r>
        <w:t xml:space="preserve"> </w:t>
      </w:r>
      <w:r w:rsidR="006F3748">
        <w:t>Lisaks oleme püüdnud</w:t>
      </w:r>
      <w:r>
        <w:t xml:space="preserve"> ära ka</w:t>
      </w:r>
      <w:r w:rsidR="4E84E423">
        <w:t>sutad</w:t>
      </w:r>
      <w:r>
        <w:t>a juba toimivaid süsteeme ja lähtud</w:t>
      </w:r>
      <w:r w:rsidR="006F3748">
        <w:t>a</w:t>
      </w:r>
      <w:r>
        <w:t xml:space="preserve"> Eesti üldiselt bürokraatia vähendamisele ja digitaalsetele lahendustele suunatud keskkonnast. </w:t>
      </w:r>
      <w:r w:rsidR="00DC00C5">
        <w:t>Tabelis 1</w:t>
      </w:r>
      <w:r w:rsidR="00E624EC">
        <w:t>A</w:t>
      </w:r>
      <w:r w:rsidR="00DC00C5">
        <w:t xml:space="preserve"> kirjeldatud sekkumisi ei soovita me rakendada samaaegselt, vaid pigem alustada esimesena toodud võimalustest ja nende ebapii</w:t>
      </w:r>
      <w:r w:rsidR="003F245D">
        <w:t>s</w:t>
      </w:r>
      <w:r w:rsidR="00DC00C5">
        <w:t>avuse korral liikuda järgmiste võimalike lahendusteni.</w:t>
      </w:r>
      <w:r w:rsidR="00AE5A06">
        <w:t xml:space="preserve"> Sekkumiste valikul on oluline esmalt mõista, milline konkreetne probleem on avaldunud, ning kujundada just selle leevendamiseks sobiv lahendus</w:t>
      </w:r>
      <w:r w:rsidR="00E85DE3">
        <w:t xml:space="preserve"> – kõik sekkumise</w:t>
      </w:r>
      <w:r w:rsidR="29BABA52">
        <w:t>d</w:t>
      </w:r>
      <w:r w:rsidR="00E85DE3">
        <w:t xml:space="preserve"> ei sobi kõikide probleemidega tegelemiseks. </w:t>
      </w:r>
    </w:p>
    <w:p w14:paraId="497A79FE" w14:textId="041B48FB" w:rsidR="005F04B0" w:rsidRDefault="003F678C" w:rsidP="00857E6D">
      <w:pPr>
        <w:pStyle w:val="TableTitle"/>
      </w:pPr>
      <w:r>
        <w:t>Tabel 1</w:t>
      </w:r>
      <w:r w:rsidR="00E624EC">
        <w:t>A</w:t>
      </w:r>
      <w:r>
        <w:t xml:space="preserve">: Uuringu tulemusel </w:t>
      </w:r>
      <w:r w:rsidR="00F930EE">
        <w:t>koostanud sekkumis</w:t>
      </w:r>
      <w:r w:rsidR="00A40C6A">
        <w:t>t</w:t>
      </w:r>
      <w:r w:rsidR="00F930EE">
        <w:t>e ülevaade</w:t>
      </w:r>
      <w:r w:rsidR="00F4709A">
        <w:t xml:space="preserve"> (detailsemalt </w:t>
      </w:r>
      <w:r w:rsidR="00A40C6A">
        <w:t xml:space="preserve">vt </w:t>
      </w:r>
      <w:r w:rsidR="00F4709A">
        <w:t>aruande ptk 4)</w:t>
      </w:r>
    </w:p>
    <w:tbl>
      <w:tblPr>
        <w:tblStyle w:val="ListTable3-Accent1"/>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5"/>
        <w:gridCol w:w="5400"/>
        <w:gridCol w:w="1440"/>
        <w:gridCol w:w="19"/>
      </w:tblGrid>
      <w:tr w:rsidR="004F5F3C" w14:paraId="43B9BF19" w14:textId="77777777" w:rsidTr="00527CAD">
        <w:trPr>
          <w:gridAfter w:val="1"/>
          <w:cnfStyle w:val="100000000000" w:firstRow="1" w:lastRow="0" w:firstColumn="0" w:lastColumn="0" w:oddVBand="0" w:evenVBand="0" w:oddHBand="0" w:evenHBand="0" w:firstRowFirstColumn="0" w:firstRowLastColumn="0" w:lastRowFirstColumn="0" w:lastRowLastColumn="0"/>
          <w:wAfter w:w="19" w:type="dxa"/>
          <w:tblHeader/>
        </w:trPr>
        <w:tc>
          <w:tcPr>
            <w:cnfStyle w:val="001000000100" w:firstRow="0" w:lastRow="0" w:firstColumn="1" w:lastColumn="0" w:oddVBand="0" w:evenVBand="0" w:oddHBand="0" w:evenHBand="0" w:firstRowFirstColumn="1" w:firstRowLastColumn="0" w:lastRowFirstColumn="0" w:lastRowLastColumn="0"/>
            <w:tcW w:w="3055" w:type="dxa"/>
          </w:tcPr>
          <w:p w14:paraId="09305298" w14:textId="77777777" w:rsidR="004974B9" w:rsidRPr="00857E6D" w:rsidRDefault="004974B9" w:rsidP="00857E6D">
            <w:pPr>
              <w:pStyle w:val="Heading3"/>
              <w:numPr>
                <w:ilvl w:val="0"/>
                <w:numId w:val="0"/>
              </w:numPr>
              <w:spacing w:before="60" w:after="60" w:line="240" w:lineRule="auto"/>
              <w:ind w:left="157"/>
              <w:rPr>
                <w:rFonts w:asciiTheme="minorBidi" w:hAnsiTheme="minorBidi" w:cstheme="minorBidi"/>
                <w:color w:val="FEFEFE" w:themeColor="background1"/>
                <w:sz w:val="20"/>
                <w:szCs w:val="20"/>
              </w:rPr>
            </w:pPr>
            <w:bookmarkStart w:id="4" w:name="_Toc202215885"/>
            <w:bookmarkStart w:id="5" w:name="_Toc206438617"/>
            <w:bookmarkStart w:id="6" w:name="_Toc208989845"/>
            <w:bookmarkStart w:id="7" w:name="_Toc208991563"/>
            <w:r w:rsidRPr="00857E6D">
              <w:rPr>
                <w:rFonts w:asciiTheme="minorBidi" w:hAnsiTheme="minorBidi" w:cstheme="minorBidi"/>
                <w:color w:val="FEFEFE" w:themeColor="background1"/>
                <w:sz w:val="20"/>
                <w:szCs w:val="20"/>
              </w:rPr>
              <w:t>Soovitus</w:t>
            </w:r>
            <w:bookmarkEnd w:id="4"/>
            <w:bookmarkEnd w:id="5"/>
            <w:bookmarkEnd w:id="6"/>
            <w:bookmarkEnd w:id="7"/>
          </w:p>
        </w:tc>
        <w:tc>
          <w:tcPr>
            <w:tcW w:w="5400" w:type="dxa"/>
          </w:tcPr>
          <w:p w14:paraId="1DDD3C28" w14:textId="77777777" w:rsidR="004974B9" w:rsidRPr="00857E6D" w:rsidRDefault="004974B9">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857E6D">
              <w:rPr>
                <w:rFonts w:asciiTheme="minorBidi" w:hAnsiTheme="minorBidi"/>
                <w:sz w:val="20"/>
                <w:szCs w:val="20"/>
              </w:rPr>
              <w:t>Tegevused</w:t>
            </w:r>
          </w:p>
        </w:tc>
        <w:tc>
          <w:tcPr>
            <w:tcW w:w="1440" w:type="dxa"/>
          </w:tcPr>
          <w:p w14:paraId="4B598114" w14:textId="77777777" w:rsidR="004974B9" w:rsidRPr="00857E6D" w:rsidRDefault="004974B9">
            <w:pPr>
              <w:spacing w:before="60" w:after="60" w:line="24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857E6D">
              <w:rPr>
                <w:rFonts w:asciiTheme="minorBidi" w:hAnsiTheme="minorBidi"/>
                <w:sz w:val="20"/>
                <w:szCs w:val="20"/>
              </w:rPr>
              <w:t>Adressaadid</w:t>
            </w:r>
          </w:p>
        </w:tc>
      </w:tr>
      <w:tr w:rsidR="00857E6D" w14:paraId="343D19F4" w14:textId="77777777" w:rsidTr="00527CAD">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914" w:type="dxa"/>
            <w:gridSpan w:val="4"/>
            <w:shd w:val="clear" w:color="auto" w:fill="E6E6E6" w:themeFill="accent3"/>
          </w:tcPr>
          <w:p w14:paraId="47E4EBF6" w14:textId="77777777" w:rsidR="004974B9" w:rsidRPr="008C60E5" w:rsidRDefault="004974B9" w:rsidP="00857E6D">
            <w:pPr>
              <w:pStyle w:val="Heading3"/>
              <w:numPr>
                <w:ilvl w:val="0"/>
                <w:numId w:val="0"/>
              </w:numPr>
              <w:spacing w:before="60" w:after="60" w:line="240" w:lineRule="auto"/>
              <w:ind w:left="157"/>
              <w:rPr>
                <w:rFonts w:asciiTheme="minorBidi" w:hAnsiTheme="minorBidi" w:cstheme="minorBidi"/>
                <w:color w:val="232323" w:themeColor="text1"/>
                <w:sz w:val="20"/>
                <w:szCs w:val="20"/>
              </w:rPr>
            </w:pPr>
            <w:bookmarkStart w:id="8" w:name="_Toc202215886"/>
            <w:bookmarkStart w:id="9" w:name="_Toc206438618"/>
            <w:bookmarkStart w:id="10" w:name="_Toc208989846"/>
            <w:bookmarkStart w:id="11" w:name="_Toc208991564"/>
            <w:r w:rsidRPr="008C60E5">
              <w:rPr>
                <w:rFonts w:asciiTheme="minorBidi" w:hAnsiTheme="minorBidi" w:cstheme="minorBidi"/>
                <w:color w:val="232323" w:themeColor="text1"/>
                <w:sz w:val="20"/>
                <w:szCs w:val="20"/>
              </w:rPr>
              <w:t>Lühiajalise üüri teenuse määratlemine ja sellele kohalduvate normide selgitamine</w:t>
            </w:r>
            <w:bookmarkEnd w:id="8"/>
            <w:bookmarkEnd w:id="9"/>
            <w:bookmarkEnd w:id="10"/>
            <w:bookmarkEnd w:id="11"/>
          </w:p>
        </w:tc>
      </w:tr>
      <w:tr w:rsidR="006B1E5D" w14:paraId="657BBBF8" w14:textId="77777777" w:rsidTr="00527CAD">
        <w:trPr>
          <w:gridAfter w:val="1"/>
          <w:wAfter w:w="19" w:type="dxa"/>
        </w:trPr>
        <w:tc>
          <w:tcPr>
            <w:cnfStyle w:val="001000000000" w:firstRow="0" w:lastRow="0" w:firstColumn="1" w:lastColumn="0" w:oddVBand="0" w:evenVBand="0" w:oddHBand="0" w:evenHBand="0" w:firstRowFirstColumn="0" w:firstRowLastColumn="0" w:lastRowFirstColumn="0" w:lastRowLastColumn="0"/>
            <w:tcW w:w="3055" w:type="dxa"/>
          </w:tcPr>
          <w:p w14:paraId="27197A76" w14:textId="50DDB64C" w:rsidR="004974B9" w:rsidRPr="008C60E5" w:rsidRDefault="153E70BC" w:rsidP="06639471">
            <w:pPr>
              <w:spacing w:before="60" w:after="60" w:line="240" w:lineRule="auto"/>
              <w:ind w:left="157"/>
              <w:rPr>
                <w:rFonts w:asciiTheme="minorBidi" w:hAnsiTheme="minorBidi"/>
                <w:color w:val="232323" w:themeColor="text1"/>
                <w:sz w:val="20"/>
                <w:szCs w:val="20"/>
              </w:rPr>
            </w:pPr>
            <w:r w:rsidRPr="06639471">
              <w:rPr>
                <w:rFonts w:asciiTheme="minorBidi" w:hAnsiTheme="minorBidi"/>
                <w:color w:val="232323" w:themeColor="accent1"/>
                <w:sz w:val="20"/>
                <w:szCs w:val="20"/>
              </w:rPr>
              <w:t>Suurendada nii õigusselgust kui ka turuosaliste teadlikkust lühiajalise üüri turu regulatsioonide osas</w:t>
            </w:r>
          </w:p>
        </w:tc>
        <w:tc>
          <w:tcPr>
            <w:tcW w:w="5400" w:type="dxa"/>
          </w:tcPr>
          <w:p w14:paraId="71D9109E" w14:textId="549E953A" w:rsidR="00063325" w:rsidRPr="008C60E5" w:rsidRDefault="001B0D94" w:rsidP="004B77AA">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Pr>
                <w:rFonts w:asciiTheme="minorBidi" w:hAnsiTheme="minorBidi"/>
                <w:color w:val="232323" w:themeColor="text1"/>
                <w:sz w:val="20"/>
                <w:szCs w:val="20"/>
              </w:rPr>
              <w:t>Täpsustada TurS-s majutusteenuse mõistet</w:t>
            </w:r>
            <w:r w:rsidR="000E369B">
              <w:rPr>
                <w:rFonts w:asciiTheme="minorBidi" w:hAnsiTheme="minorBidi"/>
                <w:color w:val="232323" w:themeColor="text1"/>
                <w:sz w:val="20"/>
                <w:szCs w:val="20"/>
              </w:rPr>
              <w:t>.</w:t>
            </w:r>
            <w:r>
              <w:rPr>
                <w:rFonts w:asciiTheme="minorBidi" w:hAnsiTheme="minorBidi"/>
                <w:color w:val="232323" w:themeColor="text1"/>
                <w:sz w:val="20"/>
                <w:szCs w:val="20"/>
              </w:rPr>
              <w:t xml:space="preserve"> </w:t>
            </w:r>
          </w:p>
          <w:p w14:paraId="034EBCC7" w14:textId="0271191D" w:rsidR="004974B9" w:rsidRPr="008C60E5" w:rsidRDefault="004974B9" w:rsidP="004B77AA">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008C60E5">
              <w:rPr>
                <w:rFonts w:asciiTheme="minorBidi" w:hAnsiTheme="minorBidi"/>
                <w:color w:val="232323" w:themeColor="text1"/>
                <w:sz w:val="20"/>
                <w:szCs w:val="20"/>
              </w:rPr>
              <w:t>Töötada välja juhised teenuse osutajatele nende õiguste ja kohustuste kohta</w:t>
            </w:r>
            <w:r w:rsidR="000E369B">
              <w:rPr>
                <w:rFonts w:asciiTheme="minorBidi" w:hAnsiTheme="minorBidi"/>
                <w:color w:val="232323" w:themeColor="text1"/>
                <w:sz w:val="20"/>
                <w:szCs w:val="20"/>
              </w:rPr>
              <w:t>.</w:t>
            </w:r>
          </w:p>
          <w:p w14:paraId="47378165" w14:textId="3825E7CD" w:rsidR="004974B9" w:rsidRPr="008C60E5" w:rsidRDefault="153E70BC" w:rsidP="06639471">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06639471">
              <w:rPr>
                <w:rFonts w:asciiTheme="minorBidi" w:hAnsiTheme="minorBidi"/>
                <w:color w:val="232323" w:themeColor="accent1"/>
                <w:sz w:val="20"/>
                <w:szCs w:val="20"/>
              </w:rPr>
              <w:t>Koostada tuleohutusnõuete alane analüüs, et täpsustada</w:t>
            </w:r>
            <w:r w:rsidR="08BA3BD7" w:rsidRPr="06639471">
              <w:rPr>
                <w:rFonts w:asciiTheme="minorBidi" w:hAnsiTheme="minorBidi"/>
                <w:color w:val="232323" w:themeColor="accent1"/>
                <w:sz w:val="20"/>
                <w:szCs w:val="20"/>
              </w:rPr>
              <w:t>,</w:t>
            </w:r>
            <w:r w:rsidRPr="06639471">
              <w:rPr>
                <w:rFonts w:asciiTheme="minorBidi" w:hAnsiTheme="minorBidi"/>
                <w:color w:val="232323" w:themeColor="accent1"/>
                <w:sz w:val="20"/>
                <w:szCs w:val="20"/>
              </w:rPr>
              <w:t xml:space="preserve"> kuidas täita nõudeid, kui suurt osa kortermajast kasutatakse majutusteenuse osutamiseks</w:t>
            </w:r>
          </w:p>
        </w:tc>
        <w:tc>
          <w:tcPr>
            <w:tcW w:w="1440" w:type="dxa"/>
          </w:tcPr>
          <w:p w14:paraId="376BE239" w14:textId="44DE0CA6" w:rsidR="004974B9" w:rsidRPr="008C60E5" w:rsidRDefault="0377B620" w:rsidP="00E624E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288A3578">
              <w:rPr>
                <w:rFonts w:asciiTheme="minorBidi" w:hAnsiTheme="minorBidi"/>
                <w:color w:val="232323" w:themeColor="accent1"/>
                <w:sz w:val="20"/>
                <w:szCs w:val="20"/>
              </w:rPr>
              <w:t>MKM, P</w:t>
            </w:r>
            <w:r w:rsidR="00CE309C">
              <w:rPr>
                <w:rFonts w:asciiTheme="minorBidi" w:hAnsiTheme="minorBidi"/>
                <w:color w:val="232323" w:themeColor="accent1"/>
                <w:sz w:val="20"/>
                <w:szCs w:val="20"/>
              </w:rPr>
              <w:t>A</w:t>
            </w:r>
            <w:r w:rsidRPr="288A3578">
              <w:rPr>
                <w:rFonts w:asciiTheme="minorBidi" w:hAnsiTheme="minorBidi"/>
                <w:color w:val="232323" w:themeColor="accent1"/>
                <w:sz w:val="20"/>
                <w:szCs w:val="20"/>
              </w:rPr>
              <w:t>, Si</w:t>
            </w:r>
            <w:r w:rsidR="00C76962">
              <w:rPr>
                <w:rFonts w:asciiTheme="minorBidi" w:hAnsiTheme="minorBidi"/>
                <w:color w:val="232323" w:themeColor="accent1"/>
                <w:sz w:val="20"/>
                <w:szCs w:val="20"/>
              </w:rPr>
              <w:t>M</w:t>
            </w:r>
            <w:r w:rsidR="00796EB6">
              <w:rPr>
                <w:rFonts w:asciiTheme="minorBidi" w:hAnsiTheme="minorBidi"/>
                <w:color w:val="232323" w:themeColor="accent1"/>
                <w:sz w:val="20"/>
                <w:szCs w:val="20"/>
              </w:rPr>
              <w:t>,</w:t>
            </w:r>
            <w:r w:rsidRPr="288A3578">
              <w:rPr>
                <w:rFonts w:asciiTheme="minorBidi" w:hAnsiTheme="minorBidi"/>
                <w:color w:val="232323" w:themeColor="accent1"/>
                <w:sz w:val="20"/>
                <w:szCs w:val="20"/>
              </w:rPr>
              <w:t xml:space="preserve"> KOV-d</w:t>
            </w:r>
          </w:p>
          <w:p w14:paraId="40D27914" w14:textId="77777777" w:rsidR="004974B9" w:rsidRPr="008C60E5" w:rsidRDefault="004974B9">
            <w:p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p>
        </w:tc>
      </w:tr>
      <w:tr w:rsidR="00857E6D" w14:paraId="79C83588" w14:textId="77777777" w:rsidTr="00527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4" w:type="dxa"/>
            <w:gridSpan w:val="4"/>
            <w:shd w:val="clear" w:color="auto" w:fill="E6E6E6" w:themeFill="accent3"/>
          </w:tcPr>
          <w:p w14:paraId="56E712C7" w14:textId="77777777" w:rsidR="004974B9" w:rsidRPr="008C60E5" w:rsidRDefault="004974B9" w:rsidP="00857E6D">
            <w:pPr>
              <w:pStyle w:val="Heading3"/>
              <w:numPr>
                <w:ilvl w:val="0"/>
                <w:numId w:val="0"/>
              </w:numPr>
              <w:spacing w:before="60" w:after="60" w:line="240" w:lineRule="auto"/>
              <w:ind w:left="157"/>
              <w:rPr>
                <w:rFonts w:asciiTheme="minorBidi" w:hAnsiTheme="minorBidi" w:cstheme="minorBidi"/>
                <w:color w:val="232323" w:themeColor="text1"/>
                <w:sz w:val="20"/>
                <w:szCs w:val="20"/>
              </w:rPr>
            </w:pPr>
            <w:bookmarkStart w:id="12" w:name="_Toc202215887"/>
            <w:bookmarkStart w:id="13" w:name="_Toc206438619"/>
            <w:bookmarkStart w:id="14" w:name="_Toc208989847"/>
            <w:bookmarkStart w:id="15" w:name="_Toc208991565"/>
            <w:r w:rsidRPr="008C60E5">
              <w:rPr>
                <w:rFonts w:asciiTheme="minorBidi" w:hAnsiTheme="minorBidi" w:cstheme="minorBidi"/>
                <w:color w:val="232323" w:themeColor="text1"/>
                <w:sz w:val="20"/>
                <w:szCs w:val="20"/>
              </w:rPr>
              <w:t>Võimekus turuseireks ja järelevalveks</w:t>
            </w:r>
            <w:bookmarkEnd w:id="12"/>
            <w:bookmarkEnd w:id="13"/>
            <w:bookmarkEnd w:id="14"/>
            <w:bookmarkEnd w:id="15"/>
          </w:p>
        </w:tc>
      </w:tr>
      <w:tr w:rsidR="006B1E5D" w14:paraId="15B5D1BC" w14:textId="77777777" w:rsidTr="00527CAD">
        <w:trPr>
          <w:gridAfter w:val="1"/>
          <w:wAfter w:w="19" w:type="dxa"/>
        </w:trPr>
        <w:tc>
          <w:tcPr>
            <w:cnfStyle w:val="001000000000" w:firstRow="0" w:lastRow="0" w:firstColumn="1" w:lastColumn="0" w:oddVBand="0" w:evenVBand="0" w:oddHBand="0" w:evenHBand="0" w:firstRowFirstColumn="0" w:firstRowLastColumn="0" w:lastRowFirstColumn="0" w:lastRowLastColumn="0"/>
            <w:tcW w:w="3055" w:type="dxa"/>
          </w:tcPr>
          <w:p w14:paraId="10BA8910" w14:textId="230809FF" w:rsidR="004974B9" w:rsidRPr="008C60E5" w:rsidRDefault="153E70BC" w:rsidP="06639471">
            <w:pPr>
              <w:pStyle w:val="Heading3"/>
              <w:numPr>
                <w:ilvl w:val="0"/>
                <w:numId w:val="0"/>
              </w:numPr>
              <w:spacing w:before="60" w:after="60" w:line="240" w:lineRule="auto"/>
              <w:ind w:left="157"/>
              <w:rPr>
                <w:rFonts w:asciiTheme="minorBidi" w:hAnsiTheme="minorBidi" w:cstheme="minorBidi"/>
                <w:color w:val="232323" w:themeColor="text1"/>
                <w:sz w:val="20"/>
                <w:szCs w:val="20"/>
              </w:rPr>
            </w:pPr>
            <w:bookmarkStart w:id="16" w:name="_Toc202215888"/>
            <w:bookmarkStart w:id="17" w:name="_Toc206438620"/>
            <w:bookmarkStart w:id="18" w:name="_Toc208989848"/>
            <w:bookmarkStart w:id="19" w:name="_Toc208991566"/>
            <w:r w:rsidRPr="06639471">
              <w:rPr>
                <w:rFonts w:asciiTheme="minorBidi" w:hAnsiTheme="minorBidi" w:cstheme="minorBidi"/>
                <w:color w:val="232323" w:themeColor="accent1"/>
                <w:sz w:val="20"/>
                <w:szCs w:val="20"/>
              </w:rPr>
              <w:t xml:space="preserve">Parandada võimekust lühiajalise </w:t>
            </w:r>
            <w:r w:rsidRPr="79DA97FD">
              <w:rPr>
                <w:rFonts w:asciiTheme="minorBidi" w:hAnsiTheme="minorBidi" w:cstheme="minorBidi"/>
                <w:color w:val="232323" w:themeColor="accent1"/>
                <w:sz w:val="20"/>
                <w:szCs w:val="20"/>
              </w:rPr>
              <w:t>üüri</w:t>
            </w:r>
            <w:r w:rsidR="113F7A80" w:rsidRPr="79DA97FD">
              <w:rPr>
                <w:rFonts w:asciiTheme="minorBidi" w:hAnsiTheme="minorBidi" w:cstheme="minorBidi"/>
                <w:color w:val="232323" w:themeColor="accent1"/>
                <w:sz w:val="20"/>
                <w:szCs w:val="20"/>
              </w:rPr>
              <w:t xml:space="preserve"> </w:t>
            </w:r>
            <w:r w:rsidRPr="79DA97FD">
              <w:rPr>
                <w:rFonts w:asciiTheme="minorBidi" w:hAnsiTheme="minorBidi" w:cstheme="minorBidi"/>
                <w:color w:val="232323" w:themeColor="accent1"/>
                <w:sz w:val="20"/>
                <w:szCs w:val="20"/>
              </w:rPr>
              <w:t>turu</w:t>
            </w:r>
            <w:r w:rsidRPr="06639471">
              <w:rPr>
                <w:rFonts w:asciiTheme="minorBidi" w:hAnsiTheme="minorBidi" w:cstheme="minorBidi"/>
                <w:color w:val="232323" w:themeColor="accent1"/>
                <w:sz w:val="20"/>
                <w:szCs w:val="20"/>
              </w:rPr>
              <w:t xml:space="preserve"> seiramiseks ning järelevalveks</w:t>
            </w:r>
            <w:bookmarkEnd w:id="16"/>
            <w:bookmarkEnd w:id="17"/>
            <w:bookmarkEnd w:id="18"/>
            <w:bookmarkEnd w:id="19"/>
          </w:p>
        </w:tc>
        <w:tc>
          <w:tcPr>
            <w:tcW w:w="5400" w:type="dxa"/>
          </w:tcPr>
          <w:p w14:paraId="55BBBF2B" w14:textId="77777777" w:rsidR="006F4C3F" w:rsidRDefault="004974B9" w:rsidP="004F5F3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65CAA8B4">
              <w:rPr>
                <w:rFonts w:asciiTheme="minorBidi" w:hAnsiTheme="minorBidi"/>
                <w:color w:val="232323" w:themeColor="accent1"/>
                <w:sz w:val="20"/>
                <w:szCs w:val="20"/>
              </w:rPr>
              <w:t>KOV-del arendada välja võimekus regulaarseks turu seireks ja mõjude hindamiseks</w:t>
            </w:r>
            <w:r w:rsidR="00CB13B9" w:rsidRPr="65CAA8B4">
              <w:rPr>
                <w:rFonts w:asciiTheme="minorBidi" w:hAnsiTheme="minorBidi"/>
                <w:color w:val="232323" w:themeColor="accent1"/>
                <w:sz w:val="20"/>
                <w:szCs w:val="20"/>
              </w:rPr>
              <w:t xml:space="preserve">, sh </w:t>
            </w:r>
            <w:r w:rsidR="00A16F60" w:rsidRPr="65CAA8B4">
              <w:rPr>
                <w:rFonts w:asciiTheme="minorBidi" w:hAnsiTheme="minorBidi"/>
                <w:color w:val="232323" w:themeColor="accent1"/>
                <w:sz w:val="20"/>
                <w:szCs w:val="20"/>
              </w:rPr>
              <w:t>suurendada koostööd platvormidega andmevahetuse eesmärgil</w:t>
            </w:r>
            <w:r w:rsidR="000E369B" w:rsidRPr="65CAA8B4">
              <w:rPr>
                <w:rFonts w:asciiTheme="minorBidi" w:hAnsiTheme="minorBidi"/>
                <w:color w:val="232323" w:themeColor="accent1"/>
                <w:sz w:val="20"/>
                <w:szCs w:val="20"/>
              </w:rPr>
              <w:t>.</w:t>
            </w:r>
          </w:p>
          <w:p w14:paraId="3D0A1862" w14:textId="6EC18A96" w:rsidR="004974B9" w:rsidRPr="008C60E5" w:rsidRDefault="7A5E24A4" w:rsidP="39F9F431">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39F9F431">
              <w:rPr>
                <w:rFonts w:asciiTheme="minorBidi" w:hAnsiTheme="minorBidi"/>
                <w:color w:val="232323" w:themeColor="accent1"/>
                <w:sz w:val="20"/>
                <w:szCs w:val="20"/>
              </w:rPr>
              <w:t xml:space="preserve">RM, </w:t>
            </w:r>
            <w:r w:rsidR="7BB6BD3D" w:rsidRPr="39F9F431">
              <w:rPr>
                <w:rFonts w:asciiTheme="minorBidi" w:hAnsiTheme="minorBidi"/>
                <w:color w:val="232323" w:themeColor="accent1"/>
                <w:sz w:val="20"/>
                <w:szCs w:val="20"/>
              </w:rPr>
              <w:t>MTA ja MKM koostöös otsida võimalusi DAC7 andmete jagamiseks KOV-dele</w:t>
            </w:r>
            <w:r w:rsidR="555E2824" w:rsidRPr="39F9F431">
              <w:rPr>
                <w:rFonts w:asciiTheme="minorBidi" w:hAnsiTheme="minorBidi"/>
                <w:color w:val="232323" w:themeColor="accent1"/>
                <w:sz w:val="20"/>
                <w:szCs w:val="20"/>
              </w:rPr>
              <w:t xml:space="preserve"> ja teistele </w:t>
            </w:r>
            <w:r w:rsidR="62EEDC29" w:rsidRPr="39F9F431">
              <w:rPr>
                <w:rFonts w:asciiTheme="minorBidi" w:hAnsiTheme="minorBidi"/>
                <w:color w:val="232323" w:themeColor="accent1"/>
                <w:sz w:val="20"/>
                <w:szCs w:val="20"/>
              </w:rPr>
              <w:t>andmete kasutamisest huvitatud ja õigustatud osapooltele</w:t>
            </w:r>
            <w:r w:rsidR="000E369B" w:rsidRPr="39F9F431">
              <w:rPr>
                <w:rFonts w:asciiTheme="minorBidi" w:hAnsiTheme="minorBidi"/>
                <w:color w:val="232323" w:themeColor="accent1"/>
                <w:sz w:val="20"/>
                <w:szCs w:val="20"/>
              </w:rPr>
              <w:t>.</w:t>
            </w:r>
          </w:p>
          <w:p w14:paraId="53F993A2" w14:textId="632F0765" w:rsidR="004974B9" w:rsidRPr="008C60E5" w:rsidRDefault="70DD744D" w:rsidP="00BD7B82">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288A3578">
              <w:rPr>
                <w:rFonts w:asciiTheme="minorBidi" w:hAnsiTheme="minorBidi"/>
                <w:color w:val="232323" w:themeColor="accent1"/>
                <w:sz w:val="20"/>
                <w:szCs w:val="20"/>
              </w:rPr>
              <w:t>SA ja MKM koostöös otsida võimalusi Eurostati statistika jagamiseks KOV-dele</w:t>
            </w:r>
          </w:p>
        </w:tc>
        <w:tc>
          <w:tcPr>
            <w:tcW w:w="1440" w:type="dxa"/>
          </w:tcPr>
          <w:p w14:paraId="28A19F12" w14:textId="47A25443" w:rsidR="004974B9" w:rsidRPr="008C60E5" w:rsidRDefault="004974B9" w:rsidP="00857E6D">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008C60E5">
              <w:rPr>
                <w:rFonts w:asciiTheme="minorBidi" w:hAnsiTheme="minorBidi"/>
                <w:color w:val="232323" w:themeColor="text1"/>
                <w:sz w:val="20"/>
                <w:szCs w:val="20"/>
              </w:rPr>
              <w:t xml:space="preserve">MKM, </w:t>
            </w:r>
            <w:r w:rsidR="00146E48">
              <w:rPr>
                <w:rFonts w:asciiTheme="minorBidi" w:hAnsiTheme="minorBidi"/>
                <w:color w:val="232323" w:themeColor="text1"/>
                <w:sz w:val="20"/>
                <w:szCs w:val="20"/>
              </w:rPr>
              <w:t xml:space="preserve">RM, </w:t>
            </w:r>
            <w:r w:rsidRPr="008C60E5">
              <w:rPr>
                <w:rFonts w:asciiTheme="minorBidi" w:hAnsiTheme="minorBidi"/>
                <w:color w:val="232323" w:themeColor="text1"/>
                <w:sz w:val="20"/>
                <w:szCs w:val="20"/>
              </w:rPr>
              <w:t>MTA,</w:t>
            </w:r>
            <w:r w:rsidR="00817A75">
              <w:rPr>
                <w:rFonts w:asciiTheme="minorBidi" w:hAnsiTheme="minorBidi"/>
                <w:color w:val="232323" w:themeColor="text1"/>
                <w:sz w:val="20"/>
                <w:szCs w:val="20"/>
              </w:rPr>
              <w:t xml:space="preserve"> SA</w:t>
            </w:r>
            <w:r w:rsidRPr="008C60E5">
              <w:rPr>
                <w:rFonts w:asciiTheme="minorBidi" w:hAnsiTheme="minorBidi"/>
                <w:color w:val="232323" w:themeColor="text1"/>
                <w:sz w:val="20"/>
                <w:szCs w:val="20"/>
              </w:rPr>
              <w:t>, KOV-d</w:t>
            </w:r>
          </w:p>
          <w:p w14:paraId="5B603A9F" w14:textId="77777777" w:rsidR="004974B9" w:rsidRPr="008C60E5" w:rsidRDefault="004974B9" w:rsidP="00857E6D">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p>
        </w:tc>
      </w:tr>
      <w:tr w:rsidR="00857E6D" w14:paraId="4472C854" w14:textId="77777777" w:rsidTr="00527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4" w:type="dxa"/>
            <w:gridSpan w:val="4"/>
            <w:shd w:val="clear" w:color="auto" w:fill="E6E6E6" w:themeFill="accent3"/>
          </w:tcPr>
          <w:p w14:paraId="7B3BE951" w14:textId="77777777" w:rsidR="004974B9" w:rsidRPr="008C60E5" w:rsidRDefault="004974B9" w:rsidP="00857E6D">
            <w:pPr>
              <w:pStyle w:val="Heading3"/>
              <w:numPr>
                <w:ilvl w:val="0"/>
                <w:numId w:val="0"/>
              </w:numPr>
              <w:spacing w:before="60" w:after="60" w:line="240" w:lineRule="auto"/>
              <w:ind w:left="157"/>
              <w:rPr>
                <w:rFonts w:asciiTheme="minorBidi" w:hAnsiTheme="minorBidi" w:cstheme="minorBidi"/>
                <w:color w:val="232323" w:themeColor="text1"/>
                <w:sz w:val="20"/>
                <w:szCs w:val="20"/>
              </w:rPr>
            </w:pPr>
            <w:bookmarkStart w:id="20" w:name="_Toc202215889"/>
            <w:bookmarkStart w:id="21" w:name="_Toc206438621"/>
            <w:bookmarkStart w:id="22" w:name="_Toc208989849"/>
            <w:bookmarkStart w:id="23" w:name="_Toc208991567"/>
            <w:r w:rsidRPr="008C60E5">
              <w:rPr>
                <w:rFonts w:asciiTheme="minorBidi" w:hAnsiTheme="minorBidi" w:cstheme="minorBidi"/>
                <w:color w:val="232323" w:themeColor="text1"/>
                <w:sz w:val="20"/>
                <w:szCs w:val="20"/>
              </w:rPr>
              <w:t>Nõustamine ja koostöö</w:t>
            </w:r>
            <w:bookmarkEnd w:id="20"/>
            <w:bookmarkEnd w:id="21"/>
            <w:bookmarkEnd w:id="22"/>
            <w:bookmarkEnd w:id="23"/>
          </w:p>
        </w:tc>
      </w:tr>
      <w:tr w:rsidR="006B1E5D" w14:paraId="0D84D377" w14:textId="77777777" w:rsidTr="00527CAD">
        <w:trPr>
          <w:gridAfter w:val="1"/>
          <w:wAfter w:w="19" w:type="dxa"/>
        </w:trPr>
        <w:tc>
          <w:tcPr>
            <w:cnfStyle w:val="001000000000" w:firstRow="0" w:lastRow="0" w:firstColumn="1" w:lastColumn="0" w:oddVBand="0" w:evenVBand="0" w:oddHBand="0" w:evenHBand="0" w:firstRowFirstColumn="0" w:firstRowLastColumn="0" w:lastRowFirstColumn="0" w:lastRowLastColumn="0"/>
            <w:tcW w:w="3055" w:type="dxa"/>
          </w:tcPr>
          <w:p w14:paraId="027C1AC2" w14:textId="086FBF21" w:rsidR="004974B9" w:rsidRPr="008C60E5" w:rsidRDefault="153E70BC" w:rsidP="06639471">
            <w:pPr>
              <w:spacing w:before="60" w:after="60" w:line="240" w:lineRule="auto"/>
              <w:ind w:left="157"/>
              <w:rPr>
                <w:rFonts w:asciiTheme="minorBidi" w:hAnsiTheme="minorBidi"/>
                <w:color w:val="232323" w:themeColor="text1"/>
                <w:sz w:val="20"/>
                <w:szCs w:val="20"/>
              </w:rPr>
            </w:pPr>
            <w:r w:rsidRPr="06639471">
              <w:rPr>
                <w:rFonts w:asciiTheme="minorBidi" w:hAnsiTheme="minorBidi"/>
                <w:color w:val="232323" w:themeColor="accent1"/>
                <w:sz w:val="20"/>
                <w:szCs w:val="20"/>
              </w:rPr>
              <w:t>KOV-de</w:t>
            </w:r>
            <w:r w:rsidR="0AB467EC" w:rsidRPr="06639471">
              <w:rPr>
                <w:rFonts w:asciiTheme="minorBidi" w:hAnsiTheme="minorBidi"/>
                <w:color w:val="232323" w:themeColor="accent1"/>
                <w:sz w:val="20"/>
                <w:szCs w:val="20"/>
              </w:rPr>
              <w:t>s</w:t>
            </w:r>
            <w:r w:rsidRPr="06639471">
              <w:rPr>
                <w:rFonts w:asciiTheme="minorBidi" w:hAnsiTheme="minorBidi"/>
                <w:color w:val="232323" w:themeColor="accent1"/>
                <w:sz w:val="20"/>
                <w:szCs w:val="20"/>
              </w:rPr>
              <w:t>, kelle haldusüksuses on juba ilmnenud või võivad lähiaastatel ilmneda märgatavad probleemid lühiajalise üürimisega, suurendada koostööd ja läbi viia teavitustegevusi</w:t>
            </w:r>
          </w:p>
        </w:tc>
        <w:tc>
          <w:tcPr>
            <w:tcW w:w="5400" w:type="dxa"/>
          </w:tcPr>
          <w:p w14:paraId="6E1B2897" w14:textId="61A0F99D" w:rsidR="004974B9" w:rsidRPr="008C60E5" w:rsidRDefault="004974B9">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008C60E5">
              <w:rPr>
                <w:rFonts w:asciiTheme="minorBidi" w:hAnsiTheme="minorBidi"/>
                <w:color w:val="232323" w:themeColor="text1"/>
                <w:sz w:val="20"/>
                <w:szCs w:val="20"/>
              </w:rPr>
              <w:t>Töötada välja juhend, mis tutvustab vastutustundliku lühiajalise üürimise põhimõtteid</w:t>
            </w:r>
            <w:r w:rsidR="000E369B">
              <w:rPr>
                <w:rFonts w:asciiTheme="minorBidi" w:hAnsiTheme="minorBidi"/>
                <w:color w:val="232323" w:themeColor="text1"/>
                <w:sz w:val="20"/>
                <w:szCs w:val="20"/>
              </w:rPr>
              <w:t>.</w:t>
            </w:r>
          </w:p>
          <w:p w14:paraId="22F117D4" w14:textId="3ED9400A" w:rsidR="004974B9" w:rsidRPr="008C60E5" w:rsidRDefault="153E70BC" w:rsidP="06639471">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06639471">
              <w:rPr>
                <w:rFonts w:asciiTheme="minorBidi" w:hAnsiTheme="minorBidi"/>
                <w:color w:val="232323" w:themeColor="accent1"/>
                <w:sz w:val="20"/>
                <w:szCs w:val="20"/>
              </w:rPr>
              <w:t>Luua tagasisidevõimalus elanikele, et koguda infot häiringute kohta</w:t>
            </w:r>
            <w:r w:rsidR="000E369B">
              <w:rPr>
                <w:rFonts w:asciiTheme="minorBidi" w:hAnsiTheme="minorBidi"/>
                <w:color w:val="232323" w:themeColor="accent1"/>
                <w:sz w:val="20"/>
                <w:szCs w:val="20"/>
              </w:rPr>
              <w:t>.</w:t>
            </w:r>
          </w:p>
          <w:p w14:paraId="162BEADF" w14:textId="155B5DB8" w:rsidR="004974B9" w:rsidRPr="008C60E5" w:rsidRDefault="004974B9">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2C5C9E91">
              <w:rPr>
                <w:rFonts w:asciiTheme="minorBidi" w:hAnsiTheme="minorBidi"/>
                <w:color w:val="232323" w:themeColor="accent1"/>
                <w:sz w:val="20"/>
                <w:szCs w:val="20"/>
              </w:rPr>
              <w:t>Korraldada kogukonnaga kohtumisi, et suurendada teenuse pakkujate ja elanike vahelist mõistmist</w:t>
            </w:r>
            <w:r w:rsidR="000E369B">
              <w:rPr>
                <w:rFonts w:asciiTheme="minorBidi" w:hAnsiTheme="minorBidi"/>
                <w:color w:val="232323" w:themeColor="accent1"/>
                <w:sz w:val="20"/>
                <w:szCs w:val="20"/>
              </w:rPr>
              <w:t>.</w:t>
            </w:r>
          </w:p>
          <w:p w14:paraId="2DDE3219" w14:textId="213A8063" w:rsidR="004974B9" w:rsidRPr="008C60E5" w:rsidRDefault="70DD744D" w:rsidP="288A3578">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288A3578">
              <w:rPr>
                <w:rFonts w:asciiTheme="minorBidi" w:hAnsiTheme="minorBidi"/>
                <w:color w:val="232323" w:themeColor="accent1"/>
                <w:sz w:val="20"/>
                <w:szCs w:val="20"/>
              </w:rPr>
              <w:t>Arendada koostööd järelevalveasutustega</w:t>
            </w:r>
            <w:r w:rsidR="005E4557">
              <w:rPr>
                <w:rFonts w:asciiTheme="minorBidi" w:hAnsiTheme="minorBidi"/>
                <w:color w:val="232323" w:themeColor="accent1"/>
                <w:sz w:val="20"/>
                <w:szCs w:val="20"/>
              </w:rPr>
              <w:t xml:space="preserve"> probleemide ennetamisel ja lahendamisel</w:t>
            </w:r>
            <w:r w:rsidR="000E369B">
              <w:rPr>
                <w:rFonts w:asciiTheme="minorBidi" w:hAnsiTheme="minorBidi"/>
                <w:color w:val="232323" w:themeColor="accent1"/>
                <w:sz w:val="20"/>
                <w:szCs w:val="20"/>
              </w:rPr>
              <w:t>.</w:t>
            </w:r>
          </w:p>
          <w:p w14:paraId="4034AEB1" w14:textId="2F5E76CB" w:rsidR="004974B9" w:rsidRPr="008C60E5" w:rsidRDefault="70DD744D" w:rsidP="288A3578">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288A3578">
              <w:rPr>
                <w:rFonts w:asciiTheme="minorBidi" w:hAnsiTheme="minorBidi"/>
                <w:color w:val="232323" w:themeColor="accent1"/>
                <w:sz w:val="20"/>
                <w:szCs w:val="20"/>
              </w:rPr>
              <w:t>Korraldada teavituskampaaniaid</w:t>
            </w:r>
            <w:r w:rsidR="000E369B">
              <w:rPr>
                <w:rFonts w:asciiTheme="minorBidi" w:hAnsiTheme="minorBidi"/>
                <w:color w:val="232323" w:themeColor="accent1"/>
                <w:sz w:val="20"/>
                <w:szCs w:val="20"/>
              </w:rPr>
              <w:t>.</w:t>
            </w:r>
          </w:p>
          <w:p w14:paraId="401E8C53" w14:textId="4423EAB2" w:rsidR="004974B9" w:rsidRPr="008C60E5" w:rsidRDefault="70DD744D" w:rsidP="288A3578">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288A3578">
              <w:rPr>
                <w:rFonts w:asciiTheme="minorBidi" w:hAnsiTheme="minorBidi"/>
                <w:color w:val="232323" w:themeColor="accent1"/>
                <w:sz w:val="20"/>
                <w:szCs w:val="20"/>
              </w:rPr>
              <w:t>Kaaluda vabatahtliku teavitussüsteemi loomist</w:t>
            </w:r>
            <w:r w:rsidR="00E7026E">
              <w:rPr>
                <w:rFonts w:asciiTheme="minorBidi" w:hAnsiTheme="minorBidi"/>
                <w:color w:val="232323" w:themeColor="accent1"/>
                <w:sz w:val="20"/>
                <w:szCs w:val="20"/>
              </w:rPr>
              <w:t>, mille raames</w:t>
            </w:r>
            <w:r w:rsidRPr="288A3578">
              <w:rPr>
                <w:rFonts w:asciiTheme="minorBidi" w:hAnsiTheme="minorBidi"/>
                <w:color w:val="232323" w:themeColor="accent1"/>
                <w:sz w:val="20"/>
                <w:szCs w:val="20"/>
              </w:rPr>
              <w:t xml:space="preserve"> lühiajalise üüri teenuse pakkuja</w:t>
            </w:r>
            <w:r w:rsidR="00E7026E">
              <w:rPr>
                <w:rFonts w:asciiTheme="minorBidi" w:hAnsiTheme="minorBidi"/>
                <w:color w:val="232323" w:themeColor="accent1"/>
                <w:sz w:val="20"/>
                <w:szCs w:val="20"/>
              </w:rPr>
              <w:t>d teavitavad</w:t>
            </w:r>
            <w:r w:rsidR="0040184A">
              <w:rPr>
                <w:rFonts w:asciiTheme="minorBidi" w:hAnsiTheme="minorBidi"/>
                <w:color w:val="232323" w:themeColor="accent1"/>
                <w:sz w:val="20"/>
                <w:szCs w:val="20"/>
              </w:rPr>
              <w:t xml:space="preserve"> sellest</w:t>
            </w:r>
            <w:r w:rsidR="00E7026E">
              <w:rPr>
                <w:rFonts w:asciiTheme="minorBidi" w:hAnsiTheme="minorBidi"/>
                <w:color w:val="232323" w:themeColor="accent1"/>
                <w:sz w:val="20"/>
                <w:szCs w:val="20"/>
              </w:rPr>
              <w:t xml:space="preserve"> KOV-i</w:t>
            </w:r>
          </w:p>
        </w:tc>
        <w:tc>
          <w:tcPr>
            <w:tcW w:w="1440" w:type="dxa"/>
          </w:tcPr>
          <w:p w14:paraId="6EFA25B0" w14:textId="432185C6" w:rsidR="004974B9" w:rsidRPr="008C60E5" w:rsidRDefault="004974B9" w:rsidP="00857E6D">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1D793FCD">
              <w:rPr>
                <w:rFonts w:asciiTheme="minorBidi" w:hAnsiTheme="minorBidi"/>
                <w:color w:val="232323" w:themeColor="accent1"/>
                <w:sz w:val="20"/>
                <w:szCs w:val="20"/>
              </w:rPr>
              <w:t>KOV-</w:t>
            </w:r>
            <w:r w:rsidR="00B577C6">
              <w:rPr>
                <w:rFonts w:asciiTheme="minorBidi" w:hAnsiTheme="minorBidi"/>
                <w:color w:val="232323" w:themeColor="accent1"/>
                <w:sz w:val="20"/>
                <w:szCs w:val="20"/>
              </w:rPr>
              <w:t xml:space="preserve">d, </w:t>
            </w:r>
            <w:r w:rsidR="00502124" w:rsidRPr="1D793FCD">
              <w:rPr>
                <w:rFonts w:asciiTheme="minorBidi" w:hAnsiTheme="minorBidi"/>
                <w:color w:val="232323" w:themeColor="accent1"/>
                <w:sz w:val="20"/>
                <w:szCs w:val="20"/>
              </w:rPr>
              <w:t>P</w:t>
            </w:r>
            <w:r w:rsidR="00271289">
              <w:rPr>
                <w:rFonts w:asciiTheme="minorBidi" w:hAnsiTheme="minorBidi"/>
                <w:color w:val="232323" w:themeColor="accent1"/>
                <w:sz w:val="20"/>
                <w:szCs w:val="20"/>
              </w:rPr>
              <w:t>P</w:t>
            </w:r>
            <w:r w:rsidR="00502124" w:rsidRPr="1D793FCD">
              <w:rPr>
                <w:rFonts w:asciiTheme="minorBidi" w:hAnsiTheme="minorBidi"/>
                <w:color w:val="232323" w:themeColor="accent1"/>
                <w:sz w:val="20"/>
                <w:szCs w:val="20"/>
              </w:rPr>
              <w:t xml:space="preserve">A, TA, </w:t>
            </w:r>
            <w:r w:rsidR="005C7B60" w:rsidRPr="1D793FCD">
              <w:rPr>
                <w:rFonts w:asciiTheme="minorBidi" w:hAnsiTheme="minorBidi"/>
                <w:color w:val="232323" w:themeColor="accent1"/>
                <w:sz w:val="20"/>
                <w:szCs w:val="20"/>
              </w:rPr>
              <w:t>MTA, PA, EIS</w:t>
            </w:r>
          </w:p>
        </w:tc>
      </w:tr>
      <w:tr w:rsidR="00857E6D" w14:paraId="19ECE87E" w14:textId="77777777" w:rsidTr="00527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4" w:type="dxa"/>
            <w:gridSpan w:val="4"/>
            <w:shd w:val="clear" w:color="auto" w:fill="E6E6E6" w:themeFill="accent3"/>
          </w:tcPr>
          <w:p w14:paraId="3BB13FE4" w14:textId="77777777" w:rsidR="004974B9" w:rsidRPr="008C60E5" w:rsidRDefault="004974B9" w:rsidP="00857E6D">
            <w:pPr>
              <w:pStyle w:val="Heading3"/>
              <w:numPr>
                <w:ilvl w:val="0"/>
                <w:numId w:val="0"/>
              </w:numPr>
              <w:spacing w:before="60" w:after="60" w:line="240" w:lineRule="auto"/>
              <w:ind w:left="157"/>
              <w:rPr>
                <w:rFonts w:asciiTheme="minorBidi" w:hAnsiTheme="minorBidi" w:cstheme="minorBidi"/>
                <w:color w:val="232323" w:themeColor="text1"/>
                <w:sz w:val="20"/>
                <w:szCs w:val="20"/>
              </w:rPr>
            </w:pPr>
            <w:bookmarkStart w:id="24" w:name="_Toc202215890"/>
            <w:bookmarkStart w:id="25" w:name="_Toc206438622"/>
            <w:bookmarkStart w:id="26" w:name="_Toc208989850"/>
            <w:bookmarkStart w:id="27" w:name="_Toc208991568"/>
            <w:r w:rsidRPr="008C60E5">
              <w:rPr>
                <w:rFonts w:asciiTheme="minorBidi" w:hAnsiTheme="minorBidi" w:cstheme="minorBidi"/>
                <w:color w:val="232323" w:themeColor="text1"/>
                <w:sz w:val="20"/>
                <w:szCs w:val="20"/>
              </w:rPr>
              <w:lastRenderedPageBreak/>
              <w:t>Korteriühistute õigused</w:t>
            </w:r>
            <w:bookmarkEnd w:id="24"/>
            <w:bookmarkEnd w:id="25"/>
            <w:bookmarkEnd w:id="26"/>
            <w:bookmarkEnd w:id="27"/>
          </w:p>
        </w:tc>
      </w:tr>
      <w:tr w:rsidR="006B1E5D" w14:paraId="6AF19EBE" w14:textId="77777777" w:rsidTr="00527CAD">
        <w:trPr>
          <w:gridAfter w:val="1"/>
          <w:wAfter w:w="19" w:type="dxa"/>
        </w:trPr>
        <w:tc>
          <w:tcPr>
            <w:cnfStyle w:val="001000000000" w:firstRow="0" w:lastRow="0" w:firstColumn="1" w:lastColumn="0" w:oddVBand="0" w:evenVBand="0" w:oddHBand="0" w:evenHBand="0" w:firstRowFirstColumn="0" w:firstRowLastColumn="0" w:lastRowFirstColumn="0" w:lastRowLastColumn="0"/>
            <w:tcW w:w="3055" w:type="dxa"/>
          </w:tcPr>
          <w:p w14:paraId="309FFB5F" w14:textId="63061E16" w:rsidR="004974B9" w:rsidRPr="008C60E5" w:rsidRDefault="0377B620" w:rsidP="39F9F431">
            <w:pPr>
              <w:spacing w:before="60" w:after="60" w:line="240" w:lineRule="auto"/>
              <w:ind w:left="157"/>
              <w:rPr>
                <w:rFonts w:asciiTheme="minorBidi" w:hAnsiTheme="minorBidi"/>
                <w:color w:val="232323" w:themeColor="text1"/>
                <w:sz w:val="20"/>
                <w:szCs w:val="20"/>
              </w:rPr>
            </w:pPr>
            <w:r w:rsidRPr="39F9F431">
              <w:rPr>
                <w:rFonts w:asciiTheme="minorBidi" w:hAnsiTheme="minorBidi"/>
                <w:color w:val="232323" w:themeColor="accent1"/>
                <w:sz w:val="20"/>
                <w:szCs w:val="20"/>
              </w:rPr>
              <w:t>Teha muudatusi korteriomandi- ja korteriühistuseaduses (KrtS)</w:t>
            </w:r>
          </w:p>
        </w:tc>
        <w:tc>
          <w:tcPr>
            <w:tcW w:w="5400" w:type="dxa"/>
          </w:tcPr>
          <w:p w14:paraId="047B3DF0" w14:textId="12FE682B" w:rsidR="004974B9" w:rsidRPr="008C60E5" w:rsidRDefault="7BB6BD3D" w:rsidP="1C92C443">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1C92C443">
              <w:rPr>
                <w:rFonts w:asciiTheme="minorBidi" w:hAnsiTheme="minorBidi"/>
                <w:color w:val="232323" w:themeColor="accent1"/>
                <w:sz w:val="20"/>
                <w:szCs w:val="20"/>
              </w:rPr>
              <w:t>Lubada muudatustega</w:t>
            </w:r>
            <w:r w:rsidR="252D3388" w:rsidRPr="1C92C443">
              <w:rPr>
                <w:rFonts w:asciiTheme="minorBidi" w:hAnsiTheme="minorBidi"/>
                <w:color w:val="232323" w:themeColor="accent1"/>
                <w:sz w:val="20"/>
                <w:szCs w:val="20"/>
              </w:rPr>
              <w:t xml:space="preserve"> korteriühistutel kehtestada kortermajas järgmisi </w:t>
            </w:r>
            <w:r w:rsidR="001064D3" w:rsidRPr="1C92C443">
              <w:rPr>
                <w:rFonts w:asciiTheme="minorBidi" w:hAnsiTheme="minorBidi"/>
                <w:color w:val="232323" w:themeColor="accent1"/>
                <w:sz w:val="20"/>
                <w:szCs w:val="20"/>
              </w:rPr>
              <w:t>piiranguid</w:t>
            </w:r>
            <w:r w:rsidRPr="1C92C443">
              <w:rPr>
                <w:rFonts w:asciiTheme="minorBidi" w:hAnsiTheme="minorBidi"/>
                <w:color w:val="232323" w:themeColor="accent1"/>
                <w:sz w:val="20"/>
                <w:szCs w:val="20"/>
              </w:rPr>
              <w:t>:</w:t>
            </w:r>
          </w:p>
          <w:p w14:paraId="0703CC2D" w14:textId="77777777" w:rsidR="004974B9" w:rsidRPr="00857E6D" w:rsidRDefault="004974B9" w:rsidP="00857E6D">
            <w:pPr>
              <w:pStyle w:val="ListParagraph"/>
              <w:numPr>
                <w:ilvl w:val="0"/>
                <w:numId w:val="75"/>
              </w:numPr>
              <w:spacing w:before="60" w:after="60" w:line="240" w:lineRule="auto"/>
              <w:ind w:left="428"/>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00857E6D">
              <w:rPr>
                <w:rFonts w:asciiTheme="minorBidi" w:hAnsiTheme="minorBidi"/>
                <w:color w:val="232323" w:themeColor="text1"/>
                <w:sz w:val="20"/>
                <w:szCs w:val="20"/>
              </w:rPr>
              <w:t>Piirata või reguleerida majas pakutava majutusteenuste mahtu</w:t>
            </w:r>
          </w:p>
          <w:p w14:paraId="37BC7F5D" w14:textId="1C470772" w:rsidR="004974B9" w:rsidRPr="00857E6D" w:rsidRDefault="00BD270F" w:rsidP="288A3578">
            <w:pPr>
              <w:pStyle w:val="ListParagraph"/>
              <w:numPr>
                <w:ilvl w:val="0"/>
                <w:numId w:val="75"/>
              </w:numPr>
              <w:spacing w:before="60" w:after="60" w:line="240" w:lineRule="auto"/>
              <w:ind w:left="428"/>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Pr>
                <w:rFonts w:asciiTheme="minorBidi" w:hAnsiTheme="minorBidi"/>
                <w:color w:val="232323" w:themeColor="accent1"/>
                <w:sz w:val="20"/>
                <w:szCs w:val="20"/>
              </w:rPr>
              <w:t xml:space="preserve">Muuta teenuse keelamine ühistute jaoks õiguslikult lihtsamaks võrreldes praeguste üsna äärmuslike </w:t>
            </w:r>
            <w:r w:rsidR="00EB0954">
              <w:rPr>
                <w:rFonts w:asciiTheme="minorBidi" w:hAnsiTheme="minorBidi"/>
                <w:color w:val="232323" w:themeColor="accent1"/>
                <w:sz w:val="20"/>
                <w:szCs w:val="20"/>
              </w:rPr>
              <w:t>võimalustega</w:t>
            </w:r>
          </w:p>
          <w:p w14:paraId="19EBD9A5" w14:textId="10BB7BB6" w:rsidR="004974B9" w:rsidRPr="008C60E5" w:rsidRDefault="7BB6BD3D" w:rsidP="00BD7B82">
            <w:pPr>
              <w:pStyle w:val="ListParagraph"/>
              <w:numPr>
                <w:ilvl w:val="0"/>
                <w:numId w:val="75"/>
              </w:numPr>
              <w:spacing w:before="60" w:after="60" w:line="240" w:lineRule="auto"/>
              <w:ind w:left="428"/>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1C92C443">
              <w:rPr>
                <w:rFonts w:asciiTheme="minorBidi" w:hAnsiTheme="minorBidi"/>
                <w:color w:val="232323" w:themeColor="accent1"/>
                <w:sz w:val="20"/>
                <w:szCs w:val="20"/>
              </w:rPr>
              <w:t>Nõuda majutusteenuseks kasutatud korteri</w:t>
            </w:r>
            <w:r w:rsidR="3648A90E" w:rsidRPr="1C92C443">
              <w:rPr>
                <w:rFonts w:asciiTheme="minorBidi" w:hAnsiTheme="minorBidi"/>
                <w:color w:val="232323" w:themeColor="accent1"/>
                <w:sz w:val="20"/>
                <w:szCs w:val="20"/>
              </w:rPr>
              <w:t xml:space="preserve"> omaniku</w:t>
            </w:r>
            <w:r w:rsidRPr="1C92C443">
              <w:rPr>
                <w:rFonts w:asciiTheme="minorBidi" w:hAnsiTheme="minorBidi"/>
                <w:color w:val="232323" w:themeColor="accent1"/>
                <w:sz w:val="20"/>
                <w:szCs w:val="20"/>
              </w:rPr>
              <w:t>lt majutusteenuse osutamisega kaasnevate kulude kandmist</w:t>
            </w:r>
          </w:p>
        </w:tc>
        <w:tc>
          <w:tcPr>
            <w:tcW w:w="1440" w:type="dxa"/>
          </w:tcPr>
          <w:p w14:paraId="08096197" w14:textId="0FCC32A6" w:rsidR="004974B9" w:rsidRPr="008C60E5" w:rsidRDefault="00F446EA" w:rsidP="288A3578">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Pr>
                <w:rFonts w:asciiTheme="minorBidi" w:hAnsiTheme="minorBidi"/>
                <w:color w:val="232323" w:themeColor="accent1"/>
                <w:sz w:val="20"/>
                <w:szCs w:val="20"/>
              </w:rPr>
              <w:t>JDM</w:t>
            </w:r>
          </w:p>
        </w:tc>
      </w:tr>
      <w:tr w:rsidR="00857E6D" w14:paraId="5872741D" w14:textId="77777777" w:rsidTr="00527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4" w:type="dxa"/>
            <w:gridSpan w:val="4"/>
            <w:shd w:val="clear" w:color="auto" w:fill="E6E6E6" w:themeFill="accent3"/>
          </w:tcPr>
          <w:p w14:paraId="5263C467" w14:textId="77777777" w:rsidR="004974B9" w:rsidRPr="008C60E5" w:rsidRDefault="004974B9" w:rsidP="00857E6D">
            <w:pPr>
              <w:pStyle w:val="Heading3"/>
              <w:numPr>
                <w:ilvl w:val="0"/>
                <w:numId w:val="0"/>
              </w:numPr>
              <w:spacing w:before="60" w:after="60" w:line="240" w:lineRule="auto"/>
              <w:ind w:left="157"/>
              <w:rPr>
                <w:rFonts w:asciiTheme="minorBidi" w:hAnsiTheme="minorBidi" w:cstheme="minorBidi"/>
                <w:color w:val="232323" w:themeColor="text1"/>
                <w:sz w:val="20"/>
                <w:szCs w:val="20"/>
              </w:rPr>
            </w:pPr>
            <w:bookmarkStart w:id="28" w:name="_Toc202215891"/>
            <w:bookmarkStart w:id="29" w:name="_Toc206438623"/>
            <w:bookmarkStart w:id="30" w:name="_Toc208989851"/>
            <w:bookmarkStart w:id="31" w:name="_Toc208991569"/>
            <w:r w:rsidRPr="008C60E5">
              <w:rPr>
                <w:rFonts w:asciiTheme="minorBidi" w:hAnsiTheme="minorBidi" w:cstheme="minorBidi"/>
                <w:color w:val="232323" w:themeColor="text1"/>
                <w:sz w:val="20"/>
                <w:szCs w:val="20"/>
              </w:rPr>
              <w:t>Planeeringud ja korrad</w:t>
            </w:r>
            <w:bookmarkEnd w:id="28"/>
            <w:bookmarkEnd w:id="29"/>
            <w:bookmarkEnd w:id="30"/>
            <w:bookmarkEnd w:id="31"/>
          </w:p>
        </w:tc>
      </w:tr>
      <w:tr w:rsidR="006B1E5D" w14:paraId="34BA24A1" w14:textId="77777777" w:rsidTr="00527CAD">
        <w:trPr>
          <w:gridAfter w:val="1"/>
          <w:wAfter w:w="19" w:type="dxa"/>
        </w:trPr>
        <w:tc>
          <w:tcPr>
            <w:cnfStyle w:val="001000000000" w:firstRow="0" w:lastRow="0" w:firstColumn="1" w:lastColumn="0" w:oddVBand="0" w:evenVBand="0" w:oddHBand="0" w:evenHBand="0" w:firstRowFirstColumn="0" w:firstRowLastColumn="0" w:lastRowFirstColumn="0" w:lastRowLastColumn="0"/>
            <w:tcW w:w="3055" w:type="dxa"/>
          </w:tcPr>
          <w:p w14:paraId="39DD6E6D" w14:textId="6BF55516" w:rsidR="004974B9" w:rsidRPr="008C60E5" w:rsidRDefault="153E70BC" w:rsidP="06639471">
            <w:pPr>
              <w:spacing w:before="60" w:after="60" w:line="240" w:lineRule="auto"/>
              <w:ind w:left="157"/>
              <w:rPr>
                <w:rFonts w:asciiTheme="minorBidi" w:hAnsiTheme="minorBidi"/>
                <w:color w:val="232323" w:themeColor="text1"/>
                <w:sz w:val="20"/>
                <w:szCs w:val="20"/>
              </w:rPr>
            </w:pPr>
            <w:r w:rsidRPr="06639471">
              <w:rPr>
                <w:rFonts w:asciiTheme="minorBidi" w:hAnsiTheme="minorBidi"/>
                <w:color w:val="232323" w:themeColor="accent1"/>
                <w:sz w:val="20"/>
                <w:szCs w:val="20"/>
              </w:rPr>
              <w:t xml:space="preserve">KOV-del, kellel on tekkinud või </w:t>
            </w:r>
            <w:r w:rsidR="73BD10DD" w:rsidRPr="06639471">
              <w:rPr>
                <w:rFonts w:asciiTheme="minorBidi" w:hAnsiTheme="minorBidi"/>
                <w:color w:val="232323" w:themeColor="accent1"/>
                <w:sz w:val="20"/>
                <w:szCs w:val="20"/>
              </w:rPr>
              <w:t>tekib</w:t>
            </w:r>
            <w:r w:rsidRPr="06639471">
              <w:rPr>
                <w:rFonts w:asciiTheme="minorBidi" w:hAnsiTheme="minorBidi"/>
                <w:color w:val="232323" w:themeColor="accent1"/>
                <w:sz w:val="20"/>
                <w:szCs w:val="20"/>
              </w:rPr>
              <w:t xml:space="preserve"> vajadus suunata ruumilist arengut või saavutada ja hoida tasakaalu eluruumide ja majutusruumide vahel</w:t>
            </w:r>
            <w:r w:rsidR="45CB9A45" w:rsidRPr="06639471">
              <w:rPr>
                <w:rFonts w:asciiTheme="minorBidi" w:hAnsiTheme="minorBidi"/>
                <w:color w:val="232323" w:themeColor="accent1"/>
                <w:sz w:val="20"/>
                <w:szCs w:val="20"/>
              </w:rPr>
              <w:t>,</w:t>
            </w:r>
            <w:r w:rsidRPr="06639471">
              <w:rPr>
                <w:rFonts w:asciiTheme="minorBidi" w:hAnsiTheme="minorBidi"/>
                <w:color w:val="232323" w:themeColor="accent1"/>
                <w:sz w:val="20"/>
                <w:szCs w:val="20"/>
              </w:rPr>
              <w:t xml:space="preserve"> kasutada planeeringute ja kaitsekordade kaudu olukorra reguleerimist</w:t>
            </w:r>
            <w:r w:rsidR="0DAD3C4C" w:rsidRPr="36FB6A70">
              <w:rPr>
                <w:rFonts w:asciiTheme="minorBidi" w:hAnsiTheme="minorBidi"/>
                <w:color w:val="232323" w:themeColor="accent1"/>
                <w:sz w:val="20"/>
                <w:szCs w:val="20"/>
              </w:rPr>
              <w:t xml:space="preserve"> ning rakendada kasutusteatise menetlust </w:t>
            </w:r>
          </w:p>
        </w:tc>
        <w:tc>
          <w:tcPr>
            <w:tcW w:w="5400" w:type="dxa"/>
          </w:tcPr>
          <w:p w14:paraId="0C9BC3A0" w14:textId="27BFB88A" w:rsidR="39EB471D" w:rsidRPr="001105FE" w:rsidRDefault="067EE6D5" w:rsidP="1688D34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232323" w:themeColor="accent1"/>
                <w:sz w:val="20"/>
                <w:szCs w:val="20"/>
              </w:rPr>
            </w:pPr>
            <w:r w:rsidRPr="1688D34F">
              <w:rPr>
                <w:rFonts w:asciiTheme="minorBidi" w:eastAsiaTheme="minorEastAsia" w:hAnsiTheme="minorBidi"/>
                <w:color w:val="232323" w:themeColor="accent1"/>
                <w:sz w:val="20"/>
                <w:szCs w:val="20"/>
                <w:lang w:val="et"/>
              </w:rPr>
              <w:t>Kaaluda</w:t>
            </w:r>
            <w:r w:rsidR="57168420" w:rsidRPr="1688D34F">
              <w:rPr>
                <w:rFonts w:asciiTheme="minorBidi" w:eastAsiaTheme="minorEastAsia" w:hAnsiTheme="minorBidi"/>
                <w:color w:val="232323" w:themeColor="accent1"/>
                <w:sz w:val="20"/>
                <w:szCs w:val="20"/>
                <w:lang w:val="et"/>
              </w:rPr>
              <w:t xml:space="preserve"> üld</w:t>
            </w:r>
            <w:r w:rsidR="6B754C98" w:rsidRPr="1688D34F">
              <w:rPr>
                <w:rFonts w:asciiTheme="minorBidi" w:eastAsiaTheme="minorEastAsia" w:hAnsiTheme="minorBidi"/>
                <w:color w:val="232323" w:themeColor="accent1"/>
                <w:sz w:val="20"/>
                <w:szCs w:val="20"/>
                <w:lang w:val="et"/>
              </w:rPr>
              <w:t>- ja detailplaneeringute</w:t>
            </w:r>
            <w:r w:rsidR="3A7BCC0F" w:rsidRPr="1688D34F">
              <w:rPr>
                <w:rFonts w:asciiTheme="minorBidi" w:eastAsiaTheme="minorEastAsia" w:hAnsiTheme="minorBidi"/>
                <w:color w:val="232323" w:themeColor="accent1"/>
                <w:sz w:val="20"/>
                <w:szCs w:val="20"/>
                <w:lang w:val="et"/>
              </w:rPr>
              <w:t>s</w:t>
            </w:r>
            <w:r w:rsidR="6B754C98" w:rsidRPr="1688D34F">
              <w:rPr>
                <w:rFonts w:asciiTheme="minorBidi" w:eastAsiaTheme="minorEastAsia" w:hAnsiTheme="minorBidi"/>
                <w:color w:val="232323" w:themeColor="accent1"/>
                <w:sz w:val="20"/>
                <w:szCs w:val="20"/>
                <w:lang w:val="et"/>
              </w:rPr>
              <w:t xml:space="preserve"> </w:t>
            </w:r>
            <w:r w:rsidR="57168420" w:rsidRPr="1688D34F">
              <w:rPr>
                <w:rFonts w:asciiTheme="minorBidi" w:eastAsiaTheme="minorEastAsia" w:hAnsiTheme="minorBidi"/>
                <w:color w:val="232323" w:themeColor="accent1"/>
                <w:sz w:val="20"/>
                <w:szCs w:val="20"/>
                <w:lang w:val="et"/>
              </w:rPr>
              <w:t>majutusteenuse piiramise võimalust ja otstarbekust</w:t>
            </w:r>
            <w:r w:rsidR="6D1A58A7" w:rsidRPr="1688D34F">
              <w:rPr>
                <w:rFonts w:asciiTheme="minorBidi" w:eastAsiaTheme="minorEastAsia" w:hAnsiTheme="minorBidi"/>
                <w:color w:val="232323" w:themeColor="accent1"/>
                <w:sz w:val="20"/>
                <w:szCs w:val="20"/>
                <w:lang w:val="et"/>
              </w:rPr>
              <w:t>,</w:t>
            </w:r>
            <w:r w:rsidR="57168420" w:rsidRPr="1688D34F">
              <w:rPr>
                <w:rFonts w:asciiTheme="minorBidi" w:eastAsiaTheme="minorEastAsia" w:hAnsiTheme="minorBidi"/>
                <w:color w:val="232323" w:themeColor="accent1"/>
                <w:sz w:val="20"/>
                <w:szCs w:val="20"/>
                <w:lang w:val="et"/>
              </w:rPr>
              <w:t xml:space="preserve"> sh konkreetsetes piirkondades</w:t>
            </w:r>
            <w:r w:rsidR="09DC4BDE" w:rsidRPr="1688D34F">
              <w:rPr>
                <w:rFonts w:asciiTheme="minorBidi" w:eastAsiaTheme="minorEastAsia" w:hAnsiTheme="minorBidi"/>
                <w:color w:val="232323" w:themeColor="accent1"/>
                <w:sz w:val="20"/>
                <w:szCs w:val="20"/>
                <w:lang w:val="et"/>
              </w:rPr>
              <w:t xml:space="preserve"> </w:t>
            </w:r>
            <w:r w:rsidR="57168420" w:rsidRPr="1688D34F">
              <w:rPr>
                <w:rFonts w:asciiTheme="minorBidi" w:eastAsiaTheme="minorEastAsia" w:hAnsiTheme="minorBidi"/>
                <w:color w:val="232323" w:themeColor="accent1"/>
                <w:sz w:val="20"/>
                <w:szCs w:val="20"/>
                <w:lang w:val="et"/>
              </w:rPr>
              <w:t xml:space="preserve">hoonete </w:t>
            </w:r>
            <w:r w:rsidR="676164EE" w:rsidRPr="1688D34F">
              <w:rPr>
                <w:rFonts w:asciiTheme="minorBidi" w:eastAsiaTheme="minorEastAsia" w:hAnsiTheme="minorBidi"/>
                <w:color w:val="232323" w:themeColor="accent1"/>
                <w:sz w:val="20"/>
                <w:szCs w:val="20"/>
                <w:lang w:val="et"/>
              </w:rPr>
              <w:t xml:space="preserve">ja kruntide </w:t>
            </w:r>
            <w:r w:rsidR="57168420" w:rsidRPr="1688D34F">
              <w:rPr>
                <w:rFonts w:asciiTheme="minorBidi" w:eastAsiaTheme="minorEastAsia" w:hAnsiTheme="minorBidi"/>
                <w:color w:val="232323" w:themeColor="accent1"/>
                <w:sz w:val="20"/>
                <w:szCs w:val="20"/>
                <w:lang w:val="et"/>
              </w:rPr>
              <w:t>kasutuse suunamiseks</w:t>
            </w:r>
            <w:r w:rsidR="000E369B">
              <w:rPr>
                <w:rFonts w:asciiTheme="minorBidi" w:eastAsiaTheme="minorEastAsia" w:hAnsiTheme="minorBidi"/>
                <w:color w:val="232323" w:themeColor="accent1"/>
                <w:sz w:val="20"/>
                <w:szCs w:val="20"/>
                <w:lang w:val="et"/>
              </w:rPr>
              <w:t>.</w:t>
            </w:r>
          </w:p>
          <w:p w14:paraId="33F8CEDB" w14:textId="1E765524" w:rsidR="008A2A29" w:rsidRPr="001105FE" w:rsidRDefault="007E125F" w:rsidP="06639471">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232323" w:themeColor="accent1"/>
                <w:sz w:val="20"/>
                <w:szCs w:val="20"/>
              </w:rPr>
            </w:pPr>
            <w:r>
              <w:rPr>
                <w:rFonts w:asciiTheme="minorBidi" w:eastAsiaTheme="minorEastAsia" w:hAnsiTheme="minorBidi"/>
                <w:color w:val="232323" w:themeColor="accent1"/>
                <w:sz w:val="20"/>
                <w:szCs w:val="20"/>
              </w:rPr>
              <w:t>Kaaluda vajadusel muinsuskaitsealade</w:t>
            </w:r>
            <w:r w:rsidR="153E70BC" w:rsidRPr="001105FE">
              <w:rPr>
                <w:rFonts w:asciiTheme="minorBidi" w:eastAsiaTheme="minorEastAsia" w:hAnsiTheme="minorBidi"/>
                <w:color w:val="232323" w:themeColor="accent1"/>
                <w:sz w:val="20"/>
                <w:szCs w:val="20"/>
              </w:rPr>
              <w:t xml:space="preserve"> kaitsekordadesse lisada </w:t>
            </w:r>
            <w:r>
              <w:rPr>
                <w:rFonts w:asciiTheme="minorBidi" w:eastAsiaTheme="minorEastAsia" w:hAnsiTheme="minorBidi"/>
                <w:color w:val="232323" w:themeColor="accent1"/>
                <w:sz w:val="20"/>
                <w:szCs w:val="20"/>
              </w:rPr>
              <w:t>piirangud majutusteenuse osutamisele elamutes</w:t>
            </w:r>
            <w:r w:rsidR="000E369B">
              <w:rPr>
                <w:rFonts w:asciiTheme="minorBidi" w:eastAsiaTheme="minorEastAsia" w:hAnsiTheme="minorBidi"/>
                <w:color w:val="232323" w:themeColor="accent1"/>
                <w:sz w:val="20"/>
                <w:szCs w:val="20"/>
              </w:rPr>
              <w:t>.</w:t>
            </w:r>
          </w:p>
          <w:p w14:paraId="36CB7CB7" w14:textId="3AF605CA" w:rsidR="004974B9" w:rsidRPr="001105FE" w:rsidRDefault="008A2A29" w:rsidP="31C7E248">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232323" w:themeColor="accent1"/>
                <w:sz w:val="20"/>
                <w:szCs w:val="20"/>
                <w:lang w:val="et"/>
              </w:rPr>
            </w:pPr>
            <w:r>
              <w:rPr>
                <w:rFonts w:asciiTheme="minorBidi" w:eastAsiaTheme="minorEastAsia" w:hAnsiTheme="minorBidi"/>
                <w:color w:val="232323" w:themeColor="accent1"/>
                <w:sz w:val="20"/>
                <w:szCs w:val="20"/>
                <w:lang w:val="et"/>
              </w:rPr>
              <w:t>K</w:t>
            </w:r>
            <w:r w:rsidR="22404605" w:rsidRPr="31C7E248">
              <w:rPr>
                <w:rFonts w:asciiTheme="minorBidi" w:eastAsiaTheme="minorEastAsia" w:hAnsiTheme="minorBidi"/>
                <w:color w:val="232323" w:themeColor="accent1"/>
                <w:sz w:val="20"/>
                <w:szCs w:val="20"/>
                <w:lang w:val="et"/>
              </w:rPr>
              <w:t xml:space="preserve">aaluda </w:t>
            </w:r>
            <w:r>
              <w:rPr>
                <w:rFonts w:asciiTheme="minorBidi" w:eastAsiaTheme="minorEastAsia" w:hAnsiTheme="minorBidi"/>
                <w:color w:val="232323" w:themeColor="accent1"/>
                <w:sz w:val="20"/>
                <w:szCs w:val="20"/>
                <w:lang w:val="et"/>
              </w:rPr>
              <w:t>EhS-i muutmist</w:t>
            </w:r>
            <w:r w:rsidR="004C3D62">
              <w:rPr>
                <w:rFonts w:asciiTheme="minorBidi" w:eastAsiaTheme="minorEastAsia" w:hAnsiTheme="minorBidi"/>
                <w:color w:val="232323" w:themeColor="accent1"/>
                <w:sz w:val="20"/>
                <w:szCs w:val="20"/>
                <w:lang w:val="et"/>
              </w:rPr>
              <w:t xml:space="preserve">, </w:t>
            </w:r>
            <w:r w:rsidR="004C3D62" w:rsidRPr="004C3D62">
              <w:rPr>
                <w:rFonts w:asciiTheme="minorBidi" w:eastAsiaTheme="minorEastAsia" w:hAnsiTheme="minorBidi"/>
                <w:color w:val="232323" w:themeColor="accent1"/>
                <w:sz w:val="20"/>
                <w:szCs w:val="20"/>
                <w:lang w:val="et"/>
              </w:rPr>
              <w:t>millega antakse KOV-</w:t>
            </w:r>
            <w:r w:rsidR="004C3D62">
              <w:rPr>
                <w:rFonts w:asciiTheme="minorBidi" w:eastAsiaTheme="minorEastAsia" w:hAnsiTheme="minorBidi"/>
                <w:color w:val="232323" w:themeColor="accent1"/>
                <w:sz w:val="20"/>
                <w:szCs w:val="20"/>
                <w:lang w:val="et"/>
              </w:rPr>
              <w:t>de</w:t>
            </w:r>
            <w:r w:rsidR="004C3D62" w:rsidRPr="004C3D62">
              <w:rPr>
                <w:rFonts w:asciiTheme="minorBidi" w:eastAsiaTheme="minorEastAsia" w:hAnsiTheme="minorBidi"/>
                <w:color w:val="232323" w:themeColor="accent1"/>
                <w:sz w:val="20"/>
                <w:szCs w:val="20"/>
                <w:lang w:val="et"/>
              </w:rPr>
              <w:t>le õigus kehtestada määrusega enda haldusüksuses eluruumide kasutusotstarbe muutmise kohustuslikud kriteeriumid</w:t>
            </w:r>
            <w:r w:rsidR="004C3D62">
              <w:rPr>
                <w:rFonts w:asciiTheme="minorBidi" w:eastAsiaTheme="minorEastAsia" w:hAnsiTheme="minorBidi"/>
                <w:color w:val="232323" w:themeColor="accent1"/>
                <w:sz w:val="20"/>
                <w:szCs w:val="20"/>
                <w:lang w:val="et"/>
              </w:rPr>
              <w:t>.</w:t>
            </w:r>
          </w:p>
        </w:tc>
        <w:tc>
          <w:tcPr>
            <w:tcW w:w="1440" w:type="dxa"/>
          </w:tcPr>
          <w:p w14:paraId="377C4043" w14:textId="61B73EEC" w:rsidR="004974B9" w:rsidRPr="001105FE" w:rsidRDefault="004974B9" w:rsidP="00857E6D">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232323" w:themeColor="accent1"/>
                <w:sz w:val="20"/>
                <w:szCs w:val="20"/>
              </w:rPr>
            </w:pPr>
            <w:r w:rsidRPr="001105FE">
              <w:rPr>
                <w:rFonts w:asciiTheme="minorBidi" w:eastAsiaTheme="minorEastAsia" w:hAnsiTheme="minorBidi"/>
                <w:color w:val="232323" w:themeColor="accent1"/>
                <w:sz w:val="20"/>
                <w:szCs w:val="20"/>
              </w:rPr>
              <w:t>KOV-d</w:t>
            </w:r>
            <w:r w:rsidR="005A25FC">
              <w:rPr>
                <w:rFonts w:asciiTheme="minorBidi" w:eastAsiaTheme="minorEastAsia" w:hAnsiTheme="minorBidi"/>
                <w:color w:val="232323" w:themeColor="accent1"/>
                <w:sz w:val="20"/>
                <w:szCs w:val="20"/>
              </w:rPr>
              <w:t xml:space="preserve">, KuM, MKA, </w:t>
            </w:r>
            <w:r w:rsidR="0094340C">
              <w:rPr>
                <w:rFonts w:asciiTheme="minorBidi" w:eastAsiaTheme="minorEastAsia" w:hAnsiTheme="minorBidi"/>
                <w:color w:val="232323" w:themeColor="accent1"/>
                <w:sz w:val="20"/>
                <w:szCs w:val="20"/>
              </w:rPr>
              <w:t>KliM, MaRu, MKM</w:t>
            </w:r>
          </w:p>
        </w:tc>
      </w:tr>
      <w:tr w:rsidR="00857E6D" w14:paraId="22A96656" w14:textId="77777777" w:rsidTr="00527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4" w:type="dxa"/>
            <w:gridSpan w:val="4"/>
            <w:shd w:val="clear" w:color="auto" w:fill="E6E6E6" w:themeFill="accent3"/>
          </w:tcPr>
          <w:p w14:paraId="641C099B" w14:textId="77777777" w:rsidR="004974B9" w:rsidRPr="008C60E5" w:rsidRDefault="004974B9" w:rsidP="00857E6D">
            <w:pPr>
              <w:spacing w:before="60" w:after="60" w:line="240" w:lineRule="auto"/>
              <w:rPr>
                <w:rFonts w:asciiTheme="minorBidi" w:hAnsiTheme="minorBidi"/>
                <w:color w:val="232323" w:themeColor="text1"/>
                <w:sz w:val="20"/>
                <w:szCs w:val="20"/>
              </w:rPr>
            </w:pPr>
            <w:r w:rsidRPr="008C60E5">
              <w:rPr>
                <w:rFonts w:asciiTheme="minorBidi" w:eastAsiaTheme="majorEastAsia" w:hAnsiTheme="minorBidi"/>
                <w:color w:val="232323" w:themeColor="text1"/>
                <w:sz w:val="20"/>
                <w:szCs w:val="20"/>
              </w:rPr>
              <w:t>Stiimulite tekitamine</w:t>
            </w:r>
          </w:p>
        </w:tc>
      </w:tr>
      <w:tr w:rsidR="006B1E5D" w14:paraId="65C871AA" w14:textId="77777777" w:rsidTr="00527CAD">
        <w:trPr>
          <w:gridAfter w:val="1"/>
          <w:wAfter w:w="19" w:type="dxa"/>
        </w:trPr>
        <w:tc>
          <w:tcPr>
            <w:cnfStyle w:val="001000000000" w:firstRow="0" w:lastRow="0" w:firstColumn="1" w:lastColumn="0" w:oddVBand="0" w:evenVBand="0" w:oddHBand="0" w:evenHBand="0" w:firstRowFirstColumn="0" w:firstRowLastColumn="0" w:lastRowFirstColumn="0" w:lastRowLastColumn="0"/>
            <w:tcW w:w="3055" w:type="dxa"/>
          </w:tcPr>
          <w:p w14:paraId="57C7C1B7" w14:textId="6F0ADDFD" w:rsidR="004974B9" w:rsidRPr="008C60E5" w:rsidRDefault="153E70BC" w:rsidP="06639471">
            <w:pPr>
              <w:spacing w:before="60" w:after="60" w:line="240" w:lineRule="auto"/>
              <w:ind w:left="157"/>
              <w:rPr>
                <w:rFonts w:asciiTheme="minorBidi" w:hAnsiTheme="minorBidi"/>
                <w:color w:val="232323" w:themeColor="text1"/>
                <w:sz w:val="20"/>
                <w:szCs w:val="20"/>
              </w:rPr>
            </w:pPr>
            <w:r w:rsidRPr="06639471">
              <w:rPr>
                <w:rFonts w:asciiTheme="minorBidi" w:hAnsiTheme="minorBidi"/>
                <w:color w:val="232323" w:themeColor="accent1"/>
                <w:sz w:val="20"/>
                <w:szCs w:val="20"/>
              </w:rPr>
              <w:t>KOV-del, kelle territooriumil ilmnevad tõsised lühiajalise üürimisega kaasnevad probleemid, analüüsida stiimulite rakendamise võimalusi</w:t>
            </w:r>
          </w:p>
        </w:tc>
        <w:tc>
          <w:tcPr>
            <w:tcW w:w="5400" w:type="dxa"/>
          </w:tcPr>
          <w:p w14:paraId="255F6678" w14:textId="79330327" w:rsidR="004974B9" w:rsidRPr="008C60E5" w:rsidRDefault="70DD744D" w:rsidP="288A3578">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288A3578">
              <w:rPr>
                <w:rFonts w:asciiTheme="minorBidi" w:hAnsiTheme="minorBidi"/>
                <w:color w:val="232323" w:themeColor="accent1"/>
                <w:sz w:val="20"/>
                <w:szCs w:val="20"/>
              </w:rPr>
              <w:t xml:space="preserve">Luua </w:t>
            </w:r>
            <w:r w:rsidR="57ED1745" w:rsidRPr="288A3578">
              <w:rPr>
                <w:rFonts w:asciiTheme="minorBidi" w:hAnsiTheme="minorBidi"/>
                <w:color w:val="232323" w:themeColor="accent1"/>
                <w:sz w:val="20"/>
                <w:szCs w:val="20"/>
              </w:rPr>
              <w:t xml:space="preserve">korteriühistutele </w:t>
            </w:r>
            <w:r w:rsidR="00541157">
              <w:rPr>
                <w:rFonts w:asciiTheme="minorBidi" w:hAnsiTheme="minorBidi"/>
                <w:color w:val="232323" w:themeColor="accent1"/>
                <w:sz w:val="20"/>
                <w:szCs w:val="20"/>
              </w:rPr>
              <w:t xml:space="preserve">ja </w:t>
            </w:r>
            <w:r w:rsidR="009E7CAC">
              <w:rPr>
                <w:rFonts w:asciiTheme="minorBidi" w:hAnsiTheme="minorBidi"/>
                <w:color w:val="232323" w:themeColor="accent1"/>
                <w:sz w:val="20"/>
                <w:szCs w:val="20"/>
              </w:rPr>
              <w:t xml:space="preserve">kinnisvara </w:t>
            </w:r>
            <w:r w:rsidR="00541157" w:rsidRPr="1D793FCD">
              <w:rPr>
                <w:rFonts w:asciiTheme="minorBidi" w:hAnsiTheme="minorBidi"/>
                <w:color w:val="232323" w:themeColor="accent1"/>
                <w:sz w:val="20"/>
                <w:szCs w:val="20"/>
              </w:rPr>
              <w:t>arend</w:t>
            </w:r>
            <w:r w:rsidR="0F621ACD" w:rsidRPr="1D793FCD">
              <w:rPr>
                <w:rFonts w:asciiTheme="minorBidi" w:hAnsiTheme="minorBidi"/>
                <w:color w:val="232323" w:themeColor="accent1"/>
                <w:sz w:val="20"/>
                <w:szCs w:val="20"/>
              </w:rPr>
              <w:t>a</w:t>
            </w:r>
            <w:r w:rsidR="00541157" w:rsidRPr="1D793FCD">
              <w:rPr>
                <w:rFonts w:asciiTheme="minorBidi" w:hAnsiTheme="minorBidi"/>
                <w:color w:val="232323" w:themeColor="accent1"/>
                <w:sz w:val="20"/>
                <w:szCs w:val="20"/>
              </w:rPr>
              <w:t>jatale</w:t>
            </w:r>
            <w:r w:rsidR="00541157">
              <w:rPr>
                <w:rFonts w:asciiTheme="minorBidi" w:hAnsiTheme="minorBidi"/>
                <w:color w:val="232323" w:themeColor="accent1"/>
                <w:sz w:val="20"/>
                <w:szCs w:val="20"/>
              </w:rPr>
              <w:t xml:space="preserve"> </w:t>
            </w:r>
            <w:r w:rsidRPr="288A3578">
              <w:rPr>
                <w:rFonts w:asciiTheme="minorBidi" w:hAnsiTheme="minorBidi"/>
                <w:color w:val="232323" w:themeColor="accent1"/>
                <w:sz w:val="20"/>
                <w:szCs w:val="20"/>
              </w:rPr>
              <w:t xml:space="preserve">rahalised stiimulid, mille kohaselt toetatakse ühistuid rahaliselt (nt renoveerimistoetus, kortermaja naabruskonda investeerimine jne) lühiajalist üürimist </w:t>
            </w:r>
            <w:r w:rsidR="002E6B19">
              <w:rPr>
                <w:rFonts w:asciiTheme="minorBidi" w:hAnsiTheme="minorBidi"/>
                <w:color w:val="232323" w:themeColor="accent1"/>
                <w:sz w:val="20"/>
                <w:szCs w:val="20"/>
              </w:rPr>
              <w:t>piiravate</w:t>
            </w:r>
            <w:r w:rsidR="002E6B19" w:rsidRPr="288A3578">
              <w:rPr>
                <w:rFonts w:asciiTheme="minorBidi" w:hAnsiTheme="minorBidi"/>
                <w:color w:val="232323" w:themeColor="accent1"/>
                <w:sz w:val="20"/>
                <w:szCs w:val="20"/>
              </w:rPr>
              <w:t xml:space="preserve"> </w:t>
            </w:r>
            <w:r w:rsidRPr="288A3578">
              <w:rPr>
                <w:rFonts w:asciiTheme="minorBidi" w:hAnsiTheme="minorBidi"/>
                <w:color w:val="232323" w:themeColor="accent1"/>
                <w:sz w:val="20"/>
                <w:szCs w:val="20"/>
              </w:rPr>
              <w:t>tingimuste täitmisel</w:t>
            </w:r>
          </w:p>
        </w:tc>
        <w:tc>
          <w:tcPr>
            <w:tcW w:w="1440" w:type="dxa"/>
          </w:tcPr>
          <w:p w14:paraId="57EACD07" w14:textId="77777777" w:rsidR="004974B9" w:rsidRPr="008C60E5" w:rsidRDefault="004974B9" w:rsidP="00857E6D">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008C60E5">
              <w:rPr>
                <w:rFonts w:asciiTheme="minorBidi" w:hAnsiTheme="minorBidi"/>
                <w:color w:val="232323" w:themeColor="text1"/>
                <w:sz w:val="20"/>
                <w:szCs w:val="20"/>
              </w:rPr>
              <w:t>KOV-d</w:t>
            </w:r>
          </w:p>
        </w:tc>
      </w:tr>
      <w:tr w:rsidR="00857E6D" w14:paraId="5DCDB824" w14:textId="77777777" w:rsidTr="00527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4" w:type="dxa"/>
            <w:gridSpan w:val="4"/>
            <w:shd w:val="clear" w:color="auto" w:fill="E6E6E6" w:themeFill="accent3"/>
          </w:tcPr>
          <w:p w14:paraId="55BD64B8" w14:textId="7D12CF6D" w:rsidR="004974B9" w:rsidRPr="008C60E5" w:rsidRDefault="767DA86D" w:rsidP="288A3578">
            <w:pPr>
              <w:pStyle w:val="Heading3"/>
              <w:numPr>
                <w:ilvl w:val="0"/>
                <w:numId w:val="0"/>
              </w:numPr>
              <w:spacing w:before="60" w:after="60" w:line="240" w:lineRule="auto"/>
              <w:ind w:left="504" w:hanging="504"/>
              <w:rPr>
                <w:rFonts w:asciiTheme="minorBidi" w:hAnsiTheme="minorBidi" w:cstheme="minorBidi"/>
                <w:color w:val="232323" w:themeColor="text1"/>
                <w:sz w:val="20"/>
                <w:szCs w:val="20"/>
              </w:rPr>
            </w:pPr>
            <w:r w:rsidRPr="288A3578">
              <w:rPr>
                <w:rFonts w:asciiTheme="minorBidi" w:hAnsiTheme="minorBidi" w:cstheme="minorBidi"/>
                <w:color w:val="232323" w:themeColor="accent1"/>
                <w:sz w:val="20"/>
                <w:szCs w:val="20"/>
              </w:rPr>
              <w:t xml:space="preserve"> </w:t>
            </w:r>
            <w:bookmarkStart w:id="32" w:name="_Toc202215892"/>
            <w:bookmarkStart w:id="33" w:name="_Toc206438624"/>
            <w:bookmarkStart w:id="34" w:name="_Toc208989852"/>
            <w:bookmarkStart w:id="35" w:name="_Toc208991570"/>
            <w:r w:rsidR="70DD744D" w:rsidRPr="288A3578">
              <w:rPr>
                <w:rFonts w:asciiTheme="minorBidi" w:hAnsiTheme="minorBidi" w:cstheme="minorBidi"/>
                <w:color w:val="232323" w:themeColor="accent1"/>
                <w:sz w:val="20"/>
                <w:szCs w:val="20"/>
              </w:rPr>
              <w:t>Kohalike omavalitsuste</w:t>
            </w:r>
            <w:r w:rsidR="6F007D52" w:rsidRPr="288A3578">
              <w:rPr>
                <w:rFonts w:asciiTheme="minorBidi" w:hAnsiTheme="minorBidi" w:cstheme="minorBidi"/>
                <w:color w:val="232323" w:themeColor="accent1"/>
                <w:sz w:val="20"/>
                <w:szCs w:val="20"/>
              </w:rPr>
              <w:t>le</w:t>
            </w:r>
            <w:r w:rsidR="70DD744D" w:rsidRPr="288A3578">
              <w:rPr>
                <w:rFonts w:asciiTheme="minorBidi" w:hAnsiTheme="minorBidi" w:cstheme="minorBidi"/>
                <w:color w:val="232323" w:themeColor="accent1"/>
                <w:sz w:val="20"/>
                <w:szCs w:val="20"/>
              </w:rPr>
              <w:t xml:space="preserve"> uute õiguslike võimaluste andmine</w:t>
            </w:r>
            <w:bookmarkEnd w:id="32"/>
            <w:bookmarkEnd w:id="33"/>
            <w:bookmarkEnd w:id="34"/>
            <w:bookmarkEnd w:id="35"/>
            <w:r w:rsidR="70DD744D" w:rsidRPr="288A3578">
              <w:rPr>
                <w:rFonts w:asciiTheme="minorBidi" w:hAnsiTheme="minorBidi" w:cstheme="minorBidi"/>
                <w:color w:val="232323" w:themeColor="accent1"/>
                <w:sz w:val="20"/>
                <w:szCs w:val="20"/>
              </w:rPr>
              <w:t xml:space="preserve"> </w:t>
            </w:r>
          </w:p>
        </w:tc>
      </w:tr>
      <w:tr w:rsidR="006B1E5D" w14:paraId="63DB750A" w14:textId="77777777" w:rsidTr="00527CAD">
        <w:trPr>
          <w:gridAfter w:val="1"/>
          <w:wAfter w:w="19" w:type="dxa"/>
        </w:trPr>
        <w:tc>
          <w:tcPr>
            <w:cnfStyle w:val="001000000000" w:firstRow="0" w:lastRow="0" w:firstColumn="1" w:lastColumn="0" w:oddVBand="0" w:evenVBand="0" w:oddHBand="0" w:evenHBand="0" w:firstRowFirstColumn="0" w:firstRowLastColumn="0" w:lastRowFirstColumn="0" w:lastRowLastColumn="0"/>
            <w:tcW w:w="3055" w:type="dxa"/>
          </w:tcPr>
          <w:p w14:paraId="381E19FD" w14:textId="1AA6365A" w:rsidR="004974B9" w:rsidRPr="008C60E5" w:rsidRDefault="153E70BC" w:rsidP="06639471">
            <w:pPr>
              <w:spacing w:before="60" w:after="60" w:line="240" w:lineRule="auto"/>
              <w:ind w:left="157"/>
              <w:rPr>
                <w:rFonts w:asciiTheme="minorBidi" w:hAnsiTheme="minorBidi"/>
                <w:color w:val="232323" w:themeColor="text1"/>
                <w:sz w:val="20"/>
                <w:szCs w:val="20"/>
              </w:rPr>
            </w:pPr>
            <w:r w:rsidRPr="06639471">
              <w:rPr>
                <w:rFonts w:asciiTheme="minorBidi" w:hAnsiTheme="minorBidi"/>
                <w:color w:val="232323" w:themeColor="accent1"/>
                <w:sz w:val="20"/>
                <w:szCs w:val="20"/>
              </w:rPr>
              <w:t>Luua KOV-dele õiguslik alus kohalikul tasandil regulatsioonide kehtestamiseks lühiajalise üüri turu teenuse osutamise suunamiseks kohalike elanike huvide kaitsmisel ja omavalitsusele seatud ülesannete täitmisel</w:t>
            </w:r>
          </w:p>
        </w:tc>
        <w:tc>
          <w:tcPr>
            <w:tcW w:w="5400" w:type="dxa"/>
          </w:tcPr>
          <w:p w14:paraId="75D7E1BD" w14:textId="1B4514EA" w:rsidR="004974B9" w:rsidRPr="008C60E5" w:rsidRDefault="004974B9">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008C60E5">
              <w:rPr>
                <w:rFonts w:asciiTheme="minorBidi" w:hAnsiTheme="minorBidi"/>
                <w:color w:val="232323" w:themeColor="text1"/>
                <w:sz w:val="20"/>
                <w:szCs w:val="20"/>
              </w:rPr>
              <w:t>Kehtestada KOV-dele õigus rakendada lühiajalise üüri teenuse osutajatele teavitamise või registreerimise kohustus</w:t>
            </w:r>
            <w:r w:rsidR="000E369B">
              <w:rPr>
                <w:rFonts w:asciiTheme="minorBidi" w:hAnsiTheme="minorBidi"/>
                <w:color w:val="232323" w:themeColor="text1"/>
                <w:sz w:val="20"/>
                <w:szCs w:val="20"/>
              </w:rPr>
              <w:t>.</w:t>
            </w:r>
          </w:p>
          <w:p w14:paraId="7E8CCE29" w14:textId="77777777" w:rsidR="000E369B" w:rsidRDefault="004974B9" w:rsidP="000E369B">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008C60E5">
              <w:rPr>
                <w:rFonts w:asciiTheme="minorBidi" w:hAnsiTheme="minorBidi"/>
                <w:color w:val="232323" w:themeColor="text1"/>
                <w:sz w:val="20"/>
                <w:szCs w:val="20"/>
              </w:rPr>
              <w:t>Lisada kohalike maksude seadusesse võimalus kehtestada eluruumides majutusteenuse osutamise eest tasu</w:t>
            </w:r>
            <w:r w:rsidR="000E369B">
              <w:rPr>
                <w:rFonts w:asciiTheme="minorBidi" w:hAnsiTheme="minorBidi"/>
                <w:color w:val="232323" w:themeColor="text1"/>
                <w:sz w:val="20"/>
                <w:szCs w:val="20"/>
              </w:rPr>
              <w:t>.</w:t>
            </w:r>
          </w:p>
          <w:p w14:paraId="5F951EA7" w14:textId="19E31948" w:rsidR="004974B9" w:rsidRPr="008C60E5" w:rsidRDefault="0970CD9E" w:rsidP="1688D34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1688D34F">
              <w:rPr>
                <w:rFonts w:asciiTheme="minorBidi" w:hAnsiTheme="minorBidi"/>
                <w:color w:val="232323" w:themeColor="accent1"/>
                <w:sz w:val="20"/>
                <w:szCs w:val="20"/>
              </w:rPr>
              <w:t xml:space="preserve">Kehtestada </w:t>
            </w:r>
            <w:r w:rsidR="1A5D5C9F" w:rsidRPr="1688D34F">
              <w:rPr>
                <w:rFonts w:asciiTheme="minorBidi" w:hAnsiTheme="minorBidi"/>
                <w:color w:val="232323" w:themeColor="accent1"/>
                <w:sz w:val="20"/>
                <w:szCs w:val="20"/>
              </w:rPr>
              <w:t>KOV-dele</w:t>
            </w:r>
            <w:r w:rsidR="01CAD57C" w:rsidRPr="1688D34F">
              <w:rPr>
                <w:rFonts w:asciiTheme="minorBidi" w:hAnsiTheme="minorBidi"/>
                <w:color w:val="232323" w:themeColor="accent1"/>
                <w:sz w:val="20"/>
                <w:szCs w:val="20"/>
              </w:rPr>
              <w:t xml:space="preserve"> </w:t>
            </w:r>
            <w:r w:rsidR="1A5D5C9F" w:rsidRPr="1688D34F">
              <w:rPr>
                <w:rFonts w:asciiTheme="minorBidi" w:hAnsiTheme="minorBidi"/>
                <w:color w:val="232323" w:themeColor="accent1"/>
                <w:sz w:val="20"/>
                <w:szCs w:val="20"/>
              </w:rPr>
              <w:t>õiguslikud</w:t>
            </w:r>
            <w:r w:rsidRPr="1688D34F">
              <w:rPr>
                <w:rFonts w:asciiTheme="minorBidi" w:hAnsiTheme="minorBidi"/>
                <w:color w:val="232323" w:themeColor="accent1"/>
                <w:sz w:val="20"/>
                <w:szCs w:val="20"/>
              </w:rPr>
              <w:t xml:space="preserve"> </w:t>
            </w:r>
            <w:r w:rsidR="1A5D5C9F" w:rsidRPr="1688D34F">
              <w:rPr>
                <w:rFonts w:asciiTheme="minorBidi" w:hAnsiTheme="minorBidi"/>
                <w:color w:val="232323" w:themeColor="accent1"/>
                <w:sz w:val="20"/>
                <w:szCs w:val="20"/>
              </w:rPr>
              <w:t>võimalused</w:t>
            </w:r>
            <w:r w:rsidRPr="1688D34F">
              <w:rPr>
                <w:rFonts w:asciiTheme="minorBidi" w:hAnsiTheme="minorBidi"/>
                <w:color w:val="232323" w:themeColor="accent1"/>
                <w:sz w:val="20"/>
                <w:szCs w:val="20"/>
              </w:rPr>
              <w:t xml:space="preserve"> anda piirkondlikke suuniseid või </w:t>
            </w:r>
            <w:r w:rsidR="40A33EAB" w:rsidRPr="1688D34F">
              <w:rPr>
                <w:rFonts w:asciiTheme="minorBidi" w:hAnsiTheme="minorBidi"/>
                <w:color w:val="232323" w:themeColor="accent1"/>
                <w:sz w:val="20"/>
                <w:szCs w:val="20"/>
              </w:rPr>
              <w:t xml:space="preserve">rakendada </w:t>
            </w:r>
            <w:r w:rsidRPr="1688D34F">
              <w:rPr>
                <w:rFonts w:asciiTheme="minorBidi" w:hAnsiTheme="minorBidi"/>
                <w:color w:val="232323" w:themeColor="accent1"/>
                <w:sz w:val="20"/>
                <w:szCs w:val="20"/>
              </w:rPr>
              <w:t>piiranguid eluruumides majutusteenuse osutamisel</w:t>
            </w:r>
            <w:r w:rsidR="000E369B">
              <w:rPr>
                <w:rFonts w:asciiTheme="minorBidi" w:hAnsiTheme="minorBidi"/>
                <w:color w:val="232323" w:themeColor="accent1"/>
                <w:sz w:val="20"/>
                <w:szCs w:val="20"/>
              </w:rPr>
              <w:t>.</w:t>
            </w:r>
          </w:p>
          <w:p w14:paraId="1DB62B62" w14:textId="7598AE98" w:rsidR="004974B9" w:rsidRPr="008C60E5" w:rsidRDefault="0377B620" w:rsidP="06639471">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288A3578">
              <w:rPr>
                <w:rFonts w:asciiTheme="minorBidi" w:hAnsiTheme="minorBidi"/>
                <w:color w:val="232323" w:themeColor="accent1"/>
                <w:sz w:val="20"/>
                <w:szCs w:val="20"/>
              </w:rPr>
              <w:t>Anda piirangute või tasu kehtestamise õigusega koos KOV-ile õigus rakendada soodsamaid tingimusi nendele, kes os</w:t>
            </w:r>
            <w:r w:rsidR="00A95D89">
              <w:rPr>
                <w:rFonts w:asciiTheme="minorBidi" w:hAnsiTheme="minorBidi"/>
                <w:color w:val="232323" w:themeColor="accent1"/>
                <w:sz w:val="20"/>
                <w:szCs w:val="20"/>
              </w:rPr>
              <w:t>u</w:t>
            </w:r>
            <w:r w:rsidRPr="288A3578">
              <w:rPr>
                <w:rFonts w:asciiTheme="minorBidi" w:hAnsiTheme="minorBidi"/>
                <w:color w:val="232323" w:themeColor="accent1"/>
                <w:sz w:val="20"/>
                <w:szCs w:val="20"/>
              </w:rPr>
              <w:t>tavad teenust enda põhielukohas</w:t>
            </w:r>
            <w:r w:rsidR="000E369B">
              <w:rPr>
                <w:rFonts w:asciiTheme="minorBidi" w:hAnsiTheme="minorBidi"/>
                <w:color w:val="232323" w:themeColor="accent1"/>
                <w:sz w:val="20"/>
                <w:szCs w:val="20"/>
              </w:rPr>
              <w:t>.</w:t>
            </w:r>
          </w:p>
          <w:p w14:paraId="70AB05F9" w14:textId="77777777" w:rsidR="004974B9" w:rsidRPr="008C60E5" w:rsidRDefault="004974B9">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008C60E5">
              <w:rPr>
                <w:rFonts w:asciiTheme="minorBidi" w:hAnsiTheme="minorBidi"/>
                <w:color w:val="232323" w:themeColor="text1"/>
                <w:sz w:val="20"/>
                <w:szCs w:val="20"/>
              </w:rPr>
              <w:t>Anda KOV-dele õigus laiendada maamaksuvabastust eluruumi pikaajalise välja üürimise korral</w:t>
            </w:r>
          </w:p>
        </w:tc>
        <w:tc>
          <w:tcPr>
            <w:tcW w:w="1440" w:type="dxa"/>
          </w:tcPr>
          <w:p w14:paraId="6C110436" w14:textId="7F563920" w:rsidR="004974B9" w:rsidRPr="008C60E5" w:rsidRDefault="153E70BC" w:rsidP="06639471">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rPr>
            </w:pPr>
            <w:r w:rsidRPr="06639471">
              <w:rPr>
                <w:rFonts w:asciiTheme="minorBidi" w:hAnsiTheme="minorBidi"/>
                <w:color w:val="232323" w:themeColor="accent1"/>
                <w:sz w:val="20"/>
                <w:szCs w:val="20"/>
              </w:rPr>
              <w:t>MKM, RM</w:t>
            </w:r>
            <w:r w:rsidR="00A13C6E">
              <w:rPr>
                <w:rFonts w:asciiTheme="minorBidi" w:hAnsiTheme="minorBidi"/>
                <w:color w:val="232323" w:themeColor="accent1"/>
                <w:sz w:val="20"/>
                <w:szCs w:val="20"/>
              </w:rPr>
              <w:t>, R</w:t>
            </w:r>
            <w:r w:rsidR="009F1769">
              <w:rPr>
                <w:rFonts w:asciiTheme="minorBidi" w:hAnsiTheme="minorBidi"/>
                <w:color w:val="232323" w:themeColor="accent1"/>
                <w:sz w:val="20"/>
                <w:szCs w:val="20"/>
              </w:rPr>
              <w:t>E</w:t>
            </w:r>
            <w:r w:rsidR="00A13C6E">
              <w:rPr>
                <w:rFonts w:asciiTheme="minorBidi" w:hAnsiTheme="minorBidi"/>
                <w:color w:val="232323" w:themeColor="accent1"/>
                <w:sz w:val="20"/>
                <w:szCs w:val="20"/>
              </w:rPr>
              <w:t>M</w:t>
            </w:r>
          </w:p>
        </w:tc>
      </w:tr>
    </w:tbl>
    <w:p w14:paraId="081E483B" w14:textId="0537B61E" w:rsidR="004F4DBB" w:rsidRPr="00E14EBC" w:rsidRDefault="00252FF6" w:rsidP="007813FC">
      <w:pPr>
        <w:pStyle w:val="Heading1"/>
        <w:numPr>
          <w:ilvl w:val="0"/>
          <w:numId w:val="0"/>
        </w:numPr>
        <w:ind w:left="360" w:hanging="360"/>
        <w:rPr>
          <w:rFonts w:hint="eastAsia"/>
        </w:rPr>
      </w:pPr>
      <w:r w:rsidRPr="00E14EBC">
        <w:br w:type="page"/>
      </w:r>
      <w:bookmarkStart w:id="36" w:name="_Toc197718048"/>
      <w:bookmarkStart w:id="37" w:name="_Toc208991571"/>
      <w:bookmarkEnd w:id="2"/>
      <w:r w:rsidR="00953A93" w:rsidRPr="00E14EBC">
        <w:lastRenderedPageBreak/>
        <w:t>Executive summary</w:t>
      </w:r>
      <w:bookmarkEnd w:id="36"/>
      <w:bookmarkEnd w:id="37"/>
    </w:p>
    <w:p w14:paraId="51525D31" w14:textId="05D57E84" w:rsidR="001A4A6A" w:rsidRPr="004510D0" w:rsidRDefault="001A4A6A" w:rsidP="001A4A6A">
      <w:pPr>
        <w:jc w:val="both"/>
        <w:rPr>
          <w:lang w:val="en-GB"/>
        </w:rPr>
      </w:pPr>
      <w:r w:rsidRPr="004510D0">
        <w:rPr>
          <w:lang w:val="en-GB"/>
        </w:rPr>
        <w:t xml:space="preserve">In Estonia, the socio-economic impacts of the short-term rental market have not been widely studied, and the market has not been separately regulated. </w:t>
      </w:r>
      <w:r w:rsidR="00521088" w:rsidRPr="00521088">
        <w:rPr>
          <w:lang w:val="en-GB"/>
        </w:rPr>
        <w:t>The purpose of this applied study</w:t>
      </w:r>
      <w:r w:rsidR="00FA5696">
        <w:rPr>
          <w:lang w:val="en-GB"/>
        </w:rPr>
        <w:t xml:space="preserve"> </w:t>
      </w:r>
      <w:r w:rsidR="006607C6">
        <w:rPr>
          <w:lang w:val="en-GB"/>
        </w:rPr>
        <w:t xml:space="preserve">is </w:t>
      </w:r>
      <w:r w:rsidRPr="004510D0">
        <w:rPr>
          <w:lang w:val="en-GB"/>
        </w:rPr>
        <w:t>to provide an overview of the situation i</w:t>
      </w:r>
      <w:r w:rsidR="00B01D93">
        <w:rPr>
          <w:lang w:val="en-GB"/>
        </w:rPr>
        <w:t>n</w:t>
      </w:r>
      <w:r w:rsidRPr="004510D0">
        <w:rPr>
          <w:lang w:val="en-GB"/>
        </w:rPr>
        <w:t xml:space="preserve"> the short-term rental services market, </w:t>
      </w:r>
      <w:r w:rsidR="00FA5696">
        <w:rPr>
          <w:lang w:val="en-GB"/>
        </w:rPr>
        <w:t xml:space="preserve">to </w:t>
      </w:r>
      <w:r w:rsidRPr="004510D0">
        <w:rPr>
          <w:lang w:val="en-GB"/>
        </w:rPr>
        <w:t xml:space="preserve">assess </w:t>
      </w:r>
      <w:r w:rsidR="00FA5696">
        <w:rPr>
          <w:lang w:val="en-GB"/>
        </w:rPr>
        <w:t>its</w:t>
      </w:r>
      <w:r w:rsidR="00FA5696" w:rsidRPr="004510D0">
        <w:rPr>
          <w:lang w:val="en-GB"/>
        </w:rPr>
        <w:t xml:space="preserve"> </w:t>
      </w:r>
      <w:r w:rsidRPr="004510D0">
        <w:rPr>
          <w:lang w:val="en-GB"/>
        </w:rPr>
        <w:t>socio-economic impacts of the market</w:t>
      </w:r>
      <w:r w:rsidR="00303002">
        <w:rPr>
          <w:lang w:val="en-GB"/>
        </w:rPr>
        <w:t xml:space="preserve">, and </w:t>
      </w:r>
      <w:r w:rsidR="00FA5696">
        <w:rPr>
          <w:lang w:val="en-GB"/>
        </w:rPr>
        <w:t>to propose</w:t>
      </w:r>
      <w:r w:rsidR="00303002">
        <w:rPr>
          <w:lang w:val="en-GB"/>
        </w:rPr>
        <w:t xml:space="preserve"> solutions </w:t>
      </w:r>
      <w:r w:rsidR="0012217F">
        <w:rPr>
          <w:lang w:val="en-GB"/>
        </w:rPr>
        <w:t>for</w:t>
      </w:r>
      <w:r w:rsidR="00303002">
        <w:rPr>
          <w:lang w:val="en-GB"/>
        </w:rPr>
        <w:t xml:space="preserve"> mitigat</w:t>
      </w:r>
      <w:r w:rsidR="0012217F">
        <w:rPr>
          <w:lang w:val="en-GB"/>
        </w:rPr>
        <w:t>ing</w:t>
      </w:r>
      <w:r w:rsidR="00303002">
        <w:rPr>
          <w:lang w:val="en-GB"/>
        </w:rPr>
        <w:t xml:space="preserve"> and prevent</w:t>
      </w:r>
      <w:r w:rsidR="0012217F">
        <w:rPr>
          <w:lang w:val="en-GB"/>
        </w:rPr>
        <w:t>ing</w:t>
      </w:r>
      <w:r w:rsidR="00303002">
        <w:rPr>
          <w:lang w:val="en-GB"/>
        </w:rPr>
        <w:t xml:space="preserve"> </w:t>
      </w:r>
      <w:r w:rsidR="0012217F">
        <w:rPr>
          <w:lang w:val="en-GB"/>
        </w:rPr>
        <w:t>negative effects</w:t>
      </w:r>
      <w:r w:rsidR="00303002">
        <w:rPr>
          <w:lang w:val="en-GB"/>
        </w:rPr>
        <w:t xml:space="preserve">, </w:t>
      </w:r>
      <w:r w:rsidR="00F83D29" w:rsidRPr="00F83D29">
        <w:rPr>
          <w:lang w:val="en-GB"/>
        </w:rPr>
        <w:t>while also strengthening the market’s positive aspects</w:t>
      </w:r>
      <w:r w:rsidRPr="004510D0">
        <w:rPr>
          <w:lang w:val="en-GB"/>
        </w:rPr>
        <w:t xml:space="preserve">. To achieve this </w:t>
      </w:r>
      <w:r w:rsidR="00CC32B9" w:rsidRPr="00CC32B9">
        <w:rPr>
          <w:lang w:val="en-GB"/>
        </w:rPr>
        <w:t>objective</w:t>
      </w:r>
      <w:r w:rsidRPr="004510D0">
        <w:rPr>
          <w:lang w:val="en-GB"/>
        </w:rPr>
        <w:t xml:space="preserve">, we analysed academic literature, </w:t>
      </w:r>
      <w:r w:rsidR="00CC32B9">
        <w:rPr>
          <w:lang w:val="en-GB"/>
        </w:rPr>
        <w:t xml:space="preserve">the </w:t>
      </w:r>
      <w:r w:rsidRPr="004510D0">
        <w:rPr>
          <w:lang w:val="en-GB"/>
        </w:rPr>
        <w:t xml:space="preserve">Estonian legal framework, foreign practice, statistics related to the short-term rental market, </w:t>
      </w:r>
      <w:r w:rsidR="00F25D39" w:rsidRPr="00F25D39">
        <w:rPr>
          <w:lang w:val="en-GB"/>
        </w:rPr>
        <w:t xml:space="preserve">as well as the views </w:t>
      </w:r>
      <w:r w:rsidRPr="004510D0">
        <w:rPr>
          <w:lang w:val="en-GB"/>
        </w:rPr>
        <w:t xml:space="preserve">of market participants, policymakers and supervisory authorities. We also used econometric modelling to examine key </w:t>
      </w:r>
      <w:r w:rsidR="00246FFB" w:rsidRPr="000666C5">
        <w:rPr>
          <w:lang w:val="en-GB"/>
        </w:rPr>
        <w:t>relationships</w:t>
      </w:r>
      <w:r w:rsidRPr="004510D0">
        <w:rPr>
          <w:lang w:val="en-GB"/>
        </w:rPr>
        <w:t xml:space="preserve">. The novelty of the study lies </w:t>
      </w:r>
      <w:r w:rsidR="00246FFB" w:rsidRPr="00246FFB">
        <w:rPr>
          <w:lang w:val="en-GB"/>
        </w:rPr>
        <w:t>primarily</w:t>
      </w:r>
      <w:r w:rsidR="009D7105">
        <w:rPr>
          <w:lang w:val="en-GB"/>
        </w:rPr>
        <w:t xml:space="preserve"> </w:t>
      </w:r>
      <w:r w:rsidRPr="004510D0">
        <w:rPr>
          <w:lang w:val="en-GB"/>
        </w:rPr>
        <w:t>in combin</w:t>
      </w:r>
      <w:r w:rsidR="009D7105">
        <w:rPr>
          <w:lang w:val="en-GB"/>
        </w:rPr>
        <w:t>ing</w:t>
      </w:r>
      <w:r w:rsidRPr="004510D0">
        <w:rPr>
          <w:lang w:val="en-GB"/>
        </w:rPr>
        <w:t xml:space="preserve"> qualitative and quantitative methods, as a result of which we synthesised a significantly broader spectrum of policy recommendations </w:t>
      </w:r>
      <w:r w:rsidR="00994362">
        <w:rPr>
          <w:lang w:val="en-GB"/>
        </w:rPr>
        <w:t>than</w:t>
      </w:r>
      <w:r w:rsidR="004F5DBB">
        <w:rPr>
          <w:lang w:val="en-GB"/>
        </w:rPr>
        <w:t xml:space="preserve"> covered</w:t>
      </w:r>
      <w:r w:rsidR="00994362">
        <w:rPr>
          <w:lang w:val="en-GB"/>
        </w:rPr>
        <w:t xml:space="preserve"> in</w:t>
      </w:r>
      <w:r w:rsidRPr="004510D0">
        <w:rPr>
          <w:lang w:val="en-GB"/>
        </w:rPr>
        <w:t xml:space="preserve"> previous research. In addition, we </w:t>
      </w:r>
      <w:r w:rsidR="00B43204">
        <w:rPr>
          <w:lang w:val="en-GB"/>
        </w:rPr>
        <w:t>drew on</w:t>
      </w:r>
      <w:r w:rsidRPr="004510D0">
        <w:rPr>
          <w:lang w:val="en-GB"/>
        </w:rPr>
        <w:t xml:space="preserve"> Eurostat data</w:t>
      </w:r>
      <w:r w:rsidR="0049619A">
        <w:rPr>
          <w:lang w:val="en-GB"/>
        </w:rPr>
        <w:t xml:space="preserve"> that</w:t>
      </w:r>
      <w:r w:rsidRPr="004510D0">
        <w:rPr>
          <w:lang w:val="en-GB"/>
        </w:rPr>
        <w:t xml:space="preserve"> </w:t>
      </w:r>
      <w:r w:rsidR="0049619A">
        <w:rPr>
          <w:lang w:val="en-GB"/>
        </w:rPr>
        <w:t>are</w:t>
      </w:r>
      <w:r w:rsidRPr="004510D0">
        <w:rPr>
          <w:lang w:val="en-GB"/>
        </w:rPr>
        <w:t xml:space="preserve"> still </w:t>
      </w:r>
      <w:r w:rsidR="0049619A">
        <w:rPr>
          <w:lang w:val="en-GB"/>
        </w:rPr>
        <w:t>classified</w:t>
      </w:r>
      <w:r w:rsidR="00DF5947">
        <w:rPr>
          <w:lang w:val="en-GB"/>
        </w:rPr>
        <w:t xml:space="preserve"> as</w:t>
      </w:r>
      <w:r w:rsidRPr="004510D0">
        <w:rPr>
          <w:lang w:val="en-GB"/>
        </w:rPr>
        <w:t xml:space="preserve"> experimental statistics, which </w:t>
      </w:r>
      <w:r w:rsidR="00DF5947">
        <w:rPr>
          <w:lang w:val="en-GB"/>
        </w:rPr>
        <w:t>proved</w:t>
      </w:r>
      <w:r w:rsidR="00DF5947" w:rsidRPr="004510D0">
        <w:rPr>
          <w:lang w:val="en-GB"/>
        </w:rPr>
        <w:t xml:space="preserve"> </w:t>
      </w:r>
      <w:r w:rsidR="00DF5947">
        <w:rPr>
          <w:lang w:val="en-GB"/>
        </w:rPr>
        <w:t>highly</w:t>
      </w:r>
      <w:r w:rsidRPr="004510D0">
        <w:rPr>
          <w:lang w:val="en-GB"/>
        </w:rPr>
        <w:t xml:space="preserve"> valu</w:t>
      </w:r>
      <w:r w:rsidR="00D2515F">
        <w:rPr>
          <w:lang w:val="en-GB"/>
        </w:rPr>
        <w:t>able</w:t>
      </w:r>
      <w:r w:rsidRPr="004510D0">
        <w:rPr>
          <w:lang w:val="en-GB"/>
        </w:rPr>
        <w:t xml:space="preserve"> for future analyses.</w:t>
      </w:r>
    </w:p>
    <w:p w14:paraId="5FCE0175" w14:textId="1C2FD686" w:rsidR="001A4A6A" w:rsidRPr="004510D0" w:rsidRDefault="001A4A6A" w:rsidP="001A4A6A">
      <w:pPr>
        <w:jc w:val="both"/>
        <w:rPr>
          <w:lang w:val="en-GB"/>
        </w:rPr>
      </w:pPr>
      <w:r w:rsidRPr="004510D0">
        <w:rPr>
          <w:b/>
          <w:bCs/>
          <w:lang w:val="en-GB"/>
        </w:rPr>
        <w:t>The object of the study is the short-term rental service</w:t>
      </w:r>
      <w:r w:rsidR="00DD1DEC">
        <w:rPr>
          <w:lang w:val="en-GB"/>
        </w:rPr>
        <w:t xml:space="preserve"> </w:t>
      </w:r>
      <w:r w:rsidR="00DD1DEC" w:rsidRPr="00DD1DEC">
        <w:rPr>
          <w:lang w:val="en-GB"/>
        </w:rPr>
        <w:t>(in Estonian</w:t>
      </w:r>
      <w:r w:rsidR="00B9741A">
        <w:rPr>
          <w:lang w:val="en-GB"/>
        </w:rPr>
        <w:t>:</w:t>
      </w:r>
      <w:r w:rsidR="00DD1DEC" w:rsidRPr="00DD1DEC">
        <w:rPr>
          <w:lang w:val="en-GB"/>
        </w:rPr>
        <w:t xml:space="preserve"> </w:t>
      </w:r>
      <w:r w:rsidR="00DD1DEC" w:rsidRPr="00514229">
        <w:rPr>
          <w:i/>
          <w:iCs/>
          <w:lang w:val="en-GB"/>
        </w:rPr>
        <w:t>lühiajalise üüri teenus</w:t>
      </w:r>
      <w:r w:rsidR="00DD1DEC" w:rsidRPr="00DD1DEC">
        <w:rPr>
          <w:lang w:val="en-GB"/>
        </w:rPr>
        <w:t>)</w:t>
      </w:r>
      <w:r w:rsidRPr="004510D0">
        <w:rPr>
          <w:b/>
          <w:bCs/>
          <w:i/>
          <w:iCs/>
          <w:lang w:val="en-GB"/>
        </w:rPr>
        <w:t xml:space="preserve">, </w:t>
      </w:r>
      <w:r w:rsidRPr="004510D0">
        <w:rPr>
          <w:b/>
          <w:bCs/>
          <w:lang w:val="en-GB"/>
        </w:rPr>
        <w:t xml:space="preserve">which is offered for commercial purposes in residential premises. </w:t>
      </w:r>
      <w:r w:rsidRPr="004510D0">
        <w:rPr>
          <w:lang w:val="en-GB"/>
        </w:rPr>
        <w:t xml:space="preserve">It should be </w:t>
      </w:r>
      <w:r w:rsidR="00B85924">
        <w:rPr>
          <w:lang w:val="en-GB"/>
        </w:rPr>
        <w:t>noted</w:t>
      </w:r>
      <w:r w:rsidRPr="004510D0">
        <w:rPr>
          <w:lang w:val="en-GB"/>
        </w:rPr>
        <w:t xml:space="preserve"> that</w:t>
      </w:r>
      <w:r w:rsidRPr="004510D0">
        <w:rPr>
          <w:b/>
          <w:bCs/>
          <w:lang w:val="en-GB"/>
        </w:rPr>
        <w:t xml:space="preserve"> </w:t>
      </w:r>
      <w:r w:rsidRPr="004510D0">
        <w:rPr>
          <w:lang w:val="en-GB"/>
        </w:rPr>
        <w:t>short-term rental services are not a new type of business model</w:t>
      </w:r>
      <w:r w:rsidR="00846D7F">
        <w:rPr>
          <w:lang w:val="en-GB"/>
        </w:rPr>
        <w:t>;</w:t>
      </w:r>
      <w:r w:rsidRPr="004510D0">
        <w:rPr>
          <w:lang w:val="en-GB"/>
        </w:rPr>
        <w:t xml:space="preserve"> </w:t>
      </w:r>
      <w:r w:rsidR="00846D7F">
        <w:rPr>
          <w:lang w:val="en-GB"/>
        </w:rPr>
        <w:t>however,</w:t>
      </w:r>
      <w:r w:rsidRPr="004510D0">
        <w:rPr>
          <w:lang w:val="en-GB"/>
        </w:rPr>
        <w:t xml:space="preserve"> the emergence of the sharing and platform economy has </w:t>
      </w:r>
      <w:r w:rsidR="00DB2C45">
        <w:rPr>
          <w:lang w:val="en-GB"/>
        </w:rPr>
        <w:t>greatly expanded</w:t>
      </w:r>
      <w:r w:rsidR="00DB2C45" w:rsidRPr="004510D0">
        <w:rPr>
          <w:lang w:val="en-GB"/>
        </w:rPr>
        <w:t xml:space="preserve"> </w:t>
      </w:r>
      <w:r w:rsidRPr="004510D0">
        <w:rPr>
          <w:lang w:val="en-GB"/>
        </w:rPr>
        <w:t xml:space="preserve">the possibilities for bringing landlords and tenants together. The rapid growth of the short-term rental market is closely </w:t>
      </w:r>
      <w:r w:rsidR="003A0589">
        <w:rPr>
          <w:lang w:val="en-GB"/>
        </w:rPr>
        <w:t xml:space="preserve">connected </w:t>
      </w:r>
      <w:r w:rsidR="026E2664" w:rsidRPr="026E2664">
        <w:rPr>
          <w:lang w:val="en-GB"/>
        </w:rPr>
        <w:t>to</w:t>
      </w:r>
      <w:r w:rsidRPr="004510D0">
        <w:rPr>
          <w:lang w:val="en-GB"/>
        </w:rPr>
        <w:t xml:space="preserve"> the development of the sharing and platform economy. </w:t>
      </w:r>
      <w:r w:rsidR="00F16E14">
        <w:rPr>
          <w:lang w:val="en-GB"/>
        </w:rPr>
        <w:t>Whereas</w:t>
      </w:r>
      <w:r w:rsidR="00F16E14" w:rsidRPr="004510D0">
        <w:rPr>
          <w:lang w:val="en-GB"/>
        </w:rPr>
        <w:t xml:space="preserve"> </w:t>
      </w:r>
      <w:r w:rsidRPr="004510D0">
        <w:rPr>
          <w:lang w:val="en-GB"/>
        </w:rPr>
        <w:t xml:space="preserve">the emphasis of the sharing economy is on </w:t>
      </w:r>
      <w:r w:rsidR="00A22BD7">
        <w:rPr>
          <w:lang w:val="en-GB"/>
        </w:rPr>
        <w:t>the more efficient</w:t>
      </w:r>
      <w:r w:rsidR="00A22BD7" w:rsidRPr="004510D0">
        <w:rPr>
          <w:lang w:val="en-GB"/>
        </w:rPr>
        <w:t xml:space="preserve"> </w:t>
      </w:r>
      <w:r w:rsidRPr="004510D0">
        <w:rPr>
          <w:lang w:val="en-GB"/>
        </w:rPr>
        <w:t xml:space="preserve">use of underutilised resources (e.g. </w:t>
      </w:r>
      <w:r w:rsidR="00DA63BB" w:rsidRPr="00DA63BB">
        <w:rPr>
          <w:lang w:val="en-GB"/>
        </w:rPr>
        <w:t>letting out an unused room in one’s own home on a short-term basis</w:t>
      </w:r>
      <w:r w:rsidRPr="004510D0">
        <w:rPr>
          <w:lang w:val="en-GB"/>
        </w:rPr>
        <w:t>), digital brokerage platforms ha</w:t>
      </w:r>
      <w:r w:rsidR="008E457C">
        <w:rPr>
          <w:lang w:val="en-GB"/>
        </w:rPr>
        <w:t>ve</w:t>
      </w:r>
      <w:r w:rsidRPr="004510D0">
        <w:rPr>
          <w:lang w:val="en-GB"/>
        </w:rPr>
        <w:t xml:space="preserve"> instead </w:t>
      </w:r>
      <w:r w:rsidR="008E457C">
        <w:rPr>
          <w:lang w:val="en-GB"/>
        </w:rPr>
        <w:t>given rise</w:t>
      </w:r>
      <w:r w:rsidRPr="004510D0">
        <w:rPr>
          <w:lang w:val="en-GB"/>
        </w:rPr>
        <w:t xml:space="preserve"> to business activities </w:t>
      </w:r>
      <w:r w:rsidR="00A94983">
        <w:rPr>
          <w:lang w:val="en-GB"/>
        </w:rPr>
        <w:t>on</w:t>
      </w:r>
      <w:r w:rsidR="00A94983" w:rsidRPr="004510D0">
        <w:rPr>
          <w:lang w:val="en-GB"/>
        </w:rPr>
        <w:t xml:space="preserve"> </w:t>
      </w:r>
      <w:r w:rsidRPr="004510D0">
        <w:rPr>
          <w:lang w:val="en-GB"/>
        </w:rPr>
        <w:t xml:space="preserve">assets </w:t>
      </w:r>
      <w:r w:rsidR="005B7501" w:rsidRPr="00CB45A9">
        <w:rPr>
          <w:lang w:val="en-GB"/>
        </w:rPr>
        <w:t xml:space="preserve">purchased </w:t>
      </w:r>
      <w:r w:rsidRPr="004510D0">
        <w:rPr>
          <w:lang w:val="en-GB"/>
        </w:rPr>
        <w:t>specifically for this purpose. The rapid emergence of such businesses is also characteristic of the short-term rental market in Estonia.</w:t>
      </w:r>
    </w:p>
    <w:p w14:paraId="7D1ACB7A" w14:textId="2C160476" w:rsidR="001A4A6A" w:rsidRPr="004510D0" w:rsidRDefault="001A4A6A" w:rsidP="001A4A6A">
      <w:pPr>
        <w:jc w:val="both"/>
        <w:rPr>
          <w:lang w:val="en-GB"/>
        </w:rPr>
      </w:pPr>
      <w:r w:rsidRPr="004510D0">
        <w:rPr>
          <w:lang w:val="en-GB"/>
        </w:rPr>
        <w:t xml:space="preserve">The term </w:t>
      </w:r>
      <w:r w:rsidRPr="00514229">
        <w:rPr>
          <w:i/>
          <w:iCs/>
          <w:lang w:val="en-GB"/>
        </w:rPr>
        <w:t>short-term rental</w:t>
      </w:r>
      <w:r w:rsidRPr="004510D0">
        <w:rPr>
          <w:lang w:val="en-GB"/>
        </w:rPr>
        <w:t xml:space="preserve"> </w:t>
      </w:r>
      <w:r w:rsidR="00216D1F" w:rsidRPr="000C6549">
        <w:rPr>
          <w:i/>
          <w:iCs/>
          <w:lang w:val="en-GB"/>
        </w:rPr>
        <w:t>service</w:t>
      </w:r>
      <w:r w:rsidR="00216D1F" w:rsidRPr="004510D0">
        <w:rPr>
          <w:lang w:val="en-GB"/>
        </w:rPr>
        <w:t xml:space="preserve"> </w:t>
      </w:r>
      <w:r w:rsidRPr="004510D0">
        <w:rPr>
          <w:lang w:val="en-GB"/>
        </w:rPr>
        <w:t xml:space="preserve">has </w:t>
      </w:r>
      <w:r w:rsidR="00B9741A">
        <w:rPr>
          <w:lang w:val="en-GB"/>
        </w:rPr>
        <w:t>gradually emerged through</w:t>
      </w:r>
      <w:r w:rsidRPr="004510D0">
        <w:rPr>
          <w:lang w:val="en-GB"/>
        </w:rPr>
        <w:t xml:space="preserve"> the translation of various EU policy documents and legislation and has remained in everyday use as the most common </w:t>
      </w:r>
      <w:r w:rsidR="00F704B4">
        <w:rPr>
          <w:lang w:val="en-GB"/>
        </w:rPr>
        <w:t>rendering</w:t>
      </w:r>
      <w:r w:rsidR="00F704B4" w:rsidRPr="004510D0">
        <w:rPr>
          <w:lang w:val="en-GB"/>
        </w:rPr>
        <w:t xml:space="preserve"> </w:t>
      </w:r>
      <w:r w:rsidRPr="004510D0">
        <w:rPr>
          <w:lang w:val="en-GB"/>
        </w:rPr>
        <w:t xml:space="preserve">of the English equivalent. In essence, </w:t>
      </w:r>
      <w:r w:rsidR="00E54E80">
        <w:rPr>
          <w:lang w:val="en-GB"/>
        </w:rPr>
        <w:t>it</w:t>
      </w:r>
      <w:r w:rsidR="00E54E80" w:rsidRPr="004510D0">
        <w:rPr>
          <w:lang w:val="en-GB"/>
        </w:rPr>
        <w:t xml:space="preserve"> </w:t>
      </w:r>
      <w:r w:rsidRPr="004510D0">
        <w:rPr>
          <w:lang w:val="en-GB"/>
        </w:rPr>
        <w:t xml:space="preserve">typically refers to the provision of temporary overnight accommodation in residential premises. The provision of temporary overnight accommodation is also </w:t>
      </w:r>
      <w:r w:rsidR="00673D23">
        <w:rPr>
          <w:lang w:val="en-GB"/>
        </w:rPr>
        <w:t xml:space="preserve">at </w:t>
      </w:r>
      <w:r w:rsidRPr="004510D0">
        <w:rPr>
          <w:lang w:val="en-GB"/>
        </w:rPr>
        <w:t xml:space="preserve">the core of a conventional accommodation service </w:t>
      </w:r>
      <w:r w:rsidR="00BF5452">
        <w:rPr>
          <w:lang w:val="en-GB"/>
        </w:rPr>
        <w:t>under</w:t>
      </w:r>
      <w:r w:rsidRPr="004510D0">
        <w:rPr>
          <w:lang w:val="en-GB"/>
        </w:rPr>
        <w:t xml:space="preserve"> the Tourism Act, </w:t>
      </w:r>
      <w:r w:rsidR="00BF5452" w:rsidRPr="00BF5452">
        <w:rPr>
          <w:lang w:val="en-GB"/>
        </w:rPr>
        <w:t>in which the categories</w:t>
      </w:r>
      <w:r w:rsidR="00BF5452" w:rsidRPr="00BF5452" w:rsidDel="00BF5452">
        <w:rPr>
          <w:lang w:val="en-GB"/>
        </w:rPr>
        <w:t xml:space="preserve"> </w:t>
      </w:r>
      <w:r w:rsidRPr="004510D0">
        <w:rPr>
          <w:lang w:val="en-GB"/>
        </w:rPr>
        <w:t xml:space="preserve">corresponding to short-term rental services are guest apartments, homestays and holiday homes. </w:t>
      </w:r>
      <w:r w:rsidRPr="004510D0">
        <w:rPr>
          <w:b/>
          <w:bCs/>
          <w:lang w:val="en-GB"/>
        </w:rPr>
        <w:t>Based on the results of the analysis, it can be concluded that</w:t>
      </w:r>
      <w:r w:rsidR="00AE7058">
        <w:rPr>
          <w:b/>
          <w:bCs/>
          <w:lang w:val="en-GB"/>
        </w:rPr>
        <w:t>,</w:t>
      </w:r>
      <w:r w:rsidRPr="004510D0">
        <w:rPr>
          <w:b/>
          <w:bCs/>
          <w:lang w:val="en-GB"/>
        </w:rPr>
        <w:t xml:space="preserve"> in </w:t>
      </w:r>
      <w:r w:rsidR="00AE7058" w:rsidRPr="00AE7058">
        <w:rPr>
          <w:b/>
          <w:bCs/>
          <w:lang w:val="en-GB"/>
        </w:rPr>
        <w:t>substance</w:t>
      </w:r>
      <w:r w:rsidRPr="004510D0">
        <w:rPr>
          <w:b/>
          <w:bCs/>
          <w:lang w:val="en-GB"/>
        </w:rPr>
        <w:t xml:space="preserve">, short-term rental services are </w:t>
      </w:r>
      <w:r w:rsidR="002A0581">
        <w:rPr>
          <w:b/>
          <w:bCs/>
          <w:lang w:val="en-GB"/>
        </w:rPr>
        <w:t>a form</w:t>
      </w:r>
      <w:r w:rsidRPr="004510D0">
        <w:rPr>
          <w:b/>
          <w:bCs/>
          <w:lang w:val="en-GB"/>
        </w:rPr>
        <w:t xml:space="preserve"> of accommodation service</w:t>
      </w:r>
      <w:r w:rsidR="00AE7058">
        <w:rPr>
          <w:lang w:val="en-GB"/>
        </w:rPr>
        <w:t>.</w:t>
      </w:r>
      <w:r w:rsidRPr="004510D0">
        <w:rPr>
          <w:b/>
          <w:bCs/>
          <w:lang w:val="en-GB"/>
        </w:rPr>
        <w:t xml:space="preserve"> </w:t>
      </w:r>
      <w:r w:rsidR="0073685A" w:rsidRPr="0073685A">
        <w:rPr>
          <w:lang w:val="en-GB"/>
        </w:rPr>
        <w:t xml:space="preserve">Consequently, </w:t>
      </w:r>
      <w:r w:rsidRPr="004510D0">
        <w:rPr>
          <w:lang w:val="en-GB"/>
        </w:rPr>
        <w:t>the provision of short-term rental services should generally be subject to</w:t>
      </w:r>
      <w:r w:rsidRPr="004510D0" w:rsidDel="002E6A3A">
        <w:rPr>
          <w:lang w:val="en-GB"/>
        </w:rPr>
        <w:t xml:space="preserve"> </w:t>
      </w:r>
      <w:r w:rsidRPr="004510D0">
        <w:rPr>
          <w:lang w:val="en-GB"/>
        </w:rPr>
        <w:t>the</w:t>
      </w:r>
      <w:r w:rsidR="0073685A">
        <w:rPr>
          <w:lang w:val="en-GB"/>
        </w:rPr>
        <w:t xml:space="preserve"> provisions of the</w:t>
      </w:r>
      <w:r w:rsidRPr="004510D0">
        <w:rPr>
          <w:lang w:val="en-GB"/>
        </w:rPr>
        <w:t xml:space="preserve"> Tourism Act, </w:t>
      </w:r>
      <w:r w:rsidR="0073685A">
        <w:rPr>
          <w:lang w:val="en-GB"/>
        </w:rPr>
        <w:t>together with</w:t>
      </w:r>
      <w:r w:rsidRPr="004510D0">
        <w:rPr>
          <w:lang w:val="en-GB"/>
        </w:rPr>
        <w:t xml:space="preserve"> all regulations applicable to accommodation services and providers</w:t>
      </w:r>
      <w:r w:rsidR="0073685A">
        <w:rPr>
          <w:lang w:val="en-GB"/>
        </w:rPr>
        <w:t>. This</w:t>
      </w:r>
      <w:r w:rsidRPr="004510D0">
        <w:rPr>
          <w:lang w:val="en-GB"/>
        </w:rPr>
        <w:t xml:space="preserve"> mean</w:t>
      </w:r>
      <w:r w:rsidR="0073685A">
        <w:rPr>
          <w:lang w:val="en-GB"/>
        </w:rPr>
        <w:t>s</w:t>
      </w:r>
      <w:r w:rsidRPr="004510D0">
        <w:rPr>
          <w:lang w:val="en-GB"/>
        </w:rPr>
        <w:t xml:space="preserve"> that short-term rental service (or accommodation service) providers should comply with requirements relat</w:t>
      </w:r>
      <w:r w:rsidR="0074262F">
        <w:rPr>
          <w:lang w:val="en-GB"/>
        </w:rPr>
        <w:t>ing</w:t>
      </w:r>
      <w:r w:rsidRPr="004510D0">
        <w:rPr>
          <w:lang w:val="en-GB"/>
        </w:rPr>
        <w:t xml:space="preserve"> to the safety and hygiene of the service, as well as obligation</w:t>
      </w:r>
      <w:r w:rsidR="006D4949">
        <w:rPr>
          <w:lang w:val="en-GB"/>
        </w:rPr>
        <w:t>s</w:t>
      </w:r>
      <w:r w:rsidRPr="004510D0">
        <w:rPr>
          <w:lang w:val="en-GB"/>
        </w:rPr>
        <w:t xml:space="preserve"> to register visitors and submit statistics</w:t>
      </w:r>
      <w:r w:rsidR="006D4949" w:rsidRPr="006D4949">
        <w:rPr>
          <w:lang w:val="en-GB"/>
        </w:rPr>
        <w:t>—</w:t>
      </w:r>
      <w:r w:rsidRPr="004510D0">
        <w:rPr>
          <w:lang w:val="en-GB"/>
        </w:rPr>
        <w:t>the latter</w:t>
      </w:r>
      <w:r w:rsidR="006D4949">
        <w:rPr>
          <w:lang w:val="en-GB"/>
        </w:rPr>
        <w:t xml:space="preserve"> applying</w:t>
      </w:r>
      <w:r w:rsidR="00740430">
        <w:rPr>
          <w:lang w:val="en-GB"/>
        </w:rPr>
        <w:t xml:space="preserve"> where the</w:t>
      </w:r>
      <w:r w:rsidRPr="004510D0">
        <w:rPr>
          <w:lang w:val="en-GB"/>
        </w:rPr>
        <w:t xml:space="preserve"> accommodation </w:t>
      </w:r>
      <w:r w:rsidR="00740430">
        <w:rPr>
          <w:lang w:val="en-GB"/>
        </w:rPr>
        <w:t>has</w:t>
      </w:r>
      <w:r w:rsidRPr="004510D0">
        <w:rPr>
          <w:lang w:val="en-GB"/>
        </w:rPr>
        <w:t xml:space="preserve"> </w:t>
      </w:r>
      <w:r w:rsidR="00740430">
        <w:rPr>
          <w:lang w:val="en-GB"/>
        </w:rPr>
        <w:t>five</w:t>
      </w:r>
      <w:r w:rsidRPr="004510D0">
        <w:rPr>
          <w:lang w:val="en-GB"/>
        </w:rPr>
        <w:t xml:space="preserve"> or more beds.</w:t>
      </w:r>
    </w:p>
    <w:p w14:paraId="07FD0FB2" w14:textId="0DBA8018" w:rsidR="001A4A6A" w:rsidRPr="004510D0" w:rsidRDefault="00E9494D" w:rsidP="001A4A6A">
      <w:pPr>
        <w:jc w:val="both"/>
        <w:rPr>
          <w:lang w:val="en-GB"/>
        </w:rPr>
      </w:pPr>
      <w:r w:rsidRPr="00E9494D">
        <w:rPr>
          <w:lang w:val="en-GB"/>
        </w:rPr>
        <w:t xml:space="preserve">Within </w:t>
      </w:r>
      <w:r w:rsidR="001A4A6A" w:rsidRPr="004510D0">
        <w:rPr>
          <w:lang w:val="en-GB"/>
        </w:rPr>
        <w:t xml:space="preserve">the current legal framework, </w:t>
      </w:r>
      <w:r w:rsidR="00F862C3" w:rsidRPr="00F862C3">
        <w:rPr>
          <w:lang w:val="en-GB"/>
        </w:rPr>
        <w:t xml:space="preserve">the legislator’s aim has been </w:t>
      </w:r>
      <w:r w:rsidR="001A4A6A" w:rsidRPr="004510D0">
        <w:rPr>
          <w:lang w:val="en-GB"/>
        </w:rPr>
        <w:t>to simplify the renting out of homes where this is done</w:t>
      </w:r>
      <w:r w:rsidR="00FE2BBF">
        <w:rPr>
          <w:lang w:val="en-GB"/>
        </w:rPr>
        <w:t xml:space="preserve"> on a</w:t>
      </w:r>
      <w:r w:rsidR="001A4A6A" w:rsidRPr="004510D0">
        <w:rPr>
          <w:lang w:val="en-GB"/>
        </w:rPr>
        <w:t xml:space="preserve"> temporary or irregular</w:t>
      </w:r>
      <w:r w:rsidR="00FE2BBF">
        <w:rPr>
          <w:lang w:val="en-GB"/>
        </w:rPr>
        <w:t xml:space="preserve"> basis</w:t>
      </w:r>
      <w:r w:rsidR="001A4A6A" w:rsidRPr="004510D0">
        <w:rPr>
          <w:lang w:val="en-GB"/>
        </w:rPr>
        <w:t xml:space="preserve">. However, the study </w:t>
      </w:r>
      <w:r w:rsidR="00FE2BBF" w:rsidRPr="00FE2BBF">
        <w:rPr>
          <w:lang w:val="en-GB"/>
        </w:rPr>
        <w:t xml:space="preserve">revealed </w:t>
      </w:r>
      <w:r w:rsidR="001A4A6A" w:rsidRPr="004510D0">
        <w:rPr>
          <w:lang w:val="en-GB"/>
        </w:rPr>
        <w:t xml:space="preserve">that as a result, the concept and </w:t>
      </w:r>
      <w:r w:rsidR="00FE2BBF">
        <w:rPr>
          <w:lang w:val="en-GB"/>
        </w:rPr>
        <w:t>scope</w:t>
      </w:r>
      <w:r w:rsidR="00FE2BBF" w:rsidRPr="004510D0">
        <w:rPr>
          <w:lang w:val="en-GB"/>
        </w:rPr>
        <w:t xml:space="preserve"> </w:t>
      </w:r>
      <w:r w:rsidR="001A4A6A" w:rsidRPr="004510D0">
        <w:rPr>
          <w:lang w:val="en-GB"/>
        </w:rPr>
        <w:t xml:space="preserve">of short-term rental services are not clearly defined in Estonian </w:t>
      </w:r>
      <w:r w:rsidR="00FE2BBF">
        <w:rPr>
          <w:lang w:val="en-GB"/>
        </w:rPr>
        <w:t>law</w:t>
      </w:r>
      <w:r w:rsidR="00926B4B">
        <w:rPr>
          <w:lang w:val="en-GB"/>
        </w:rPr>
        <w:t>.</w:t>
      </w:r>
      <w:r w:rsidR="001A4A6A" w:rsidRPr="004510D0">
        <w:rPr>
          <w:lang w:val="en-GB"/>
        </w:rPr>
        <w:t xml:space="preserve"> </w:t>
      </w:r>
      <w:r w:rsidR="00926B4B">
        <w:rPr>
          <w:lang w:val="en-GB"/>
        </w:rPr>
        <w:t>This</w:t>
      </w:r>
      <w:r w:rsidR="001A4A6A" w:rsidRPr="004510D0">
        <w:rPr>
          <w:lang w:val="en-GB"/>
        </w:rPr>
        <w:t xml:space="preserve"> has created a situation</w:t>
      </w:r>
      <w:r w:rsidR="00926B4B">
        <w:rPr>
          <w:lang w:val="en-GB"/>
        </w:rPr>
        <w:t xml:space="preserve"> in which</w:t>
      </w:r>
      <w:r w:rsidR="001A4A6A" w:rsidRPr="004510D0">
        <w:rPr>
          <w:lang w:val="en-GB"/>
        </w:rPr>
        <w:t xml:space="preserve"> </w:t>
      </w:r>
      <w:r w:rsidR="001A4A6A" w:rsidRPr="004510D0">
        <w:rPr>
          <w:b/>
          <w:bCs/>
          <w:lang w:val="en-GB"/>
        </w:rPr>
        <w:t>many providers operat</w:t>
      </w:r>
      <w:r w:rsidR="00926B4B">
        <w:rPr>
          <w:b/>
          <w:bCs/>
          <w:lang w:val="en-GB"/>
        </w:rPr>
        <w:t>ing</w:t>
      </w:r>
      <w:r w:rsidR="001A4A6A" w:rsidRPr="004510D0">
        <w:rPr>
          <w:b/>
          <w:bCs/>
          <w:lang w:val="en-GB"/>
        </w:rPr>
        <w:t xml:space="preserve"> regularly and clearly for </w:t>
      </w:r>
      <w:r w:rsidR="001A4A6A" w:rsidRPr="004510D0">
        <w:rPr>
          <w:b/>
          <w:bCs/>
          <w:lang w:val="en-GB"/>
        </w:rPr>
        <w:lastRenderedPageBreak/>
        <w:t>commercial purposes apparently do not meet such requirements</w:t>
      </w:r>
      <w:r w:rsidR="005629E3">
        <w:rPr>
          <w:b/>
          <w:bCs/>
          <w:lang w:val="en-GB"/>
        </w:rPr>
        <w:t>,</w:t>
      </w:r>
      <w:r w:rsidR="001A4A6A" w:rsidRPr="004510D0">
        <w:rPr>
          <w:lang w:val="en-GB"/>
        </w:rPr>
        <w:t xml:space="preserve"> thereby creat</w:t>
      </w:r>
      <w:r w:rsidR="0023645F">
        <w:rPr>
          <w:lang w:val="en-GB"/>
        </w:rPr>
        <w:t>ing</w:t>
      </w:r>
      <w:r w:rsidR="001A4A6A" w:rsidRPr="004510D0">
        <w:rPr>
          <w:lang w:val="en-GB"/>
        </w:rPr>
        <w:t xml:space="preserve"> unfair competition. The </w:t>
      </w:r>
      <w:r w:rsidR="0023645F" w:rsidRPr="0023645F">
        <w:rPr>
          <w:lang w:val="en-GB"/>
        </w:rPr>
        <w:t>most serious challenges relate to compliance with</w:t>
      </w:r>
      <w:r w:rsidR="00BD13A4">
        <w:rPr>
          <w:lang w:val="en-GB"/>
        </w:rPr>
        <w:t xml:space="preserve"> </w:t>
      </w:r>
      <w:r w:rsidR="001A4A6A" w:rsidRPr="004510D0">
        <w:rPr>
          <w:lang w:val="en-GB"/>
        </w:rPr>
        <w:t xml:space="preserve">fire safety requirements, </w:t>
      </w:r>
      <w:r w:rsidR="001A4A6A" w:rsidRPr="003B4D4C">
        <w:rPr>
          <w:lang w:val="en-GB"/>
        </w:rPr>
        <w:t xml:space="preserve">which </w:t>
      </w:r>
      <w:r w:rsidR="000E4EC5" w:rsidRPr="000E4EC5">
        <w:rPr>
          <w:lang w:val="en-GB"/>
        </w:rPr>
        <w:t>in many apartment buildings cannot be fulfilled</w:t>
      </w:r>
      <w:r w:rsidR="000E4EC5">
        <w:rPr>
          <w:lang w:val="en-GB"/>
        </w:rPr>
        <w:t xml:space="preserve"> </w:t>
      </w:r>
      <w:r w:rsidR="001A4A6A" w:rsidRPr="003B4D4C">
        <w:rPr>
          <w:lang w:val="en-GB"/>
        </w:rPr>
        <w:t xml:space="preserve">at reasonable costs. </w:t>
      </w:r>
      <w:r w:rsidR="00801450" w:rsidRPr="00801450">
        <w:rPr>
          <w:lang w:val="en-GB"/>
        </w:rPr>
        <w:t>Nevertheless</w:t>
      </w:r>
      <w:r w:rsidR="001A4A6A" w:rsidRPr="003B4D4C">
        <w:rPr>
          <w:lang w:val="en-GB"/>
        </w:rPr>
        <w:t xml:space="preserve">, the study </w:t>
      </w:r>
      <w:r w:rsidR="00801450" w:rsidRPr="00801450">
        <w:rPr>
          <w:lang w:val="en-GB"/>
        </w:rPr>
        <w:t>concludes</w:t>
      </w:r>
      <w:r w:rsidR="00801450">
        <w:rPr>
          <w:lang w:val="en-GB"/>
        </w:rPr>
        <w:t xml:space="preserve"> </w:t>
      </w:r>
      <w:r w:rsidR="001A4A6A" w:rsidRPr="003B4D4C">
        <w:rPr>
          <w:lang w:val="en-GB"/>
        </w:rPr>
        <w:t xml:space="preserve">that the provision of short-term rental services in the form of </w:t>
      </w:r>
      <w:r w:rsidR="00801450">
        <w:rPr>
          <w:lang w:val="en-GB"/>
        </w:rPr>
        <w:t>the</w:t>
      </w:r>
      <w:r w:rsidR="00801450" w:rsidRPr="003B4D4C">
        <w:rPr>
          <w:lang w:val="en-GB"/>
        </w:rPr>
        <w:t xml:space="preserve"> </w:t>
      </w:r>
      <w:r w:rsidR="001A4A6A" w:rsidRPr="003B4D4C">
        <w:rPr>
          <w:lang w:val="en-GB"/>
        </w:rPr>
        <w:t xml:space="preserve">sharing economy and on an irregular basis should also be considered </w:t>
      </w:r>
      <w:r w:rsidR="00884CF6">
        <w:rPr>
          <w:lang w:val="en-GB"/>
        </w:rPr>
        <w:t>as</w:t>
      </w:r>
      <w:r w:rsidR="00884CF6" w:rsidRPr="003B4D4C">
        <w:rPr>
          <w:lang w:val="en-GB"/>
        </w:rPr>
        <w:t xml:space="preserve"> </w:t>
      </w:r>
      <w:r w:rsidR="001A4A6A" w:rsidRPr="003B4D4C">
        <w:rPr>
          <w:lang w:val="en-GB"/>
        </w:rPr>
        <w:t>accommodation service</w:t>
      </w:r>
      <w:r w:rsidR="00884CF6">
        <w:rPr>
          <w:lang w:val="en-GB"/>
        </w:rPr>
        <w:t>s,</w:t>
      </w:r>
      <w:r w:rsidR="001A4A6A" w:rsidRPr="003B4D4C">
        <w:rPr>
          <w:lang w:val="en-GB"/>
        </w:rPr>
        <w:t xml:space="preserve"> and that </w:t>
      </w:r>
      <w:r w:rsidR="00884CF6">
        <w:rPr>
          <w:lang w:val="en-GB"/>
        </w:rPr>
        <w:t>such</w:t>
      </w:r>
      <w:r w:rsidR="00884CF6" w:rsidRPr="003B4D4C">
        <w:rPr>
          <w:lang w:val="en-GB"/>
        </w:rPr>
        <w:t xml:space="preserve"> </w:t>
      </w:r>
      <w:r w:rsidR="001A4A6A" w:rsidRPr="003B4D4C">
        <w:rPr>
          <w:lang w:val="en-GB"/>
        </w:rPr>
        <w:t xml:space="preserve">accommodation should </w:t>
      </w:r>
      <w:r w:rsidR="00F5246D">
        <w:rPr>
          <w:lang w:val="en-GB"/>
        </w:rPr>
        <w:t>equally</w:t>
      </w:r>
      <w:r w:rsidR="00F5246D" w:rsidRPr="003B4D4C">
        <w:rPr>
          <w:lang w:val="en-GB"/>
        </w:rPr>
        <w:t xml:space="preserve"> </w:t>
      </w:r>
      <w:r w:rsidR="001A4A6A" w:rsidRPr="003B4D4C">
        <w:rPr>
          <w:lang w:val="en-GB"/>
        </w:rPr>
        <w:t xml:space="preserve">be subject to requirements </w:t>
      </w:r>
      <w:r w:rsidR="00AA4E15">
        <w:rPr>
          <w:lang w:val="en-GB"/>
        </w:rPr>
        <w:t>linked</w:t>
      </w:r>
      <w:r w:rsidR="00AA4E15" w:rsidRPr="003B4D4C">
        <w:rPr>
          <w:lang w:val="en-GB"/>
        </w:rPr>
        <w:t xml:space="preserve"> </w:t>
      </w:r>
      <w:r w:rsidR="001A4A6A" w:rsidRPr="003B4D4C">
        <w:rPr>
          <w:lang w:val="en-GB"/>
        </w:rPr>
        <w:t>to ensuring the safety of service users and</w:t>
      </w:r>
      <w:r w:rsidR="00AA4E15">
        <w:rPr>
          <w:lang w:val="en-GB"/>
        </w:rPr>
        <w:t xml:space="preserve"> the</w:t>
      </w:r>
      <w:r w:rsidR="001A4A6A" w:rsidRPr="003B4D4C">
        <w:rPr>
          <w:lang w:val="en-GB"/>
        </w:rPr>
        <w:t xml:space="preserve"> security</w:t>
      </w:r>
      <w:r w:rsidR="00AA4E15">
        <w:rPr>
          <w:lang w:val="en-GB"/>
        </w:rPr>
        <w:t xml:space="preserve"> of the state</w:t>
      </w:r>
      <w:r w:rsidR="001A4A6A" w:rsidRPr="003B4D4C">
        <w:rPr>
          <w:lang w:val="en-GB"/>
        </w:rPr>
        <w:t xml:space="preserve">. </w:t>
      </w:r>
      <w:r w:rsidR="00542280">
        <w:rPr>
          <w:lang w:val="en-GB"/>
        </w:rPr>
        <w:t>For</w:t>
      </w:r>
      <w:r w:rsidR="001A4A6A" w:rsidRPr="004510D0">
        <w:rPr>
          <w:lang w:val="en-GB"/>
        </w:rPr>
        <w:t xml:space="preserve"> certain requirements, current practices and </w:t>
      </w:r>
      <w:r w:rsidR="00F737EC" w:rsidRPr="00F737EC">
        <w:rPr>
          <w:lang w:val="en-GB"/>
        </w:rPr>
        <w:t>supervisory arrangements</w:t>
      </w:r>
      <w:r w:rsidR="00F737EC" w:rsidRPr="00F737EC" w:rsidDel="00F737EC">
        <w:rPr>
          <w:lang w:val="en-GB"/>
        </w:rPr>
        <w:t xml:space="preserve"> </w:t>
      </w:r>
      <w:r w:rsidR="001A4A6A" w:rsidRPr="004510D0">
        <w:rPr>
          <w:lang w:val="en-GB"/>
        </w:rPr>
        <w:t xml:space="preserve">need to be clarified, </w:t>
      </w:r>
      <w:r w:rsidR="00F737EC">
        <w:rPr>
          <w:lang w:val="en-GB"/>
        </w:rPr>
        <w:t>since</w:t>
      </w:r>
      <w:r w:rsidR="00F737EC" w:rsidRPr="004510D0">
        <w:rPr>
          <w:lang w:val="en-GB"/>
        </w:rPr>
        <w:t xml:space="preserve"> </w:t>
      </w:r>
      <w:r w:rsidR="001A4A6A" w:rsidRPr="004510D0">
        <w:rPr>
          <w:lang w:val="en-GB"/>
        </w:rPr>
        <w:t xml:space="preserve">with the spread of accommodation services </w:t>
      </w:r>
      <w:r w:rsidR="00F737EC">
        <w:rPr>
          <w:lang w:val="en-GB"/>
        </w:rPr>
        <w:t>in</w:t>
      </w:r>
      <w:r w:rsidR="001A4A6A" w:rsidRPr="004510D0">
        <w:rPr>
          <w:lang w:val="en-GB"/>
        </w:rPr>
        <w:t>to residential buildings they may no longer meet actual needs</w:t>
      </w:r>
      <w:r w:rsidR="005760C8">
        <w:rPr>
          <w:lang w:val="en-GB"/>
        </w:rPr>
        <w:t xml:space="preserve"> and</w:t>
      </w:r>
      <w:r w:rsidR="001A4A6A" w:rsidRPr="004510D0">
        <w:rPr>
          <w:lang w:val="en-GB"/>
        </w:rPr>
        <w:t xml:space="preserve"> </w:t>
      </w:r>
      <w:r w:rsidR="0084181A">
        <w:rPr>
          <w:lang w:val="en-GB"/>
        </w:rPr>
        <w:t>are</w:t>
      </w:r>
      <w:r w:rsidR="001A4A6A" w:rsidRPr="004510D0">
        <w:rPr>
          <w:lang w:val="en-GB"/>
        </w:rPr>
        <w:t xml:space="preserve"> </w:t>
      </w:r>
      <w:r w:rsidR="005760C8">
        <w:rPr>
          <w:lang w:val="en-GB"/>
        </w:rPr>
        <w:t xml:space="preserve">often </w:t>
      </w:r>
      <w:r w:rsidR="001A4A6A" w:rsidRPr="004510D0">
        <w:rPr>
          <w:lang w:val="en-GB"/>
        </w:rPr>
        <w:t>cumbersome and bureaucratic.</w:t>
      </w:r>
    </w:p>
    <w:p w14:paraId="124FC342" w14:textId="4E1F3588" w:rsidR="001A4A6A" w:rsidRPr="004510D0" w:rsidRDefault="001A4A6A" w:rsidP="001A4A6A">
      <w:pPr>
        <w:jc w:val="both"/>
        <w:rPr>
          <w:lang w:val="en-GB"/>
        </w:rPr>
      </w:pPr>
      <w:r w:rsidRPr="004510D0">
        <w:rPr>
          <w:lang w:val="en-GB"/>
        </w:rPr>
        <w:t xml:space="preserve">Based on the qualitative data collected, service providers in </w:t>
      </w:r>
      <w:r w:rsidR="005B3F2C" w:rsidRPr="005B3F2C">
        <w:rPr>
          <w:lang w:val="en-GB"/>
        </w:rPr>
        <w:t>Estonia’s</w:t>
      </w:r>
      <w:r w:rsidR="005B3F2C">
        <w:rPr>
          <w:lang w:val="en-GB"/>
        </w:rPr>
        <w:t xml:space="preserve"> </w:t>
      </w:r>
      <w:r w:rsidRPr="004510D0">
        <w:rPr>
          <w:lang w:val="en-GB"/>
        </w:rPr>
        <w:t xml:space="preserve">short-term rental market </w:t>
      </w:r>
      <w:r w:rsidR="005B3F2C" w:rsidRPr="005B3F2C">
        <w:rPr>
          <w:lang w:val="en-GB"/>
        </w:rPr>
        <w:t xml:space="preserve">predominantly </w:t>
      </w:r>
      <w:r w:rsidRPr="004510D0">
        <w:rPr>
          <w:lang w:val="en-GB"/>
        </w:rPr>
        <w:t>operat</w:t>
      </w:r>
      <w:r w:rsidR="005B3F2C">
        <w:rPr>
          <w:lang w:val="en-GB"/>
        </w:rPr>
        <w:t>e</w:t>
      </w:r>
      <w:r w:rsidRPr="004510D0">
        <w:rPr>
          <w:lang w:val="en-GB"/>
        </w:rPr>
        <w:t xml:space="preserve"> in a corporate format, </w:t>
      </w:r>
      <w:r w:rsidR="000B5449">
        <w:rPr>
          <w:lang w:val="en-GB"/>
        </w:rPr>
        <w:t xml:space="preserve">with </w:t>
      </w:r>
      <w:r w:rsidRPr="004510D0">
        <w:rPr>
          <w:lang w:val="en-GB"/>
        </w:rPr>
        <w:t xml:space="preserve">most providing accommodation services in several dwellings at </w:t>
      </w:r>
      <w:r w:rsidR="000B5449">
        <w:rPr>
          <w:lang w:val="en-GB"/>
        </w:rPr>
        <w:t>once</w:t>
      </w:r>
      <w:r w:rsidRPr="004510D0">
        <w:rPr>
          <w:lang w:val="en-GB"/>
        </w:rPr>
        <w:t xml:space="preserve">. The market is more active in larger cities, where </w:t>
      </w:r>
      <w:r w:rsidR="00CF5519">
        <w:rPr>
          <w:lang w:val="en-GB"/>
        </w:rPr>
        <w:t>demand is driven by</w:t>
      </w:r>
      <w:r w:rsidRPr="004510D0">
        <w:rPr>
          <w:lang w:val="en-GB"/>
        </w:rPr>
        <w:t xml:space="preserve"> tourists, students, business </w:t>
      </w:r>
      <w:r w:rsidR="00737281">
        <w:rPr>
          <w:lang w:val="en-GB"/>
        </w:rPr>
        <w:t>travellers</w:t>
      </w:r>
      <w:r w:rsidRPr="004510D0">
        <w:rPr>
          <w:lang w:val="en-GB"/>
        </w:rPr>
        <w:t xml:space="preserve">, etc., </w:t>
      </w:r>
      <w:r w:rsidR="00FE5560" w:rsidRPr="00FE5560">
        <w:rPr>
          <w:lang w:val="en-GB"/>
        </w:rPr>
        <w:t>particularly</w:t>
      </w:r>
      <w:r w:rsidR="00FE5560">
        <w:rPr>
          <w:lang w:val="en-GB"/>
        </w:rPr>
        <w:t xml:space="preserve"> </w:t>
      </w:r>
      <w:r w:rsidRPr="004510D0">
        <w:rPr>
          <w:lang w:val="en-GB"/>
        </w:rPr>
        <w:t xml:space="preserve">during the peak </w:t>
      </w:r>
      <w:r w:rsidR="00634B48">
        <w:rPr>
          <w:lang w:val="en-GB"/>
        </w:rPr>
        <w:t xml:space="preserve">summer </w:t>
      </w:r>
      <w:r w:rsidRPr="004510D0">
        <w:rPr>
          <w:lang w:val="en-GB"/>
        </w:rPr>
        <w:t xml:space="preserve">tourism season. </w:t>
      </w:r>
      <w:r w:rsidR="00634B48">
        <w:rPr>
          <w:lang w:val="en-GB"/>
        </w:rPr>
        <w:t>S</w:t>
      </w:r>
      <w:r w:rsidRPr="004510D0">
        <w:rPr>
          <w:lang w:val="en-GB"/>
        </w:rPr>
        <w:t>ervice</w:t>
      </w:r>
      <w:r w:rsidR="00634B48">
        <w:rPr>
          <w:lang w:val="en-GB"/>
        </w:rPr>
        <w:t>s</w:t>
      </w:r>
      <w:r w:rsidRPr="004510D0">
        <w:rPr>
          <w:lang w:val="en-GB"/>
        </w:rPr>
        <w:t xml:space="preserve"> </w:t>
      </w:r>
      <w:r w:rsidR="00634B48">
        <w:rPr>
          <w:lang w:val="en-GB"/>
        </w:rPr>
        <w:t>are</w:t>
      </w:r>
      <w:r w:rsidRPr="004510D0">
        <w:rPr>
          <w:lang w:val="en-GB"/>
        </w:rPr>
        <w:t xml:space="preserve"> offered mainly </w:t>
      </w:r>
      <w:r w:rsidR="000155CA">
        <w:rPr>
          <w:lang w:val="en-GB"/>
        </w:rPr>
        <w:t>via</w:t>
      </w:r>
      <w:r w:rsidR="000155CA" w:rsidRPr="004510D0">
        <w:rPr>
          <w:lang w:val="en-GB"/>
        </w:rPr>
        <w:t xml:space="preserve"> </w:t>
      </w:r>
      <w:r w:rsidRPr="004510D0">
        <w:rPr>
          <w:lang w:val="en-GB"/>
        </w:rPr>
        <w:t>online platforms (the most common</w:t>
      </w:r>
      <w:r w:rsidR="000155CA">
        <w:rPr>
          <w:lang w:val="en-GB"/>
        </w:rPr>
        <w:t>ly</w:t>
      </w:r>
      <w:r w:rsidRPr="004510D0">
        <w:rPr>
          <w:lang w:val="en-GB"/>
        </w:rPr>
        <w:t xml:space="preserve"> Airbnb), but </w:t>
      </w:r>
      <w:r w:rsidR="000155CA">
        <w:rPr>
          <w:lang w:val="en-GB"/>
        </w:rPr>
        <w:t>also</w:t>
      </w:r>
      <w:r w:rsidR="000155CA" w:rsidRPr="000155CA">
        <w:rPr>
          <w:lang w:val="en-GB"/>
        </w:rPr>
        <w:t>—</w:t>
      </w:r>
      <w:r w:rsidRPr="004510D0">
        <w:rPr>
          <w:lang w:val="en-GB"/>
        </w:rPr>
        <w:t xml:space="preserve">especially outside </w:t>
      </w:r>
      <w:r w:rsidR="00C2738A">
        <w:rPr>
          <w:lang w:val="en-GB"/>
        </w:rPr>
        <w:t>major</w:t>
      </w:r>
      <w:r w:rsidR="00C2738A" w:rsidRPr="004510D0">
        <w:rPr>
          <w:lang w:val="en-GB"/>
        </w:rPr>
        <w:t xml:space="preserve"> </w:t>
      </w:r>
      <w:r w:rsidRPr="004510D0">
        <w:rPr>
          <w:lang w:val="en-GB"/>
        </w:rPr>
        <w:t>cities</w:t>
      </w:r>
      <w:r w:rsidR="00C2738A" w:rsidRPr="00C2738A">
        <w:rPr>
          <w:lang w:val="en-GB"/>
        </w:rPr>
        <w:t>—</w:t>
      </w:r>
      <w:r w:rsidR="00C2738A">
        <w:rPr>
          <w:lang w:val="en-GB"/>
        </w:rPr>
        <w:t>through</w:t>
      </w:r>
      <w:r w:rsidRPr="004510D0">
        <w:rPr>
          <w:lang w:val="en-GB"/>
        </w:rPr>
        <w:t xml:space="preserve"> local tourism portals and social media.</w:t>
      </w:r>
    </w:p>
    <w:p w14:paraId="1902792B" w14:textId="0E6BA147" w:rsidR="001A4A6A" w:rsidRPr="004510D0" w:rsidRDefault="001A4A6A" w:rsidP="001A4A6A">
      <w:pPr>
        <w:jc w:val="both"/>
        <w:rPr>
          <w:lang w:val="en-GB"/>
        </w:rPr>
      </w:pPr>
      <w:r w:rsidRPr="004510D0">
        <w:rPr>
          <w:lang w:val="en-GB"/>
        </w:rPr>
        <w:t xml:space="preserve">There is no single </w:t>
      </w:r>
      <w:r w:rsidR="00AE034E" w:rsidRPr="00AE034E">
        <w:rPr>
          <w:lang w:val="en-GB"/>
        </w:rPr>
        <w:t xml:space="preserve">comprehensive </w:t>
      </w:r>
      <w:r w:rsidRPr="004510D0">
        <w:rPr>
          <w:lang w:val="en-GB"/>
        </w:rPr>
        <w:t xml:space="preserve">and reliable quantitative dataset </w:t>
      </w:r>
      <w:r w:rsidR="00AE034E">
        <w:rPr>
          <w:lang w:val="en-GB"/>
        </w:rPr>
        <w:t>for</w:t>
      </w:r>
      <w:r w:rsidR="00AE034E" w:rsidRPr="004510D0">
        <w:rPr>
          <w:lang w:val="en-GB"/>
        </w:rPr>
        <w:t xml:space="preserve"> </w:t>
      </w:r>
      <w:r w:rsidRPr="004510D0">
        <w:rPr>
          <w:lang w:val="en-GB"/>
        </w:rPr>
        <w:t>characteris</w:t>
      </w:r>
      <w:r w:rsidR="00AE034E">
        <w:rPr>
          <w:lang w:val="en-GB"/>
        </w:rPr>
        <w:t>ing</w:t>
      </w:r>
      <w:r w:rsidRPr="004510D0">
        <w:rPr>
          <w:lang w:val="en-GB"/>
        </w:rPr>
        <w:t xml:space="preserve"> the size and functioning of the Estonian market</w:t>
      </w:r>
      <w:r w:rsidR="00885A7F">
        <w:rPr>
          <w:lang w:val="en-GB"/>
        </w:rPr>
        <w:t>. However,</w:t>
      </w:r>
      <w:r w:rsidRPr="004510D0">
        <w:rPr>
          <w:lang w:val="en-GB"/>
        </w:rPr>
        <w:t xml:space="preserve"> data from Statistics Estonia, Eurostat, </w:t>
      </w:r>
      <w:r w:rsidR="00EE32F1">
        <w:rPr>
          <w:lang w:val="en-GB"/>
        </w:rPr>
        <w:t xml:space="preserve">the </w:t>
      </w:r>
      <w:r w:rsidRPr="004510D0">
        <w:rPr>
          <w:lang w:val="en-GB"/>
        </w:rPr>
        <w:t xml:space="preserve">Tax and Customs Board, </w:t>
      </w:r>
      <w:r w:rsidR="00737281">
        <w:rPr>
          <w:lang w:val="en-GB"/>
        </w:rPr>
        <w:t xml:space="preserve">the </w:t>
      </w:r>
      <w:r w:rsidRPr="004510D0">
        <w:rPr>
          <w:lang w:val="en-GB"/>
        </w:rPr>
        <w:t xml:space="preserve">Estonian Business and Innovation Agency, and </w:t>
      </w:r>
      <w:r w:rsidR="00885A7F">
        <w:rPr>
          <w:lang w:val="en-GB"/>
        </w:rPr>
        <w:t xml:space="preserve">from </w:t>
      </w:r>
      <w:r w:rsidRPr="004510D0">
        <w:rPr>
          <w:lang w:val="en-GB"/>
        </w:rPr>
        <w:t xml:space="preserve">various public platforms and private companies can be combined to </w:t>
      </w:r>
      <w:r w:rsidR="00885A7F">
        <w:rPr>
          <w:lang w:val="en-GB"/>
        </w:rPr>
        <w:t>build a picture of</w:t>
      </w:r>
      <w:r w:rsidR="00885A7F" w:rsidRPr="004510D0">
        <w:rPr>
          <w:lang w:val="en-GB"/>
        </w:rPr>
        <w:t xml:space="preserve"> </w:t>
      </w:r>
      <w:r w:rsidRPr="004510D0">
        <w:rPr>
          <w:lang w:val="en-GB"/>
        </w:rPr>
        <w:t xml:space="preserve">the situation. When using </w:t>
      </w:r>
      <w:r w:rsidR="00885A7F">
        <w:rPr>
          <w:lang w:val="en-GB"/>
        </w:rPr>
        <w:t xml:space="preserve">such </w:t>
      </w:r>
      <w:r w:rsidRPr="004510D0">
        <w:rPr>
          <w:lang w:val="en-GB"/>
        </w:rPr>
        <w:t>data, it is important to ensur</w:t>
      </w:r>
      <w:r w:rsidR="00885A7F">
        <w:rPr>
          <w:lang w:val="en-GB"/>
        </w:rPr>
        <w:t>e</w:t>
      </w:r>
      <w:r w:rsidRPr="004510D0">
        <w:rPr>
          <w:lang w:val="en-GB"/>
        </w:rPr>
        <w:t xml:space="preserve"> that </w:t>
      </w:r>
      <w:r w:rsidR="0043052D">
        <w:rPr>
          <w:lang w:val="en-GB"/>
        </w:rPr>
        <w:t>they are</w:t>
      </w:r>
      <w:r w:rsidRPr="004510D0">
        <w:rPr>
          <w:lang w:val="en-GB"/>
        </w:rPr>
        <w:t xml:space="preserve"> </w:t>
      </w:r>
      <w:r w:rsidR="00737281" w:rsidRPr="004510D0">
        <w:rPr>
          <w:lang w:val="en-GB"/>
        </w:rPr>
        <w:t>up to date</w:t>
      </w:r>
      <w:r w:rsidRPr="004510D0">
        <w:rPr>
          <w:lang w:val="en-GB"/>
        </w:rPr>
        <w:t xml:space="preserve"> (</w:t>
      </w:r>
      <w:r w:rsidR="0043052D">
        <w:rPr>
          <w:lang w:val="en-GB"/>
        </w:rPr>
        <w:t>given the rapid evolution of</w:t>
      </w:r>
      <w:r w:rsidR="0043052D" w:rsidRPr="004510D0">
        <w:rPr>
          <w:lang w:val="en-GB"/>
        </w:rPr>
        <w:t xml:space="preserve"> </w:t>
      </w:r>
      <w:r w:rsidRPr="004510D0">
        <w:rPr>
          <w:lang w:val="en-GB"/>
        </w:rPr>
        <w:t xml:space="preserve">the market) and as regionally </w:t>
      </w:r>
      <w:r w:rsidR="0043052D" w:rsidRPr="0043052D">
        <w:rPr>
          <w:lang w:val="en-GB"/>
        </w:rPr>
        <w:t xml:space="preserve">disaggregated </w:t>
      </w:r>
      <w:r w:rsidRPr="004510D0">
        <w:rPr>
          <w:lang w:val="en-GB"/>
        </w:rPr>
        <w:t>as possible (</w:t>
      </w:r>
      <w:r w:rsidR="00DC2F2F" w:rsidRPr="00DC2F2F">
        <w:rPr>
          <w:lang w:val="en-GB"/>
        </w:rPr>
        <w:t>given regional variations in market activity</w:t>
      </w:r>
      <w:r w:rsidRPr="004510D0">
        <w:rPr>
          <w:lang w:val="en-GB"/>
        </w:rPr>
        <w:t>).</w:t>
      </w:r>
    </w:p>
    <w:p w14:paraId="0EEF3752" w14:textId="08BD2C0A" w:rsidR="001A4A6A" w:rsidRPr="004510D0" w:rsidRDefault="005A5BB9" w:rsidP="001A4A6A">
      <w:pPr>
        <w:jc w:val="both"/>
        <w:rPr>
          <w:rFonts w:eastAsiaTheme="minorEastAsia"/>
          <w:lang w:val="en-GB"/>
        </w:rPr>
      </w:pPr>
      <w:r>
        <w:rPr>
          <w:lang w:val="en-GB"/>
        </w:rPr>
        <w:t>By</w:t>
      </w:r>
      <w:r w:rsidR="001A4A6A" w:rsidRPr="004510D0">
        <w:rPr>
          <w:lang w:val="en-GB"/>
        </w:rPr>
        <w:t xml:space="preserve"> combining different datasets, it </w:t>
      </w:r>
      <w:r>
        <w:rPr>
          <w:lang w:val="en-GB"/>
        </w:rPr>
        <w:t>is</w:t>
      </w:r>
      <w:r w:rsidR="001A4A6A" w:rsidRPr="004510D0">
        <w:rPr>
          <w:lang w:val="en-GB"/>
        </w:rPr>
        <w:t xml:space="preserve"> estimated that </w:t>
      </w:r>
      <w:r w:rsidR="001A4A6A" w:rsidRPr="004510D0">
        <w:rPr>
          <w:b/>
          <w:bCs/>
          <w:lang w:val="en-GB"/>
        </w:rPr>
        <w:t>the supply in Estonian</w:t>
      </w:r>
      <w:r w:rsidR="00614829" w:rsidRPr="00614829">
        <w:rPr>
          <w:b/>
          <w:bCs/>
          <w:lang w:val="en-GB"/>
        </w:rPr>
        <w:t>’s</w:t>
      </w:r>
      <w:r w:rsidR="001A4A6A" w:rsidRPr="004510D0">
        <w:rPr>
          <w:b/>
          <w:bCs/>
          <w:lang w:val="en-GB"/>
        </w:rPr>
        <w:t xml:space="preserve"> short-term market </w:t>
      </w:r>
      <w:r w:rsidR="00614829">
        <w:rPr>
          <w:b/>
          <w:bCs/>
          <w:lang w:val="en-GB"/>
        </w:rPr>
        <w:t>ranges</w:t>
      </w:r>
      <w:r w:rsidR="00614829" w:rsidRPr="004510D0">
        <w:rPr>
          <w:b/>
          <w:bCs/>
          <w:lang w:val="en-GB"/>
        </w:rPr>
        <w:t xml:space="preserve"> </w:t>
      </w:r>
      <w:r w:rsidR="001A4A6A" w:rsidRPr="004510D0">
        <w:rPr>
          <w:b/>
          <w:bCs/>
          <w:lang w:val="en-GB"/>
        </w:rPr>
        <w:t xml:space="preserve">between </w:t>
      </w:r>
      <w:r w:rsidR="00393D70" w:rsidRPr="00393D70">
        <w:rPr>
          <w:b/>
          <w:bCs/>
          <w:lang w:val="en-GB"/>
        </w:rPr>
        <w:t xml:space="preserve">30,000 and 50,000 </w:t>
      </w:r>
      <w:r w:rsidR="001A4A6A" w:rsidRPr="004510D0">
        <w:rPr>
          <w:b/>
          <w:bCs/>
          <w:lang w:val="en-GB"/>
        </w:rPr>
        <w:t>beds</w:t>
      </w:r>
      <w:r w:rsidR="001A4A6A" w:rsidRPr="004510D0">
        <w:rPr>
          <w:lang w:val="en-GB"/>
        </w:rPr>
        <w:t xml:space="preserve">, with the largest supply in Tallinn/Harju County, Western Estonia and Southern Estonia. </w:t>
      </w:r>
      <w:r w:rsidR="00393D70" w:rsidRPr="00393D70">
        <w:rPr>
          <w:lang w:val="en-GB"/>
        </w:rPr>
        <w:t>For the purposes of estimating</w:t>
      </w:r>
      <w:r w:rsidR="00393D70">
        <w:rPr>
          <w:lang w:val="en-GB"/>
        </w:rPr>
        <w:t xml:space="preserve"> </w:t>
      </w:r>
      <w:r w:rsidR="001A4A6A" w:rsidRPr="004510D0">
        <w:rPr>
          <w:lang w:val="en-GB"/>
        </w:rPr>
        <w:t xml:space="preserve">supply, guest apartments, homestays and holiday homes </w:t>
      </w:r>
      <w:r w:rsidR="00D64DD6" w:rsidRPr="00D64DD6">
        <w:rPr>
          <w:lang w:val="en-GB"/>
        </w:rPr>
        <w:t xml:space="preserve">have been considered </w:t>
      </w:r>
      <w:r w:rsidR="001A4A6A" w:rsidRPr="004510D0">
        <w:rPr>
          <w:lang w:val="en-GB"/>
        </w:rPr>
        <w:t xml:space="preserve">as short-term rental spaces. It should also be </w:t>
      </w:r>
      <w:r w:rsidR="00D64DD6">
        <w:rPr>
          <w:lang w:val="en-GB"/>
        </w:rPr>
        <w:t>noted</w:t>
      </w:r>
      <w:r w:rsidR="00D64DD6" w:rsidRPr="004510D0">
        <w:rPr>
          <w:lang w:val="en-GB"/>
        </w:rPr>
        <w:t xml:space="preserve"> </w:t>
      </w:r>
      <w:r w:rsidR="001A4A6A" w:rsidRPr="004510D0">
        <w:rPr>
          <w:lang w:val="en-GB"/>
        </w:rPr>
        <w:t xml:space="preserve">that about half of the beds are not </w:t>
      </w:r>
      <w:r w:rsidR="00D64DD6">
        <w:rPr>
          <w:lang w:val="en-GB"/>
        </w:rPr>
        <w:t>available</w:t>
      </w:r>
      <w:r w:rsidR="00D64DD6" w:rsidRPr="004510D0">
        <w:rPr>
          <w:lang w:val="en-GB"/>
        </w:rPr>
        <w:t xml:space="preserve"> </w:t>
      </w:r>
      <w:r w:rsidR="00D64DD6" w:rsidRPr="00D64DD6">
        <w:rPr>
          <w:lang w:val="en-GB"/>
        </w:rPr>
        <w:t>year-round</w:t>
      </w:r>
      <w:r w:rsidR="001A4A6A" w:rsidRPr="004510D0">
        <w:rPr>
          <w:lang w:val="en-GB"/>
        </w:rPr>
        <w:t xml:space="preserve">, </w:t>
      </w:r>
      <w:r w:rsidR="00A40D71" w:rsidRPr="00A40D71">
        <w:rPr>
          <w:lang w:val="en-GB"/>
        </w:rPr>
        <w:t xml:space="preserve">meaning that the effective </w:t>
      </w:r>
      <w:r w:rsidR="001A4A6A" w:rsidRPr="004510D0">
        <w:rPr>
          <w:lang w:val="en-GB"/>
        </w:rPr>
        <w:t xml:space="preserve">supply is somewhat lower. The volume of demand </w:t>
      </w:r>
      <w:r w:rsidR="006E3CB9" w:rsidRPr="00514229">
        <w:rPr>
          <w:b/>
          <w:bCs/>
          <w:lang w:val="en-GB"/>
        </w:rPr>
        <w:t>in 2023</w:t>
      </w:r>
      <w:r w:rsidR="006E3CB9">
        <w:rPr>
          <w:lang w:val="en-GB"/>
        </w:rPr>
        <w:t xml:space="preserve"> is</w:t>
      </w:r>
      <w:r w:rsidR="001A4A6A" w:rsidRPr="004510D0">
        <w:rPr>
          <w:lang w:val="en-GB"/>
        </w:rPr>
        <w:t xml:space="preserve"> estimated at </w:t>
      </w:r>
      <w:r w:rsidR="001A4A6A" w:rsidRPr="00514229">
        <w:rPr>
          <w:rFonts w:eastAsiaTheme="minorEastAsia"/>
          <w:b/>
          <w:bCs/>
          <w:lang w:val="en-GB"/>
        </w:rPr>
        <w:t>approximately</w:t>
      </w:r>
      <w:r w:rsidR="001A4A6A" w:rsidRPr="004510D0">
        <w:rPr>
          <w:rFonts w:eastAsiaTheme="minorEastAsia"/>
          <w:b/>
          <w:bCs/>
          <w:i/>
          <w:iCs/>
          <w:lang w:val="en-GB"/>
        </w:rPr>
        <w:t xml:space="preserve"> </w:t>
      </w:r>
      <w:r w:rsidR="001A4A6A" w:rsidRPr="004510D0">
        <w:rPr>
          <w:rFonts w:eastAsiaTheme="minorEastAsia"/>
          <w:b/>
          <w:bCs/>
          <w:lang w:val="en-GB"/>
        </w:rPr>
        <w:t xml:space="preserve">1.5 million overnight stays </w:t>
      </w:r>
      <w:r w:rsidR="001A4A6A" w:rsidRPr="004510D0">
        <w:rPr>
          <w:rFonts w:eastAsiaTheme="minorEastAsia"/>
          <w:lang w:val="en-GB"/>
        </w:rPr>
        <w:t>and slightly more than 600</w:t>
      </w:r>
      <w:r w:rsidR="006E3CB9">
        <w:rPr>
          <w:rFonts w:eastAsiaTheme="minorEastAsia"/>
          <w:lang w:val="en-GB"/>
        </w:rPr>
        <w:t>,000</w:t>
      </w:r>
      <w:r w:rsidR="001A4A6A" w:rsidRPr="004510D0">
        <w:rPr>
          <w:rFonts w:eastAsiaTheme="minorEastAsia"/>
          <w:lang w:val="en-GB"/>
        </w:rPr>
        <w:t xml:space="preserve"> accommodated </w:t>
      </w:r>
      <w:r w:rsidR="00722093">
        <w:rPr>
          <w:rFonts w:eastAsiaTheme="minorEastAsia"/>
          <w:lang w:val="en-GB"/>
        </w:rPr>
        <w:t>guests</w:t>
      </w:r>
      <w:r w:rsidR="001A4A6A" w:rsidRPr="004510D0">
        <w:rPr>
          <w:rFonts w:eastAsiaTheme="minorEastAsia"/>
          <w:b/>
          <w:bCs/>
          <w:lang w:val="en-GB"/>
        </w:rPr>
        <w:t xml:space="preserve">, </w:t>
      </w:r>
      <w:r w:rsidR="00BA167D">
        <w:rPr>
          <w:rFonts w:eastAsiaTheme="minorEastAsia"/>
          <w:b/>
          <w:bCs/>
          <w:lang w:val="en-GB"/>
        </w:rPr>
        <w:t xml:space="preserve">about </w:t>
      </w:r>
      <w:r w:rsidR="001A4A6A" w:rsidRPr="00514229">
        <w:rPr>
          <w:rFonts w:eastAsiaTheme="minorEastAsia"/>
          <w:b/>
          <w:bCs/>
          <w:lang w:val="en-GB"/>
        </w:rPr>
        <w:t>half</w:t>
      </w:r>
      <w:r w:rsidR="00BA167D" w:rsidRPr="00514229">
        <w:rPr>
          <w:rFonts w:eastAsiaTheme="minorEastAsia"/>
          <w:b/>
          <w:bCs/>
          <w:lang w:val="en-GB"/>
        </w:rPr>
        <w:t xml:space="preserve"> of whom</w:t>
      </w:r>
      <w:r w:rsidR="001A4A6A" w:rsidRPr="00514229">
        <w:rPr>
          <w:rFonts w:eastAsiaTheme="minorEastAsia"/>
          <w:b/>
          <w:bCs/>
          <w:lang w:val="en-GB"/>
        </w:rPr>
        <w:t xml:space="preserve"> were in Tallinn</w:t>
      </w:r>
      <w:r w:rsidR="001A4A6A" w:rsidRPr="004510D0">
        <w:rPr>
          <w:rFonts w:eastAsiaTheme="minorEastAsia"/>
          <w:lang w:val="en-GB"/>
        </w:rPr>
        <w:t>. Based on the data, it can be concluded that the Estonian short-term rental market is characterised by:</w:t>
      </w:r>
    </w:p>
    <w:p w14:paraId="0A2A1052" w14:textId="61A75A83" w:rsidR="001A4A6A" w:rsidRPr="004510D0" w:rsidRDefault="001A4A6A" w:rsidP="001A4A6A">
      <w:pPr>
        <w:pStyle w:val="ListParagraph"/>
        <w:numPr>
          <w:ilvl w:val="0"/>
          <w:numId w:val="74"/>
        </w:numPr>
        <w:spacing w:before="0" w:line="259" w:lineRule="auto"/>
        <w:jc w:val="both"/>
        <w:rPr>
          <w:rFonts w:eastAsiaTheme="minorEastAsia"/>
          <w:lang w:val="en-GB"/>
        </w:rPr>
      </w:pPr>
      <w:r w:rsidRPr="004510D0">
        <w:rPr>
          <w:rFonts w:eastAsiaTheme="minorEastAsia"/>
          <w:lang w:val="en-GB"/>
        </w:rPr>
        <w:t xml:space="preserve">About three-quarters of the offers </w:t>
      </w:r>
      <w:r w:rsidR="00EF106D">
        <w:rPr>
          <w:rFonts w:eastAsiaTheme="minorEastAsia"/>
          <w:lang w:val="en-GB"/>
        </w:rPr>
        <w:t>consist</w:t>
      </w:r>
      <w:r w:rsidR="007D0411">
        <w:rPr>
          <w:rFonts w:eastAsiaTheme="minorEastAsia"/>
          <w:lang w:val="en-GB"/>
        </w:rPr>
        <w:t xml:space="preserve"> of</w:t>
      </w:r>
      <w:r w:rsidR="00EF106D" w:rsidRPr="004510D0">
        <w:rPr>
          <w:rFonts w:eastAsiaTheme="minorEastAsia"/>
          <w:lang w:val="en-GB"/>
        </w:rPr>
        <w:t xml:space="preserve"> </w:t>
      </w:r>
      <w:r w:rsidRPr="004510D0">
        <w:rPr>
          <w:rFonts w:eastAsiaTheme="minorEastAsia"/>
          <w:lang w:val="en-GB"/>
        </w:rPr>
        <w:t xml:space="preserve">small </w:t>
      </w:r>
      <w:r w:rsidR="007D0411">
        <w:rPr>
          <w:rFonts w:eastAsiaTheme="minorEastAsia"/>
          <w:lang w:val="en-GB"/>
        </w:rPr>
        <w:t>one</w:t>
      </w:r>
      <w:r w:rsidRPr="004510D0">
        <w:rPr>
          <w:rFonts w:eastAsiaTheme="minorEastAsia"/>
          <w:lang w:val="en-GB"/>
        </w:rPr>
        <w:t xml:space="preserve">- and </w:t>
      </w:r>
      <w:r w:rsidR="007D0411">
        <w:rPr>
          <w:rFonts w:eastAsiaTheme="minorEastAsia"/>
          <w:lang w:val="en-GB"/>
        </w:rPr>
        <w:t>two</w:t>
      </w:r>
      <w:r w:rsidRPr="004510D0">
        <w:rPr>
          <w:rFonts w:eastAsiaTheme="minorEastAsia"/>
          <w:lang w:val="en-GB"/>
        </w:rPr>
        <w:t xml:space="preserve">-room accommodations, and </w:t>
      </w:r>
      <w:r w:rsidR="00360B2A" w:rsidRPr="00360B2A">
        <w:rPr>
          <w:rFonts w:eastAsiaTheme="minorEastAsia"/>
          <w:lang w:val="en-GB"/>
        </w:rPr>
        <w:t>approximately</w:t>
      </w:r>
      <w:r w:rsidR="00101BBD">
        <w:rPr>
          <w:rFonts w:eastAsiaTheme="minorEastAsia"/>
          <w:lang w:val="en-GB"/>
        </w:rPr>
        <w:t xml:space="preserve"> </w:t>
      </w:r>
      <w:r w:rsidRPr="004510D0">
        <w:rPr>
          <w:rFonts w:eastAsiaTheme="minorEastAsia"/>
          <w:lang w:val="en-GB"/>
        </w:rPr>
        <w:t xml:space="preserve">93% </w:t>
      </w:r>
      <w:r w:rsidR="00360B2A" w:rsidRPr="00360B2A">
        <w:rPr>
          <w:rFonts w:eastAsiaTheme="minorEastAsia"/>
          <w:lang w:val="en-GB"/>
        </w:rPr>
        <w:t xml:space="preserve">have fewer </w:t>
      </w:r>
      <w:r w:rsidRPr="004510D0">
        <w:rPr>
          <w:rFonts w:eastAsiaTheme="minorEastAsia"/>
          <w:lang w:val="en-GB"/>
        </w:rPr>
        <w:t xml:space="preserve">than </w:t>
      </w:r>
      <w:r w:rsidR="00360B2A">
        <w:rPr>
          <w:rFonts w:eastAsiaTheme="minorEastAsia"/>
          <w:lang w:val="en-GB"/>
        </w:rPr>
        <w:t>five</w:t>
      </w:r>
      <w:r w:rsidR="00360B2A" w:rsidRPr="004510D0">
        <w:rPr>
          <w:rFonts w:eastAsiaTheme="minorEastAsia"/>
          <w:lang w:val="en-GB"/>
        </w:rPr>
        <w:t xml:space="preserve"> </w:t>
      </w:r>
      <w:r w:rsidRPr="004510D0">
        <w:rPr>
          <w:rFonts w:eastAsiaTheme="minorEastAsia"/>
          <w:lang w:val="en-GB"/>
        </w:rPr>
        <w:t>beds. The latter are subject to more lenient requirements under the Tourism Act.</w:t>
      </w:r>
    </w:p>
    <w:p w14:paraId="0AC0D0DD" w14:textId="4F309625" w:rsidR="001A4A6A" w:rsidRPr="004510D0" w:rsidRDefault="002E2A1D" w:rsidP="001A4A6A">
      <w:pPr>
        <w:pStyle w:val="ListParagraph"/>
        <w:numPr>
          <w:ilvl w:val="0"/>
          <w:numId w:val="74"/>
        </w:numPr>
        <w:spacing w:before="0" w:line="259" w:lineRule="auto"/>
        <w:jc w:val="both"/>
        <w:rPr>
          <w:rFonts w:eastAsiaTheme="minorEastAsia"/>
          <w:lang w:val="en-GB"/>
        </w:rPr>
      </w:pPr>
      <w:r w:rsidRPr="002E2A1D">
        <w:rPr>
          <w:rFonts w:eastAsiaTheme="minorEastAsia"/>
          <w:lang w:val="en-GB"/>
        </w:rPr>
        <w:t xml:space="preserve">Two-thirds </w:t>
      </w:r>
      <w:r w:rsidR="001A4A6A" w:rsidRPr="004510D0">
        <w:rPr>
          <w:rFonts w:eastAsiaTheme="minorEastAsia"/>
          <w:lang w:val="en-GB"/>
        </w:rPr>
        <w:t xml:space="preserve">of the offers are </w:t>
      </w:r>
      <w:r w:rsidR="00C13581" w:rsidRPr="002E2A1D">
        <w:rPr>
          <w:rFonts w:eastAsiaTheme="minorEastAsia"/>
          <w:lang w:val="en-GB"/>
        </w:rPr>
        <w:t>concentrated</w:t>
      </w:r>
      <w:r w:rsidR="00C13581">
        <w:rPr>
          <w:rFonts w:eastAsiaTheme="minorEastAsia"/>
          <w:lang w:val="en-GB"/>
        </w:rPr>
        <w:t xml:space="preserve"> </w:t>
      </w:r>
      <w:r w:rsidR="001A4A6A" w:rsidRPr="004510D0">
        <w:rPr>
          <w:rFonts w:eastAsiaTheme="minorEastAsia"/>
          <w:lang w:val="en-GB"/>
        </w:rPr>
        <w:t>in four regions (Tallinn/Harju County, Tartu County, Pärnu County and Lääne County), with Harju County and Pärnu County together accounting for half of the total</w:t>
      </w:r>
      <w:r w:rsidR="00D36627">
        <w:rPr>
          <w:rFonts w:eastAsiaTheme="minorEastAsia"/>
          <w:lang w:val="en-GB"/>
        </w:rPr>
        <w:t>. Within</w:t>
      </w:r>
      <w:r w:rsidR="001A4A6A" w:rsidRPr="004510D0">
        <w:rPr>
          <w:rFonts w:eastAsiaTheme="minorEastAsia"/>
          <w:lang w:val="en-GB"/>
        </w:rPr>
        <w:t xml:space="preserve"> these regions, transactions are </w:t>
      </w:r>
      <w:r w:rsidR="00D36627">
        <w:rPr>
          <w:rFonts w:eastAsiaTheme="minorEastAsia"/>
          <w:lang w:val="en-GB"/>
        </w:rPr>
        <w:t>focused</w:t>
      </w:r>
      <w:r w:rsidR="00D36627" w:rsidRPr="004510D0">
        <w:rPr>
          <w:rFonts w:eastAsiaTheme="minorEastAsia"/>
          <w:lang w:val="en-GB"/>
        </w:rPr>
        <w:t xml:space="preserve"> </w:t>
      </w:r>
      <w:r w:rsidR="001A4A6A" w:rsidRPr="004510D0">
        <w:rPr>
          <w:rFonts w:eastAsiaTheme="minorEastAsia"/>
          <w:lang w:val="en-GB"/>
        </w:rPr>
        <w:t>in the city centre and Old Town area</w:t>
      </w:r>
      <w:r w:rsidR="00817439">
        <w:rPr>
          <w:rFonts w:eastAsiaTheme="minorEastAsia"/>
          <w:lang w:val="en-GB"/>
        </w:rPr>
        <w:t>s</w:t>
      </w:r>
      <w:r w:rsidR="001A4A6A" w:rsidRPr="004510D0">
        <w:rPr>
          <w:rFonts w:eastAsiaTheme="minorEastAsia"/>
          <w:lang w:val="en-GB"/>
        </w:rPr>
        <w:t xml:space="preserve">. This </w:t>
      </w:r>
      <w:r w:rsidR="009F06DA">
        <w:rPr>
          <w:rFonts w:eastAsiaTheme="minorEastAsia"/>
          <w:lang w:val="en-GB"/>
        </w:rPr>
        <w:t>indicates</w:t>
      </w:r>
      <w:r w:rsidR="009F06DA" w:rsidRPr="004510D0">
        <w:rPr>
          <w:rFonts w:eastAsiaTheme="minorEastAsia"/>
          <w:lang w:val="en-GB"/>
        </w:rPr>
        <w:t xml:space="preserve"> </w:t>
      </w:r>
      <w:r w:rsidR="001A4A6A" w:rsidRPr="004510D0">
        <w:rPr>
          <w:rFonts w:eastAsiaTheme="minorEastAsia"/>
          <w:lang w:val="en-GB"/>
        </w:rPr>
        <w:t xml:space="preserve">that the market is </w:t>
      </w:r>
      <w:r w:rsidR="009F06DA">
        <w:rPr>
          <w:rFonts w:eastAsiaTheme="minorEastAsia"/>
          <w:lang w:val="en-GB"/>
        </w:rPr>
        <w:t>highly</w:t>
      </w:r>
      <w:r w:rsidR="009F06DA" w:rsidRPr="004510D0">
        <w:rPr>
          <w:rFonts w:eastAsiaTheme="minorEastAsia"/>
          <w:lang w:val="en-GB"/>
        </w:rPr>
        <w:t xml:space="preserve"> </w:t>
      </w:r>
      <w:r w:rsidR="001A4A6A" w:rsidRPr="004510D0">
        <w:rPr>
          <w:rFonts w:eastAsiaTheme="minorEastAsia"/>
          <w:lang w:val="en-GB"/>
        </w:rPr>
        <w:t xml:space="preserve">active only in a few </w:t>
      </w:r>
      <w:r w:rsidR="00580942">
        <w:rPr>
          <w:rFonts w:eastAsiaTheme="minorEastAsia"/>
          <w:lang w:val="en-GB"/>
        </w:rPr>
        <w:t>limited</w:t>
      </w:r>
      <w:r w:rsidR="00580942" w:rsidRPr="004510D0">
        <w:rPr>
          <w:rFonts w:eastAsiaTheme="minorEastAsia"/>
          <w:lang w:val="en-GB"/>
        </w:rPr>
        <w:t xml:space="preserve"> </w:t>
      </w:r>
      <w:r w:rsidR="001A4A6A" w:rsidRPr="004510D0">
        <w:rPr>
          <w:rFonts w:eastAsiaTheme="minorEastAsia"/>
          <w:lang w:val="en-GB"/>
        </w:rPr>
        <w:t>areas.</w:t>
      </w:r>
    </w:p>
    <w:p w14:paraId="2219752B" w14:textId="2A9EADE7" w:rsidR="001A4A6A" w:rsidRPr="004510D0" w:rsidRDefault="001A4A6A" w:rsidP="001A4A6A">
      <w:pPr>
        <w:pStyle w:val="ListParagraph"/>
        <w:numPr>
          <w:ilvl w:val="0"/>
          <w:numId w:val="74"/>
        </w:numPr>
        <w:spacing w:before="0" w:line="257" w:lineRule="auto"/>
        <w:jc w:val="both"/>
        <w:rPr>
          <w:rFonts w:eastAsiaTheme="minorEastAsia"/>
          <w:lang w:val="en-GB"/>
        </w:rPr>
      </w:pPr>
      <w:r w:rsidRPr="004510D0">
        <w:rPr>
          <w:rFonts w:eastAsiaTheme="minorEastAsia"/>
          <w:lang w:val="en-GB"/>
        </w:rPr>
        <w:t xml:space="preserve">In </w:t>
      </w:r>
      <w:r w:rsidR="00E42009" w:rsidRPr="00E42009">
        <w:rPr>
          <w:rFonts w:eastAsiaTheme="minorEastAsia"/>
          <w:lang w:val="en-GB"/>
        </w:rPr>
        <w:t xml:space="preserve">approximately </w:t>
      </w:r>
      <w:r w:rsidRPr="004510D0">
        <w:rPr>
          <w:rFonts w:eastAsiaTheme="minorEastAsia"/>
          <w:lang w:val="en-GB"/>
        </w:rPr>
        <w:t xml:space="preserve">98% of cases, the entire </w:t>
      </w:r>
      <w:r w:rsidR="008573C0">
        <w:rPr>
          <w:rFonts w:eastAsiaTheme="minorEastAsia"/>
          <w:lang w:val="en-GB"/>
        </w:rPr>
        <w:t>dwelling</w:t>
      </w:r>
      <w:r w:rsidR="008573C0" w:rsidRPr="004510D0">
        <w:rPr>
          <w:rFonts w:eastAsiaTheme="minorEastAsia"/>
          <w:lang w:val="en-GB"/>
        </w:rPr>
        <w:t xml:space="preserve"> </w:t>
      </w:r>
      <w:r w:rsidRPr="004510D0">
        <w:rPr>
          <w:rFonts w:eastAsiaTheme="minorEastAsia"/>
          <w:lang w:val="en-GB"/>
        </w:rPr>
        <w:t>is rented out</w:t>
      </w:r>
      <w:r w:rsidR="002A010C">
        <w:rPr>
          <w:rFonts w:eastAsiaTheme="minorEastAsia"/>
          <w:lang w:val="en-GB"/>
        </w:rPr>
        <w:t>.</w:t>
      </w:r>
      <w:r w:rsidRPr="004510D0">
        <w:rPr>
          <w:rFonts w:eastAsiaTheme="minorEastAsia"/>
          <w:lang w:val="en-GB"/>
        </w:rPr>
        <w:t xml:space="preserve"> </w:t>
      </w:r>
      <w:r w:rsidR="002A010C">
        <w:rPr>
          <w:rFonts w:eastAsiaTheme="minorEastAsia"/>
          <w:lang w:val="en-GB"/>
        </w:rPr>
        <w:t>A</w:t>
      </w:r>
      <w:r w:rsidRPr="004510D0">
        <w:rPr>
          <w:rFonts w:eastAsiaTheme="minorEastAsia"/>
          <w:lang w:val="en-GB"/>
        </w:rPr>
        <w:t xml:space="preserve">t least </w:t>
      </w:r>
      <w:r w:rsidR="0093074B" w:rsidRPr="00E42009">
        <w:rPr>
          <w:rFonts w:eastAsiaTheme="minorEastAsia"/>
          <w:lang w:val="en-GB"/>
        </w:rPr>
        <w:t>three-quarters</w:t>
      </w:r>
      <w:r w:rsidRPr="004510D0">
        <w:rPr>
          <w:rFonts w:eastAsiaTheme="minorEastAsia"/>
          <w:lang w:val="en-GB"/>
        </w:rPr>
        <w:t xml:space="preserve"> of the economically active market in Estonia</w:t>
      </w:r>
      <w:r w:rsidR="0093074B">
        <w:rPr>
          <w:rFonts w:eastAsiaTheme="minorEastAsia"/>
          <w:lang w:val="en-GB"/>
        </w:rPr>
        <w:t>,</w:t>
      </w:r>
      <w:r w:rsidRPr="004510D0">
        <w:rPr>
          <w:rFonts w:eastAsiaTheme="minorEastAsia"/>
          <w:lang w:val="en-GB"/>
        </w:rPr>
        <w:t xml:space="preserve"> and </w:t>
      </w:r>
      <w:r w:rsidR="0093074B" w:rsidRPr="00E42009">
        <w:rPr>
          <w:rFonts w:eastAsiaTheme="minorEastAsia"/>
          <w:lang w:val="en-GB"/>
        </w:rPr>
        <w:t xml:space="preserve">more than four-fifths </w:t>
      </w:r>
      <w:r w:rsidRPr="004510D0">
        <w:rPr>
          <w:rFonts w:eastAsiaTheme="minorEastAsia"/>
          <w:lang w:val="en-GB"/>
        </w:rPr>
        <w:t>in Tallinn</w:t>
      </w:r>
      <w:r w:rsidR="00215FC5">
        <w:rPr>
          <w:rFonts w:eastAsiaTheme="minorEastAsia"/>
          <w:lang w:val="en-GB"/>
        </w:rPr>
        <w:t>, consist of</w:t>
      </w:r>
      <w:r w:rsidRPr="004510D0">
        <w:rPr>
          <w:rFonts w:eastAsiaTheme="minorEastAsia"/>
          <w:lang w:val="en-GB"/>
        </w:rPr>
        <w:t xml:space="preserve"> permanent </w:t>
      </w:r>
      <w:r w:rsidR="001D5F0F" w:rsidRPr="004510D0">
        <w:rPr>
          <w:rFonts w:eastAsiaTheme="minorEastAsia"/>
          <w:lang w:val="en-GB"/>
        </w:rPr>
        <w:t>economic activity</w:t>
      </w:r>
      <w:r w:rsidR="005D65CF" w:rsidRPr="004510D0">
        <w:rPr>
          <w:rFonts w:eastAsiaTheme="minorEastAsia"/>
          <w:lang w:val="en-GB"/>
        </w:rPr>
        <w:t xml:space="preserve">, or entrepreneurship </w:t>
      </w:r>
      <w:r w:rsidRPr="004510D0">
        <w:rPr>
          <w:rFonts w:eastAsiaTheme="minorEastAsia"/>
          <w:lang w:val="en-GB"/>
        </w:rPr>
        <w:t xml:space="preserve">(i.e. not occasional or temporary, but </w:t>
      </w:r>
      <w:r w:rsidR="005D65CF" w:rsidRPr="00E42009">
        <w:rPr>
          <w:rFonts w:eastAsiaTheme="minorEastAsia"/>
          <w:lang w:val="en-GB"/>
        </w:rPr>
        <w:lastRenderedPageBreak/>
        <w:t xml:space="preserve">conducted </w:t>
      </w:r>
      <w:r w:rsidRPr="004510D0">
        <w:rPr>
          <w:rFonts w:eastAsiaTheme="minorEastAsia"/>
          <w:lang w:val="en-GB"/>
        </w:rPr>
        <w:t xml:space="preserve">through a legal entity). This indicates that a large </w:t>
      </w:r>
      <w:r w:rsidR="00327FAC">
        <w:rPr>
          <w:rFonts w:eastAsiaTheme="minorEastAsia"/>
          <w:lang w:val="en-GB"/>
        </w:rPr>
        <w:t>share</w:t>
      </w:r>
      <w:r w:rsidR="00327FAC" w:rsidRPr="004510D0">
        <w:rPr>
          <w:rFonts w:eastAsiaTheme="minorEastAsia"/>
          <w:lang w:val="en-GB"/>
        </w:rPr>
        <w:t xml:space="preserve"> </w:t>
      </w:r>
      <w:r w:rsidRPr="004510D0">
        <w:rPr>
          <w:rFonts w:eastAsiaTheme="minorEastAsia"/>
          <w:lang w:val="en-GB"/>
        </w:rPr>
        <w:t xml:space="preserve">of the market </w:t>
      </w:r>
      <w:r w:rsidR="00327FAC">
        <w:rPr>
          <w:rFonts w:eastAsiaTheme="minorEastAsia"/>
          <w:lang w:val="en-GB"/>
        </w:rPr>
        <w:t>does</w:t>
      </w:r>
      <w:r w:rsidR="00327FAC" w:rsidRPr="004510D0">
        <w:rPr>
          <w:rFonts w:eastAsiaTheme="minorEastAsia"/>
          <w:lang w:val="en-GB"/>
        </w:rPr>
        <w:t xml:space="preserve"> </w:t>
      </w:r>
      <w:r w:rsidRPr="004510D0">
        <w:rPr>
          <w:rFonts w:eastAsiaTheme="minorEastAsia"/>
          <w:lang w:val="en-GB"/>
        </w:rPr>
        <w:t>not</w:t>
      </w:r>
      <w:r w:rsidR="00327FAC">
        <w:rPr>
          <w:rFonts w:eastAsiaTheme="minorEastAsia"/>
          <w:lang w:val="en-GB"/>
        </w:rPr>
        <w:t xml:space="preserve"> correspond to</w:t>
      </w:r>
      <w:r w:rsidRPr="004510D0">
        <w:rPr>
          <w:rFonts w:eastAsiaTheme="minorEastAsia"/>
          <w:lang w:val="en-GB"/>
        </w:rPr>
        <w:t xml:space="preserve"> </w:t>
      </w:r>
      <w:r w:rsidR="001F0D44">
        <w:rPr>
          <w:rFonts w:eastAsiaTheme="minorEastAsia"/>
          <w:lang w:val="en-GB"/>
        </w:rPr>
        <w:t>the</w:t>
      </w:r>
      <w:r w:rsidR="001F0D44" w:rsidRPr="004510D0">
        <w:rPr>
          <w:rFonts w:eastAsiaTheme="minorEastAsia"/>
          <w:lang w:val="en-GB"/>
        </w:rPr>
        <w:t xml:space="preserve"> </w:t>
      </w:r>
      <w:r w:rsidRPr="004510D0">
        <w:rPr>
          <w:rFonts w:eastAsiaTheme="minorEastAsia"/>
          <w:lang w:val="en-GB"/>
        </w:rPr>
        <w:t xml:space="preserve">classic sharing economy, but </w:t>
      </w:r>
      <w:r w:rsidR="004C24BA">
        <w:rPr>
          <w:rFonts w:eastAsiaTheme="minorEastAsia"/>
          <w:lang w:val="en-GB"/>
        </w:rPr>
        <w:t>rather to</w:t>
      </w:r>
      <w:r w:rsidRPr="004510D0">
        <w:rPr>
          <w:rFonts w:eastAsiaTheme="minorEastAsia"/>
          <w:lang w:val="en-GB"/>
        </w:rPr>
        <w:t xml:space="preserve"> activity carried out for professional and commercial purposes.</w:t>
      </w:r>
    </w:p>
    <w:p w14:paraId="45B0C604" w14:textId="0BE8493E" w:rsidR="001A4A6A" w:rsidRPr="004510D0" w:rsidRDefault="001A4A6A" w:rsidP="001A4A6A">
      <w:pPr>
        <w:pStyle w:val="ListParagraph"/>
        <w:numPr>
          <w:ilvl w:val="0"/>
          <w:numId w:val="74"/>
        </w:numPr>
        <w:spacing w:before="0" w:line="257" w:lineRule="auto"/>
        <w:jc w:val="both"/>
        <w:rPr>
          <w:rFonts w:eastAsiaTheme="minorEastAsia"/>
          <w:lang w:val="en-GB"/>
        </w:rPr>
      </w:pPr>
      <w:r w:rsidRPr="004510D0">
        <w:rPr>
          <w:rFonts w:eastAsiaTheme="minorEastAsia"/>
          <w:lang w:val="en-GB"/>
        </w:rPr>
        <w:t xml:space="preserve">More than half of the offers are available for less than </w:t>
      </w:r>
      <w:r w:rsidR="005649E7">
        <w:rPr>
          <w:rFonts w:eastAsiaTheme="minorEastAsia"/>
          <w:lang w:val="en-GB"/>
        </w:rPr>
        <w:t>six</w:t>
      </w:r>
      <w:r w:rsidR="005649E7" w:rsidRPr="004510D0">
        <w:rPr>
          <w:rFonts w:eastAsiaTheme="minorEastAsia"/>
          <w:lang w:val="en-GB"/>
        </w:rPr>
        <w:t xml:space="preserve"> </w:t>
      </w:r>
      <w:r w:rsidRPr="004510D0">
        <w:rPr>
          <w:rFonts w:eastAsiaTheme="minorEastAsia"/>
          <w:lang w:val="en-GB"/>
        </w:rPr>
        <w:t xml:space="preserve">months a year, which </w:t>
      </w:r>
      <w:r w:rsidR="00EB06F4">
        <w:rPr>
          <w:rFonts w:eastAsiaTheme="minorEastAsia"/>
          <w:lang w:val="en-GB"/>
        </w:rPr>
        <w:t>points to both</w:t>
      </w:r>
      <w:r w:rsidR="00EB06F4" w:rsidRPr="004510D0">
        <w:rPr>
          <w:rFonts w:eastAsiaTheme="minorEastAsia"/>
          <w:lang w:val="en-GB"/>
        </w:rPr>
        <w:t xml:space="preserve"> </w:t>
      </w:r>
      <w:r w:rsidRPr="004510D0">
        <w:rPr>
          <w:rFonts w:eastAsiaTheme="minorEastAsia"/>
          <w:lang w:val="en-GB"/>
        </w:rPr>
        <w:t>the seasonality of the activities</w:t>
      </w:r>
      <w:r w:rsidR="00EB06F4">
        <w:rPr>
          <w:rFonts w:eastAsiaTheme="minorEastAsia"/>
          <w:lang w:val="en-GB"/>
        </w:rPr>
        <w:t xml:space="preserve"> and</w:t>
      </w:r>
      <w:r w:rsidRPr="004510D0">
        <w:rPr>
          <w:rFonts w:eastAsiaTheme="minorEastAsia"/>
          <w:lang w:val="en-GB"/>
        </w:rPr>
        <w:t xml:space="preserve"> the possibility that these </w:t>
      </w:r>
      <w:r w:rsidR="00816FE1">
        <w:rPr>
          <w:rFonts w:eastAsiaTheme="minorEastAsia"/>
          <w:lang w:val="en-GB"/>
        </w:rPr>
        <w:t>dwellings</w:t>
      </w:r>
      <w:r w:rsidR="003B0EBD" w:rsidRPr="004510D0">
        <w:rPr>
          <w:rFonts w:eastAsiaTheme="minorEastAsia"/>
          <w:lang w:val="en-GB"/>
        </w:rPr>
        <w:t xml:space="preserve"> </w:t>
      </w:r>
      <w:r w:rsidRPr="004510D0">
        <w:rPr>
          <w:rFonts w:eastAsiaTheme="minorEastAsia"/>
          <w:lang w:val="en-GB"/>
        </w:rPr>
        <w:t>are also used for permanent residence</w:t>
      </w:r>
      <w:r w:rsidR="00EE7677">
        <w:rPr>
          <w:rFonts w:eastAsiaTheme="minorEastAsia"/>
          <w:lang w:val="en-GB"/>
        </w:rPr>
        <w:t>s</w:t>
      </w:r>
      <w:r>
        <w:rPr>
          <w:rFonts w:eastAsiaTheme="minorEastAsia"/>
          <w:lang w:val="en-GB"/>
        </w:rPr>
        <w:t>,</w:t>
      </w:r>
      <w:r w:rsidRPr="004510D0">
        <w:rPr>
          <w:rFonts w:eastAsiaTheme="minorEastAsia"/>
          <w:lang w:val="en-GB"/>
        </w:rPr>
        <w:t xml:space="preserve"> </w:t>
      </w:r>
      <w:r w:rsidR="000766E1">
        <w:rPr>
          <w:rFonts w:eastAsiaTheme="minorEastAsia"/>
          <w:lang w:val="en-GB"/>
        </w:rPr>
        <w:t>with</w:t>
      </w:r>
      <w:r w:rsidRPr="004510D0">
        <w:rPr>
          <w:rFonts w:eastAsiaTheme="minorEastAsia"/>
          <w:lang w:val="en-GB"/>
        </w:rPr>
        <w:t xml:space="preserve"> accommodation service offered in the form of a sharing economy.</w:t>
      </w:r>
      <w:r w:rsidRPr="004510D0">
        <w:rPr>
          <w:lang w:val="en-GB"/>
        </w:rPr>
        <w:t xml:space="preserve"> </w:t>
      </w:r>
      <w:r w:rsidRPr="004510D0">
        <w:rPr>
          <w:rFonts w:eastAsiaTheme="minorEastAsia"/>
          <w:lang w:val="en-GB"/>
        </w:rPr>
        <w:t>The average rental income per property unit in 2023 was slightly over €5,900</w:t>
      </w:r>
      <w:r>
        <w:rPr>
          <w:rFonts w:eastAsiaTheme="minorEastAsia"/>
          <w:lang w:val="en-GB"/>
        </w:rPr>
        <w:t>,</w:t>
      </w:r>
      <w:r w:rsidRPr="004510D0">
        <w:rPr>
          <w:rFonts w:eastAsiaTheme="minorEastAsia"/>
          <w:lang w:val="en-GB"/>
        </w:rPr>
        <w:t xml:space="preserve"> </w:t>
      </w:r>
      <w:r w:rsidR="000766E1">
        <w:rPr>
          <w:rFonts w:eastAsiaTheme="minorEastAsia"/>
          <w:lang w:val="en-GB"/>
        </w:rPr>
        <w:t>while</w:t>
      </w:r>
      <w:r w:rsidR="000766E1" w:rsidRPr="004510D0">
        <w:rPr>
          <w:rFonts w:eastAsiaTheme="minorEastAsia"/>
          <w:lang w:val="en-GB"/>
        </w:rPr>
        <w:t xml:space="preserve"> </w:t>
      </w:r>
      <w:r w:rsidRPr="004510D0">
        <w:rPr>
          <w:rFonts w:eastAsiaTheme="minorEastAsia"/>
          <w:lang w:val="en-GB"/>
        </w:rPr>
        <w:t xml:space="preserve">the average rental income per </w:t>
      </w:r>
      <w:r w:rsidR="00D440FE">
        <w:rPr>
          <w:rFonts w:eastAsiaTheme="minorEastAsia"/>
          <w:lang w:val="en-GB"/>
        </w:rPr>
        <w:t>operator</w:t>
      </w:r>
      <w:r w:rsidR="00D440FE" w:rsidRPr="004510D0">
        <w:rPr>
          <w:rFonts w:eastAsiaTheme="minorEastAsia"/>
          <w:lang w:val="en-GB"/>
        </w:rPr>
        <w:t xml:space="preserve"> </w:t>
      </w:r>
      <w:r w:rsidRPr="004510D0">
        <w:rPr>
          <w:rFonts w:eastAsiaTheme="minorEastAsia"/>
          <w:lang w:val="en-GB"/>
        </w:rPr>
        <w:t xml:space="preserve">was nearly €9,200. The average number of nights rented out per property unit per year was 33 in the counties and 61 in the three separately </w:t>
      </w:r>
      <w:r>
        <w:rPr>
          <w:rFonts w:eastAsiaTheme="minorEastAsia"/>
          <w:lang w:val="en-GB"/>
        </w:rPr>
        <w:t>analysed</w:t>
      </w:r>
      <w:r w:rsidRPr="004510D0">
        <w:rPr>
          <w:rFonts w:eastAsiaTheme="minorEastAsia"/>
          <w:lang w:val="en-GB"/>
        </w:rPr>
        <w:t xml:space="preserve"> cities (Tallinn, Tartu, </w:t>
      </w:r>
      <w:r w:rsidR="00BA3AB2">
        <w:rPr>
          <w:rFonts w:eastAsiaTheme="minorEastAsia"/>
          <w:lang w:val="en-GB"/>
        </w:rPr>
        <w:t xml:space="preserve">and </w:t>
      </w:r>
      <w:r w:rsidRPr="004510D0">
        <w:rPr>
          <w:rFonts w:eastAsiaTheme="minorEastAsia"/>
          <w:lang w:val="en-GB"/>
        </w:rPr>
        <w:t>Pärnu).</w:t>
      </w:r>
    </w:p>
    <w:p w14:paraId="29A967AA" w14:textId="1E6251D6" w:rsidR="001A4A6A" w:rsidRPr="004510D0" w:rsidRDefault="001A4A6A" w:rsidP="001A4A6A">
      <w:pPr>
        <w:jc w:val="both"/>
        <w:rPr>
          <w:lang w:val="en-GB"/>
        </w:rPr>
      </w:pPr>
      <w:r w:rsidRPr="004510D0">
        <w:rPr>
          <w:lang w:val="en-GB"/>
        </w:rPr>
        <w:t xml:space="preserve">It is important to </w:t>
      </w:r>
      <w:r>
        <w:rPr>
          <w:lang w:val="en-GB"/>
        </w:rPr>
        <w:t>emphasise</w:t>
      </w:r>
      <w:r w:rsidRPr="004510D0">
        <w:rPr>
          <w:lang w:val="en-GB"/>
        </w:rPr>
        <w:t xml:space="preserve"> that </w:t>
      </w:r>
      <w:r w:rsidR="00D74444">
        <w:rPr>
          <w:lang w:val="en-GB"/>
        </w:rPr>
        <w:t>many</w:t>
      </w:r>
      <w:r w:rsidRPr="004510D0">
        <w:rPr>
          <w:lang w:val="en-GB"/>
        </w:rPr>
        <w:t xml:space="preserve"> of the offers described are likely </w:t>
      </w:r>
      <w:r w:rsidR="0075397C">
        <w:rPr>
          <w:lang w:val="en-GB"/>
        </w:rPr>
        <w:t>operated by</w:t>
      </w:r>
      <w:r w:rsidRPr="004510D0">
        <w:rPr>
          <w:lang w:val="en-GB"/>
        </w:rPr>
        <w:t xml:space="preserve"> companies and individuals who </w:t>
      </w:r>
      <w:r w:rsidR="0075397C">
        <w:rPr>
          <w:lang w:val="en-GB"/>
        </w:rPr>
        <w:t>comply with</w:t>
      </w:r>
      <w:r w:rsidRPr="004510D0">
        <w:rPr>
          <w:lang w:val="en-GB"/>
        </w:rPr>
        <w:t xml:space="preserve"> the requirements</w:t>
      </w:r>
      <w:r w:rsidR="0075397C">
        <w:rPr>
          <w:lang w:val="en-GB"/>
        </w:rPr>
        <w:t xml:space="preserve"> set out</w:t>
      </w:r>
      <w:r w:rsidR="00C701F7">
        <w:rPr>
          <w:lang w:val="en-GB"/>
        </w:rPr>
        <w:t xml:space="preserve"> in</w:t>
      </w:r>
      <w:r w:rsidRPr="004510D0">
        <w:rPr>
          <w:lang w:val="en-GB"/>
        </w:rPr>
        <w:t xml:space="preserve"> tourism, tax</w:t>
      </w:r>
      <w:r w:rsidR="00C701F7">
        <w:rPr>
          <w:lang w:val="en-GB"/>
        </w:rPr>
        <w:t xml:space="preserve"> and other applicable legislation</w:t>
      </w:r>
      <w:r w:rsidRPr="004510D0">
        <w:rPr>
          <w:lang w:val="en-GB"/>
        </w:rPr>
        <w:t>.</w:t>
      </w:r>
    </w:p>
    <w:p w14:paraId="62FAA0EC" w14:textId="354E8938" w:rsidR="001A4A6A" w:rsidRPr="00514229" w:rsidRDefault="001A4A6A" w:rsidP="001A4A6A">
      <w:pPr>
        <w:jc w:val="both"/>
        <w:rPr>
          <w:bCs/>
          <w:lang w:val="en-GB"/>
        </w:rPr>
      </w:pPr>
      <w:r w:rsidRPr="004510D0">
        <w:rPr>
          <w:lang w:val="en-GB"/>
        </w:rPr>
        <w:t>The rapid development of the short-term rental market</w:t>
      </w:r>
      <w:r w:rsidR="00143363" w:rsidRPr="00143363">
        <w:rPr>
          <w:lang w:val="en-GB"/>
        </w:rPr>
        <w:t>—</w:t>
      </w:r>
      <w:r w:rsidRPr="004510D0">
        <w:rPr>
          <w:lang w:val="en-GB"/>
        </w:rPr>
        <w:t>especially in tourist areas</w:t>
      </w:r>
      <w:r w:rsidR="00143363" w:rsidRPr="00143363">
        <w:rPr>
          <w:lang w:val="en-GB"/>
        </w:rPr>
        <w:t>—</w:t>
      </w:r>
      <w:r w:rsidR="00143363">
        <w:rPr>
          <w:b/>
          <w:bCs/>
          <w:lang w:val="en-GB"/>
        </w:rPr>
        <w:t xml:space="preserve">has </w:t>
      </w:r>
      <w:r w:rsidRPr="004510D0">
        <w:rPr>
          <w:b/>
          <w:bCs/>
          <w:lang w:val="en-GB"/>
        </w:rPr>
        <w:t>br</w:t>
      </w:r>
      <w:r w:rsidR="00143363">
        <w:rPr>
          <w:b/>
          <w:bCs/>
          <w:lang w:val="en-GB"/>
        </w:rPr>
        <w:t>ought</w:t>
      </w:r>
      <w:r w:rsidRPr="004510D0">
        <w:rPr>
          <w:b/>
          <w:bCs/>
          <w:lang w:val="en-GB"/>
        </w:rPr>
        <w:t xml:space="preserve"> </w:t>
      </w:r>
      <w:r w:rsidR="000C042E">
        <w:rPr>
          <w:b/>
          <w:bCs/>
          <w:lang w:val="en-GB"/>
        </w:rPr>
        <w:t>a range of</w:t>
      </w:r>
      <w:r w:rsidRPr="004510D0">
        <w:rPr>
          <w:b/>
          <w:bCs/>
          <w:lang w:val="en-GB"/>
        </w:rPr>
        <w:t xml:space="preserve"> positive and negative socio-economic impacts</w:t>
      </w:r>
      <w:r w:rsidRPr="00514229">
        <w:rPr>
          <w:lang w:val="en-GB"/>
        </w:rPr>
        <w:t xml:space="preserve">. </w:t>
      </w:r>
      <w:r w:rsidR="000C042E">
        <w:rPr>
          <w:lang w:val="en-GB"/>
        </w:rPr>
        <w:t>Studies i</w:t>
      </w:r>
      <w:r w:rsidRPr="004510D0">
        <w:rPr>
          <w:lang w:val="en-GB"/>
        </w:rPr>
        <w:t xml:space="preserve">n </w:t>
      </w:r>
      <w:r w:rsidR="000C042E">
        <w:rPr>
          <w:lang w:val="en-GB"/>
        </w:rPr>
        <w:t>other</w:t>
      </w:r>
      <w:r w:rsidR="000C042E" w:rsidRPr="004510D0">
        <w:rPr>
          <w:lang w:val="en-GB"/>
        </w:rPr>
        <w:t xml:space="preserve"> </w:t>
      </w:r>
      <w:r w:rsidRPr="004510D0">
        <w:rPr>
          <w:lang w:val="en-GB"/>
        </w:rPr>
        <w:t xml:space="preserve">countries </w:t>
      </w:r>
      <w:r w:rsidR="001C2E80">
        <w:rPr>
          <w:lang w:val="en-GB"/>
        </w:rPr>
        <w:t xml:space="preserve">have identified </w:t>
      </w:r>
      <w:r w:rsidRPr="004510D0">
        <w:rPr>
          <w:lang w:val="en-GB"/>
        </w:rPr>
        <w:t xml:space="preserve">negative </w:t>
      </w:r>
      <w:r w:rsidR="001C2E80">
        <w:rPr>
          <w:lang w:val="en-GB"/>
        </w:rPr>
        <w:t>effects</w:t>
      </w:r>
      <w:r w:rsidRPr="004510D0">
        <w:rPr>
          <w:lang w:val="en-GB"/>
        </w:rPr>
        <w:t xml:space="preserve"> </w:t>
      </w:r>
      <w:r w:rsidR="00C4635B" w:rsidRPr="00C4635B">
        <w:rPr>
          <w:lang w:val="en-GB"/>
        </w:rPr>
        <w:t>such as reduced housing availability, rising rents, and nuisance for local residents caused by noise and public-order issues</w:t>
      </w:r>
      <w:r w:rsidRPr="004510D0">
        <w:rPr>
          <w:lang w:val="en-GB"/>
        </w:rPr>
        <w:t xml:space="preserve">. These impacts are generally </w:t>
      </w:r>
      <w:r w:rsidR="00C4635B" w:rsidRPr="00C4635B">
        <w:rPr>
          <w:lang w:val="en-GB"/>
        </w:rPr>
        <w:t xml:space="preserve">observed </w:t>
      </w:r>
      <w:r w:rsidRPr="004510D0">
        <w:rPr>
          <w:lang w:val="en-GB"/>
        </w:rPr>
        <w:t xml:space="preserve">in urban areas and attractive tourist areas. </w:t>
      </w:r>
      <w:r w:rsidR="00076D73" w:rsidRPr="00143363">
        <w:rPr>
          <w:bCs/>
          <w:lang w:val="en-GB"/>
        </w:rPr>
        <w:t xml:space="preserve">A variety of </w:t>
      </w:r>
      <w:r w:rsidRPr="004510D0">
        <w:rPr>
          <w:lang w:val="en-GB"/>
        </w:rPr>
        <w:t xml:space="preserve">measures have been </w:t>
      </w:r>
      <w:r w:rsidR="00076D73" w:rsidRPr="00143363">
        <w:rPr>
          <w:bCs/>
          <w:lang w:val="en-GB"/>
        </w:rPr>
        <w:t xml:space="preserve">used </w:t>
      </w:r>
      <w:r w:rsidRPr="004510D0">
        <w:rPr>
          <w:lang w:val="en-GB"/>
        </w:rPr>
        <w:t xml:space="preserve">to mitigate them, </w:t>
      </w:r>
      <w:r w:rsidR="003568B1" w:rsidRPr="00143363">
        <w:rPr>
          <w:bCs/>
          <w:lang w:val="en-GB"/>
        </w:rPr>
        <w:t xml:space="preserve">including limits </w:t>
      </w:r>
      <w:r w:rsidRPr="004510D0">
        <w:rPr>
          <w:lang w:val="en-GB"/>
        </w:rPr>
        <w:t>on rental period</w:t>
      </w:r>
      <w:r w:rsidR="003568B1">
        <w:rPr>
          <w:lang w:val="en-GB"/>
        </w:rPr>
        <w:t>s</w:t>
      </w:r>
      <w:r w:rsidRPr="004510D0">
        <w:rPr>
          <w:lang w:val="en-GB"/>
        </w:rPr>
        <w:t xml:space="preserve">, regulation of intended use, registration obligations and fines. </w:t>
      </w:r>
      <w:r w:rsidR="003568B1">
        <w:rPr>
          <w:lang w:val="en-GB"/>
        </w:rPr>
        <w:t>P</w:t>
      </w:r>
      <w:r w:rsidRPr="004510D0">
        <w:rPr>
          <w:lang w:val="en-GB"/>
        </w:rPr>
        <w:t xml:space="preserve">ositive impacts have been </w:t>
      </w:r>
      <w:r>
        <w:rPr>
          <w:lang w:val="en-GB"/>
        </w:rPr>
        <w:t>analysed</w:t>
      </w:r>
      <w:r w:rsidRPr="004510D0">
        <w:rPr>
          <w:lang w:val="en-GB"/>
        </w:rPr>
        <w:t xml:space="preserve"> less</w:t>
      </w:r>
      <w:r w:rsidR="003568B1">
        <w:rPr>
          <w:lang w:val="en-GB"/>
        </w:rPr>
        <w:t xml:space="preserve"> </w:t>
      </w:r>
      <w:r w:rsidR="003568B1" w:rsidRPr="00143363">
        <w:rPr>
          <w:bCs/>
          <w:lang w:val="en-GB"/>
        </w:rPr>
        <w:t>frequently</w:t>
      </w:r>
      <w:r w:rsidRPr="004510D0">
        <w:rPr>
          <w:lang w:val="en-GB"/>
        </w:rPr>
        <w:t xml:space="preserve">, but </w:t>
      </w:r>
      <w:r w:rsidR="00A55E37" w:rsidRPr="00143363">
        <w:rPr>
          <w:bCs/>
          <w:lang w:val="en-GB"/>
        </w:rPr>
        <w:t xml:space="preserve">benefits </w:t>
      </w:r>
      <w:r w:rsidR="00A55E37">
        <w:rPr>
          <w:bCs/>
          <w:lang w:val="en-GB"/>
        </w:rPr>
        <w:t>to</w:t>
      </w:r>
      <w:r w:rsidRPr="004510D0">
        <w:rPr>
          <w:lang w:val="en-GB"/>
        </w:rPr>
        <w:t xml:space="preserve"> local </w:t>
      </w:r>
      <w:r>
        <w:rPr>
          <w:lang w:val="en-GB"/>
        </w:rPr>
        <w:t>businesses</w:t>
      </w:r>
      <w:r w:rsidRPr="004510D0">
        <w:rPr>
          <w:lang w:val="en-GB"/>
        </w:rPr>
        <w:t xml:space="preserve"> </w:t>
      </w:r>
      <w:r w:rsidR="00A55E37">
        <w:rPr>
          <w:lang w:val="en-GB"/>
        </w:rPr>
        <w:t>are often</w:t>
      </w:r>
      <w:r w:rsidRPr="004510D0">
        <w:rPr>
          <w:lang w:val="en-GB"/>
        </w:rPr>
        <w:t xml:space="preserve"> highlighted. In the Estonian context, we estimated that if </w:t>
      </w:r>
      <w:r w:rsidR="00C02170">
        <w:rPr>
          <w:lang w:val="en-GB"/>
        </w:rPr>
        <w:t>around</w:t>
      </w:r>
      <w:r w:rsidR="00C02170" w:rsidRPr="004510D0">
        <w:rPr>
          <w:lang w:val="en-GB"/>
        </w:rPr>
        <w:t xml:space="preserve"> </w:t>
      </w:r>
      <w:r w:rsidR="00C02170" w:rsidRPr="00C02170">
        <w:rPr>
          <w:lang w:val="en-GB"/>
        </w:rPr>
        <w:t>€</w:t>
      </w:r>
      <w:r w:rsidRPr="004510D0">
        <w:rPr>
          <w:lang w:val="en-GB"/>
        </w:rPr>
        <w:t xml:space="preserve">32 million </w:t>
      </w:r>
      <w:r w:rsidR="00C02170">
        <w:rPr>
          <w:lang w:val="en-GB"/>
        </w:rPr>
        <w:t>is</w:t>
      </w:r>
      <w:r w:rsidRPr="004510D0">
        <w:rPr>
          <w:lang w:val="en-GB"/>
        </w:rPr>
        <w:t xml:space="preserve"> spent annually on short-term rentals, then </w:t>
      </w:r>
      <w:r w:rsidRPr="004510D0">
        <w:rPr>
          <w:b/>
          <w:lang w:val="en-GB"/>
        </w:rPr>
        <w:t xml:space="preserve">through local </w:t>
      </w:r>
      <w:r w:rsidR="00261B62" w:rsidRPr="00261B62">
        <w:rPr>
          <w:b/>
          <w:lang w:val="en-GB"/>
        </w:rPr>
        <w:t>spending</w:t>
      </w:r>
      <w:r w:rsidRPr="004510D0">
        <w:rPr>
          <w:b/>
          <w:lang w:val="en-GB"/>
        </w:rPr>
        <w:t xml:space="preserve"> foreign tourists using short-term rental services </w:t>
      </w:r>
      <w:r w:rsidR="00261B62" w:rsidRPr="00261B62">
        <w:rPr>
          <w:b/>
          <w:lang w:val="en-GB"/>
        </w:rPr>
        <w:t xml:space="preserve">generate </w:t>
      </w:r>
      <w:r w:rsidR="00DC34C2" w:rsidRPr="00DC34C2">
        <w:rPr>
          <w:b/>
          <w:lang w:val="en-GB"/>
        </w:rPr>
        <w:t>€</w:t>
      </w:r>
      <w:r w:rsidRPr="004510D0">
        <w:rPr>
          <w:b/>
          <w:lang w:val="en-GB"/>
        </w:rPr>
        <w:t>1</w:t>
      </w:r>
      <w:r w:rsidR="00F746C5">
        <w:rPr>
          <w:b/>
          <w:lang w:val="en-GB"/>
        </w:rPr>
        <w:t>35</w:t>
      </w:r>
      <w:r w:rsidRPr="004510D0">
        <w:rPr>
          <w:b/>
          <w:lang w:val="en-GB"/>
        </w:rPr>
        <w:t xml:space="preserve"> million</w:t>
      </w:r>
      <w:r w:rsidR="00DC34C2" w:rsidRPr="00DC34C2">
        <w:t xml:space="preserve"> </w:t>
      </w:r>
      <w:r w:rsidR="00DC34C2" w:rsidRPr="00DC34C2">
        <w:rPr>
          <w:b/>
          <w:lang w:val="en-GB"/>
        </w:rPr>
        <w:t>in annual revenue for</w:t>
      </w:r>
      <w:r w:rsidRPr="004510D0">
        <w:rPr>
          <w:b/>
          <w:lang w:val="en-GB"/>
        </w:rPr>
        <w:t xml:space="preserve"> Estonia</w:t>
      </w:r>
      <w:r w:rsidRPr="00514229">
        <w:rPr>
          <w:bCs/>
          <w:lang w:val="en-GB"/>
        </w:rPr>
        <w:t>.</w:t>
      </w:r>
    </w:p>
    <w:p w14:paraId="43FC7878" w14:textId="0A3477CA" w:rsidR="001A4A6A" w:rsidRPr="004510D0" w:rsidRDefault="001A4A6A" w:rsidP="001A4A6A">
      <w:pPr>
        <w:jc w:val="both"/>
        <w:rPr>
          <w:lang w:val="en-GB"/>
        </w:rPr>
      </w:pPr>
      <w:r w:rsidRPr="004510D0">
        <w:rPr>
          <w:b/>
          <w:bCs/>
          <w:lang w:val="en-GB"/>
        </w:rPr>
        <w:t xml:space="preserve">Estonian market participants </w:t>
      </w:r>
      <w:r w:rsidR="009315AD">
        <w:rPr>
          <w:b/>
          <w:bCs/>
          <w:lang w:val="en-GB"/>
        </w:rPr>
        <w:t>identify the</w:t>
      </w:r>
      <w:r w:rsidRPr="004510D0">
        <w:rPr>
          <w:b/>
          <w:bCs/>
          <w:lang w:val="en-GB"/>
        </w:rPr>
        <w:t xml:space="preserve"> risk of gentrification, noise and security issues, and tax </w:t>
      </w:r>
      <w:r w:rsidR="002E08B0">
        <w:rPr>
          <w:b/>
          <w:bCs/>
          <w:lang w:val="en-GB"/>
        </w:rPr>
        <w:t>evasion</w:t>
      </w:r>
      <w:r w:rsidR="002E08B0" w:rsidRPr="004510D0">
        <w:rPr>
          <w:b/>
          <w:bCs/>
          <w:lang w:val="en-GB"/>
        </w:rPr>
        <w:t xml:space="preserve"> </w:t>
      </w:r>
      <w:r w:rsidRPr="004510D0">
        <w:rPr>
          <w:b/>
          <w:bCs/>
          <w:lang w:val="en-GB"/>
        </w:rPr>
        <w:t xml:space="preserve">as </w:t>
      </w:r>
      <w:r w:rsidR="002E08B0">
        <w:rPr>
          <w:b/>
          <w:bCs/>
          <w:lang w:val="en-GB"/>
        </w:rPr>
        <w:t xml:space="preserve">key </w:t>
      </w:r>
      <w:r w:rsidRPr="004510D0">
        <w:rPr>
          <w:b/>
          <w:bCs/>
          <w:lang w:val="en-GB"/>
        </w:rPr>
        <w:t>negative impacts.</w:t>
      </w:r>
      <w:r w:rsidRPr="004510D0">
        <w:rPr>
          <w:lang w:val="en-GB"/>
        </w:rPr>
        <w:t xml:space="preserve"> Positive impacts include </w:t>
      </w:r>
      <w:r w:rsidR="00782A9B">
        <w:rPr>
          <w:lang w:val="en-GB"/>
        </w:rPr>
        <w:t>improved</w:t>
      </w:r>
      <w:r w:rsidR="00782A9B" w:rsidRPr="004510D0">
        <w:rPr>
          <w:lang w:val="en-GB"/>
        </w:rPr>
        <w:t xml:space="preserve"> </w:t>
      </w:r>
      <w:r w:rsidRPr="004510D0">
        <w:rPr>
          <w:b/>
          <w:bCs/>
          <w:lang w:val="en-GB"/>
        </w:rPr>
        <w:t>availability</w:t>
      </w:r>
      <w:r w:rsidR="008654FA">
        <w:rPr>
          <w:b/>
          <w:bCs/>
          <w:lang w:val="en-GB"/>
        </w:rPr>
        <w:t xml:space="preserve"> and diversification</w:t>
      </w:r>
      <w:r w:rsidRPr="004510D0">
        <w:rPr>
          <w:b/>
          <w:bCs/>
          <w:lang w:val="en-GB"/>
        </w:rPr>
        <w:t xml:space="preserve"> of accommodation services (especially outside </w:t>
      </w:r>
      <w:r w:rsidR="00782A9B">
        <w:rPr>
          <w:b/>
          <w:bCs/>
          <w:lang w:val="en-GB"/>
        </w:rPr>
        <w:t xml:space="preserve">the </w:t>
      </w:r>
      <w:r w:rsidRPr="004510D0">
        <w:rPr>
          <w:b/>
          <w:bCs/>
          <w:lang w:val="en-GB"/>
        </w:rPr>
        <w:t>large</w:t>
      </w:r>
      <w:r w:rsidR="00782A9B">
        <w:rPr>
          <w:b/>
          <w:bCs/>
          <w:lang w:val="en-GB"/>
        </w:rPr>
        <w:t>st</w:t>
      </w:r>
      <w:r w:rsidRPr="004510D0">
        <w:rPr>
          <w:b/>
          <w:bCs/>
          <w:lang w:val="en-GB"/>
        </w:rPr>
        <w:t xml:space="preserve"> cities) </w:t>
      </w:r>
      <w:r w:rsidR="00EC2652">
        <w:rPr>
          <w:b/>
          <w:bCs/>
          <w:lang w:val="en-GB"/>
        </w:rPr>
        <w:t>as well a</w:t>
      </w:r>
      <w:r w:rsidR="00BB2CCA">
        <w:rPr>
          <w:b/>
          <w:bCs/>
          <w:lang w:val="en-GB"/>
        </w:rPr>
        <w:t xml:space="preserve"> boost </w:t>
      </w:r>
      <w:r w:rsidR="00547D47">
        <w:rPr>
          <w:b/>
          <w:bCs/>
          <w:lang w:val="en-GB"/>
        </w:rPr>
        <w:t>for</w:t>
      </w:r>
      <w:r w:rsidRPr="004510D0">
        <w:rPr>
          <w:b/>
          <w:bCs/>
          <w:lang w:val="en-GB"/>
        </w:rPr>
        <w:t xml:space="preserve"> tourism and local entrepreneurship</w:t>
      </w:r>
      <w:r w:rsidRPr="004510D0">
        <w:rPr>
          <w:lang w:val="en-GB"/>
        </w:rPr>
        <w:t xml:space="preserve">. </w:t>
      </w:r>
      <w:r w:rsidR="00072264">
        <w:rPr>
          <w:lang w:val="en-GB"/>
        </w:rPr>
        <w:t>In their view,</w:t>
      </w:r>
      <w:r w:rsidR="00B423CC">
        <w:rPr>
          <w:lang w:val="en-GB"/>
        </w:rPr>
        <w:t xml:space="preserve"> regulation should rely on</w:t>
      </w:r>
      <w:r w:rsidRPr="004510D0">
        <w:rPr>
          <w:lang w:val="en-GB"/>
        </w:rPr>
        <w:t xml:space="preserve"> soft measures</w:t>
      </w:r>
      <w:r w:rsidR="00B423CC" w:rsidRPr="00B423CC">
        <w:rPr>
          <w:lang w:val="en-GB"/>
        </w:rPr>
        <w:t>—</w:t>
      </w:r>
      <w:r w:rsidRPr="004510D0">
        <w:rPr>
          <w:lang w:val="en-GB"/>
        </w:rPr>
        <w:t xml:space="preserve">which would also help collect more accurate </w:t>
      </w:r>
      <w:r w:rsidR="002930DF">
        <w:rPr>
          <w:lang w:val="en-GB"/>
        </w:rPr>
        <w:t xml:space="preserve">market </w:t>
      </w:r>
      <w:r w:rsidRPr="004510D0">
        <w:rPr>
          <w:lang w:val="en-GB"/>
        </w:rPr>
        <w:t>data</w:t>
      </w:r>
      <w:r w:rsidR="002930DF" w:rsidRPr="002930DF">
        <w:rPr>
          <w:lang w:val="en-GB"/>
        </w:rPr>
        <w:t>—</w:t>
      </w:r>
      <w:r w:rsidRPr="004510D0">
        <w:rPr>
          <w:lang w:val="en-GB"/>
        </w:rPr>
        <w:t xml:space="preserve">and </w:t>
      </w:r>
      <w:r w:rsidR="002930DF">
        <w:rPr>
          <w:lang w:val="en-GB"/>
        </w:rPr>
        <w:t>focus</w:t>
      </w:r>
      <w:r w:rsidRPr="004510D0">
        <w:rPr>
          <w:lang w:val="en-GB"/>
        </w:rPr>
        <w:t xml:space="preserve"> on regions with the greatest negative impacts. Restrictions on entrepreneurial freedom and additional administrative burdens should be avoided.</w:t>
      </w:r>
    </w:p>
    <w:p w14:paraId="728A4A14" w14:textId="374D19AC" w:rsidR="00C719DF" w:rsidRPr="004510D0" w:rsidRDefault="001A4A6A" w:rsidP="00AB3771">
      <w:pPr>
        <w:jc w:val="both"/>
        <w:rPr>
          <w:lang w:val="en-GB"/>
        </w:rPr>
      </w:pPr>
      <w:r w:rsidRPr="004510D0">
        <w:rPr>
          <w:b/>
          <w:bCs/>
          <w:lang w:val="en-GB"/>
        </w:rPr>
        <w:t xml:space="preserve">Econometric </w:t>
      </w:r>
      <w:r>
        <w:rPr>
          <w:b/>
          <w:bCs/>
          <w:lang w:val="en-GB"/>
        </w:rPr>
        <w:t>modelling</w:t>
      </w:r>
      <w:r w:rsidRPr="004510D0">
        <w:rPr>
          <w:b/>
          <w:bCs/>
          <w:lang w:val="en-GB"/>
        </w:rPr>
        <w:t xml:space="preserve"> </w:t>
      </w:r>
      <w:r w:rsidR="00C719DF" w:rsidRPr="00C719DF">
        <w:rPr>
          <w:lang w:val="en-GB"/>
        </w:rPr>
        <w:t xml:space="preserve">indicates </w:t>
      </w:r>
      <w:r w:rsidRPr="004510D0">
        <w:rPr>
          <w:lang w:val="en-GB"/>
        </w:rPr>
        <w:t xml:space="preserve">that </w:t>
      </w:r>
      <w:r w:rsidR="00014EF6">
        <w:rPr>
          <w:lang w:val="en-GB"/>
        </w:rPr>
        <w:t xml:space="preserve">the </w:t>
      </w:r>
      <w:r w:rsidRPr="004510D0">
        <w:rPr>
          <w:lang w:val="en-GB"/>
        </w:rPr>
        <w:t xml:space="preserve">typical effects </w:t>
      </w:r>
      <w:r w:rsidR="00C719DF" w:rsidRPr="00C719DF">
        <w:rPr>
          <w:lang w:val="en-GB"/>
        </w:rPr>
        <w:t xml:space="preserve">observed in other countries in </w:t>
      </w:r>
      <w:r w:rsidRPr="004510D0">
        <w:rPr>
          <w:lang w:val="en-GB"/>
        </w:rPr>
        <w:t>the accommodation sector and housing market are</w:t>
      </w:r>
      <w:r w:rsidR="00C719DF" w:rsidRPr="00C719DF">
        <w:rPr>
          <w:lang w:val="en-GB"/>
        </w:rPr>
        <w:t xml:space="preserve">, to some extent, </w:t>
      </w:r>
      <w:r w:rsidRPr="004510D0">
        <w:rPr>
          <w:lang w:val="en-GB"/>
        </w:rPr>
        <w:t xml:space="preserve">also detectable in Estonia. </w:t>
      </w:r>
      <w:r w:rsidR="005571DE" w:rsidRPr="005571DE">
        <w:rPr>
          <w:lang w:val="en-GB"/>
        </w:rPr>
        <w:t xml:space="preserve">For example, we estimated that the growth of the short-term rental market during the </w:t>
      </w:r>
      <w:r w:rsidR="00014EF6">
        <w:rPr>
          <w:lang w:val="en-GB"/>
        </w:rPr>
        <w:t xml:space="preserve">study </w:t>
      </w:r>
      <w:r w:rsidR="005571DE" w:rsidRPr="005571DE">
        <w:rPr>
          <w:lang w:val="en-GB"/>
        </w:rPr>
        <w:t xml:space="preserve">period was accompanied by a </w:t>
      </w:r>
      <w:r w:rsidR="006270DB">
        <w:rPr>
          <w:b/>
          <w:bCs/>
          <w:lang w:val="en-GB"/>
        </w:rPr>
        <w:t>decline</w:t>
      </w:r>
      <w:r w:rsidR="006270DB" w:rsidRPr="00514229">
        <w:rPr>
          <w:b/>
          <w:bCs/>
          <w:lang w:val="en-GB"/>
        </w:rPr>
        <w:t xml:space="preserve"> </w:t>
      </w:r>
      <w:r w:rsidR="005571DE" w:rsidRPr="00514229">
        <w:rPr>
          <w:b/>
          <w:bCs/>
          <w:lang w:val="en-GB"/>
        </w:rPr>
        <w:t>in demand in the traditional accommodation sector</w:t>
      </w:r>
      <w:r w:rsidR="005571DE" w:rsidRPr="005571DE">
        <w:rPr>
          <w:lang w:val="en-GB"/>
        </w:rPr>
        <w:t>, and</w:t>
      </w:r>
      <w:r w:rsidR="0026663A">
        <w:rPr>
          <w:lang w:val="en-GB"/>
        </w:rPr>
        <w:t>,</w:t>
      </w:r>
      <w:r w:rsidR="005571DE" w:rsidRPr="005571DE">
        <w:rPr>
          <w:lang w:val="en-GB"/>
        </w:rPr>
        <w:t xml:space="preserve"> to some </w:t>
      </w:r>
      <w:r w:rsidR="0026663A">
        <w:rPr>
          <w:lang w:val="en-GB"/>
        </w:rPr>
        <w:t>degree</w:t>
      </w:r>
      <w:r w:rsidR="005571DE" w:rsidRPr="005571DE">
        <w:rPr>
          <w:lang w:val="en-GB"/>
        </w:rPr>
        <w:t xml:space="preserve">, </w:t>
      </w:r>
      <w:r w:rsidR="004C065F">
        <w:rPr>
          <w:lang w:val="en-GB"/>
        </w:rPr>
        <w:t xml:space="preserve">by </w:t>
      </w:r>
      <w:r w:rsidR="005571DE" w:rsidRPr="005571DE">
        <w:rPr>
          <w:lang w:val="en-GB"/>
        </w:rPr>
        <w:t xml:space="preserve">a </w:t>
      </w:r>
      <w:r w:rsidR="005571DE" w:rsidRPr="00514229">
        <w:rPr>
          <w:b/>
          <w:bCs/>
          <w:lang w:val="en-GB"/>
        </w:rPr>
        <w:t>reduction in the supply of traditional accommodation services</w:t>
      </w:r>
      <w:r w:rsidR="005571DE" w:rsidRPr="005571DE">
        <w:rPr>
          <w:lang w:val="en-GB"/>
        </w:rPr>
        <w:t>.</w:t>
      </w:r>
      <w:r w:rsidR="002D72E9">
        <w:rPr>
          <w:lang w:val="en-GB"/>
        </w:rPr>
        <w:t xml:space="preserve"> </w:t>
      </w:r>
      <w:r w:rsidR="00BB144A" w:rsidRPr="00BB144A">
        <w:rPr>
          <w:lang w:val="en-GB"/>
        </w:rPr>
        <w:t xml:space="preserve">At the same time, it </w:t>
      </w:r>
      <w:r w:rsidR="004C065F">
        <w:rPr>
          <w:b/>
          <w:bCs/>
          <w:lang w:val="en-GB"/>
        </w:rPr>
        <w:t>enhanced</w:t>
      </w:r>
      <w:r w:rsidR="004C065F" w:rsidRPr="00514229">
        <w:rPr>
          <w:b/>
          <w:bCs/>
          <w:lang w:val="en-GB"/>
        </w:rPr>
        <w:t xml:space="preserve"> </w:t>
      </w:r>
      <w:r w:rsidR="00BB144A" w:rsidRPr="00514229">
        <w:rPr>
          <w:b/>
          <w:bCs/>
          <w:lang w:val="en-GB"/>
        </w:rPr>
        <w:t>competition</w:t>
      </w:r>
      <w:r w:rsidR="00BB144A" w:rsidRPr="00BB144A">
        <w:rPr>
          <w:lang w:val="en-GB"/>
        </w:rPr>
        <w:t xml:space="preserve"> </w:t>
      </w:r>
      <w:r w:rsidR="004C065F">
        <w:rPr>
          <w:lang w:val="en-GB"/>
        </w:rPr>
        <w:t>with</w:t>
      </w:r>
      <w:r w:rsidR="004C065F" w:rsidRPr="00BB144A">
        <w:rPr>
          <w:lang w:val="en-GB"/>
        </w:rPr>
        <w:t xml:space="preserve"> </w:t>
      </w:r>
      <w:r w:rsidR="00BB144A" w:rsidRPr="00BB144A">
        <w:rPr>
          <w:lang w:val="en-GB"/>
        </w:rPr>
        <w:t>the accommodation sector and help</w:t>
      </w:r>
      <w:r w:rsidR="000E0DA1">
        <w:rPr>
          <w:lang w:val="en-GB"/>
        </w:rPr>
        <w:t>ed</w:t>
      </w:r>
      <w:r w:rsidR="00BB144A" w:rsidRPr="00BB144A">
        <w:rPr>
          <w:lang w:val="en-GB"/>
        </w:rPr>
        <w:t xml:space="preserve"> </w:t>
      </w:r>
      <w:r w:rsidR="00327F28">
        <w:rPr>
          <w:lang w:val="en-GB"/>
        </w:rPr>
        <w:t xml:space="preserve">to </w:t>
      </w:r>
      <w:r w:rsidR="00BB144A" w:rsidRPr="00BB144A">
        <w:rPr>
          <w:lang w:val="en-GB"/>
        </w:rPr>
        <w:t xml:space="preserve">keep </w:t>
      </w:r>
      <w:r w:rsidR="00BB144A" w:rsidRPr="00514229">
        <w:rPr>
          <w:b/>
          <w:bCs/>
          <w:lang w:val="en-GB"/>
        </w:rPr>
        <w:t>market prices lower</w:t>
      </w:r>
      <w:r w:rsidR="00BB144A" w:rsidRPr="00BB144A">
        <w:rPr>
          <w:lang w:val="en-GB"/>
        </w:rPr>
        <w:t xml:space="preserve"> than they would otherwise </w:t>
      </w:r>
      <w:r w:rsidR="006D2380">
        <w:rPr>
          <w:lang w:val="en-GB"/>
        </w:rPr>
        <w:t>have been</w:t>
      </w:r>
      <w:r w:rsidR="00BB144A" w:rsidRPr="00BB144A">
        <w:rPr>
          <w:lang w:val="en-GB"/>
        </w:rPr>
        <w:t>.</w:t>
      </w:r>
      <w:r w:rsidR="00BB144A" w:rsidRPr="00BB144A" w:rsidDel="005D1079">
        <w:rPr>
          <w:lang w:val="en-GB"/>
        </w:rPr>
        <w:t xml:space="preserve"> </w:t>
      </w:r>
      <w:r w:rsidR="007E00D3" w:rsidRPr="007E00D3">
        <w:rPr>
          <w:lang w:val="en-GB"/>
        </w:rPr>
        <w:t xml:space="preserve">The analysis also </w:t>
      </w:r>
      <w:r w:rsidR="006D2380">
        <w:rPr>
          <w:lang w:val="en-GB"/>
        </w:rPr>
        <w:t>showed</w:t>
      </w:r>
      <w:r w:rsidR="006D2380" w:rsidRPr="007E00D3">
        <w:rPr>
          <w:lang w:val="en-GB"/>
        </w:rPr>
        <w:t xml:space="preserve"> </w:t>
      </w:r>
      <w:r w:rsidR="007E00D3" w:rsidRPr="007E00D3">
        <w:rPr>
          <w:lang w:val="en-GB"/>
        </w:rPr>
        <w:t>that</w:t>
      </w:r>
      <w:r w:rsidR="007E00D3">
        <w:rPr>
          <w:lang w:val="en-GB"/>
        </w:rPr>
        <w:t xml:space="preserve"> </w:t>
      </w:r>
      <w:r w:rsidR="006C1A8D">
        <w:rPr>
          <w:lang w:val="en-GB"/>
        </w:rPr>
        <w:t xml:space="preserve">the </w:t>
      </w:r>
      <w:r w:rsidR="006C1A8D" w:rsidRPr="00514229">
        <w:rPr>
          <w:b/>
          <w:bCs/>
          <w:lang w:val="en-GB"/>
        </w:rPr>
        <w:t>g</w:t>
      </w:r>
      <w:r w:rsidRPr="00514229">
        <w:rPr>
          <w:b/>
          <w:bCs/>
          <w:lang w:val="en-GB"/>
        </w:rPr>
        <w:t>rowth</w:t>
      </w:r>
      <w:r w:rsidR="001C7CC4" w:rsidRPr="00514229">
        <w:rPr>
          <w:b/>
          <w:bCs/>
          <w:lang w:val="en-GB"/>
        </w:rPr>
        <w:t xml:space="preserve"> of</w:t>
      </w:r>
      <w:r w:rsidR="005D1079" w:rsidRPr="00514229">
        <w:rPr>
          <w:b/>
          <w:bCs/>
          <w:lang w:val="en-GB"/>
        </w:rPr>
        <w:t xml:space="preserve"> </w:t>
      </w:r>
      <w:r w:rsidRPr="00514229">
        <w:rPr>
          <w:b/>
          <w:bCs/>
          <w:lang w:val="en-GB"/>
        </w:rPr>
        <w:t>the short-term rental market</w:t>
      </w:r>
      <w:r w:rsidR="00B70001" w:rsidRPr="00514229">
        <w:rPr>
          <w:b/>
          <w:bCs/>
          <w:lang w:val="en-GB"/>
        </w:rPr>
        <w:t xml:space="preserve"> in Estonia</w:t>
      </w:r>
      <w:r w:rsidR="0043436F" w:rsidRPr="00514229">
        <w:rPr>
          <w:b/>
          <w:bCs/>
          <w:lang w:val="en-GB"/>
        </w:rPr>
        <w:t xml:space="preserve"> reduces</w:t>
      </w:r>
      <w:r w:rsidRPr="004510D0">
        <w:rPr>
          <w:lang w:val="en-GB"/>
        </w:rPr>
        <w:t xml:space="preserve"> </w:t>
      </w:r>
      <w:r w:rsidR="005D1079">
        <w:rPr>
          <w:b/>
          <w:bCs/>
          <w:lang w:val="en-GB"/>
        </w:rPr>
        <w:t xml:space="preserve">the number of </w:t>
      </w:r>
      <w:r w:rsidRPr="004510D0">
        <w:rPr>
          <w:b/>
          <w:bCs/>
          <w:lang w:val="en-GB"/>
        </w:rPr>
        <w:t xml:space="preserve">active </w:t>
      </w:r>
      <w:r w:rsidR="005D1079">
        <w:rPr>
          <w:b/>
          <w:bCs/>
          <w:lang w:val="en-GB"/>
        </w:rPr>
        <w:t xml:space="preserve">rental </w:t>
      </w:r>
      <w:r w:rsidRPr="004510D0">
        <w:rPr>
          <w:b/>
          <w:bCs/>
          <w:lang w:val="en-GB"/>
        </w:rPr>
        <w:t xml:space="preserve">offers </w:t>
      </w:r>
      <w:r w:rsidR="00322EB6">
        <w:rPr>
          <w:b/>
          <w:bCs/>
          <w:lang w:val="en-GB"/>
        </w:rPr>
        <w:t>o</w:t>
      </w:r>
      <w:r w:rsidRPr="004510D0">
        <w:rPr>
          <w:b/>
          <w:bCs/>
          <w:lang w:val="en-GB"/>
        </w:rPr>
        <w:t xml:space="preserve">n the housing market </w:t>
      </w:r>
      <w:r w:rsidRPr="004510D0">
        <w:rPr>
          <w:lang w:val="en-GB"/>
        </w:rPr>
        <w:t xml:space="preserve">and </w:t>
      </w:r>
      <w:r w:rsidRPr="004510D0">
        <w:rPr>
          <w:b/>
          <w:bCs/>
          <w:lang w:val="en-GB"/>
        </w:rPr>
        <w:t>increase</w:t>
      </w:r>
      <w:r w:rsidR="00B70001">
        <w:rPr>
          <w:b/>
          <w:bCs/>
          <w:lang w:val="en-GB"/>
        </w:rPr>
        <w:t>s</w:t>
      </w:r>
      <w:r w:rsidRPr="004510D0">
        <w:rPr>
          <w:b/>
          <w:bCs/>
          <w:lang w:val="en-GB"/>
        </w:rPr>
        <w:t xml:space="preserve"> </w:t>
      </w:r>
      <w:r w:rsidR="005D1079">
        <w:rPr>
          <w:b/>
          <w:bCs/>
          <w:lang w:val="en-GB"/>
        </w:rPr>
        <w:t>ho</w:t>
      </w:r>
      <w:r w:rsidR="00C21B01">
        <w:rPr>
          <w:b/>
          <w:bCs/>
          <w:lang w:val="en-GB"/>
        </w:rPr>
        <w:t>using</w:t>
      </w:r>
      <w:r w:rsidRPr="004510D0">
        <w:rPr>
          <w:b/>
          <w:bCs/>
          <w:lang w:val="en-GB"/>
        </w:rPr>
        <w:t xml:space="preserve"> price</w:t>
      </w:r>
      <w:r w:rsidR="00C21B01">
        <w:rPr>
          <w:b/>
          <w:bCs/>
          <w:lang w:val="en-GB"/>
        </w:rPr>
        <w:t>s</w:t>
      </w:r>
      <w:r w:rsidR="00C21B01">
        <w:rPr>
          <w:lang w:val="en-GB"/>
        </w:rPr>
        <w:t>.</w:t>
      </w:r>
      <w:r w:rsidRPr="004510D0">
        <w:rPr>
          <w:lang w:val="en-GB"/>
        </w:rPr>
        <w:t xml:space="preserve"> </w:t>
      </w:r>
      <w:r w:rsidR="00C21B01">
        <w:rPr>
          <w:lang w:val="en-GB"/>
        </w:rPr>
        <w:t>These findings</w:t>
      </w:r>
      <w:r w:rsidRPr="004510D0">
        <w:rPr>
          <w:lang w:val="en-GB"/>
        </w:rPr>
        <w:t xml:space="preserve"> </w:t>
      </w:r>
      <w:r w:rsidR="00A95083">
        <w:rPr>
          <w:lang w:val="en-GB"/>
        </w:rPr>
        <w:t>were</w:t>
      </w:r>
      <w:r w:rsidR="00A95083" w:rsidRPr="004510D0">
        <w:rPr>
          <w:lang w:val="en-GB"/>
        </w:rPr>
        <w:t xml:space="preserve"> </w:t>
      </w:r>
      <w:r w:rsidR="00D320F5">
        <w:rPr>
          <w:lang w:val="en-GB"/>
        </w:rPr>
        <w:t>confirmed</w:t>
      </w:r>
      <w:r w:rsidR="00D320F5" w:rsidRPr="004510D0">
        <w:rPr>
          <w:lang w:val="en-GB"/>
        </w:rPr>
        <w:t xml:space="preserve"> </w:t>
      </w:r>
      <w:r w:rsidRPr="004510D0">
        <w:rPr>
          <w:lang w:val="en-GB"/>
        </w:rPr>
        <w:t xml:space="preserve">by models estimated </w:t>
      </w:r>
      <w:r w:rsidR="00A95083">
        <w:rPr>
          <w:lang w:val="en-GB"/>
        </w:rPr>
        <w:t>using</w:t>
      </w:r>
      <w:r w:rsidRPr="004510D0">
        <w:rPr>
          <w:lang w:val="en-GB"/>
        </w:rPr>
        <w:t xml:space="preserve"> both </w:t>
      </w:r>
      <w:r w:rsidR="00D55582" w:rsidRPr="00D55582">
        <w:rPr>
          <w:lang w:val="en-GB"/>
        </w:rPr>
        <w:t xml:space="preserve">listings from </w:t>
      </w:r>
      <w:r w:rsidRPr="004510D0">
        <w:rPr>
          <w:lang w:val="en-GB"/>
        </w:rPr>
        <w:t>the real</w:t>
      </w:r>
      <w:r w:rsidR="00D55582">
        <w:rPr>
          <w:lang w:val="en-GB"/>
        </w:rPr>
        <w:t>-</w:t>
      </w:r>
      <w:r w:rsidRPr="004510D0">
        <w:rPr>
          <w:lang w:val="en-GB"/>
        </w:rPr>
        <w:t xml:space="preserve">estate portal KV.ee and </w:t>
      </w:r>
      <w:r w:rsidR="00AB3771">
        <w:rPr>
          <w:lang w:val="en-GB"/>
        </w:rPr>
        <w:t xml:space="preserve">data on </w:t>
      </w:r>
      <w:r w:rsidRPr="004510D0">
        <w:rPr>
          <w:lang w:val="en-GB"/>
        </w:rPr>
        <w:t>actual rental transactions.</w:t>
      </w:r>
    </w:p>
    <w:p w14:paraId="707AB8CD" w14:textId="1B76800D" w:rsidR="003B7634" w:rsidRPr="004510D0" w:rsidRDefault="003B7634" w:rsidP="001A4A6A">
      <w:pPr>
        <w:jc w:val="both"/>
        <w:rPr>
          <w:lang w:val="en-GB"/>
        </w:rPr>
      </w:pPr>
      <w:r w:rsidRPr="003B7634">
        <w:rPr>
          <w:lang w:val="en-GB"/>
        </w:rPr>
        <w:lastRenderedPageBreak/>
        <w:t xml:space="preserve">We also identified </w:t>
      </w:r>
      <w:r w:rsidR="001A4A6A" w:rsidRPr="004510D0">
        <w:rPr>
          <w:lang w:val="en-GB"/>
        </w:rPr>
        <w:t>several positive effects</w:t>
      </w:r>
      <w:r w:rsidR="00FC6E27">
        <w:rPr>
          <w:lang w:val="en-GB"/>
        </w:rPr>
        <w:t>.</w:t>
      </w:r>
      <w:r w:rsidR="001A4A6A" w:rsidRPr="004510D0">
        <w:rPr>
          <w:lang w:val="en-GB"/>
        </w:rPr>
        <w:t xml:space="preserve"> </w:t>
      </w:r>
      <w:r w:rsidR="00FC6E27" w:rsidRPr="003B7634">
        <w:rPr>
          <w:lang w:val="en-GB"/>
        </w:rPr>
        <w:t>For instance</w:t>
      </w:r>
      <w:r w:rsidR="001A4A6A" w:rsidRPr="004510D0">
        <w:rPr>
          <w:lang w:val="en-GB"/>
        </w:rPr>
        <w:t xml:space="preserve">, wider </w:t>
      </w:r>
      <w:r w:rsidR="00FC6E27" w:rsidRPr="003B7634">
        <w:rPr>
          <w:lang w:val="en-GB"/>
        </w:rPr>
        <w:t xml:space="preserve">adoption </w:t>
      </w:r>
      <w:r w:rsidR="001A4A6A" w:rsidRPr="004510D0">
        <w:rPr>
          <w:lang w:val="en-GB"/>
        </w:rPr>
        <w:t xml:space="preserve">of short-term rentals is associated with </w:t>
      </w:r>
      <w:r w:rsidR="001A4A6A" w:rsidRPr="004510D0">
        <w:rPr>
          <w:b/>
          <w:bCs/>
          <w:lang w:val="en-GB"/>
        </w:rPr>
        <w:t>lower registered unemployment</w:t>
      </w:r>
      <w:r w:rsidR="001A4A6A" w:rsidRPr="004510D0">
        <w:rPr>
          <w:lang w:val="en-GB"/>
        </w:rPr>
        <w:t xml:space="preserve">, including in </w:t>
      </w:r>
      <w:r w:rsidR="00FC6E27" w:rsidRPr="003B7634">
        <w:rPr>
          <w:lang w:val="en-GB"/>
        </w:rPr>
        <w:t xml:space="preserve">a number of </w:t>
      </w:r>
      <w:r w:rsidR="001A4A6A" w:rsidRPr="004510D0">
        <w:rPr>
          <w:lang w:val="en-GB"/>
        </w:rPr>
        <w:t xml:space="preserve">regions outside Tallinn, Pärnu </w:t>
      </w:r>
      <w:r w:rsidR="00FC6E27">
        <w:rPr>
          <w:lang w:val="en-GB"/>
        </w:rPr>
        <w:t>and</w:t>
      </w:r>
      <w:r w:rsidR="001A4A6A" w:rsidRPr="004510D0">
        <w:rPr>
          <w:lang w:val="en-GB"/>
        </w:rPr>
        <w:t xml:space="preserve"> Tartu. The analysis </w:t>
      </w:r>
      <w:r w:rsidR="00195331" w:rsidRPr="003B7634">
        <w:rPr>
          <w:lang w:val="en-GB"/>
        </w:rPr>
        <w:t xml:space="preserve">further </w:t>
      </w:r>
      <w:r w:rsidR="001A4A6A" w:rsidRPr="004510D0">
        <w:rPr>
          <w:lang w:val="en-GB"/>
        </w:rPr>
        <w:t xml:space="preserve">showed that </w:t>
      </w:r>
      <w:r w:rsidR="001A4A6A" w:rsidRPr="004510D0">
        <w:rPr>
          <w:b/>
          <w:bCs/>
          <w:lang w:val="en-GB"/>
        </w:rPr>
        <w:t xml:space="preserve">the number of property crimes has decreased in connection with the </w:t>
      </w:r>
      <w:r w:rsidR="00195331">
        <w:rPr>
          <w:b/>
          <w:bCs/>
          <w:lang w:val="en-GB"/>
        </w:rPr>
        <w:t>growth</w:t>
      </w:r>
      <w:r w:rsidR="00195331" w:rsidRPr="004510D0">
        <w:rPr>
          <w:b/>
          <w:bCs/>
          <w:lang w:val="en-GB"/>
        </w:rPr>
        <w:t xml:space="preserve"> </w:t>
      </w:r>
      <w:r w:rsidR="001A4A6A" w:rsidRPr="004510D0">
        <w:rPr>
          <w:b/>
          <w:bCs/>
          <w:lang w:val="en-GB"/>
        </w:rPr>
        <w:t>in short-term rentals</w:t>
      </w:r>
      <w:r w:rsidR="001A4A6A" w:rsidRPr="004510D0">
        <w:rPr>
          <w:lang w:val="en-GB"/>
        </w:rPr>
        <w:t xml:space="preserve">, although we did not </w:t>
      </w:r>
      <w:r w:rsidR="000B3859">
        <w:rPr>
          <w:lang w:val="en-GB"/>
        </w:rPr>
        <w:t>find</w:t>
      </w:r>
      <w:r w:rsidR="000B3859" w:rsidRPr="004510D0">
        <w:rPr>
          <w:lang w:val="en-GB"/>
        </w:rPr>
        <w:t xml:space="preserve"> </w:t>
      </w:r>
      <w:r w:rsidR="001A4A6A" w:rsidRPr="004510D0">
        <w:rPr>
          <w:lang w:val="en-GB"/>
        </w:rPr>
        <w:t xml:space="preserve">a strong or statistically significant relationship. </w:t>
      </w:r>
      <w:r w:rsidR="00B235C3" w:rsidRPr="003B7634">
        <w:rPr>
          <w:lang w:val="en-GB"/>
        </w:rPr>
        <w:t xml:space="preserve">This supports the view </w:t>
      </w:r>
      <w:r w:rsidR="001A4A6A" w:rsidRPr="004510D0">
        <w:rPr>
          <w:lang w:val="en-GB"/>
        </w:rPr>
        <w:t xml:space="preserve">that the increase in crime </w:t>
      </w:r>
      <w:r w:rsidR="00B235C3" w:rsidRPr="003B7634">
        <w:rPr>
          <w:lang w:val="en-GB"/>
        </w:rPr>
        <w:t xml:space="preserve">sometimes </w:t>
      </w:r>
      <w:r w:rsidR="001A4A6A" w:rsidRPr="004510D0">
        <w:rPr>
          <w:lang w:val="en-GB"/>
        </w:rPr>
        <w:t xml:space="preserve">associated with short-term rentals </w:t>
      </w:r>
      <w:r w:rsidR="00B235C3" w:rsidRPr="003B7634">
        <w:rPr>
          <w:lang w:val="en-GB"/>
        </w:rPr>
        <w:t xml:space="preserve">in the academic </w:t>
      </w:r>
      <w:r w:rsidR="001A4A6A" w:rsidRPr="004510D0">
        <w:rPr>
          <w:lang w:val="en-GB"/>
        </w:rPr>
        <w:t>literature has not become a problem in Estonia.</w:t>
      </w:r>
    </w:p>
    <w:p w14:paraId="124D545A" w14:textId="317E4785" w:rsidR="007B0203" w:rsidRPr="004510D0" w:rsidRDefault="001A4A6A" w:rsidP="001A4A6A">
      <w:pPr>
        <w:jc w:val="both"/>
        <w:rPr>
          <w:lang w:val="en-GB"/>
        </w:rPr>
      </w:pPr>
      <w:r w:rsidRPr="004510D0">
        <w:rPr>
          <w:b/>
          <w:bCs/>
          <w:lang w:val="en-GB"/>
        </w:rPr>
        <w:t xml:space="preserve">In summary, the socio-economic impacts of the short-term rental market </w:t>
      </w:r>
      <w:r w:rsidR="007B0203" w:rsidRPr="007B0203">
        <w:rPr>
          <w:lang w:val="en-GB"/>
        </w:rPr>
        <w:t xml:space="preserve">are evident </w:t>
      </w:r>
      <w:r w:rsidRPr="004510D0">
        <w:rPr>
          <w:lang w:val="en-GB"/>
        </w:rPr>
        <w:t xml:space="preserve">to a greater or lesser extent </w:t>
      </w:r>
      <w:r w:rsidRPr="004510D0">
        <w:rPr>
          <w:b/>
          <w:bCs/>
          <w:lang w:val="en-GB"/>
        </w:rPr>
        <w:t>in six areas</w:t>
      </w:r>
      <w:r w:rsidRPr="004510D0">
        <w:rPr>
          <w:lang w:val="en-GB"/>
        </w:rPr>
        <w:t xml:space="preserve">: </w:t>
      </w:r>
      <w:r w:rsidRPr="004510D0">
        <w:rPr>
          <w:b/>
          <w:bCs/>
          <w:lang w:val="en-GB"/>
        </w:rPr>
        <w:t>the accommodation services market, the housing market, regional development, safety and security, the living environment, and the public sector</w:t>
      </w:r>
      <w:r w:rsidR="005C46EB">
        <w:rPr>
          <w:lang w:val="en-GB"/>
        </w:rPr>
        <w:t>.</w:t>
      </w:r>
      <w:r w:rsidRPr="004510D0">
        <w:rPr>
          <w:lang w:val="en-GB"/>
        </w:rPr>
        <w:t xml:space="preserve"> </w:t>
      </w:r>
      <w:r w:rsidR="005C46EB" w:rsidRPr="007B0203">
        <w:rPr>
          <w:lang w:val="en-GB"/>
        </w:rPr>
        <w:t xml:space="preserve">In most areas, </w:t>
      </w:r>
      <w:r w:rsidRPr="004510D0">
        <w:rPr>
          <w:lang w:val="en-GB"/>
        </w:rPr>
        <w:t xml:space="preserve">both positive and negative impacts </w:t>
      </w:r>
      <w:r w:rsidR="005C46EB" w:rsidRPr="007B0203">
        <w:rPr>
          <w:lang w:val="en-GB"/>
        </w:rPr>
        <w:t>are observed</w:t>
      </w:r>
      <w:r w:rsidRPr="004510D0">
        <w:rPr>
          <w:lang w:val="en-GB"/>
        </w:rPr>
        <w:t xml:space="preserve">. </w:t>
      </w:r>
      <w:r w:rsidR="005C46EB" w:rsidRPr="007B0203">
        <w:rPr>
          <w:lang w:val="en-GB"/>
        </w:rPr>
        <w:t>A consistently positive impact is evident for</w:t>
      </w:r>
      <w:r w:rsidRPr="004510D0">
        <w:rPr>
          <w:lang w:val="en-GB"/>
        </w:rPr>
        <w:t xml:space="preserve"> local </w:t>
      </w:r>
      <w:r>
        <w:rPr>
          <w:lang w:val="en-GB"/>
        </w:rPr>
        <w:t>businesses</w:t>
      </w:r>
      <w:r w:rsidR="005C46EB">
        <w:rPr>
          <w:lang w:val="en-GB"/>
        </w:rPr>
        <w:t>, whereas</w:t>
      </w:r>
      <w:r w:rsidRPr="004510D0">
        <w:rPr>
          <w:lang w:val="en-GB"/>
        </w:rPr>
        <w:t xml:space="preserve"> negative impact</w:t>
      </w:r>
      <w:r w:rsidR="005C46EB">
        <w:rPr>
          <w:lang w:val="en-GB"/>
        </w:rPr>
        <w:t>s</w:t>
      </w:r>
      <w:r w:rsidRPr="004510D0">
        <w:rPr>
          <w:lang w:val="en-GB"/>
        </w:rPr>
        <w:t xml:space="preserve"> </w:t>
      </w:r>
      <w:r w:rsidR="005C46EB">
        <w:rPr>
          <w:lang w:val="en-GB"/>
        </w:rPr>
        <w:t>are</w:t>
      </w:r>
      <w:r w:rsidR="00796C20">
        <w:rPr>
          <w:lang w:val="en-GB"/>
        </w:rPr>
        <w:t>, in</w:t>
      </w:r>
      <w:r w:rsidRPr="004510D0">
        <w:rPr>
          <w:lang w:val="en-GB"/>
        </w:rPr>
        <w:t xml:space="preserve"> general</w:t>
      </w:r>
      <w:r w:rsidR="00796C20">
        <w:rPr>
          <w:lang w:val="en-GB"/>
        </w:rPr>
        <w:t>,</w:t>
      </w:r>
      <w:r w:rsidRPr="004510D0">
        <w:rPr>
          <w:lang w:val="en-GB"/>
        </w:rPr>
        <w:t xml:space="preserve"> still </w:t>
      </w:r>
      <w:r w:rsidR="00796C20" w:rsidRPr="007B0203">
        <w:rPr>
          <w:lang w:val="en-GB"/>
        </w:rPr>
        <w:t>relatively limited</w:t>
      </w:r>
      <w:r w:rsidRPr="004510D0">
        <w:rPr>
          <w:lang w:val="en-GB"/>
        </w:rPr>
        <w:t xml:space="preserve">. </w:t>
      </w:r>
      <w:r w:rsidRPr="004510D0">
        <w:rPr>
          <w:b/>
          <w:bCs/>
          <w:lang w:val="en-GB"/>
        </w:rPr>
        <w:t xml:space="preserve">We </w:t>
      </w:r>
      <w:r w:rsidR="00796C20">
        <w:rPr>
          <w:b/>
          <w:bCs/>
          <w:lang w:val="en-GB"/>
        </w:rPr>
        <w:t>identified</w:t>
      </w:r>
      <w:r w:rsidR="00796C20" w:rsidRPr="004510D0">
        <w:rPr>
          <w:b/>
          <w:bCs/>
          <w:lang w:val="en-GB"/>
        </w:rPr>
        <w:t xml:space="preserve"> </w:t>
      </w:r>
      <w:r w:rsidRPr="004510D0">
        <w:rPr>
          <w:b/>
          <w:bCs/>
          <w:lang w:val="en-GB"/>
        </w:rPr>
        <w:t>the impact categories requir</w:t>
      </w:r>
      <w:r w:rsidR="006453E7">
        <w:rPr>
          <w:b/>
          <w:bCs/>
          <w:lang w:val="en-GB"/>
        </w:rPr>
        <w:t>ing</w:t>
      </w:r>
      <w:r w:rsidRPr="004510D0">
        <w:rPr>
          <w:b/>
          <w:bCs/>
          <w:lang w:val="en-GB"/>
        </w:rPr>
        <w:t xml:space="preserve"> intervention</w:t>
      </w:r>
      <w:r w:rsidR="00F56F0E">
        <w:rPr>
          <w:b/>
          <w:bCs/>
          <w:lang w:val="en-GB"/>
        </w:rPr>
        <w:t xml:space="preserve"> as</w:t>
      </w:r>
      <w:r>
        <w:rPr>
          <w:b/>
          <w:bCs/>
          <w:lang w:val="en-GB"/>
        </w:rPr>
        <w:t xml:space="preserve"> </w:t>
      </w:r>
      <w:r w:rsidRPr="004510D0">
        <w:rPr>
          <w:b/>
          <w:bCs/>
          <w:lang w:val="en-GB"/>
        </w:rPr>
        <w:t xml:space="preserve">unfair competition, deterioration </w:t>
      </w:r>
      <w:r w:rsidR="00F56F0E">
        <w:rPr>
          <w:b/>
          <w:bCs/>
          <w:lang w:val="en-GB"/>
        </w:rPr>
        <w:t>in</w:t>
      </w:r>
      <w:r w:rsidR="00F56F0E" w:rsidRPr="004510D0">
        <w:rPr>
          <w:b/>
          <w:bCs/>
          <w:lang w:val="en-GB"/>
        </w:rPr>
        <w:t xml:space="preserve"> </w:t>
      </w:r>
      <w:r w:rsidRPr="004510D0">
        <w:rPr>
          <w:b/>
          <w:bCs/>
          <w:lang w:val="en-GB"/>
        </w:rPr>
        <w:t>fire safety, difficult</w:t>
      </w:r>
      <w:r w:rsidR="00F56F0E">
        <w:rPr>
          <w:b/>
          <w:bCs/>
          <w:lang w:val="en-GB"/>
        </w:rPr>
        <w:t>ies</w:t>
      </w:r>
      <w:r w:rsidRPr="004510D0">
        <w:rPr>
          <w:b/>
          <w:bCs/>
          <w:lang w:val="en-GB"/>
        </w:rPr>
        <w:t xml:space="preserve"> in ensuring security, and </w:t>
      </w:r>
      <w:r w:rsidR="00F56F0E" w:rsidRPr="00F56F0E">
        <w:rPr>
          <w:lang w:val="en-GB"/>
        </w:rPr>
        <w:t>—locally in some areas—</w:t>
      </w:r>
      <w:r w:rsidR="001853A4" w:rsidRPr="001853A4">
        <w:rPr>
          <w:b/>
          <w:bCs/>
          <w:lang w:val="en-GB"/>
        </w:rPr>
        <w:t>a worsening</w:t>
      </w:r>
      <w:r w:rsidRPr="004510D0">
        <w:rPr>
          <w:b/>
          <w:bCs/>
          <w:lang w:val="en-GB"/>
        </w:rPr>
        <w:t xml:space="preserve"> of the living environment</w:t>
      </w:r>
      <w:r w:rsidRPr="004510D0">
        <w:rPr>
          <w:lang w:val="en-GB"/>
        </w:rPr>
        <w:t xml:space="preserve">. </w:t>
      </w:r>
      <w:r w:rsidR="001853A4">
        <w:rPr>
          <w:lang w:val="en-GB"/>
        </w:rPr>
        <w:t>I</w:t>
      </w:r>
      <w:r w:rsidRPr="004510D0">
        <w:rPr>
          <w:lang w:val="en-GB"/>
        </w:rPr>
        <w:t xml:space="preserve">ntervention </w:t>
      </w:r>
      <w:r w:rsidR="001853A4" w:rsidRPr="007B0203">
        <w:rPr>
          <w:lang w:val="en-GB"/>
        </w:rPr>
        <w:t xml:space="preserve">is warranted where </w:t>
      </w:r>
      <w:r w:rsidRPr="004510D0">
        <w:rPr>
          <w:lang w:val="en-GB"/>
        </w:rPr>
        <w:t xml:space="preserve">negative impacts </w:t>
      </w:r>
      <w:r w:rsidR="001853A4" w:rsidRPr="007B0203">
        <w:rPr>
          <w:lang w:val="en-GB"/>
        </w:rPr>
        <w:t xml:space="preserve">affect </w:t>
      </w:r>
      <w:r w:rsidRPr="004510D0">
        <w:rPr>
          <w:lang w:val="en-GB"/>
        </w:rPr>
        <w:t xml:space="preserve">a very large number of people nationwide and/or cause significant changes in the well-being of </w:t>
      </w:r>
      <w:r w:rsidR="00407342" w:rsidRPr="007B0203">
        <w:rPr>
          <w:lang w:val="en-GB"/>
        </w:rPr>
        <w:t xml:space="preserve">residents in specific </w:t>
      </w:r>
      <w:r w:rsidRPr="004510D0">
        <w:rPr>
          <w:lang w:val="en-GB"/>
        </w:rPr>
        <w:t>areas.</w:t>
      </w:r>
    </w:p>
    <w:p w14:paraId="7D5009EE" w14:textId="1A21CAF0" w:rsidR="00110090" w:rsidRPr="00077C25" w:rsidRDefault="00110090" w:rsidP="001A4A6A">
      <w:pPr>
        <w:jc w:val="both"/>
        <w:rPr>
          <w:lang w:val="en-GB"/>
        </w:rPr>
      </w:pPr>
      <w:r w:rsidRPr="00110090">
        <w:rPr>
          <w:lang w:val="en-GB"/>
        </w:rPr>
        <w:t xml:space="preserve">To address </w:t>
      </w:r>
      <w:r w:rsidR="001A4A6A" w:rsidRPr="004510D0">
        <w:rPr>
          <w:lang w:val="en-GB"/>
        </w:rPr>
        <w:t xml:space="preserve">the most pressing </w:t>
      </w:r>
      <w:r>
        <w:rPr>
          <w:lang w:val="en-GB"/>
        </w:rPr>
        <w:t>issues</w:t>
      </w:r>
      <w:r w:rsidRPr="004510D0">
        <w:rPr>
          <w:lang w:val="en-GB"/>
        </w:rPr>
        <w:t xml:space="preserve"> </w:t>
      </w:r>
      <w:r w:rsidR="001A4A6A" w:rsidRPr="004510D0">
        <w:rPr>
          <w:lang w:val="en-GB"/>
        </w:rPr>
        <w:t xml:space="preserve">revealed by the study, we </w:t>
      </w:r>
      <w:r w:rsidR="001A4A6A" w:rsidRPr="004510D0">
        <w:rPr>
          <w:b/>
          <w:bCs/>
          <w:lang w:val="en-GB"/>
        </w:rPr>
        <w:t>propose a se</w:t>
      </w:r>
      <w:r w:rsidR="00E03410">
        <w:rPr>
          <w:b/>
          <w:bCs/>
          <w:lang w:val="en-GB"/>
        </w:rPr>
        <w:t>t</w:t>
      </w:r>
      <w:r w:rsidR="001A4A6A" w:rsidRPr="004510D0">
        <w:rPr>
          <w:b/>
          <w:bCs/>
          <w:lang w:val="en-GB"/>
        </w:rPr>
        <w:t xml:space="preserve"> of possible interventions</w:t>
      </w:r>
      <w:r w:rsidR="001A4A6A" w:rsidRPr="004510D0">
        <w:rPr>
          <w:lang w:val="en-GB"/>
        </w:rPr>
        <w:t xml:space="preserve">. </w:t>
      </w:r>
      <w:r w:rsidR="00994693" w:rsidRPr="00110090">
        <w:rPr>
          <w:lang w:val="en-GB"/>
        </w:rPr>
        <w:t xml:space="preserve">Our approach is guided by </w:t>
      </w:r>
      <w:r w:rsidR="001A4A6A" w:rsidRPr="004510D0">
        <w:rPr>
          <w:lang w:val="en-GB"/>
        </w:rPr>
        <w:t xml:space="preserve">the principle of economic efficiency </w:t>
      </w:r>
      <w:r w:rsidR="00994693" w:rsidRPr="00110090">
        <w:rPr>
          <w:lang w:val="en-GB"/>
        </w:rPr>
        <w:t xml:space="preserve">and by our finding </w:t>
      </w:r>
      <w:r w:rsidR="001A4A6A" w:rsidRPr="004510D0">
        <w:rPr>
          <w:lang w:val="en-GB"/>
        </w:rPr>
        <w:t xml:space="preserve">that the problems </w:t>
      </w:r>
      <w:r w:rsidR="00E32ED3" w:rsidRPr="00110090">
        <w:rPr>
          <w:lang w:val="en-GB"/>
        </w:rPr>
        <w:t xml:space="preserve">observed to date are largely </w:t>
      </w:r>
      <w:r w:rsidR="001A4A6A" w:rsidRPr="004510D0">
        <w:rPr>
          <w:lang w:val="en-GB"/>
        </w:rPr>
        <w:t xml:space="preserve">local. </w:t>
      </w:r>
      <w:r w:rsidR="00E32ED3" w:rsidRPr="00110090">
        <w:rPr>
          <w:lang w:val="en-GB"/>
        </w:rPr>
        <w:t xml:space="preserve">We also seek to build on existing </w:t>
      </w:r>
      <w:r w:rsidR="001A4A6A" w:rsidRPr="004510D0">
        <w:rPr>
          <w:lang w:val="en-GB"/>
        </w:rPr>
        <w:t xml:space="preserve">systems </w:t>
      </w:r>
      <w:r w:rsidR="00E32ED3" w:rsidRPr="00110090">
        <w:rPr>
          <w:lang w:val="en-GB"/>
        </w:rPr>
        <w:t xml:space="preserve">and </w:t>
      </w:r>
      <w:r w:rsidR="001A4A6A" w:rsidRPr="004510D0">
        <w:rPr>
          <w:lang w:val="en-GB"/>
        </w:rPr>
        <w:t xml:space="preserve">Estonia’s </w:t>
      </w:r>
      <w:r w:rsidR="00E32ED3" w:rsidRPr="00110090">
        <w:rPr>
          <w:lang w:val="en-GB"/>
        </w:rPr>
        <w:t xml:space="preserve">overall orientation towards </w:t>
      </w:r>
      <w:r w:rsidR="001A4A6A" w:rsidRPr="004510D0">
        <w:rPr>
          <w:lang w:val="en-GB"/>
        </w:rPr>
        <w:t xml:space="preserve">reducing bureaucracy and </w:t>
      </w:r>
      <w:r w:rsidR="001A4A6A">
        <w:rPr>
          <w:lang w:val="en-GB"/>
        </w:rPr>
        <w:t xml:space="preserve">using </w:t>
      </w:r>
      <w:r w:rsidR="001A4A6A" w:rsidRPr="004510D0">
        <w:rPr>
          <w:lang w:val="en-GB"/>
        </w:rPr>
        <w:t>digital solutions. We do not recommend implementing</w:t>
      </w:r>
      <w:r w:rsidR="008B7C5C">
        <w:rPr>
          <w:lang w:val="en-GB"/>
        </w:rPr>
        <w:t xml:space="preserve"> all of</w:t>
      </w:r>
      <w:r w:rsidR="001A4A6A" w:rsidRPr="004510D0">
        <w:rPr>
          <w:lang w:val="en-GB"/>
        </w:rPr>
        <w:t xml:space="preserve"> the interventions in Table 1</w:t>
      </w:r>
      <w:r w:rsidR="001A4A6A">
        <w:rPr>
          <w:lang w:val="en-GB"/>
        </w:rPr>
        <w:t>B</w:t>
      </w:r>
      <w:r w:rsidR="001A4A6A" w:rsidRPr="004510D0">
        <w:rPr>
          <w:lang w:val="en-GB"/>
        </w:rPr>
        <w:t xml:space="preserve"> simultaneously</w:t>
      </w:r>
      <w:r w:rsidR="008B7C5C">
        <w:rPr>
          <w:lang w:val="en-GB"/>
        </w:rPr>
        <w:t>;</w:t>
      </w:r>
      <w:r w:rsidR="001A4A6A" w:rsidRPr="004510D0">
        <w:rPr>
          <w:lang w:val="en-GB"/>
        </w:rPr>
        <w:t xml:space="preserve"> rather</w:t>
      </w:r>
      <w:r w:rsidR="008B7C5C">
        <w:rPr>
          <w:lang w:val="en-GB"/>
        </w:rPr>
        <w:t>,</w:t>
      </w:r>
      <w:r w:rsidR="001A4A6A" w:rsidRPr="004510D0">
        <w:rPr>
          <w:lang w:val="en-GB"/>
        </w:rPr>
        <w:t xml:space="preserve"> </w:t>
      </w:r>
      <w:r w:rsidR="008B7C5C">
        <w:rPr>
          <w:lang w:val="en-GB"/>
        </w:rPr>
        <w:t>begin</w:t>
      </w:r>
      <w:r w:rsidR="008B7C5C" w:rsidRPr="004510D0">
        <w:rPr>
          <w:lang w:val="en-GB"/>
        </w:rPr>
        <w:t xml:space="preserve"> </w:t>
      </w:r>
      <w:r w:rsidR="001A4A6A" w:rsidRPr="004510D0">
        <w:rPr>
          <w:lang w:val="en-GB"/>
        </w:rPr>
        <w:t xml:space="preserve">with the </w:t>
      </w:r>
      <w:r w:rsidR="00DF3924">
        <w:rPr>
          <w:lang w:val="en-GB"/>
        </w:rPr>
        <w:t xml:space="preserve">first </w:t>
      </w:r>
      <w:r w:rsidR="001A4A6A" w:rsidRPr="004510D0">
        <w:rPr>
          <w:lang w:val="en-GB"/>
        </w:rPr>
        <w:t>options and, if the</w:t>
      </w:r>
      <w:r w:rsidR="00DF3924">
        <w:rPr>
          <w:lang w:val="en-GB"/>
        </w:rPr>
        <w:t>se</w:t>
      </w:r>
      <w:r w:rsidR="001A4A6A" w:rsidRPr="004510D0">
        <w:rPr>
          <w:lang w:val="en-GB"/>
        </w:rPr>
        <w:t xml:space="preserve"> </w:t>
      </w:r>
      <w:r w:rsidR="009A5D9A" w:rsidRPr="00110090">
        <w:rPr>
          <w:lang w:val="en-GB"/>
        </w:rPr>
        <w:t xml:space="preserve">prove </w:t>
      </w:r>
      <w:r w:rsidR="001A4A6A" w:rsidRPr="004510D0">
        <w:rPr>
          <w:lang w:val="en-GB"/>
        </w:rPr>
        <w:t xml:space="preserve">insufficient, </w:t>
      </w:r>
      <w:r w:rsidR="009A5D9A" w:rsidRPr="00110090">
        <w:rPr>
          <w:lang w:val="en-GB"/>
        </w:rPr>
        <w:t>proceed to subsequent measures</w:t>
      </w:r>
      <w:r w:rsidR="001A4A6A" w:rsidRPr="004510D0">
        <w:rPr>
          <w:lang w:val="en-GB"/>
        </w:rPr>
        <w:t xml:space="preserve">. When </w:t>
      </w:r>
      <w:r w:rsidR="009A5D9A" w:rsidRPr="00110090">
        <w:rPr>
          <w:lang w:val="en-GB"/>
        </w:rPr>
        <w:t xml:space="preserve">selecting </w:t>
      </w:r>
      <w:r w:rsidR="001A4A6A" w:rsidRPr="004510D0">
        <w:rPr>
          <w:lang w:val="en-GB"/>
        </w:rPr>
        <w:t xml:space="preserve">interventions, it </w:t>
      </w:r>
      <w:r w:rsidR="001A4A6A" w:rsidRPr="00077C25">
        <w:rPr>
          <w:lang w:val="en-GB"/>
        </w:rPr>
        <w:t xml:space="preserve">is </w:t>
      </w:r>
      <w:r w:rsidR="009A5D9A" w:rsidRPr="00110090">
        <w:rPr>
          <w:lang w:val="en-GB"/>
        </w:rPr>
        <w:t xml:space="preserve">crucial </w:t>
      </w:r>
      <w:r w:rsidR="001A4A6A" w:rsidRPr="00077C25">
        <w:rPr>
          <w:lang w:val="en-GB"/>
        </w:rPr>
        <w:t xml:space="preserve">first </w:t>
      </w:r>
      <w:r w:rsidR="009A5D9A" w:rsidRPr="00110090">
        <w:rPr>
          <w:lang w:val="en-GB"/>
        </w:rPr>
        <w:t xml:space="preserve">to identify </w:t>
      </w:r>
      <w:r w:rsidR="009A5D9A">
        <w:rPr>
          <w:lang w:val="en-GB"/>
        </w:rPr>
        <w:t xml:space="preserve">the </w:t>
      </w:r>
      <w:r w:rsidR="001A4A6A" w:rsidRPr="00077C25">
        <w:rPr>
          <w:lang w:val="en-GB"/>
        </w:rPr>
        <w:t xml:space="preserve">specific problem and </w:t>
      </w:r>
      <w:r w:rsidR="009A5D9A">
        <w:rPr>
          <w:lang w:val="en-GB"/>
        </w:rPr>
        <w:t xml:space="preserve">then </w:t>
      </w:r>
      <w:r w:rsidR="001A4A6A" w:rsidRPr="00077C25">
        <w:rPr>
          <w:lang w:val="en-GB"/>
        </w:rPr>
        <w:t xml:space="preserve">to design </w:t>
      </w:r>
      <w:r w:rsidR="009A5D9A" w:rsidRPr="009A5D9A">
        <w:rPr>
          <w:lang w:val="en-GB"/>
        </w:rPr>
        <w:t>a targeted remedy</w:t>
      </w:r>
      <w:r w:rsidR="00A4236E" w:rsidRPr="00A4236E">
        <w:rPr>
          <w:lang w:val="en-GB"/>
        </w:rPr>
        <w:t xml:space="preserve">—no single measure is </w:t>
      </w:r>
      <w:r w:rsidR="001A4A6A" w:rsidRPr="00077C25">
        <w:rPr>
          <w:lang w:val="en-GB"/>
        </w:rPr>
        <w:t xml:space="preserve">suitable for all </w:t>
      </w:r>
      <w:r w:rsidR="00A4236E">
        <w:rPr>
          <w:lang w:val="en-GB"/>
        </w:rPr>
        <w:t>issues</w:t>
      </w:r>
      <w:r w:rsidR="001A4A6A" w:rsidRPr="00077C25">
        <w:rPr>
          <w:lang w:val="en-GB"/>
        </w:rPr>
        <w:t>.</w:t>
      </w:r>
    </w:p>
    <w:p w14:paraId="1E5661C7" w14:textId="41158AFA" w:rsidR="00CA4DAF" w:rsidRPr="00077C25" w:rsidRDefault="00CA4DAF" w:rsidP="00CA4DAF">
      <w:pPr>
        <w:pStyle w:val="TableTitle"/>
        <w:rPr>
          <w:lang w:val="en-GB"/>
        </w:rPr>
      </w:pPr>
      <w:r w:rsidRPr="00077C25">
        <w:rPr>
          <w:lang w:val="en-GB"/>
        </w:rPr>
        <w:t>Table 1B: Overview of</w:t>
      </w:r>
      <w:r w:rsidR="007F3FE8">
        <w:rPr>
          <w:lang w:val="en-GB"/>
        </w:rPr>
        <w:t xml:space="preserve"> </w:t>
      </w:r>
      <w:r w:rsidR="007F3FE8" w:rsidRPr="007F3FE8">
        <w:rPr>
          <w:lang w:val="en-GB"/>
        </w:rPr>
        <w:t>recommended</w:t>
      </w:r>
      <w:r w:rsidRPr="00077C25">
        <w:rPr>
          <w:lang w:val="en-GB"/>
        </w:rPr>
        <w:t xml:space="preserve"> interventions (see Chapter 4 </w:t>
      </w:r>
      <w:r w:rsidR="007F3FE8">
        <w:rPr>
          <w:lang w:val="en-GB"/>
        </w:rPr>
        <w:t>for details</w:t>
      </w:r>
      <w:r w:rsidRPr="00077C25">
        <w:rPr>
          <w:lang w:val="en-GB"/>
        </w:rPr>
        <w:t>)</w:t>
      </w:r>
    </w:p>
    <w:tbl>
      <w:tblPr>
        <w:tblStyle w:val="ListTable3-Accent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5490"/>
        <w:gridCol w:w="1710"/>
      </w:tblGrid>
      <w:tr w:rsidR="004F5F3C" w:rsidRPr="00077C25" w14:paraId="4B3881CE" w14:textId="77777777" w:rsidTr="00CC743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695" w:type="dxa"/>
          </w:tcPr>
          <w:p w14:paraId="0D45EEA1" w14:textId="77777777" w:rsidR="00417D95" w:rsidRPr="00077C25" w:rsidRDefault="00417D95" w:rsidP="00E84223">
            <w:pPr>
              <w:pStyle w:val="Heading3"/>
              <w:numPr>
                <w:ilvl w:val="0"/>
                <w:numId w:val="0"/>
              </w:numPr>
              <w:spacing w:before="60" w:after="60" w:line="240" w:lineRule="auto"/>
              <w:rPr>
                <w:rFonts w:asciiTheme="minorBidi" w:hAnsiTheme="minorBidi" w:cstheme="minorBidi"/>
                <w:color w:val="FEFEFE" w:themeColor="background1"/>
                <w:sz w:val="20"/>
                <w:szCs w:val="20"/>
                <w:lang w:val="en-GB"/>
              </w:rPr>
            </w:pPr>
            <w:bookmarkStart w:id="38" w:name="_Toc208989854"/>
            <w:bookmarkStart w:id="39" w:name="_Toc208991572"/>
            <w:r w:rsidRPr="00077C25">
              <w:rPr>
                <w:rFonts w:asciiTheme="minorBidi" w:hAnsiTheme="minorBidi" w:cstheme="minorBidi"/>
                <w:color w:val="FEFEFE" w:themeColor="background1"/>
                <w:sz w:val="20"/>
                <w:szCs w:val="20"/>
                <w:lang w:val="en-GB"/>
              </w:rPr>
              <w:t>Recommendation</w:t>
            </w:r>
            <w:bookmarkEnd w:id="38"/>
            <w:bookmarkEnd w:id="39"/>
          </w:p>
        </w:tc>
        <w:tc>
          <w:tcPr>
            <w:tcW w:w="5490" w:type="dxa"/>
          </w:tcPr>
          <w:p w14:paraId="4EE0452B" w14:textId="77777777" w:rsidR="00417D95" w:rsidRPr="00077C25" w:rsidRDefault="00417D95" w:rsidP="00E3067C">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lang w:val="en-GB"/>
              </w:rPr>
            </w:pPr>
            <w:r w:rsidRPr="00077C25">
              <w:rPr>
                <w:rFonts w:asciiTheme="minorBidi" w:hAnsiTheme="minorBidi"/>
                <w:sz w:val="20"/>
                <w:szCs w:val="20"/>
                <w:lang w:val="en-GB"/>
              </w:rPr>
              <w:t>Activities</w:t>
            </w:r>
          </w:p>
        </w:tc>
        <w:tc>
          <w:tcPr>
            <w:tcW w:w="1710" w:type="dxa"/>
          </w:tcPr>
          <w:p w14:paraId="0CCA62AF" w14:textId="72816DF0" w:rsidR="00417D95" w:rsidRPr="00077C25" w:rsidRDefault="00A54566" w:rsidP="00E3067C">
            <w:pPr>
              <w:spacing w:before="60" w:after="60" w:line="24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lang w:val="en-GB"/>
              </w:rPr>
            </w:pPr>
            <w:r w:rsidRPr="00A54566">
              <w:rPr>
                <w:rFonts w:asciiTheme="minorBidi" w:hAnsiTheme="minorBidi"/>
                <w:sz w:val="20"/>
                <w:szCs w:val="20"/>
                <w:lang w:val="en-GB"/>
              </w:rPr>
              <w:t>Addressees</w:t>
            </w:r>
          </w:p>
        </w:tc>
      </w:tr>
      <w:tr w:rsidR="00417D95" w:rsidRPr="00077C25" w14:paraId="7D5D3ABB" w14:textId="77777777" w:rsidTr="00CC743F">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895" w:type="dxa"/>
            <w:gridSpan w:val="3"/>
            <w:shd w:val="clear" w:color="auto" w:fill="E6E6E6" w:themeFill="accent3"/>
          </w:tcPr>
          <w:p w14:paraId="51D89872" w14:textId="51CEA3FF" w:rsidR="00417D95" w:rsidRPr="00077C25" w:rsidRDefault="00417D95" w:rsidP="00E84223">
            <w:pPr>
              <w:pStyle w:val="Heading3"/>
              <w:numPr>
                <w:ilvl w:val="0"/>
                <w:numId w:val="0"/>
              </w:numPr>
              <w:spacing w:before="60" w:after="60" w:line="240" w:lineRule="auto"/>
              <w:ind w:left="504" w:hanging="504"/>
              <w:rPr>
                <w:rFonts w:asciiTheme="minorBidi" w:hAnsiTheme="minorBidi" w:cstheme="minorBidi"/>
                <w:color w:val="232323" w:themeColor="text1"/>
                <w:sz w:val="20"/>
                <w:szCs w:val="20"/>
                <w:lang w:val="en-GB"/>
              </w:rPr>
            </w:pPr>
            <w:bookmarkStart w:id="40" w:name="_Toc208989855"/>
            <w:bookmarkStart w:id="41" w:name="_Toc208991573"/>
            <w:r w:rsidRPr="00077C25">
              <w:rPr>
                <w:rFonts w:asciiTheme="minorBidi" w:hAnsiTheme="minorBidi" w:cstheme="minorBidi"/>
                <w:color w:val="232323" w:themeColor="text1"/>
                <w:sz w:val="20"/>
                <w:szCs w:val="20"/>
                <w:lang w:val="en-GB"/>
              </w:rPr>
              <w:t xml:space="preserve">Defining </w:t>
            </w:r>
            <w:r w:rsidR="00863FAC">
              <w:rPr>
                <w:rFonts w:asciiTheme="minorBidi" w:hAnsiTheme="minorBidi" w:cstheme="minorBidi"/>
                <w:color w:val="232323" w:themeColor="text1"/>
                <w:sz w:val="20"/>
                <w:szCs w:val="20"/>
                <w:lang w:val="en-GB"/>
              </w:rPr>
              <w:t xml:space="preserve">the </w:t>
            </w:r>
            <w:r w:rsidRPr="00077C25">
              <w:rPr>
                <w:rFonts w:asciiTheme="minorBidi" w:hAnsiTheme="minorBidi" w:cstheme="minorBidi"/>
                <w:color w:val="232323" w:themeColor="text1"/>
                <w:sz w:val="20"/>
                <w:szCs w:val="20"/>
                <w:lang w:val="en-GB"/>
              </w:rPr>
              <w:t xml:space="preserve">short-term rental service and </w:t>
            </w:r>
            <w:r w:rsidR="00A06B7C" w:rsidRPr="00A06B7C">
              <w:rPr>
                <w:rFonts w:asciiTheme="minorBidi" w:hAnsiTheme="minorBidi" w:cstheme="minorBidi"/>
                <w:color w:val="232323" w:themeColor="text1"/>
                <w:sz w:val="20"/>
                <w:szCs w:val="20"/>
                <w:lang w:val="en-GB"/>
              </w:rPr>
              <w:t>clarifying the norms</w:t>
            </w:r>
            <w:r w:rsidR="00A06B7C">
              <w:rPr>
                <w:rFonts w:asciiTheme="minorBidi" w:hAnsiTheme="minorBidi" w:cstheme="minorBidi"/>
                <w:color w:val="232323" w:themeColor="text1"/>
                <w:sz w:val="20"/>
                <w:szCs w:val="20"/>
                <w:lang w:val="en-GB"/>
              </w:rPr>
              <w:t xml:space="preserve"> </w:t>
            </w:r>
            <w:r w:rsidRPr="00077C25">
              <w:rPr>
                <w:rFonts w:asciiTheme="minorBidi" w:hAnsiTheme="minorBidi" w:cstheme="minorBidi"/>
                <w:color w:val="232323" w:themeColor="text1"/>
                <w:sz w:val="20"/>
                <w:szCs w:val="20"/>
                <w:lang w:val="en-GB"/>
              </w:rPr>
              <w:t>that apply</w:t>
            </w:r>
            <w:bookmarkEnd w:id="40"/>
            <w:bookmarkEnd w:id="41"/>
          </w:p>
        </w:tc>
      </w:tr>
      <w:tr w:rsidR="006B1E5D" w:rsidRPr="00077C25" w14:paraId="60417E6B" w14:textId="77777777" w:rsidTr="00CC743F">
        <w:tc>
          <w:tcPr>
            <w:cnfStyle w:val="001000000000" w:firstRow="0" w:lastRow="0" w:firstColumn="1" w:lastColumn="0" w:oddVBand="0" w:evenVBand="0" w:oddHBand="0" w:evenHBand="0" w:firstRowFirstColumn="0" w:firstRowLastColumn="0" w:lastRowFirstColumn="0" w:lastRowLastColumn="0"/>
            <w:tcW w:w="2695" w:type="dxa"/>
          </w:tcPr>
          <w:p w14:paraId="7CA318A8" w14:textId="77777777" w:rsidR="00417D95" w:rsidRPr="00077C25" w:rsidRDefault="00417D95" w:rsidP="007D6C17">
            <w:pPr>
              <w:spacing w:before="60" w:after="60" w:line="240" w:lineRule="auto"/>
              <w:ind w:left="157"/>
              <w:rPr>
                <w:rFonts w:asciiTheme="minorBidi" w:hAnsiTheme="minorBidi"/>
                <w:color w:val="232323" w:themeColor="text1"/>
                <w:sz w:val="20"/>
                <w:szCs w:val="20"/>
                <w:lang w:val="en-GB"/>
              </w:rPr>
            </w:pPr>
            <w:r w:rsidRPr="00077C25">
              <w:rPr>
                <w:rFonts w:asciiTheme="minorBidi" w:hAnsiTheme="minorBidi"/>
                <w:color w:val="232323" w:themeColor="accent1"/>
                <w:sz w:val="20"/>
                <w:szCs w:val="20"/>
                <w:lang w:val="en-GB"/>
              </w:rPr>
              <w:t>Increase both legal clarity and market participants' awareness of regulations in the short-term rental market</w:t>
            </w:r>
          </w:p>
        </w:tc>
        <w:tc>
          <w:tcPr>
            <w:tcW w:w="5490" w:type="dxa"/>
          </w:tcPr>
          <w:p w14:paraId="17F5E7A2" w14:textId="3A1FDAA8" w:rsidR="00417D95" w:rsidRPr="00077C25" w:rsidRDefault="00417D95" w:rsidP="007D6C17">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text1"/>
                <w:sz w:val="20"/>
                <w:szCs w:val="20"/>
                <w:lang w:val="en-GB"/>
              </w:rPr>
              <w:t xml:space="preserve">Clarifying the definition of </w:t>
            </w:r>
            <w:r w:rsidRPr="00514229">
              <w:rPr>
                <w:rFonts w:asciiTheme="minorBidi" w:hAnsiTheme="minorBidi"/>
                <w:i/>
                <w:iCs/>
                <w:color w:val="232323" w:themeColor="text1"/>
                <w:sz w:val="20"/>
                <w:szCs w:val="20"/>
                <w:lang w:val="en-GB"/>
              </w:rPr>
              <w:t>accommodation service</w:t>
            </w:r>
            <w:r w:rsidRPr="00077C25">
              <w:rPr>
                <w:rFonts w:asciiTheme="minorBidi" w:hAnsiTheme="minorBidi"/>
                <w:color w:val="232323" w:themeColor="text1"/>
                <w:sz w:val="20"/>
                <w:szCs w:val="20"/>
                <w:lang w:val="en-GB"/>
              </w:rPr>
              <w:t xml:space="preserve"> in </w:t>
            </w:r>
            <w:r w:rsidR="00BF5BCC">
              <w:rPr>
                <w:rFonts w:asciiTheme="minorBidi" w:hAnsiTheme="minorBidi"/>
                <w:color w:val="232323" w:themeColor="text1"/>
                <w:sz w:val="20"/>
                <w:szCs w:val="20"/>
                <w:lang w:val="en-GB"/>
              </w:rPr>
              <w:t xml:space="preserve">the </w:t>
            </w:r>
            <w:r w:rsidRPr="00077C25">
              <w:rPr>
                <w:rFonts w:asciiTheme="minorBidi" w:hAnsiTheme="minorBidi"/>
                <w:color w:val="232323" w:themeColor="text1"/>
                <w:sz w:val="20"/>
                <w:szCs w:val="20"/>
                <w:lang w:val="en-GB"/>
              </w:rPr>
              <w:t>T</w:t>
            </w:r>
            <w:r w:rsidR="00793E66">
              <w:rPr>
                <w:rFonts w:asciiTheme="minorBidi" w:hAnsiTheme="minorBidi"/>
                <w:color w:val="232323" w:themeColor="text1"/>
                <w:sz w:val="20"/>
                <w:szCs w:val="20"/>
                <w:lang w:val="en-GB"/>
              </w:rPr>
              <w:t>ourism Act</w:t>
            </w:r>
            <w:r w:rsidR="004D2D04">
              <w:rPr>
                <w:rFonts w:asciiTheme="minorBidi" w:hAnsiTheme="minorBidi"/>
                <w:color w:val="232323" w:themeColor="text1"/>
                <w:sz w:val="20"/>
                <w:szCs w:val="20"/>
                <w:lang w:val="en-GB"/>
              </w:rPr>
              <w:t>.</w:t>
            </w:r>
          </w:p>
          <w:p w14:paraId="4FC3FC68" w14:textId="31DCDF78" w:rsidR="00417D95" w:rsidRPr="00077C25" w:rsidRDefault="00417D95" w:rsidP="007D6C17">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text1"/>
                <w:sz w:val="20"/>
                <w:szCs w:val="20"/>
                <w:lang w:val="en-GB"/>
              </w:rPr>
              <w:t>Develop guidelines for service providers on their rights and obligations</w:t>
            </w:r>
            <w:r w:rsidR="004D2D04">
              <w:rPr>
                <w:rFonts w:asciiTheme="minorBidi" w:hAnsiTheme="minorBidi"/>
                <w:color w:val="232323" w:themeColor="text1"/>
                <w:sz w:val="20"/>
                <w:szCs w:val="20"/>
                <w:lang w:val="en-GB"/>
              </w:rPr>
              <w:t>.</w:t>
            </w:r>
          </w:p>
          <w:p w14:paraId="01560628" w14:textId="7922C9E5" w:rsidR="00417D95" w:rsidRPr="00077C25" w:rsidRDefault="00417D95" w:rsidP="007D6C17">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accent1"/>
                <w:sz w:val="20"/>
                <w:szCs w:val="20"/>
                <w:lang w:val="en-GB"/>
              </w:rPr>
              <w:t>Prepare an analysis of fire</w:t>
            </w:r>
            <w:r w:rsidR="00706A3E">
              <w:rPr>
                <w:rFonts w:asciiTheme="minorBidi" w:hAnsiTheme="minorBidi"/>
                <w:color w:val="232323" w:themeColor="accent1"/>
                <w:sz w:val="20"/>
                <w:szCs w:val="20"/>
                <w:lang w:val="en-GB"/>
              </w:rPr>
              <w:t>-</w:t>
            </w:r>
            <w:r w:rsidRPr="00077C25">
              <w:rPr>
                <w:rFonts w:asciiTheme="minorBidi" w:hAnsiTheme="minorBidi"/>
                <w:color w:val="232323" w:themeColor="accent1"/>
                <w:sz w:val="20"/>
                <w:szCs w:val="20"/>
                <w:lang w:val="en-GB"/>
              </w:rPr>
              <w:t>safety requirements specify</w:t>
            </w:r>
            <w:r w:rsidR="00B055E4">
              <w:rPr>
                <w:rFonts w:asciiTheme="minorBidi" w:hAnsiTheme="minorBidi"/>
                <w:color w:val="232323" w:themeColor="accent1"/>
                <w:sz w:val="20"/>
                <w:szCs w:val="20"/>
                <w:lang w:val="en-GB"/>
              </w:rPr>
              <w:t>ing</w:t>
            </w:r>
            <w:r w:rsidRPr="00077C25">
              <w:rPr>
                <w:rFonts w:asciiTheme="minorBidi" w:hAnsiTheme="minorBidi"/>
                <w:color w:val="232323" w:themeColor="accent1"/>
                <w:sz w:val="20"/>
                <w:szCs w:val="20"/>
                <w:lang w:val="en-GB"/>
              </w:rPr>
              <w:t xml:space="preserve"> how to </w:t>
            </w:r>
            <w:r w:rsidR="00D1159B">
              <w:rPr>
                <w:rFonts w:asciiTheme="minorBidi" w:hAnsiTheme="minorBidi"/>
                <w:color w:val="232323" w:themeColor="accent1"/>
                <w:sz w:val="20"/>
                <w:szCs w:val="20"/>
                <w:lang w:val="en-GB"/>
              </w:rPr>
              <w:t>comply</w:t>
            </w:r>
            <w:r w:rsidR="008233CF">
              <w:rPr>
                <w:rFonts w:asciiTheme="minorBidi" w:hAnsiTheme="minorBidi"/>
                <w:color w:val="232323" w:themeColor="accent1"/>
                <w:sz w:val="20"/>
                <w:szCs w:val="20"/>
                <w:lang w:val="en-GB"/>
              </w:rPr>
              <w:t xml:space="preserve"> </w:t>
            </w:r>
            <w:r w:rsidR="00D1159B">
              <w:rPr>
                <w:rFonts w:asciiTheme="minorBidi" w:hAnsiTheme="minorBidi"/>
                <w:color w:val="232323" w:themeColor="accent1"/>
                <w:sz w:val="20"/>
                <w:szCs w:val="20"/>
                <w:lang w:val="en-GB"/>
              </w:rPr>
              <w:t>where</w:t>
            </w:r>
            <w:r w:rsidR="008233CF">
              <w:rPr>
                <w:rFonts w:asciiTheme="minorBidi" w:hAnsiTheme="minorBidi"/>
                <w:color w:val="232323" w:themeColor="accent1"/>
                <w:sz w:val="20"/>
                <w:szCs w:val="20"/>
                <w:lang w:val="en-GB"/>
              </w:rPr>
              <w:t xml:space="preserve"> </w:t>
            </w:r>
            <w:r w:rsidR="00BA6608" w:rsidRPr="00BA6608">
              <w:rPr>
                <w:rFonts w:asciiTheme="minorBidi" w:hAnsiTheme="minorBidi"/>
                <w:color w:val="232323" w:themeColor="accent1"/>
                <w:sz w:val="20"/>
                <w:szCs w:val="20"/>
                <w:lang w:val="en-GB"/>
              </w:rPr>
              <w:t>a substantial part</w:t>
            </w:r>
            <w:r w:rsidR="00BA6608" w:rsidRPr="00BA6608" w:rsidDel="00BA6608">
              <w:rPr>
                <w:rFonts w:asciiTheme="minorBidi" w:hAnsiTheme="minorBidi"/>
                <w:color w:val="232323" w:themeColor="accent1"/>
                <w:sz w:val="20"/>
                <w:szCs w:val="20"/>
                <w:lang w:val="en-GB"/>
              </w:rPr>
              <w:t xml:space="preserve"> </w:t>
            </w:r>
            <w:r w:rsidRPr="00077C25">
              <w:rPr>
                <w:rFonts w:asciiTheme="minorBidi" w:hAnsiTheme="minorBidi"/>
                <w:color w:val="232323" w:themeColor="accent1"/>
                <w:sz w:val="20"/>
                <w:szCs w:val="20"/>
                <w:lang w:val="en-GB"/>
              </w:rPr>
              <w:t xml:space="preserve">of </w:t>
            </w:r>
            <w:r w:rsidR="00BA6608">
              <w:rPr>
                <w:rFonts w:asciiTheme="minorBidi" w:hAnsiTheme="minorBidi"/>
                <w:color w:val="232323" w:themeColor="accent1"/>
                <w:sz w:val="20"/>
                <w:szCs w:val="20"/>
                <w:lang w:val="en-GB"/>
              </w:rPr>
              <w:t>an</w:t>
            </w:r>
            <w:r w:rsidR="00BA6608" w:rsidRPr="00077C25">
              <w:rPr>
                <w:rFonts w:asciiTheme="minorBidi" w:hAnsiTheme="minorBidi"/>
                <w:color w:val="232323" w:themeColor="accent1"/>
                <w:sz w:val="20"/>
                <w:szCs w:val="20"/>
                <w:lang w:val="en-GB"/>
              </w:rPr>
              <w:t xml:space="preserve"> </w:t>
            </w:r>
            <w:r w:rsidRPr="00077C25">
              <w:rPr>
                <w:rFonts w:asciiTheme="minorBidi" w:hAnsiTheme="minorBidi"/>
                <w:color w:val="232323" w:themeColor="accent1"/>
                <w:sz w:val="20"/>
                <w:szCs w:val="20"/>
                <w:lang w:val="en-GB"/>
              </w:rPr>
              <w:t>apartment building is used for accommodation services</w:t>
            </w:r>
            <w:r w:rsidR="004D2D04">
              <w:rPr>
                <w:rFonts w:asciiTheme="minorBidi" w:hAnsiTheme="minorBidi"/>
                <w:color w:val="232323" w:themeColor="accent1"/>
                <w:sz w:val="20"/>
                <w:szCs w:val="20"/>
                <w:lang w:val="en-GB"/>
              </w:rPr>
              <w:t>.</w:t>
            </w:r>
          </w:p>
        </w:tc>
        <w:tc>
          <w:tcPr>
            <w:tcW w:w="1710" w:type="dxa"/>
          </w:tcPr>
          <w:p w14:paraId="3E8A71EE" w14:textId="2D1B7933" w:rsidR="00417D95" w:rsidRPr="00077C25" w:rsidRDefault="00417D95" w:rsidP="00D307C1">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accent1"/>
                <w:sz w:val="20"/>
                <w:szCs w:val="20"/>
                <w:lang w:val="en-GB"/>
              </w:rPr>
              <w:t xml:space="preserve">Ministry of </w:t>
            </w:r>
            <w:r w:rsidR="00CC743F">
              <w:rPr>
                <w:rFonts w:asciiTheme="minorBidi" w:hAnsiTheme="minorBidi"/>
                <w:color w:val="232323" w:themeColor="accent1"/>
                <w:sz w:val="20"/>
                <w:szCs w:val="20"/>
                <w:lang w:val="en-GB"/>
              </w:rPr>
              <w:t>Economic Affairs and Communication</w:t>
            </w:r>
            <w:r w:rsidR="00935A73">
              <w:rPr>
                <w:rFonts w:asciiTheme="minorBidi" w:hAnsiTheme="minorBidi"/>
                <w:color w:val="232323" w:themeColor="accent1"/>
                <w:sz w:val="20"/>
                <w:szCs w:val="20"/>
                <w:lang w:val="en-GB"/>
              </w:rPr>
              <w:t>,</w:t>
            </w:r>
            <w:r w:rsidRPr="00077C25">
              <w:rPr>
                <w:rFonts w:asciiTheme="minorBidi" w:hAnsiTheme="minorBidi"/>
                <w:color w:val="232323" w:themeColor="accent1"/>
                <w:sz w:val="20"/>
                <w:szCs w:val="20"/>
                <w:lang w:val="en-GB"/>
              </w:rPr>
              <w:t xml:space="preserve"> </w:t>
            </w:r>
            <w:r w:rsidR="00B16F60">
              <w:rPr>
                <w:rFonts w:asciiTheme="minorBidi" w:hAnsiTheme="minorBidi"/>
                <w:color w:val="232323" w:themeColor="accent1"/>
                <w:sz w:val="20"/>
                <w:szCs w:val="20"/>
                <w:lang w:val="en-GB"/>
              </w:rPr>
              <w:t xml:space="preserve">Ministry of the Interior, </w:t>
            </w:r>
            <w:r w:rsidR="003E6B94">
              <w:rPr>
                <w:rFonts w:asciiTheme="minorBidi" w:hAnsiTheme="minorBidi"/>
                <w:color w:val="232323" w:themeColor="accent1"/>
                <w:sz w:val="20"/>
                <w:szCs w:val="20"/>
                <w:lang w:val="en-GB"/>
              </w:rPr>
              <w:t xml:space="preserve">Rescue Services </w:t>
            </w:r>
            <w:r w:rsidR="00CC743F">
              <w:rPr>
                <w:rFonts w:asciiTheme="minorBidi" w:hAnsiTheme="minorBidi"/>
                <w:color w:val="232323" w:themeColor="accent1"/>
                <w:sz w:val="20"/>
                <w:szCs w:val="20"/>
                <w:lang w:val="en-GB"/>
              </w:rPr>
              <w:t>A</w:t>
            </w:r>
            <w:r w:rsidR="003E6B94">
              <w:rPr>
                <w:rFonts w:asciiTheme="minorBidi" w:hAnsiTheme="minorBidi"/>
                <w:color w:val="232323" w:themeColor="accent1"/>
                <w:sz w:val="20"/>
                <w:szCs w:val="20"/>
                <w:lang w:val="en-GB"/>
              </w:rPr>
              <w:t>gency</w:t>
            </w:r>
            <w:r w:rsidR="00935A73">
              <w:rPr>
                <w:rFonts w:asciiTheme="minorBidi" w:hAnsiTheme="minorBidi"/>
                <w:color w:val="232323" w:themeColor="accent1"/>
                <w:sz w:val="20"/>
                <w:szCs w:val="20"/>
                <w:lang w:val="en-GB"/>
              </w:rPr>
              <w:t>,</w:t>
            </w:r>
            <w:r w:rsidR="00D307C1">
              <w:rPr>
                <w:rFonts w:asciiTheme="minorBidi" w:hAnsiTheme="minorBidi"/>
                <w:color w:val="232323" w:themeColor="accent1"/>
                <w:sz w:val="20"/>
                <w:szCs w:val="20"/>
                <w:lang w:val="en-GB"/>
              </w:rPr>
              <w:t xml:space="preserve"> </w:t>
            </w:r>
            <w:r w:rsidR="00E808B1">
              <w:rPr>
                <w:rFonts w:asciiTheme="minorBidi" w:hAnsiTheme="minorBidi"/>
                <w:color w:val="232323" w:themeColor="accent1"/>
                <w:sz w:val="20"/>
                <w:szCs w:val="20"/>
                <w:lang w:val="en-GB"/>
              </w:rPr>
              <w:t>l</w:t>
            </w:r>
            <w:r w:rsidRPr="00077C25">
              <w:rPr>
                <w:rFonts w:asciiTheme="minorBidi" w:hAnsiTheme="minorBidi"/>
                <w:color w:val="232323" w:themeColor="accent1"/>
                <w:sz w:val="20"/>
                <w:szCs w:val="20"/>
                <w:lang w:val="en-GB"/>
              </w:rPr>
              <w:t xml:space="preserve">ocal </w:t>
            </w:r>
            <w:r w:rsidR="00E808B1">
              <w:rPr>
                <w:rFonts w:asciiTheme="minorBidi" w:hAnsiTheme="minorBidi"/>
                <w:color w:val="232323" w:themeColor="accent1"/>
                <w:sz w:val="20"/>
                <w:szCs w:val="20"/>
                <w:lang w:val="en-GB"/>
              </w:rPr>
              <w:t>g</w:t>
            </w:r>
            <w:r w:rsidRPr="00077C25">
              <w:rPr>
                <w:rFonts w:asciiTheme="minorBidi" w:hAnsiTheme="minorBidi"/>
                <w:color w:val="232323" w:themeColor="accent1"/>
                <w:sz w:val="20"/>
                <w:szCs w:val="20"/>
                <w:lang w:val="en-GB"/>
              </w:rPr>
              <w:t>overnments</w:t>
            </w:r>
          </w:p>
        </w:tc>
      </w:tr>
      <w:tr w:rsidR="00417D95" w:rsidRPr="00077C25" w14:paraId="2DB83EE3" w14:textId="77777777" w:rsidTr="00CC7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5" w:type="dxa"/>
            <w:gridSpan w:val="3"/>
            <w:shd w:val="clear" w:color="auto" w:fill="E6E6E6" w:themeFill="accent3"/>
          </w:tcPr>
          <w:p w14:paraId="4B9BA93C" w14:textId="5A025F1F" w:rsidR="00417D95" w:rsidRPr="00077C25" w:rsidRDefault="00594CAB" w:rsidP="00077C25">
            <w:pPr>
              <w:pStyle w:val="Heading3"/>
              <w:numPr>
                <w:ilvl w:val="0"/>
                <w:numId w:val="0"/>
              </w:numPr>
              <w:spacing w:before="60" w:after="60" w:line="240" w:lineRule="auto"/>
              <w:ind w:left="504" w:hanging="504"/>
              <w:rPr>
                <w:rFonts w:asciiTheme="minorBidi" w:hAnsiTheme="minorBidi" w:cstheme="minorBidi"/>
                <w:color w:val="232323" w:themeColor="text1"/>
                <w:sz w:val="20"/>
                <w:szCs w:val="20"/>
                <w:lang w:val="en-GB"/>
              </w:rPr>
            </w:pPr>
            <w:bookmarkStart w:id="42" w:name="_Toc208989856"/>
            <w:bookmarkStart w:id="43" w:name="_Toc208991574"/>
            <w:r w:rsidRPr="00594CAB">
              <w:rPr>
                <w:rFonts w:asciiTheme="minorBidi" w:hAnsiTheme="minorBidi" w:cstheme="minorBidi"/>
                <w:color w:val="232323" w:themeColor="text1"/>
                <w:sz w:val="20"/>
                <w:szCs w:val="20"/>
                <w:lang w:val="en-GB"/>
              </w:rPr>
              <w:lastRenderedPageBreak/>
              <w:t>Capacity for market monitoring and supervision</w:t>
            </w:r>
            <w:bookmarkEnd w:id="42"/>
            <w:bookmarkEnd w:id="43"/>
          </w:p>
        </w:tc>
      </w:tr>
      <w:tr w:rsidR="006B1E5D" w:rsidRPr="00077C25" w14:paraId="4EA05CDF" w14:textId="77777777" w:rsidTr="00CC743F">
        <w:tc>
          <w:tcPr>
            <w:cnfStyle w:val="001000000000" w:firstRow="0" w:lastRow="0" w:firstColumn="1" w:lastColumn="0" w:oddVBand="0" w:evenVBand="0" w:oddHBand="0" w:evenHBand="0" w:firstRowFirstColumn="0" w:firstRowLastColumn="0" w:lastRowFirstColumn="0" w:lastRowLastColumn="0"/>
            <w:tcW w:w="2695" w:type="dxa"/>
          </w:tcPr>
          <w:p w14:paraId="10514703" w14:textId="77777777" w:rsidR="00417D95" w:rsidRPr="00077C25" w:rsidRDefault="00417D95" w:rsidP="00077C25">
            <w:pPr>
              <w:pStyle w:val="Heading3"/>
              <w:numPr>
                <w:ilvl w:val="0"/>
                <w:numId w:val="0"/>
              </w:numPr>
              <w:spacing w:before="60" w:after="60" w:line="240" w:lineRule="auto"/>
              <w:rPr>
                <w:rFonts w:asciiTheme="minorBidi" w:hAnsiTheme="minorBidi" w:cstheme="minorBidi"/>
                <w:color w:val="232323" w:themeColor="text1"/>
                <w:sz w:val="20"/>
                <w:szCs w:val="20"/>
                <w:lang w:val="en-GB"/>
              </w:rPr>
            </w:pPr>
            <w:bookmarkStart w:id="44" w:name="_Toc208989857"/>
            <w:bookmarkStart w:id="45" w:name="_Toc208991575"/>
            <w:r w:rsidRPr="00077C25">
              <w:rPr>
                <w:rFonts w:asciiTheme="minorBidi" w:hAnsiTheme="minorBidi" w:cstheme="minorBidi"/>
                <w:color w:val="232323" w:themeColor="accent1"/>
                <w:sz w:val="20"/>
                <w:szCs w:val="20"/>
                <w:lang w:val="en-GB"/>
              </w:rPr>
              <w:t>Improve capacity to monitor and supervise the short-term rental market</w:t>
            </w:r>
            <w:bookmarkEnd w:id="44"/>
            <w:bookmarkEnd w:id="45"/>
          </w:p>
        </w:tc>
        <w:tc>
          <w:tcPr>
            <w:tcW w:w="5490" w:type="dxa"/>
          </w:tcPr>
          <w:p w14:paraId="191DE894" w14:textId="2EEF528C" w:rsidR="00417D95" w:rsidRPr="00077C25" w:rsidRDefault="00417D95"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text1"/>
                <w:sz w:val="20"/>
                <w:szCs w:val="20"/>
                <w:lang w:val="en-GB"/>
              </w:rPr>
              <w:t xml:space="preserve">Local governments should develop the capacity for regular market monitoring and impact assessment, including increasing </w:t>
            </w:r>
            <w:r w:rsidR="00E53D2C" w:rsidRPr="00E53D2C">
              <w:rPr>
                <w:rFonts w:asciiTheme="minorBidi" w:hAnsiTheme="minorBidi"/>
                <w:color w:val="232323" w:themeColor="text1"/>
                <w:sz w:val="20"/>
                <w:szCs w:val="20"/>
                <w:lang w:val="en-GB"/>
              </w:rPr>
              <w:t>strengthened data-exchange cooperation with platforms</w:t>
            </w:r>
            <w:r w:rsidR="004D2D04">
              <w:rPr>
                <w:rFonts w:asciiTheme="minorBidi" w:hAnsiTheme="minorBidi"/>
                <w:color w:val="232323" w:themeColor="text1"/>
                <w:sz w:val="20"/>
                <w:szCs w:val="20"/>
                <w:lang w:val="en-GB"/>
              </w:rPr>
              <w:t>.</w:t>
            </w:r>
          </w:p>
          <w:p w14:paraId="2B7028DE" w14:textId="62240568" w:rsidR="00417D95" w:rsidRPr="00077C25" w:rsidRDefault="00E53D2C"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E53D2C">
              <w:rPr>
                <w:rFonts w:asciiTheme="minorBidi" w:hAnsiTheme="minorBidi"/>
                <w:color w:val="232323" w:themeColor="accent1"/>
                <w:sz w:val="20"/>
                <w:szCs w:val="20"/>
                <w:lang w:val="en-GB"/>
              </w:rPr>
              <w:t>In cooperation,</w:t>
            </w:r>
            <w:r>
              <w:rPr>
                <w:rFonts w:asciiTheme="minorBidi" w:hAnsiTheme="minorBidi"/>
                <w:color w:val="232323" w:themeColor="accent1"/>
                <w:sz w:val="20"/>
                <w:szCs w:val="20"/>
                <w:lang w:val="en-GB"/>
              </w:rPr>
              <w:t xml:space="preserve"> t</w:t>
            </w:r>
            <w:r w:rsidR="00B83ABF">
              <w:rPr>
                <w:rFonts w:asciiTheme="minorBidi" w:hAnsiTheme="minorBidi"/>
                <w:color w:val="232323" w:themeColor="accent1"/>
                <w:sz w:val="20"/>
                <w:szCs w:val="20"/>
                <w:lang w:val="en-GB"/>
              </w:rPr>
              <w:t xml:space="preserve">he </w:t>
            </w:r>
            <w:r w:rsidR="0070249A">
              <w:rPr>
                <w:rFonts w:asciiTheme="minorBidi" w:hAnsiTheme="minorBidi"/>
                <w:color w:val="232323" w:themeColor="accent1"/>
                <w:sz w:val="20"/>
                <w:szCs w:val="20"/>
                <w:lang w:val="en-GB"/>
              </w:rPr>
              <w:t>Tax and Customs Board</w:t>
            </w:r>
            <w:r w:rsidR="00417D95" w:rsidRPr="00077C25">
              <w:rPr>
                <w:rFonts w:asciiTheme="minorBidi" w:hAnsiTheme="minorBidi"/>
                <w:color w:val="232323" w:themeColor="accent1"/>
                <w:sz w:val="20"/>
                <w:szCs w:val="20"/>
                <w:lang w:val="en-GB"/>
              </w:rPr>
              <w:t xml:space="preserve"> and </w:t>
            </w:r>
            <w:r w:rsidR="0070249A">
              <w:rPr>
                <w:rFonts w:asciiTheme="minorBidi" w:hAnsiTheme="minorBidi"/>
                <w:color w:val="232323" w:themeColor="accent1"/>
                <w:sz w:val="20"/>
                <w:szCs w:val="20"/>
                <w:lang w:val="en-GB"/>
              </w:rPr>
              <w:t xml:space="preserve">the </w:t>
            </w:r>
            <w:r w:rsidR="0070249A" w:rsidRPr="00077C25">
              <w:rPr>
                <w:rFonts w:asciiTheme="minorBidi" w:hAnsiTheme="minorBidi"/>
                <w:color w:val="232323" w:themeColor="accent1"/>
                <w:sz w:val="20"/>
                <w:szCs w:val="20"/>
                <w:lang w:val="en-GB"/>
              </w:rPr>
              <w:t xml:space="preserve">Ministry of </w:t>
            </w:r>
            <w:r w:rsidR="0070249A">
              <w:rPr>
                <w:rFonts w:asciiTheme="minorBidi" w:hAnsiTheme="minorBidi"/>
                <w:color w:val="232323" w:themeColor="accent1"/>
                <w:sz w:val="20"/>
                <w:szCs w:val="20"/>
                <w:lang w:val="en-GB"/>
              </w:rPr>
              <w:t>Economic Affairs and Communication</w:t>
            </w:r>
            <w:r w:rsidR="00417D95" w:rsidRPr="00077C25">
              <w:rPr>
                <w:rFonts w:asciiTheme="minorBidi" w:hAnsiTheme="minorBidi"/>
                <w:color w:val="232323" w:themeColor="accent1"/>
                <w:sz w:val="20"/>
                <w:szCs w:val="20"/>
                <w:lang w:val="en-GB"/>
              </w:rPr>
              <w:t xml:space="preserve"> </w:t>
            </w:r>
            <w:r w:rsidR="0070249A">
              <w:rPr>
                <w:rFonts w:asciiTheme="minorBidi" w:hAnsiTheme="minorBidi"/>
                <w:color w:val="232323" w:themeColor="accent1"/>
                <w:sz w:val="20"/>
                <w:szCs w:val="20"/>
                <w:lang w:val="en-GB"/>
              </w:rPr>
              <w:t xml:space="preserve">should </w:t>
            </w:r>
            <w:r w:rsidR="00172F1C" w:rsidRPr="00172F1C">
              <w:rPr>
                <w:rFonts w:asciiTheme="minorBidi" w:hAnsiTheme="minorBidi"/>
                <w:color w:val="232323" w:themeColor="accent1"/>
                <w:sz w:val="20"/>
                <w:szCs w:val="20"/>
                <w:lang w:val="en-GB"/>
              </w:rPr>
              <w:t>explore ways</w:t>
            </w:r>
            <w:r w:rsidR="00172F1C">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 xml:space="preserve">to share DAC7 data with local governments and other parties </w:t>
            </w:r>
            <w:r w:rsidR="00F575E9" w:rsidRPr="00F575E9">
              <w:rPr>
                <w:rFonts w:asciiTheme="minorBidi" w:hAnsiTheme="minorBidi"/>
                <w:color w:val="232323" w:themeColor="accent1"/>
                <w:sz w:val="20"/>
                <w:szCs w:val="20"/>
                <w:lang w:val="en-GB"/>
              </w:rPr>
              <w:t>entitled and interested in using</w:t>
            </w:r>
            <w:r w:rsidR="00F575E9">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the data</w:t>
            </w:r>
            <w:r w:rsidR="004D2D04">
              <w:rPr>
                <w:rFonts w:asciiTheme="minorBidi" w:hAnsiTheme="minorBidi"/>
                <w:color w:val="232323" w:themeColor="accent1"/>
                <w:sz w:val="20"/>
                <w:szCs w:val="20"/>
                <w:lang w:val="en-GB"/>
              </w:rPr>
              <w:t>.</w:t>
            </w:r>
          </w:p>
          <w:p w14:paraId="1339A31A" w14:textId="055B7125" w:rsidR="00417D95" w:rsidRPr="00077C25" w:rsidRDefault="00F575E9" w:rsidP="00BD7B82">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F575E9">
              <w:rPr>
                <w:rFonts w:asciiTheme="minorBidi" w:hAnsiTheme="minorBidi"/>
                <w:color w:val="232323" w:themeColor="accent1"/>
                <w:sz w:val="20"/>
                <w:szCs w:val="20"/>
                <w:lang w:val="en-GB"/>
              </w:rPr>
              <w:t>In cooperation,</w:t>
            </w:r>
            <w:r w:rsidR="006B2FF4">
              <w:rPr>
                <w:rFonts w:asciiTheme="minorBidi" w:hAnsiTheme="minorBidi"/>
                <w:color w:val="232323" w:themeColor="accent1"/>
                <w:sz w:val="20"/>
                <w:szCs w:val="20"/>
                <w:lang w:val="en-GB"/>
              </w:rPr>
              <w:t xml:space="preserve"> </w:t>
            </w:r>
            <w:r w:rsidR="00B83ABF">
              <w:rPr>
                <w:rFonts w:asciiTheme="minorBidi" w:hAnsiTheme="minorBidi"/>
                <w:color w:val="232323" w:themeColor="accent1"/>
                <w:sz w:val="20"/>
                <w:szCs w:val="20"/>
                <w:lang w:val="en-GB"/>
              </w:rPr>
              <w:t>Statistics Estonia</w:t>
            </w:r>
            <w:r w:rsidR="00417D95" w:rsidRPr="00077C25">
              <w:rPr>
                <w:rFonts w:asciiTheme="minorBidi" w:hAnsiTheme="minorBidi"/>
                <w:color w:val="232323" w:themeColor="accent1"/>
                <w:sz w:val="20"/>
                <w:szCs w:val="20"/>
                <w:lang w:val="en-GB"/>
              </w:rPr>
              <w:t xml:space="preserve"> and </w:t>
            </w:r>
            <w:r w:rsidR="00B83ABF">
              <w:rPr>
                <w:rFonts w:asciiTheme="minorBidi" w:hAnsiTheme="minorBidi"/>
                <w:color w:val="232323" w:themeColor="accent1"/>
                <w:sz w:val="20"/>
                <w:szCs w:val="20"/>
                <w:lang w:val="en-GB"/>
              </w:rPr>
              <w:t xml:space="preserve">the </w:t>
            </w:r>
            <w:r w:rsidR="00B83ABF" w:rsidRPr="00077C25">
              <w:rPr>
                <w:rFonts w:asciiTheme="minorBidi" w:hAnsiTheme="minorBidi"/>
                <w:color w:val="232323" w:themeColor="accent1"/>
                <w:sz w:val="20"/>
                <w:szCs w:val="20"/>
                <w:lang w:val="en-GB"/>
              </w:rPr>
              <w:t xml:space="preserve">Ministry of </w:t>
            </w:r>
            <w:r w:rsidR="00B83ABF">
              <w:rPr>
                <w:rFonts w:asciiTheme="minorBidi" w:hAnsiTheme="minorBidi"/>
                <w:color w:val="232323" w:themeColor="accent1"/>
                <w:sz w:val="20"/>
                <w:szCs w:val="20"/>
                <w:lang w:val="en-GB"/>
              </w:rPr>
              <w:t>Economic Affairs and Communication</w:t>
            </w:r>
            <w:r w:rsidR="00B83ABF" w:rsidRPr="00077C25">
              <w:rPr>
                <w:rFonts w:asciiTheme="minorBidi" w:hAnsiTheme="minorBidi"/>
                <w:color w:val="232323" w:themeColor="accent1"/>
                <w:sz w:val="20"/>
                <w:szCs w:val="20"/>
                <w:lang w:val="en-GB"/>
              </w:rPr>
              <w:t xml:space="preserve"> </w:t>
            </w:r>
            <w:r w:rsidR="00B83ABF">
              <w:rPr>
                <w:rFonts w:asciiTheme="minorBidi" w:hAnsiTheme="minorBidi"/>
                <w:color w:val="232323" w:themeColor="accent1"/>
                <w:sz w:val="20"/>
                <w:szCs w:val="20"/>
                <w:lang w:val="en-GB"/>
              </w:rPr>
              <w:t xml:space="preserve">should </w:t>
            </w:r>
            <w:r w:rsidR="006B2FF4">
              <w:rPr>
                <w:rFonts w:asciiTheme="minorBidi" w:hAnsiTheme="minorBidi"/>
                <w:color w:val="232323" w:themeColor="accent1"/>
                <w:sz w:val="20"/>
                <w:szCs w:val="20"/>
                <w:lang w:val="en-GB"/>
              </w:rPr>
              <w:t>explore</w:t>
            </w:r>
            <w:r w:rsidR="006B2FF4" w:rsidRPr="00077C25">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ways to share Eurostat statistics with local governments</w:t>
            </w:r>
            <w:r w:rsidR="00F0010C">
              <w:rPr>
                <w:rFonts w:asciiTheme="minorBidi" w:hAnsiTheme="minorBidi"/>
                <w:color w:val="232323" w:themeColor="accent1"/>
                <w:sz w:val="20"/>
                <w:szCs w:val="20"/>
                <w:lang w:val="en-GB"/>
              </w:rPr>
              <w:t>.</w:t>
            </w:r>
          </w:p>
        </w:tc>
        <w:tc>
          <w:tcPr>
            <w:tcW w:w="1710" w:type="dxa"/>
          </w:tcPr>
          <w:p w14:paraId="2D19B779" w14:textId="3F65CF27" w:rsidR="00417D95" w:rsidRPr="00077C25" w:rsidRDefault="0090557C" w:rsidP="00BD7B82">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accent1"/>
                <w:sz w:val="20"/>
                <w:szCs w:val="20"/>
                <w:lang w:val="en-GB"/>
              </w:rPr>
              <w:t xml:space="preserve">Ministry of </w:t>
            </w:r>
            <w:r>
              <w:rPr>
                <w:rFonts w:asciiTheme="minorBidi" w:hAnsiTheme="minorBidi"/>
                <w:color w:val="232323" w:themeColor="accent1"/>
                <w:sz w:val="20"/>
                <w:szCs w:val="20"/>
                <w:lang w:val="en-GB"/>
              </w:rPr>
              <w:t>Economic Affairs and Communication</w:t>
            </w:r>
            <w:r w:rsidR="00B00F2E">
              <w:rPr>
                <w:rFonts w:asciiTheme="minorBidi" w:hAnsiTheme="minorBidi"/>
                <w:color w:val="232323" w:themeColor="accent1"/>
                <w:sz w:val="20"/>
                <w:szCs w:val="20"/>
                <w:lang w:val="en-GB"/>
              </w:rPr>
              <w:t>;</w:t>
            </w:r>
            <w:r w:rsidR="00AA7533">
              <w:rPr>
                <w:rFonts w:asciiTheme="minorBidi" w:hAnsiTheme="minorBidi"/>
                <w:color w:val="232323" w:themeColor="accent1"/>
                <w:sz w:val="20"/>
                <w:szCs w:val="20"/>
                <w:lang w:val="en-GB"/>
              </w:rPr>
              <w:t xml:space="preserve"> </w:t>
            </w:r>
            <w:r w:rsidR="00AA7533" w:rsidRPr="00AA7533">
              <w:rPr>
                <w:rFonts w:asciiTheme="minorBidi" w:hAnsiTheme="minorBidi"/>
                <w:color w:val="232323" w:themeColor="accent1"/>
                <w:sz w:val="20"/>
                <w:szCs w:val="20"/>
                <w:lang w:val="en-GB"/>
              </w:rPr>
              <w:t>Ministry of Finance</w:t>
            </w:r>
            <w:r w:rsidR="00B00F2E">
              <w:rPr>
                <w:rFonts w:asciiTheme="minorBidi" w:hAnsiTheme="minorBidi"/>
                <w:color w:val="232323" w:themeColor="accent1"/>
                <w:sz w:val="20"/>
                <w:szCs w:val="20"/>
                <w:lang w:val="en-GB"/>
              </w:rPr>
              <w:t>;</w:t>
            </w:r>
            <w:r w:rsidR="00AA7533">
              <w:rPr>
                <w:rFonts w:asciiTheme="minorBidi" w:hAnsiTheme="minorBidi"/>
                <w:color w:val="232323" w:themeColor="accent1"/>
                <w:sz w:val="20"/>
                <w:szCs w:val="20"/>
                <w:lang w:val="en-GB"/>
              </w:rPr>
              <w:t xml:space="preserve"> </w:t>
            </w:r>
            <w:r>
              <w:rPr>
                <w:rFonts w:asciiTheme="minorBidi" w:hAnsiTheme="minorBidi"/>
                <w:color w:val="232323" w:themeColor="accent1"/>
                <w:sz w:val="20"/>
                <w:szCs w:val="20"/>
                <w:lang w:val="en-GB"/>
              </w:rPr>
              <w:t>Tax and Customs Board</w:t>
            </w:r>
            <w:r w:rsidR="00B00F2E">
              <w:rPr>
                <w:rFonts w:asciiTheme="minorBidi" w:hAnsiTheme="minorBidi"/>
                <w:color w:val="232323" w:themeColor="accent1"/>
                <w:sz w:val="20"/>
                <w:szCs w:val="20"/>
                <w:lang w:val="en-GB"/>
              </w:rPr>
              <w:t>;</w:t>
            </w:r>
            <w:r w:rsidR="00AA7533">
              <w:rPr>
                <w:rFonts w:asciiTheme="minorBidi" w:hAnsiTheme="minorBidi"/>
                <w:color w:val="232323" w:themeColor="accent1"/>
                <w:sz w:val="20"/>
                <w:szCs w:val="20"/>
                <w:lang w:val="en-GB"/>
              </w:rPr>
              <w:t xml:space="preserve"> Statistics Estonia</w:t>
            </w:r>
            <w:r w:rsidR="00DE67F6">
              <w:rPr>
                <w:rFonts w:asciiTheme="minorBidi" w:hAnsiTheme="minorBidi"/>
                <w:color w:val="232323" w:themeColor="accent1"/>
                <w:sz w:val="20"/>
                <w:szCs w:val="20"/>
                <w:lang w:val="en-GB"/>
              </w:rPr>
              <w:t>;</w:t>
            </w:r>
            <w:r w:rsidR="00D307C1">
              <w:rPr>
                <w:rFonts w:asciiTheme="minorBidi" w:hAnsiTheme="minorBidi"/>
                <w:color w:val="232323" w:themeColor="accent1"/>
                <w:sz w:val="20"/>
                <w:szCs w:val="20"/>
                <w:lang w:val="en-GB"/>
              </w:rPr>
              <w:t xml:space="preserve"> l</w:t>
            </w:r>
            <w:r w:rsidR="00417D95" w:rsidRPr="00077C25">
              <w:rPr>
                <w:rFonts w:asciiTheme="minorBidi" w:hAnsiTheme="minorBidi"/>
                <w:color w:val="232323" w:themeColor="text1"/>
                <w:sz w:val="20"/>
                <w:szCs w:val="20"/>
                <w:lang w:val="en-GB"/>
              </w:rPr>
              <w:t xml:space="preserve">ocal </w:t>
            </w:r>
            <w:r w:rsidR="00D307C1">
              <w:rPr>
                <w:rFonts w:asciiTheme="minorBidi" w:hAnsiTheme="minorBidi"/>
                <w:color w:val="232323" w:themeColor="text1"/>
                <w:sz w:val="20"/>
                <w:szCs w:val="20"/>
                <w:lang w:val="en-GB"/>
              </w:rPr>
              <w:t>g</w:t>
            </w:r>
            <w:r w:rsidR="00417D95" w:rsidRPr="00077C25">
              <w:rPr>
                <w:rFonts w:asciiTheme="minorBidi" w:hAnsiTheme="minorBidi"/>
                <w:color w:val="232323" w:themeColor="text1"/>
                <w:sz w:val="20"/>
                <w:szCs w:val="20"/>
                <w:lang w:val="en-GB"/>
              </w:rPr>
              <w:t>overnments</w:t>
            </w:r>
          </w:p>
        </w:tc>
      </w:tr>
      <w:tr w:rsidR="00417D95" w:rsidRPr="00077C25" w14:paraId="1C8F50E1" w14:textId="77777777" w:rsidTr="00CC7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5" w:type="dxa"/>
            <w:gridSpan w:val="3"/>
            <w:shd w:val="clear" w:color="auto" w:fill="E6E6E6" w:themeFill="accent3"/>
          </w:tcPr>
          <w:p w14:paraId="7917AE86" w14:textId="3FC8EA41" w:rsidR="00417D95" w:rsidRPr="00077C25" w:rsidRDefault="00F0010C" w:rsidP="00077C25">
            <w:pPr>
              <w:pStyle w:val="Heading3"/>
              <w:numPr>
                <w:ilvl w:val="0"/>
                <w:numId w:val="0"/>
              </w:numPr>
              <w:spacing w:before="60" w:after="60" w:line="240" w:lineRule="auto"/>
              <w:rPr>
                <w:rFonts w:asciiTheme="minorBidi" w:hAnsiTheme="minorBidi" w:cstheme="minorBidi"/>
                <w:color w:val="232323" w:themeColor="text1"/>
                <w:sz w:val="20"/>
                <w:szCs w:val="20"/>
                <w:lang w:val="en-GB"/>
              </w:rPr>
            </w:pPr>
            <w:bookmarkStart w:id="46" w:name="_Toc208989858"/>
            <w:bookmarkStart w:id="47" w:name="_Toc208991576"/>
            <w:r w:rsidRPr="00F0010C">
              <w:rPr>
                <w:rFonts w:asciiTheme="minorBidi" w:hAnsiTheme="minorBidi" w:cstheme="minorBidi"/>
                <w:color w:val="232323" w:themeColor="text1"/>
                <w:sz w:val="20"/>
                <w:szCs w:val="20"/>
                <w:lang w:val="en-GB"/>
              </w:rPr>
              <w:t>Advisory support</w:t>
            </w:r>
            <w:r>
              <w:rPr>
                <w:rFonts w:asciiTheme="minorBidi" w:hAnsiTheme="minorBidi" w:cstheme="minorBidi"/>
                <w:color w:val="232323" w:themeColor="text1"/>
                <w:sz w:val="20"/>
                <w:szCs w:val="20"/>
                <w:lang w:val="en-GB"/>
              </w:rPr>
              <w:t xml:space="preserve"> </w:t>
            </w:r>
            <w:r w:rsidR="00417D95" w:rsidRPr="00077C25">
              <w:rPr>
                <w:rFonts w:asciiTheme="minorBidi" w:hAnsiTheme="minorBidi" w:cstheme="minorBidi"/>
                <w:color w:val="232323" w:themeColor="text1"/>
                <w:sz w:val="20"/>
                <w:szCs w:val="20"/>
                <w:lang w:val="en-GB"/>
              </w:rPr>
              <w:t>and cooperation</w:t>
            </w:r>
            <w:bookmarkEnd w:id="46"/>
            <w:bookmarkEnd w:id="47"/>
          </w:p>
        </w:tc>
      </w:tr>
      <w:tr w:rsidR="006B1E5D" w:rsidRPr="00077C25" w14:paraId="115BB4CB" w14:textId="77777777" w:rsidTr="00CC743F">
        <w:tc>
          <w:tcPr>
            <w:cnfStyle w:val="001000000000" w:firstRow="0" w:lastRow="0" w:firstColumn="1" w:lastColumn="0" w:oddVBand="0" w:evenVBand="0" w:oddHBand="0" w:evenHBand="0" w:firstRowFirstColumn="0" w:firstRowLastColumn="0" w:lastRowFirstColumn="0" w:lastRowLastColumn="0"/>
            <w:tcW w:w="2695" w:type="dxa"/>
          </w:tcPr>
          <w:p w14:paraId="411E8781" w14:textId="3A6E4ECF" w:rsidR="00417D95" w:rsidRPr="00077C25" w:rsidRDefault="007748C9" w:rsidP="00E3067C">
            <w:pPr>
              <w:spacing w:before="60" w:after="60" w:line="240" w:lineRule="auto"/>
              <w:ind w:left="157"/>
              <w:rPr>
                <w:rFonts w:asciiTheme="minorBidi" w:hAnsiTheme="minorBidi"/>
                <w:color w:val="232323" w:themeColor="text1"/>
                <w:sz w:val="20"/>
                <w:szCs w:val="20"/>
                <w:lang w:val="en-GB"/>
              </w:rPr>
            </w:pPr>
            <w:r w:rsidRPr="007748C9">
              <w:rPr>
                <w:rFonts w:asciiTheme="minorBidi" w:hAnsiTheme="minorBidi"/>
                <w:color w:val="232323" w:themeColor="accent1"/>
                <w:sz w:val="20"/>
                <w:szCs w:val="20"/>
                <w:lang w:val="en-GB"/>
              </w:rPr>
              <w:t>In local governments where significant short-term-rental issues have emerged or may emerge in the coming years,</w:t>
            </w:r>
            <w:r>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increase cooperation and carry out information activities</w:t>
            </w:r>
          </w:p>
        </w:tc>
        <w:tc>
          <w:tcPr>
            <w:tcW w:w="5490" w:type="dxa"/>
          </w:tcPr>
          <w:p w14:paraId="4B412971" w14:textId="7F6930E1" w:rsidR="00417D95" w:rsidRPr="00077C25" w:rsidRDefault="00417D95"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text1"/>
                <w:sz w:val="20"/>
                <w:szCs w:val="20"/>
                <w:lang w:val="en-GB"/>
              </w:rPr>
              <w:t>Develop guide</w:t>
            </w:r>
            <w:r w:rsidR="0029177E">
              <w:rPr>
                <w:rFonts w:asciiTheme="minorBidi" w:hAnsiTheme="minorBidi"/>
                <w:color w:val="232323" w:themeColor="text1"/>
                <w:sz w:val="20"/>
                <w:szCs w:val="20"/>
                <w:lang w:val="en-GB"/>
              </w:rPr>
              <w:t>lines</w:t>
            </w:r>
            <w:r w:rsidRPr="00077C25">
              <w:rPr>
                <w:rFonts w:asciiTheme="minorBidi" w:hAnsiTheme="minorBidi"/>
                <w:color w:val="232323" w:themeColor="text1"/>
                <w:sz w:val="20"/>
                <w:szCs w:val="20"/>
                <w:lang w:val="en-GB"/>
              </w:rPr>
              <w:t xml:space="preserve"> </w:t>
            </w:r>
            <w:r w:rsidR="002D2EF4" w:rsidRPr="002D2EF4">
              <w:rPr>
                <w:rFonts w:asciiTheme="minorBidi" w:hAnsiTheme="minorBidi"/>
                <w:color w:val="232323" w:themeColor="text1"/>
                <w:sz w:val="20"/>
                <w:szCs w:val="20"/>
                <w:lang w:val="en-GB"/>
              </w:rPr>
              <w:t>setting out</w:t>
            </w:r>
            <w:r w:rsidRPr="00077C25">
              <w:rPr>
                <w:rFonts w:asciiTheme="minorBidi" w:hAnsiTheme="minorBidi"/>
                <w:color w:val="232323" w:themeColor="text1"/>
                <w:sz w:val="20"/>
                <w:szCs w:val="20"/>
                <w:lang w:val="en-GB"/>
              </w:rPr>
              <w:t>the principles of responsible short-term rent</w:t>
            </w:r>
            <w:r w:rsidR="002D2EF4">
              <w:rPr>
                <w:rFonts w:asciiTheme="minorBidi" w:hAnsiTheme="minorBidi"/>
                <w:color w:val="232323" w:themeColor="text1"/>
                <w:sz w:val="20"/>
                <w:szCs w:val="20"/>
                <w:lang w:val="en-GB"/>
              </w:rPr>
              <w:t>ing</w:t>
            </w:r>
            <w:r w:rsidR="004D2D04">
              <w:rPr>
                <w:rFonts w:asciiTheme="minorBidi" w:hAnsiTheme="minorBidi"/>
                <w:color w:val="232323" w:themeColor="text1"/>
                <w:sz w:val="20"/>
                <w:szCs w:val="20"/>
                <w:lang w:val="en-GB"/>
              </w:rPr>
              <w:t>.</w:t>
            </w:r>
          </w:p>
          <w:p w14:paraId="1DDFBC21" w14:textId="01852087" w:rsidR="00417D95" w:rsidRPr="00077C25" w:rsidRDefault="00417D95"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accent1"/>
                <w:sz w:val="20"/>
                <w:szCs w:val="20"/>
                <w:lang w:val="en-GB"/>
              </w:rPr>
              <w:t xml:space="preserve">Create a feedback </w:t>
            </w:r>
            <w:r w:rsidR="0029177E">
              <w:rPr>
                <w:rFonts w:asciiTheme="minorBidi" w:hAnsiTheme="minorBidi"/>
                <w:color w:val="232323" w:themeColor="accent1"/>
                <w:sz w:val="20"/>
                <w:szCs w:val="20"/>
                <w:lang w:val="en-GB"/>
              </w:rPr>
              <w:t>channel</w:t>
            </w:r>
            <w:r w:rsidRPr="00077C25">
              <w:rPr>
                <w:rFonts w:asciiTheme="minorBidi" w:hAnsiTheme="minorBidi"/>
                <w:color w:val="232323" w:themeColor="accent1"/>
                <w:sz w:val="20"/>
                <w:szCs w:val="20"/>
                <w:lang w:val="en-GB"/>
              </w:rPr>
              <w:t xml:space="preserve"> for residents to </w:t>
            </w:r>
            <w:r w:rsidR="002D2EF4">
              <w:rPr>
                <w:rFonts w:asciiTheme="minorBidi" w:hAnsiTheme="minorBidi"/>
                <w:color w:val="232323" w:themeColor="accent1"/>
                <w:sz w:val="20"/>
                <w:szCs w:val="20"/>
                <w:lang w:val="en-GB"/>
              </w:rPr>
              <w:t>report</w:t>
            </w:r>
            <w:r w:rsidRPr="00077C25">
              <w:rPr>
                <w:rFonts w:asciiTheme="minorBidi" w:hAnsiTheme="minorBidi"/>
                <w:color w:val="232323" w:themeColor="accent1"/>
                <w:sz w:val="20"/>
                <w:szCs w:val="20"/>
                <w:lang w:val="en-GB"/>
              </w:rPr>
              <w:t xml:space="preserve"> disturbances</w:t>
            </w:r>
            <w:r w:rsidR="004D2D04">
              <w:rPr>
                <w:rFonts w:asciiTheme="minorBidi" w:hAnsiTheme="minorBidi"/>
                <w:color w:val="232323" w:themeColor="accent1"/>
                <w:sz w:val="20"/>
                <w:szCs w:val="20"/>
                <w:lang w:val="en-GB"/>
              </w:rPr>
              <w:t>.</w:t>
            </w:r>
          </w:p>
          <w:p w14:paraId="2B40FCEE" w14:textId="561B52C5" w:rsidR="00417D95" w:rsidRPr="00077C25" w:rsidRDefault="00B22D0F"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Pr>
                <w:rFonts w:asciiTheme="minorBidi" w:hAnsiTheme="minorBidi"/>
                <w:color w:val="232323" w:themeColor="accent1"/>
                <w:sz w:val="20"/>
                <w:szCs w:val="20"/>
                <w:lang w:val="en-GB"/>
              </w:rPr>
              <w:t>Hold</w:t>
            </w:r>
            <w:r w:rsidRPr="00077C25">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 xml:space="preserve">community meetings to </w:t>
            </w:r>
            <w:r>
              <w:rPr>
                <w:rFonts w:asciiTheme="minorBidi" w:hAnsiTheme="minorBidi"/>
                <w:color w:val="232323" w:themeColor="accent1"/>
                <w:sz w:val="20"/>
                <w:szCs w:val="20"/>
                <w:lang w:val="en-GB"/>
              </w:rPr>
              <w:t>improve</w:t>
            </w:r>
            <w:r w:rsidRPr="00077C25">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understanding between service providers and residents</w:t>
            </w:r>
            <w:r w:rsidR="004D2D04">
              <w:rPr>
                <w:rFonts w:asciiTheme="minorBidi" w:hAnsiTheme="minorBidi"/>
                <w:color w:val="232323" w:themeColor="accent1"/>
                <w:sz w:val="20"/>
                <w:szCs w:val="20"/>
                <w:lang w:val="en-GB"/>
              </w:rPr>
              <w:t>.</w:t>
            </w:r>
          </w:p>
          <w:p w14:paraId="7734001D" w14:textId="1864627D" w:rsidR="00417D95" w:rsidRPr="00077C25" w:rsidRDefault="00B22D0F"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B22D0F">
              <w:rPr>
                <w:rFonts w:asciiTheme="minorBidi" w:hAnsiTheme="minorBidi"/>
                <w:color w:val="232323" w:themeColor="accent1"/>
                <w:sz w:val="20"/>
                <w:szCs w:val="20"/>
                <w:lang w:val="en-GB"/>
              </w:rPr>
              <w:t>Strengthen</w:t>
            </w:r>
            <w:r w:rsidR="00446DBA">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 xml:space="preserve">cooperation with supervisory authorities </w:t>
            </w:r>
            <w:r w:rsidR="00446DBA">
              <w:rPr>
                <w:rFonts w:asciiTheme="minorBidi" w:hAnsiTheme="minorBidi"/>
                <w:color w:val="232323" w:themeColor="accent1"/>
                <w:sz w:val="20"/>
                <w:szCs w:val="20"/>
                <w:lang w:val="en-GB"/>
              </w:rPr>
              <w:t>to</w:t>
            </w:r>
            <w:r w:rsidR="00446DBA" w:rsidRPr="00077C25">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 xml:space="preserve">prevent and </w:t>
            </w:r>
            <w:r w:rsidR="00446DBA">
              <w:rPr>
                <w:rFonts w:asciiTheme="minorBidi" w:hAnsiTheme="minorBidi"/>
                <w:color w:val="232323" w:themeColor="accent1"/>
                <w:sz w:val="20"/>
                <w:szCs w:val="20"/>
                <w:lang w:val="en-GB"/>
              </w:rPr>
              <w:t>re</w:t>
            </w:r>
            <w:r w:rsidR="00417D95" w:rsidRPr="00077C25">
              <w:rPr>
                <w:rFonts w:asciiTheme="minorBidi" w:hAnsiTheme="minorBidi"/>
                <w:color w:val="232323" w:themeColor="accent1"/>
                <w:sz w:val="20"/>
                <w:szCs w:val="20"/>
                <w:lang w:val="en-GB"/>
              </w:rPr>
              <w:t>solv</w:t>
            </w:r>
            <w:r w:rsidR="00446DBA">
              <w:rPr>
                <w:rFonts w:asciiTheme="minorBidi" w:hAnsiTheme="minorBidi"/>
                <w:color w:val="232323" w:themeColor="accent1"/>
                <w:sz w:val="20"/>
                <w:szCs w:val="20"/>
                <w:lang w:val="en-GB"/>
              </w:rPr>
              <w:t>e</w:t>
            </w:r>
            <w:r w:rsidR="00417D95" w:rsidRPr="00077C25">
              <w:rPr>
                <w:rFonts w:asciiTheme="minorBidi" w:hAnsiTheme="minorBidi"/>
                <w:color w:val="232323" w:themeColor="accent1"/>
                <w:sz w:val="20"/>
                <w:szCs w:val="20"/>
                <w:lang w:val="en-GB"/>
              </w:rPr>
              <w:t xml:space="preserve"> problems</w:t>
            </w:r>
            <w:r w:rsidR="004D2D04">
              <w:rPr>
                <w:rFonts w:asciiTheme="minorBidi" w:hAnsiTheme="minorBidi"/>
                <w:color w:val="232323" w:themeColor="accent1"/>
                <w:sz w:val="20"/>
                <w:szCs w:val="20"/>
                <w:lang w:val="en-GB"/>
              </w:rPr>
              <w:t>.</w:t>
            </w:r>
          </w:p>
          <w:p w14:paraId="20F54795" w14:textId="00BCC248" w:rsidR="00417D95" w:rsidRPr="00077C25" w:rsidRDefault="00446DBA"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Pr>
                <w:rFonts w:asciiTheme="minorBidi" w:hAnsiTheme="minorBidi"/>
                <w:color w:val="232323" w:themeColor="accent1"/>
                <w:sz w:val="20"/>
                <w:szCs w:val="20"/>
                <w:lang w:val="en-GB"/>
              </w:rPr>
              <w:t>Run</w:t>
            </w:r>
            <w:r w:rsidRPr="00077C25">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awareness campaigns</w:t>
            </w:r>
            <w:r w:rsidR="004D2D04">
              <w:rPr>
                <w:rFonts w:asciiTheme="minorBidi" w:hAnsiTheme="minorBidi"/>
                <w:color w:val="232323" w:themeColor="accent1"/>
                <w:sz w:val="20"/>
                <w:szCs w:val="20"/>
                <w:lang w:val="en-GB"/>
              </w:rPr>
              <w:t>.</w:t>
            </w:r>
          </w:p>
          <w:p w14:paraId="7CC7DA18" w14:textId="5BE39ABE" w:rsidR="00417D95" w:rsidRPr="00077C25" w:rsidRDefault="00417D95"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accent1"/>
                <w:sz w:val="20"/>
                <w:szCs w:val="20"/>
                <w:lang w:val="en-GB"/>
              </w:rPr>
              <w:t xml:space="preserve">Consider a voluntary </w:t>
            </w:r>
            <w:r w:rsidR="0052538B">
              <w:rPr>
                <w:rFonts w:asciiTheme="minorBidi" w:hAnsiTheme="minorBidi"/>
                <w:color w:val="232323" w:themeColor="accent1"/>
                <w:sz w:val="20"/>
                <w:szCs w:val="20"/>
                <w:lang w:val="en-GB"/>
              </w:rPr>
              <w:t>notification</w:t>
            </w:r>
            <w:r w:rsidR="0052538B" w:rsidRPr="00077C25">
              <w:rPr>
                <w:rFonts w:asciiTheme="minorBidi" w:hAnsiTheme="minorBidi"/>
                <w:color w:val="232323" w:themeColor="accent1"/>
                <w:sz w:val="20"/>
                <w:szCs w:val="20"/>
                <w:lang w:val="en-GB"/>
              </w:rPr>
              <w:t xml:space="preserve"> </w:t>
            </w:r>
            <w:r w:rsidRPr="00077C25">
              <w:rPr>
                <w:rFonts w:asciiTheme="minorBidi" w:hAnsiTheme="minorBidi"/>
                <w:color w:val="232323" w:themeColor="accent1"/>
                <w:sz w:val="20"/>
                <w:szCs w:val="20"/>
                <w:lang w:val="en-GB"/>
              </w:rPr>
              <w:t xml:space="preserve">system under which short-term rental service providers </w:t>
            </w:r>
            <w:r w:rsidR="0052538B">
              <w:rPr>
                <w:rFonts w:asciiTheme="minorBidi" w:hAnsiTheme="minorBidi"/>
                <w:color w:val="232323" w:themeColor="accent1"/>
                <w:sz w:val="20"/>
                <w:szCs w:val="20"/>
                <w:lang w:val="en-GB"/>
              </w:rPr>
              <w:t>inform</w:t>
            </w:r>
            <w:r w:rsidRPr="00077C25">
              <w:rPr>
                <w:rFonts w:asciiTheme="minorBidi" w:hAnsiTheme="minorBidi"/>
                <w:color w:val="232323" w:themeColor="accent1"/>
                <w:sz w:val="20"/>
                <w:szCs w:val="20"/>
                <w:lang w:val="en-GB"/>
              </w:rPr>
              <w:t xml:space="preserve"> the local government</w:t>
            </w:r>
            <w:r w:rsidR="0052538B">
              <w:rPr>
                <w:rFonts w:asciiTheme="minorBidi" w:hAnsiTheme="minorBidi"/>
                <w:color w:val="232323" w:themeColor="accent1"/>
                <w:sz w:val="20"/>
                <w:szCs w:val="20"/>
                <w:lang w:val="en-GB"/>
              </w:rPr>
              <w:t>.</w:t>
            </w:r>
          </w:p>
        </w:tc>
        <w:tc>
          <w:tcPr>
            <w:tcW w:w="1710" w:type="dxa"/>
          </w:tcPr>
          <w:p w14:paraId="1A06C90D" w14:textId="15F93987" w:rsidR="00417D95" w:rsidRPr="00077C25" w:rsidRDefault="00232223" w:rsidP="00E41FCB">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Pr>
                <w:rFonts w:asciiTheme="minorBidi" w:hAnsiTheme="minorBidi"/>
                <w:color w:val="232323" w:themeColor="accent1"/>
                <w:sz w:val="20"/>
                <w:szCs w:val="20"/>
                <w:lang w:val="en-GB"/>
              </w:rPr>
              <w:t>L</w:t>
            </w:r>
            <w:r w:rsidR="00B25292" w:rsidRPr="1D793FCD">
              <w:rPr>
                <w:rFonts w:asciiTheme="minorBidi" w:hAnsiTheme="minorBidi"/>
                <w:color w:val="232323" w:themeColor="accent1"/>
                <w:sz w:val="20"/>
                <w:szCs w:val="20"/>
                <w:lang w:val="en-GB"/>
              </w:rPr>
              <w:t>ocal governments</w:t>
            </w:r>
            <w:r w:rsidR="007748C9" w:rsidRPr="1D793FCD">
              <w:rPr>
                <w:rFonts w:asciiTheme="minorBidi" w:hAnsiTheme="minorBidi"/>
                <w:color w:val="232323" w:themeColor="accent1"/>
                <w:sz w:val="20"/>
                <w:szCs w:val="20"/>
                <w:lang w:val="en-GB"/>
              </w:rPr>
              <w:t>;</w:t>
            </w:r>
            <w:r w:rsidR="00B25292" w:rsidRPr="1D793FCD">
              <w:rPr>
                <w:rFonts w:asciiTheme="minorBidi" w:hAnsiTheme="minorBidi"/>
                <w:color w:val="232323" w:themeColor="accent1"/>
                <w:sz w:val="20"/>
                <w:szCs w:val="20"/>
                <w:lang w:val="en-GB"/>
              </w:rPr>
              <w:t xml:space="preserve"> </w:t>
            </w:r>
            <w:r w:rsidR="00C21DC0">
              <w:rPr>
                <w:rFonts w:asciiTheme="minorBidi" w:hAnsiTheme="minorBidi"/>
                <w:color w:val="232323" w:themeColor="accent1"/>
                <w:sz w:val="20"/>
                <w:szCs w:val="20"/>
                <w:lang w:val="en-GB"/>
              </w:rPr>
              <w:t xml:space="preserve">Police and </w:t>
            </w:r>
            <w:r w:rsidR="00F475B7">
              <w:rPr>
                <w:rFonts w:asciiTheme="minorBidi" w:hAnsiTheme="minorBidi"/>
                <w:color w:val="232323" w:themeColor="accent1"/>
                <w:sz w:val="20"/>
                <w:szCs w:val="20"/>
                <w:lang w:val="en-GB"/>
              </w:rPr>
              <w:t>Border</w:t>
            </w:r>
            <w:r w:rsidR="00C21DC0">
              <w:rPr>
                <w:rFonts w:asciiTheme="minorBidi" w:hAnsiTheme="minorBidi"/>
                <w:color w:val="232323" w:themeColor="accent1"/>
                <w:sz w:val="20"/>
                <w:szCs w:val="20"/>
                <w:lang w:val="en-GB"/>
              </w:rPr>
              <w:t xml:space="preserve"> Guard Board</w:t>
            </w:r>
            <w:r w:rsidR="007748C9">
              <w:rPr>
                <w:rFonts w:asciiTheme="minorBidi" w:hAnsiTheme="minorBidi"/>
                <w:color w:val="232323" w:themeColor="accent1"/>
                <w:sz w:val="20"/>
                <w:szCs w:val="20"/>
                <w:lang w:val="en-GB"/>
              </w:rPr>
              <w:t>;</w:t>
            </w:r>
            <w:r w:rsidR="00C21DC0">
              <w:rPr>
                <w:rFonts w:asciiTheme="minorBidi" w:hAnsiTheme="minorBidi"/>
                <w:color w:val="232323" w:themeColor="accent1"/>
                <w:sz w:val="20"/>
                <w:szCs w:val="20"/>
                <w:lang w:val="en-GB"/>
              </w:rPr>
              <w:t xml:space="preserve"> </w:t>
            </w:r>
            <w:r w:rsidR="00E41FCB">
              <w:rPr>
                <w:rFonts w:asciiTheme="minorBidi" w:hAnsiTheme="minorBidi"/>
                <w:color w:val="232323" w:themeColor="accent1"/>
                <w:sz w:val="20"/>
                <w:szCs w:val="20"/>
                <w:lang w:val="en-GB"/>
              </w:rPr>
              <w:t>Health Board</w:t>
            </w:r>
            <w:r w:rsidR="007748C9">
              <w:rPr>
                <w:rFonts w:asciiTheme="minorBidi" w:hAnsiTheme="minorBidi"/>
                <w:color w:val="232323" w:themeColor="accent1"/>
                <w:sz w:val="20"/>
                <w:szCs w:val="20"/>
                <w:lang w:val="en-GB"/>
              </w:rPr>
              <w:t>;</w:t>
            </w:r>
            <w:r w:rsidR="00E41FCB">
              <w:rPr>
                <w:rFonts w:asciiTheme="minorBidi" w:hAnsiTheme="minorBidi"/>
                <w:color w:val="232323" w:themeColor="accent1"/>
                <w:sz w:val="20"/>
                <w:szCs w:val="20"/>
                <w:lang w:val="en-GB"/>
              </w:rPr>
              <w:t xml:space="preserve"> </w:t>
            </w:r>
            <w:r w:rsidR="00C21DC0">
              <w:rPr>
                <w:rFonts w:asciiTheme="minorBidi" w:hAnsiTheme="minorBidi"/>
                <w:color w:val="232323" w:themeColor="accent1"/>
                <w:sz w:val="20"/>
                <w:szCs w:val="20"/>
                <w:lang w:val="en-GB"/>
              </w:rPr>
              <w:t>Tax and Customs Board</w:t>
            </w:r>
            <w:r w:rsidR="007748C9">
              <w:rPr>
                <w:rFonts w:asciiTheme="minorBidi" w:hAnsiTheme="minorBidi"/>
                <w:color w:val="232323" w:themeColor="accent1"/>
                <w:sz w:val="20"/>
                <w:szCs w:val="20"/>
                <w:lang w:val="en-GB"/>
              </w:rPr>
              <w:t>;</w:t>
            </w:r>
            <w:r w:rsidR="00F475B7">
              <w:rPr>
                <w:rFonts w:asciiTheme="minorBidi" w:hAnsiTheme="minorBidi"/>
                <w:color w:val="232323" w:themeColor="accent1"/>
                <w:sz w:val="20"/>
                <w:szCs w:val="20"/>
                <w:lang w:val="en-GB"/>
              </w:rPr>
              <w:t xml:space="preserve"> Rescue Services Agency</w:t>
            </w:r>
            <w:r w:rsidR="007748C9">
              <w:rPr>
                <w:rFonts w:asciiTheme="minorBidi" w:hAnsiTheme="minorBidi"/>
                <w:color w:val="232323" w:themeColor="accent1"/>
                <w:sz w:val="20"/>
                <w:szCs w:val="20"/>
                <w:lang w:val="en-GB"/>
              </w:rPr>
              <w:t>;</w:t>
            </w:r>
            <w:r w:rsidR="00F475B7" w:rsidRPr="00077C25">
              <w:rPr>
                <w:rFonts w:asciiTheme="minorBidi" w:hAnsiTheme="minorBidi"/>
                <w:color w:val="232323" w:themeColor="accent1"/>
                <w:sz w:val="20"/>
                <w:szCs w:val="20"/>
                <w:lang w:val="en-GB"/>
              </w:rPr>
              <w:t xml:space="preserve"> </w:t>
            </w:r>
            <w:r w:rsidR="00424888" w:rsidRPr="00424888">
              <w:rPr>
                <w:rFonts w:asciiTheme="minorBidi" w:hAnsiTheme="minorBidi"/>
                <w:color w:val="232323" w:themeColor="accent1"/>
                <w:sz w:val="20"/>
                <w:szCs w:val="20"/>
              </w:rPr>
              <w:t>Estonian Business and Innovation Agency</w:t>
            </w:r>
          </w:p>
        </w:tc>
      </w:tr>
      <w:tr w:rsidR="00417D95" w:rsidRPr="00077C25" w14:paraId="017490ED" w14:textId="77777777" w:rsidTr="00CC7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5" w:type="dxa"/>
            <w:gridSpan w:val="3"/>
            <w:shd w:val="clear" w:color="auto" w:fill="E6E6E6" w:themeFill="accent3"/>
          </w:tcPr>
          <w:p w14:paraId="063384A6" w14:textId="77777777" w:rsidR="00417D95" w:rsidRPr="00077C25" w:rsidRDefault="00417D95" w:rsidP="00077C25">
            <w:pPr>
              <w:pStyle w:val="Heading3"/>
              <w:numPr>
                <w:ilvl w:val="0"/>
                <w:numId w:val="0"/>
              </w:numPr>
              <w:spacing w:before="60" w:after="60" w:line="240" w:lineRule="auto"/>
              <w:ind w:left="504" w:hanging="504"/>
              <w:rPr>
                <w:rFonts w:asciiTheme="minorBidi" w:hAnsiTheme="minorBidi" w:cstheme="minorBidi"/>
                <w:color w:val="232323" w:themeColor="text1"/>
                <w:sz w:val="20"/>
                <w:szCs w:val="20"/>
                <w:lang w:val="en-GB"/>
              </w:rPr>
            </w:pPr>
            <w:bookmarkStart w:id="48" w:name="_Toc208989859"/>
            <w:bookmarkStart w:id="49" w:name="_Toc208991577"/>
            <w:r w:rsidRPr="00077C25">
              <w:rPr>
                <w:rFonts w:asciiTheme="minorBidi" w:hAnsiTheme="minorBidi" w:cstheme="minorBidi"/>
                <w:color w:val="232323" w:themeColor="text1"/>
                <w:sz w:val="20"/>
                <w:szCs w:val="20"/>
                <w:lang w:val="en-GB"/>
              </w:rPr>
              <w:t>Rights of apartment associations</w:t>
            </w:r>
            <w:bookmarkEnd w:id="48"/>
            <w:bookmarkEnd w:id="49"/>
          </w:p>
        </w:tc>
      </w:tr>
      <w:tr w:rsidR="006B1E5D" w:rsidRPr="00077C25" w14:paraId="77E358ED" w14:textId="77777777" w:rsidTr="00CC743F">
        <w:tc>
          <w:tcPr>
            <w:cnfStyle w:val="001000000000" w:firstRow="0" w:lastRow="0" w:firstColumn="1" w:lastColumn="0" w:oddVBand="0" w:evenVBand="0" w:oddHBand="0" w:evenHBand="0" w:firstRowFirstColumn="0" w:firstRowLastColumn="0" w:lastRowFirstColumn="0" w:lastRowLastColumn="0"/>
            <w:tcW w:w="2695" w:type="dxa"/>
          </w:tcPr>
          <w:p w14:paraId="6FE8858C" w14:textId="1EF784F5" w:rsidR="00417D95" w:rsidRPr="00077C25" w:rsidRDefault="0052538B" w:rsidP="00E3067C">
            <w:pPr>
              <w:spacing w:before="60" w:after="60" w:line="240" w:lineRule="auto"/>
              <w:ind w:left="157"/>
              <w:rPr>
                <w:rFonts w:asciiTheme="minorBidi" w:hAnsiTheme="minorBidi"/>
                <w:color w:val="232323" w:themeColor="text1"/>
                <w:sz w:val="20"/>
                <w:szCs w:val="20"/>
                <w:lang w:val="en-GB"/>
              </w:rPr>
            </w:pPr>
            <w:r>
              <w:rPr>
                <w:rFonts w:asciiTheme="minorBidi" w:hAnsiTheme="minorBidi"/>
                <w:color w:val="232323" w:themeColor="accent1"/>
                <w:sz w:val="20"/>
                <w:szCs w:val="20"/>
                <w:lang w:val="en-GB"/>
              </w:rPr>
              <w:t>Amend</w:t>
            </w:r>
            <w:r w:rsidR="00417D95" w:rsidRPr="00077C25">
              <w:rPr>
                <w:rFonts w:asciiTheme="minorBidi" w:hAnsiTheme="minorBidi"/>
                <w:color w:val="232323" w:themeColor="accent1"/>
                <w:sz w:val="20"/>
                <w:szCs w:val="20"/>
                <w:lang w:val="en-GB"/>
              </w:rPr>
              <w:t xml:space="preserve"> the Apartment Ownership and Apartment Association Act</w:t>
            </w:r>
          </w:p>
        </w:tc>
        <w:tc>
          <w:tcPr>
            <w:tcW w:w="5490" w:type="dxa"/>
          </w:tcPr>
          <w:p w14:paraId="46584791" w14:textId="6109756D" w:rsidR="00417D95" w:rsidRPr="00077C25" w:rsidRDefault="00D2394C"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Pr>
                <w:rFonts w:asciiTheme="minorBidi" w:hAnsiTheme="minorBidi"/>
                <w:color w:val="232323" w:themeColor="accent1"/>
                <w:sz w:val="20"/>
                <w:szCs w:val="20"/>
                <w:lang w:val="en-GB"/>
              </w:rPr>
              <w:t>A</w:t>
            </w:r>
            <w:r w:rsidR="00417D95" w:rsidRPr="00077C25">
              <w:rPr>
                <w:rFonts w:asciiTheme="minorBidi" w:hAnsiTheme="minorBidi"/>
                <w:color w:val="232323" w:themeColor="accent1"/>
                <w:sz w:val="20"/>
                <w:szCs w:val="20"/>
                <w:lang w:val="en-GB"/>
              </w:rPr>
              <w:t>llow apartment associations</w:t>
            </w:r>
            <w:r w:rsidR="00A223B4">
              <w:rPr>
                <w:rFonts w:asciiTheme="minorBidi" w:hAnsiTheme="minorBidi"/>
                <w:color w:val="232323" w:themeColor="accent1"/>
                <w:sz w:val="20"/>
                <w:szCs w:val="20"/>
                <w:lang w:val="en-GB"/>
              </w:rPr>
              <w:t>,</w:t>
            </w:r>
            <w:r w:rsidR="00417D95" w:rsidRPr="00077C25">
              <w:rPr>
                <w:rFonts w:asciiTheme="minorBidi" w:hAnsiTheme="minorBidi"/>
                <w:color w:val="232323" w:themeColor="accent1"/>
                <w:sz w:val="20"/>
                <w:szCs w:val="20"/>
                <w:lang w:val="en-GB"/>
              </w:rPr>
              <w:t xml:space="preserve"> </w:t>
            </w:r>
            <w:r w:rsidR="00A223B4">
              <w:rPr>
                <w:rFonts w:asciiTheme="minorBidi" w:hAnsiTheme="minorBidi"/>
                <w:color w:val="232323" w:themeColor="accent1"/>
                <w:sz w:val="20"/>
                <w:szCs w:val="20"/>
                <w:lang w:val="en-GB"/>
              </w:rPr>
              <w:t>through the</w:t>
            </w:r>
            <w:r w:rsidR="00417D95" w:rsidRPr="00077C25">
              <w:rPr>
                <w:rFonts w:asciiTheme="minorBidi" w:hAnsiTheme="minorBidi"/>
                <w:color w:val="232323" w:themeColor="accent1"/>
                <w:sz w:val="20"/>
                <w:szCs w:val="20"/>
                <w:lang w:val="en-GB"/>
              </w:rPr>
              <w:t xml:space="preserve"> amendments</w:t>
            </w:r>
            <w:r w:rsidR="00A223B4">
              <w:rPr>
                <w:rFonts w:asciiTheme="minorBidi" w:hAnsiTheme="minorBidi"/>
                <w:color w:val="232323" w:themeColor="accent1"/>
                <w:sz w:val="20"/>
                <w:szCs w:val="20"/>
                <w:lang w:val="en-GB"/>
              </w:rPr>
              <w:t>, to</w:t>
            </w:r>
            <w:r w:rsidR="00417D95" w:rsidRPr="00077C25">
              <w:rPr>
                <w:rFonts w:asciiTheme="minorBidi" w:hAnsiTheme="minorBidi"/>
                <w:color w:val="232323" w:themeColor="accent1"/>
                <w:sz w:val="20"/>
                <w:szCs w:val="20"/>
                <w:lang w:val="en-GB"/>
              </w:rPr>
              <w:t>:</w:t>
            </w:r>
          </w:p>
          <w:p w14:paraId="43BE66DC" w14:textId="42EAC93D" w:rsidR="00417D95" w:rsidRPr="00077C25" w:rsidRDefault="00A223B4" w:rsidP="00417D95">
            <w:pPr>
              <w:pStyle w:val="ListParagraph"/>
              <w:numPr>
                <w:ilvl w:val="0"/>
                <w:numId w:val="75"/>
              </w:numPr>
              <w:spacing w:before="60" w:after="60" w:line="240" w:lineRule="auto"/>
              <w:ind w:left="428"/>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Pr>
                <w:rFonts w:asciiTheme="minorBidi" w:hAnsiTheme="minorBidi"/>
                <w:color w:val="232323" w:themeColor="text1"/>
                <w:sz w:val="20"/>
                <w:szCs w:val="20"/>
                <w:lang w:val="en-GB"/>
              </w:rPr>
              <w:t>l</w:t>
            </w:r>
            <w:r w:rsidR="00417D95" w:rsidRPr="00077C25">
              <w:rPr>
                <w:rFonts w:asciiTheme="minorBidi" w:hAnsiTheme="minorBidi"/>
                <w:color w:val="232323" w:themeColor="text1"/>
                <w:sz w:val="20"/>
                <w:szCs w:val="20"/>
                <w:lang w:val="en-GB"/>
              </w:rPr>
              <w:t>imit or regulate the volume of accommodation services provided in the building</w:t>
            </w:r>
            <w:r>
              <w:rPr>
                <w:rFonts w:asciiTheme="minorBidi" w:hAnsiTheme="minorBidi"/>
                <w:color w:val="232323" w:themeColor="text1"/>
                <w:sz w:val="20"/>
                <w:szCs w:val="20"/>
                <w:lang w:val="en-GB"/>
              </w:rPr>
              <w:t>;</w:t>
            </w:r>
          </w:p>
          <w:p w14:paraId="7A7CCFF3" w14:textId="228C0EE0" w:rsidR="00417D95" w:rsidRPr="00077C25" w:rsidRDefault="00A223B4" w:rsidP="00417D95">
            <w:pPr>
              <w:pStyle w:val="ListParagraph"/>
              <w:numPr>
                <w:ilvl w:val="0"/>
                <w:numId w:val="75"/>
              </w:numPr>
              <w:spacing w:before="60" w:after="60" w:line="240" w:lineRule="auto"/>
              <w:ind w:left="428"/>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Pr>
                <w:rFonts w:asciiTheme="minorBidi" w:hAnsiTheme="minorBidi"/>
                <w:color w:val="232323" w:themeColor="accent1"/>
                <w:sz w:val="20"/>
                <w:szCs w:val="20"/>
                <w:lang w:val="en-GB"/>
              </w:rPr>
              <w:t>m</w:t>
            </w:r>
            <w:r w:rsidR="00417D95" w:rsidRPr="00077C25">
              <w:rPr>
                <w:rFonts w:asciiTheme="minorBidi" w:hAnsiTheme="minorBidi"/>
                <w:color w:val="232323" w:themeColor="accent1"/>
                <w:sz w:val="20"/>
                <w:szCs w:val="20"/>
                <w:lang w:val="en-GB"/>
              </w:rPr>
              <w:t xml:space="preserve">ake it legally easier for </w:t>
            </w:r>
            <w:r w:rsidR="00A71EBC">
              <w:rPr>
                <w:rFonts w:asciiTheme="minorBidi" w:hAnsiTheme="minorBidi"/>
                <w:color w:val="232323" w:themeColor="accent1"/>
                <w:sz w:val="20"/>
                <w:szCs w:val="20"/>
                <w:lang w:val="en-GB"/>
              </w:rPr>
              <w:t>associations</w:t>
            </w:r>
            <w:r w:rsidR="00417D95" w:rsidRPr="00077C25">
              <w:rPr>
                <w:rFonts w:asciiTheme="minorBidi" w:hAnsiTheme="minorBidi"/>
                <w:color w:val="232323" w:themeColor="accent1"/>
                <w:sz w:val="20"/>
                <w:szCs w:val="20"/>
                <w:lang w:val="en-GB"/>
              </w:rPr>
              <w:t xml:space="preserve"> to </w:t>
            </w:r>
            <w:r>
              <w:rPr>
                <w:rFonts w:asciiTheme="minorBidi" w:hAnsiTheme="minorBidi"/>
                <w:color w:val="232323" w:themeColor="accent1"/>
                <w:sz w:val="20"/>
                <w:szCs w:val="20"/>
                <w:lang w:val="en-GB"/>
              </w:rPr>
              <w:t>prohibit</w:t>
            </w:r>
            <w:r w:rsidRPr="00077C25">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 xml:space="preserve">service compared </w:t>
            </w:r>
            <w:r w:rsidR="002D43EB" w:rsidRPr="002D43EB">
              <w:rPr>
                <w:rFonts w:asciiTheme="minorBidi" w:hAnsiTheme="minorBidi"/>
                <w:color w:val="232323" w:themeColor="accent1"/>
                <w:sz w:val="20"/>
                <w:szCs w:val="20"/>
                <w:lang w:val="en-GB"/>
              </w:rPr>
              <w:t>with today’s relatively</w:t>
            </w:r>
            <w:r w:rsidR="002D43EB">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extreme options</w:t>
            </w:r>
            <w:r w:rsidR="002D43EB">
              <w:rPr>
                <w:rFonts w:asciiTheme="minorBidi" w:hAnsiTheme="minorBidi"/>
                <w:color w:val="232323" w:themeColor="accent1"/>
                <w:sz w:val="20"/>
                <w:szCs w:val="20"/>
                <w:lang w:val="en-GB"/>
              </w:rPr>
              <w:t>;</w:t>
            </w:r>
          </w:p>
          <w:p w14:paraId="1086ED21" w14:textId="55749FEC" w:rsidR="00417D95" w:rsidRPr="00077C25" w:rsidRDefault="002D43EB" w:rsidP="00BD7B82">
            <w:pPr>
              <w:pStyle w:val="ListParagraph"/>
              <w:numPr>
                <w:ilvl w:val="0"/>
                <w:numId w:val="75"/>
              </w:numPr>
              <w:spacing w:before="60" w:after="60" w:line="240" w:lineRule="auto"/>
              <w:ind w:left="428"/>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Pr>
                <w:rFonts w:asciiTheme="minorBidi" w:hAnsiTheme="minorBidi"/>
                <w:color w:val="232323" w:themeColor="accent1"/>
                <w:sz w:val="20"/>
                <w:szCs w:val="20"/>
                <w:lang w:val="en-GB"/>
              </w:rPr>
              <w:t>r</w:t>
            </w:r>
            <w:r w:rsidR="00417D95" w:rsidRPr="00077C25">
              <w:rPr>
                <w:rFonts w:asciiTheme="minorBidi" w:hAnsiTheme="minorBidi"/>
                <w:color w:val="232323" w:themeColor="accent1"/>
                <w:sz w:val="20"/>
                <w:szCs w:val="20"/>
                <w:lang w:val="en-GB"/>
              </w:rPr>
              <w:t xml:space="preserve">equire the owner of an apartment used for accommodation services to bear the costs associated with providing </w:t>
            </w:r>
            <w:r>
              <w:rPr>
                <w:rFonts w:asciiTheme="minorBidi" w:hAnsiTheme="minorBidi"/>
                <w:color w:val="232323" w:themeColor="accent1"/>
                <w:sz w:val="20"/>
                <w:szCs w:val="20"/>
                <w:lang w:val="en-GB"/>
              </w:rPr>
              <w:t>those</w:t>
            </w:r>
            <w:r w:rsidRPr="00077C25">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services</w:t>
            </w:r>
            <w:r>
              <w:rPr>
                <w:rFonts w:asciiTheme="minorBidi" w:hAnsiTheme="minorBidi"/>
                <w:color w:val="232323" w:themeColor="accent1"/>
                <w:sz w:val="20"/>
                <w:szCs w:val="20"/>
                <w:lang w:val="en-GB"/>
              </w:rPr>
              <w:t>.</w:t>
            </w:r>
          </w:p>
        </w:tc>
        <w:tc>
          <w:tcPr>
            <w:tcW w:w="1710" w:type="dxa"/>
          </w:tcPr>
          <w:p w14:paraId="2343B77F" w14:textId="73AE5363" w:rsidR="00417D95" w:rsidRPr="00077C25" w:rsidRDefault="007F5FA6"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Pr>
                <w:rFonts w:asciiTheme="minorBidi" w:hAnsiTheme="minorBidi"/>
                <w:color w:val="232323" w:themeColor="accent1"/>
                <w:sz w:val="20"/>
                <w:szCs w:val="20"/>
                <w:lang w:val="en-GB"/>
              </w:rPr>
              <w:t>Ministry of Justice and Digital Affairs</w:t>
            </w:r>
          </w:p>
        </w:tc>
      </w:tr>
      <w:tr w:rsidR="00417D95" w:rsidRPr="00077C25" w14:paraId="50A8C911" w14:textId="77777777" w:rsidTr="00CC7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5" w:type="dxa"/>
            <w:gridSpan w:val="3"/>
            <w:shd w:val="clear" w:color="auto" w:fill="E6E6E6" w:themeFill="accent3"/>
          </w:tcPr>
          <w:p w14:paraId="67D77B79" w14:textId="7627FA6C" w:rsidR="00417D95" w:rsidRPr="00077C25" w:rsidRDefault="00417D95" w:rsidP="00077C25">
            <w:pPr>
              <w:pStyle w:val="Heading3"/>
              <w:numPr>
                <w:ilvl w:val="0"/>
                <w:numId w:val="0"/>
              </w:numPr>
              <w:spacing w:before="60" w:after="60" w:line="240" w:lineRule="auto"/>
              <w:ind w:left="504" w:hanging="504"/>
              <w:rPr>
                <w:rFonts w:asciiTheme="minorBidi" w:hAnsiTheme="minorBidi" w:cstheme="minorBidi"/>
                <w:color w:val="232323" w:themeColor="text1"/>
                <w:sz w:val="20"/>
                <w:szCs w:val="20"/>
                <w:lang w:val="en-GB"/>
              </w:rPr>
            </w:pPr>
            <w:bookmarkStart w:id="50" w:name="_Toc208989860"/>
            <w:bookmarkStart w:id="51" w:name="_Toc208991578"/>
            <w:r w:rsidRPr="00077C25">
              <w:rPr>
                <w:rFonts w:asciiTheme="minorBidi" w:hAnsiTheme="minorBidi" w:cstheme="minorBidi"/>
                <w:color w:val="232323" w:themeColor="text1"/>
                <w:sz w:val="20"/>
                <w:szCs w:val="20"/>
                <w:lang w:val="en-GB"/>
              </w:rPr>
              <w:t>Plan</w:t>
            </w:r>
            <w:r w:rsidR="002D43EB">
              <w:rPr>
                <w:rFonts w:asciiTheme="minorBidi" w:hAnsiTheme="minorBidi" w:cstheme="minorBidi"/>
                <w:color w:val="232323" w:themeColor="text1"/>
                <w:sz w:val="20"/>
                <w:szCs w:val="20"/>
                <w:lang w:val="en-GB"/>
              </w:rPr>
              <w:t>ning</w:t>
            </w:r>
            <w:r w:rsidRPr="00077C25">
              <w:rPr>
                <w:rFonts w:asciiTheme="minorBidi" w:hAnsiTheme="minorBidi" w:cstheme="minorBidi"/>
                <w:color w:val="232323" w:themeColor="text1"/>
                <w:sz w:val="20"/>
                <w:szCs w:val="20"/>
                <w:lang w:val="en-GB"/>
              </w:rPr>
              <w:t xml:space="preserve"> and procedures</w:t>
            </w:r>
            <w:bookmarkEnd w:id="50"/>
            <w:bookmarkEnd w:id="51"/>
          </w:p>
        </w:tc>
      </w:tr>
      <w:tr w:rsidR="006B1E5D" w:rsidRPr="00077C25" w14:paraId="11D8E099" w14:textId="77777777" w:rsidTr="00CC743F">
        <w:tc>
          <w:tcPr>
            <w:cnfStyle w:val="001000000000" w:firstRow="0" w:lastRow="0" w:firstColumn="1" w:lastColumn="0" w:oddVBand="0" w:evenVBand="0" w:oddHBand="0" w:evenHBand="0" w:firstRowFirstColumn="0" w:firstRowLastColumn="0" w:lastRowFirstColumn="0" w:lastRowLastColumn="0"/>
            <w:tcW w:w="2695" w:type="dxa"/>
          </w:tcPr>
          <w:p w14:paraId="76367188" w14:textId="057F5AF3" w:rsidR="00417D95" w:rsidRPr="00077C25" w:rsidRDefault="009C2DE5" w:rsidP="00E3067C">
            <w:pPr>
              <w:spacing w:before="60" w:after="60" w:line="240" w:lineRule="auto"/>
              <w:ind w:left="157"/>
              <w:rPr>
                <w:rFonts w:asciiTheme="minorBidi" w:hAnsiTheme="minorBidi"/>
                <w:color w:val="232323" w:themeColor="text1"/>
                <w:sz w:val="20"/>
                <w:szCs w:val="20"/>
                <w:lang w:val="en-GB"/>
              </w:rPr>
            </w:pPr>
            <w:r w:rsidRPr="009C2DE5">
              <w:rPr>
                <w:rFonts w:asciiTheme="minorBidi" w:hAnsiTheme="minorBidi"/>
                <w:color w:val="232323" w:themeColor="accent1"/>
                <w:sz w:val="20"/>
                <w:szCs w:val="20"/>
                <w:lang w:val="en-GB"/>
              </w:rPr>
              <w:t xml:space="preserve">Where there is a need to steer spatial development or to achieve and maintain a balance between residential and accommodation uses, local governments should regulate via plans and protection </w:t>
            </w:r>
            <w:r w:rsidRPr="009C2DE5">
              <w:rPr>
                <w:rFonts w:asciiTheme="minorBidi" w:hAnsiTheme="minorBidi"/>
                <w:color w:val="232323" w:themeColor="accent1"/>
                <w:sz w:val="20"/>
                <w:szCs w:val="20"/>
                <w:lang w:val="en-GB"/>
              </w:rPr>
              <w:lastRenderedPageBreak/>
              <w:t>rules and apply</w:t>
            </w:r>
            <w:r>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the use</w:t>
            </w:r>
            <w:r w:rsidR="005D35E8">
              <w:rPr>
                <w:rFonts w:asciiTheme="minorBidi" w:hAnsiTheme="minorBidi"/>
                <w:color w:val="232323" w:themeColor="accent1"/>
                <w:sz w:val="20"/>
                <w:szCs w:val="20"/>
                <w:lang w:val="en-GB"/>
              </w:rPr>
              <w:t>-</w:t>
            </w:r>
            <w:r w:rsidR="00417D95" w:rsidRPr="00077C25">
              <w:rPr>
                <w:rFonts w:asciiTheme="minorBidi" w:hAnsiTheme="minorBidi"/>
                <w:color w:val="232323" w:themeColor="accent1"/>
                <w:sz w:val="20"/>
                <w:szCs w:val="20"/>
                <w:lang w:val="en-GB"/>
              </w:rPr>
              <w:t>notification procedure</w:t>
            </w:r>
          </w:p>
        </w:tc>
        <w:tc>
          <w:tcPr>
            <w:tcW w:w="5490" w:type="dxa"/>
          </w:tcPr>
          <w:p w14:paraId="397A8394" w14:textId="7F361A21" w:rsidR="00417D95" w:rsidRPr="00077C25" w:rsidRDefault="00E37709" w:rsidP="00EB4B4A">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232323" w:themeColor="accent1"/>
                <w:sz w:val="20"/>
                <w:szCs w:val="20"/>
                <w:lang w:val="en-GB"/>
              </w:rPr>
            </w:pPr>
            <w:r w:rsidRPr="00E37709">
              <w:rPr>
                <w:rFonts w:asciiTheme="minorBidi" w:eastAsiaTheme="minorEastAsia" w:hAnsiTheme="minorBidi"/>
                <w:color w:val="232323" w:themeColor="accent1"/>
                <w:sz w:val="20"/>
                <w:szCs w:val="20"/>
                <w:lang w:val="en-GB"/>
              </w:rPr>
              <w:lastRenderedPageBreak/>
              <w:t>In general and detailed plans, c</w:t>
            </w:r>
            <w:r w:rsidR="00417D95" w:rsidRPr="00077C25">
              <w:rPr>
                <w:rFonts w:asciiTheme="minorBidi" w:eastAsiaTheme="minorEastAsia" w:hAnsiTheme="minorBidi"/>
                <w:color w:val="232323" w:themeColor="accent1"/>
                <w:sz w:val="20"/>
                <w:szCs w:val="20"/>
                <w:lang w:val="en-GB"/>
              </w:rPr>
              <w:t xml:space="preserve">onsider </w:t>
            </w:r>
            <w:r w:rsidRPr="00E37709">
              <w:rPr>
                <w:rFonts w:asciiTheme="minorBidi" w:eastAsiaTheme="minorEastAsia" w:hAnsiTheme="minorBidi"/>
                <w:color w:val="232323" w:themeColor="accent1"/>
                <w:sz w:val="20"/>
                <w:szCs w:val="20"/>
                <w:lang w:val="en-GB"/>
              </w:rPr>
              <w:t>whether and how to</w:t>
            </w:r>
            <w:r>
              <w:rPr>
                <w:rFonts w:asciiTheme="minorBidi" w:eastAsiaTheme="minorEastAsia" w:hAnsiTheme="minorBidi"/>
                <w:color w:val="232323" w:themeColor="accent1"/>
                <w:sz w:val="20"/>
                <w:szCs w:val="20"/>
                <w:lang w:val="en-GB"/>
              </w:rPr>
              <w:t xml:space="preserve"> </w:t>
            </w:r>
            <w:r w:rsidR="00417D95" w:rsidRPr="00077C25">
              <w:rPr>
                <w:rFonts w:asciiTheme="minorBidi" w:eastAsiaTheme="minorEastAsia" w:hAnsiTheme="minorBidi"/>
                <w:color w:val="232323" w:themeColor="accent1"/>
                <w:sz w:val="20"/>
                <w:szCs w:val="20"/>
                <w:lang w:val="en-GB"/>
              </w:rPr>
              <w:t xml:space="preserve">limit accommodation services, including </w:t>
            </w:r>
            <w:r w:rsidR="00DE35CD">
              <w:rPr>
                <w:rFonts w:asciiTheme="minorBidi" w:eastAsiaTheme="minorEastAsia" w:hAnsiTheme="minorBidi"/>
                <w:color w:val="232323" w:themeColor="accent1"/>
                <w:sz w:val="20"/>
                <w:szCs w:val="20"/>
                <w:lang w:val="en-GB"/>
              </w:rPr>
              <w:t>to guide</w:t>
            </w:r>
            <w:r w:rsidR="00417D95" w:rsidRPr="00077C25">
              <w:rPr>
                <w:rFonts w:asciiTheme="minorBidi" w:eastAsiaTheme="minorEastAsia" w:hAnsiTheme="minorBidi"/>
                <w:color w:val="232323" w:themeColor="accent1"/>
                <w:sz w:val="20"/>
                <w:szCs w:val="20"/>
                <w:lang w:val="en-GB"/>
              </w:rPr>
              <w:t xml:space="preserve"> the use of buildings and plots in specific areas.</w:t>
            </w:r>
          </w:p>
          <w:p w14:paraId="2C169431" w14:textId="2FD856AF" w:rsidR="00417D95" w:rsidRPr="00077C25" w:rsidRDefault="00735C85"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232323" w:themeColor="accent1"/>
                <w:sz w:val="20"/>
                <w:szCs w:val="20"/>
                <w:lang w:val="en-GB"/>
              </w:rPr>
            </w:pPr>
            <w:r>
              <w:rPr>
                <w:rFonts w:asciiTheme="minorBidi" w:eastAsiaTheme="minorEastAsia" w:hAnsiTheme="minorBidi"/>
                <w:color w:val="232323" w:themeColor="accent1"/>
                <w:sz w:val="20"/>
                <w:szCs w:val="20"/>
                <w:lang w:val="en-GB"/>
              </w:rPr>
              <w:t>Where</w:t>
            </w:r>
            <w:r w:rsidR="00417D95" w:rsidRPr="00077C25">
              <w:rPr>
                <w:rFonts w:asciiTheme="minorBidi" w:eastAsiaTheme="minorEastAsia" w:hAnsiTheme="minorBidi"/>
                <w:color w:val="232323" w:themeColor="accent1"/>
                <w:sz w:val="20"/>
                <w:szCs w:val="20"/>
                <w:lang w:val="en-GB"/>
              </w:rPr>
              <w:t xml:space="preserve"> necessary, add restrictions on provi</w:t>
            </w:r>
            <w:r>
              <w:rPr>
                <w:rFonts w:asciiTheme="minorBidi" w:eastAsiaTheme="minorEastAsia" w:hAnsiTheme="minorBidi"/>
                <w:color w:val="232323" w:themeColor="accent1"/>
                <w:sz w:val="20"/>
                <w:szCs w:val="20"/>
                <w:lang w:val="en-GB"/>
              </w:rPr>
              <w:t>ding</w:t>
            </w:r>
            <w:r w:rsidR="00417D95" w:rsidRPr="00077C25">
              <w:rPr>
                <w:rFonts w:asciiTheme="minorBidi" w:eastAsiaTheme="minorEastAsia" w:hAnsiTheme="minorBidi"/>
                <w:color w:val="232323" w:themeColor="accent1"/>
                <w:sz w:val="20"/>
                <w:szCs w:val="20"/>
                <w:lang w:val="en-GB"/>
              </w:rPr>
              <w:t xml:space="preserve"> accommodation services in residential buildings </w:t>
            </w:r>
            <w:r w:rsidR="00670571">
              <w:rPr>
                <w:rFonts w:asciiTheme="minorBidi" w:eastAsiaTheme="minorEastAsia" w:hAnsiTheme="minorBidi"/>
                <w:color w:val="232323" w:themeColor="accent1"/>
                <w:sz w:val="20"/>
                <w:szCs w:val="20"/>
                <w:lang w:val="en-GB"/>
              </w:rPr>
              <w:t>within</w:t>
            </w:r>
            <w:r w:rsidR="00417D95" w:rsidRPr="00077C25">
              <w:rPr>
                <w:rFonts w:asciiTheme="minorBidi" w:eastAsiaTheme="minorEastAsia" w:hAnsiTheme="minorBidi"/>
                <w:color w:val="232323" w:themeColor="accent1"/>
                <w:sz w:val="20"/>
                <w:szCs w:val="20"/>
                <w:lang w:val="en-GB"/>
              </w:rPr>
              <w:t xml:space="preserve"> heritage</w:t>
            </w:r>
            <w:r w:rsidR="00670571">
              <w:rPr>
                <w:rFonts w:asciiTheme="minorBidi" w:eastAsiaTheme="minorEastAsia" w:hAnsiTheme="minorBidi"/>
                <w:color w:val="232323" w:themeColor="accent1"/>
                <w:sz w:val="20"/>
                <w:szCs w:val="20"/>
                <w:lang w:val="en-GB"/>
              </w:rPr>
              <w:t>-protection</w:t>
            </w:r>
            <w:r w:rsidR="0017796C">
              <w:rPr>
                <w:rFonts w:asciiTheme="minorBidi" w:eastAsiaTheme="minorEastAsia" w:hAnsiTheme="minorBidi"/>
                <w:color w:val="232323" w:themeColor="accent1"/>
                <w:sz w:val="20"/>
                <w:szCs w:val="20"/>
                <w:lang w:val="en-GB"/>
              </w:rPr>
              <w:t xml:space="preserve"> rules</w:t>
            </w:r>
            <w:r w:rsidR="006038B1">
              <w:rPr>
                <w:rFonts w:asciiTheme="minorBidi" w:eastAsiaTheme="minorEastAsia" w:hAnsiTheme="minorBidi"/>
                <w:color w:val="232323" w:themeColor="accent1"/>
                <w:sz w:val="20"/>
                <w:szCs w:val="20"/>
                <w:lang w:val="en-GB"/>
              </w:rPr>
              <w:t>.</w:t>
            </w:r>
          </w:p>
          <w:p w14:paraId="793FE3F4" w14:textId="3540FACA" w:rsidR="00417D95" w:rsidRPr="00077C25" w:rsidRDefault="004946DB"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232323" w:themeColor="accent1"/>
                <w:sz w:val="20"/>
                <w:szCs w:val="20"/>
                <w:lang w:val="en-GB"/>
              </w:rPr>
            </w:pPr>
            <w:r w:rsidRPr="004946DB">
              <w:rPr>
                <w:rFonts w:asciiTheme="minorBidi" w:eastAsiaTheme="minorEastAsia" w:hAnsiTheme="minorBidi"/>
                <w:color w:val="232323" w:themeColor="accent1"/>
                <w:sz w:val="20"/>
                <w:szCs w:val="20"/>
                <w:lang w:val="en-GB"/>
              </w:rPr>
              <w:t>To consider amending the Building Code to grant local governments the right to establish mandatory criteria for changing the use of dwellings within their administrative unit.</w:t>
            </w:r>
          </w:p>
        </w:tc>
        <w:tc>
          <w:tcPr>
            <w:tcW w:w="1710" w:type="dxa"/>
          </w:tcPr>
          <w:p w14:paraId="231904C6" w14:textId="1DB87D04" w:rsidR="00417D95" w:rsidRPr="00077C25" w:rsidRDefault="00417D95" w:rsidP="00C67AE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232323" w:themeColor="accent1"/>
                <w:sz w:val="20"/>
                <w:szCs w:val="20"/>
                <w:lang w:val="en-GB"/>
              </w:rPr>
            </w:pPr>
            <w:r w:rsidRPr="00077C25">
              <w:rPr>
                <w:rFonts w:asciiTheme="minorBidi" w:eastAsiaTheme="minorEastAsia" w:hAnsiTheme="minorBidi"/>
                <w:color w:val="232323" w:themeColor="accent1"/>
                <w:sz w:val="20"/>
                <w:szCs w:val="20"/>
                <w:lang w:val="en-GB"/>
              </w:rPr>
              <w:t>Local governments</w:t>
            </w:r>
            <w:r w:rsidR="00184079">
              <w:rPr>
                <w:rFonts w:asciiTheme="minorBidi" w:eastAsiaTheme="minorEastAsia" w:hAnsiTheme="minorBidi"/>
                <w:color w:val="232323" w:themeColor="accent1"/>
                <w:sz w:val="20"/>
                <w:szCs w:val="20"/>
                <w:lang w:val="en-GB"/>
              </w:rPr>
              <w:t>;</w:t>
            </w:r>
            <w:r w:rsidR="002B1246">
              <w:rPr>
                <w:rFonts w:asciiTheme="minorBidi" w:eastAsiaTheme="minorEastAsia" w:hAnsiTheme="minorBidi"/>
                <w:color w:val="232323" w:themeColor="accent1"/>
                <w:sz w:val="20"/>
                <w:szCs w:val="20"/>
                <w:lang w:val="en-GB"/>
              </w:rPr>
              <w:t xml:space="preserve"> Ministry of Culture</w:t>
            </w:r>
            <w:r w:rsidR="00184079">
              <w:rPr>
                <w:rFonts w:asciiTheme="minorBidi" w:eastAsiaTheme="minorEastAsia" w:hAnsiTheme="minorBidi"/>
                <w:color w:val="232323" w:themeColor="accent1"/>
                <w:sz w:val="20"/>
                <w:szCs w:val="20"/>
                <w:lang w:val="en-GB"/>
              </w:rPr>
              <w:t>;</w:t>
            </w:r>
            <w:r w:rsidR="002B1246">
              <w:rPr>
                <w:rFonts w:asciiTheme="minorBidi" w:eastAsiaTheme="minorEastAsia" w:hAnsiTheme="minorBidi"/>
                <w:color w:val="232323" w:themeColor="accent1"/>
                <w:sz w:val="20"/>
                <w:szCs w:val="20"/>
                <w:lang w:val="en-GB"/>
              </w:rPr>
              <w:t xml:space="preserve"> </w:t>
            </w:r>
            <w:r w:rsidR="00A533BE" w:rsidRPr="00A533BE">
              <w:rPr>
                <w:rFonts w:asciiTheme="minorBidi" w:eastAsiaTheme="minorEastAsia" w:hAnsiTheme="minorBidi"/>
                <w:color w:val="232323" w:themeColor="accent1"/>
                <w:sz w:val="20"/>
                <w:szCs w:val="20"/>
                <w:lang w:val="en-GB"/>
              </w:rPr>
              <w:t>Heritage Conservation Board</w:t>
            </w:r>
            <w:r w:rsidR="00184079">
              <w:rPr>
                <w:rFonts w:asciiTheme="minorBidi" w:eastAsiaTheme="minorEastAsia" w:hAnsiTheme="minorBidi"/>
                <w:color w:val="232323" w:themeColor="accent1"/>
                <w:sz w:val="20"/>
                <w:szCs w:val="20"/>
                <w:lang w:val="en-GB"/>
              </w:rPr>
              <w:t>;</w:t>
            </w:r>
            <w:r w:rsidR="00A533BE">
              <w:rPr>
                <w:rFonts w:asciiTheme="minorBidi" w:eastAsiaTheme="minorEastAsia" w:hAnsiTheme="minorBidi"/>
                <w:color w:val="232323" w:themeColor="accent1"/>
                <w:sz w:val="20"/>
                <w:szCs w:val="20"/>
                <w:lang w:val="en-GB"/>
              </w:rPr>
              <w:t xml:space="preserve"> Ministry of Climate</w:t>
            </w:r>
            <w:r w:rsidR="00184079">
              <w:rPr>
                <w:rFonts w:asciiTheme="minorBidi" w:eastAsiaTheme="minorEastAsia" w:hAnsiTheme="minorBidi"/>
                <w:color w:val="232323" w:themeColor="accent1"/>
                <w:sz w:val="20"/>
                <w:szCs w:val="20"/>
                <w:lang w:val="en-GB"/>
              </w:rPr>
              <w:t>;</w:t>
            </w:r>
            <w:r w:rsidR="00A533BE">
              <w:rPr>
                <w:rFonts w:asciiTheme="minorBidi" w:eastAsiaTheme="minorEastAsia" w:hAnsiTheme="minorBidi"/>
                <w:color w:val="232323" w:themeColor="accent1"/>
                <w:sz w:val="20"/>
                <w:szCs w:val="20"/>
                <w:lang w:val="en-GB"/>
              </w:rPr>
              <w:t xml:space="preserve"> </w:t>
            </w:r>
            <w:r w:rsidR="00C67AEC" w:rsidRPr="00C67AEC">
              <w:rPr>
                <w:rFonts w:asciiTheme="minorBidi" w:eastAsiaTheme="minorEastAsia" w:hAnsiTheme="minorBidi"/>
                <w:color w:val="232323" w:themeColor="accent1"/>
                <w:sz w:val="20"/>
                <w:szCs w:val="20"/>
                <w:lang w:val="en-GB"/>
              </w:rPr>
              <w:t>Land and Spatial Planning Board</w:t>
            </w:r>
            <w:r w:rsidR="00184079">
              <w:rPr>
                <w:rFonts w:asciiTheme="minorBidi" w:eastAsiaTheme="minorEastAsia" w:hAnsiTheme="minorBidi"/>
                <w:color w:val="232323" w:themeColor="accent1"/>
                <w:sz w:val="20"/>
                <w:szCs w:val="20"/>
                <w:lang w:val="en-GB"/>
              </w:rPr>
              <w:t>;</w:t>
            </w:r>
            <w:r w:rsidR="00C67AEC">
              <w:rPr>
                <w:rFonts w:asciiTheme="minorBidi" w:eastAsiaTheme="minorEastAsia" w:hAnsiTheme="minorBidi"/>
                <w:color w:val="232323" w:themeColor="accent1"/>
                <w:sz w:val="20"/>
                <w:szCs w:val="20"/>
                <w:lang w:val="en-GB"/>
              </w:rPr>
              <w:t xml:space="preserve"> </w:t>
            </w:r>
            <w:r w:rsidR="00A533BE" w:rsidRPr="00077C25">
              <w:rPr>
                <w:rFonts w:asciiTheme="minorBidi" w:hAnsiTheme="minorBidi"/>
                <w:color w:val="232323" w:themeColor="accent1"/>
                <w:sz w:val="20"/>
                <w:szCs w:val="20"/>
                <w:lang w:val="en-GB"/>
              </w:rPr>
              <w:t xml:space="preserve">Ministry of </w:t>
            </w:r>
            <w:r w:rsidR="00A533BE">
              <w:rPr>
                <w:rFonts w:asciiTheme="minorBidi" w:hAnsiTheme="minorBidi"/>
                <w:color w:val="232323" w:themeColor="accent1"/>
                <w:sz w:val="20"/>
                <w:szCs w:val="20"/>
                <w:lang w:val="en-GB"/>
              </w:rPr>
              <w:lastRenderedPageBreak/>
              <w:t>Economic Affairs and Communication</w:t>
            </w:r>
          </w:p>
        </w:tc>
      </w:tr>
      <w:tr w:rsidR="00417D95" w:rsidRPr="00077C25" w14:paraId="00271E4A" w14:textId="77777777" w:rsidTr="00CC7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5" w:type="dxa"/>
            <w:gridSpan w:val="3"/>
            <w:shd w:val="clear" w:color="auto" w:fill="E6E6E6" w:themeFill="accent3"/>
          </w:tcPr>
          <w:p w14:paraId="482CF7B1" w14:textId="77777777" w:rsidR="00417D95" w:rsidRPr="00077C25" w:rsidRDefault="00417D95" w:rsidP="00E3067C">
            <w:pPr>
              <w:spacing w:before="60" w:after="60" w:line="240" w:lineRule="auto"/>
              <w:rPr>
                <w:rFonts w:asciiTheme="minorBidi" w:hAnsiTheme="minorBidi"/>
                <w:color w:val="232323" w:themeColor="text1"/>
                <w:sz w:val="20"/>
                <w:szCs w:val="20"/>
                <w:lang w:val="en-GB"/>
              </w:rPr>
            </w:pPr>
            <w:r w:rsidRPr="00077C25">
              <w:rPr>
                <w:rFonts w:asciiTheme="minorBidi" w:eastAsiaTheme="majorEastAsia" w:hAnsiTheme="minorBidi"/>
                <w:color w:val="232323" w:themeColor="text1"/>
                <w:sz w:val="20"/>
                <w:szCs w:val="20"/>
                <w:lang w:val="en-GB"/>
              </w:rPr>
              <w:lastRenderedPageBreak/>
              <w:t>Creating incentives</w:t>
            </w:r>
          </w:p>
        </w:tc>
      </w:tr>
      <w:tr w:rsidR="006B1E5D" w:rsidRPr="00077C25" w14:paraId="6B3B0FA0" w14:textId="77777777" w:rsidTr="00CC743F">
        <w:tc>
          <w:tcPr>
            <w:cnfStyle w:val="001000000000" w:firstRow="0" w:lastRow="0" w:firstColumn="1" w:lastColumn="0" w:oddVBand="0" w:evenVBand="0" w:oddHBand="0" w:evenHBand="0" w:firstRowFirstColumn="0" w:firstRowLastColumn="0" w:lastRowFirstColumn="0" w:lastRowLastColumn="0"/>
            <w:tcW w:w="2695" w:type="dxa"/>
          </w:tcPr>
          <w:p w14:paraId="77C1C051" w14:textId="1A4E7ACA" w:rsidR="00417D95" w:rsidRPr="00077C25" w:rsidRDefault="0017796C" w:rsidP="00E3067C">
            <w:pPr>
              <w:spacing w:before="60" w:after="60" w:line="240" w:lineRule="auto"/>
              <w:ind w:left="157"/>
              <w:rPr>
                <w:rFonts w:asciiTheme="minorBidi" w:hAnsiTheme="minorBidi"/>
                <w:color w:val="232323" w:themeColor="text1"/>
                <w:sz w:val="20"/>
                <w:szCs w:val="20"/>
                <w:lang w:val="en-GB"/>
              </w:rPr>
            </w:pPr>
            <w:r>
              <w:rPr>
                <w:rFonts w:asciiTheme="minorBidi" w:hAnsiTheme="minorBidi"/>
                <w:color w:val="232323" w:themeColor="accent1"/>
                <w:sz w:val="20"/>
                <w:szCs w:val="20"/>
                <w:lang w:val="en-GB"/>
              </w:rPr>
              <w:t>In</w:t>
            </w:r>
            <w:r w:rsidR="00417D95" w:rsidRPr="00077C25">
              <w:rPr>
                <w:rFonts w:asciiTheme="minorBidi" w:hAnsiTheme="minorBidi"/>
                <w:color w:val="232323" w:themeColor="accent1"/>
                <w:sz w:val="20"/>
                <w:szCs w:val="20"/>
                <w:lang w:val="en-GB"/>
              </w:rPr>
              <w:t xml:space="preserve"> territories </w:t>
            </w:r>
            <w:r>
              <w:rPr>
                <w:rFonts w:asciiTheme="minorBidi" w:hAnsiTheme="minorBidi"/>
                <w:color w:val="232323" w:themeColor="accent1"/>
                <w:sz w:val="20"/>
                <w:szCs w:val="20"/>
                <w:lang w:val="en-GB"/>
              </w:rPr>
              <w:t>where</w:t>
            </w:r>
            <w:r w:rsidR="00417D95" w:rsidRPr="00077C25">
              <w:rPr>
                <w:rFonts w:asciiTheme="minorBidi" w:hAnsiTheme="minorBidi"/>
                <w:color w:val="232323" w:themeColor="accent1"/>
                <w:sz w:val="20"/>
                <w:szCs w:val="20"/>
                <w:lang w:val="en-GB"/>
              </w:rPr>
              <w:t xml:space="preserve"> serious problems </w:t>
            </w:r>
            <w:r>
              <w:rPr>
                <w:rFonts w:asciiTheme="minorBidi" w:hAnsiTheme="minorBidi"/>
                <w:color w:val="232323" w:themeColor="accent1"/>
                <w:sz w:val="20"/>
                <w:szCs w:val="20"/>
                <w:lang w:val="en-GB"/>
              </w:rPr>
              <w:t>linked to</w:t>
            </w:r>
            <w:r w:rsidRPr="00077C25">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short-term rent</w:t>
            </w:r>
            <w:r w:rsidR="003C2F15">
              <w:rPr>
                <w:rFonts w:asciiTheme="minorBidi" w:hAnsiTheme="minorBidi"/>
                <w:color w:val="232323" w:themeColor="accent1"/>
                <w:sz w:val="20"/>
                <w:szCs w:val="20"/>
                <w:lang w:val="en-GB"/>
              </w:rPr>
              <w:t>ing</w:t>
            </w:r>
            <w:r w:rsidR="00417D95" w:rsidRPr="00077C25">
              <w:rPr>
                <w:rFonts w:asciiTheme="minorBidi" w:hAnsiTheme="minorBidi"/>
                <w:color w:val="232323" w:themeColor="accent1"/>
                <w:sz w:val="20"/>
                <w:szCs w:val="20"/>
                <w:lang w:val="en-GB"/>
              </w:rPr>
              <w:t xml:space="preserve"> arise</w:t>
            </w:r>
            <w:r w:rsidR="003C2F15">
              <w:rPr>
                <w:rFonts w:asciiTheme="minorBidi" w:hAnsiTheme="minorBidi"/>
                <w:color w:val="232323" w:themeColor="accent1"/>
                <w:sz w:val="20"/>
                <w:szCs w:val="20"/>
                <w:lang w:val="en-GB"/>
              </w:rPr>
              <w:t>, local governments</w:t>
            </w:r>
            <w:r w:rsidR="00417D95" w:rsidRPr="00077C25">
              <w:rPr>
                <w:rFonts w:asciiTheme="minorBidi" w:hAnsiTheme="minorBidi"/>
                <w:color w:val="232323" w:themeColor="accent1"/>
                <w:sz w:val="20"/>
                <w:szCs w:val="20"/>
                <w:lang w:val="en-GB"/>
              </w:rPr>
              <w:t xml:space="preserve"> should </w:t>
            </w:r>
            <w:r w:rsidR="00151FE9" w:rsidRPr="00077C25">
              <w:rPr>
                <w:rFonts w:asciiTheme="minorBidi" w:hAnsiTheme="minorBidi"/>
                <w:color w:val="232323" w:themeColor="accent1"/>
                <w:sz w:val="20"/>
                <w:szCs w:val="20"/>
                <w:lang w:val="en-GB"/>
              </w:rPr>
              <w:t>analyse</w:t>
            </w:r>
            <w:r w:rsidR="00417D95" w:rsidRPr="00077C25">
              <w:rPr>
                <w:rFonts w:asciiTheme="minorBidi" w:hAnsiTheme="minorBidi"/>
                <w:color w:val="232323" w:themeColor="accent1"/>
                <w:sz w:val="20"/>
                <w:szCs w:val="20"/>
                <w:lang w:val="en-GB"/>
              </w:rPr>
              <w:t xml:space="preserve"> the </w:t>
            </w:r>
            <w:r w:rsidR="003C2F15">
              <w:rPr>
                <w:rFonts w:asciiTheme="minorBidi" w:hAnsiTheme="minorBidi"/>
                <w:color w:val="232323" w:themeColor="accent1"/>
                <w:sz w:val="20"/>
                <w:szCs w:val="20"/>
                <w:lang w:val="en-GB"/>
              </w:rPr>
              <w:t>scope</w:t>
            </w:r>
            <w:r w:rsidR="003C2F15" w:rsidRPr="00077C25">
              <w:rPr>
                <w:rFonts w:asciiTheme="minorBidi" w:hAnsiTheme="minorBidi"/>
                <w:color w:val="232323" w:themeColor="accent1"/>
                <w:sz w:val="20"/>
                <w:szCs w:val="20"/>
                <w:lang w:val="en-GB"/>
              </w:rPr>
              <w:t xml:space="preserve"> </w:t>
            </w:r>
            <w:r w:rsidR="00106B21">
              <w:rPr>
                <w:rFonts w:asciiTheme="minorBidi" w:hAnsiTheme="minorBidi"/>
                <w:color w:val="232323" w:themeColor="accent1"/>
                <w:sz w:val="20"/>
                <w:szCs w:val="20"/>
                <w:lang w:val="en-GB"/>
              </w:rPr>
              <w:t>for</w:t>
            </w:r>
            <w:r w:rsidR="00417D95" w:rsidRPr="00077C25">
              <w:rPr>
                <w:rFonts w:asciiTheme="minorBidi" w:hAnsiTheme="minorBidi"/>
                <w:color w:val="232323" w:themeColor="accent1"/>
                <w:sz w:val="20"/>
                <w:szCs w:val="20"/>
                <w:lang w:val="en-GB"/>
              </w:rPr>
              <w:t xml:space="preserve"> implementing incentive</w:t>
            </w:r>
            <w:r w:rsidR="00106B21">
              <w:rPr>
                <w:rFonts w:asciiTheme="minorBidi" w:hAnsiTheme="minorBidi"/>
                <w:color w:val="232323" w:themeColor="accent1"/>
                <w:sz w:val="20"/>
                <w:szCs w:val="20"/>
                <w:lang w:val="en-GB"/>
              </w:rPr>
              <w:t xml:space="preserve"> schemes</w:t>
            </w:r>
          </w:p>
        </w:tc>
        <w:tc>
          <w:tcPr>
            <w:tcW w:w="5490" w:type="dxa"/>
          </w:tcPr>
          <w:p w14:paraId="5EFBCF8C" w14:textId="1263C3B0" w:rsidR="00417D95" w:rsidRPr="00077C25" w:rsidRDefault="00417D95"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accent1"/>
                <w:sz w:val="20"/>
                <w:szCs w:val="20"/>
                <w:lang w:val="en-GB"/>
              </w:rPr>
              <w:t>Create financial incentives for apartment associations and real</w:t>
            </w:r>
            <w:r w:rsidR="00106B21">
              <w:rPr>
                <w:rFonts w:asciiTheme="minorBidi" w:hAnsiTheme="minorBidi"/>
                <w:color w:val="232323" w:themeColor="accent1"/>
                <w:sz w:val="20"/>
                <w:szCs w:val="20"/>
                <w:lang w:val="en-GB"/>
              </w:rPr>
              <w:t>-</w:t>
            </w:r>
            <w:r w:rsidRPr="00077C25">
              <w:rPr>
                <w:rFonts w:asciiTheme="minorBidi" w:hAnsiTheme="minorBidi"/>
                <w:color w:val="232323" w:themeColor="accent1"/>
                <w:sz w:val="20"/>
                <w:szCs w:val="20"/>
                <w:lang w:val="en-GB"/>
              </w:rPr>
              <w:t>estate developers</w:t>
            </w:r>
            <w:r w:rsidR="004468AE" w:rsidRPr="004468AE">
              <w:rPr>
                <w:rFonts w:asciiTheme="minorBidi" w:hAnsiTheme="minorBidi"/>
                <w:color w:val="232323" w:themeColor="accent1"/>
                <w:sz w:val="20"/>
                <w:szCs w:val="20"/>
                <w:lang w:val="en-GB"/>
              </w:rPr>
              <w:t>—</w:t>
            </w:r>
            <w:r w:rsidRPr="00077C25">
              <w:rPr>
                <w:rFonts w:asciiTheme="minorBidi" w:hAnsiTheme="minorBidi"/>
                <w:color w:val="232323" w:themeColor="accent1"/>
                <w:sz w:val="20"/>
                <w:szCs w:val="20"/>
                <w:lang w:val="en-GB"/>
              </w:rPr>
              <w:t xml:space="preserve">e.g. renovation grants </w:t>
            </w:r>
            <w:r w:rsidR="004468AE">
              <w:rPr>
                <w:rFonts w:asciiTheme="minorBidi" w:hAnsiTheme="minorBidi"/>
                <w:color w:val="232323" w:themeColor="accent1"/>
                <w:sz w:val="20"/>
                <w:szCs w:val="20"/>
                <w:lang w:val="en-GB"/>
              </w:rPr>
              <w:t>or neighbourhood</w:t>
            </w:r>
            <w:r w:rsidR="004468AE" w:rsidRPr="00077C25">
              <w:rPr>
                <w:rFonts w:asciiTheme="minorBidi" w:hAnsiTheme="minorBidi"/>
                <w:color w:val="232323" w:themeColor="accent1"/>
                <w:sz w:val="20"/>
                <w:szCs w:val="20"/>
                <w:lang w:val="en-GB"/>
              </w:rPr>
              <w:t xml:space="preserve"> </w:t>
            </w:r>
            <w:r w:rsidRPr="00077C25">
              <w:rPr>
                <w:rFonts w:asciiTheme="minorBidi" w:hAnsiTheme="minorBidi"/>
                <w:color w:val="232323" w:themeColor="accent1"/>
                <w:sz w:val="20"/>
                <w:szCs w:val="20"/>
                <w:lang w:val="en-GB"/>
              </w:rPr>
              <w:t>investment)</w:t>
            </w:r>
            <w:r w:rsidR="004468AE" w:rsidRPr="004468AE">
              <w:rPr>
                <w:rFonts w:asciiTheme="minorBidi" w:hAnsiTheme="minorBidi"/>
                <w:color w:val="232323" w:themeColor="accent1"/>
                <w:sz w:val="20"/>
                <w:szCs w:val="20"/>
                <w:lang w:val="en-GB"/>
              </w:rPr>
              <w:t>—</w:t>
            </w:r>
            <w:r w:rsidR="00215888">
              <w:rPr>
                <w:rFonts w:asciiTheme="minorBidi" w:hAnsiTheme="minorBidi"/>
                <w:color w:val="232323" w:themeColor="accent1"/>
                <w:sz w:val="20"/>
                <w:szCs w:val="20"/>
                <w:lang w:val="en-GB"/>
              </w:rPr>
              <w:t>to support</w:t>
            </w:r>
            <w:r w:rsidRPr="00077C25">
              <w:rPr>
                <w:rFonts w:asciiTheme="minorBidi" w:hAnsiTheme="minorBidi"/>
                <w:color w:val="232323" w:themeColor="accent1"/>
                <w:sz w:val="20"/>
                <w:szCs w:val="20"/>
                <w:lang w:val="en-GB"/>
              </w:rPr>
              <w:t xml:space="preserve"> compl</w:t>
            </w:r>
            <w:r w:rsidR="00215888">
              <w:rPr>
                <w:rFonts w:asciiTheme="minorBidi" w:hAnsiTheme="minorBidi"/>
                <w:color w:val="232323" w:themeColor="accent1"/>
                <w:sz w:val="20"/>
                <w:szCs w:val="20"/>
                <w:lang w:val="en-GB"/>
              </w:rPr>
              <w:t>iance</w:t>
            </w:r>
            <w:r w:rsidRPr="00077C25">
              <w:rPr>
                <w:rFonts w:asciiTheme="minorBidi" w:hAnsiTheme="minorBidi"/>
                <w:color w:val="232323" w:themeColor="accent1"/>
                <w:sz w:val="20"/>
                <w:szCs w:val="20"/>
                <w:lang w:val="en-GB"/>
              </w:rPr>
              <w:t xml:space="preserve"> with conditions </w:t>
            </w:r>
            <w:r w:rsidR="00215888">
              <w:rPr>
                <w:rFonts w:asciiTheme="minorBidi" w:hAnsiTheme="minorBidi"/>
                <w:color w:val="232323" w:themeColor="accent1"/>
                <w:sz w:val="20"/>
                <w:szCs w:val="20"/>
                <w:lang w:val="en-GB"/>
              </w:rPr>
              <w:t>that</w:t>
            </w:r>
            <w:r w:rsidRPr="00077C25">
              <w:rPr>
                <w:rFonts w:asciiTheme="minorBidi" w:hAnsiTheme="minorBidi"/>
                <w:color w:val="232323" w:themeColor="accent1"/>
                <w:sz w:val="20"/>
                <w:szCs w:val="20"/>
                <w:lang w:val="en-GB"/>
              </w:rPr>
              <w:t xml:space="preserve"> restrict short-term rent</w:t>
            </w:r>
            <w:r w:rsidR="00215888">
              <w:rPr>
                <w:rFonts w:asciiTheme="minorBidi" w:hAnsiTheme="minorBidi"/>
                <w:color w:val="232323" w:themeColor="accent1"/>
                <w:sz w:val="20"/>
                <w:szCs w:val="20"/>
                <w:lang w:val="en-GB"/>
              </w:rPr>
              <w:t>ing</w:t>
            </w:r>
          </w:p>
        </w:tc>
        <w:tc>
          <w:tcPr>
            <w:tcW w:w="1710" w:type="dxa"/>
          </w:tcPr>
          <w:p w14:paraId="7D561A47" w14:textId="77777777" w:rsidR="00417D95" w:rsidRPr="00077C25" w:rsidRDefault="00417D95"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text1"/>
                <w:sz w:val="20"/>
                <w:szCs w:val="20"/>
                <w:lang w:val="en-GB"/>
              </w:rPr>
              <w:t>Local governments</w:t>
            </w:r>
          </w:p>
        </w:tc>
      </w:tr>
      <w:tr w:rsidR="00417D95" w:rsidRPr="00077C25" w14:paraId="6D5BAC32" w14:textId="77777777" w:rsidTr="00CC7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5" w:type="dxa"/>
            <w:gridSpan w:val="3"/>
            <w:shd w:val="clear" w:color="auto" w:fill="E6E6E6" w:themeFill="accent3"/>
          </w:tcPr>
          <w:p w14:paraId="53D35473" w14:textId="1856F3DB" w:rsidR="00417D95" w:rsidRPr="00077C25" w:rsidRDefault="00417D95" w:rsidP="00077C25">
            <w:pPr>
              <w:pStyle w:val="Heading3"/>
              <w:numPr>
                <w:ilvl w:val="0"/>
                <w:numId w:val="0"/>
              </w:numPr>
              <w:spacing w:before="60" w:after="60" w:line="240" w:lineRule="auto"/>
              <w:ind w:left="504" w:hanging="504"/>
              <w:rPr>
                <w:rFonts w:asciiTheme="minorBidi" w:hAnsiTheme="minorBidi" w:cstheme="minorBidi"/>
                <w:color w:val="232323" w:themeColor="text1"/>
                <w:sz w:val="20"/>
                <w:szCs w:val="20"/>
                <w:lang w:val="en-GB"/>
              </w:rPr>
            </w:pPr>
            <w:bookmarkStart w:id="52" w:name="_Toc208989861"/>
            <w:bookmarkStart w:id="53" w:name="_Toc208991579"/>
            <w:r w:rsidRPr="00077C25">
              <w:rPr>
                <w:rFonts w:asciiTheme="minorBidi" w:hAnsiTheme="minorBidi" w:cstheme="minorBidi"/>
                <w:color w:val="232323" w:themeColor="accent1"/>
                <w:sz w:val="20"/>
                <w:szCs w:val="20"/>
                <w:lang w:val="en-GB"/>
              </w:rPr>
              <w:t xml:space="preserve">Providing new legal </w:t>
            </w:r>
            <w:r w:rsidR="00D214A7">
              <w:rPr>
                <w:rFonts w:asciiTheme="minorBidi" w:hAnsiTheme="minorBidi" w:cstheme="minorBidi"/>
                <w:color w:val="232323" w:themeColor="accent1"/>
                <w:sz w:val="20"/>
                <w:szCs w:val="20"/>
                <w:lang w:val="en-GB"/>
              </w:rPr>
              <w:t>options</w:t>
            </w:r>
            <w:r w:rsidR="00D214A7" w:rsidRPr="00077C25">
              <w:rPr>
                <w:rFonts w:asciiTheme="minorBidi" w:hAnsiTheme="minorBidi" w:cstheme="minorBidi"/>
                <w:color w:val="232323" w:themeColor="accent1"/>
                <w:sz w:val="20"/>
                <w:szCs w:val="20"/>
                <w:lang w:val="en-GB"/>
              </w:rPr>
              <w:t xml:space="preserve"> </w:t>
            </w:r>
            <w:r w:rsidRPr="00077C25">
              <w:rPr>
                <w:rFonts w:asciiTheme="minorBidi" w:hAnsiTheme="minorBidi" w:cstheme="minorBidi"/>
                <w:color w:val="232323" w:themeColor="accent1"/>
                <w:sz w:val="20"/>
                <w:szCs w:val="20"/>
                <w:lang w:val="en-GB"/>
              </w:rPr>
              <w:t>for local governments</w:t>
            </w:r>
            <w:bookmarkEnd w:id="52"/>
            <w:bookmarkEnd w:id="53"/>
            <w:r w:rsidRPr="00077C25">
              <w:rPr>
                <w:rFonts w:asciiTheme="minorBidi" w:hAnsiTheme="minorBidi" w:cstheme="minorBidi"/>
                <w:color w:val="232323" w:themeColor="accent1"/>
                <w:sz w:val="20"/>
                <w:szCs w:val="20"/>
                <w:lang w:val="en-GB"/>
              </w:rPr>
              <w:t xml:space="preserve"> </w:t>
            </w:r>
          </w:p>
        </w:tc>
      </w:tr>
      <w:tr w:rsidR="006B1E5D" w:rsidRPr="00077C25" w14:paraId="60C011DE" w14:textId="77777777" w:rsidTr="00CC743F">
        <w:tc>
          <w:tcPr>
            <w:cnfStyle w:val="001000000000" w:firstRow="0" w:lastRow="0" w:firstColumn="1" w:lastColumn="0" w:oddVBand="0" w:evenVBand="0" w:oddHBand="0" w:evenHBand="0" w:firstRowFirstColumn="0" w:firstRowLastColumn="0" w:lastRowFirstColumn="0" w:lastRowLastColumn="0"/>
            <w:tcW w:w="2695" w:type="dxa"/>
          </w:tcPr>
          <w:p w14:paraId="70E9F3FF" w14:textId="2DD740BA" w:rsidR="00417D95" w:rsidRPr="00077C25" w:rsidRDefault="00417D95" w:rsidP="00E3067C">
            <w:pPr>
              <w:spacing w:before="60" w:after="60" w:line="240" w:lineRule="auto"/>
              <w:ind w:left="157"/>
              <w:rPr>
                <w:rFonts w:asciiTheme="minorBidi" w:hAnsiTheme="minorBidi"/>
                <w:color w:val="232323" w:themeColor="text1"/>
                <w:sz w:val="20"/>
                <w:szCs w:val="20"/>
                <w:lang w:val="en-GB"/>
              </w:rPr>
            </w:pPr>
            <w:r w:rsidRPr="00077C25">
              <w:rPr>
                <w:rFonts w:asciiTheme="minorBidi" w:hAnsiTheme="minorBidi"/>
                <w:color w:val="232323" w:themeColor="accent1"/>
                <w:sz w:val="20"/>
                <w:szCs w:val="20"/>
                <w:lang w:val="en-GB"/>
              </w:rPr>
              <w:t>Create a legal basis for local</w:t>
            </w:r>
            <w:r w:rsidR="00D214A7">
              <w:rPr>
                <w:rFonts w:asciiTheme="minorBidi" w:hAnsiTheme="minorBidi"/>
                <w:color w:val="232323" w:themeColor="accent1"/>
                <w:sz w:val="20"/>
                <w:szCs w:val="20"/>
                <w:lang w:val="en-GB"/>
              </w:rPr>
              <w:t>-level</w:t>
            </w:r>
            <w:r w:rsidRPr="00077C25">
              <w:rPr>
                <w:rFonts w:asciiTheme="minorBidi" w:hAnsiTheme="minorBidi"/>
                <w:color w:val="232323" w:themeColor="accent1"/>
                <w:sz w:val="20"/>
                <w:szCs w:val="20"/>
                <w:lang w:val="en-GB"/>
              </w:rPr>
              <w:t xml:space="preserve"> regulation to guide the provision of short-term rental market services in </w:t>
            </w:r>
            <w:r w:rsidR="00152D18">
              <w:rPr>
                <w:rFonts w:asciiTheme="minorBidi" w:hAnsiTheme="minorBidi"/>
                <w:color w:val="232323" w:themeColor="accent1"/>
                <w:sz w:val="20"/>
                <w:szCs w:val="20"/>
                <w:lang w:val="en-GB"/>
              </w:rPr>
              <w:t xml:space="preserve">order to </w:t>
            </w:r>
            <w:r w:rsidRPr="00077C25">
              <w:rPr>
                <w:rFonts w:asciiTheme="minorBidi" w:hAnsiTheme="minorBidi"/>
                <w:color w:val="232323" w:themeColor="accent1"/>
                <w:sz w:val="20"/>
                <w:szCs w:val="20"/>
                <w:lang w:val="en-GB"/>
              </w:rPr>
              <w:t>protect residents</w:t>
            </w:r>
            <w:r w:rsidR="003B2550" w:rsidRPr="003B2550">
              <w:rPr>
                <w:rFonts w:asciiTheme="minorBidi" w:hAnsiTheme="minorBidi"/>
                <w:color w:val="232323" w:themeColor="accent1"/>
                <w:sz w:val="20"/>
                <w:szCs w:val="20"/>
                <w:lang w:val="en-GB"/>
              </w:rPr>
              <w:t>’</w:t>
            </w:r>
            <w:r w:rsidR="003B2550">
              <w:rPr>
                <w:rFonts w:asciiTheme="minorBidi" w:hAnsiTheme="minorBidi"/>
                <w:color w:val="232323" w:themeColor="accent1"/>
                <w:sz w:val="20"/>
                <w:szCs w:val="20"/>
                <w:lang w:val="en-GB"/>
              </w:rPr>
              <w:t xml:space="preserve"> interests</w:t>
            </w:r>
            <w:r w:rsidRPr="00077C25">
              <w:rPr>
                <w:rFonts w:asciiTheme="minorBidi" w:hAnsiTheme="minorBidi"/>
                <w:color w:val="232323" w:themeColor="accent1"/>
                <w:sz w:val="20"/>
                <w:szCs w:val="20"/>
                <w:lang w:val="en-GB"/>
              </w:rPr>
              <w:t xml:space="preserve"> and </w:t>
            </w:r>
            <w:r w:rsidR="003B2550">
              <w:rPr>
                <w:rFonts w:asciiTheme="minorBidi" w:hAnsiTheme="minorBidi"/>
                <w:color w:val="232323" w:themeColor="accent1"/>
                <w:sz w:val="20"/>
                <w:szCs w:val="20"/>
                <w:lang w:val="en-GB"/>
              </w:rPr>
              <w:t>enable</w:t>
            </w:r>
            <w:r w:rsidRPr="00077C25">
              <w:rPr>
                <w:rFonts w:asciiTheme="minorBidi" w:hAnsiTheme="minorBidi"/>
                <w:color w:val="232323" w:themeColor="accent1"/>
                <w:sz w:val="20"/>
                <w:szCs w:val="20"/>
                <w:lang w:val="en-GB"/>
              </w:rPr>
              <w:t xml:space="preserve"> local government</w:t>
            </w:r>
            <w:r w:rsidR="003B2550">
              <w:rPr>
                <w:rFonts w:asciiTheme="minorBidi" w:hAnsiTheme="minorBidi"/>
                <w:color w:val="232323" w:themeColor="accent1"/>
                <w:sz w:val="20"/>
                <w:szCs w:val="20"/>
                <w:lang w:val="en-GB"/>
              </w:rPr>
              <w:t>s to fulfil their tasks</w:t>
            </w:r>
          </w:p>
        </w:tc>
        <w:tc>
          <w:tcPr>
            <w:tcW w:w="5490" w:type="dxa"/>
          </w:tcPr>
          <w:p w14:paraId="5A4264F6" w14:textId="0DFFA84D" w:rsidR="00417D95" w:rsidRPr="00077C25" w:rsidRDefault="00417D95"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text1"/>
                <w:sz w:val="20"/>
                <w:szCs w:val="20"/>
                <w:lang w:val="en-GB"/>
              </w:rPr>
              <w:t xml:space="preserve">Establish the right for local governments to </w:t>
            </w:r>
            <w:r w:rsidR="003B2550" w:rsidRPr="003B2550">
              <w:rPr>
                <w:rFonts w:asciiTheme="minorBidi" w:hAnsiTheme="minorBidi"/>
                <w:color w:val="232323" w:themeColor="text1"/>
                <w:sz w:val="20"/>
                <w:szCs w:val="20"/>
                <w:lang w:val="en-GB"/>
              </w:rPr>
              <w:t>require</w:t>
            </w:r>
            <w:r w:rsidR="00EF3024">
              <w:rPr>
                <w:rFonts w:asciiTheme="minorBidi" w:hAnsiTheme="minorBidi"/>
                <w:color w:val="232323" w:themeColor="text1"/>
                <w:sz w:val="20"/>
                <w:szCs w:val="20"/>
                <w:lang w:val="en-GB"/>
              </w:rPr>
              <w:t xml:space="preserve"> </w:t>
            </w:r>
            <w:r w:rsidRPr="00077C25">
              <w:rPr>
                <w:rFonts w:asciiTheme="minorBidi" w:hAnsiTheme="minorBidi"/>
                <w:color w:val="232323" w:themeColor="text1"/>
                <w:sz w:val="20"/>
                <w:szCs w:val="20"/>
                <w:lang w:val="en-GB"/>
              </w:rPr>
              <w:t xml:space="preserve">notification or registration </w:t>
            </w:r>
            <w:r w:rsidR="00EF3024">
              <w:rPr>
                <w:rFonts w:asciiTheme="minorBidi" w:hAnsiTheme="minorBidi"/>
                <w:color w:val="232323" w:themeColor="text1"/>
                <w:sz w:val="20"/>
                <w:szCs w:val="20"/>
                <w:lang w:val="en-GB"/>
              </w:rPr>
              <w:t>by</w:t>
            </w:r>
            <w:r w:rsidRPr="00077C25">
              <w:rPr>
                <w:rFonts w:asciiTheme="minorBidi" w:hAnsiTheme="minorBidi"/>
                <w:color w:val="232323" w:themeColor="text1"/>
                <w:sz w:val="20"/>
                <w:szCs w:val="20"/>
                <w:lang w:val="en-GB"/>
              </w:rPr>
              <w:t xml:space="preserve"> short-term rental service providers</w:t>
            </w:r>
            <w:r w:rsidR="00151FE9">
              <w:rPr>
                <w:rFonts w:asciiTheme="minorBidi" w:hAnsiTheme="minorBidi"/>
                <w:color w:val="232323" w:themeColor="text1"/>
                <w:sz w:val="20"/>
                <w:szCs w:val="20"/>
                <w:lang w:val="en-GB"/>
              </w:rPr>
              <w:t>.</w:t>
            </w:r>
          </w:p>
          <w:p w14:paraId="40281DCA" w14:textId="2A3B8E22" w:rsidR="00417D95" w:rsidRPr="00077C25" w:rsidRDefault="00417D95"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text1"/>
                <w:sz w:val="20"/>
                <w:szCs w:val="20"/>
                <w:lang w:val="en-GB"/>
              </w:rPr>
              <w:t xml:space="preserve">Add to the Local Taxes Act the </w:t>
            </w:r>
            <w:r w:rsidR="00985743">
              <w:rPr>
                <w:rFonts w:asciiTheme="minorBidi" w:hAnsiTheme="minorBidi"/>
                <w:color w:val="232323" w:themeColor="text1"/>
                <w:sz w:val="20"/>
                <w:szCs w:val="20"/>
                <w:lang w:val="en-GB"/>
              </w:rPr>
              <w:t>option to</w:t>
            </w:r>
            <w:r w:rsidRPr="00077C25">
              <w:rPr>
                <w:rFonts w:asciiTheme="minorBidi" w:hAnsiTheme="minorBidi"/>
                <w:color w:val="232323" w:themeColor="text1"/>
                <w:sz w:val="20"/>
                <w:szCs w:val="20"/>
                <w:lang w:val="en-GB"/>
              </w:rPr>
              <w:t xml:space="preserve"> </w:t>
            </w:r>
            <w:r w:rsidR="00985743">
              <w:rPr>
                <w:rFonts w:asciiTheme="minorBidi" w:hAnsiTheme="minorBidi"/>
                <w:color w:val="232323" w:themeColor="text1"/>
                <w:sz w:val="20"/>
                <w:szCs w:val="20"/>
                <w:lang w:val="en-GB"/>
              </w:rPr>
              <w:t>levy</w:t>
            </w:r>
            <w:r w:rsidRPr="00077C25">
              <w:rPr>
                <w:rFonts w:asciiTheme="minorBidi" w:hAnsiTheme="minorBidi"/>
                <w:color w:val="232323" w:themeColor="text1"/>
                <w:sz w:val="20"/>
                <w:szCs w:val="20"/>
                <w:lang w:val="en-GB"/>
              </w:rPr>
              <w:t xml:space="preserve"> a fee for accommodation services </w:t>
            </w:r>
            <w:r w:rsidR="00BB07E6">
              <w:rPr>
                <w:rFonts w:asciiTheme="minorBidi" w:hAnsiTheme="minorBidi"/>
                <w:color w:val="232323" w:themeColor="text1"/>
                <w:sz w:val="20"/>
                <w:szCs w:val="20"/>
                <w:lang w:val="en-GB"/>
              </w:rPr>
              <w:t xml:space="preserve">provided </w:t>
            </w:r>
            <w:r w:rsidRPr="00077C25">
              <w:rPr>
                <w:rFonts w:asciiTheme="minorBidi" w:hAnsiTheme="minorBidi"/>
                <w:color w:val="232323" w:themeColor="text1"/>
                <w:sz w:val="20"/>
                <w:szCs w:val="20"/>
                <w:lang w:val="en-GB"/>
              </w:rPr>
              <w:t>in residential premises</w:t>
            </w:r>
            <w:r w:rsidR="00151FE9">
              <w:rPr>
                <w:rFonts w:asciiTheme="minorBidi" w:hAnsiTheme="minorBidi"/>
                <w:color w:val="232323" w:themeColor="text1"/>
                <w:sz w:val="20"/>
                <w:szCs w:val="20"/>
                <w:lang w:val="en-GB"/>
              </w:rPr>
              <w:t>.</w:t>
            </w:r>
          </w:p>
          <w:p w14:paraId="5E0BA1DA" w14:textId="5E99CBD7" w:rsidR="00417D95" w:rsidRPr="00077C25" w:rsidRDefault="00AD654E"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Pr>
                <w:rFonts w:asciiTheme="minorBidi" w:hAnsiTheme="minorBidi"/>
                <w:color w:val="232323" w:themeColor="accent1"/>
                <w:sz w:val="20"/>
                <w:szCs w:val="20"/>
                <w:lang w:val="en-GB"/>
              </w:rPr>
              <w:t>Provide</w:t>
            </w:r>
            <w:r w:rsidRPr="00077C25">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 xml:space="preserve">legal </w:t>
            </w:r>
            <w:r>
              <w:rPr>
                <w:rFonts w:asciiTheme="minorBidi" w:hAnsiTheme="minorBidi"/>
                <w:color w:val="232323" w:themeColor="accent1"/>
                <w:sz w:val="20"/>
                <w:szCs w:val="20"/>
                <w:lang w:val="en-GB"/>
              </w:rPr>
              <w:t>options</w:t>
            </w:r>
            <w:r w:rsidRPr="00077C25">
              <w:rPr>
                <w:rFonts w:asciiTheme="minorBidi" w:hAnsiTheme="minorBidi"/>
                <w:color w:val="232323" w:themeColor="accent1"/>
                <w:sz w:val="20"/>
                <w:szCs w:val="20"/>
                <w:lang w:val="en-GB"/>
              </w:rPr>
              <w:t xml:space="preserve"> </w:t>
            </w:r>
            <w:r w:rsidR="00417D95" w:rsidRPr="00077C25">
              <w:rPr>
                <w:rFonts w:asciiTheme="minorBidi" w:hAnsiTheme="minorBidi"/>
                <w:color w:val="232323" w:themeColor="accent1"/>
                <w:sz w:val="20"/>
                <w:szCs w:val="20"/>
                <w:lang w:val="en-GB"/>
              </w:rPr>
              <w:t>for local governments to issue regional guid</w:t>
            </w:r>
            <w:r>
              <w:rPr>
                <w:rFonts w:asciiTheme="minorBidi" w:hAnsiTheme="minorBidi"/>
                <w:color w:val="232323" w:themeColor="accent1"/>
                <w:sz w:val="20"/>
                <w:szCs w:val="20"/>
                <w:lang w:val="en-GB"/>
              </w:rPr>
              <w:t>ance</w:t>
            </w:r>
            <w:r w:rsidR="00417D95" w:rsidRPr="00077C25">
              <w:rPr>
                <w:rFonts w:asciiTheme="minorBidi" w:hAnsiTheme="minorBidi"/>
                <w:color w:val="232323" w:themeColor="accent1"/>
                <w:sz w:val="20"/>
                <w:szCs w:val="20"/>
                <w:lang w:val="en-GB"/>
              </w:rPr>
              <w:t xml:space="preserve"> or </w:t>
            </w:r>
            <w:r>
              <w:rPr>
                <w:rFonts w:asciiTheme="minorBidi" w:hAnsiTheme="minorBidi"/>
                <w:color w:val="232323" w:themeColor="accent1"/>
                <w:sz w:val="20"/>
                <w:szCs w:val="20"/>
                <w:lang w:val="en-GB"/>
              </w:rPr>
              <w:t>apply</w:t>
            </w:r>
            <w:r w:rsidR="00417D95" w:rsidRPr="00077C25">
              <w:rPr>
                <w:rFonts w:asciiTheme="minorBidi" w:hAnsiTheme="minorBidi"/>
                <w:color w:val="232323" w:themeColor="accent1"/>
                <w:sz w:val="20"/>
                <w:szCs w:val="20"/>
                <w:lang w:val="en-GB"/>
              </w:rPr>
              <w:t xml:space="preserve"> restrictions on </w:t>
            </w:r>
            <w:r w:rsidR="00CB310B">
              <w:rPr>
                <w:rFonts w:asciiTheme="minorBidi" w:hAnsiTheme="minorBidi"/>
                <w:color w:val="232323" w:themeColor="accent1"/>
                <w:sz w:val="20"/>
                <w:szCs w:val="20"/>
                <w:lang w:val="en-GB"/>
              </w:rPr>
              <w:t>providing</w:t>
            </w:r>
            <w:r w:rsidR="00417D95" w:rsidRPr="00077C25">
              <w:rPr>
                <w:rFonts w:asciiTheme="minorBidi" w:hAnsiTheme="minorBidi"/>
                <w:color w:val="232323" w:themeColor="accent1"/>
                <w:sz w:val="20"/>
                <w:szCs w:val="20"/>
                <w:lang w:val="en-GB"/>
              </w:rPr>
              <w:t xml:space="preserve"> accommodation services in residential premises</w:t>
            </w:r>
            <w:r w:rsidR="00151FE9">
              <w:rPr>
                <w:rFonts w:asciiTheme="minorBidi" w:hAnsiTheme="minorBidi"/>
                <w:color w:val="232323" w:themeColor="accent1"/>
                <w:sz w:val="20"/>
                <w:szCs w:val="20"/>
                <w:lang w:val="en-GB"/>
              </w:rPr>
              <w:t>.</w:t>
            </w:r>
          </w:p>
          <w:p w14:paraId="7F4D0F5E" w14:textId="56BE793E" w:rsidR="00417D95" w:rsidRPr="00077C25" w:rsidRDefault="00417D95"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accent1"/>
                <w:sz w:val="20"/>
                <w:szCs w:val="20"/>
                <w:lang w:val="en-GB"/>
              </w:rPr>
              <w:t>Along</w:t>
            </w:r>
            <w:r w:rsidR="00CB310B">
              <w:rPr>
                <w:rFonts w:asciiTheme="minorBidi" w:hAnsiTheme="minorBidi"/>
                <w:color w:val="232323" w:themeColor="accent1"/>
                <w:sz w:val="20"/>
                <w:szCs w:val="20"/>
                <w:lang w:val="en-GB"/>
              </w:rPr>
              <w:t>side</w:t>
            </w:r>
            <w:r w:rsidRPr="00077C25">
              <w:rPr>
                <w:rFonts w:asciiTheme="minorBidi" w:hAnsiTheme="minorBidi"/>
                <w:color w:val="232323" w:themeColor="accent1"/>
                <w:sz w:val="20"/>
                <w:szCs w:val="20"/>
                <w:lang w:val="en-GB"/>
              </w:rPr>
              <w:t xml:space="preserve"> </w:t>
            </w:r>
            <w:r w:rsidR="00AD3461">
              <w:rPr>
                <w:rFonts w:asciiTheme="minorBidi" w:hAnsiTheme="minorBidi"/>
                <w:color w:val="232323" w:themeColor="accent1"/>
                <w:sz w:val="20"/>
                <w:szCs w:val="20"/>
                <w:lang w:val="en-GB"/>
              </w:rPr>
              <w:t>powers</w:t>
            </w:r>
            <w:r w:rsidRPr="00077C25">
              <w:rPr>
                <w:rFonts w:asciiTheme="minorBidi" w:hAnsiTheme="minorBidi"/>
                <w:color w:val="232323" w:themeColor="accent1"/>
                <w:sz w:val="20"/>
                <w:szCs w:val="20"/>
                <w:lang w:val="en-GB"/>
              </w:rPr>
              <w:t xml:space="preserve"> to impose restrictions or fees, </w:t>
            </w:r>
            <w:r w:rsidR="00AD3461">
              <w:rPr>
                <w:rFonts w:asciiTheme="minorBidi" w:hAnsiTheme="minorBidi"/>
                <w:color w:val="232323" w:themeColor="accent1"/>
                <w:sz w:val="20"/>
                <w:szCs w:val="20"/>
                <w:lang w:val="en-GB"/>
              </w:rPr>
              <w:t>allow</w:t>
            </w:r>
            <w:r w:rsidR="00AD3461" w:rsidRPr="00077C25">
              <w:rPr>
                <w:rFonts w:asciiTheme="minorBidi" w:hAnsiTheme="minorBidi"/>
                <w:color w:val="232323" w:themeColor="accent1"/>
                <w:sz w:val="20"/>
                <w:szCs w:val="20"/>
                <w:lang w:val="en-GB"/>
              </w:rPr>
              <w:t xml:space="preserve"> </w:t>
            </w:r>
            <w:r w:rsidRPr="00077C25">
              <w:rPr>
                <w:rFonts w:asciiTheme="minorBidi" w:hAnsiTheme="minorBidi"/>
                <w:color w:val="232323" w:themeColor="accent1"/>
                <w:sz w:val="20"/>
                <w:szCs w:val="20"/>
                <w:lang w:val="en-GB"/>
              </w:rPr>
              <w:t xml:space="preserve">more </w:t>
            </w:r>
            <w:r w:rsidR="00077C25" w:rsidRPr="00077C25">
              <w:rPr>
                <w:rFonts w:asciiTheme="minorBidi" w:hAnsiTheme="minorBidi"/>
                <w:color w:val="232323" w:themeColor="accent1"/>
                <w:sz w:val="20"/>
                <w:szCs w:val="20"/>
                <w:lang w:val="en-GB"/>
              </w:rPr>
              <w:t>favourable</w:t>
            </w:r>
            <w:r w:rsidRPr="00077C25">
              <w:rPr>
                <w:rFonts w:asciiTheme="minorBidi" w:hAnsiTheme="minorBidi"/>
                <w:color w:val="232323" w:themeColor="accent1"/>
                <w:sz w:val="20"/>
                <w:szCs w:val="20"/>
                <w:lang w:val="en-GB"/>
              </w:rPr>
              <w:t xml:space="preserve"> conditions to those who provide services in their primary residence.</w:t>
            </w:r>
          </w:p>
          <w:p w14:paraId="4A538DEC" w14:textId="3C79E0CE" w:rsidR="00417D95" w:rsidRPr="00077C25" w:rsidRDefault="00417D95"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text1"/>
                <w:sz w:val="20"/>
                <w:szCs w:val="20"/>
                <w:lang w:val="en-GB"/>
              </w:rPr>
              <w:t>Grant local governments the right to extend land</w:t>
            </w:r>
            <w:r w:rsidR="000E2D6B">
              <w:rPr>
                <w:rFonts w:asciiTheme="minorBidi" w:hAnsiTheme="minorBidi"/>
                <w:color w:val="232323" w:themeColor="text1"/>
                <w:sz w:val="20"/>
                <w:szCs w:val="20"/>
                <w:lang w:val="en-GB"/>
              </w:rPr>
              <w:t>-</w:t>
            </w:r>
            <w:r w:rsidRPr="00077C25">
              <w:rPr>
                <w:rFonts w:asciiTheme="minorBidi" w:hAnsiTheme="minorBidi"/>
                <w:color w:val="232323" w:themeColor="text1"/>
                <w:sz w:val="20"/>
                <w:szCs w:val="20"/>
                <w:lang w:val="en-GB"/>
              </w:rPr>
              <w:t>tax exemption</w:t>
            </w:r>
            <w:r w:rsidR="000E2D6B">
              <w:rPr>
                <w:rFonts w:asciiTheme="minorBidi" w:hAnsiTheme="minorBidi"/>
                <w:color w:val="232323" w:themeColor="text1"/>
                <w:sz w:val="20"/>
                <w:szCs w:val="20"/>
                <w:lang w:val="en-GB"/>
              </w:rPr>
              <w:t>s</w:t>
            </w:r>
            <w:r w:rsidRPr="00077C25">
              <w:rPr>
                <w:rFonts w:asciiTheme="minorBidi" w:hAnsiTheme="minorBidi"/>
                <w:color w:val="232323" w:themeColor="text1"/>
                <w:sz w:val="20"/>
                <w:szCs w:val="20"/>
                <w:lang w:val="en-GB"/>
              </w:rPr>
              <w:t xml:space="preserve"> </w:t>
            </w:r>
            <w:r w:rsidR="000E2D6B">
              <w:rPr>
                <w:rFonts w:asciiTheme="minorBidi" w:hAnsiTheme="minorBidi"/>
                <w:color w:val="232323" w:themeColor="text1"/>
                <w:sz w:val="20"/>
                <w:szCs w:val="20"/>
                <w:lang w:val="en-GB"/>
              </w:rPr>
              <w:t>where</w:t>
            </w:r>
            <w:r w:rsidRPr="00077C25">
              <w:rPr>
                <w:rFonts w:asciiTheme="minorBidi" w:hAnsiTheme="minorBidi"/>
                <w:color w:val="232323" w:themeColor="text1"/>
                <w:sz w:val="20"/>
                <w:szCs w:val="20"/>
                <w:lang w:val="en-GB"/>
              </w:rPr>
              <w:t xml:space="preserve"> residential premises</w:t>
            </w:r>
            <w:r w:rsidR="00107CCA">
              <w:rPr>
                <w:rFonts w:asciiTheme="minorBidi" w:hAnsiTheme="minorBidi"/>
                <w:color w:val="232323" w:themeColor="text1"/>
                <w:sz w:val="20"/>
                <w:szCs w:val="20"/>
                <w:lang w:val="en-GB"/>
              </w:rPr>
              <w:t xml:space="preserve"> </w:t>
            </w:r>
            <w:r w:rsidR="00107CCA" w:rsidRPr="00107CCA">
              <w:rPr>
                <w:rFonts w:asciiTheme="minorBidi" w:hAnsiTheme="minorBidi"/>
                <w:color w:val="232323" w:themeColor="text1"/>
                <w:sz w:val="20"/>
                <w:szCs w:val="20"/>
                <w:lang w:val="en-GB"/>
              </w:rPr>
              <w:t>are let on a long-term basis</w:t>
            </w:r>
            <w:r w:rsidR="00BB07E6">
              <w:rPr>
                <w:rFonts w:asciiTheme="minorBidi" w:hAnsiTheme="minorBidi"/>
                <w:color w:val="232323" w:themeColor="text1"/>
                <w:sz w:val="20"/>
                <w:szCs w:val="20"/>
                <w:lang w:val="en-GB"/>
              </w:rPr>
              <w:t>.</w:t>
            </w:r>
          </w:p>
        </w:tc>
        <w:tc>
          <w:tcPr>
            <w:tcW w:w="1710" w:type="dxa"/>
          </w:tcPr>
          <w:p w14:paraId="02786B7B" w14:textId="0B025233" w:rsidR="00417D95" w:rsidRPr="00077C25" w:rsidRDefault="00151FE9" w:rsidP="00E3067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232323" w:themeColor="text1"/>
                <w:sz w:val="20"/>
                <w:szCs w:val="20"/>
                <w:lang w:val="en-GB"/>
              </w:rPr>
            </w:pPr>
            <w:r w:rsidRPr="00077C25">
              <w:rPr>
                <w:rFonts w:asciiTheme="minorBidi" w:hAnsiTheme="minorBidi"/>
                <w:color w:val="232323" w:themeColor="accent1"/>
                <w:sz w:val="20"/>
                <w:szCs w:val="20"/>
                <w:lang w:val="en-GB"/>
              </w:rPr>
              <w:t xml:space="preserve">Ministry of </w:t>
            </w:r>
            <w:r>
              <w:rPr>
                <w:rFonts w:asciiTheme="minorBidi" w:hAnsiTheme="minorBidi"/>
                <w:color w:val="232323" w:themeColor="accent1"/>
                <w:sz w:val="20"/>
                <w:szCs w:val="20"/>
                <w:lang w:val="en-GB"/>
              </w:rPr>
              <w:t>Economic Affairs and Communication</w:t>
            </w:r>
            <w:r w:rsidR="003B2550">
              <w:rPr>
                <w:rFonts w:asciiTheme="minorBidi" w:hAnsiTheme="minorBidi"/>
                <w:color w:val="232323" w:themeColor="accent1"/>
                <w:sz w:val="20"/>
                <w:szCs w:val="20"/>
                <w:lang w:val="en-GB"/>
              </w:rPr>
              <w:t>;</w:t>
            </w:r>
            <w:r>
              <w:rPr>
                <w:rFonts w:asciiTheme="minorBidi" w:hAnsiTheme="minorBidi"/>
                <w:color w:val="232323" w:themeColor="accent1"/>
                <w:sz w:val="20"/>
                <w:szCs w:val="20"/>
                <w:lang w:val="en-GB"/>
              </w:rPr>
              <w:t xml:space="preserve"> Ministry of Finance</w:t>
            </w:r>
            <w:r w:rsidR="003B2550">
              <w:rPr>
                <w:rFonts w:asciiTheme="minorBidi" w:hAnsiTheme="minorBidi"/>
                <w:color w:val="232323" w:themeColor="accent1"/>
                <w:sz w:val="20"/>
                <w:szCs w:val="20"/>
                <w:lang w:val="en-GB"/>
              </w:rPr>
              <w:t>;</w:t>
            </w:r>
            <w:r>
              <w:rPr>
                <w:rFonts w:asciiTheme="minorBidi" w:hAnsiTheme="minorBidi"/>
                <w:color w:val="232323" w:themeColor="accent1"/>
                <w:sz w:val="20"/>
                <w:szCs w:val="20"/>
                <w:lang w:val="en-GB"/>
              </w:rPr>
              <w:t xml:space="preserve"> </w:t>
            </w:r>
            <w:r w:rsidR="002D3D51">
              <w:rPr>
                <w:rFonts w:asciiTheme="minorBidi" w:hAnsiTheme="minorBidi"/>
                <w:color w:val="232323" w:themeColor="accent1"/>
                <w:sz w:val="20"/>
                <w:szCs w:val="20"/>
                <w:lang w:val="en-GB"/>
              </w:rPr>
              <w:t>Ministry of Regional Affairs and Agriculture</w:t>
            </w:r>
          </w:p>
        </w:tc>
      </w:tr>
    </w:tbl>
    <w:p w14:paraId="3EE48737" w14:textId="025CD9B7" w:rsidR="00D43AF8" w:rsidRDefault="00D43AF8" w:rsidP="004F4DBB">
      <w:pPr>
        <w:rPr>
          <w:lang w:val="en-GB"/>
        </w:rPr>
      </w:pPr>
    </w:p>
    <w:p w14:paraId="176727E3" w14:textId="77777777" w:rsidR="00252FF6" w:rsidRDefault="00252FF6">
      <w:pPr>
        <w:spacing w:before="0" w:line="259" w:lineRule="auto"/>
        <w:rPr>
          <w:lang w:val="en-GB"/>
        </w:rPr>
      </w:pPr>
      <w:r>
        <w:rPr>
          <w:lang w:val="en-GB"/>
        </w:rPr>
        <w:br w:type="page"/>
      </w:r>
    </w:p>
    <w:p w14:paraId="15F4D743" w14:textId="31863976" w:rsidR="004F4DBB" w:rsidRPr="00E14EBC" w:rsidRDefault="00F57C2A" w:rsidP="00D32FE7">
      <w:pPr>
        <w:pStyle w:val="Heading1"/>
        <w:numPr>
          <w:ilvl w:val="0"/>
          <w:numId w:val="0"/>
        </w:numPr>
        <w:ind w:left="454" w:hanging="454"/>
        <w:rPr>
          <w:rFonts w:hint="eastAsia"/>
        </w:rPr>
      </w:pPr>
      <w:bookmarkStart w:id="54" w:name="_Toc197718049"/>
      <w:bookmarkStart w:id="55" w:name="_Toc208991580"/>
      <w:r w:rsidRPr="00E14EBC">
        <w:lastRenderedPageBreak/>
        <w:t>Sissejuhatus</w:t>
      </w:r>
      <w:bookmarkEnd w:id="54"/>
      <w:bookmarkEnd w:id="55"/>
    </w:p>
    <w:p w14:paraId="2036B24D" w14:textId="1BE31FF7" w:rsidR="00716E64" w:rsidRPr="00E14EBC" w:rsidRDefault="00D01A1F" w:rsidP="00756892">
      <w:pPr>
        <w:jc w:val="both"/>
      </w:pPr>
      <w:r w:rsidRPr="00AE09B0">
        <w:t xml:space="preserve">Käesoleva rakendusuuringu eesmärk on </w:t>
      </w:r>
      <w:r w:rsidR="0076628A" w:rsidRPr="00AE09B0">
        <w:t>avada</w:t>
      </w:r>
      <w:r w:rsidR="001E78AF" w:rsidRPr="00AE09B0">
        <w:t xml:space="preserve"> lühiajalise </w:t>
      </w:r>
      <w:r w:rsidR="00476D97" w:rsidRPr="00AE09B0">
        <w:t>üüri teenuste</w:t>
      </w:r>
      <w:r w:rsidR="00CD0BF3" w:rsidRPr="00AE09B0">
        <w:t xml:space="preserve"> </w:t>
      </w:r>
      <w:r w:rsidR="00476D97" w:rsidRPr="00AE09B0">
        <w:t>olemus</w:t>
      </w:r>
      <w:r w:rsidR="002C216C" w:rsidRPr="00AE09B0">
        <w:t>t</w:t>
      </w:r>
      <w:r w:rsidR="00476D97" w:rsidRPr="00AE09B0">
        <w:t xml:space="preserve"> </w:t>
      </w:r>
      <w:r w:rsidRPr="00AE09B0">
        <w:t>Eestis</w:t>
      </w:r>
      <w:r w:rsidR="004142FD" w:rsidRPr="00AE09B0">
        <w:t xml:space="preserve">, </w:t>
      </w:r>
      <w:r w:rsidR="00561FA2" w:rsidRPr="00AE09B0">
        <w:t>koostada</w:t>
      </w:r>
      <w:r w:rsidR="00262028" w:rsidRPr="00AE09B0">
        <w:t xml:space="preserve"> selle </w:t>
      </w:r>
      <w:r w:rsidR="00262028" w:rsidRPr="00AE09B0">
        <w:rPr>
          <w:b/>
        </w:rPr>
        <w:t>turu kohta süsteem</w:t>
      </w:r>
      <w:r w:rsidR="00561FA2" w:rsidRPr="00AE09B0">
        <w:rPr>
          <w:b/>
        </w:rPr>
        <w:t>ne ja</w:t>
      </w:r>
      <w:r w:rsidR="00262028" w:rsidRPr="00AE09B0">
        <w:rPr>
          <w:b/>
        </w:rPr>
        <w:t xml:space="preserve"> andmepõhi</w:t>
      </w:r>
      <w:r w:rsidR="00561FA2" w:rsidRPr="00AE09B0">
        <w:rPr>
          <w:b/>
        </w:rPr>
        <w:t>ne ülevaade</w:t>
      </w:r>
      <w:r w:rsidR="00561FA2" w:rsidRPr="00AE09B0">
        <w:t xml:space="preserve"> </w:t>
      </w:r>
      <w:r w:rsidR="00501AB6" w:rsidRPr="00AE09B0">
        <w:t xml:space="preserve">ning </w:t>
      </w:r>
      <w:r w:rsidR="00501AB6" w:rsidRPr="00AE09B0">
        <w:rPr>
          <w:b/>
        </w:rPr>
        <w:t xml:space="preserve">välja töötada </w:t>
      </w:r>
      <w:r w:rsidR="00756892" w:rsidRPr="00AE09B0">
        <w:rPr>
          <w:b/>
        </w:rPr>
        <w:t xml:space="preserve">metoodika turu </w:t>
      </w:r>
      <w:r w:rsidR="00501AB6" w:rsidRPr="00AE09B0">
        <w:rPr>
          <w:b/>
        </w:rPr>
        <w:t>seisu ja sotsiaal-majanduslike mõjude hindamiseks</w:t>
      </w:r>
      <w:r w:rsidR="00756892" w:rsidRPr="00AE09B0">
        <w:t xml:space="preserve">. </w:t>
      </w:r>
      <w:r w:rsidR="00776EBF" w:rsidRPr="00AE09B0">
        <w:t xml:space="preserve">Uuringu tulemused on </w:t>
      </w:r>
      <w:r w:rsidR="00501AB6" w:rsidRPr="00AE09B0">
        <w:t>vajalikud</w:t>
      </w:r>
      <w:r w:rsidR="00776EBF" w:rsidRPr="00AE09B0">
        <w:t xml:space="preserve"> </w:t>
      </w:r>
      <w:r w:rsidR="00501AB6" w:rsidRPr="00AE09B0">
        <w:t>teaduspõhise poliitika</w:t>
      </w:r>
      <w:r w:rsidR="004142FD" w:rsidRPr="00AE09B0">
        <w:t xml:space="preserve"> kujundamiseks </w:t>
      </w:r>
      <w:r w:rsidR="00501AB6" w:rsidRPr="00AE09B0">
        <w:t xml:space="preserve">kiiresti arenevas jagamis- ja platvormimajanduses. </w:t>
      </w:r>
      <w:r w:rsidR="00534928" w:rsidRPr="00AE09B0">
        <w:t xml:space="preserve">Uuringu fookuses on </w:t>
      </w:r>
      <w:r w:rsidR="00403530" w:rsidRPr="00AE09B0">
        <w:t>lühiajali</w:t>
      </w:r>
      <w:r w:rsidR="004468C8" w:rsidRPr="00AE09B0">
        <w:t>se</w:t>
      </w:r>
      <w:r w:rsidR="00403530" w:rsidRPr="00AE09B0">
        <w:t xml:space="preserve"> üüri</w:t>
      </w:r>
      <w:r w:rsidR="004468C8" w:rsidRPr="00AE09B0">
        <w:t xml:space="preserve"> teenus </w:t>
      </w:r>
      <w:r w:rsidR="00403530" w:rsidRPr="00AE09B0">
        <w:t xml:space="preserve">(ingl </w:t>
      </w:r>
      <w:r w:rsidR="00403530" w:rsidRPr="00AE09B0">
        <w:rPr>
          <w:i/>
          <w:iCs/>
        </w:rPr>
        <w:t>short term rent)</w:t>
      </w:r>
      <w:r w:rsidR="00FC7810" w:rsidRPr="00AE09B0">
        <w:rPr>
          <w:i/>
          <w:iCs/>
        </w:rPr>
        <w:t xml:space="preserve">, </w:t>
      </w:r>
      <w:r w:rsidR="00FC7810" w:rsidRPr="00AE09B0">
        <w:t xml:space="preserve">mis </w:t>
      </w:r>
      <w:r w:rsidR="00841396" w:rsidRPr="00AE09B0">
        <w:t xml:space="preserve">võimaldab </w:t>
      </w:r>
      <w:r w:rsidR="001102B3" w:rsidRPr="00AE09B0">
        <w:t xml:space="preserve">teenuse </w:t>
      </w:r>
      <w:r w:rsidR="003B1F31" w:rsidRPr="00AE09B0">
        <w:t xml:space="preserve">pakkujatel osutada </w:t>
      </w:r>
      <w:r w:rsidR="00B56482" w:rsidRPr="00AE09B0">
        <w:t xml:space="preserve">teenust </w:t>
      </w:r>
      <w:r w:rsidR="003B1F31" w:rsidRPr="00AE09B0">
        <w:t xml:space="preserve">oma kodus või </w:t>
      </w:r>
      <w:r w:rsidR="00554803" w:rsidRPr="00AE09B0">
        <w:t xml:space="preserve">talle kuuluvas kinnisvaras </w:t>
      </w:r>
      <w:r w:rsidR="1D63DA9E">
        <w:t>või kolmandale isikule kuuluvas kinnisvaras vastava lepingu alusel</w:t>
      </w:r>
      <w:r w:rsidR="200C7975">
        <w:t xml:space="preserve"> </w:t>
      </w:r>
      <w:r w:rsidR="193D2827">
        <w:t>majutuse eesmärgil</w:t>
      </w:r>
      <w:r w:rsidR="62AFEDD5">
        <w:t>.</w:t>
      </w:r>
    </w:p>
    <w:p w14:paraId="052B6485" w14:textId="116E135A" w:rsidR="00BC2DE1" w:rsidRPr="00E14EBC" w:rsidRDefault="002F6CC7" w:rsidP="00BC2DE1">
      <w:pPr>
        <w:jc w:val="both"/>
      </w:pPr>
      <w:r w:rsidRPr="00E14EBC">
        <w:t>Lühiajalise üüri teenus</w:t>
      </w:r>
      <w:r w:rsidR="00994C32" w:rsidRPr="00E14EBC">
        <w:t xml:space="preserve"> </w:t>
      </w:r>
      <w:r w:rsidR="00F74EE3" w:rsidRPr="00E14EBC">
        <w:t xml:space="preserve">on eksisteerinud </w:t>
      </w:r>
      <w:r w:rsidR="00F23F05" w:rsidRPr="00E14EBC">
        <w:t xml:space="preserve">juba varasemalt, enne tänaseks populaarsete </w:t>
      </w:r>
      <w:r w:rsidR="00F64CCF" w:rsidRPr="00E14EBC">
        <w:t>veebi</w:t>
      </w:r>
      <w:r w:rsidR="00F23F05" w:rsidRPr="00E14EBC">
        <w:t xml:space="preserve">platvormide </w:t>
      </w:r>
      <w:r w:rsidR="00126642" w:rsidRPr="00E14EBC">
        <w:t>–</w:t>
      </w:r>
      <w:r w:rsidR="00F23F05" w:rsidRPr="00E14EBC">
        <w:t xml:space="preserve"> </w:t>
      </w:r>
      <w:r w:rsidR="001902EB" w:rsidRPr="00E14EBC">
        <w:t xml:space="preserve">nagu </w:t>
      </w:r>
      <w:r w:rsidR="00F23F05" w:rsidRPr="00E14EBC">
        <w:t>Airbnb, Booking</w:t>
      </w:r>
      <w:r w:rsidR="002C5E0D" w:rsidRPr="00E14EBC">
        <w:t>, Expedia Group</w:t>
      </w:r>
      <w:r w:rsidR="007E024F" w:rsidRPr="00E14EBC">
        <w:t xml:space="preserve">, </w:t>
      </w:r>
      <w:r w:rsidR="002C5E0D" w:rsidRPr="00E14EBC">
        <w:t>TripAdvisor</w:t>
      </w:r>
      <w:r w:rsidR="00F23F05" w:rsidRPr="00E14EBC">
        <w:t xml:space="preserve"> </w:t>
      </w:r>
      <w:r w:rsidR="007E024F" w:rsidRPr="00E14EBC">
        <w:t xml:space="preserve">jt </w:t>
      </w:r>
      <w:r w:rsidR="00126642" w:rsidRPr="00E14EBC">
        <w:t>–</w:t>
      </w:r>
      <w:r w:rsidR="00F23F05" w:rsidRPr="00E14EBC">
        <w:t xml:space="preserve"> turule </w:t>
      </w:r>
      <w:r w:rsidR="002C2A8E" w:rsidRPr="00E14EBC">
        <w:t>sisenemist</w:t>
      </w:r>
      <w:r w:rsidR="00DF353A" w:rsidRPr="00E14EBC">
        <w:t>. Küll</w:t>
      </w:r>
      <w:r w:rsidR="00F23F05" w:rsidRPr="00E14EBC">
        <w:t xml:space="preserve"> aga</w:t>
      </w:r>
      <w:r w:rsidR="00DF353A" w:rsidRPr="00E14EBC">
        <w:t xml:space="preserve"> on</w:t>
      </w:r>
      <w:r w:rsidR="00F23F05" w:rsidRPr="00E14EBC">
        <w:t xml:space="preserve"> </w:t>
      </w:r>
      <w:r w:rsidR="001902EB" w:rsidRPr="00E14EBC">
        <w:t>veebi</w:t>
      </w:r>
      <w:r w:rsidR="0037458F" w:rsidRPr="00E14EBC">
        <w:t xml:space="preserve">platvormid </w:t>
      </w:r>
      <w:r w:rsidR="00034986" w:rsidRPr="00E14EBC">
        <w:t xml:space="preserve">aidanud oluliselt kaasa </w:t>
      </w:r>
      <w:r w:rsidR="00722900" w:rsidRPr="00E14EBC">
        <w:t xml:space="preserve">lühiajalise üüri </w:t>
      </w:r>
      <w:r w:rsidR="002C2A8E" w:rsidRPr="00E14EBC">
        <w:t>pakkumiste mahu kasvule</w:t>
      </w:r>
      <w:r w:rsidR="00896B4C" w:rsidRPr="00E14EBC">
        <w:t>.</w:t>
      </w:r>
      <w:r w:rsidR="00556078" w:rsidRPr="00E14EBC">
        <w:rPr>
          <w:rStyle w:val="FootnoteReference"/>
        </w:rPr>
        <w:footnoteReference w:id="4"/>
      </w:r>
      <w:r w:rsidR="005D163B" w:rsidRPr="00E14EBC">
        <w:t xml:space="preserve"> </w:t>
      </w:r>
      <w:r w:rsidR="006909D2" w:rsidRPr="00E14EBC">
        <w:t xml:space="preserve">Näiteks üks populaarsemaid platvorme Airbnb asutati 2007. aastal ning selle algne idee oli </w:t>
      </w:r>
      <w:r w:rsidR="00C55DA7" w:rsidRPr="00E14EBC">
        <w:t xml:space="preserve">pakkuda </w:t>
      </w:r>
      <w:r w:rsidR="002261E6" w:rsidRPr="00E14EBC">
        <w:t xml:space="preserve">San Francisco disainerite konverentsil osalenud inimestele </w:t>
      </w:r>
      <w:r w:rsidR="00C55DA7" w:rsidRPr="00E14EBC">
        <w:t xml:space="preserve">lihtsamat võimalust leida </w:t>
      </w:r>
      <w:r w:rsidR="006909D2" w:rsidRPr="00E14EBC">
        <w:t>ajuti</w:t>
      </w:r>
      <w:r w:rsidR="00C55DA7" w:rsidRPr="00E14EBC">
        <w:t>ne majutus</w:t>
      </w:r>
      <w:r w:rsidR="006909D2" w:rsidRPr="00E14EBC">
        <w:t xml:space="preserve">. Sellest ajast alates on Airbnb kasvanud ülemaailmseks lühiajalise üüri </w:t>
      </w:r>
      <w:r w:rsidR="00CF5F38" w:rsidRPr="00E14EBC">
        <w:t>teenuseid</w:t>
      </w:r>
      <w:r w:rsidR="008B7E0C" w:rsidRPr="00E14EBC">
        <w:t xml:space="preserve"> vahendavaks </w:t>
      </w:r>
      <w:r w:rsidR="006909D2" w:rsidRPr="00E14EBC">
        <w:t xml:space="preserve">platvormiks, millel on üle </w:t>
      </w:r>
      <w:r w:rsidR="008041B4">
        <w:t>seitsme</w:t>
      </w:r>
      <w:r w:rsidR="006909D2" w:rsidRPr="00E14EBC">
        <w:t xml:space="preserve"> miljoni aktiivse pakkumise</w:t>
      </w:r>
      <w:r w:rsidR="003976E5">
        <w:t xml:space="preserve"> ja</w:t>
      </w:r>
      <w:r w:rsidR="006909D2" w:rsidRPr="00E14EBC">
        <w:t xml:space="preserve"> üle </w:t>
      </w:r>
      <w:r w:rsidR="0061365E">
        <w:t>viie</w:t>
      </w:r>
      <w:r w:rsidR="006909D2" w:rsidRPr="00E14EBC">
        <w:t xml:space="preserve"> miljoni pakkuja rohkem kui 100 000 linnas.</w:t>
      </w:r>
      <w:r w:rsidR="006909D2" w:rsidRPr="00E14EBC">
        <w:rPr>
          <w:rStyle w:val="FootnoteReference"/>
        </w:rPr>
        <w:footnoteReference w:id="5"/>
      </w:r>
      <w:r w:rsidR="00ED7E11">
        <w:t xml:space="preserve"> </w:t>
      </w:r>
      <w:r w:rsidR="008B7E0C" w:rsidRPr="00E14EBC">
        <w:t xml:space="preserve">Seega on </w:t>
      </w:r>
      <w:r w:rsidR="005F5D54" w:rsidRPr="00E14EBC">
        <w:t>p</w:t>
      </w:r>
      <w:r w:rsidR="000B3D72" w:rsidRPr="00E14EBC">
        <w:t xml:space="preserve">latvormid lihtsustanud ja mugavdanud </w:t>
      </w:r>
      <w:r w:rsidR="00C93E8B" w:rsidRPr="00E14EBC">
        <w:t xml:space="preserve">üüritava </w:t>
      </w:r>
      <w:r w:rsidR="000B3D72" w:rsidRPr="00E14EBC">
        <w:t xml:space="preserve">kinnisvara leidmist ja broneerimise protsessi. </w:t>
      </w:r>
      <w:r w:rsidR="00BC2DE1" w:rsidRPr="00E14EBC">
        <w:t xml:space="preserve">Samuti hinnatakse, et </w:t>
      </w:r>
      <w:r w:rsidR="001B62A4" w:rsidRPr="00E14EBC">
        <w:t>need</w:t>
      </w:r>
      <w:r w:rsidR="00BC2DE1" w:rsidRPr="00E14EBC">
        <w:t xml:space="preserve"> on avaldanud mõju lühiajalise üüri </w:t>
      </w:r>
      <w:r w:rsidR="00E1496D" w:rsidRPr="00E14EBC">
        <w:t xml:space="preserve">teenuste </w:t>
      </w:r>
      <w:r w:rsidR="00BC2DE1" w:rsidRPr="00E14EBC">
        <w:t xml:space="preserve">turu dünaamikale, pakkudes alternatiivi </w:t>
      </w:r>
      <w:r w:rsidR="007D0281" w:rsidRPr="00E14EBC">
        <w:t>n</w:t>
      </w:r>
      <w:r w:rsidR="00185AC0">
        <w:t>-</w:t>
      </w:r>
      <w:r w:rsidR="007D0281" w:rsidRPr="00E14EBC">
        <w:t xml:space="preserve">ö traditsioonilisele majutusele ehk </w:t>
      </w:r>
      <w:r w:rsidR="00BC2DE1" w:rsidRPr="00E14EBC">
        <w:t>hotellidele</w:t>
      </w:r>
      <w:r w:rsidR="00134321" w:rsidRPr="00E14EBC">
        <w:t xml:space="preserve"> ning</w:t>
      </w:r>
      <w:r w:rsidR="00BC2DE1" w:rsidRPr="00E14EBC">
        <w:t xml:space="preserve"> samal ajal andes inimestele võimalust teenida oma kinnisvara</w:t>
      </w:r>
      <w:r w:rsidR="00C227D0" w:rsidRPr="00E14EBC">
        <w:t xml:space="preserve"> üürimise kaudu </w:t>
      </w:r>
      <w:r w:rsidR="00BC2DE1" w:rsidRPr="00E14EBC">
        <w:t>tulu.</w:t>
      </w:r>
      <w:r w:rsidR="00BC2DE1" w:rsidRPr="00E14EBC">
        <w:rPr>
          <w:rStyle w:val="FootnoteReference"/>
        </w:rPr>
        <w:footnoteReference w:id="6"/>
      </w:r>
      <w:r w:rsidR="00CE454D" w:rsidRPr="00E14EBC">
        <w:t xml:space="preserve"> </w:t>
      </w:r>
    </w:p>
    <w:p w14:paraId="56B545C1" w14:textId="799A8897" w:rsidR="00F949AD" w:rsidRPr="00E14EBC" w:rsidRDefault="64B10899" w:rsidP="0097765A">
      <w:pPr>
        <w:spacing w:before="0"/>
        <w:jc w:val="both"/>
      </w:pPr>
      <w:r w:rsidRPr="00E14EBC">
        <w:t xml:space="preserve">Lühiajalise üüri turg Euroopas on viimastel aastatel märkimisväärselt kasvanud. </w:t>
      </w:r>
      <w:r w:rsidR="52312B08" w:rsidRPr="00E14EBC">
        <w:t xml:space="preserve">Eurostati </w:t>
      </w:r>
      <w:r w:rsidR="22E3B956" w:rsidRPr="00E14EBC">
        <w:t xml:space="preserve">andmetel </w:t>
      </w:r>
      <w:r w:rsidR="004B9070" w:rsidRPr="00E14EBC">
        <w:t xml:space="preserve">registreeriti </w:t>
      </w:r>
      <w:r w:rsidR="19E42501">
        <w:t xml:space="preserve">2023. aastal </w:t>
      </w:r>
      <w:r w:rsidR="004B9070" w:rsidRPr="00E14EBC">
        <w:t xml:space="preserve">kogu EL-is </w:t>
      </w:r>
      <w:r w:rsidR="01D0309A" w:rsidRPr="00E14EBC">
        <w:t>lühiajaliste üüri</w:t>
      </w:r>
      <w:r w:rsidR="26689901" w:rsidRPr="00E14EBC">
        <w:t xml:space="preserve"> </w:t>
      </w:r>
      <w:r w:rsidR="01D0309A" w:rsidRPr="00E14EBC">
        <w:t xml:space="preserve">teenuste pakkujate juures </w:t>
      </w:r>
      <w:r w:rsidR="004B9070" w:rsidRPr="00E14EBC">
        <w:t xml:space="preserve">kokku </w:t>
      </w:r>
      <w:r w:rsidR="77379810" w:rsidRPr="00E14EBC">
        <w:t>7</w:t>
      </w:r>
      <w:r w:rsidR="5F2428C0" w:rsidRPr="00E14EBC">
        <w:t xml:space="preserve">18,9 miljonit ööbimist </w:t>
      </w:r>
      <w:r w:rsidR="369932F7" w:rsidRPr="00E14EBC">
        <w:t>ja 2024. aastal</w:t>
      </w:r>
      <w:r w:rsidRPr="00E14EBC">
        <w:t xml:space="preserve"> </w:t>
      </w:r>
      <w:r w:rsidR="6844585A" w:rsidRPr="00E14EBC">
        <w:t>854</w:t>
      </w:r>
      <w:r w:rsidR="01D0309A" w:rsidRPr="00E14EBC">
        <w:t xml:space="preserve"> miljonit</w:t>
      </w:r>
      <w:r w:rsidR="514CD52C" w:rsidRPr="00E14EBC">
        <w:t xml:space="preserve"> </w:t>
      </w:r>
      <w:r w:rsidRPr="00E14EBC">
        <w:t>ööbimist.</w:t>
      </w:r>
      <w:r w:rsidR="00166E01" w:rsidRPr="00E14EBC">
        <w:rPr>
          <w:rStyle w:val="FootnoteReference"/>
        </w:rPr>
        <w:footnoteReference w:id="7"/>
      </w:r>
      <w:r w:rsidR="1AB0F1A3" w:rsidRPr="00E14EBC">
        <w:t xml:space="preserve"> Turu </w:t>
      </w:r>
      <w:r w:rsidR="40B92C2F" w:rsidRPr="00E14EBC">
        <w:t>kiire</w:t>
      </w:r>
      <w:r w:rsidR="50A9B0CF" w:rsidRPr="00E14EBC">
        <w:t>le</w:t>
      </w:r>
      <w:r w:rsidR="1AB0F1A3" w:rsidRPr="00E14EBC">
        <w:t xml:space="preserve"> arengule </w:t>
      </w:r>
      <w:r w:rsidR="1AB0F1A3" w:rsidRPr="0007678E">
        <w:rPr>
          <w:b/>
          <w:bCs/>
        </w:rPr>
        <w:t>omistatakse mitmeid</w:t>
      </w:r>
      <w:r w:rsidR="4DBB13D2" w:rsidRPr="0007678E">
        <w:rPr>
          <w:b/>
          <w:bCs/>
        </w:rPr>
        <w:t xml:space="preserve"> mõjusid</w:t>
      </w:r>
      <w:r w:rsidR="1AB0F1A3" w:rsidRPr="0007678E">
        <w:rPr>
          <w:b/>
          <w:bCs/>
        </w:rPr>
        <w:t xml:space="preserve">, </w:t>
      </w:r>
      <w:r w:rsidR="3F3FC994" w:rsidRPr="0007678E">
        <w:rPr>
          <w:b/>
          <w:bCs/>
        </w:rPr>
        <w:t>sh erinevaid sotsiaal-majanduslikke probleeme</w:t>
      </w:r>
      <w:r w:rsidR="58A22E57" w:rsidRPr="00E14EBC">
        <w:t xml:space="preserve">. </w:t>
      </w:r>
      <w:r w:rsidR="77FF2DC4" w:rsidRPr="00E14EBC">
        <w:t>Negatiiv</w:t>
      </w:r>
      <w:r w:rsidR="023DDCE5" w:rsidRPr="00E14EBC">
        <w:t>ne mõju võib avalduda</w:t>
      </w:r>
      <w:r w:rsidR="3B97BF67" w:rsidRPr="00E14EBC">
        <w:t xml:space="preserve"> </w:t>
      </w:r>
      <w:r w:rsidR="0918C035" w:rsidRPr="00E14EBC">
        <w:t>näiteks üüri- ja kinnisvarahindade kiire</w:t>
      </w:r>
      <w:r w:rsidR="0059193C">
        <w:t>s</w:t>
      </w:r>
      <w:r w:rsidR="0918C035" w:rsidRPr="00E14EBC">
        <w:t xml:space="preserve"> tõusu</w:t>
      </w:r>
      <w:r w:rsidR="0059193C">
        <w:t>s</w:t>
      </w:r>
      <w:r w:rsidR="0918C035" w:rsidRPr="00E14EBC">
        <w:t xml:space="preserve">, </w:t>
      </w:r>
      <w:r w:rsidR="6ECB4752" w:rsidRPr="00E14EBC">
        <w:t xml:space="preserve">elamufondi kättesaadavuse </w:t>
      </w:r>
      <w:r w:rsidR="00EF2EA4">
        <w:t>vähenemises</w:t>
      </w:r>
      <w:r w:rsidR="6ECB4752" w:rsidRPr="00E14EBC">
        <w:t xml:space="preserve"> või </w:t>
      </w:r>
      <w:r w:rsidR="2A233462" w:rsidRPr="00E14EBC">
        <w:t>kohalike elanike heaolu</w:t>
      </w:r>
      <w:r w:rsidR="00EF2EA4">
        <w:t xml:space="preserve"> halvenemises</w:t>
      </w:r>
      <w:r w:rsidR="6ECB4752" w:rsidRPr="00E14EBC">
        <w:t xml:space="preserve">; samas </w:t>
      </w:r>
      <w:r w:rsidR="6C4810D7" w:rsidRPr="00E14EBC">
        <w:t>võib lühiajaliste üüripindade lai valik</w:t>
      </w:r>
      <w:r w:rsidR="3AC6207A" w:rsidRPr="00E14EBC">
        <w:t xml:space="preserve"> </w:t>
      </w:r>
      <w:r w:rsidR="39325E5C" w:rsidRPr="00E14EBC">
        <w:t xml:space="preserve">hoogustada turismisektori kasvu, </w:t>
      </w:r>
      <w:r w:rsidR="049A9EE1" w:rsidRPr="00E14EBC">
        <w:t>seda eriti piirkondades, kus hotellimajutuse pakkumine on kesine</w:t>
      </w:r>
      <w:r w:rsidR="6CCBF8D1" w:rsidRPr="00E14EBC">
        <w:t xml:space="preserve">, ning seeläbi elavdada kohalikku majandust ja ettevõtlust. </w:t>
      </w:r>
      <w:r w:rsidR="58A22E57" w:rsidRPr="00E14EBC">
        <w:t xml:space="preserve">Mitmed </w:t>
      </w:r>
      <w:r w:rsidR="2CF4C712" w:rsidRPr="00E14EBC">
        <w:t xml:space="preserve">riigid ja </w:t>
      </w:r>
      <w:r w:rsidR="58A22E57" w:rsidRPr="00E14EBC">
        <w:t xml:space="preserve">linnad, eriti </w:t>
      </w:r>
      <w:r w:rsidR="373EBFC1" w:rsidRPr="00E14EBC">
        <w:t xml:space="preserve">turistide seas </w:t>
      </w:r>
      <w:r w:rsidR="2CF4C712" w:rsidRPr="00E14EBC">
        <w:t>väga atraktiivsed piirkonnad</w:t>
      </w:r>
      <w:r w:rsidR="59097141" w:rsidRPr="00E14EBC">
        <w:t xml:space="preserve"> (nt Barcelona, Berliin,</w:t>
      </w:r>
      <w:r w:rsidR="7735BA60" w:rsidRPr="00E14EBC">
        <w:t xml:space="preserve"> Praha jt)</w:t>
      </w:r>
      <w:r w:rsidR="2CF4C712" w:rsidRPr="00E14EBC">
        <w:t xml:space="preserve">, on </w:t>
      </w:r>
      <w:r w:rsidR="2CF4C712" w:rsidRPr="0007678E">
        <w:rPr>
          <w:b/>
          <w:bCs/>
        </w:rPr>
        <w:t xml:space="preserve">juba </w:t>
      </w:r>
      <w:r w:rsidR="004110E5">
        <w:rPr>
          <w:b/>
          <w:bCs/>
        </w:rPr>
        <w:t>rakendanud</w:t>
      </w:r>
      <w:r w:rsidR="004110E5" w:rsidRPr="0007678E">
        <w:rPr>
          <w:b/>
          <w:bCs/>
        </w:rPr>
        <w:t xml:space="preserve"> </w:t>
      </w:r>
      <w:r w:rsidR="2CF4C712" w:rsidRPr="0007678E">
        <w:rPr>
          <w:b/>
          <w:bCs/>
        </w:rPr>
        <w:t>erinevaid lühiajalise üüri teenuste negatiivseid mõjusid piiravaid poliitikaid</w:t>
      </w:r>
      <w:r w:rsidR="2CF4C712" w:rsidRPr="00E14EBC">
        <w:t>.</w:t>
      </w:r>
      <w:r w:rsidR="0106C558" w:rsidRPr="00E14EBC">
        <w:t xml:space="preserve"> Üldiselt </w:t>
      </w:r>
      <w:r w:rsidR="71799DBF" w:rsidRPr="00E14EBC">
        <w:t xml:space="preserve">sõltuvad </w:t>
      </w:r>
      <w:r w:rsidR="0106C558" w:rsidRPr="00E14EBC">
        <w:t xml:space="preserve">sekkumised </w:t>
      </w:r>
      <w:r w:rsidR="0B862899" w:rsidRPr="00E14EBC">
        <w:t xml:space="preserve">konkreetsest linnast/piirkonnast ja seal </w:t>
      </w:r>
      <w:r w:rsidR="5636348C" w:rsidRPr="00E14EBC">
        <w:t>avald</w:t>
      </w:r>
      <w:r w:rsidR="623FCB16">
        <w:t>u</w:t>
      </w:r>
      <w:r w:rsidR="5636348C" w:rsidRPr="00E14EBC">
        <w:t>nud</w:t>
      </w:r>
      <w:r w:rsidR="0B862899" w:rsidRPr="00E14EBC">
        <w:t xml:space="preserve"> mõjudest </w:t>
      </w:r>
      <w:r w:rsidR="0106C558" w:rsidRPr="00E14EBC">
        <w:t xml:space="preserve">alates leebematest (nt </w:t>
      </w:r>
      <w:r w:rsidR="54B70628" w:rsidRPr="00E14EBC">
        <w:t xml:space="preserve">üldised </w:t>
      </w:r>
      <w:r w:rsidR="252F28D7" w:rsidRPr="00E14EBC">
        <w:t xml:space="preserve">kõikidele </w:t>
      </w:r>
      <w:r w:rsidR="54B70628" w:rsidRPr="00E14EBC">
        <w:t>majutusteenuse</w:t>
      </w:r>
      <w:r w:rsidR="252F28D7" w:rsidRPr="00E14EBC">
        <w:t>te sarnaselt kehtivad</w:t>
      </w:r>
      <w:r w:rsidR="54B70628" w:rsidRPr="00E14EBC">
        <w:t xml:space="preserve"> nõuded) kuni </w:t>
      </w:r>
      <w:r w:rsidR="53667384" w:rsidRPr="00E14EBC">
        <w:t xml:space="preserve">lühiajalise </w:t>
      </w:r>
      <w:r w:rsidR="53667384" w:rsidRPr="00E14EBC">
        <w:lastRenderedPageBreak/>
        <w:t>üüri teenuse pakkumist keelavate lähenemi</w:t>
      </w:r>
      <w:r w:rsidR="680BF956" w:rsidRPr="00E14EBC">
        <w:t xml:space="preserve">steni. </w:t>
      </w:r>
      <w:r w:rsidR="2CF4C712" w:rsidRPr="00E14EBC">
        <w:t xml:space="preserve">Samuti on </w:t>
      </w:r>
      <w:r w:rsidR="76322727" w:rsidRPr="00E14EBC">
        <w:t>EL</w:t>
      </w:r>
      <w:r w:rsidR="373EBFC1" w:rsidRPr="00E14EBC">
        <w:t xml:space="preserve"> tasandil </w:t>
      </w:r>
      <w:r w:rsidR="261C8C87" w:rsidRPr="00E14EBC">
        <w:t>kehtestatud</w:t>
      </w:r>
      <w:r w:rsidR="373EBFC1" w:rsidRPr="00E14EBC">
        <w:t xml:space="preserve"> regulatsioone, mis </w:t>
      </w:r>
      <w:r w:rsidR="2E1B713E" w:rsidRPr="00E14EBC">
        <w:t xml:space="preserve">aitavad liikmesriikidel </w:t>
      </w:r>
      <w:r w:rsidR="1A9DD5BB" w:rsidRPr="00E14EBC">
        <w:t>lühi</w:t>
      </w:r>
      <w:r w:rsidR="3595042C" w:rsidRPr="00E14EBC">
        <w:t>a</w:t>
      </w:r>
      <w:r w:rsidR="1A9DD5BB" w:rsidRPr="00E14EBC">
        <w:t>jalise üüri teenuste turuosaliste kohta andmeid koguda ning seeläbi paremini turgu</w:t>
      </w:r>
      <w:r w:rsidR="3595042C" w:rsidRPr="00E14EBC">
        <w:t xml:space="preserve"> </w:t>
      </w:r>
      <w:r w:rsidR="261C8C87" w:rsidRPr="00E14EBC">
        <w:t>reguleerida</w:t>
      </w:r>
      <w:r w:rsidR="1D8581DF" w:rsidRPr="00E14EBC">
        <w:t xml:space="preserve"> ja turuosalisi maksustada</w:t>
      </w:r>
      <w:r w:rsidR="261C8C87" w:rsidRPr="00E14EBC">
        <w:t>.</w:t>
      </w:r>
    </w:p>
    <w:p w14:paraId="49F89BF3" w14:textId="3B117881" w:rsidR="00B57996" w:rsidRPr="00E14EBC" w:rsidRDefault="00011493" w:rsidP="00514229">
      <w:pPr>
        <w:spacing w:before="0"/>
        <w:jc w:val="both"/>
      </w:pPr>
      <w:r w:rsidRPr="00B50626">
        <w:rPr>
          <w:b/>
          <w:bCs/>
        </w:rPr>
        <w:t xml:space="preserve">Eestis ei ole lühiajalise üüri turu </w:t>
      </w:r>
      <w:r w:rsidR="00D5349B" w:rsidRPr="00B50626">
        <w:rPr>
          <w:b/>
          <w:bCs/>
        </w:rPr>
        <w:t xml:space="preserve">sotsiaal-majanduslikke </w:t>
      </w:r>
      <w:r w:rsidRPr="00B50626">
        <w:rPr>
          <w:b/>
          <w:bCs/>
        </w:rPr>
        <w:t>mõjusid laialdaselt uuritud</w:t>
      </w:r>
      <w:r w:rsidR="008E6C4F" w:rsidRPr="00E14EBC">
        <w:t xml:space="preserve"> ega </w:t>
      </w:r>
      <w:r w:rsidR="009A6BDC" w:rsidRPr="00E14EBC">
        <w:t>turgu</w:t>
      </w:r>
      <w:r w:rsidR="008E6C4F" w:rsidRPr="00E14EBC">
        <w:t xml:space="preserve"> eraldi reguleeritud</w:t>
      </w:r>
      <w:r w:rsidR="0004494A" w:rsidRPr="00E14EBC">
        <w:t xml:space="preserve">. </w:t>
      </w:r>
      <w:r w:rsidR="008602A5">
        <w:t xml:space="preserve">Eraldi </w:t>
      </w:r>
      <w:r w:rsidR="0023096E">
        <w:t xml:space="preserve">regulatsioone ei ole lühiajalisele üürimisele ega </w:t>
      </w:r>
      <w:r w:rsidR="00334EC7" w:rsidRPr="00E14EBC">
        <w:t xml:space="preserve">jagamis- ja </w:t>
      </w:r>
      <w:r w:rsidR="00454937" w:rsidRPr="00E14EBC">
        <w:t>platvormi</w:t>
      </w:r>
      <w:r w:rsidR="00334EC7" w:rsidRPr="00E14EBC">
        <w:t>majandusele</w:t>
      </w:r>
      <w:r w:rsidR="003B189A">
        <w:t xml:space="preserve"> kehtestatud</w:t>
      </w:r>
      <w:r w:rsidR="00C52D45" w:rsidRPr="00E14EBC">
        <w:t xml:space="preserve">. </w:t>
      </w:r>
      <w:r w:rsidR="004B259E" w:rsidRPr="00E14EBC">
        <w:t xml:space="preserve">Eestis </w:t>
      </w:r>
      <w:r w:rsidR="0062626D" w:rsidRPr="00E14EBC">
        <w:t xml:space="preserve">reguleerib majutusteenuste </w:t>
      </w:r>
      <w:r w:rsidR="00BC71E1" w:rsidRPr="00E14EBC">
        <w:t xml:space="preserve">osutamist </w:t>
      </w:r>
      <w:r w:rsidR="00C16616">
        <w:t>TurS</w:t>
      </w:r>
      <w:r w:rsidR="00BC71E1" w:rsidRPr="00E14EBC">
        <w:t xml:space="preserve">, mille järgi </w:t>
      </w:r>
      <w:r w:rsidR="003C7018" w:rsidRPr="00E14EBC">
        <w:t xml:space="preserve">loetakse majutusteenuseks ajutise ööbimisvõimaluse pakkumist turismi või mistahes muul eesmärgil. </w:t>
      </w:r>
      <w:r w:rsidR="00331711" w:rsidRPr="00E14EBC">
        <w:t xml:space="preserve">Käesoleva uuringu käigus </w:t>
      </w:r>
      <w:r w:rsidR="00BB46F1" w:rsidRPr="00E14EBC">
        <w:t xml:space="preserve">Eesti </w:t>
      </w:r>
      <w:r w:rsidR="00DB3FEE" w:rsidRPr="00E14EBC">
        <w:t xml:space="preserve">lühiajalise üüri turu </w:t>
      </w:r>
      <w:r w:rsidR="001257CC" w:rsidRPr="00E14EBC">
        <w:t xml:space="preserve">olukorrast </w:t>
      </w:r>
      <w:r w:rsidR="002C65BA" w:rsidRPr="00E14EBC">
        <w:t xml:space="preserve">põhjaliku </w:t>
      </w:r>
      <w:r w:rsidR="001257CC" w:rsidRPr="00E14EBC">
        <w:t xml:space="preserve">ülevaate saamiseks </w:t>
      </w:r>
      <w:r w:rsidR="002C65BA" w:rsidRPr="00E14EBC">
        <w:t>kasuta</w:t>
      </w:r>
      <w:r w:rsidR="00421C85">
        <w:t>sime</w:t>
      </w:r>
      <w:r w:rsidR="002C65BA" w:rsidRPr="00E14EBC">
        <w:t xml:space="preserve"> </w:t>
      </w:r>
      <w:r w:rsidR="00FF30BC" w:rsidRPr="00FF30BC">
        <w:rPr>
          <w:b/>
          <w:bCs/>
        </w:rPr>
        <w:t>kombineeritud meetodeid</w:t>
      </w:r>
      <w:r w:rsidR="00FF30BC">
        <w:t xml:space="preserve">: </w:t>
      </w:r>
      <w:r w:rsidR="001B6910" w:rsidRPr="00E14EBC">
        <w:t xml:space="preserve">dokumendi-, teaduskirjanduse ja kehtiva õiguse analüüsi, uuriti välisriikide kogemusi ning analüüsiti turgu iseloomustavaid andmeid. </w:t>
      </w:r>
      <w:r w:rsidR="00130B09" w:rsidRPr="00E14EBC">
        <w:t>I</w:t>
      </w:r>
      <w:r w:rsidR="00331711" w:rsidRPr="00E14EBC">
        <w:t xml:space="preserve">ntervjuude ja arutelude kaudu </w:t>
      </w:r>
      <w:r w:rsidR="00130B09" w:rsidRPr="00E14EBC">
        <w:t>kaasa</w:t>
      </w:r>
      <w:r w:rsidR="00421C85">
        <w:t>sime</w:t>
      </w:r>
      <w:r w:rsidR="00130B09" w:rsidRPr="00E14EBC">
        <w:t xml:space="preserve"> </w:t>
      </w:r>
      <w:r w:rsidR="00331711" w:rsidRPr="00E14EBC">
        <w:t>turuosalised ja huvigrupid.</w:t>
      </w:r>
    </w:p>
    <w:p w14:paraId="775083F9" w14:textId="1B32195F" w:rsidR="00BB46F1" w:rsidRPr="00E14EBC" w:rsidRDefault="003B5C38" w:rsidP="00EB361E">
      <w:pPr>
        <w:jc w:val="both"/>
      </w:pPr>
      <w:r w:rsidRPr="00E14EBC">
        <w:t>Uuringu tule</w:t>
      </w:r>
      <w:r w:rsidR="00B57996" w:rsidRPr="00E14EBC">
        <w:t xml:space="preserve">mused </w:t>
      </w:r>
      <w:r w:rsidR="00421C85">
        <w:t>oleme esitanud</w:t>
      </w:r>
      <w:r w:rsidR="001C4C03" w:rsidRPr="00E14EBC">
        <w:t xml:space="preserve"> käeso</w:t>
      </w:r>
      <w:r w:rsidR="005468E4" w:rsidRPr="00E14EBC">
        <w:t>leva</w:t>
      </w:r>
      <w:r w:rsidR="004F2026" w:rsidRPr="00E14EBC">
        <w:t>s</w:t>
      </w:r>
      <w:r w:rsidR="005468E4" w:rsidRPr="00E14EBC">
        <w:t xml:space="preserve"> aruandes, mis </w:t>
      </w:r>
      <w:r w:rsidR="005468E4" w:rsidRPr="008355C4">
        <w:rPr>
          <w:b/>
          <w:bCs/>
        </w:rPr>
        <w:t xml:space="preserve">koosneb </w:t>
      </w:r>
      <w:r w:rsidR="00655002" w:rsidRPr="008355C4">
        <w:rPr>
          <w:b/>
          <w:bCs/>
        </w:rPr>
        <w:t xml:space="preserve">kokkuvõttest, </w:t>
      </w:r>
      <w:r w:rsidR="007E4DCC" w:rsidRPr="008355C4">
        <w:rPr>
          <w:b/>
          <w:bCs/>
        </w:rPr>
        <w:t>neljast</w:t>
      </w:r>
      <w:r w:rsidR="005468E4" w:rsidRPr="008355C4">
        <w:rPr>
          <w:b/>
          <w:bCs/>
        </w:rPr>
        <w:t xml:space="preserve"> sisupeatükist</w:t>
      </w:r>
      <w:r w:rsidR="00655002" w:rsidRPr="008355C4">
        <w:rPr>
          <w:b/>
          <w:bCs/>
        </w:rPr>
        <w:t xml:space="preserve"> ja lisadest.</w:t>
      </w:r>
      <w:r w:rsidR="00655002" w:rsidRPr="00E14EBC">
        <w:t xml:space="preserve"> Esimeses </w:t>
      </w:r>
      <w:r w:rsidR="00B07D7A" w:rsidRPr="00E14EBC">
        <w:t>sisu</w:t>
      </w:r>
      <w:r w:rsidR="00655002" w:rsidRPr="00E14EBC">
        <w:t xml:space="preserve">peatükis on </w:t>
      </w:r>
      <w:r w:rsidR="0063529C" w:rsidRPr="00E14EBC">
        <w:t>esitatud</w:t>
      </w:r>
      <w:r w:rsidR="00655002" w:rsidRPr="00E14EBC">
        <w:t xml:space="preserve"> jagamis- ja platvormimajanduse teoreetili</w:t>
      </w:r>
      <w:r w:rsidR="005E3AA0">
        <w:t>s</w:t>
      </w:r>
      <w:r w:rsidR="00BE00C1">
        <w:t>ed</w:t>
      </w:r>
      <w:r w:rsidR="005E3AA0">
        <w:t xml:space="preserve"> kontseptsioon</w:t>
      </w:r>
      <w:r w:rsidR="00BE00C1">
        <w:t>id</w:t>
      </w:r>
      <w:r w:rsidR="001B7759">
        <w:t xml:space="preserve"> ning</w:t>
      </w:r>
      <w:r w:rsidR="0069455D">
        <w:t xml:space="preserve"> antud</w:t>
      </w:r>
      <w:r w:rsidR="00655002" w:rsidRPr="00E14EBC">
        <w:t xml:space="preserve"> </w:t>
      </w:r>
      <w:r w:rsidR="001B7759">
        <w:t>ülevaade</w:t>
      </w:r>
      <w:r w:rsidR="0069455D">
        <w:t xml:space="preserve"> </w:t>
      </w:r>
      <w:r w:rsidR="00AA4071">
        <w:t xml:space="preserve">lühiajalise üürimisega seonduvast </w:t>
      </w:r>
      <w:r w:rsidR="00BF6999" w:rsidRPr="00E14EBC">
        <w:t>Eesti</w:t>
      </w:r>
      <w:r w:rsidR="00AA4071">
        <w:t xml:space="preserve"> ja EL-i</w:t>
      </w:r>
      <w:r w:rsidR="00BF6999" w:rsidRPr="00E14EBC">
        <w:t xml:space="preserve"> õigusruumi</w:t>
      </w:r>
      <w:r w:rsidR="00911A5C">
        <w:t>st</w:t>
      </w:r>
      <w:r w:rsidR="00BF6999" w:rsidRPr="00E14EBC">
        <w:t xml:space="preserve">. Teises peatükis hinnatakse lühiajalise üüri turu mahtu ja omadusi </w:t>
      </w:r>
      <w:r w:rsidR="00FC678B" w:rsidRPr="00E14EBC">
        <w:t xml:space="preserve">erinevate </w:t>
      </w:r>
      <w:r w:rsidR="004A584C" w:rsidRPr="00E14EBC">
        <w:t>andmete ja statistika</w:t>
      </w:r>
      <w:r w:rsidR="00087092">
        <w:t xml:space="preserve"> abil</w:t>
      </w:r>
      <w:r w:rsidR="004A584C" w:rsidRPr="00E14EBC">
        <w:t xml:space="preserve">. Kolmandas peatükis </w:t>
      </w:r>
      <w:r w:rsidR="00810C55" w:rsidRPr="00E14EBC">
        <w:t xml:space="preserve">käsitletakse </w:t>
      </w:r>
      <w:r w:rsidR="000E52E7" w:rsidRPr="00E14EBC">
        <w:t>turu</w:t>
      </w:r>
      <w:r w:rsidR="000E6A93" w:rsidRPr="00E14EBC">
        <w:t xml:space="preserve"> toimimist </w:t>
      </w:r>
      <w:r w:rsidR="001F764B" w:rsidRPr="00E14EBC">
        <w:t xml:space="preserve">ja </w:t>
      </w:r>
      <w:r w:rsidR="00AB5E3A" w:rsidRPr="00E14EBC">
        <w:t xml:space="preserve">hinnatakse </w:t>
      </w:r>
      <w:r w:rsidR="000D238A" w:rsidRPr="00E14EBC">
        <w:t xml:space="preserve">turu </w:t>
      </w:r>
      <w:r w:rsidR="00FC29FE" w:rsidRPr="00E14EBC">
        <w:t>sotsiaal</w:t>
      </w:r>
      <w:r w:rsidR="000D238A" w:rsidRPr="00E14EBC">
        <w:t>-majanduslikke mõjusid</w:t>
      </w:r>
      <w:r w:rsidR="00A673AC">
        <w:t>.</w:t>
      </w:r>
      <w:r w:rsidR="005546AB" w:rsidRPr="00E14EBC">
        <w:t xml:space="preserve"> </w:t>
      </w:r>
      <w:r w:rsidR="00C53E47" w:rsidRPr="00E14EBC">
        <w:t xml:space="preserve">Aruande viimases peatükis on esitatud valik </w:t>
      </w:r>
      <w:r w:rsidR="00C956C7" w:rsidRPr="00E14EBC">
        <w:t>Eesti kont</w:t>
      </w:r>
      <w:r w:rsidR="00DF4E30" w:rsidRPr="00E14EBC">
        <w:t xml:space="preserve">eksti </w:t>
      </w:r>
      <w:r w:rsidR="00C956C7" w:rsidRPr="00E14EBC">
        <w:t xml:space="preserve">sobivaid </w:t>
      </w:r>
      <w:r w:rsidR="00C53E47" w:rsidRPr="00E14EBC">
        <w:t>sekkumisi koos soovitustega</w:t>
      </w:r>
      <w:r w:rsidR="00C956C7" w:rsidRPr="00E14EBC">
        <w:t xml:space="preserve">, </w:t>
      </w:r>
      <w:r w:rsidR="008868E5">
        <w:t>mida</w:t>
      </w:r>
      <w:r w:rsidR="008868E5" w:rsidRPr="00E14EBC">
        <w:t xml:space="preserve"> </w:t>
      </w:r>
      <w:r w:rsidR="00C956C7" w:rsidRPr="00E14EBC">
        <w:t>rakendada praegust o</w:t>
      </w:r>
      <w:r w:rsidR="008868E5">
        <w:t>lu</w:t>
      </w:r>
      <w:r w:rsidR="00C956C7" w:rsidRPr="00E14EBC">
        <w:t xml:space="preserve">korda silmas pidades ning kaaluda tulevikus turu oluliste muutuste korral. </w:t>
      </w:r>
      <w:r w:rsidR="000275F7" w:rsidRPr="00E14EBC">
        <w:t>Aruande lisades on esitatud</w:t>
      </w:r>
      <w:r w:rsidR="000D62BA" w:rsidRPr="00E14EBC">
        <w:t xml:space="preserve"> põhjalikumad </w:t>
      </w:r>
      <w:r w:rsidR="00437A29" w:rsidRPr="00E14EBC">
        <w:t>tausta</w:t>
      </w:r>
      <w:r w:rsidR="000D62BA" w:rsidRPr="00E14EBC">
        <w:t>materjalid</w:t>
      </w:r>
      <w:r w:rsidR="00686D26" w:rsidRPr="00E14EBC">
        <w:t xml:space="preserve"> (nt detailsem välisriikide ülevaade,</w:t>
      </w:r>
      <w:r w:rsidR="006349D7" w:rsidRPr="00E14EBC">
        <w:t xml:space="preserve"> täpsem statistika sensitiivsemate piirkondade kohta</w:t>
      </w:r>
      <w:r w:rsidR="00EB361E" w:rsidRPr="00E14EBC">
        <w:t xml:space="preserve"> jms).</w:t>
      </w:r>
    </w:p>
    <w:p w14:paraId="38FF773E" w14:textId="6C80AD29" w:rsidR="00E33979" w:rsidRPr="00E14EBC" w:rsidRDefault="00B62ED0" w:rsidP="00BF504B">
      <w:pPr>
        <w:jc w:val="both"/>
        <w:rPr>
          <w:rStyle w:val="PurpleText"/>
        </w:rPr>
      </w:pPr>
      <w:r w:rsidRPr="00E14EBC">
        <w:rPr>
          <w:rStyle w:val="PurpleText"/>
        </w:rPr>
        <w:t xml:space="preserve">Tähelepanekud aruande </w:t>
      </w:r>
      <w:r w:rsidR="00065F2F" w:rsidRPr="00E14EBC">
        <w:rPr>
          <w:rStyle w:val="PurpleText"/>
        </w:rPr>
        <w:t>lugemiseks</w:t>
      </w:r>
    </w:p>
    <w:p w14:paraId="27BFBC88" w14:textId="6C0416D1" w:rsidR="005A6EE0" w:rsidRPr="00E14EBC" w:rsidRDefault="004D54C5" w:rsidP="007F08F4">
      <w:pPr>
        <w:pStyle w:val="ListParagraph"/>
        <w:numPr>
          <w:ilvl w:val="0"/>
          <w:numId w:val="37"/>
        </w:numPr>
        <w:spacing w:before="0" w:after="120"/>
        <w:jc w:val="both"/>
      </w:pPr>
      <w:r w:rsidRPr="00E14EBC">
        <w:t xml:space="preserve">Eestis ei ole mõiste „lühiajalise üüri teenus“ defineeritud. </w:t>
      </w:r>
      <w:r w:rsidRPr="008355C4">
        <w:rPr>
          <w:b/>
          <w:bCs/>
        </w:rPr>
        <w:t xml:space="preserve">Uuringu läbiviimisel </w:t>
      </w:r>
      <w:r w:rsidR="004F2E24" w:rsidRPr="008355C4">
        <w:rPr>
          <w:b/>
          <w:bCs/>
        </w:rPr>
        <w:t>võ</w:t>
      </w:r>
      <w:r w:rsidR="00466CD4">
        <w:rPr>
          <w:b/>
          <w:bCs/>
        </w:rPr>
        <w:t>tsime</w:t>
      </w:r>
      <w:r w:rsidR="00B7799E" w:rsidRPr="008355C4">
        <w:rPr>
          <w:b/>
          <w:bCs/>
        </w:rPr>
        <w:t xml:space="preserve"> </w:t>
      </w:r>
      <w:r w:rsidR="005B2731" w:rsidRPr="008355C4">
        <w:rPr>
          <w:b/>
          <w:bCs/>
        </w:rPr>
        <w:t>fookus</w:t>
      </w:r>
      <w:r w:rsidR="004F2E24" w:rsidRPr="008355C4">
        <w:rPr>
          <w:b/>
          <w:bCs/>
        </w:rPr>
        <w:t xml:space="preserve">esse </w:t>
      </w:r>
      <w:r w:rsidR="00D35EFE" w:rsidRPr="008355C4">
        <w:rPr>
          <w:b/>
          <w:bCs/>
        </w:rPr>
        <w:t>eluruumide</w:t>
      </w:r>
      <w:r w:rsidR="005B74EE" w:rsidRPr="008355C4">
        <w:rPr>
          <w:b/>
          <w:bCs/>
        </w:rPr>
        <w:t>s</w:t>
      </w:r>
      <w:r w:rsidR="00D35EFE" w:rsidRPr="008355C4">
        <w:rPr>
          <w:b/>
          <w:bCs/>
        </w:rPr>
        <w:t xml:space="preserve"> lühiajali</w:t>
      </w:r>
      <w:r w:rsidR="00840544" w:rsidRPr="008355C4">
        <w:rPr>
          <w:b/>
          <w:bCs/>
        </w:rPr>
        <w:t>s</w:t>
      </w:r>
      <w:r w:rsidR="00D35EFE" w:rsidRPr="008355C4">
        <w:rPr>
          <w:b/>
          <w:bCs/>
        </w:rPr>
        <w:t>e üüri</w:t>
      </w:r>
      <w:r w:rsidR="00840544" w:rsidRPr="008355C4">
        <w:rPr>
          <w:b/>
          <w:bCs/>
        </w:rPr>
        <w:t xml:space="preserve"> teenuse osutamine </w:t>
      </w:r>
      <w:r w:rsidR="00D35EFE" w:rsidRPr="008355C4">
        <w:rPr>
          <w:b/>
          <w:bCs/>
        </w:rPr>
        <w:t>majutuse eesmärgil</w:t>
      </w:r>
      <w:r w:rsidR="00D35EFE" w:rsidRPr="00E14EBC">
        <w:t xml:space="preserve">. </w:t>
      </w:r>
    </w:p>
    <w:p w14:paraId="5A47BC6D" w14:textId="1FA08CE1" w:rsidR="00747E12" w:rsidRPr="00E14EBC" w:rsidRDefault="003236CB" w:rsidP="007F08F4">
      <w:pPr>
        <w:pStyle w:val="ListParagraph"/>
        <w:numPr>
          <w:ilvl w:val="0"/>
          <w:numId w:val="37"/>
        </w:numPr>
        <w:spacing w:before="0" w:after="120"/>
        <w:jc w:val="both"/>
      </w:pPr>
      <w:r w:rsidRPr="00E14EBC">
        <w:t xml:space="preserve">Uuringu käigus </w:t>
      </w:r>
      <w:r w:rsidR="00B5036E" w:rsidRPr="00E14EBC">
        <w:t>analüüsi</w:t>
      </w:r>
      <w:r w:rsidR="00466CD4">
        <w:t>sime</w:t>
      </w:r>
      <w:r w:rsidR="00B5036E" w:rsidRPr="00E14EBC">
        <w:t xml:space="preserve"> ja </w:t>
      </w:r>
      <w:r w:rsidR="00B6741A" w:rsidRPr="00E14EBC">
        <w:t>sisusta</w:t>
      </w:r>
      <w:r w:rsidR="00466CD4">
        <w:t>sime</w:t>
      </w:r>
      <w:r w:rsidR="00B6741A" w:rsidRPr="00E14EBC">
        <w:t xml:space="preserve"> mõisteid „lühiajalise üüri teenused“ ja „lühiajalise üüri turg“ Eesti kontekstis</w:t>
      </w:r>
      <w:r w:rsidR="001A3299" w:rsidRPr="00E14EBC">
        <w:t xml:space="preserve"> ning e</w:t>
      </w:r>
      <w:r w:rsidR="0089313C" w:rsidRPr="00E14EBC">
        <w:t xml:space="preserve">tteruttavalt saab öelda, et </w:t>
      </w:r>
      <w:r w:rsidR="00A4607E" w:rsidRPr="00E14EBC">
        <w:t xml:space="preserve">sisuliselt on tegemist majutusteenusega. </w:t>
      </w:r>
      <w:r w:rsidR="00A842F8" w:rsidRPr="00E14EBC">
        <w:t>Siiski</w:t>
      </w:r>
      <w:r w:rsidR="00142B13" w:rsidRPr="00E14EBC">
        <w:t xml:space="preserve"> o</w:t>
      </w:r>
      <w:r w:rsidR="00466CD4">
        <w:t>leme</w:t>
      </w:r>
      <w:r w:rsidR="00142B13" w:rsidRPr="00E14EBC">
        <w:t xml:space="preserve"> aruandes </w:t>
      </w:r>
      <w:r w:rsidR="00A842F8" w:rsidRPr="00E14EBC">
        <w:t xml:space="preserve">läbivalt </w:t>
      </w:r>
      <w:r w:rsidR="000876A9" w:rsidRPr="00E14EBC">
        <w:t>kasutatud</w:t>
      </w:r>
      <w:r w:rsidR="00A842F8" w:rsidRPr="00E14EBC">
        <w:t xml:space="preserve"> </w:t>
      </w:r>
      <w:r w:rsidR="00B674B7" w:rsidRPr="00E14EBC">
        <w:t>mõiste</w:t>
      </w:r>
      <w:r w:rsidR="000876A9" w:rsidRPr="00E14EBC">
        <w:t>id</w:t>
      </w:r>
      <w:r w:rsidR="00B674B7" w:rsidRPr="00E14EBC">
        <w:t xml:space="preserve"> „lühiajalise üüri teenused“ ja „lühiajalise üüri turg“</w:t>
      </w:r>
      <w:r w:rsidR="00CB23EC" w:rsidRPr="00E14EBC">
        <w:t>, et eristada uurimisobjekti n</w:t>
      </w:r>
      <w:r w:rsidR="00AA2551">
        <w:t>-</w:t>
      </w:r>
      <w:r w:rsidR="00CB23EC" w:rsidRPr="00E14EBC">
        <w:t xml:space="preserve">ö </w:t>
      </w:r>
      <w:r w:rsidR="00DF5694" w:rsidRPr="00E14EBC">
        <w:t>traditsioonilis</w:t>
      </w:r>
      <w:r w:rsidR="00CB23EC" w:rsidRPr="00E14EBC">
        <w:t>est majutusest ehk hotellimajutusest.</w:t>
      </w:r>
    </w:p>
    <w:p w14:paraId="7637EB38" w14:textId="7AAEC74E" w:rsidR="00747E12" w:rsidRPr="00E14EBC" w:rsidRDefault="00747E12" w:rsidP="007F08F4">
      <w:pPr>
        <w:pStyle w:val="ListParagraph"/>
        <w:numPr>
          <w:ilvl w:val="0"/>
          <w:numId w:val="37"/>
        </w:numPr>
        <w:spacing w:before="0" w:after="120"/>
        <w:jc w:val="both"/>
      </w:pPr>
      <w:r w:rsidRPr="00E14EBC">
        <w:t xml:space="preserve">Uuringu ühe </w:t>
      </w:r>
      <w:r w:rsidR="009D456F" w:rsidRPr="00E14EBC">
        <w:t>väljundina</w:t>
      </w:r>
      <w:r w:rsidRPr="00E14EBC">
        <w:t xml:space="preserve"> koosta</w:t>
      </w:r>
      <w:r w:rsidR="00033FC9">
        <w:t>sime</w:t>
      </w:r>
      <w:r w:rsidRPr="00E14EBC">
        <w:t xml:space="preserve"> lühiajalise üüri turu mõjude </w:t>
      </w:r>
      <w:r w:rsidRPr="00D57D46">
        <w:rPr>
          <w:b/>
          <w:bCs/>
        </w:rPr>
        <w:t>hindamise</w:t>
      </w:r>
      <w:r w:rsidR="005C4EDA" w:rsidRPr="00D57D46">
        <w:rPr>
          <w:b/>
          <w:bCs/>
        </w:rPr>
        <w:t>ks sobilik</w:t>
      </w:r>
      <w:r w:rsidR="00033FC9">
        <w:rPr>
          <w:b/>
          <w:bCs/>
        </w:rPr>
        <w:t>u</w:t>
      </w:r>
      <w:r w:rsidR="005C4EDA" w:rsidRPr="00D57D46">
        <w:rPr>
          <w:b/>
          <w:bCs/>
        </w:rPr>
        <w:t xml:space="preserve"> tööriist</w:t>
      </w:r>
      <w:r w:rsidR="00CF7348">
        <w:rPr>
          <w:b/>
          <w:bCs/>
        </w:rPr>
        <w:t>a</w:t>
      </w:r>
      <w:r w:rsidR="005C4EDA" w:rsidRPr="00D57D46">
        <w:rPr>
          <w:b/>
          <w:bCs/>
        </w:rPr>
        <w:t>, mis on vormistatud ja Tellijale üle antud aruandest eraldiseisva</w:t>
      </w:r>
      <w:r w:rsidR="00A60435">
        <w:rPr>
          <w:b/>
          <w:bCs/>
        </w:rPr>
        <w:t>te failidena</w:t>
      </w:r>
      <w:r w:rsidR="005C4EDA" w:rsidRPr="00E14EBC">
        <w:t>.</w:t>
      </w:r>
    </w:p>
    <w:p w14:paraId="08933A83" w14:textId="16C6032C" w:rsidR="005C4EDA" w:rsidRPr="00E14EBC" w:rsidRDefault="7580463F" w:rsidP="007F08F4">
      <w:pPr>
        <w:pStyle w:val="ListParagraph"/>
        <w:numPr>
          <w:ilvl w:val="0"/>
          <w:numId w:val="37"/>
        </w:numPr>
        <w:spacing w:before="0" w:after="120"/>
        <w:jc w:val="both"/>
      </w:pPr>
      <w:r>
        <w:t>Aruandes esita</w:t>
      </w:r>
      <w:r w:rsidR="14BD1F6F">
        <w:t>t</w:t>
      </w:r>
      <w:r>
        <w:t xml:space="preserve">ud tulemused ja seisukohad peegeldavad </w:t>
      </w:r>
      <w:r w:rsidR="458CBE15">
        <w:t xml:space="preserve">Eesti </w:t>
      </w:r>
      <w:r>
        <w:t>lühiajalise üüri turu olukord</w:t>
      </w:r>
      <w:r w:rsidR="458CBE15">
        <w:t>a</w:t>
      </w:r>
      <w:r>
        <w:t xml:space="preserve"> uuringu läbiviimise aja</w:t>
      </w:r>
      <w:r w:rsidR="00BAC011">
        <w:t>l</w:t>
      </w:r>
      <w:r>
        <w:t>.</w:t>
      </w:r>
    </w:p>
    <w:p w14:paraId="30303684" w14:textId="77777777" w:rsidR="00247DAE" w:rsidRPr="00E14EBC" w:rsidRDefault="00247DAE">
      <w:pPr>
        <w:spacing w:before="0" w:line="259" w:lineRule="auto"/>
        <w:rPr>
          <w:noProof/>
          <w:color w:val="82009B" w:themeColor="accent6"/>
        </w:rPr>
      </w:pPr>
      <w:r w:rsidRPr="00E14EBC">
        <w:br w:type="page"/>
      </w:r>
    </w:p>
    <w:p w14:paraId="58004051" w14:textId="59F7162D" w:rsidR="00392736" w:rsidRPr="00E14EBC" w:rsidRDefault="00F87A33" w:rsidP="00330F78">
      <w:pPr>
        <w:pStyle w:val="Heading1"/>
        <w:numPr>
          <w:ilvl w:val="0"/>
          <w:numId w:val="0"/>
        </w:numPr>
        <w:ind w:left="454" w:hanging="454"/>
        <w:rPr>
          <w:rFonts w:hint="eastAsia"/>
        </w:rPr>
      </w:pPr>
      <w:bookmarkStart w:id="56" w:name="_Toc208991581"/>
      <w:r w:rsidRPr="00E14EBC">
        <w:lastRenderedPageBreak/>
        <w:t>Metoodika</w:t>
      </w:r>
      <w:bookmarkEnd w:id="56"/>
    </w:p>
    <w:p w14:paraId="6EFD0D13" w14:textId="437E66C8" w:rsidR="00DB0C2A" w:rsidRPr="00E14EBC" w:rsidRDefault="00DB0C2A" w:rsidP="003600A4">
      <w:pPr>
        <w:jc w:val="both"/>
      </w:pPr>
      <w:r w:rsidRPr="00E14EBC">
        <w:t>Rakendusuuringu läbiviimisel kombineeri</w:t>
      </w:r>
      <w:r w:rsidR="00AF57BA">
        <w:t>sime</w:t>
      </w:r>
      <w:r w:rsidRPr="00E14EBC">
        <w:t xml:space="preserve"> sekundaarseid ja primaarseid ning kvalitatiivseid ja kvantitatiivseid andmeid ning analüüsimeetodeid. Sekundaarandmete kogumiseks kasuta</w:t>
      </w:r>
      <w:r w:rsidR="00AF57BA">
        <w:t>sime</w:t>
      </w:r>
      <w:r w:rsidRPr="00E14EBC">
        <w:t xml:space="preserve"> dokumendianalüüsi, teaduskirjanduse ja õigu</w:t>
      </w:r>
      <w:r w:rsidR="00F76CD3">
        <w:t>sallikate</w:t>
      </w:r>
      <w:r w:rsidRPr="00E14EBC">
        <w:t xml:space="preserve"> analüüsi, sh kogu</w:t>
      </w:r>
      <w:r w:rsidR="00AF57BA">
        <w:t>sime</w:t>
      </w:r>
      <w:r w:rsidRPr="00E14EBC">
        <w:t xml:space="preserve"> andmeid teiste riikide praktikate kohta. Samuti </w:t>
      </w:r>
      <w:r w:rsidR="00E55876" w:rsidRPr="00E14EBC">
        <w:t>kogu</w:t>
      </w:r>
      <w:r w:rsidR="00AF57BA">
        <w:t>sime</w:t>
      </w:r>
      <w:r w:rsidRPr="00E14EBC">
        <w:t xml:space="preserve"> olemasolevad kvantitatiivsed üüriturgu iseloomustavad andmestikud</w:t>
      </w:r>
      <w:r w:rsidR="00E55876" w:rsidRPr="00E14EBC">
        <w:t xml:space="preserve"> nii erinevatest avalikest andme</w:t>
      </w:r>
      <w:r w:rsidR="00F02B2E" w:rsidRPr="00E14EBC">
        <w:t>baasidest kui te</w:t>
      </w:r>
      <w:r w:rsidR="00920B7C">
        <w:t>gime</w:t>
      </w:r>
      <w:r w:rsidR="00F02B2E" w:rsidRPr="00E14EBC">
        <w:t xml:space="preserve"> päringud SA-le ja MTA-le</w:t>
      </w:r>
      <w:r w:rsidRPr="00E14EBC">
        <w:t>. Primaarandmetena kasuta</w:t>
      </w:r>
      <w:r w:rsidR="00920B7C">
        <w:t>sime</w:t>
      </w:r>
      <w:r w:rsidR="0092685C" w:rsidRPr="00E14EBC">
        <w:t xml:space="preserve"> </w:t>
      </w:r>
      <w:r w:rsidRPr="00E14EBC">
        <w:t>kvalitatiivseid intervjuusid.</w:t>
      </w:r>
    </w:p>
    <w:p w14:paraId="32F998A9" w14:textId="78AD0D67" w:rsidR="005D4737" w:rsidRPr="00E14EBC" w:rsidRDefault="0092685C" w:rsidP="00392736">
      <w:pPr>
        <w:jc w:val="both"/>
        <w:rPr>
          <w:rStyle w:val="PurpleText"/>
        </w:rPr>
      </w:pPr>
      <w:r w:rsidRPr="00E14EBC">
        <w:rPr>
          <w:rStyle w:val="PurpleText"/>
        </w:rPr>
        <w:t>Dokumend</w:t>
      </w:r>
      <w:r w:rsidR="005313BF" w:rsidRPr="00E14EBC">
        <w:rPr>
          <w:rStyle w:val="PurpleText"/>
        </w:rPr>
        <w:t>i-</w:t>
      </w:r>
      <w:r w:rsidR="00CB5216" w:rsidRPr="00E14EBC">
        <w:rPr>
          <w:rStyle w:val="PurpleText"/>
        </w:rPr>
        <w:t xml:space="preserve">, </w:t>
      </w:r>
      <w:r w:rsidR="005313BF" w:rsidRPr="00E14EBC">
        <w:rPr>
          <w:rStyle w:val="PurpleText"/>
        </w:rPr>
        <w:t>teaduskirjanduse</w:t>
      </w:r>
      <w:r w:rsidR="00CB5216" w:rsidRPr="00E14EBC">
        <w:rPr>
          <w:rStyle w:val="PurpleText"/>
        </w:rPr>
        <w:t xml:space="preserve"> ja kehtiva õiguse</w:t>
      </w:r>
      <w:r w:rsidR="005313BF" w:rsidRPr="00E14EBC">
        <w:rPr>
          <w:rStyle w:val="PurpleText"/>
        </w:rPr>
        <w:t xml:space="preserve"> analüüs</w:t>
      </w:r>
    </w:p>
    <w:p w14:paraId="3AA6CA38" w14:textId="3C9A4E80" w:rsidR="00713B98" w:rsidRPr="00E14EBC" w:rsidRDefault="0032016E" w:rsidP="00713B98">
      <w:pPr>
        <w:jc w:val="both"/>
      </w:pPr>
      <w:r w:rsidRPr="00E14EBC">
        <w:t>Peamiste allikatena kasuta</w:t>
      </w:r>
      <w:r w:rsidR="00920B7C">
        <w:t>sime</w:t>
      </w:r>
      <w:r w:rsidRPr="00E14EBC">
        <w:t xml:space="preserve"> </w:t>
      </w:r>
      <w:r w:rsidR="00FF294B" w:rsidRPr="00E14EBC">
        <w:t>rahvusvahelisi ja teiste riikide v</w:t>
      </w:r>
      <w:r w:rsidR="00CA3CD4" w:rsidRPr="00E14EBC">
        <w:t>arasema</w:t>
      </w:r>
      <w:r w:rsidR="00FF294B" w:rsidRPr="00E14EBC">
        <w:t>i</w:t>
      </w:r>
      <w:r w:rsidR="00CA3CD4" w:rsidRPr="00E14EBC">
        <w:t>d uuringu</w:t>
      </w:r>
      <w:r w:rsidR="00FF294B" w:rsidRPr="00E14EBC">
        <w:t>i</w:t>
      </w:r>
      <w:r w:rsidR="00CA3CD4" w:rsidRPr="00E14EBC">
        <w:t>d, analüüs</w:t>
      </w:r>
      <w:r w:rsidR="00FF294B" w:rsidRPr="00E14EBC">
        <w:t xml:space="preserve">e ja </w:t>
      </w:r>
      <w:r w:rsidR="00CA3CD4" w:rsidRPr="00E14EBC">
        <w:t>raport</w:t>
      </w:r>
      <w:r w:rsidR="00FF294B" w:rsidRPr="00E14EBC">
        <w:t>eid</w:t>
      </w:r>
      <w:r w:rsidR="00A91E55" w:rsidRPr="00E14EBC">
        <w:t xml:space="preserve"> ning </w:t>
      </w:r>
      <w:r w:rsidR="00FF294B" w:rsidRPr="00E14EBC">
        <w:t>teemakohast teaduskirjandust.</w:t>
      </w:r>
      <w:r w:rsidR="008A34ED" w:rsidRPr="00E14EBC">
        <w:t xml:space="preserve"> </w:t>
      </w:r>
      <w:r w:rsidR="001811E0" w:rsidRPr="00E14EBC">
        <w:t>Toetavate allikatena kasuta</w:t>
      </w:r>
      <w:r w:rsidR="00920B7C">
        <w:t>sime</w:t>
      </w:r>
      <w:r w:rsidR="000E515F" w:rsidRPr="00E14EBC">
        <w:t xml:space="preserve"> Eesti vastavate asutuste (nt</w:t>
      </w:r>
      <w:r w:rsidR="001829B8" w:rsidRPr="00E14EBC">
        <w:t xml:space="preserve"> </w:t>
      </w:r>
      <w:r w:rsidR="00B4060A" w:rsidRPr="00E14EBC">
        <w:t>järelevalve</w:t>
      </w:r>
      <w:r w:rsidR="00562A2A" w:rsidRPr="00E14EBC">
        <w:t>asutused</w:t>
      </w:r>
      <w:r w:rsidR="00B4060A" w:rsidRPr="00E14EBC">
        <w:t>, MKM</w:t>
      </w:r>
      <w:r w:rsidR="00CF3F12" w:rsidRPr="00E14EBC">
        <w:t>, K</w:t>
      </w:r>
      <w:r w:rsidR="00730E8D" w:rsidRPr="00E14EBC">
        <w:t>liM</w:t>
      </w:r>
      <w:r w:rsidR="00B4060A" w:rsidRPr="00E14EBC">
        <w:t xml:space="preserve"> jms)</w:t>
      </w:r>
      <w:r w:rsidR="001811E0" w:rsidRPr="00E14EBC">
        <w:t xml:space="preserve">, </w:t>
      </w:r>
      <w:r w:rsidR="00B4060A" w:rsidRPr="00E14EBC">
        <w:t xml:space="preserve">kohalike </w:t>
      </w:r>
      <w:r w:rsidR="001811E0" w:rsidRPr="00E14EBC">
        <w:t>omava</w:t>
      </w:r>
      <w:r w:rsidR="00772CAA" w:rsidRPr="00E14EBC">
        <w:t>litsuste</w:t>
      </w:r>
      <w:r w:rsidR="00BD2F37" w:rsidRPr="00E14EBC">
        <w:t>, turismiportaal</w:t>
      </w:r>
      <w:r w:rsidR="00136096" w:rsidRPr="00E14EBC">
        <w:t>ide</w:t>
      </w:r>
      <w:r w:rsidR="008470C2" w:rsidRPr="00E14EBC">
        <w:t xml:space="preserve"> (nt visitestonia.</w:t>
      </w:r>
      <w:r w:rsidR="00996BC3" w:rsidRPr="00E14EBC">
        <w:t>com</w:t>
      </w:r>
      <w:r w:rsidR="008470C2" w:rsidRPr="00E14EBC">
        <w:t xml:space="preserve"> jt)</w:t>
      </w:r>
      <w:r w:rsidR="00772CAA" w:rsidRPr="00E14EBC">
        <w:t xml:space="preserve"> </w:t>
      </w:r>
      <w:r w:rsidR="001811E0" w:rsidRPr="00E14EBC">
        <w:t xml:space="preserve">ja </w:t>
      </w:r>
      <w:r w:rsidR="00055F71" w:rsidRPr="00E14EBC">
        <w:t xml:space="preserve">lühiajalise üüri teenuse vahendusplatvormide </w:t>
      </w:r>
      <w:r w:rsidR="009F2877" w:rsidRPr="00E14EBC">
        <w:t>(nt Air</w:t>
      </w:r>
      <w:r w:rsidR="00B46C65" w:rsidRPr="00E14EBC">
        <w:t xml:space="preserve">bnb.com jt) </w:t>
      </w:r>
      <w:r w:rsidR="00055F71" w:rsidRPr="00E14EBC">
        <w:t>veebilehti.</w:t>
      </w:r>
      <w:r w:rsidR="00713B98" w:rsidRPr="00713B98">
        <w:t xml:space="preserve"> </w:t>
      </w:r>
      <w:r w:rsidR="00713B98">
        <w:t>Õigusruumi analüüsimiseks kasutasime asjakohaseid Eesti seaduseid, määruseid jt õigusakte, EL-i regulatsioone ning Eesti ja EL-i kohtupraktikat.</w:t>
      </w:r>
    </w:p>
    <w:p w14:paraId="57303081" w14:textId="679A2F06" w:rsidR="000968DF" w:rsidRPr="00E14EBC" w:rsidRDefault="2CF09090" w:rsidP="008A34ED">
      <w:pPr>
        <w:jc w:val="both"/>
      </w:pPr>
      <w:r>
        <w:t xml:space="preserve">Eesti </w:t>
      </w:r>
      <w:r w:rsidR="58F3ABD5">
        <w:t xml:space="preserve">lühiajalise üüri turu kohta </w:t>
      </w:r>
      <w:r w:rsidR="28987D94">
        <w:t xml:space="preserve">ei ole </w:t>
      </w:r>
      <w:r w:rsidR="58F3ABD5">
        <w:t xml:space="preserve">varem </w:t>
      </w:r>
      <w:r w:rsidR="003E4735">
        <w:t xml:space="preserve">põhjalikke </w:t>
      </w:r>
      <w:r w:rsidR="58F3ABD5">
        <w:t xml:space="preserve">analüüse </w:t>
      </w:r>
      <w:r w:rsidR="53E1EA47">
        <w:t xml:space="preserve">ja ülevaateid </w:t>
      </w:r>
      <w:r w:rsidR="58F3ABD5">
        <w:t xml:space="preserve">tehtud. Erandiks on Tallinna linna </w:t>
      </w:r>
      <w:r w:rsidR="244FA55F">
        <w:t>ja Tallinna vanalinna spetsiifilised analüüsid</w:t>
      </w:r>
      <w:r w:rsidR="6728D42B">
        <w:t>, arengukavad jms materjalid</w:t>
      </w:r>
      <w:r w:rsidR="4C22F175">
        <w:t xml:space="preserve">, mis </w:t>
      </w:r>
      <w:r w:rsidR="53E1EA47">
        <w:t xml:space="preserve">osaliselt </w:t>
      </w:r>
      <w:r w:rsidR="106B43E4">
        <w:t>puudutavad uuritavat teemat</w:t>
      </w:r>
      <w:r w:rsidR="4ABC5A09">
        <w:t xml:space="preserve">. </w:t>
      </w:r>
      <w:r w:rsidR="00CE4CAD">
        <w:t>M</w:t>
      </w:r>
      <w:r w:rsidR="00FF65FB">
        <w:t xml:space="preserve">ajutusteenuste osutamist </w:t>
      </w:r>
      <w:r w:rsidR="00CE4CAD">
        <w:t>jagamismajanduse</w:t>
      </w:r>
      <w:r w:rsidR="00A56D19">
        <w:t xml:space="preserve"> </w:t>
      </w:r>
      <w:r w:rsidR="00EE3B9D">
        <w:t xml:space="preserve">vaatest on </w:t>
      </w:r>
      <w:r w:rsidR="00FF65FB">
        <w:t xml:space="preserve">analüüsitud ka 2016. aastal tehtud uuringus </w:t>
      </w:r>
      <w:r w:rsidR="009E1E60">
        <w:t>„</w:t>
      </w:r>
      <w:r w:rsidR="009E1E60" w:rsidRPr="009E1E60">
        <w:t>Jagamismajanduse põhimõtete rakendamine Eesti majandus- ja õigusruumis</w:t>
      </w:r>
      <w:r w:rsidR="009E1E60">
        <w:t>“.</w:t>
      </w:r>
      <w:r w:rsidR="00E6428B">
        <w:rPr>
          <w:rStyle w:val="FootnoteReference"/>
        </w:rPr>
        <w:footnoteReference w:id="8"/>
      </w:r>
      <w:r w:rsidR="009379B9">
        <w:t xml:space="preserve"> Nimetatud </w:t>
      </w:r>
      <w:r w:rsidR="00CA383F">
        <w:t xml:space="preserve">dokumente </w:t>
      </w:r>
      <w:r w:rsidR="009379B9">
        <w:t>kasuta</w:t>
      </w:r>
      <w:r w:rsidR="00920B7C">
        <w:t>sime</w:t>
      </w:r>
      <w:r w:rsidR="009379B9">
        <w:t xml:space="preserve"> ka dokumendianalüüsi allikatena</w:t>
      </w:r>
      <w:r w:rsidR="00BF3F1D">
        <w:t>.</w:t>
      </w:r>
      <w:r w:rsidR="00713B98">
        <w:t xml:space="preserve"> </w:t>
      </w:r>
      <w:r w:rsidR="006B04A2" w:rsidRPr="00E14EBC">
        <w:t>Lisaks tutvu</w:t>
      </w:r>
      <w:r w:rsidR="00920B7C">
        <w:t>sime</w:t>
      </w:r>
      <w:r w:rsidR="006B04A2" w:rsidRPr="00E14EBC">
        <w:t xml:space="preserve"> </w:t>
      </w:r>
      <w:r w:rsidR="00830250" w:rsidRPr="00E14EBC">
        <w:t>uuringute „</w:t>
      </w:r>
      <w:r w:rsidR="00636090" w:rsidRPr="00E14EBC">
        <w:t xml:space="preserve">Eesti taskukohase ja kättesaadava eluasemepoliitika võimaluste analüüs“ ja „Tallinna tasukohase eluaseme poliitika arendamise võimaluste analüüs“ </w:t>
      </w:r>
      <w:r w:rsidR="00CC3BA9" w:rsidRPr="00E14EBC">
        <w:t xml:space="preserve">aruannete tööversioonidega, mis olid koostamisel Tartu Ülikooli </w:t>
      </w:r>
      <w:r w:rsidR="00B63E08" w:rsidRPr="00E14EBC">
        <w:t xml:space="preserve">ja Eesti Kunstiakadeemia </w:t>
      </w:r>
      <w:r w:rsidR="00A27FD5" w:rsidRPr="00E14EBC">
        <w:t>poolt käesoleva rakendusuuringuga samaaegselt.</w:t>
      </w:r>
    </w:p>
    <w:p w14:paraId="6A31ACB3" w14:textId="307DF4D8" w:rsidR="00BD7B82" w:rsidRPr="00010B75" w:rsidRDefault="00860E06" w:rsidP="00860E06">
      <w:pPr>
        <w:jc w:val="both"/>
      </w:pPr>
      <w:r>
        <w:t xml:space="preserve">Uuringu alguses metoodika koostamise etapis planeerisime võimalusel kasutada ka planeeringute ja projektide analüüsi ning välivaatlusi. Projekti tegevuste käigus selgus aga, et olemasolev andmestik ei võimalda </w:t>
      </w:r>
      <w:r w:rsidRPr="00CC40CE">
        <w:t>ruumilist mõju hoone ja eluruumi täpsusega</w:t>
      </w:r>
      <w:r>
        <w:t xml:space="preserve"> (</w:t>
      </w:r>
      <w:r w:rsidRPr="00CC40CE">
        <w:t>sh hoone tüpoloogiast lähtuvalt</w:t>
      </w:r>
      <w:r>
        <w:t>)</w:t>
      </w:r>
      <w:r w:rsidRPr="00CC40CE">
        <w:t xml:space="preserve"> analüüsida</w:t>
      </w:r>
      <w:r>
        <w:t xml:space="preserve">. Samuti ei ole </w:t>
      </w:r>
      <w:r w:rsidR="007F08E4">
        <w:t xml:space="preserve">arenduspiirkondades </w:t>
      </w:r>
      <w:r>
        <w:t xml:space="preserve">suurt lühiajalise üüri teenuse pakkumise kontsentratsiooni. Seega langes uuringu käigus ära vajadus ja võimalus detailsema planeeringute ja projektide analüüsi </w:t>
      </w:r>
      <w:r w:rsidR="00B22AA5">
        <w:t>ning</w:t>
      </w:r>
      <w:r>
        <w:t xml:space="preserve"> välivaatluste järele. Selle asemel keskendu</w:t>
      </w:r>
      <w:r w:rsidR="00303A82">
        <w:t>sime</w:t>
      </w:r>
      <w:r>
        <w:t xml:space="preserve"> turu olukorra analüüsimisele planeeritust suurema arvu intervjuude ja </w:t>
      </w:r>
      <w:r w:rsidR="006965E4">
        <w:t xml:space="preserve">täiendavate </w:t>
      </w:r>
      <w:r>
        <w:t>andmeallikate</w:t>
      </w:r>
      <w:r w:rsidR="006965E4">
        <w:t xml:space="preserve"> kaudu</w:t>
      </w:r>
      <w:r>
        <w:t>.</w:t>
      </w:r>
      <w:r w:rsidR="00827379">
        <w:t xml:space="preserve"> </w:t>
      </w:r>
      <w:r>
        <w:t xml:space="preserve">Eelkirjeldatud põhjustel ei olnud võimalik ka detailselt analüüsida, millised lühiajalise üüri teenuste pakkumisega tekkivad </w:t>
      </w:r>
      <w:r w:rsidRPr="00DC1EE6">
        <w:t>väljakutsed ja seatavad tingimused tulenevad hoonete tüpoloogiast, millised asukohast ja millised planeeringute juht- ja sihtotstarvetest</w:t>
      </w:r>
      <w:r>
        <w:t>. Teatud määral õnnestus seda teemat käsitleda seoses eluruumide tuleohutusega.</w:t>
      </w:r>
    </w:p>
    <w:p w14:paraId="0E3A8A78" w14:textId="6A757D1A" w:rsidR="00F37BB8" w:rsidRPr="00E14EBC" w:rsidRDefault="005313BF" w:rsidP="00514229">
      <w:pPr>
        <w:keepNext/>
        <w:jc w:val="both"/>
        <w:rPr>
          <w:rStyle w:val="PurpleText"/>
        </w:rPr>
      </w:pPr>
      <w:r w:rsidRPr="00E14EBC">
        <w:rPr>
          <w:rStyle w:val="PurpleText"/>
        </w:rPr>
        <w:lastRenderedPageBreak/>
        <w:t>Välisriikide kogemuste analüüs</w:t>
      </w:r>
    </w:p>
    <w:p w14:paraId="52689661" w14:textId="1888317A" w:rsidR="00B14D3C" w:rsidRPr="00E14EBC" w:rsidRDefault="738A91C8" w:rsidP="00392736">
      <w:pPr>
        <w:jc w:val="both"/>
      </w:pPr>
      <w:r>
        <w:t>Lähemalt analüüsi</w:t>
      </w:r>
      <w:r w:rsidR="00AB52D4">
        <w:t>sime</w:t>
      </w:r>
      <w:r w:rsidR="7AFD0C44">
        <w:t xml:space="preserve"> viie välisriigi</w:t>
      </w:r>
      <w:r w:rsidR="779A58A9">
        <w:t xml:space="preserve"> (Holland, Saksamaa, Soome, Šveits, Tšehhi) lühiajalise üüri turu toimimise ja reguleerimisega seotud praktikaid.</w:t>
      </w:r>
      <w:r w:rsidR="2672ABF6">
        <w:t xml:space="preserve"> </w:t>
      </w:r>
      <w:r w:rsidR="42E2922D">
        <w:t>Riikide v</w:t>
      </w:r>
      <w:r w:rsidR="46F14B3D">
        <w:t>alik</w:t>
      </w:r>
      <w:r w:rsidR="00E70EA0">
        <w:t>u</w:t>
      </w:r>
      <w:r w:rsidR="46F14B3D">
        <w:t xml:space="preserve"> te</w:t>
      </w:r>
      <w:r w:rsidR="00E70EA0">
        <w:t>gime</w:t>
      </w:r>
      <w:r w:rsidR="779A58A9">
        <w:t xml:space="preserve"> koostöös Tellija ja juhtrühmaga </w:t>
      </w:r>
      <w:r w:rsidR="1A58D480">
        <w:t xml:space="preserve">sihipärase valimi </w:t>
      </w:r>
      <w:r w:rsidR="779A58A9">
        <w:t xml:space="preserve">põhimõttel, et </w:t>
      </w:r>
      <w:r w:rsidR="1A58D480">
        <w:t>vaatluse all</w:t>
      </w:r>
      <w:r w:rsidR="779A58A9">
        <w:t xml:space="preserve"> oleks võimalikult erineva </w:t>
      </w:r>
      <w:r w:rsidR="2731BB0A">
        <w:t xml:space="preserve">turu reguleerimise </w:t>
      </w:r>
      <w:r w:rsidR="731B7645">
        <w:t>kogemusega</w:t>
      </w:r>
      <w:r w:rsidR="318AF2A1">
        <w:t>,</w:t>
      </w:r>
      <w:r w:rsidR="731B7645">
        <w:t xml:space="preserve"> </w:t>
      </w:r>
      <w:r w:rsidR="2731BB0A">
        <w:t xml:space="preserve">aga ka Eestile sarnase </w:t>
      </w:r>
      <w:r w:rsidR="14B49128">
        <w:t>majanduskeskkonnaga</w:t>
      </w:r>
      <w:r w:rsidR="731B7645">
        <w:t xml:space="preserve"> </w:t>
      </w:r>
      <w:r w:rsidR="14B49128">
        <w:t>referentsriike.</w:t>
      </w:r>
    </w:p>
    <w:p w14:paraId="021F21D2" w14:textId="21C25EF6" w:rsidR="00673AD3" w:rsidRPr="00E14EBC" w:rsidRDefault="731B7645" w:rsidP="00AA2BCA">
      <w:pPr>
        <w:jc w:val="both"/>
      </w:pPr>
      <w:r>
        <w:t>V</w:t>
      </w:r>
      <w:r w:rsidR="7F5CB301">
        <w:t>alitud viie v</w:t>
      </w:r>
      <w:r>
        <w:t>älisrii</w:t>
      </w:r>
      <w:r w:rsidR="7F5CB301">
        <w:t xml:space="preserve">gi </w:t>
      </w:r>
      <w:r>
        <w:t>kogemus</w:t>
      </w:r>
      <w:r w:rsidR="7F5CB301">
        <w:t>t</w:t>
      </w:r>
      <w:r>
        <w:t>e ülevaa</w:t>
      </w:r>
      <w:r w:rsidR="7E691394">
        <w:t>t</w:t>
      </w:r>
      <w:r>
        <w:t>e</w:t>
      </w:r>
      <w:r w:rsidR="42FED3EB">
        <w:t>d</w:t>
      </w:r>
      <w:r>
        <w:t xml:space="preserve"> koosta</w:t>
      </w:r>
      <w:r w:rsidR="00E70EA0">
        <w:t>sime</w:t>
      </w:r>
      <w:r>
        <w:t xml:space="preserve"> esmalt nende riikide või linnade (nt Berliin, Amsterdam</w:t>
      </w:r>
      <w:r w:rsidR="67241DD9">
        <w:t xml:space="preserve"> jt, kus lühiajalise üüri turuga seotud probleemid on suuremad</w:t>
      </w:r>
      <w:r>
        <w:t xml:space="preserve">) </w:t>
      </w:r>
      <w:r w:rsidR="13F9016E">
        <w:t xml:space="preserve">kohta </w:t>
      </w:r>
      <w:r w:rsidR="48CE3B90">
        <w:t>tehtud</w:t>
      </w:r>
      <w:r w:rsidR="13F9016E">
        <w:t xml:space="preserve"> lühiajalise üüri turu analüüside, </w:t>
      </w:r>
      <w:r w:rsidR="02CB550B">
        <w:t>õigusaktide</w:t>
      </w:r>
      <w:r w:rsidR="4CDA40BE">
        <w:t xml:space="preserve">, juhiste jms materjalide ning </w:t>
      </w:r>
      <w:r w:rsidR="13F9016E">
        <w:t xml:space="preserve">asjakohaste asutuste </w:t>
      </w:r>
      <w:r w:rsidR="7B6C6649">
        <w:t xml:space="preserve">interneti </w:t>
      </w:r>
      <w:r w:rsidR="4D8B4142">
        <w:t xml:space="preserve">kodulehtede ja </w:t>
      </w:r>
      <w:r w:rsidR="018381CB">
        <w:t>turismi</w:t>
      </w:r>
      <w:r w:rsidR="13295C18">
        <w:t xml:space="preserve">sektori </w:t>
      </w:r>
      <w:r w:rsidR="4D8B4142">
        <w:t>teemalehtede</w:t>
      </w:r>
      <w:r w:rsidR="5FAD1BA5">
        <w:t xml:space="preserve"> </w:t>
      </w:r>
      <w:r w:rsidR="4CDA40BE">
        <w:t>põhjal.</w:t>
      </w:r>
      <w:r w:rsidR="09A6D875">
        <w:t xml:space="preserve"> Seejärel kogu</w:t>
      </w:r>
      <w:r w:rsidR="00E70EA0">
        <w:t>sime</w:t>
      </w:r>
      <w:r w:rsidR="09A6D875">
        <w:t xml:space="preserve"> </w:t>
      </w:r>
      <w:r w:rsidR="47383423">
        <w:t xml:space="preserve">detailsemat infot </w:t>
      </w:r>
      <w:r w:rsidR="3D97F6B4">
        <w:t xml:space="preserve">päringute ja intervjuude teel valitud riikide </w:t>
      </w:r>
      <w:r w:rsidR="3C4FE739">
        <w:t xml:space="preserve">ja linnade </w:t>
      </w:r>
      <w:r w:rsidR="608ED841">
        <w:t>vasta</w:t>
      </w:r>
      <w:r w:rsidR="7E694BAD">
        <w:t>va</w:t>
      </w:r>
      <w:r w:rsidR="608ED841">
        <w:t>te asutuste esindajatelt</w:t>
      </w:r>
      <w:r w:rsidR="0C03DA0A">
        <w:t xml:space="preserve"> </w:t>
      </w:r>
      <w:r w:rsidR="2FF6F02D">
        <w:t>(Amsterdam</w:t>
      </w:r>
      <w:r w:rsidR="3C1B4BFF">
        <w:t>i</w:t>
      </w:r>
      <w:r w:rsidR="4F5DB48C">
        <w:t xml:space="preserve">, </w:t>
      </w:r>
      <w:r w:rsidR="3C1B4BFF">
        <w:t xml:space="preserve">Berliini </w:t>
      </w:r>
      <w:r w:rsidR="4F5DB48C">
        <w:t>ja Helsin</w:t>
      </w:r>
      <w:r w:rsidR="12253B98">
        <w:t>g</w:t>
      </w:r>
      <w:r w:rsidR="4F5DB48C">
        <w:t xml:space="preserve">i </w:t>
      </w:r>
      <w:r w:rsidR="3C1B4BFF">
        <w:t>linnavalitsused</w:t>
      </w:r>
      <w:r w:rsidR="4F5DB48C">
        <w:t xml:space="preserve">, </w:t>
      </w:r>
      <w:r w:rsidR="23CD3F90">
        <w:t xml:space="preserve">Soome Keskkonnaministeerium ja </w:t>
      </w:r>
      <w:r w:rsidR="2FF6F02D">
        <w:t>Tšehhi</w:t>
      </w:r>
      <w:r w:rsidR="23CD3F90">
        <w:t xml:space="preserve"> regionaalarenguministeerium</w:t>
      </w:r>
      <w:r w:rsidR="2D28091F">
        <w:t>)</w:t>
      </w:r>
      <w:r w:rsidR="23CD3F90">
        <w:t>.</w:t>
      </w:r>
    </w:p>
    <w:p w14:paraId="5440CBE5" w14:textId="7E6D21A6" w:rsidR="00F96020" w:rsidRPr="00E14EBC" w:rsidRDefault="00B6468C" w:rsidP="001118E2">
      <w:pPr>
        <w:jc w:val="both"/>
      </w:pPr>
      <w:r w:rsidRPr="00E14EBC">
        <w:t xml:space="preserve">Välisriikide kogemuse kaardistamisel </w:t>
      </w:r>
      <w:r w:rsidR="00CC5829" w:rsidRPr="00E14EBC">
        <w:t>osutus</w:t>
      </w:r>
      <w:r w:rsidRPr="00E14EBC">
        <w:t xml:space="preserve"> kitsaskohaks, et </w:t>
      </w:r>
      <w:r w:rsidR="00AA43FC" w:rsidRPr="00E14EBC">
        <w:t>osaliselt ei ole</w:t>
      </w:r>
      <w:r w:rsidR="006F5E56" w:rsidRPr="00E14EBC">
        <w:t xml:space="preserve"> sekkumiste mõjud veel otseselt avaldunud või </w:t>
      </w:r>
      <w:r w:rsidR="0094626A" w:rsidRPr="00E14EBC">
        <w:t xml:space="preserve">ei </w:t>
      </w:r>
      <w:r w:rsidR="006F5E56" w:rsidRPr="00E14EBC">
        <w:t xml:space="preserve">ole neid </w:t>
      </w:r>
      <w:r w:rsidR="0038607E" w:rsidRPr="00E14EBC">
        <w:t>veel</w:t>
      </w:r>
      <w:r w:rsidR="005C3AB5">
        <w:t xml:space="preserve"> põhjalikult</w:t>
      </w:r>
      <w:r w:rsidR="0038607E" w:rsidRPr="00E14EBC">
        <w:t xml:space="preserve"> </w:t>
      </w:r>
      <w:r w:rsidR="006F5E56" w:rsidRPr="00E14EBC">
        <w:t>mõõdetud,</w:t>
      </w:r>
      <w:r w:rsidR="00B96304" w:rsidRPr="00E14EBC">
        <w:t xml:space="preserve"> osades </w:t>
      </w:r>
      <w:r w:rsidR="005F079B" w:rsidRPr="00E14EBC">
        <w:t xml:space="preserve">riikides </w:t>
      </w:r>
      <w:r w:rsidR="006F5E56" w:rsidRPr="00E14EBC">
        <w:t xml:space="preserve">sekkumisi ei plaanita või ei ole veel jõutud </w:t>
      </w:r>
      <w:r w:rsidR="002D2C62" w:rsidRPr="00E14EBC">
        <w:t xml:space="preserve">piisaval määral </w:t>
      </w:r>
      <w:r w:rsidR="006F5E56" w:rsidRPr="00E14EBC">
        <w:t xml:space="preserve">rakendada. </w:t>
      </w:r>
      <w:r w:rsidR="00FE3BEF" w:rsidRPr="00E14EBC">
        <w:t>Seetõttu uuri</w:t>
      </w:r>
      <w:r w:rsidR="008930E8">
        <w:t>sime</w:t>
      </w:r>
      <w:r w:rsidR="00FE3BEF" w:rsidRPr="00E14EBC">
        <w:t xml:space="preserve"> lisaks üldisemalt teiste välisriikide</w:t>
      </w:r>
      <w:r w:rsidR="00AB68CA">
        <w:t>, linnade</w:t>
      </w:r>
      <w:r w:rsidR="00FE3BEF" w:rsidRPr="00E14EBC">
        <w:t xml:space="preserve"> ja piirkondade kohta tehtud analüüse ja ülevaateid (nt Barcelona, Iirimaa, Kanada, Šotimaa jt).</w:t>
      </w:r>
    </w:p>
    <w:p w14:paraId="33CDAE25" w14:textId="3BB0DEDB" w:rsidR="00B6468C" w:rsidRPr="00E14EBC" w:rsidRDefault="692F4930" w:rsidP="001118E2">
      <w:pPr>
        <w:jc w:val="both"/>
      </w:pPr>
      <w:r>
        <w:t>Plaanitust keerulisemaks osutus ka välisriikide</w:t>
      </w:r>
      <w:r w:rsidR="36255126">
        <w:t>/</w:t>
      </w:r>
      <w:r w:rsidR="1171C4E0">
        <w:t xml:space="preserve">linnade asutuste esindajate käest lisainformatsiooni saamine. </w:t>
      </w:r>
      <w:r w:rsidR="285DD934">
        <w:t>Üldiselt suuna</w:t>
      </w:r>
      <w:r w:rsidR="0BEEB9A8">
        <w:t xml:space="preserve">sid asutused </w:t>
      </w:r>
      <w:r w:rsidR="4C24F11F">
        <w:t>mei</w:t>
      </w:r>
      <w:r w:rsidR="00717FA1">
        <w:t>d</w:t>
      </w:r>
      <w:r w:rsidR="4C24F11F">
        <w:t xml:space="preserve"> </w:t>
      </w:r>
      <w:r w:rsidR="12A8866B">
        <w:t>intervjuu kutse/päring</w:t>
      </w:r>
      <w:r w:rsidR="0BEEB9A8">
        <w:t>u</w:t>
      </w:r>
      <w:r w:rsidR="12A8866B">
        <w:t xml:space="preserve"> edasi järgmisele asutusele või palu</w:t>
      </w:r>
      <w:r w:rsidR="0BEEB9A8">
        <w:t>sid</w:t>
      </w:r>
      <w:r w:rsidR="2FBCD4B5">
        <w:t xml:space="preserve"> tutvuda </w:t>
      </w:r>
      <w:r w:rsidR="00965017">
        <w:t>veebis avaldatud regulatsioonidega.</w:t>
      </w:r>
      <w:r w:rsidR="098C6C0F">
        <w:t xml:space="preserve"> </w:t>
      </w:r>
      <w:r w:rsidR="285DD934">
        <w:t>V</w:t>
      </w:r>
      <w:r w:rsidR="7C4BEE39">
        <w:t xml:space="preserve">aatamata korduvatele päringutele ja kontaktidele </w:t>
      </w:r>
      <w:r w:rsidR="49178DB4">
        <w:t xml:space="preserve">(sh samas riigis/linnas mitmetele erinevatele asutustele ja üksustele) </w:t>
      </w:r>
      <w:r w:rsidR="7C4BEE39">
        <w:t>nii e-</w:t>
      </w:r>
      <w:r w:rsidR="0E12A23E">
        <w:t>posti</w:t>
      </w:r>
      <w:r w:rsidR="7C4BEE39">
        <w:t xml:space="preserve"> kui telefoni </w:t>
      </w:r>
      <w:r w:rsidR="6622F65C">
        <w:t xml:space="preserve">teel </w:t>
      </w:r>
      <w:r w:rsidR="7C4BEE39">
        <w:t>(sh kohalikus keeles)</w:t>
      </w:r>
      <w:r w:rsidR="55B1E105">
        <w:t>,</w:t>
      </w:r>
      <w:r w:rsidR="5BFC1F93">
        <w:t xml:space="preserve"> </w:t>
      </w:r>
      <w:r w:rsidR="32681800">
        <w:t>saime</w:t>
      </w:r>
      <w:r w:rsidR="5BFC1F93">
        <w:t xml:space="preserve"> vastused vaid osade refer</w:t>
      </w:r>
      <w:r w:rsidR="10F7116F">
        <w:t>e</w:t>
      </w:r>
      <w:r w:rsidR="5BFC1F93">
        <w:t>ntsriikide/linnade käest</w:t>
      </w:r>
      <w:r w:rsidR="7C4BEE39">
        <w:t xml:space="preserve">. Täiendavad päringud </w:t>
      </w:r>
      <w:r w:rsidR="32681800">
        <w:t>tegime</w:t>
      </w:r>
      <w:r w:rsidR="7C4BEE39">
        <w:t xml:space="preserve"> ka Barcelona linnavalitsusele ja Iirimaa vastavale ministeeriumile, kuid need </w:t>
      </w:r>
      <w:r w:rsidR="7E691394">
        <w:t xml:space="preserve">jäid ka peale </w:t>
      </w:r>
      <w:r w:rsidR="00965017">
        <w:t xml:space="preserve">korduvaid </w:t>
      </w:r>
      <w:r w:rsidR="7E691394">
        <w:t>meeldetule</w:t>
      </w:r>
      <w:r w:rsidR="00965017">
        <w:t xml:space="preserve">tusi </w:t>
      </w:r>
      <w:r w:rsidR="7E691394">
        <w:t>vastuseta.</w:t>
      </w:r>
      <w:r w:rsidR="6CABAC85">
        <w:t xml:space="preserve"> Uuringu tulemusi see otseselt ei mõjuta</w:t>
      </w:r>
      <w:r w:rsidR="00A0748B">
        <w:t>nud</w:t>
      </w:r>
      <w:r w:rsidR="6CABAC85">
        <w:t>.</w:t>
      </w:r>
    </w:p>
    <w:p w14:paraId="7896CC6E" w14:textId="5994E7A0" w:rsidR="001D42A8" w:rsidRPr="00E14EBC" w:rsidRDefault="001D42A8" w:rsidP="00392736">
      <w:pPr>
        <w:jc w:val="both"/>
        <w:rPr>
          <w:rStyle w:val="PurpleText"/>
        </w:rPr>
      </w:pPr>
      <w:r w:rsidRPr="00E14EBC">
        <w:rPr>
          <w:rStyle w:val="PurpleText"/>
        </w:rPr>
        <w:t>Intervjuud</w:t>
      </w:r>
      <w:r w:rsidR="00B824C4" w:rsidRPr="00E14EBC">
        <w:rPr>
          <w:rStyle w:val="PurpleText"/>
        </w:rPr>
        <w:t xml:space="preserve"> ja kirjalikud päringud</w:t>
      </w:r>
    </w:p>
    <w:p w14:paraId="5B912AC9" w14:textId="0B6253A6" w:rsidR="00EF2F37" w:rsidRPr="00E14EBC" w:rsidRDefault="00D82F02" w:rsidP="00F12CD3">
      <w:pPr>
        <w:jc w:val="both"/>
      </w:pPr>
      <w:r w:rsidRPr="00E14EBC">
        <w:t>Uuringus kasutatud p</w:t>
      </w:r>
      <w:r w:rsidR="00B37E8E" w:rsidRPr="00E14EBC">
        <w:t>rimaaran</w:t>
      </w:r>
      <w:r w:rsidRPr="00E14EBC">
        <w:t>dmed k</w:t>
      </w:r>
      <w:r w:rsidR="00B37E8E" w:rsidRPr="00E14EBC">
        <w:t>ogu</w:t>
      </w:r>
      <w:r w:rsidR="00907785">
        <w:t>sime</w:t>
      </w:r>
      <w:r w:rsidR="00B37E8E" w:rsidRPr="00E14EBC">
        <w:t xml:space="preserve"> </w:t>
      </w:r>
      <w:r w:rsidR="00E160A6" w:rsidRPr="00E14EBC">
        <w:t>intervjuude kaudu. Kasuta</w:t>
      </w:r>
      <w:r w:rsidR="00907785">
        <w:t>sime</w:t>
      </w:r>
      <w:r w:rsidR="00E160A6" w:rsidRPr="00E14EBC">
        <w:t xml:space="preserve"> poolstruktureeritud </w:t>
      </w:r>
      <w:r w:rsidR="005E59EC" w:rsidRPr="00E14EBC">
        <w:t xml:space="preserve">personaal- ja grupiintervjuusid. </w:t>
      </w:r>
      <w:r w:rsidR="00B50E4F" w:rsidRPr="00E14EBC">
        <w:t>Grupiintervjuud olid asutuse/organistiooni põhised. Neid kasuta</w:t>
      </w:r>
      <w:r w:rsidR="00EB7EAA">
        <w:t>sime</w:t>
      </w:r>
      <w:r w:rsidR="00B50E4F" w:rsidRPr="00E14EBC">
        <w:t xml:space="preserve"> juhul</w:t>
      </w:r>
      <w:r w:rsidR="00DD6724">
        <w:t>,</w:t>
      </w:r>
      <w:r w:rsidR="00B50E4F" w:rsidRPr="00E14EBC">
        <w:t xml:space="preserve"> kui samast asutusest/organistioonist osales mitu inimest, kelle kogemused ja teadmised olid üksteist täiendavad.</w:t>
      </w:r>
    </w:p>
    <w:p w14:paraId="76948898" w14:textId="472A7A91" w:rsidR="00CE54CA" w:rsidRPr="00E14EBC" w:rsidRDefault="00FEC186" w:rsidP="00CE54CA">
      <w:pPr>
        <w:jc w:val="both"/>
      </w:pPr>
      <w:r>
        <w:t>Kõikide intervjuude läbiviimiseks kasuta</w:t>
      </w:r>
      <w:r w:rsidR="58C10DCE">
        <w:t>sime</w:t>
      </w:r>
      <w:r>
        <w:t xml:space="preserve"> poolstruktureeritud intervjuu kava, kus intervjuu küsimused lähtusid uurimisküsimus</w:t>
      </w:r>
      <w:r w:rsidR="00382BD3">
        <w:t>t</w:t>
      </w:r>
      <w:r>
        <w:t>est ja olid jagatud teemaplokkidesse: lühiajalise üüri teenuste mõiste ja turu toimimine, õiguslik raamistik ja järelevalve, turu maht ja omadused, lühiajalise üüri teenuste sotsiaal-majanduslikud mõjud, turu arengu takistused ja sekkumise vajadus. Selliselt taga</w:t>
      </w:r>
      <w:r w:rsidR="00E0226C">
        <w:t>sime</w:t>
      </w:r>
      <w:r>
        <w:t>, et kõikidel intervjuudel käsitleti läbivalt samasid teemasid, kuid iga intervjuu jaoks kohandati kava ja küsimuste sõnastust vastavalt intervjueeritava rollile, taustale ja se</w:t>
      </w:r>
      <w:r w:rsidR="635D3A78">
        <w:t>o</w:t>
      </w:r>
      <w:r>
        <w:t>tusele lühiajalise üüri turuga. Intervjueeritava soovil saa</w:t>
      </w:r>
      <w:r w:rsidR="58C10DCE">
        <w:t>tsime</w:t>
      </w:r>
      <w:r>
        <w:t xml:space="preserve"> talle enne intervjuu toimumist intervjuude teemad ja olulisemad küsimused ette.</w:t>
      </w:r>
      <w:r w:rsidR="00E0036E">
        <w:t xml:space="preserve"> </w:t>
      </w:r>
      <w:r w:rsidR="00CE54CA" w:rsidRPr="00E14EBC">
        <w:t xml:space="preserve">Intervjuude kvaliteedi tagamiseks </w:t>
      </w:r>
      <w:r w:rsidR="00EB457B">
        <w:t>koosta</w:t>
      </w:r>
      <w:r w:rsidR="0051226C">
        <w:t>sime</w:t>
      </w:r>
      <w:r w:rsidR="00CE54CA" w:rsidRPr="00E14EBC">
        <w:t xml:space="preserve"> </w:t>
      </w:r>
      <w:r w:rsidR="002518EF" w:rsidRPr="00E14EBC">
        <w:t>moderaatori</w:t>
      </w:r>
      <w:r w:rsidR="00CE54CA" w:rsidRPr="00E14EBC">
        <w:t xml:space="preserve"> jaoks tööleh</w:t>
      </w:r>
      <w:r w:rsidR="00ED439D">
        <w:t>e</w:t>
      </w:r>
      <w:r w:rsidR="00CE54CA" w:rsidRPr="00E14EBC">
        <w:t xml:space="preserve"> koos olulisemate lühiajalise üüri teenuseid puudutavate õigusaktide väljavõtetega, turu mahtu iseloomustava statistika jms lisamaterjaliga, mida </w:t>
      </w:r>
      <w:r w:rsidR="00317559" w:rsidRPr="00E14EBC">
        <w:t>moderaator</w:t>
      </w:r>
      <w:r w:rsidR="00CE54CA" w:rsidRPr="00E14EBC">
        <w:t xml:space="preserve"> sai intervjuul toetava materjalina </w:t>
      </w:r>
      <w:r w:rsidR="007E67E6" w:rsidRPr="00E14EBC">
        <w:t xml:space="preserve">(lisa)küsimuste esitamisel </w:t>
      </w:r>
      <w:r w:rsidR="00CE54CA" w:rsidRPr="00E14EBC">
        <w:t>kasutada.</w:t>
      </w:r>
    </w:p>
    <w:p w14:paraId="0ED97D4C" w14:textId="4C9AA52E" w:rsidR="00CE54CA" w:rsidRPr="00E14EBC" w:rsidRDefault="45E77A7B" w:rsidP="00F12CD3">
      <w:pPr>
        <w:jc w:val="both"/>
      </w:pPr>
      <w:r>
        <w:lastRenderedPageBreak/>
        <w:t xml:space="preserve">Intervjuude kestus </w:t>
      </w:r>
      <w:r w:rsidR="6C057D1B">
        <w:t xml:space="preserve">oli 35 minutist kuni 2 tunnini, </w:t>
      </w:r>
      <w:r w:rsidR="0DE118DC">
        <w:t xml:space="preserve">enamik intervjuusid olid pikkusega </w:t>
      </w:r>
      <w:r w:rsidR="0DE118DC" w:rsidRPr="008A108C">
        <w:rPr>
          <w:i/>
          <w:iCs/>
        </w:rPr>
        <w:t>c</w:t>
      </w:r>
      <w:r w:rsidR="6C057D1B" w:rsidRPr="008A108C">
        <w:rPr>
          <w:i/>
          <w:iCs/>
        </w:rPr>
        <w:t>a</w:t>
      </w:r>
      <w:r w:rsidR="6C057D1B">
        <w:t xml:space="preserve"> 1 tund. </w:t>
      </w:r>
      <w:r w:rsidR="2C501A07">
        <w:t>Kõik intervjuud vii</w:t>
      </w:r>
      <w:r w:rsidR="008A7DB8">
        <w:t>sime</w:t>
      </w:r>
      <w:r w:rsidR="2C501A07">
        <w:t xml:space="preserve"> läbi veebi teel MS Teams või GoogleMeet videoruumi kasutades. </w:t>
      </w:r>
      <w:r w:rsidR="6C057D1B">
        <w:t>Enamik interv</w:t>
      </w:r>
      <w:r w:rsidR="2D602944">
        <w:t>juusid salvesta</w:t>
      </w:r>
      <w:r w:rsidR="00DC2E9A">
        <w:t>sime</w:t>
      </w:r>
      <w:r w:rsidR="2D602944">
        <w:t xml:space="preserve"> osaliste nõusolekul</w:t>
      </w:r>
      <w:r w:rsidR="1EF41BFE">
        <w:t xml:space="preserve"> ning hiljem koosta</w:t>
      </w:r>
      <w:r w:rsidR="00DC2E9A">
        <w:t>sime</w:t>
      </w:r>
      <w:r w:rsidR="1EF41BFE">
        <w:t xml:space="preserve"> </w:t>
      </w:r>
      <w:r w:rsidR="2648DF97">
        <w:t xml:space="preserve">salvestuste alusel </w:t>
      </w:r>
      <w:r w:rsidR="1EF41BFE">
        <w:t xml:space="preserve">põhjalikud kokkuvõtted. </w:t>
      </w:r>
      <w:r w:rsidR="4D21E58A">
        <w:t>Mõnel</w:t>
      </w:r>
      <w:r w:rsidR="1EF41BFE">
        <w:t xml:space="preserve"> intervjuu</w:t>
      </w:r>
      <w:r w:rsidR="4D21E58A">
        <w:t>l</w:t>
      </w:r>
      <w:r w:rsidR="1EF41BFE">
        <w:t xml:space="preserve"> te</w:t>
      </w:r>
      <w:r w:rsidR="00DC2E9A">
        <w:t>gime</w:t>
      </w:r>
      <w:r w:rsidR="1EF41BFE">
        <w:t xml:space="preserve"> kokkuvõtted kohe intervjuu käigus (nt juhul kui intervjuul osales kaks uurijat</w:t>
      </w:r>
      <w:r w:rsidR="038B7606">
        <w:t>, kellest üks modereeris intervjuud ja teine tegi kokkuvõtte;</w:t>
      </w:r>
      <w:r w:rsidR="1EF41BFE">
        <w:t xml:space="preserve"> või kui </w:t>
      </w:r>
      <w:r w:rsidR="05AA1811">
        <w:t>intervjuu oli sisu poole</w:t>
      </w:r>
      <w:r w:rsidR="038B7606">
        <w:t>s</w:t>
      </w:r>
      <w:r w:rsidR="05AA1811">
        <w:t>t lühem ja kattis vähem teemasid).</w:t>
      </w:r>
    </w:p>
    <w:p w14:paraId="168CB139" w14:textId="4ED22275" w:rsidR="00216123" w:rsidRPr="00E14EBC" w:rsidRDefault="67FF0645" w:rsidP="00F12CD3">
      <w:pPr>
        <w:jc w:val="both"/>
      </w:pPr>
      <w:r>
        <w:t xml:space="preserve">Turuosaliste huvi </w:t>
      </w:r>
      <w:r w:rsidR="43CA93A5">
        <w:t xml:space="preserve">ja motivatsioon </w:t>
      </w:r>
      <w:r>
        <w:t>intervjuude</w:t>
      </w:r>
      <w:r w:rsidR="43CA93A5">
        <w:t>l osaleda oli üldiselt kõrge</w:t>
      </w:r>
      <w:r w:rsidR="65D58430">
        <w:t xml:space="preserve">. </w:t>
      </w:r>
      <w:r w:rsidR="094C0093">
        <w:t xml:space="preserve">Teistega võrreldes oli madalam huvi kinnisvara müügiga tegeleval sektoril. </w:t>
      </w:r>
      <w:r w:rsidR="42D15313">
        <w:t>Intervjuu</w:t>
      </w:r>
      <w:r w:rsidR="666DCBCC">
        <w:t xml:space="preserve"> kutse </w:t>
      </w:r>
      <w:r w:rsidR="51436BA0">
        <w:t xml:space="preserve">ja mitu meeldetuletust </w:t>
      </w:r>
      <w:r w:rsidR="666DCBCC">
        <w:t>saa</w:t>
      </w:r>
      <w:r w:rsidR="008C5A55">
        <w:t>tsime</w:t>
      </w:r>
      <w:r w:rsidR="666DCBCC">
        <w:t xml:space="preserve"> </w:t>
      </w:r>
      <w:r w:rsidR="43BA3C5B">
        <w:t>kaheksale kinnisvara müügiga ja</w:t>
      </w:r>
      <w:r w:rsidR="51436BA0">
        <w:t>/või</w:t>
      </w:r>
      <w:r w:rsidR="43BA3C5B">
        <w:t xml:space="preserve"> üürimisega tegelevale </w:t>
      </w:r>
      <w:r w:rsidR="5D45C791">
        <w:t>firmale</w:t>
      </w:r>
      <w:r w:rsidR="79DB759F">
        <w:t>. Nendes</w:t>
      </w:r>
      <w:r w:rsidR="6432F914">
        <w:t>t</w:t>
      </w:r>
      <w:r w:rsidR="79DB759F">
        <w:t xml:space="preserve"> </w:t>
      </w:r>
      <w:r w:rsidR="1B253F73">
        <w:t>kaks</w:t>
      </w:r>
      <w:r w:rsidR="4F5F131C">
        <w:t xml:space="preserve"> vastas</w:t>
      </w:r>
      <w:r w:rsidR="1B253F73">
        <w:t>id</w:t>
      </w:r>
      <w:r w:rsidR="3B4892F5">
        <w:t xml:space="preserve"> (sh </w:t>
      </w:r>
      <w:r w:rsidR="25B1F7A7">
        <w:t>nendest</w:t>
      </w:r>
      <w:r w:rsidR="3B4892F5">
        <w:t xml:space="preserve"> üks tegeleb lisaks müügile ka ar</w:t>
      </w:r>
      <w:r w:rsidR="2BF3A304">
        <w:t>endusega)</w:t>
      </w:r>
      <w:r w:rsidR="1B253F73">
        <w:t>,</w:t>
      </w:r>
      <w:r w:rsidR="4F5F131C">
        <w:t xml:space="preserve"> et nende hinnangul ei pu</w:t>
      </w:r>
      <w:r w:rsidR="1609987D">
        <w:t xml:space="preserve">uduta </w:t>
      </w:r>
      <w:r w:rsidR="12054522">
        <w:t xml:space="preserve">lühiajalise üüri teenus ja turg </w:t>
      </w:r>
      <w:r w:rsidR="5E630690">
        <w:t>kinnisvara müük</w:t>
      </w:r>
      <w:r w:rsidR="12054522">
        <w:t xml:space="preserve">i </w:t>
      </w:r>
      <w:r w:rsidR="51436BA0">
        <w:t xml:space="preserve">ja nad ei oska teemat </w:t>
      </w:r>
      <w:r w:rsidR="12054522">
        <w:t xml:space="preserve">rohkem </w:t>
      </w:r>
      <w:r w:rsidR="5E630690">
        <w:t xml:space="preserve">kommenteerida. </w:t>
      </w:r>
      <w:r w:rsidR="1A964613">
        <w:t xml:space="preserve">Kinnisvara müügi ja arendusega seotud sektori nimel andis intervjuu </w:t>
      </w:r>
      <w:r w:rsidR="4CFA5735">
        <w:t>Eesti Kinnisvarafirmade Liit</w:t>
      </w:r>
      <w:r w:rsidR="7E4FBBE1">
        <w:t xml:space="preserve"> ning lisaks üks kinnisvara arendusega tegelev ettevõte</w:t>
      </w:r>
      <w:r w:rsidR="4CFA5735">
        <w:t>.</w:t>
      </w:r>
    </w:p>
    <w:p w14:paraId="482EDDEB" w14:textId="4CFFE320" w:rsidR="00D94B74" w:rsidRDefault="2437F3C0" w:rsidP="00E82E3F">
      <w:pPr>
        <w:jc w:val="both"/>
        <w:rPr>
          <w:rFonts w:ascii="Arial" w:eastAsia="Arial" w:hAnsi="Arial" w:cs="Arial"/>
        </w:rPr>
      </w:pPr>
      <w:r>
        <w:t>Võrreldes algselt planeerituga</w:t>
      </w:r>
      <w:r w:rsidR="00875177">
        <w:t xml:space="preserve"> ei teinud me</w:t>
      </w:r>
      <w:r w:rsidR="545B3B25">
        <w:t xml:space="preserve"> intervjuud</w:t>
      </w:r>
      <w:r w:rsidR="3FDB74AC">
        <w:t xml:space="preserve"> </w:t>
      </w:r>
      <w:r w:rsidR="3FDB74AC" w:rsidRPr="06639471">
        <w:rPr>
          <w:rFonts w:ascii="Arial" w:eastAsia="Arial" w:hAnsi="Arial" w:cs="Arial"/>
        </w:rPr>
        <w:t>Eesti Turismi- ja Reisifirmade Liidu ja Eesti Kaubandus-Tööstuskoja</w:t>
      </w:r>
      <w:r w:rsidR="00875177">
        <w:rPr>
          <w:rFonts w:ascii="Arial" w:eastAsia="Arial" w:hAnsi="Arial" w:cs="Arial"/>
        </w:rPr>
        <w:t xml:space="preserve"> esindajatega</w:t>
      </w:r>
      <w:r w:rsidR="3FDB74AC" w:rsidRPr="06639471">
        <w:rPr>
          <w:rFonts w:ascii="Arial" w:eastAsia="Arial" w:hAnsi="Arial" w:cs="Arial"/>
        </w:rPr>
        <w:t>.</w:t>
      </w:r>
      <w:r w:rsidR="71D73015" w:rsidRPr="06639471">
        <w:rPr>
          <w:rFonts w:ascii="Arial" w:eastAsia="Arial" w:hAnsi="Arial" w:cs="Arial"/>
        </w:rPr>
        <w:t xml:space="preserve"> Eesti Turismi- ja Reisifirmade Lii</w:t>
      </w:r>
      <w:r w:rsidR="0368D6A0" w:rsidRPr="06639471">
        <w:rPr>
          <w:rFonts w:ascii="Arial" w:eastAsia="Arial" w:hAnsi="Arial" w:cs="Arial"/>
        </w:rPr>
        <w:t xml:space="preserve">t ei vastanud </w:t>
      </w:r>
      <w:r w:rsidR="5803AAE8" w:rsidRPr="06639471">
        <w:rPr>
          <w:rFonts w:ascii="Arial" w:eastAsia="Arial" w:hAnsi="Arial" w:cs="Arial"/>
        </w:rPr>
        <w:t xml:space="preserve">korduvatele </w:t>
      </w:r>
      <w:r w:rsidR="632DDFC5" w:rsidRPr="06639471">
        <w:rPr>
          <w:rFonts w:ascii="Arial" w:eastAsia="Arial" w:hAnsi="Arial" w:cs="Arial"/>
        </w:rPr>
        <w:t xml:space="preserve">intervjuu </w:t>
      </w:r>
      <w:r w:rsidR="5803AAE8" w:rsidRPr="06639471">
        <w:rPr>
          <w:rFonts w:ascii="Arial" w:eastAsia="Arial" w:hAnsi="Arial" w:cs="Arial"/>
        </w:rPr>
        <w:t>kutsetele. Eesti Kaubandus-Tööstuskojaga intervjuust loobu</w:t>
      </w:r>
      <w:r w:rsidR="00875177">
        <w:rPr>
          <w:rFonts w:ascii="Arial" w:eastAsia="Arial" w:hAnsi="Arial" w:cs="Arial"/>
        </w:rPr>
        <w:t>sime</w:t>
      </w:r>
      <w:r w:rsidR="5803AAE8" w:rsidRPr="06639471">
        <w:rPr>
          <w:rFonts w:ascii="Arial" w:eastAsia="Arial" w:hAnsi="Arial" w:cs="Arial"/>
        </w:rPr>
        <w:t xml:space="preserve">, kuna </w:t>
      </w:r>
      <w:r w:rsidR="55EC88BB" w:rsidRPr="06639471">
        <w:rPr>
          <w:rFonts w:ascii="Arial" w:eastAsia="Arial" w:hAnsi="Arial" w:cs="Arial"/>
        </w:rPr>
        <w:t>otsusta</w:t>
      </w:r>
      <w:r w:rsidR="00875177">
        <w:rPr>
          <w:rFonts w:ascii="Arial" w:eastAsia="Arial" w:hAnsi="Arial" w:cs="Arial"/>
        </w:rPr>
        <w:t>sime</w:t>
      </w:r>
      <w:r w:rsidR="55EC88BB" w:rsidRPr="06639471">
        <w:rPr>
          <w:rFonts w:ascii="Arial" w:eastAsia="Arial" w:hAnsi="Arial" w:cs="Arial"/>
        </w:rPr>
        <w:t xml:space="preserve"> teha</w:t>
      </w:r>
      <w:r w:rsidR="381D27B3" w:rsidRPr="06639471">
        <w:rPr>
          <w:rFonts w:ascii="Arial" w:eastAsia="Arial" w:hAnsi="Arial" w:cs="Arial"/>
        </w:rPr>
        <w:t xml:space="preserve"> plaanitust</w:t>
      </w:r>
      <w:r w:rsidR="55EC88BB" w:rsidRPr="06639471">
        <w:rPr>
          <w:rFonts w:ascii="Arial" w:eastAsia="Arial" w:hAnsi="Arial" w:cs="Arial"/>
        </w:rPr>
        <w:t xml:space="preserve"> rohkem intervjuusid otse </w:t>
      </w:r>
      <w:r w:rsidR="632DDFC5" w:rsidRPr="06639471">
        <w:rPr>
          <w:rFonts w:ascii="Arial" w:eastAsia="Arial" w:hAnsi="Arial" w:cs="Arial"/>
        </w:rPr>
        <w:t>turuosaliste endaga (sh lühiajalise üüri teenuse ja majutusteenuste pakkujatega).</w:t>
      </w:r>
      <w:r w:rsidR="00482EA3">
        <w:rPr>
          <w:rFonts w:ascii="Arial" w:eastAsia="Arial" w:hAnsi="Arial" w:cs="Arial"/>
        </w:rPr>
        <w:t xml:space="preserve"> </w:t>
      </w:r>
      <w:r w:rsidR="7D73F85C" w:rsidRPr="06639471">
        <w:rPr>
          <w:rFonts w:ascii="Arial" w:eastAsia="Arial" w:hAnsi="Arial" w:cs="Arial"/>
        </w:rPr>
        <w:t xml:space="preserve">Lisaks oli algselt plaanis </w:t>
      </w:r>
      <w:r w:rsidR="00337835">
        <w:rPr>
          <w:rFonts w:ascii="Arial" w:eastAsia="Arial" w:hAnsi="Arial" w:cs="Arial"/>
        </w:rPr>
        <w:t>kutsuda</w:t>
      </w:r>
      <w:r w:rsidR="00337835" w:rsidRPr="06639471">
        <w:rPr>
          <w:rFonts w:ascii="Arial" w:eastAsia="Arial" w:hAnsi="Arial" w:cs="Arial"/>
        </w:rPr>
        <w:t xml:space="preserve"> </w:t>
      </w:r>
      <w:r w:rsidR="7D73F85C" w:rsidRPr="06639471">
        <w:rPr>
          <w:rFonts w:ascii="Arial" w:eastAsia="Arial" w:hAnsi="Arial" w:cs="Arial"/>
        </w:rPr>
        <w:t xml:space="preserve">erinevatest organisatsioonidest ja asutustest intervjuul osalema </w:t>
      </w:r>
      <w:r w:rsidR="318B65F3" w:rsidRPr="06639471">
        <w:rPr>
          <w:rFonts w:ascii="Arial" w:eastAsia="Arial" w:hAnsi="Arial" w:cs="Arial"/>
        </w:rPr>
        <w:t xml:space="preserve">õigusvaldkonna taustaga esindajad. Uuringu </w:t>
      </w:r>
      <w:r w:rsidR="0FABE340" w:rsidRPr="06639471">
        <w:rPr>
          <w:rFonts w:ascii="Arial" w:eastAsia="Arial" w:hAnsi="Arial" w:cs="Arial"/>
        </w:rPr>
        <w:t>käigus aga selgus, et paremat ülevaadet turust, kehtivatest normidest jms os</w:t>
      </w:r>
      <w:r w:rsidR="57BF055A" w:rsidRPr="06639471">
        <w:rPr>
          <w:rFonts w:ascii="Arial" w:eastAsia="Arial" w:hAnsi="Arial" w:cs="Arial"/>
        </w:rPr>
        <w:t>kavad anda hoopis</w:t>
      </w:r>
      <w:r w:rsidR="0FABE340" w:rsidRPr="06639471">
        <w:rPr>
          <w:rFonts w:ascii="Arial" w:eastAsia="Arial" w:hAnsi="Arial" w:cs="Arial"/>
        </w:rPr>
        <w:t xml:space="preserve"> tegevjuhi</w:t>
      </w:r>
      <w:r w:rsidR="6AB864A5" w:rsidRPr="06639471">
        <w:rPr>
          <w:rFonts w:ascii="Arial" w:eastAsia="Arial" w:hAnsi="Arial" w:cs="Arial"/>
        </w:rPr>
        <w:t>d või muud igapäevaselt uuritava teemaga kokku puutuvad spetsialistid.</w:t>
      </w:r>
    </w:p>
    <w:p w14:paraId="4AB37C0C" w14:textId="663ED3BB" w:rsidR="00F976DD" w:rsidRDefault="1B0EE38E" w:rsidP="00DF649B">
      <w:pPr>
        <w:jc w:val="both"/>
      </w:pPr>
      <w:r>
        <w:t>SA-ga</w:t>
      </w:r>
      <w:r w:rsidR="22A01AE2">
        <w:t xml:space="preserve"> toimus </w:t>
      </w:r>
      <w:r w:rsidR="7A1C6B6C">
        <w:t xml:space="preserve">suhtlus </w:t>
      </w:r>
      <w:r w:rsidR="59564B89">
        <w:t>statistika kogumise, andmekoosseisu</w:t>
      </w:r>
      <w:r w:rsidR="7A1C6B6C">
        <w:t>de</w:t>
      </w:r>
      <w:r w:rsidR="59564B89">
        <w:t xml:space="preserve"> jms osas </w:t>
      </w:r>
      <w:r w:rsidR="56C16B81">
        <w:t>projekti käigus e-</w:t>
      </w:r>
      <w:r w:rsidR="6F22FE60">
        <w:t>posti</w:t>
      </w:r>
      <w:r w:rsidR="56C16B81">
        <w:t xml:space="preserve"> teel </w:t>
      </w:r>
      <w:r w:rsidR="7AABD920">
        <w:t>ning ka juhtrühma jt kohtumiste kaudu. Selliselt sa</w:t>
      </w:r>
      <w:r w:rsidR="006A68E2">
        <w:t>ime</w:t>
      </w:r>
      <w:r w:rsidR="7AABD920">
        <w:t xml:space="preserve"> juba vastused </w:t>
      </w:r>
      <w:r w:rsidR="6DEB41B2">
        <w:t>SA-</w:t>
      </w:r>
      <w:r w:rsidR="006A68E2">
        <w:t>d</w:t>
      </w:r>
      <w:r>
        <w:t xml:space="preserve"> puu</w:t>
      </w:r>
      <w:r w:rsidR="6DEB41B2">
        <w:t xml:space="preserve">dutavatele küsimustele, mistõttu eraldi intervjuud ei </w:t>
      </w:r>
      <w:r w:rsidR="009509BA">
        <w:t>teinud</w:t>
      </w:r>
      <w:r w:rsidR="6DEB41B2">
        <w:t>.</w:t>
      </w:r>
      <w:r w:rsidR="381D27B3">
        <w:t xml:space="preserve"> PPA</w:t>
      </w:r>
      <w:r w:rsidR="684CF741">
        <w:t>-ga</w:t>
      </w:r>
      <w:r w:rsidR="381D27B3">
        <w:t xml:space="preserve"> vii</w:t>
      </w:r>
      <w:r w:rsidR="006A68E2">
        <w:t>sime</w:t>
      </w:r>
      <w:r w:rsidR="381D27B3">
        <w:t xml:space="preserve"> esmalt läbi lühem</w:t>
      </w:r>
      <w:r w:rsidR="00DE3C84">
        <w:t>a</w:t>
      </w:r>
      <w:r w:rsidR="381D27B3">
        <w:t xml:space="preserve"> telefoniintervjuu, mille jätkuna PPA vastas täiendavalt küsimustele kirjaliku päringu vormis.</w:t>
      </w:r>
    </w:p>
    <w:p w14:paraId="0C7EF253" w14:textId="081EF38E" w:rsidR="005A6E25" w:rsidRPr="00E14EBC" w:rsidRDefault="005A6E25" w:rsidP="00DF649B">
      <w:pPr>
        <w:jc w:val="both"/>
        <w:rPr>
          <w:rFonts w:ascii="Arial" w:eastAsia="Arial" w:hAnsi="Arial" w:cs="Arial"/>
        </w:rPr>
      </w:pPr>
      <w:r>
        <w:t>K</w:t>
      </w:r>
      <w:r w:rsidR="00585AB4">
        <w:t xml:space="preserve">olm </w:t>
      </w:r>
      <w:r w:rsidR="000E608A">
        <w:t>lisa</w:t>
      </w:r>
      <w:r w:rsidR="00585AB4">
        <w:t xml:space="preserve">intervjuud (kordusintervjuud </w:t>
      </w:r>
      <w:r w:rsidR="00D31ADF">
        <w:t xml:space="preserve">PA </w:t>
      </w:r>
      <w:r w:rsidR="00674A75">
        <w:t xml:space="preserve">ja </w:t>
      </w:r>
      <w:r w:rsidR="00585AB4">
        <w:t>PPA</w:t>
      </w:r>
      <w:r w:rsidR="009E63FE">
        <w:t xml:space="preserve">-ga ning </w:t>
      </w:r>
      <w:r w:rsidR="00B902C8">
        <w:t xml:space="preserve">ühine </w:t>
      </w:r>
      <w:r w:rsidR="009E63FE">
        <w:t>intervjuu R</w:t>
      </w:r>
      <w:r w:rsidR="00D144E2">
        <w:t xml:space="preserve">iigi </w:t>
      </w:r>
      <w:r w:rsidR="009E63FE">
        <w:t>I</w:t>
      </w:r>
      <w:r w:rsidR="00D144E2">
        <w:t xml:space="preserve">nfosüsteemide </w:t>
      </w:r>
      <w:r w:rsidR="009E63FE">
        <w:t>A</w:t>
      </w:r>
      <w:r w:rsidR="00D144E2">
        <w:t>meti</w:t>
      </w:r>
      <w:r w:rsidR="009E63FE">
        <w:t xml:space="preserve"> ja MKM esindajatega) </w:t>
      </w:r>
      <w:r w:rsidR="00585AB4">
        <w:t>ja ü</w:t>
      </w:r>
      <w:r w:rsidR="009509BA">
        <w:t>he</w:t>
      </w:r>
      <w:r w:rsidR="00585AB4">
        <w:t xml:space="preserve"> andmepäring</w:t>
      </w:r>
      <w:r w:rsidR="009509BA">
        <w:t>u</w:t>
      </w:r>
      <w:r w:rsidR="00585AB4">
        <w:t xml:space="preserve"> </w:t>
      </w:r>
      <w:r w:rsidR="001079A8">
        <w:t xml:space="preserve">Keskkonnaministeeriumi </w:t>
      </w:r>
      <w:r w:rsidR="00B3530E">
        <w:t>Infotehnoloogiakeskusele</w:t>
      </w:r>
      <w:r w:rsidR="007A6CDC">
        <w:t xml:space="preserve"> te</w:t>
      </w:r>
      <w:r w:rsidR="009509BA">
        <w:t>gime</w:t>
      </w:r>
      <w:r w:rsidR="007A6CDC">
        <w:t xml:space="preserve"> </w:t>
      </w:r>
      <w:r w:rsidR="00517C21">
        <w:t>lõplike tulemuste ja soovituste kujundamise faasis, et täpsustada</w:t>
      </w:r>
      <w:r w:rsidR="00674A75">
        <w:t xml:space="preserve"> nende asutuste teg</w:t>
      </w:r>
      <w:r w:rsidR="0021244B">
        <w:t>evusega seotud detaile.</w:t>
      </w:r>
    </w:p>
    <w:p w14:paraId="083E03D9" w14:textId="41460505" w:rsidR="00CC10C8" w:rsidRPr="00E14EBC" w:rsidRDefault="00CC10C8" w:rsidP="002F5028">
      <w:pPr>
        <w:jc w:val="both"/>
      </w:pPr>
      <w:r w:rsidRPr="00E14EBC">
        <w:t xml:space="preserve">Kokku </w:t>
      </w:r>
      <w:r w:rsidR="001512CE">
        <w:t>vii</w:t>
      </w:r>
      <w:r w:rsidR="00182549">
        <w:t>sime</w:t>
      </w:r>
      <w:r w:rsidR="004F1AB4">
        <w:t xml:space="preserve"> läbi </w:t>
      </w:r>
      <w:r w:rsidR="008F099A">
        <w:t>intervjuud</w:t>
      </w:r>
      <w:r w:rsidR="004F1AB4">
        <w:t xml:space="preserve"> </w:t>
      </w:r>
      <w:r w:rsidRPr="00E14EBC">
        <w:t xml:space="preserve">või </w:t>
      </w:r>
      <w:r w:rsidR="001512CE">
        <w:t>sa</w:t>
      </w:r>
      <w:r w:rsidR="00182549">
        <w:t>ime</w:t>
      </w:r>
      <w:r w:rsidRPr="00E14EBC">
        <w:t xml:space="preserve"> päringu teel vastus</w:t>
      </w:r>
      <w:r w:rsidR="004F1AB4">
        <w:t>ed</w:t>
      </w:r>
      <w:r w:rsidRPr="00E14EBC">
        <w:t xml:space="preserve"> 4</w:t>
      </w:r>
      <w:r w:rsidR="0021244B">
        <w:t>6</w:t>
      </w:r>
      <w:r w:rsidRPr="00E14EBC">
        <w:t xml:space="preserve"> turuosaliselt, sh poliitikakujundaja</w:t>
      </w:r>
      <w:r w:rsidR="00182549">
        <w:t>telt</w:t>
      </w:r>
      <w:r w:rsidRPr="00E14EBC">
        <w:t>, kohalik</w:t>
      </w:r>
      <w:r w:rsidR="00182549">
        <w:t>elt</w:t>
      </w:r>
      <w:r w:rsidRPr="00E14EBC">
        <w:t xml:space="preserve"> omavalitsus</w:t>
      </w:r>
      <w:r w:rsidR="00182549">
        <w:t>telt</w:t>
      </w:r>
      <w:r w:rsidRPr="00E14EBC">
        <w:t>, lühiajalise üüri teenuste ja majutusteenuste pakkuja</w:t>
      </w:r>
      <w:r w:rsidR="00182549">
        <w:t>telt</w:t>
      </w:r>
      <w:r w:rsidRPr="00E14EBC">
        <w:t>, eluaseme ja kinnisvara omamise ja arendamisega ning turismiga seotud ettevõt</w:t>
      </w:r>
      <w:r w:rsidR="00182549">
        <w:t>etelt</w:t>
      </w:r>
      <w:r w:rsidRPr="00E14EBC">
        <w:t xml:space="preserve"> ja erialalii</w:t>
      </w:r>
      <w:r w:rsidR="00182549">
        <w:t>tudelt</w:t>
      </w:r>
      <w:r w:rsidRPr="00E14EBC">
        <w:t>, erineva</w:t>
      </w:r>
      <w:r w:rsidR="00182549">
        <w:t>telt</w:t>
      </w:r>
      <w:r w:rsidRPr="00E14EBC">
        <w:t xml:space="preserve"> katusorganisatsioonid</w:t>
      </w:r>
      <w:r w:rsidR="00182549">
        <w:t>elt</w:t>
      </w:r>
      <w:r w:rsidRPr="00E14EBC">
        <w:t xml:space="preserve"> ning järelevalvet teostava</w:t>
      </w:r>
      <w:r w:rsidR="00182549">
        <w:t>telt</w:t>
      </w:r>
      <w:r w:rsidRPr="00E14EBC">
        <w:t xml:space="preserve"> asutus</w:t>
      </w:r>
      <w:r w:rsidR="00182549">
        <w:t>telt</w:t>
      </w:r>
      <w:r w:rsidRPr="00E14EBC">
        <w:t xml:space="preserve"> </w:t>
      </w:r>
      <w:r w:rsidR="00DD5F47">
        <w:t xml:space="preserve">jne </w:t>
      </w:r>
      <w:r w:rsidRPr="00E14EBC">
        <w:t xml:space="preserve">(ehk </w:t>
      </w:r>
      <w:r w:rsidR="00F94193">
        <w:t>2</w:t>
      </w:r>
      <w:r w:rsidR="009879CC">
        <w:t>1</w:t>
      </w:r>
      <w:r w:rsidRPr="00E14EBC">
        <w:t xml:space="preserve"> võrra rohkem kui algselt plaanitud 25 intervjuud). Intervjuudes osales </w:t>
      </w:r>
      <w:r w:rsidRPr="003B08ED">
        <w:t xml:space="preserve">või päringule vastas kokku </w:t>
      </w:r>
      <w:r w:rsidR="00023649">
        <w:t>6</w:t>
      </w:r>
      <w:r w:rsidRPr="003B08ED">
        <w:t xml:space="preserve">2 inimest. </w:t>
      </w:r>
      <w:r w:rsidR="005B6D65">
        <w:t>Uuringu käigus infot andnud osapoolte</w:t>
      </w:r>
      <w:r w:rsidRPr="003B08ED">
        <w:t xml:space="preserve"> täpsem nimekiri on toodud aruande lisas 7.</w:t>
      </w:r>
      <w:r w:rsidR="00077131" w:rsidRPr="003B08ED">
        <w:t xml:space="preserve"> Kokkuvõttes</w:t>
      </w:r>
      <w:r w:rsidR="00077131" w:rsidRPr="00E14EBC">
        <w:t xml:space="preserve"> saab hinnata </w:t>
      </w:r>
      <w:r w:rsidR="005B6D65">
        <w:t xml:space="preserve">turuosaliste </w:t>
      </w:r>
      <w:r w:rsidR="00077131" w:rsidRPr="00E14EBC">
        <w:t>valimit</w:t>
      </w:r>
      <w:r w:rsidR="002F5028" w:rsidRPr="00E14EBC">
        <w:t xml:space="preserve"> </w:t>
      </w:r>
      <w:r w:rsidR="003A2EAC" w:rsidRPr="00E14EBC">
        <w:t xml:space="preserve">ning </w:t>
      </w:r>
      <w:r w:rsidR="005B6D65">
        <w:t>nende antud sisendit j</w:t>
      </w:r>
      <w:r w:rsidR="0096772F" w:rsidRPr="00E14EBC">
        <w:t xml:space="preserve">ärelduste tegemise jaoks </w:t>
      </w:r>
      <w:r w:rsidR="002F5028" w:rsidRPr="00E14EBC">
        <w:t>sobilikuks ja piisavaks.</w:t>
      </w:r>
    </w:p>
    <w:p w14:paraId="1EF42148" w14:textId="1E91B690" w:rsidR="009519EC" w:rsidRPr="00E14EBC" w:rsidRDefault="00C917B6" w:rsidP="009519EC">
      <w:pPr>
        <w:jc w:val="both"/>
        <w:rPr>
          <w:rStyle w:val="PurpleText"/>
        </w:rPr>
      </w:pPr>
      <w:r>
        <w:rPr>
          <w:rStyle w:val="PurpleText"/>
        </w:rPr>
        <w:t>A</w:t>
      </w:r>
      <w:r w:rsidR="009519EC" w:rsidRPr="00E14EBC">
        <w:rPr>
          <w:rStyle w:val="PurpleText"/>
        </w:rPr>
        <w:t xml:space="preserve">ndmete </w:t>
      </w:r>
      <w:r w:rsidR="006A7F63" w:rsidRPr="00E14EBC">
        <w:rPr>
          <w:rStyle w:val="PurpleText"/>
        </w:rPr>
        <w:t>analüüsi</w:t>
      </w:r>
      <w:r w:rsidR="006A7F63">
        <w:rPr>
          <w:rStyle w:val="PurpleText"/>
        </w:rPr>
        <w:t>mine</w:t>
      </w:r>
    </w:p>
    <w:p w14:paraId="7A436933" w14:textId="4CD4DB1A" w:rsidR="00647F5C" w:rsidRPr="00E14EBC" w:rsidRDefault="009519EC" w:rsidP="00647F5C">
      <w:pPr>
        <w:jc w:val="both"/>
      </w:pPr>
      <w:r w:rsidRPr="00E14EBC">
        <w:t xml:space="preserve">Dokumendi- ja teaduskirjanduse </w:t>
      </w:r>
      <w:r w:rsidR="005C22C5" w:rsidRPr="00E14EBC">
        <w:t>ning õigusli</w:t>
      </w:r>
      <w:r w:rsidR="005574B0" w:rsidRPr="00E14EBC">
        <w:t xml:space="preserve">ke regulatsioonide </w:t>
      </w:r>
      <w:r w:rsidRPr="00E14EBC">
        <w:t>analüüsimisel kasuta</w:t>
      </w:r>
      <w:r w:rsidR="008132ED">
        <w:t>sime</w:t>
      </w:r>
      <w:r w:rsidRPr="00E14EBC">
        <w:t xml:space="preserve"> kvalitatiivset sisuanalüüsi meetodit ja interpreteerimismeetodit.</w:t>
      </w:r>
      <w:r w:rsidR="007B57E8">
        <w:t xml:space="preserve"> </w:t>
      </w:r>
      <w:r w:rsidR="00D20E3C" w:rsidRPr="00E14EBC">
        <w:t xml:space="preserve">Intervjuude </w:t>
      </w:r>
      <w:r w:rsidR="00B824C4" w:rsidRPr="00E14EBC">
        <w:t xml:space="preserve">ja kirjalike päringute </w:t>
      </w:r>
      <w:r w:rsidR="0002634E" w:rsidRPr="00E14EBC">
        <w:lastRenderedPageBreak/>
        <w:t xml:space="preserve">tulemused </w:t>
      </w:r>
      <w:r w:rsidR="00B12F66" w:rsidRPr="00E14EBC">
        <w:t>grupeeri</w:t>
      </w:r>
      <w:r w:rsidR="007B57E8">
        <w:t>sime</w:t>
      </w:r>
      <w:r w:rsidR="00B12F66" w:rsidRPr="00E14EBC">
        <w:t xml:space="preserve"> esmalt turuosaliste rollide kaupa. Seejärel </w:t>
      </w:r>
      <w:r w:rsidR="007B57E8">
        <w:t xml:space="preserve">kodeerisime </w:t>
      </w:r>
      <w:r w:rsidR="00B12F66" w:rsidRPr="00E14EBC">
        <w:t>tulemused avatud meetodil, ko</w:t>
      </w:r>
      <w:r w:rsidR="00E06275" w:rsidRPr="00E14EBC">
        <w:t>odid grupeeri</w:t>
      </w:r>
      <w:r w:rsidR="007B57E8">
        <w:t>sime</w:t>
      </w:r>
      <w:r w:rsidR="00E06275" w:rsidRPr="00E14EBC">
        <w:t xml:space="preserve"> suuremateks teemaplokkideks</w:t>
      </w:r>
      <w:r w:rsidR="00647F5C" w:rsidRPr="00E14EBC">
        <w:t>. Tulemus</w:t>
      </w:r>
      <w:r w:rsidR="008C153C" w:rsidRPr="00E14EBC">
        <w:t>ed</w:t>
      </w:r>
      <w:r w:rsidR="00647F5C" w:rsidRPr="00E14EBC">
        <w:t xml:space="preserve"> </w:t>
      </w:r>
      <w:r w:rsidR="009658A8" w:rsidRPr="00E14EBC">
        <w:t>sünteesi</w:t>
      </w:r>
      <w:r w:rsidR="007B57E8">
        <w:t>sime</w:t>
      </w:r>
      <w:r w:rsidR="00647F5C" w:rsidRPr="00E14EBC">
        <w:t xml:space="preserve"> </w:t>
      </w:r>
      <w:r w:rsidR="009658A8" w:rsidRPr="00E14EBC">
        <w:t>interpreteerimise ja kvalitatiivse sisuanalüüsi meetodi</w:t>
      </w:r>
      <w:r w:rsidR="00647F5C" w:rsidRPr="00E14EBC">
        <w:t>tega.</w:t>
      </w:r>
    </w:p>
    <w:p w14:paraId="4FCAB81E" w14:textId="5F7C695B" w:rsidR="009519EC" w:rsidRPr="00E14EBC" w:rsidRDefault="009519EC" w:rsidP="009519EC">
      <w:pPr>
        <w:jc w:val="both"/>
      </w:pPr>
      <w:r w:rsidRPr="00E14EBC">
        <w:t>Kvantitatiivsete andmetena kasuta</w:t>
      </w:r>
      <w:r w:rsidR="008132ED">
        <w:t>sime</w:t>
      </w:r>
      <w:r w:rsidRPr="00E14EBC">
        <w:t xml:space="preserve"> sekundaarandmeid. Asutustele tehtud päringutega taotle</w:t>
      </w:r>
      <w:r w:rsidR="008132ED">
        <w:t>sime</w:t>
      </w:r>
      <w:r w:rsidR="00817A75">
        <w:t xml:space="preserve"> SA </w:t>
      </w:r>
      <w:r w:rsidRPr="00E14EBC">
        <w:t xml:space="preserve">majutusstatistika, Eurostati eksperimentaalstatistika ja MTA DAC7 alusel platvormidelt saadud andmed. </w:t>
      </w:r>
      <w:r w:rsidR="009B0D63" w:rsidRPr="00E14EBC">
        <w:t xml:space="preserve">SA-ga ja MTA-ga toimusid </w:t>
      </w:r>
      <w:r w:rsidR="003A3777" w:rsidRPr="00E14EBC">
        <w:t>esmalt</w:t>
      </w:r>
      <w:r w:rsidR="009B0D63" w:rsidRPr="00E14EBC">
        <w:t xml:space="preserve"> </w:t>
      </w:r>
      <w:r w:rsidR="006A026B" w:rsidRPr="00E14EBC">
        <w:t xml:space="preserve">kohtumised, et </w:t>
      </w:r>
      <w:r w:rsidR="00E705CD" w:rsidRPr="00E14EBC">
        <w:t>kokku</w:t>
      </w:r>
      <w:r w:rsidR="003A3777" w:rsidRPr="00E14EBC">
        <w:t xml:space="preserve"> </w:t>
      </w:r>
      <w:r w:rsidR="00E705CD" w:rsidRPr="00E14EBC">
        <w:t>leppida</w:t>
      </w:r>
      <w:r w:rsidR="006A026B" w:rsidRPr="00E14EBC">
        <w:t xml:space="preserve"> pär</w:t>
      </w:r>
      <w:r w:rsidR="00300BC3" w:rsidRPr="00E14EBC">
        <w:t xml:space="preserve">ingu sisu </w:t>
      </w:r>
      <w:r w:rsidR="006A026B" w:rsidRPr="00E14EBC">
        <w:t>ning</w:t>
      </w:r>
      <w:r w:rsidR="009B0D63" w:rsidRPr="00E14EBC">
        <w:t xml:space="preserve"> </w:t>
      </w:r>
      <w:r w:rsidR="006A026B" w:rsidRPr="00E14EBC">
        <w:t xml:space="preserve">peale </w:t>
      </w:r>
      <w:r w:rsidR="00E705CD" w:rsidRPr="00E14EBC">
        <w:t xml:space="preserve">andmete </w:t>
      </w:r>
      <w:r w:rsidR="009B0D63" w:rsidRPr="00E14EBC">
        <w:t>saamis</w:t>
      </w:r>
      <w:r w:rsidR="006A026B" w:rsidRPr="00E14EBC">
        <w:t>t</w:t>
      </w:r>
      <w:r w:rsidR="009B0D63" w:rsidRPr="00E14EBC">
        <w:t xml:space="preserve"> täiendav suhtlus, et täpsustada saadud andmete </w:t>
      </w:r>
      <w:r w:rsidR="00300BC3" w:rsidRPr="00E14EBC">
        <w:t xml:space="preserve">koosseisu ja </w:t>
      </w:r>
      <w:r w:rsidR="002A1B96">
        <w:t xml:space="preserve">kogumise </w:t>
      </w:r>
      <w:r w:rsidR="002470E7" w:rsidRPr="00E14EBC">
        <w:t>metoodikat</w:t>
      </w:r>
      <w:r w:rsidR="009B0D63" w:rsidRPr="00E14EBC">
        <w:t xml:space="preserve">. </w:t>
      </w:r>
      <w:r w:rsidR="00FD4E5A" w:rsidRPr="00E14EBC">
        <w:t>Kvantitatiivsete andmete allikatena</w:t>
      </w:r>
      <w:r w:rsidRPr="00E14EBC">
        <w:t xml:space="preserve"> kasuta</w:t>
      </w:r>
      <w:r w:rsidR="00531BA7">
        <w:t>sime</w:t>
      </w:r>
      <w:r w:rsidRPr="00E14EBC">
        <w:t xml:space="preserve"> </w:t>
      </w:r>
      <w:r w:rsidR="00FD4E5A" w:rsidRPr="00E14EBC">
        <w:t xml:space="preserve">ka </w:t>
      </w:r>
      <w:r w:rsidRPr="00E14EBC">
        <w:t>EIS-i lühiajaliste üüripindade töölauda</w:t>
      </w:r>
      <w:r w:rsidRPr="00E14EBC">
        <w:rPr>
          <w:rStyle w:val="FootnoteReference"/>
        </w:rPr>
        <w:footnoteReference w:id="9"/>
      </w:r>
      <w:r w:rsidRPr="00E14EBC">
        <w:t xml:space="preserve"> ning erinevate veebiplatvormide avaandmeid (nt AirDNA, Airbnb, VRBO, Doorbll,</w:t>
      </w:r>
      <w:r w:rsidR="00B7799E" w:rsidRPr="00E14EBC">
        <w:t xml:space="preserve"> </w:t>
      </w:r>
      <w:r w:rsidRPr="00E14EBC">
        <w:t>AirROI jt). Lisaks vii</w:t>
      </w:r>
      <w:r w:rsidR="00531BA7">
        <w:t>sime</w:t>
      </w:r>
      <w:r w:rsidRPr="00E14EBC">
        <w:t xml:space="preserve"> läbi testandmekraapimi</w:t>
      </w:r>
      <w:r w:rsidR="00531BA7">
        <w:t>s</w:t>
      </w:r>
      <w:r w:rsidRPr="00E14EBC">
        <w:t>e valitud veebiplatvormidel.</w:t>
      </w:r>
      <w:r w:rsidR="00FB6038">
        <w:t xml:space="preserve"> </w:t>
      </w:r>
      <w:r w:rsidRPr="00E14EBC">
        <w:t xml:space="preserve">Kvantitatiivsete andmete kogumist ja analüüsi </w:t>
      </w:r>
      <w:r w:rsidR="009B0D63" w:rsidRPr="00E14EBC">
        <w:t xml:space="preserve">ning sellega seotud tähelepanekuid </w:t>
      </w:r>
      <w:r w:rsidRPr="00E14EBC">
        <w:t>on lähemalt kirjeldatud aruande peatükis 2.</w:t>
      </w:r>
    </w:p>
    <w:p w14:paraId="05B5A6E6" w14:textId="6290A3F8" w:rsidR="4AAEEE2B" w:rsidRPr="00E14EBC" w:rsidRDefault="4AAEEE2B" w:rsidP="4AAEEE2B">
      <w:pPr>
        <w:jc w:val="both"/>
      </w:pPr>
      <w:r w:rsidRPr="00E14EBC">
        <w:rPr>
          <w:rFonts w:eastAsiaTheme="minorEastAsia"/>
          <w:szCs w:val="24"/>
        </w:rPr>
        <w:t>Ökonomeetrilist mudeldamist kasuta</w:t>
      </w:r>
      <w:r w:rsidR="00531BA7">
        <w:rPr>
          <w:rFonts w:eastAsiaTheme="minorEastAsia"/>
          <w:szCs w:val="24"/>
        </w:rPr>
        <w:t>sime</w:t>
      </w:r>
      <w:r w:rsidRPr="00E14EBC">
        <w:rPr>
          <w:rFonts w:eastAsiaTheme="minorEastAsia"/>
          <w:szCs w:val="24"/>
        </w:rPr>
        <w:t xml:space="preserve"> selleks, et hinnata seoseid lühiajalise üüri turu dünaamika ja erinevate sotsiaal-majanduslike näitajate vahel. Lühiajalise üüri turu ulatuse operatsionaliseerimisel tugine</w:t>
      </w:r>
      <w:r w:rsidR="00531BA7">
        <w:rPr>
          <w:rFonts w:eastAsiaTheme="minorEastAsia"/>
          <w:szCs w:val="24"/>
        </w:rPr>
        <w:t>sime</w:t>
      </w:r>
      <w:r w:rsidRPr="00E14EBC">
        <w:rPr>
          <w:rFonts w:eastAsiaTheme="minorEastAsia"/>
          <w:szCs w:val="24"/>
        </w:rPr>
        <w:t xml:space="preserve"> Eurostati eksperimentaalstatistikale.</w:t>
      </w:r>
      <w:r w:rsidR="00817A75">
        <w:rPr>
          <w:rFonts w:eastAsiaTheme="minorEastAsia"/>
          <w:szCs w:val="24"/>
        </w:rPr>
        <w:t xml:space="preserve"> SA </w:t>
      </w:r>
      <w:r w:rsidRPr="00E14EBC">
        <w:rPr>
          <w:rFonts w:eastAsiaTheme="minorEastAsia"/>
          <w:szCs w:val="24"/>
        </w:rPr>
        <w:t xml:space="preserve">vahendusel oli meil ligipääs andmestikule perioodi 2019-2023 kohta kuude ja maakondade lõikes. See võimaldas andmeanalüüsi teostada nii aegridade põhjal kogu Eesti </w:t>
      </w:r>
      <w:r w:rsidR="00CD66DB">
        <w:rPr>
          <w:rFonts w:eastAsiaTheme="minorEastAsia"/>
          <w:szCs w:val="24"/>
        </w:rPr>
        <w:t>ja</w:t>
      </w:r>
      <w:r w:rsidRPr="00E14EBC">
        <w:rPr>
          <w:rFonts w:eastAsiaTheme="minorEastAsia"/>
          <w:szCs w:val="24"/>
        </w:rPr>
        <w:t xml:space="preserve"> iga maakonna kohta eraldi kui ka paneelandmestikuna maakondade ja perioodide lõikes.</w:t>
      </w:r>
    </w:p>
    <w:p w14:paraId="322A3F52" w14:textId="67551DFA" w:rsidR="4AAEEE2B" w:rsidRPr="00E14EBC" w:rsidRDefault="0ADEE4D1" w:rsidP="06639471">
      <w:pPr>
        <w:jc w:val="both"/>
        <w:rPr>
          <w:rFonts w:eastAsiaTheme="minorEastAsia"/>
        </w:rPr>
      </w:pPr>
      <w:r w:rsidRPr="06639471">
        <w:rPr>
          <w:rFonts w:eastAsiaTheme="minorEastAsia"/>
        </w:rPr>
        <w:t>Ökonomeetrilise modelleerimise peamiseks ülesande</w:t>
      </w:r>
      <w:r w:rsidR="4D851FE2" w:rsidRPr="06639471">
        <w:rPr>
          <w:rFonts w:eastAsiaTheme="minorEastAsia"/>
        </w:rPr>
        <w:t>ks</w:t>
      </w:r>
      <w:r w:rsidRPr="06639471">
        <w:rPr>
          <w:rFonts w:eastAsiaTheme="minorEastAsia"/>
        </w:rPr>
        <w:t xml:space="preserve"> oli tuvastada, kas ja mil määral on lühiajali</w:t>
      </w:r>
      <w:r w:rsidR="00F26FBB">
        <w:rPr>
          <w:rFonts w:eastAsiaTheme="minorEastAsia"/>
        </w:rPr>
        <w:t>s</w:t>
      </w:r>
      <w:r w:rsidRPr="06639471">
        <w:rPr>
          <w:rFonts w:eastAsiaTheme="minorEastAsia"/>
        </w:rPr>
        <w:t xml:space="preserve">e üüri </w:t>
      </w:r>
      <w:r w:rsidR="00B17816">
        <w:rPr>
          <w:rFonts w:eastAsiaTheme="minorEastAsia"/>
        </w:rPr>
        <w:t xml:space="preserve">teenuse </w:t>
      </w:r>
      <w:r w:rsidRPr="06639471">
        <w:rPr>
          <w:rFonts w:eastAsiaTheme="minorEastAsia"/>
        </w:rPr>
        <w:t>turg mõjutanud erinevaid sotsiaal-majanduslikke näitajaid</w:t>
      </w:r>
      <w:r w:rsidR="53329D8C" w:rsidRPr="06639471">
        <w:rPr>
          <w:rFonts w:eastAsiaTheme="minorEastAsia"/>
        </w:rPr>
        <w:t>,</w:t>
      </w:r>
      <w:r w:rsidRPr="06639471">
        <w:rPr>
          <w:rFonts w:eastAsiaTheme="minorEastAsia"/>
        </w:rPr>
        <w:t xml:space="preserve"> nagu traditsiooniliste majutusteenuste nõudlust ja pakkumist, hindu ja pakkumist eluasemeturul, tööturgu ja varavastaseid süütegusid. Nimetatud nähtuste kohta koguti andmed erinevatest allikatest, sh </w:t>
      </w:r>
      <w:r w:rsidR="11A64F45" w:rsidRPr="06639471">
        <w:rPr>
          <w:rFonts w:eastAsiaTheme="minorEastAsia"/>
        </w:rPr>
        <w:t>SA-st</w:t>
      </w:r>
      <w:r w:rsidRPr="06639471">
        <w:rPr>
          <w:rFonts w:eastAsiaTheme="minorEastAsia"/>
        </w:rPr>
        <w:t xml:space="preserve">, Eurostatist, kinnisvaraportaalist KV.ee, </w:t>
      </w:r>
      <w:r w:rsidR="11A64F45" w:rsidRPr="06639471">
        <w:rPr>
          <w:rFonts w:eastAsiaTheme="minorEastAsia"/>
        </w:rPr>
        <w:t>PPA-st</w:t>
      </w:r>
      <w:r w:rsidRPr="06639471">
        <w:rPr>
          <w:rFonts w:eastAsiaTheme="minorEastAsia"/>
        </w:rPr>
        <w:t>.</w:t>
      </w:r>
    </w:p>
    <w:p w14:paraId="7DC66DC3" w14:textId="09737B55" w:rsidR="001532EF" w:rsidRDefault="4AAEEE2B" w:rsidP="00D97339">
      <w:pPr>
        <w:jc w:val="both"/>
        <w:rPr>
          <w:rFonts w:eastAsiaTheme="minorEastAsia"/>
          <w:szCs w:val="24"/>
        </w:rPr>
      </w:pPr>
      <w:r w:rsidRPr="00E14EBC">
        <w:rPr>
          <w:rFonts w:eastAsiaTheme="minorEastAsia"/>
          <w:szCs w:val="24"/>
        </w:rPr>
        <w:t>Modelleerimisel kasuta</w:t>
      </w:r>
      <w:r w:rsidR="00531BA7">
        <w:rPr>
          <w:rFonts w:eastAsiaTheme="minorEastAsia"/>
          <w:szCs w:val="24"/>
        </w:rPr>
        <w:t>sime</w:t>
      </w:r>
      <w:r w:rsidRPr="00E14EBC">
        <w:rPr>
          <w:rFonts w:eastAsiaTheme="minorEastAsia"/>
          <w:szCs w:val="24"/>
        </w:rPr>
        <w:t xml:space="preserve"> peamiselt kahte lähenemist. Aegridade puhul </w:t>
      </w:r>
      <w:r w:rsidR="00C20B55">
        <w:rPr>
          <w:rFonts w:eastAsiaTheme="minorEastAsia"/>
          <w:szCs w:val="24"/>
        </w:rPr>
        <w:t>hindasime</w:t>
      </w:r>
      <w:r w:rsidR="00C20B55" w:rsidRPr="00E14EBC">
        <w:rPr>
          <w:rFonts w:eastAsiaTheme="minorEastAsia"/>
          <w:szCs w:val="24"/>
        </w:rPr>
        <w:t xml:space="preserve"> </w:t>
      </w:r>
      <w:r w:rsidRPr="00E14EBC">
        <w:rPr>
          <w:rFonts w:eastAsiaTheme="minorEastAsia"/>
          <w:szCs w:val="24"/>
        </w:rPr>
        <w:t>ARIMA vigadega regressioonmudeleid, mis võimaldab hästi toime tulla aegridadele omaste autokorrelatsiooni ja mittestatsionaarsuse probleemidega. Samas selle puuduseks on kalduvus tuvastada üksnes lühiajalisi seoseid, eriti kui kasutatakse diferentsimist muutujate statsionaarsuse tagamiseks. Paneelandmete analüüsimisel rakenda</w:t>
      </w:r>
      <w:r w:rsidR="00063A81">
        <w:rPr>
          <w:rFonts w:eastAsiaTheme="minorEastAsia"/>
          <w:szCs w:val="24"/>
        </w:rPr>
        <w:t>sime</w:t>
      </w:r>
      <w:r w:rsidRPr="00E14EBC">
        <w:rPr>
          <w:rFonts w:eastAsiaTheme="minorEastAsia"/>
          <w:szCs w:val="24"/>
        </w:rPr>
        <w:t xml:space="preserve"> paneelregressiooni maakondade ja kuude lõikes. Kausaalsete seoste tuvastamiseks ja potentsiaalse endogeensusega toimetulemiseks kasutati ka instrumentaalmuutujaga kaheetapilist paneelregressiooni ning lühiajalise üüri turu viitajaga väärtuseid. </w:t>
      </w:r>
    </w:p>
    <w:p w14:paraId="08B6D482" w14:textId="42364C28" w:rsidR="00C23D72" w:rsidRDefault="00A70A2D" w:rsidP="00D97339">
      <w:pPr>
        <w:jc w:val="both"/>
        <w:rPr>
          <w:rFonts w:eastAsiaTheme="minorEastAsia"/>
          <w:szCs w:val="24"/>
        </w:rPr>
      </w:pPr>
      <w:r>
        <w:rPr>
          <w:rFonts w:eastAsiaTheme="minorEastAsia"/>
          <w:szCs w:val="24"/>
        </w:rPr>
        <w:t>Lühiajalise üüri turu sotsiaal-majanduslike mõjude hindamise</w:t>
      </w:r>
      <w:r w:rsidR="007241BF">
        <w:rPr>
          <w:rFonts w:eastAsiaTheme="minorEastAsia"/>
          <w:szCs w:val="24"/>
        </w:rPr>
        <w:t xml:space="preserve">ks </w:t>
      </w:r>
      <w:r w:rsidR="00FE1F5E">
        <w:rPr>
          <w:rFonts w:eastAsiaTheme="minorEastAsia"/>
          <w:szCs w:val="24"/>
        </w:rPr>
        <w:t>kujunda</w:t>
      </w:r>
      <w:r w:rsidR="00925F8A">
        <w:rPr>
          <w:rFonts w:eastAsiaTheme="minorEastAsia"/>
          <w:szCs w:val="24"/>
        </w:rPr>
        <w:t>sime</w:t>
      </w:r>
      <w:r w:rsidR="00FE1F5E">
        <w:rPr>
          <w:rFonts w:eastAsiaTheme="minorEastAsia"/>
          <w:szCs w:val="24"/>
        </w:rPr>
        <w:t xml:space="preserve"> eraldi analüüsiraamistik</w:t>
      </w:r>
      <w:r w:rsidR="00925F8A">
        <w:rPr>
          <w:rFonts w:eastAsiaTheme="minorEastAsia"/>
          <w:szCs w:val="24"/>
        </w:rPr>
        <w:t>u</w:t>
      </w:r>
      <w:r w:rsidR="00FE1F5E">
        <w:rPr>
          <w:rFonts w:eastAsiaTheme="minorEastAsia"/>
          <w:szCs w:val="24"/>
        </w:rPr>
        <w:t xml:space="preserve"> koos </w:t>
      </w:r>
      <w:r w:rsidR="008937F8">
        <w:rPr>
          <w:rFonts w:eastAsiaTheme="minorEastAsia"/>
          <w:szCs w:val="24"/>
        </w:rPr>
        <w:t>vastavate skaalade ja kriteeriumitega.</w:t>
      </w:r>
      <w:r w:rsidR="00FE1F5E">
        <w:rPr>
          <w:rFonts w:eastAsiaTheme="minorEastAsia"/>
          <w:szCs w:val="24"/>
        </w:rPr>
        <w:t xml:space="preserve"> </w:t>
      </w:r>
      <w:r w:rsidR="4AAEEE2B" w:rsidRPr="00E14EBC">
        <w:rPr>
          <w:rFonts w:eastAsiaTheme="minorEastAsia"/>
          <w:szCs w:val="24"/>
        </w:rPr>
        <w:t>Täpsemalt selgita</w:t>
      </w:r>
      <w:r w:rsidR="00F043EC">
        <w:rPr>
          <w:rFonts w:eastAsiaTheme="minorEastAsia"/>
          <w:szCs w:val="24"/>
        </w:rPr>
        <w:t>m</w:t>
      </w:r>
      <w:r w:rsidR="4AAEEE2B" w:rsidRPr="00E14EBC">
        <w:rPr>
          <w:rFonts w:eastAsiaTheme="minorEastAsia"/>
          <w:szCs w:val="24"/>
        </w:rPr>
        <w:t xml:space="preserve">e </w:t>
      </w:r>
      <w:r w:rsidR="00E75F37">
        <w:rPr>
          <w:rFonts w:eastAsiaTheme="minorEastAsia"/>
          <w:szCs w:val="24"/>
        </w:rPr>
        <w:t xml:space="preserve">nii sotsiaal-majanduslike mõjude </w:t>
      </w:r>
      <w:r w:rsidR="007321A8">
        <w:rPr>
          <w:rFonts w:eastAsiaTheme="minorEastAsia"/>
          <w:szCs w:val="24"/>
        </w:rPr>
        <w:t xml:space="preserve">hindamise metoodikat kui ka ökonomeetrilisel </w:t>
      </w:r>
      <w:r w:rsidR="4AAEEE2B" w:rsidRPr="00E14EBC">
        <w:rPr>
          <w:rFonts w:eastAsiaTheme="minorEastAsia"/>
          <w:szCs w:val="24"/>
        </w:rPr>
        <w:t>modelleerimisel rakendatud lähenemisi</w:t>
      </w:r>
      <w:r w:rsidR="008B2D17">
        <w:rPr>
          <w:rFonts w:eastAsiaTheme="minorEastAsia"/>
          <w:szCs w:val="24"/>
        </w:rPr>
        <w:t xml:space="preserve"> ja </w:t>
      </w:r>
      <w:r w:rsidR="4AAEEE2B" w:rsidRPr="00E14EBC">
        <w:rPr>
          <w:rFonts w:eastAsiaTheme="minorEastAsia"/>
          <w:szCs w:val="24"/>
        </w:rPr>
        <w:t>mudeldamise tulemus</w:t>
      </w:r>
      <w:r w:rsidR="008B2D17">
        <w:rPr>
          <w:rFonts w:eastAsiaTheme="minorEastAsia"/>
          <w:szCs w:val="24"/>
        </w:rPr>
        <w:t xml:space="preserve">i </w:t>
      </w:r>
      <w:r w:rsidR="00A7312E">
        <w:rPr>
          <w:rFonts w:eastAsiaTheme="minorEastAsia"/>
          <w:szCs w:val="24"/>
        </w:rPr>
        <w:t>3.</w:t>
      </w:r>
      <w:r w:rsidR="008B2D17" w:rsidRPr="00E14EBC">
        <w:rPr>
          <w:rFonts w:eastAsiaTheme="minorEastAsia"/>
          <w:szCs w:val="24"/>
        </w:rPr>
        <w:t xml:space="preserve"> peatükis</w:t>
      </w:r>
      <w:r w:rsidR="4AAEEE2B" w:rsidRPr="00E14EBC">
        <w:rPr>
          <w:rFonts w:eastAsiaTheme="minorEastAsia"/>
          <w:szCs w:val="24"/>
        </w:rPr>
        <w:t>.</w:t>
      </w:r>
    </w:p>
    <w:p w14:paraId="0B659001" w14:textId="158D506D" w:rsidR="00D163AD" w:rsidRPr="00BE179D" w:rsidRDefault="00D163AD" w:rsidP="00D97339">
      <w:pPr>
        <w:jc w:val="both"/>
        <w:rPr>
          <w:rFonts w:eastAsiaTheme="minorEastAsia"/>
          <w:color w:val="82009B" w:themeColor="accent6"/>
          <w:szCs w:val="24"/>
        </w:rPr>
      </w:pPr>
      <w:r w:rsidRPr="00BE179D">
        <w:rPr>
          <w:rFonts w:eastAsiaTheme="minorEastAsia"/>
          <w:color w:val="82009B" w:themeColor="accent6"/>
          <w:szCs w:val="24"/>
        </w:rPr>
        <w:t>Metoodika uudsus</w:t>
      </w:r>
    </w:p>
    <w:p w14:paraId="588DA65E" w14:textId="28B00E6B" w:rsidR="002873C3" w:rsidRPr="00E14EBC" w:rsidRDefault="00AE000B" w:rsidP="002873C3">
      <w:pPr>
        <w:jc w:val="both"/>
      </w:pPr>
      <w:r w:rsidRPr="1688D34F">
        <w:rPr>
          <w:rFonts w:eastAsiaTheme="minorEastAsia"/>
        </w:rPr>
        <w:t xml:space="preserve">Uuringu raames </w:t>
      </w:r>
      <w:r w:rsidR="000B1F0D" w:rsidRPr="1688D34F">
        <w:rPr>
          <w:rFonts w:eastAsiaTheme="minorEastAsia"/>
        </w:rPr>
        <w:t xml:space="preserve">välja töötatud ja </w:t>
      </w:r>
      <w:r w:rsidRPr="1688D34F">
        <w:rPr>
          <w:rFonts w:eastAsiaTheme="minorEastAsia"/>
        </w:rPr>
        <w:t xml:space="preserve">kasutatud metoodika uudsus seisneb eelkõige </w:t>
      </w:r>
      <w:r w:rsidR="002873C3" w:rsidRPr="1688D34F">
        <w:rPr>
          <w:rFonts w:eastAsiaTheme="minorEastAsia"/>
        </w:rPr>
        <w:t>kahes</w:t>
      </w:r>
      <w:r w:rsidRPr="1688D34F">
        <w:rPr>
          <w:rFonts w:eastAsiaTheme="minorEastAsia"/>
        </w:rPr>
        <w:t xml:space="preserve"> aspektis.</w:t>
      </w:r>
      <w:r w:rsidR="000B1F0D" w:rsidRPr="1688D34F">
        <w:rPr>
          <w:rFonts w:eastAsiaTheme="minorEastAsia"/>
        </w:rPr>
        <w:t xml:space="preserve"> Esiteks </w:t>
      </w:r>
      <w:r w:rsidR="00D3505C" w:rsidRPr="1688D34F">
        <w:rPr>
          <w:rFonts w:eastAsiaTheme="minorEastAsia"/>
        </w:rPr>
        <w:t>on senis</w:t>
      </w:r>
      <w:r w:rsidR="00825208" w:rsidRPr="1688D34F">
        <w:rPr>
          <w:rFonts w:eastAsiaTheme="minorEastAsia"/>
        </w:rPr>
        <w:t>tes</w:t>
      </w:r>
      <w:r w:rsidR="00D3505C" w:rsidRPr="1688D34F">
        <w:rPr>
          <w:rFonts w:eastAsiaTheme="minorEastAsia"/>
        </w:rPr>
        <w:t xml:space="preserve"> uuringu</w:t>
      </w:r>
      <w:r w:rsidR="00825208" w:rsidRPr="1688D34F">
        <w:rPr>
          <w:rFonts w:eastAsiaTheme="minorEastAsia"/>
        </w:rPr>
        <w:t>tes</w:t>
      </w:r>
      <w:r w:rsidR="00D3505C" w:rsidRPr="1688D34F">
        <w:rPr>
          <w:rFonts w:eastAsiaTheme="minorEastAsia"/>
        </w:rPr>
        <w:t xml:space="preserve"> lühiajalise üürimise </w:t>
      </w:r>
      <w:r w:rsidR="00825208" w:rsidRPr="1688D34F">
        <w:rPr>
          <w:rFonts w:eastAsiaTheme="minorEastAsia"/>
        </w:rPr>
        <w:t xml:space="preserve">ja selle mõjude kohta kasutatud valdavalt </w:t>
      </w:r>
      <w:r w:rsidR="00825208" w:rsidRPr="1688D34F">
        <w:rPr>
          <w:rFonts w:eastAsiaTheme="minorEastAsia"/>
        </w:rPr>
        <w:lastRenderedPageBreak/>
        <w:t xml:space="preserve">kvantitatiivseid lähenemisi, mis võib </w:t>
      </w:r>
      <w:r w:rsidR="000250C1" w:rsidRPr="1688D34F">
        <w:rPr>
          <w:rFonts w:eastAsiaTheme="minorEastAsia"/>
        </w:rPr>
        <w:t xml:space="preserve">piirata raskesti mõõdetavate mõjude </w:t>
      </w:r>
      <w:r w:rsidR="00E672F4">
        <w:rPr>
          <w:rFonts w:eastAsiaTheme="minorEastAsia"/>
        </w:rPr>
        <w:t>hindamist</w:t>
      </w:r>
      <w:r w:rsidR="000250C1" w:rsidRPr="1688D34F">
        <w:rPr>
          <w:rFonts w:eastAsiaTheme="minorEastAsia"/>
        </w:rPr>
        <w:t xml:space="preserve">. </w:t>
      </w:r>
      <w:r w:rsidR="00CE666A" w:rsidRPr="1688D34F">
        <w:rPr>
          <w:rFonts w:eastAsiaTheme="minorEastAsia"/>
        </w:rPr>
        <w:t xml:space="preserve">Selles uuringus kasutasime kombineeritud lähenemist, </w:t>
      </w:r>
      <w:r w:rsidR="00B72C47">
        <w:rPr>
          <w:rFonts w:eastAsiaTheme="minorEastAsia"/>
        </w:rPr>
        <w:t>mis hõlma</w:t>
      </w:r>
      <w:r w:rsidR="0065463A">
        <w:rPr>
          <w:rFonts w:eastAsiaTheme="minorEastAsia"/>
        </w:rPr>
        <w:t>s lisaks kvantitatiivsetele meetoditele ka kvalitatiivseid lähenemisi. See</w:t>
      </w:r>
      <w:r w:rsidR="00CE666A" w:rsidRPr="1688D34F">
        <w:rPr>
          <w:rFonts w:eastAsiaTheme="minorEastAsia"/>
        </w:rPr>
        <w:t xml:space="preserve"> </w:t>
      </w:r>
      <w:r w:rsidR="002F3656" w:rsidRPr="1688D34F">
        <w:rPr>
          <w:rFonts w:eastAsiaTheme="minorEastAsia"/>
        </w:rPr>
        <w:t>võimalda</w:t>
      </w:r>
      <w:r w:rsidR="0065463A">
        <w:rPr>
          <w:rFonts w:eastAsiaTheme="minorEastAsia"/>
        </w:rPr>
        <w:t>s</w:t>
      </w:r>
      <w:r w:rsidR="002F3656" w:rsidRPr="1688D34F">
        <w:rPr>
          <w:rFonts w:eastAsiaTheme="minorEastAsia"/>
        </w:rPr>
        <w:t xml:space="preserve"> </w:t>
      </w:r>
      <w:r w:rsidR="00561988">
        <w:rPr>
          <w:rFonts w:eastAsiaTheme="minorEastAsia"/>
        </w:rPr>
        <w:t>uurida</w:t>
      </w:r>
      <w:r w:rsidR="002F3656" w:rsidRPr="1688D34F">
        <w:rPr>
          <w:rFonts w:eastAsiaTheme="minorEastAsia"/>
        </w:rPr>
        <w:t xml:space="preserve"> ka </w:t>
      </w:r>
      <w:r w:rsidR="00426431">
        <w:rPr>
          <w:rFonts w:eastAsiaTheme="minorEastAsia"/>
        </w:rPr>
        <w:t>ühiskonnas ja majanduses</w:t>
      </w:r>
      <w:r w:rsidR="00A73BB3">
        <w:rPr>
          <w:rFonts w:eastAsiaTheme="minorEastAsia"/>
        </w:rPr>
        <w:t xml:space="preserve"> toimunud muutuseid</w:t>
      </w:r>
      <w:r w:rsidR="002F3656" w:rsidRPr="1688D34F">
        <w:rPr>
          <w:rFonts w:eastAsiaTheme="minorEastAsia"/>
        </w:rPr>
        <w:t xml:space="preserve">, mis ei ole veel väga </w:t>
      </w:r>
      <w:r w:rsidR="00916059">
        <w:rPr>
          <w:rFonts w:eastAsiaTheme="minorEastAsia"/>
        </w:rPr>
        <w:t>laiau</w:t>
      </w:r>
      <w:r w:rsidR="00561988">
        <w:rPr>
          <w:rFonts w:eastAsiaTheme="minorEastAsia"/>
        </w:rPr>
        <w:t xml:space="preserve">latuslikult levinud, </w:t>
      </w:r>
      <w:r w:rsidR="00A73BB3">
        <w:rPr>
          <w:rFonts w:eastAsiaTheme="minorEastAsia"/>
        </w:rPr>
        <w:t xml:space="preserve">on </w:t>
      </w:r>
      <w:r w:rsidR="00206A61" w:rsidRPr="1688D34F">
        <w:rPr>
          <w:rFonts w:eastAsiaTheme="minorEastAsia"/>
        </w:rPr>
        <w:t>avaldu</w:t>
      </w:r>
      <w:r w:rsidR="00561988">
        <w:rPr>
          <w:rFonts w:eastAsiaTheme="minorEastAsia"/>
        </w:rPr>
        <w:t>nud</w:t>
      </w:r>
      <w:r w:rsidR="00206A61" w:rsidRPr="1688D34F">
        <w:rPr>
          <w:rFonts w:eastAsiaTheme="minorEastAsia"/>
        </w:rPr>
        <w:t xml:space="preserve"> üksnes üksikutes piirkondades</w:t>
      </w:r>
      <w:r w:rsidR="00561988">
        <w:rPr>
          <w:rFonts w:eastAsiaTheme="minorEastAsia"/>
        </w:rPr>
        <w:t xml:space="preserve"> või </w:t>
      </w:r>
      <w:r w:rsidR="00A73BB3">
        <w:rPr>
          <w:rFonts w:eastAsiaTheme="minorEastAsia"/>
        </w:rPr>
        <w:t>lihtsalt</w:t>
      </w:r>
      <w:r w:rsidR="00561988">
        <w:rPr>
          <w:rFonts w:eastAsiaTheme="minorEastAsia"/>
        </w:rPr>
        <w:t xml:space="preserve"> raskesti mõõdetavad</w:t>
      </w:r>
      <w:r w:rsidR="00206A61" w:rsidRPr="1688D34F">
        <w:rPr>
          <w:rFonts w:eastAsiaTheme="minorEastAsia"/>
        </w:rPr>
        <w:t xml:space="preserve">. </w:t>
      </w:r>
      <w:r w:rsidR="002873C3" w:rsidRPr="1688D34F">
        <w:rPr>
          <w:rFonts w:eastAsiaTheme="minorEastAsia"/>
        </w:rPr>
        <w:t xml:space="preserve">Selle tulemusel oleme välja </w:t>
      </w:r>
      <w:r w:rsidR="008203A4">
        <w:rPr>
          <w:rFonts w:eastAsiaTheme="minorEastAsia"/>
        </w:rPr>
        <w:t>tööta</w:t>
      </w:r>
      <w:r w:rsidR="00A73BB3">
        <w:rPr>
          <w:rFonts w:eastAsiaTheme="minorEastAsia"/>
        </w:rPr>
        <w:t>nud</w:t>
      </w:r>
      <w:r w:rsidR="008203A4" w:rsidRPr="1688D34F">
        <w:rPr>
          <w:rFonts w:eastAsiaTheme="minorEastAsia"/>
        </w:rPr>
        <w:t xml:space="preserve"> </w:t>
      </w:r>
      <w:r w:rsidR="002873C3" w:rsidRPr="1688D34F">
        <w:rPr>
          <w:rFonts w:eastAsiaTheme="minorEastAsia"/>
        </w:rPr>
        <w:t>uue ja tervikliku lühiajalise üüri turu mõjude hindamise raamistiku</w:t>
      </w:r>
      <w:r w:rsidR="00BD2E36" w:rsidRPr="1688D34F">
        <w:rPr>
          <w:rFonts w:eastAsiaTheme="minorEastAsia"/>
        </w:rPr>
        <w:t xml:space="preserve"> koos se</w:t>
      </w:r>
      <w:r w:rsidR="00BB4A41" w:rsidRPr="1688D34F">
        <w:rPr>
          <w:rFonts w:eastAsiaTheme="minorEastAsia"/>
        </w:rPr>
        <w:t>lle rakendamist</w:t>
      </w:r>
      <w:r w:rsidR="00BD2E36" w:rsidRPr="1688D34F">
        <w:rPr>
          <w:rFonts w:eastAsiaTheme="minorEastAsia"/>
        </w:rPr>
        <w:t xml:space="preserve"> toetava </w:t>
      </w:r>
      <w:r w:rsidR="00BB4A41" w:rsidRPr="1688D34F">
        <w:rPr>
          <w:rFonts w:eastAsiaTheme="minorEastAsia"/>
        </w:rPr>
        <w:t xml:space="preserve">tööriistaga. </w:t>
      </w:r>
      <w:r w:rsidR="00CB7754" w:rsidRPr="1688D34F">
        <w:rPr>
          <w:rFonts w:eastAsiaTheme="minorEastAsia"/>
        </w:rPr>
        <w:t>Lühiajalise üüri turu mõjusid on analüüsitud ja kirjeldatud ka varasemates teadusuuringutes</w:t>
      </w:r>
      <w:r w:rsidR="00AE0AFE" w:rsidRPr="1688D34F">
        <w:rPr>
          <w:rFonts w:eastAsiaTheme="minorEastAsia"/>
        </w:rPr>
        <w:t>, nii kvantitatiivsete</w:t>
      </w:r>
      <w:r w:rsidR="0001536D" w:rsidRPr="1688D34F">
        <w:rPr>
          <w:rStyle w:val="FootnoteReference"/>
          <w:rFonts w:eastAsiaTheme="minorEastAsia"/>
        </w:rPr>
        <w:footnoteReference w:id="10"/>
      </w:r>
      <w:r w:rsidR="00AE0AFE" w:rsidRPr="1688D34F">
        <w:rPr>
          <w:rFonts w:eastAsiaTheme="minorEastAsia"/>
        </w:rPr>
        <w:t xml:space="preserve"> kui kvalitatiivsete</w:t>
      </w:r>
      <w:r w:rsidR="00C93119" w:rsidRPr="1688D34F">
        <w:rPr>
          <w:rStyle w:val="FootnoteReference"/>
          <w:rFonts w:eastAsiaTheme="minorEastAsia"/>
        </w:rPr>
        <w:footnoteReference w:id="11"/>
      </w:r>
      <w:r w:rsidR="00AE0AFE" w:rsidRPr="1688D34F">
        <w:rPr>
          <w:rFonts w:eastAsiaTheme="minorEastAsia"/>
        </w:rPr>
        <w:t xml:space="preserve"> lähenemiste</w:t>
      </w:r>
      <w:r w:rsidR="00E0048D" w:rsidRPr="1688D34F">
        <w:rPr>
          <w:rFonts w:eastAsiaTheme="minorEastAsia"/>
        </w:rPr>
        <w:t>ga</w:t>
      </w:r>
      <w:r w:rsidR="00E224F2" w:rsidRPr="1688D34F">
        <w:rPr>
          <w:rFonts w:eastAsiaTheme="minorEastAsia"/>
        </w:rPr>
        <w:t>.</w:t>
      </w:r>
      <w:r w:rsidR="00CB7754" w:rsidRPr="1688D34F">
        <w:rPr>
          <w:rFonts w:eastAsiaTheme="minorEastAsia"/>
        </w:rPr>
        <w:t xml:space="preserve"> </w:t>
      </w:r>
      <w:r w:rsidR="00E224F2" w:rsidRPr="1688D34F">
        <w:rPr>
          <w:rFonts w:eastAsiaTheme="minorEastAsia"/>
        </w:rPr>
        <w:t>K</w:t>
      </w:r>
      <w:r w:rsidR="00CB7754" w:rsidRPr="1688D34F">
        <w:rPr>
          <w:rFonts w:eastAsiaTheme="minorEastAsia"/>
        </w:rPr>
        <w:t xml:space="preserve">uid </w:t>
      </w:r>
      <w:r w:rsidR="00BE6AAD" w:rsidRPr="1688D34F">
        <w:rPr>
          <w:rFonts w:eastAsiaTheme="minorEastAsia"/>
        </w:rPr>
        <w:t xml:space="preserve">meie välja pakutud lähenemise uudsus seisnebki eri meetodite kombineerimiseks, mis võimaldas </w:t>
      </w:r>
      <w:r w:rsidR="00E0048D" w:rsidRPr="1688D34F">
        <w:rPr>
          <w:rFonts w:eastAsiaTheme="minorEastAsia"/>
        </w:rPr>
        <w:t>välja pakkuda</w:t>
      </w:r>
      <w:r w:rsidR="0001536D" w:rsidRPr="1688D34F">
        <w:rPr>
          <w:rFonts w:eastAsiaTheme="minorEastAsia"/>
        </w:rPr>
        <w:t xml:space="preserve"> ka</w:t>
      </w:r>
      <w:r w:rsidR="00E0048D" w:rsidRPr="1688D34F">
        <w:rPr>
          <w:rFonts w:eastAsiaTheme="minorEastAsia"/>
        </w:rPr>
        <w:t xml:space="preserve"> </w:t>
      </w:r>
      <w:r w:rsidR="0001536D" w:rsidRPr="1688D34F">
        <w:rPr>
          <w:rFonts w:eastAsiaTheme="minorEastAsia"/>
        </w:rPr>
        <w:t>laiem</w:t>
      </w:r>
      <w:r w:rsidR="6730B0C1" w:rsidRPr="1688D34F">
        <w:rPr>
          <w:rFonts w:eastAsiaTheme="minorEastAsia"/>
        </w:rPr>
        <w:t>a</w:t>
      </w:r>
      <w:r w:rsidR="0001536D" w:rsidRPr="1688D34F">
        <w:rPr>
          <w:rFonts w:eastAsiaTheme="minorEastAsia"/>
        </w:rPr>
        <w:t xml:space="preserve"> spekt</w:t>
      </w:r>
      <w:r w:rsidR="23FC0262" w:rsidRPr="1688D34F">
        <w:rPr>
          <w:rFonts w:eastAsiaTheme="minorEastAsia"/>
        </w:rPr>
        <w:t>ri</w:t>
      </w:r>
      <w:r w:rsidR="0001536D" w:rsidRPr="1688D34F">
        <w:rPr>
          <w:rFonts w:eastAsiaTheme="minorEastAsia"/>
        </w:rPr>
        <w:t xml:space="preserve"> </w:t>
      </w:r>
      <w:r w:rsidR="00E0048D" w:rsidRPr="1688D34F">
        <w:rPr>
          <w:rFonts w:eastAsiaTheme="minorEastAsia"/>
        </w:rPr>
        <w:t>sekkumisi</w:t>
      </w:r>
      <w:r w:rsidR="0001536D" w:rsidRPr="1688D34F">
        <w:rPr>
          <w:rFonts w:eastAsiaTheme="minorEastAsia"/>
        </w:rPr>
        <w:t>.</w:t>
      </w:r>
    </w:p>
    <w:p w14:paraId="040DE73D" w14:textId="2FC2E46B" w:rsidR="00D163AD" w:rsidRDefault="008D3D64" w:rsidP="1688D34F">
      <w:pPr>
        <w:jc w:val="both"/>
        <w:rPr>
          <w:rFonts w:eastAsiaTheme="minorEastAsia"/>
        </w:rPr>
      </w:pPr>
      <w:r w:rsidRPr="1688D34F">
        <w:rPr>
          <w:rFonts w:eastAsiaTheme="minorEastAsia"/>
        </w:rPr>
        <w:t>Teiseks</w:t>
      </w:r>
      <w:r w:rsidR="008F3A89" w:rsidRPr="1688D34F">
        <w:rPr>
          <w:rFonts w:eastAsiaTheme="minorEastAsia"/>
        </w:rPr>
        <w:t xml:space="preserve"> kasutasime statistiliste mudelite hindamisel Eurostati eksperimentaalstatistikat</w:t>
      </w:r>
      <w:r w:rsidR="008B3380" w:rsidRPr="1688D34F">
        <w:rPr>
          <w:rStyle w:val="FootnoteReference"/>
          <w:rFonts w:eastAsiaTheme="minorEastAsia"/>
        </w:rPr>
        <w:footnoteReference w:id="12"/>
      </w:r>
      <w:r w:rsidR="008F3A89" w:rsidRPr="1688D34F">
        <w:rPr>
          <w:rFonts w:eastAsiaTheme="minorEastAsia"/>
        </w:rPr>
        <w:t>, mida seni meile teadaolevalt sellel eesmärgi ei ole veel kasutatud.</w:t>
      </w:r>
      <w:r w:rsidR="001F6D83" w:rsidRPr="1688D34F">
        <w:rPr>
          <w:rFonts w:eastAsiaTheme="minorEastAsia"/>
        </w:rPr>
        <w:t xml:space="preserve"> Kuna tegemist on alles arendusjärgus oleva andmestikuga, pakub nende kasutamine väärtuslikku uudset teavet</w:t>
      </w:r>
      <w:r w:rsidR="008248A3">
        <w:rPr>
          <w:rFonts w:eastAsiaTheme="minorEastAsia"/>
        </w:rPr>
        <w:t xml:space="preserve"> nii </w:t>
      </w:r>
      <w:r w:rsidR="007216FB">
        <w:rPr>
          <w:rFonts w:eastAsiaTheme="minorEastAsia"/>
        </w:rPr>
        <w:t xml:space="preserve">lühiajalise üüri turu </w:t>
      </w:r>
      <w:r w:rsidR="00C275F3">
        <w:rPr>
          <w:rFonts w:eastAsiaTheme="minorEastAsia"/>
        </w:rPr>
        <w:t>kui ka</w:t>
      </w:r>
      <w:r w:rsidR="00B479C9">
        <w:rPr>
          <w:rFonts w:eastAsiaTheme="minorEastAsia"/>
        </w:rPr>
        <w:t xml:space="preserve"> selle mõjude kohta</w:t>
      </w:r>
      <w:r w:rsidR="001F6D83" w:rsidRPr="1688D34F">
        <w:rPr>
          <w:rFonts w:eastAsiaTheme="minorEastAsia"/>
        </w:rPr>
        <w:t xml:space="preserve">. Kuna </w:t>
      </w:r>
      <w:r w:rsidR="003B4258" w:rsidRPr="1688D34F">
        <w:rPr>
          <w:rFonts w:eastAsiaTheme="minorEastAsia"/>
        </w:rPr>
        <w:t xml:space="preserve">tegemist on kuupõhiste andmetega, saime kasutada aegridade analüüsi, </w:t>
      </w:r>
      <w:r w:rsidR="002B3EA2">
        <w:rPr>
          <w:rFonts w:eastAsiaTheme="minorEastAsia"/>
        </w:rPr>
        <w:t>mida</w:t>
      </w:r>
      <w:r w:rsidR="00964598" w:rsidRPr="1688D34F">
        <w:rPr>
          <w:rFonts w:eastAsiaTheme="minorEastAsia"/>
        </w:rPr>
        <w:t xml:space="preserve"> me samuti</w:t>
      </w:r>
      <w:r w:rsidR="003B4258" w:rsidRPr="1688D34F">
        <w:rPr>
          <w:rFonts w:eastAsiaTheme="minorEastAsia"/>
        </w:rPr>
        <w:t xml:space="preserve"> senistes uuringutes</w:t>
      </w:r>
      <w:r w:rsidR="002F3656" w:rsidRPr="1688D34F">
        <w:rPr>
          <w:rFonts w:eastAsiaTheme="minorEastAsia"/>
        </w:rPr>
        <w:t xml:space="preserve"> </w:t>
      </w:r>
      <w:r w:rsidR="00964598" w:rsidRPr="1688D34F">
        <w:rPr>
          <w:rFonts w:eastAsiaTheme="minorEastAsia"/>
        </w:rPr>
        <w:t xml:space="preserve">pole täheldanud. </w:t>
      </w:r>
      <w:r w:rsidR="00CD726D" w:rsidRPr="1688D34F">
        <w:rPr>
          <w:rFonts w:eastAsiaTheme="minorEastAsia"/>
        </w:rPr>
        <w:t xml:space="preserve">Kuigi uuringutes rohkem kasutatud andmekraapimise teel kogutud andmed sisaldavad </w:t>
      </w:r>
      <w:r w:rsidR="002B3EA2">
        <w:rPr>
          <w:rFonts w:eastAsiaTheme="minorEastAsia"/>
        </w:rPr>
        <w:t xml:space="preserve">detailsemat </w:t>
      </w:r>
      <w:r w:rsidR="00CD726D" w:rsidRPr="1688D34F">
        <w:rPr>
          <w:rFonts w:eastAsiaTheme="minorEastAsia"/>
        </w:rPr>
        <w:t>as</w:t>
      </w:r>
      <w:r w:rsidR="719BD133" w:rsidRPr="1688D34F">
        <w:rPr>
          <w:rFonts w:eastAsiaTheme="minorEastAsia"/>
        </w:rPr>
        <w:t>u</w:t>
      </w:r>
      <w:r w:rsidR="00CD726D" w:rsidRPr="1688D34F">
        <w:rPr>
          <w:rFonts w:eastAsiaTheme="minorEastAsia"/>
        </w:rPr>
        <w:t xml:space="preserve">kohapõhist teavet ja pakuvad </w:t>
      </w:r>
      <w:r w:rsidR="003D39E1" w:rsidRPr="1688D34F">
        <w:rPr>
          <w:rFonts w:eastAsiaTheme="minorEastAsia"/>
        </w:rPr>
        <w:t>paremaid võimalusi erinevate asukohaga seotud tegurite arvesse võtmiseks, siis on aegridade lähenemine heaks alternatiiviks</w:t>
      </w:r>
      <w:r w:rsidR="00807BEA">
        <w:rPr>
          <w:rFonts w:eastAsiaTheme="minorEastAsia"/>
        </w:rPr>
        <w:t>.</w:t>
      </w:r>
      <w:r w:rsidR="003D39E1" w:rsidRPr="1688D34F">
        <w:rPr>
          <w:rFonts w:eastAsiaTheme="minorEastAsia"/>
        </w:rPr>
        <w:t xml:space="preserve"> </w:t>
      </w:r>
      <w:r w:rsidR="00C275F3">
        <w:rPr>
          <w:rFonts w:eastAsiaTheme="minorEastAsia"/>
        </w:rPr>
        <w:t>Näiteks on</w:t>
      </w:r>
      <w:r w:rsidR="004C5B06">
        <w:rPr>
          <w:rFonts w:eastAsiaTheme="minorEastAsia"/>
        </w:rPr>
        <w:t xml:space="preserve"> </w:t>
      </w:r>
      <w:r w:rsidR="00807BEA">
        <w:rPr>
          <w:rFonts w:eastAsiaTheme="minorEastAsia"/>
        </w:rPr>
        <w:t>andmed</w:t>
      </w:r>
      <w:r w:rsidR="004C5B06">
        <w:rPr>
          <w:rFonts w:eastAsiaTheme="minorEastAsia"/>
        </w:rPr>
        <w:t xml:space="preserve"> aegridade analüüsimiseks</w:t>
      </w:r>
      <w:r w:rsidR="003D39E1" w:rsidRPr="1688D34F">
        <w:rPr>
          <w:rFonts w:eastAsiaTheme="minorEastAsia"/>
        </w:rPr>
        <w:t xml:space="preserve"> üsna hästi kättesaadavad ning </w:t>
      </w:r>
      <w:r w:rsidR="005763E9" w:rsidRPr="1688D34F">
        <w:rPr>
          <w:rFonts w:eastAsiaTheme="minorEastAsia"/>
        </w:rPr>
        <w:t xml:space="preserve">võimaldavad </w:t>
      </w:r>
      <w:r w:rsidR="004C5B06">
        <w:rPr>
          <w:rFonts w:eastAsiaTheme="minorEastAsia"/>
        </w:rPr>
        <w:t>hinnata</w:t>
      </w:r>
      <w:r w:rsidR="005763E9" w:rsidRPr="1688D34F">
        <w:rPr>
          <w:rFonts w:eastAsiaTheme="minorEastAsia"/>
        </w:rPr>
        <w:t xml:space="preserve"> </w:t>
      </w:r>
      <w:r w:rsidR="00807BEA">
        <w:rPr>
          <w:rFonts w:eastAsiaTheme="minorEastAsia"/>
        </w:rPr>
        <w:t xml:space="preserve">ka </w:t>
      </w:r>
      <w:r w:rsidR="005763E9" w:rsidRPr="1688D34F">
        <w:rPr>
          <w:rFonts w:eastAsiaTheme="minorEastAsia"/>
        </w:rPr>
        <w:t xml:space="preserve">mingis </w:t>
      </w:r>
      <w:r w:rsidR="00807BEA">
        <w:rPr>
          <w:rFonts w:eastAsiaTheme="minorEastAsia"/>
        </w:rPr>
        <w:t xml:space="preserve">konkreetses </w:t>
      </w:r>
      <w:r w:rsidR="005763E9" w:rsidRPr="1688D34F">
        <w:rPr>
          <w:rFonts w:eastAsiaTheme="minorEastAsia"/>
        </w:rPr>
        <w:t>piirkonnas aset leidvaid arenguid ja nende seotust lühiajalise üüri turul toimuvaga.</w:t>
      </w:r>
    </w:p>
    <w:p w14:paraId="26BDF925" w14:textId="313B69E2" w:rsidR="00392736" w:rsidRPr="00E14EBC" w:rsidRDefault="004965EA" w:rsidP="51A3E460">
      <w:pPr>
        <w:jc w:val="both"/>
        <w:rPr>
          <w:rStyle w:val="PurpleText"/>
        </w:rPr>
      </w:pPr>
      <w:r w:rsidRPr="00E14EBC">
        <w:rPr>
          <w:rStyle w:val="PurpleText"/>
        </w:rPr>
        <w:t>A</w:t>
      </w:r>
      <w:r w:rsidR="002338AF" w:rsidRPr="00E14EBC">
        <w:rPr>
          <w:rStyle w:val="PurpleText"/>
        </w:rPr>
        <w:t>rutelud</w:t>
      </w:r>
      <w:r w:rsidRPr="00E14EBC">
        <w:rPr>
          <w:rStyle w:val="PurpleText"/>
        </w:rPr>
        <w:t xml:space="preserve">, </w:t>
      </w:r>
      <w:r w:rsidR="002338AF" w:rsidRPr="00E14EBC">
        <w:rPr>
          <w:rStyle w:val="PurpleText"/>
        </w:rPr>
        <w:t>konsultatsioonid</w:t>
      </w:r>
      <w:r w:rsidRPr="00E14EBC">
        <w:rPr>
          <w:rStyle w:val="PurpleText"/>
        </w:rPr>
        <w:t xml:space="preserve"> ja teadusnõustamised</w:t>
      </w:r>
    </w:p>
    <w:p w14:paraId="28980EE8" w14:textId="47646DCE" w:rsidR="002F4024" w:rsidRPr="00E14EBC" w:rsidRDefault="002F4024" w:rsidP="00544DE7">
      <w:pPr>
        <w:spacing w:before="0" w:line="259" w:lineRule="auto"/>
        <w:jc w:val="both"/>
      </w:pPr>
      <w:r w:rsidRPr="00E14EBC">
        <w:t>Rakendusuuring viidi läbi ning tulemused ja sekkumised töötati välja tihedas koostöös Tellija, juhtrühma</w:t>
      </w:r>
      <w:r w:rsidR="0072632A">
        <w:t>, turuosaliste</w:t>
      </w:r>
      <w:r w:rsidRPr="00E14EBC">
        <w:t xml:space="preserve"> ja ekspertidega. Koostöö </w:t>
      </w:r>
      <w:r w:rsidR="00134A2C" w:rsidRPr="00E14EBC">
        <w:t xml:space="preserve">ja arutelud </w:t>
      </w:r>
      <w:r w:rsidRPr="00E14EBC">
        <w:t xml:space="preserve">toimus </w:t>
      </w:r>
      <w:r w:rsidR="00C23354" w:rsidRPr="00E14EBC">
        <w:t>järgmistel</w:t>
      </w:r>
      <w:r w:rsidRPr="00E14EBC">
        <w:t xml:space="preserve"> tasanditel</w:t>
      </w:r>
      <w:r w:rsidR="00134A2C" w:rsidRPr="00E14EBC">
        <w:t xml:space="preserve">: </w:t>
      </w:r>
    </w:p>
    <w:p w14:paraId="72E993C0" w14:textId="4143D707" w:rsidR="00954E29" w:rsidRPr="00E14EBC" w:rsidRDefault="002F4024" w:rsidP="007F08F4">
      <w:pPr>
        <w:pStyle w:val="ListParagraph"/>
        <w:numPr>
          <w:ilvl w:val="0"/>
          <w:numId w:val="36"/>
        </w:numPr>
        <w:spacing w:before="0" w:line="259" w:lineRule="auto"/>
        <w:jc w:val="both"/>
      </w:pPr>
      <w:r w:rsidRPr="00E14EBC">
        <w:t>Iganädalaselt toimusid uurimismeeskonna sisemised arutelud, kus jagati</w:t>
      </w:r>
      <w:r w:rsidR="00FA5165" w:rsidRPr="00E14EBC">
        <w:t xml:space="preserve"> </w:t>
      </w:r>
      <w:r w:rsidR="00825C54" w:rsidRPr="00E14EBC">
        <w:t xml:space="preserve">regulaarselt </w:t>
      </w:r>
      <w:r w:rsidR="00B40B65" w:rsidRPr="00E14EBC">
        <w:t xml:space="preserve">infot </w:t>
      </w:r>
      <w:r w:rsidR="00FA5165" w:rsidRPr="00E14EBC">
        <w:t xml:space="preserve">andmete kogumise ja </w:t>
      </w:r>
      <w:r w:rsidR="00B40B65" w:rsidRPr="00E14EBC">
        <w:t>analüüsi käigust ning senistest leidudest. Selliselt tagati, et kogu meeskond on projekti käigu</w:t>
      </w:r>
      <w:r w:rsidR="00C27827" w:rsidRPr="00E14EBC">
        <w:t xml:space="preserve"> ning sisu</w:t>
      </w:r>
      <w:r w:rsidR="00B40B65" w:rsidRPr="00E14EBC">
        <w:t>ga kursis</w:t>
      </w:r>
      <w:r w:rsidR="00C27827" w:rsidRPr="00E14EBC">
        <w:t xml:space="preserve">. </w:t>
      </w:r>
      <w:r w:rsidR="00825C54" w:rsidRPr="00E14EBC">
        <w:t>Tulemuste ja sekkumiste välja töötamise etapi</w:t>
      </w:r>
      <w:r w:rsidR="00A47998" w:rsidRPr="00E14EBC">
        <w:t>s</w:t>
      </w:r>
      <w:r w:rsidR="00825C54" w:rsidRPr="00E14EBC">
        <w:t xml:space="preserve"> toimusid </w:t>
      </w:r>
      <w:r w:rsidR="00924BDB" w:rsidRPr="00E14EBC">
        <w:t>põhjalikumad</w:t>
      </w:r>
      <w:r w:rsidR="00825C54" w:rsidRPr="00E14EBC">
        <w:t xml:space="preserve"> meeskonna sisemised arutelu</w:t>
      </w:r>
      <w:r w:rsidR="008B6F11" w:rsidRPr="00E14EBC">
        <w:t>d</w:t>
      </w:r>
      <w:r w:rsidR="00825C54" w:rsidRPr="00E14EBC">
        <w:t xml:space="preserve"> ning </w:t>
      </w:r>
      <w:r w:rsidR="00954E29" w:rsidRPr="00E14EBC">
        <w:t>pikem töötoa formaadis kohtumine.</w:t>
      </w:r>
    </w:p>
    <w:p w14:paraId="7452B27F" w14:textId="3748D6C1" w:rsidR="00954E29" w:rsidRPr="00E14EBC" w:rsidRDefault="540E4E0A" w:rsidP="007F08F4">
      <w:pPr>
        <w:pStyle w:val="ListParagraph"/>
        <w:numPr>
          <w:ilvl w:val="0"/>
          <w:numId w:val="36"/>
        </w:numPr>
        <w:spacing w:before="0" w:line="259" w:lineRule="auto"/>
        <w:jc w:val="both"/>
      </w:pPr>
      <w:r>
        <w:t>Lisaks eespool mainitud intervjuudele</w:t>
      </w:r>
      <w:r w:rsidR="70523551">
        <w:t>,</w:t>
      </w:r>
      <w:r>
        <w:t xml:space="preserve"> konsulteeris</w:t>
      </w:r>
      <w:r w:rsidR="0E5564CB">
        <w:t xml:space="preserve">ime </w:t>
      </w:r>
      <w:r w:rsidR="242BEECC">
        <w:t xml:space="preserve">vastavalt vajadusele </w:t>
      </w:r>
      <w:r>
        <w:t xml:space="preserve">enda </w:t>
      </w:r>
      <w:r w:rsidR="242BEECC">
        <w:t>professionaals</w:t>
      </w:r>
      <w:r w:rsidR="342881EF">
        <w:t xml:space="preserve">e võrgustikuga üksikküsimustes (nt </w:t>
      </w:r>
      <w:r w:rsidR="4FEEFB0F">
        <w:t>kinnisvara arendajad, turismivaldkonna eksperdid, lühiajalise üüri teenus</w:t>
      </w:r>
      <w:r w:rsidR="2CE6DE9D">
        <w:t>e</w:t>
      </w:r>
      <w:r w:rsidR="4FEEFB0F">
        <w:t xml:space="preserve"> pakkujad, kohalike omavalituste spetsialistid jne)</w:t>
      </w:r>
      <w:r w:rsidR="3EE7B304">
        <w:t>. Selliste konsultatsioonide kaudu saadud in</w:t>
      </w:r>
      <w:r w:rsidR="48B965F0">
        <w:t>fot kasuta</w:t>
      </w:r>
      <w:r w:rsidR="5AF74FF9">
        <w:t>sime</w:t>
      </w:r>
      <w:r w:rsidR="48B965F0">
        <w:t xml:space="preserve"> üldise tausta loomiseks ning paremaks andmekorje allikate</w:t>
      </w:r>
      <w:r w:rsidR="2008EEE1">
        <w:t xml:space="preserve">, </w:t>
      </w:r>
      <w:r w:rsidR="48B965F0">
        <w:t xml:space="preserve">valimi </w:t>
      </w:r>
      <w:r w:rsidR="2008EEE1">
        <w:t xml:space="preserve">ja käsitlemist vajavate teemade </w:t>
      </w:r>
      <w:r w:rsidR="3824A6A6">
        <w:t>valikuks</w:t>
      </w:r>
      <w:r w:rsidR="48B965F0">
        <w:t>.</w:t>
      </w:r>
    </w:p>
    <w:p w14:paraId="71F2AF08" w14:textId="38806459" w:rsidR="00F720D5" w:rsidRPr="00E14EBC" w:rsidRDefault="00120458" w:rsidP="007F08F4">
      <w:pPr>
        <w:pStyle w:val="ListParagraph"/>
        <w:numPr>
          <w:ilvl w:val="0"/>
          <w:numId w:val="36"/>
        </w:numPr>
        <w:spacing w:before="0" w:line="259" w:lineRule="auto"/>
        <w:jc w:val="both"/>
      </w:pPr>
      <w:r w:rsidRPr="00E14EBC">
        <w:t>Lisaks avakohtumisele toimusid ü</w:t>
      </w:r>
      <w:r w:rsidR="000E1E07" w:rsidRPr="00E14EBC">
        <w:t>le</w:t>
      </w:r>
      <w:r w:rsidR="00EB1AD3" w:rsidRPr="00E14EBC">
        <w:t xml:space="preserve"> kahe nädala </w:t>
      </w:r>
      <w:r w:rsidRPr="00E14EBC">
        <w:t>regulaarsed</w:t>
      </w:r>
      <w:r w:rsidR="00EB1AD3" w:rsidRPr="00E14EBC">
        <w:t xml:space="preserve"> staatuskohtumised Tellijaga (võimalusel osalesid ka juhtrühma liikmed), kus arutati praktilisi andmete kogumist ja analüüsi puudutavaid </w:t>
      </w:r>
      <w:r w:rsidR="00F720D5" w:rsidRPr="00E14EBC">
        <w:t>küsimusi, aru</w:t>
      </w:r>
      <w:r w:rsidR="00E95151">
        <w:t>tleti</w:t>
      </w:r>
      <w:r w:rsidR="00F720D5" w:rsidRPr="00E14EBC">
        <w:t xml:space="preserve"> </w:t>
      </w:r>
      <w:r w:rsidRPr="00E14EBC">
        <w:t xml:space="preserve">seniste </w:t>
      </w:r>
      <w:r w:rsidR="00F720D5" w:rsidRPr="00E14EBC">
        <w:t xml:space="preserve">leidude üle, vahetati asjakohast infot jms. </w:t>
      </w:r>
    </w:p>
    <w:p w14:paraId="5C0DE59B" w14:textId="537ECD3E" w:rsidR="000E1E07" w:rsidRPr="00E14EBC" w:rsidRDefault="00120458" w:rsidP="007F08F4">
      <w:pPr>
        <w:pStyle w:val="ListParagraph"/>
        <w:numPr>
          <w:ilvl w:val="0"/>
          <w:numId w:val="36"/>
        </w:numPr>
        <w:spacing w:before="0" w:line="259" w:lineRule="auto"/>
        <w:jc w:val="both"/>
      </w:pPr>
      <w:r w:rsidRPr="00E14EBC">
        <w:lastRenderedPageBreak/>
        <w:t xml:space="preserve">Projekti jooksul toimus </w:t>
      </w:r>
      <w:r w:rsidR="00E5007E">
        <w:t>neli</w:t>
      </w:r>
      <w:r w:rsidRPr="00E14EBC">
        <w:t xml:space="preserve"> juhtrühma kohtumist</w:t>
      </w:r>
      <w:r w:rsidR="00CC2B6A" w:rsidRPr="00E14EBC">
        <w:t xml:space="preserve"> (</w:t>
      </w:r>
      <w:r w:rsidR="0098619E" w:rsidRPr="00E14EBC">
        <w:t>vahetult</w:t>
      </w:r>
      <w:r w:rsidR="00CC2B6A" w:rsidRPr="00E14EBC">
        <w:t xml:space="preserve"> vahearuande, lõpparuande esimese versiooni ja lõppversiooni esitamise </w:t>
      </w:r>
      <w:r w:rsidR="0098619E" w:rsidRPr="00E14EBC">
        <w:t>järgselt</w:t>
      </w:r>
      <w:r w:rsidR="00CC2B6A" w:rsidRPr="00E14EBC">
        <w:t>), kus tutvustasi</w:t>
      </w:r>
      <w:r w:rsidR="00B97B81">
        <w:t>me</w:t>
      </w:r>
      <w:r w:rsidR="00CC2B6A" w:rsidRPr="00E14EBC">
        <w:t xml:space="preserve"> aruannete põhjal (vahe)tulemusi ning juhtrühm andis tagasiside</w:t>
      </w:r>
      <w:r w:rsidR="006F59BD" w:rsidRPr="00E14EBC">
        <w:t>t</w:t>
      </w:r>
      <w:r w:rsidR="00CC2B6A" w:rsidRPr="00E14EBC">
        <w:t xml:space="preserve"> </w:t>
      </w:r>
      <w:r w:rsidR="009D4E15">
        <w:t>ja</w:t>
      </w:r>
      <w:r w:rsidR="009D4E15" w:rsidRPr="00E14EBC">
        <w:t xml:space="preserve"> </w:t>
      </w:r>
      <w:r w:rsidR="00CC2B6A" w:rsidRPr="00E14EBC">
        <w:t>suuniseid edasiseks tööks.</w:t>
      </w:r>
    </w:p>
    <w:p w14:paraId="21561134" w14:textId="628FFB5D" w:rsidR="00CC2B6A" w:rsidRPr="00E14EBC" w:rsidRDefault="00CC2B6A" w:rsidP="007F08F4">
      <w:pPr>
        <w:pStyle w:val="ListParagraph"/>
        <w:numPr>
          <w:ilvl w:val="0"/>
          <w:numId w:val="36"/>
        </w:numPr>
        <w:spacing w:before="0" w:line="259" w:lineRule="auto"/>
        <w:jc w:val="both"/>
      </w:pPr>
      <w:r w:rsidRPr="00E14EBC">
        <w:t xml:space="preserve">Projekti jooksul toimus kolm teadusnõustamist, kus osalesid lisaks Tellijale ja juhtrühma </w:t>
      </w:r>
      <w:r w:rsidR="00691DA5" w:rsidRPr="00E14EBC">
        <w:t>liikmetele</w:t>
      </w:r>
      <w:r w:rsidRPr="00E14EBC">
        <w:t xml:space="preserve"> ka </w:t>
      </w:r>
      <w:r w:rsidR="00691DA5" w:rsidRPr="00E14EBC">
        <w:t xml:space="preserve">turuosalised ja huvilised laiemalt (nt </w:t>
      </w:r>
      <w:r w:rsidR="00C175E8" w:rsidRPr="00E14EBC">
        <w:t xml:space="preserve">erialaliidud, </w:t>
      </w:r>
      <w:r w:rsidR="005A32D7" w:rsidRPr="00E14EBC">
        <w:t>huvigrupid, kohalikud omavalitsused jne)</w:t>
      </w:r>
      <w:r w:rsidR="0060748A" w:rsidRPr="00E14EBC">
        <w:t>. Iga teadusnõustami</w:t>
      </w:r>
      <w:r w:rsidR="00EA3F93" w:rsidRPr="00E14EBC">
        <w:t>ne</w:t>
      </w:r>
      <w:r w:rsidR="0060748A" w:rsidRPr="00E14EBC">
        <w:t xml:space="preserve"> </w:t>
      </w:r>
      <w:r w:rsidR="00D51C33" w:rsidRPr="00E14EBC">
        <w:t xml:space="preserve">keskendus </w:t>
      </w:r>
      <w:r w:rsidR="00A43C65" w:rsidRPr="00E14EBC">
        <w:t xml:space="preserve">vastavas projekti etapis </w:t>
      </w:r>
      <w:r w:rsidR="000B3E1E" w:rsidRPr="00E14EBC">
        <w:t xml:space="preserve">esilekerkinud olulisematele </w:t>
      </w:r>
      <w:r w:rsidR="00D51C33" w:rsidRPr="00E14EBC">
        <w:t>teemadele</w:t>
      </w:r>
      <w:r w:rsidR="002C22CE" w:rsidRPr="00E14EBC">
        <w:t xml:space="preserve"> ja </w:t>
      </w:r>
      <w:r w:rsidR="000B3E1E" w:rsidRPr="00E14EBC">
        <w:t>(</w:t>
      </w:r>
      <w:r w:rsidR="002C22CE" w:rsidRPr="00E14EBC">
        <w:t>vahe</w:t>
      </w:r>
      <w:r w:rsidR="000B3E1E" w:rsidRPr="00E14EBC">
        <w:t>)</w:t>
      </w:r>
      <w:r w:rsidR="002C22CE" w:rsidRPr="00E14EBC">
        <w:t>tulemustele</w:t>
      </w:r>
      <w:r w:rsidR="002B4BE4" w:rsidRPr="00E14EBC">
        <w:t>.</w:t>
      </w:r>
    </w:p>
    <w:p w14:paraId="206A549E" w14:textId="17653429" w:rsidR="00544DE7" w:rsidRPr="00E14EBC" w:rsidRDefault="00DF2149" w:rsidP="00CB3F6D">
      <w:pPr>
        <w:spacing w:before="0" w:line="259" w:lineRule="auto"/>
        <w:jc w:val="both"/>
      </w:pPr>
      <w:r w:rsidRPr="00E14EBC">
        <w:t>Juhtrühma kohtumi</w:t>
      </w:r>
      <w:r w:rsidR="00EF5BBB" w:rsidRPr="00E14EBC">
        <w:t xml:space="preserve">si </w:t>
      </w:r>
      <w:r w:rsidRPr="00E14EBC">
        <w:t>ja teadusnõustamis</w:t>
      </w:r>
      <w:r w:rsidR="00EF5BBB" w:rsidRPr="00E14EBC">
        <w:t>i</w:t>
      </w:r>
      <w:r w:rsidRPr="00E14EBC">
        <w:t xml:space="preserve"> </w:t>
      </w:r>
      <w:r w:rsidR="00EF5BBB" w:rsidRPr="00E14EBC">
        <w:t xml:space="preserve">kasutati ka tulemuste ja sekkumiste valideerimise eesmärgil. </w:t>
      </w:r>
      <w:r w:rsidR="00544DE7" w:rsidRPr="00E14EBC">
        <w:t>Nende arutelude kohta koostat</w:t>
      </w:r>
      <w:r w:rsidR="00266918" w:rsidRPr="00E14EBC">
        <w:t>i</w:t>
      </w:r>
      <w:r w:rsidR="00544DE7" w:rsidRPr="00E14EBC">
        <w:t xml:space="preserve"> </w:t>
      </w:r>
      <w:r w:rsidR="00A41344" w:rsidRPr="00E14EBC">
        <w:t xml:space="preserve">põhjalikud </w:t>
      </w:r>
      <w:r w:rsidR="00544DE7" w:rsidRPr="00E14EBC">
        <w:t>kokkuvõtted, mida kasutati edasises analüüsi</w:t>
      </w:r>
      <w:r w:rsidR="00266918" w:rsidRPr="00E14EBC">
        <w:t>s</w:t>
      </w:r>
      <w:r w:rsidR="00544DE7" w:rsidRPr="00E14EBC">
        <w:t xml:space="preserve"> </w:t>
      </w:r>
      <w:r w:rsidR="0058710C">
        <w:t>ning järelduste ja poliitikasoovituste sünteesimisel</w:t>
      </w:r>
      <w:r w:rsidR="00544DE7" w:rsidRPr="00E14EBC">
        <w:t>.</w:t>
      </w:r>
    </w:p>
    <w:p w14:paraId="5EB760A1" w14:textId="5ADACD14" w:rsidR="00252FF6" w:rsidRPr="00E14EBC" w:rsidRDefault="00252FF6" w:rsidP="00544DE7">
      <w:pPr>
        <w:spacing w:before="0" w:line="259" w:lineRule="auto"/>
      </w:pPr>
      <w:r w:rsidRPr="00E14EBC">
        <w:br w:type="page"/>
      </w:r>
    </w:p>
    <w:p w14:paraId="39B7D4E1" w14:textId="7F43CC9F" w:rsidR="00C61415" w:rsidRPr="00BD46FD" w:rsidRDefault="00E40284" w:rsidP="00E90C4D">
      <w:pPr>
        <w:pStyle w:val="Heading1"/>
        <w:rPr>
          <w:rFonts w:hint="eastAsia"/>
          <w:b/>
          <w:bCs/>
        </w:rPr>
      </w:pPr>
      <w:bookmarkStart w:id="57" w:name="_Toc197718050"/>
      <w:bookmarkStart w:id="58" w:name="_Toc208991582"/>
      <w:r w:rsidRPr="00BD46FD">
        <w:rPr>
          <w:b/>
          <w:bCs/>
        </w:rPr>
        <w:lastRenderedPageBreak/>
        <w:t xml:space="preserve">Lühiajalise üüri </w:t>
      </w:r>
      <w:r w:rsidR="000E3AAA" w:rsidRPr="00BD46FD">
        <w:rPr>
          <w:b/>
          <w:bCs/>
        </w:rPr>
        <w:t>tur</w:t>
      </w:r>
      <w:r w:rsidR="008B76B8" w:rsidRPr="00BD46FD">
        <w:rPr>
          <w:b/>
          <w:bCs/>
        </w:rPr>
        <w:t>u käsitlus</w:t>
      </w:r>
      <w:r w:rsidR="000B496A" w:rsidRPr="00BD46FD">
        <w:rPr>
          <w:b/>
          <w:bCs/>
        </w:rPr>
        <w:t xml:space="preserve"> Eesti majandus- ja ettevõtluskeskkonnas ja õigusruumis</w:t>
      </w:r>
      <w:bookmarkEnd w:id="57"/>
      <w:bookmarkEnd w:id="58"/>
    </w:p>
    <w:p w14:paraId="48333F2D" w14:textId="59E506B8" w:rsidR="006D781C" w:rsidRPr="00E14EBC" w:rsidRDefault="21AA14B9" w:rsidP="02F5670D">
      <w:pPr>
        <w:pStyle w:val="Heading2"/>
        <w:rPr>
          <w:rFonts w:hint="eastAsia"/>
        </w:rPr>
      </w:pPr>
      <w:bookmarkStart w:id="59" w:name="_Toc197718051"/>
      <w:bookmarkStart w:id="60" w:name="_Toc208991583"/>
      <w:r>
        <w:t>Teoreetiline taust lühiajalise üüri käsitlemisel: jagamismajandus ja platvormimajandus</w:t>
      </w:r>
      <w:bookmarkEnd w:id="59"/>
      <w:bookmarkEnd w:id="60"/>
    </w:p>
    <w:p w14:paraId="4D263A8A" w14:textId="208ED673" w:rsidR="00B677EA" w:rsidRPr="00E14EBC" w:rsidRDefault="00B677EA" w:rsidP="001D6F4E">
      <w:pPr>
        <w:pStyle w:val="MintBlock"/>
        <w:spacing w:after="0"/>
      </w:pPr>
      <w:r>
        <w:t>Lühiajalise üüri turu problemaatikat on antud uuringus käsitletud kahe viimastel aastakümnetel keskse koha omandanud kontseptsiooni –</w:t>
      </w:r>
      <w:r w:rsidR="00240985">
        <w:t xml:space="preserve"> </w:t>
      </w:r>
      <w:r w:rsidRPr="1688D34F">
        <w:rPr>
          <w:b/>
          <w:bCs/>
        </w:rPr>
        <w:t>jagamis- ja platvormimajanduse</w:t>
      </w:r>
      <w:r w:rsidR="00115572">
        <w:rPr>
          <w:b/>
          <w:bCs/>
        </w:rPr>
        <w:t xml:space="preserve"> </w:t>
      </w:r>
      <w:r>
        <w:t xml:space="preserve">– raamistikus. Neist ajalooliselt vanem on esimene. </w:t>
      </w:r>
      <w:r w:rsidR="00C81BB5">
        <w:t>Jagamismajandusliku kokkuleppe</w:t>
      </w:r>
      <w:r>
        <w:t xml:space="preserve"> all </w:t>
      </w:r>
      <w:r w:rsidR="00C81BB5">
        <w:t>mõisteti</w:t>
      </w:r>
      <w:r w:rsidR="001A4248">
        <w:t xml:space="preserve"> </w:t>
      </w:r>
      <w:r>
        <w:t xml:space="preserve">majandussubjektide, eelkõige üksikisikute vahelist </w:t>
      </w:r>
      <w:r w:rsidR="00C81BB5">
        <w:t>kokkulepet varaka</w:t>
      </w:r>
      <w:r w:rsidR="1256F679">
        <w:t>s</w:t>
      </w:r>
      <w:r w:rsidR="00C81BB5">
        <w:t>utuse kohta</w:t>
      </w:r>
      <w:r>
        <w:t>, mille</w:t>
      </w:r>
      <w:r w:rsidR="001A4248">
        <w:t xml:space="preserve"> </w:t>
      </w:r>
      <w:r w:rsidR="00C81BB5">
        <w:t xml:space="preserve">puhul </w:t>
      </w:r>
      <w:r>
        <w:t xml:space="preserve">üks osapool võimaldas kasutada teisel teatud </w:t>
      </w:r>
      <w:r w:rsidR="00C81BB5">
        <w:t>ajaks</w:t>
      </w:r>
      <w:r>
        <w:t xml:space="preserve"> ja </w:t>
      </w:r>
      <w:r w:rsidR="00C81BB5">
        <w:t>tingimustel (sh tasu või muu kompensatsioon</w:t>
      </w:r>
      <w:r w:rsidR="00D6200C">
        <w:t xml:space="preserve"> eest</w:t>
      </w:r>
      <w:r w:rsidR="00C81BB5">
        <w:t xml:space="preserve">) oma </w:t>
      </w:r>
      <w:r>
        <w:t xml:space="preserve">tavaliselt </w:t>
      </w:r>
      <w:r w:rsidR="00C81BB5">
        <w:t>elukondlikus kasutuses olnud</w:t>
      </w:r>
      <w:r>
        <w:t xml:space="preserve"> vara või selle mingit osa</w:t>
      </w:r>
      <w:r w:rsidR="00C81BB5">
        <w:t xml:space="preserve"> ilma</w:t>
      </w:r>
      <w:r w:rsidR="00F40E66">
        <w:t>,</w:t>
      </w:r>
      <w:r w:rsidR="00C81BB5">
        <w:t xml:space="preserve"> et</w:t>
      </w:r>
      <w:r>
        <w:t xml:space="preserve"> vara omandisuhe </w:t>
      </w:r>
      <w:r w:rsidR="00C81BB5">
        <w:t>selle juures oleks muutunud. Kasulik</w:t>
      </w:r>
      <w:r w:rsidR="001A4248">
        <w:t xml:space="preserve"> </w:t>
      </w:r>
      <w:r>
        <w:t>efekt saadakse jagamismajanduse puhul muidu alakasutatud ressursside paremast kasutamisest.</w:t>
      </w:r>
      <w:r w:rsidR="001A4248">
        <w:rPr>
          <w:b/>
          <w:bCs/>
        </w:rPr>
        <w:t xml:space="preserve"> </w:t>
      </w:r>
      <w:r>
        <w:t>Jagamismajanduse osatähtsuse tõusuga kaasneb ka mitmeid ökoloogilisi ja sotsiaalseid positiivseid kaasmõjusid.</w:t>
      </w:r>
    </w:p>
    <w:p w14:paraId="4EA09EFE" w14:textId="77777777" w:rsidR="00B677EA" w:rsidRPr="00E14EBC" w:rsidRDefault="00B677EA" w:rsidP="00B677EA">
      <w:pPr>
        <w:pStyle w:val="MintBlock"/>
        <w:spacing w:before="0" w:after="0"/>
      </w:pPr>
    </w:p>
    <w:p w14:paraId="03004E78" w14:textId="2E2B2805" w:rsidR="00B677EA" w:rsidRPr="00E14EBC" w:rsidRDefault="00B677EA" w:rsidP="00B677EA">
      <w:pPr>
        <w:pStyle w:val="MintBlock"/>
        <w:spacing w:before="0" w:after="0"/>
      </w:pPr>
      <w:r>
        <w:t>Käesoleval sajandil hakkas varade kasutamisel üha olulisemat rolli mängima digitaalsete vahendusplatvormide teke. Jagamismajanduse ja platvormimajanduse mõiste</w:t>
      </w:r>
      <w:r w:rsidR="00FC0EC4">
        <w:t>d</w:t>
      </w:r>
      <w:r>
        <w:t xml:space="preserve"> kattuvad vaid osaliselt. Vahendusplatvormide teke lihtsustab ja laiendab mingite res</w:t>
      </w:r>
      <w:r w:rsidR="1089F785">
        <w:t>s</w:t>
      </w:r>
      <w:r>
        <w:t>ursside ajutisest kasutamisest huvitatute ligipääsu pakkumisel olevatele res</w:t>
      </w:r>
      <w:r w:rsidR="26EF97F7">
        <w:t>s</w:t>
      </w:r>
      <w:r>
        <w:t>urssidele ja saab sellega aidata kaasa jagamismajanduse levikule. Samas,</w:t>
      </w:r>
      <w:r w:rsidR="00E54F72">
        <w:t xml:space="preserve"> </w:t>
      </w:r>
      <w:r>
        <w:t>platvormid võivad vahendada mitte ainult jagamismajanduslikku, vaid ka muud, tavaärinduslikku tegevust. Kui</w:t>
      </w:r>
      <w:r w:rsidR="00E54F72">
        <w:t xml:space="preserve"> o</w:t>
      </w:r>
      <w:r>
        <w:t xml:space="preserve">pereeritakse </w:t>
      </w:r>
      <w:r w:rsidR="0090021B">
        <w:t xml:space="preserve">üksnes </w:t>
      </w:r>
      <w:r>
        <w:t>äritegevuseks soetatud pindadega, siis see tegevus enam jagamismajanduse mõiste alla ei mahu.</w:t>
      </w:r>
    </w:p>
    <w:p w14:paraId="3DCEFD0D" w14:textId="77777777" w:rsidR="00B677EA" w:rsidRPr="00E14EBC" w:rsidRDefault="00B677EA" w:rsidP="00B677EA">
      <w:pPr>
        <w:pStyle w:val="MintBlock"/>
        <w:spacing w:before="0" w:after="0"/>
      </w:pPr>
    </w:p>
    <w:p w14:paraId="48CEC30D" w14:textId="55A4838F" w:rsidR="00B677EA" w:rsidRPr="00042B2E" w:rsidRDefault="00B677EA" w:rsidP="00B677EA">
      <w:pPr>
        <w:pStyle w:val="MintBlock"/>
        <w:spacing w:before="0" w:after="0"/>
        <w:rPr>
          <w:b/>
          <w:bCs/>
        </w:rPr>
      </w:pPr>
      <w:r>
        <w:t xml:space="preserve">Käesolevas analüüsis </w:t>
      </w:r>
      <w:r w:rsidRPr="00042B2E">
        <w:rPr>
          <w:b/>
          <w:bCs/>
        </w:rPr>
        <w:t>eristame</w:t>
      </w:r>
      <w:r w:rsidRPr="00E14EBC">
        <w:t xml:space="preserve"> el</w:t>
      </w:r>
      <w:r>
        <w:t xml:space="preserve">uruumide lühiajalise üüri puhul </w:t>
      </w:r>
      <w:r w:rsidRPr="00E14EBC">
        <w:t>selle jagamismajanduslikku osist</w:t>
      </w:r>
      <w:r>
        <w:t xml:space="preserve"> ehk</w:t>
      </w:r>
      <w:r w:rsidRPr="00E14EBC">
        <w:t xml:space="preserve"> </w:t>
      </w:r>
      <w:r w:rsidRPr="00042B2E">
        <w:rPr>
          <w:b/>
          <w:bCs/>
        </w:rPr>
        <w:t>nende eluruumide ajutist väljaüürimist, kus inimene ise elab</w:t>
      </w:r>
      <w:r w:rsidRPr="00E14EBC">
        <w:t xml:space="preserve"> (kodumajutus ja oma elukoha ruumide ajutine väljaüürimine) </w:t>
      </w:r>
      <w:r w:rsidRPr="00042B2E">
        <w:rPr>
          <w:b/>
          <w:bCs/>
        </w:rPr>
        <w:t>ning puhtalt äritegevuseks soetatud eluruumide baasil teostatavat lühiajalist üürimist</w:t>
      </w:r>
      <w:r w:rsidRPr="001D6F4E">
        <w:t>.</w:t>
      </w:r>
    </w:p>
    <w:p w14:paraId="797FF7DF" w14:textId="77777777" w:rsidR="007967CC" w:rsidRPr="00E14EBC" w:rsidRDefault="007967CC" w:rsidP="007967CC">
      <w:pPr>
        <w:pStyle w:val="Heading3"/>
        <w:numPr>
          <w:ilvl w:val="2"/>
          <w:numId w:val="80"/>
        </w:numPr>
        <w:rPr>
          <w:rFonts w:hint="eastAsia"/>
        </w:rPr>
      </w:pPr>
      <w:bookmarkStart w:id="61" w:name="_Toc208991584"/>
      <w:r w:rsidRPr="00E14EBC">
        <w:t>Jagamismajandus</w:t>
      </w:r>
      <w:bookmarkEnd w:id="61"/>
    </w:p>
    <w:p w14:paraId="3D551D99" w14:textId="2357E409" w:rsidR="007967CC" w:rsidRDefault="007967CC" w:rsidP="007967CC">
      <w:pPr>
        <w:jc w:val="both"/>
      </w:pPr>
      <w:r w:rsidRPr="000B12F6">
        <w:t xml:space="preserve">Oluliseks kontekstiks lühiajalise üüri temaatika teoreetilisel käsitlusel on juba 1980ndatel ja 90ndatel aastatel populaarsust võitma hakanud jagamismajanduse kontseptsioon. </w:t>
      </w:r>
      <w:r w:rsidRPr="00E14EBC">
        <w:t>Jagamismajanduse</w:t>
      </w:r>
      <w:r>
        <w:t xml:space="preserve"> </w:t>
      </w:r>
      <w:r w:rsidRPr="1688D34F">
        <w:rPr>
          <w:i/>
          <w:iCs/>
        </w:rPr>
        <w:t>(</w:t>
      </w:r>
      <w:r w:rsidRPr="00E14EBC">
        <w:t>ingl</w:t>
      </w:r>
      <w:r w:rsidRPr="1688D34F">
        <w:rPr>
          <w:i/>
          <w:iCs/>
        </w:rPr>
        <w:t xml:space="preserve"> sharing economy</w:t>
      </w:r>
      <w:r w:rsidRPr="00E14EBC">
        <w:t xml:space="preserve"> või </w:t>
      </w:r>
      <w:r w:rsidRPr="1688D34F">
        <w:rPr>
          <w:i/>
          <w:iCs/>
        </w:rPr>
        <w:t>shared economy</w:t>
      </w:r>
      <w:r w:rsidRPr="00E14EBC">
        <w:t xml:space="preserve">) </w:t>
      </w:r>
      <w:r>
        <w:t>käsitlus on olnud aja jooksul muutumises ja arengus.</w:t>
      </w:r>
      <w:r w:rsidRPr="00E14EBC">
        <w:rPr>
          <w:rStyle w:val="FootnoteReference"/>
        </w:rPr>
        <w:footnoteReference w:id="13"/>
      </w:r>
      <w:r w:rsidRPr="00E14EBC">
        <w:t xml:space="preserve"> </w:t>
      </w:r>
      <w:r>
        <w:t>Ühest lühidat definitsiooni, mis ammendaks selle nähtuse olemuse terviklikult ja rahuldaks kõiki</w:t>
      </w:r>
      <w:r w:rsidR="56FB1B95">
        <w:t>,</w:t>
      </w:r>
      <w:r>
        <w:t xml:space="preserve"> on seetõttu raske leida, küll saab välja tuua selle käsitluse põhilised tunnusjooned.</w:t>
      </w:r>
    </w:p>
    <w:p w14:paraId="44175E0B" w14:textId="77777777" w:rsidR="00B22AA5" w:rsidRDefault="00B22AA5" w:rsidP="007967CC">
      <w:pPr>
        <w:jc w:val="both"/>
      </w:pPr>
    </w:p>
    <w:p w14:paraId="12DCBA58" w14:textId="77777777" w:rsidR="001005DB" w:rsidRDefault="001005DB" w:rsidP="007967CC">
      <w:pPr>
        <w:jc w:val="both"/>
      </w:pPr>
    </w:p>
    <w:p w14:paraId="055D4C87" w14:textId="77777777" w:rsidR="007967CC" w:rsidRPr="00231AE8" w:rsidRDefault="007967CC" w:rsidP="007967CC">
      <w:pPr>
        <w:jc w:val="both"/>
        <w:rPr>
          <w:rStyle w:val="PurpleText"/>
          <w:szCs w:val="24"/>
        </w:rPr>
      </w:pPr>
      <w:r w:rsidRPr="00231AE8">
        <w:rPr>
          <w:rStyle w:val="PurpleText"/>
          <w:szCs w:val="24"/>
        </w:rPr>
        <w:lastRenderedPageBreak/>
        <w:t>Jagamismajandust iseloomustavad rõhuasetused</w:t>
      </w:r>
    </w:p>
    <w:p w14:paraId="674D97A1" w14:textId="01960371" w:rsidR="007967CC" w:rsidRDefault="007967CC" w:rsidP="007967CC">
      <w:pPr>
        <w:jc w:val="both"/>
      </w:pPr>
      <w:r>
        <w:t xml:space="preserve">Jagamismajanduse ideoloogia rõhutab ühelt pool asjaolu, et kuna maailmas on alakasutatud materiaalseid </w:t>
      </w:r>
      <w:r w:rsidR="006E53C5">
        <w:t>ressursse</w:t>
      </w:r>
      <w:r>
        <w:t xml:space="preserve"> piisavalt, siis ei ole suuremat mõtet oma vajaduste rahuldamiseks neid oma omandusse juurde hankida. On ju võimalik jõuda teistega, kel need </w:t>
      </w:r>
      <w:r w:rsidR="006E53C5">
        <w:t>ressursid</w:t>
      </w:r>
      <w:r>
        <w:t xml:space="preserve"> olemas on, kokkulepeteni, kuidas neid võiks teatud tingimustel kasutada. Miks osta auto või mõni majapidamises tarvilik, kuid harva tarbitav mehhanism, kui otstarbekam võib olla selle üürimine, laenamine või jagamine teise kasutajaga. Teine kontseptsiooni oluline tunnusjoon oli lahenduste otsimine väljaspool väljakujunenud tavamajanduslikke institutsioone ja protsesse. Eluasemeprobleemi lahendamine endale kinnisvarafirmalt korteri üürimisega või puhkuseaegse majutusprobleemi lahendamine peatumisega hotelliketti kuuluvas hotellis tähendavad mõlemad</w:t>
      </w:r>
      <w:r w:rsidR="004C59AD">
        <w:t xml:space="preserve"> </w:t>
      </w:r>
      <w:r>
        <w:t xml:space="preserve">küll oma vajaduste rahuldamist mitte endale kuuluva </w:t>
      </w:r>
      <w:r w:rsidR="00D90DFB">
        <w:t>ressursi</w:t>
      </w:r>
      <w:r>
        <w:t xml:space="preserve"> abil, aga jagamismajanduses osalemisena taolisi tegevusi siiski ei käsitleta. Jagamismajanduse kontseptsioon ei huvitu neist </w:t>
      </w:r>
      <w:r w:rsidR="00D327DE">
        <w:t>ressurssidest</w:t>
      </w:r>
      <w:r>
        <w:t>, mis on koondunud juba mingis valdkonnas varade rentimise/üürimisega tegelevate spetsialiseerunud</w:t>
      </w:r>
      <w:r w:rsidR="004C59AD">
        <w:t xml:space="preserve"> </w:t>
      </w:r>
      <w:r>
        <w:t xml:space="preserve">firmade kätte, vaid nende </w:t>
      </w:r>
      <w:r w:rsidR="00D327DE">
        <w:t>ressurssidega</w:t>
      </w:r>
      <w:r>
        <w:t xml:space="preserve">, mis on piltlikult öeldes </w:t>
      </w:r>
      <w:r w:rsidRPr="1C92C443">
        <w:rPr>
          <w:b/>
        </w:rPr>
        <w:t>ühiskonnas n</w:t>
      </w:r>
      <w:r w:rsidR="00D84E29">
        <w:rPr>
          <w:b/>
        </w:rPr>
        <w:noBreakHyphen/>
      </w:r>
      <w:r w:rsidRPr="1C92C443">
        <w:rPr>
          <w:b/>
        </w:rPr>
        <w:t>ö laiali.</w:t>
      </w:r>
      <w:r w:rsidR="004C59AD" w:rsidRPr="1C92C443">
        <w:rPr>
          <w:b/>
        </w:rPr>
        <w:t xml:space="preserve"> </w:t>
      </w:r>
      <w:r w:rsidR="003B540C">
        <w:t>Tüüpiliselt on</w:t>
      </w:r>
      <w:r w:rsidR="004A1630">
        <w:t xml:space="preserve"> tegemist</w:t>
      </w:r>
      <w:r w:rsidR="003B540C">
        <w:t xml:space="preserve"> </w:t>
      </w:r>
      <w:r>
        <w:t>üksikinimeste omanduses</w:t>
      </w:r>
      <w:r w:rsidR="004A1630">
        <w:t xml:space="preserve"> olevate </w:t>
      </w:r>
      <w:r w:rsidR="009D4B04">
        <w:t>ressurssidega, mida</w:t>
      </w:r>
      <w:r>
        <w:t xml:space="preserve"> saaks kasutada omandisuhet muutmata paremini, sellisel viisil, et kasu saaks nii omanik, kui keegi teine. Inimestele kuuluvates eluruumides</w:t>
      </w:r>
      <w:r w:rsidR="00D327DE">
        <w:t xml:space="preserve"> </w:t>
      </w:r>
      <w:r w:rsidR="00D327DE" w:rsidRPr="004E0130">
        <w:rPr>
          <w:b/>
        </w:rPr>
        <w:t>l</w:t>
      </w:r>
      <w:r w:rsidRPr="1C92C443">
        <w:rPr>
          <w:b/>
        </w:rPr>
        <w:t>ühiajalise majutamisteenuse osutamine</w:t>
      </w:r>
      <w:r>
        <w:t xml:space="preserve"> on kujunenud taolise tegevuse</w:t>
      </w:r>
      <w:r w:rsidR="004C59AD">
        <w:t xml:space="preserve"> </w:t>
      </w:r>
      <w:r>
        <w:t>klassikaliseks näiteks.</w:t>
      </w:r>
    </w:p>
    <w:p w14:paraId="26BEEB5C" w14:textId="2C335E75" w:rsidR="007967CC" w:rsidRDefault="007967CC" w:rsidP="007967CC">
      <w:pPr>
        <w:jc w:val="both"/>
      </w:pPr>
      <w:r w:rsidRPr="1688D34F">
        <w:t>Jagamismajanduse mõiste esile kerkimisele vahetult järgnenud perioodil seostati seda tugevalt kooperatsiooni ja (kaas)osaluse mõistega. Väidetavalt esimeses allikas</w:t>
      </w:r>
      <w:r w:rsidR="00102E2F">
        <w:t xml:space="preserve">, </w:t>
      </w:r>
      <w:r w:rsidR="00102E2F" w:rsidRPr="1688D34F">
        <w:t xml:space="preserve">kus kasutati terminit </w:t>
      </w:r>
      <w:r w:rsidR="00102E2F" w:rsidRPr="1688D34F">
        <w:rPr>
          <w:i/>
        </w:rPr>
        <w:t>sharing economy</w:t>
      </w:r>
      <w:r w:rsidR="00102E2F" w:rsidRPr="00231AE8">
        <w:rPr>
          <w:szCs w:val="24"/>
        </w:rPr>
        <w:t>,</w:t>
      </w:r>
      <w:r w:rsidR="00102E2F" w:rsidRPr="1688D34F">
        <w:t xml:space="preserve"> käsitleti seda kui fenomeni, kus indiviidid või inimgrupid saavad juurdepääsu majanduslikele kaupadele või teenustele</w:t>
      </w:r>
      <w:r w:rsidR="00102E2F">
        <w:rPr>
          <w:szCs w:val="24"/>
        </w:rPr>
        <w:t xml:space="preserve"> </w:t>
      </w:r>
      <w:r w:rsidR="00102E2F" w:rsidRPr="1688D34F">
        <w:t>osaledes tegevustes koos teistega.</w:t>
      </w:r>
      <w:r w:rsidR="00490558" w:rsidRPr="1688D34F">
        <w:rPr>
          <w:rStyle w:val="FootnoteReference"/>
        </w:rPr>
        <w:footnoteReference w:id="14"/>
      </w:r>
      <w:r w:rsidRPr="1688D34F">
        <w:t xml:space="preserve"> </w:t>
      </w:r>
      <w:r w:rsidR="00E47576">
        <w:t>Tegemist on sisuliselt ü</w:t>
      </w:r>
      <w:r w:rsidRPr="1688D34F">
        <w:t>hisjagamise</w:t>
      </w:r>
      <w:r w:rsidR="000A4522">
        <w:t>g</w:t>
      </w:r>
      <w:r w:rsidRPr="1688D34F">
        <w:t xml:space="preserve">a, kus teenuseosutajad jagavad varasid, vahendeid, aega ja/või oskusi ning teevad omavahel koostööd. Jagamismajandust nähti nn </w:t>
      </w:r>
      <w:r w:rsidRPr="1688D34F">
        <w:rPr>
          <w:b/>
        </w:rPr>
        <w:t>rohujuure tasandi majandusena</w:t>
      </w:r>
      <w:r w:rsidRPr="1688D34F">
        <w:t>, majandusvormina, mis baseerub eraisikute ja kogukondade võrgustikel, jättes kõrvale suured tavamajanduse institutsioonid (suurkorporatsioonid,</w:t>
      </w:r>
      <w:r w:rsidR="004C59AD">
        <w:rPr>
          <w:szCs w:val="24"/>
        </w:rPr>
        <w:t xml:space="preserve"> </w:t>
      </w:r>
      <w:r w:rsidRPr="1688D34F">
        <w:t>pangad, hotelliketid jt)</w:t>
      </w:r>
      <w:r w:rsidR="031C4F8A" w:rsidRPr="1688D34F">
        <w:t>.</w:t>
      </w:r>
    </w:p>
    <w:p w14:paraId="0557E32B" w14:textId="0431068E" w:rsidR="007967CC" w:rsidRPr="00231AE8" w:rsidRDefault="007967CC" w:rsidP="007967CC">
      <w:pPr>
        <w:jc w:val="both"/>
      </w:pPr>
      <w:r w:rsidRPr="1688D34F">
        <w:t>Eeldati, et selline nihe võib hakata muutma arusaamu nii majanduse toimimisest kui ka ühiskondade toimimis</w:t>
      </w:r>
      <w:r w:rsidR="00B81D0E">
        <w:t>es</w:t>
      </w:r>
      <w:r w:rsidRPr="1688D34F">
        <w:t>t tervikuna. Eeldati, et see aktiviseerib</w:t>
      </w:r>
      <w:r w:rsidR="004C59AD">
        <w:rPr>
          <w:szCs w:val="24"/>
        </w:rPr>
        <w:t xml:space="preserve"> </w:t>
      </w:r>
      <w:r w:rsidRPr="1688D34F">
        <w:t>majandust, aga tulemuseks on juba teistlaadi majandus.</w:t>
      </w:r>
      <w:r w:rsidR="004C59AD">
        <w:rPr>
          <w:szCs w:val="24"/>
        </w:rPr>
        <w:t xml:space="preserve"> </w:t>
      </w:r>
      <w:r w:rsidRPr="1688D34F">
        <w:t>Enamgi veel, eeldati, et see lahendab ka paljud sotsiaalsed probleemid. Uue tehnoloogiaajastu ettekuulutajad E. Brynjolfsson ja A.</w:t>
      </w:r>
      <w:r w:rsidR="3A8DE66F" w:rsidRPr="1688D34F">
        <w:t xml:space="preserve"> </w:t>
      </w:r>
      <w:r w:rsidRPr="1688D34F">
        <w:t>McAfee</w:t>
      </w:r>
      <w:r w:rsidRPr="1688D34F">
        <w:rPr>
          <w:rStyle w:val="FootnoteReference"/>
        </w:rPr>
        <w:footnoteReference w:id="15"/>
      </w:r>
      <w:r w:rsidRPr="1688D34F">
        <w:t xml:space="preserve"> kuulutasid optimistlikult, et filosoof Voltaire</w:t>
      </w:r>
      <w:r w:rsidR="005808E3">
        <w:t>’</w:t>
      </w:r>
      <w:r w:rsidR="00EC5AC0">
        <w:t>i</w:t>
      </w:r>
      <w:r w:rsidRPr="1688D34F">
        <w:t xml:space="preserve"> järgi on inimkonnal vaja hakkama saada</w:t>
      </w:r>
      <w:r w:rsidR="004C59AD">
        <w:rPr>
          <w:szCs w:val="24"/>
        </w:rPr>
        <w:t xml:space="preserve"> </w:t>
      </w:r>
      <w:r w:rsidRPr="1688D34F">
        <w:t>vaid kolme suur</w:t>
      </w:r>
      <w:r w:rsidR="004C1910" w:rsidRPr="1688D34F">
        <w:t>e</w:t>
      </w:r>
      <w:r w:rsidRPr="1688D34F">
        <w:t xml:space="preserve"> hädaga, milleks on igavlemine, pahed ja puudusekannatus </w:t>
      </w:r>
      <w:r w:rsidR="004C1910" w:rsidRPr="1688D34F">
        <w:t>ning</w:t>
      </w:r>
      <w:r w:rsidRPr="1688D34F">
        <w:t xml:space="preserve"> digirevolutsiooni poolt võimendatud jagamismajanduse levik aitab kaasa nende kõigi kolme lahendamisele. Näiteks Airbnb poolt loodud laienenud võimalused inimestele oma kodudes massiliselt majutusettevõtlust alustada ei paranda mitte ainult teenitud raha abil nende majanduslikku olukorda, </w:t>
      </w:r>
      <w:r w:rsidR="00C10CF3" w:rsidRPr="1688D34F">
        <w:t xml:space="preserve">vaid </w:t>
      </w:r>
      <w:r w:rsidR="00C6768E" w:rsidRPr="1688D34F">
        <w:t>laseb</w:t>
      </w:r>
      <w:r w:rsidRPr="1688D34F">
        <w:t xml:space="preserve">, eriti neid, kes </w:t>
      </w:r>
      <w:r w:rsidR="00242CE9" w:rsidRPr="1688D34F">
        <w:t xml:space="preserve">igavusest </w:t>
      </w:r>
      <w:r w:rsidRPr="1688D34F">
        <w:t xml:space="preserve">tööl ei käi, </w:t>
      </w:r>
      <w:r w:rsidR="00C6768E" w:rsidRPr="1688D34F">
        <w:t xml:space="preserve">autorite arvates </w:t>
      </w:r>
      <w:r w:rsidRPr="1688D34F">
        <w:t>tunda end vajalikena ja tugevdab neis eluterveid hoiakuid.</w:t>
      </w:r>
    </w:p>
    <w:p w14:paraId="17B2ABAF" w14:textId="7C479713" w:rsidR="007967CC" w:rsidRPr="006727D2" w:rsidRDefault="007967CC" w:rsidP="007967CC">
      <w:pPr>
        <w:jc w:val="both"/>
        <w:rPr>
          <w:szCs w:val="24"/>
        </w:rPr>
      </w:pPr>
      <w:r w:rsidRPr="006727D2">
        <w:rPr>
          <w:szCs w:val="24"/>
        </w:rPr>
        <w:lastRenderedPageBreak/>
        <w:t>Kuna eelnevaid põhimõtteid realiseeriv jagamismajandus sai laieneda väga erinevates suundades ja tema piirid tavamajandusega olid ikkagi paljuski ebamäärased, siis</w:t>
      </w:r>
      <w:r w:rsidR="007510AD">
        <w:rPr>
          <w:szCs w:val="24"/>
        </w:rPr>
        <w:t xml:space="preserve"> </w:t>
      </w:r>
      <w:r w:rsidRPr="006727D2">
        <w:rPr>
          <w:szCs w:val="24"/>
        </w:rPr>
        <w:t>muutusid jagamismajanduse kirjeldused uute nüansside lisamisega üha “kirjumateks”. Näiteks ühel jagamismajanduse ärimudelite kompassiks nimetatud joonisel</w:t>
      </w:r>
      <w:r w:rsidRPr="006727D2">
        <w:rPr>
          <w:rStyle w:val="FootnoteReference"/>
          <w:szCs w:val="24"/>
        </w:rPr>
        <w:footnoteReference w:id="16"/>
      </w:r>
      <w:r w:rsidRPr="006727D2">
        <w:rPr>
          <w:szCs w:val="24"/>
        </w:rPr>
        <w:t xml:space="preserve"> on eristatud kuus aspekti, millest lähtudes jagamismajandusi liigitada ja igaühe puhul on esitatud kolm alternatiivset lahendust. Enamik neist variantidest on omavahel kombineeritavad.</w:t>
      </w:r>
    </w:p>
    <w:p w14:paraId="3C7121DB" w14:textId="09AD0D32" w:rsidR="007967CC" w:rsidRDefault="007967CC" w:rsidP="007967CC">
      <w:pPr>
        <w:jc w:val="both"/>
      </w:pPr>
      <w:r>
        <w:t>Jagamismajanduse definitsioonides on kesk</w:t>
      </w:r>
      <w:r w:rsidR="007510AD">
        <w:t>s</w:t>
      </w:r>
      <w:r>
        <w:t>eks</w:t>
      </w:r>
      <w:r w:rsidR="004C59AD">
        <w:t xml:space="preserve"> </w:t>
      </w:r>
      <w:r>
        <w:t>termin "</w:t>
      </w:r>
      <w:r w:rsidRPr="1688D34F">
        <w:rPr>
          <w:b/>
        </w:rPr>
        <w:t>alakasutatud ressursid</w:t>
      </w:r>
      <w:r>
        <w:t>". Välja renditakse või antakse muul viisil kasutusse vara, mille kasutusaste omaniku enda tarbimise seisukohast on madal.</w:t>
      </w:r>
      <w:r w:rsidR="1690694F">
        <w:t xml:space="preserve"> </w:t>
      </w:r>
      <w:r>
        <w:t>"Alakasutatuse" mõiste tõlgendamine ei ole lihtne. Kui perekond otsustab laiendada oma neljatoalist maja viietoaliseks, eeskätt silmas pidades oma pere elamismugavust, kuid arvestades samal ajal, et ühe toa väljaüürimine mõneks suvekuuks aitab katta maja ülalpidamiskulusid, kas siis on ikka tegemist</w:t>
      </w:r>
      <w:r w:rsidR="004C59AD">
        <w:t xml:space="preserve"> </w:t>
      </w:r>
      <w:r>
        <w:t>"alakasutatud vara" väljaüürimisena. See tõlgendus on võimalik, kuid samuti võib argumenteerida, et investeering selle toa juurde</w:t>
      </w:r>
      <w:r w:rsidR="005C63F6">
        <w:t xml:space="preserve"> </w:t>
      </w:r>
      <w:r>
        <w:t>ehitamiseks tehti vaatamata sellele, et perekond seda osa aastast tõesti ise kasutab, ikkagi eelkõige</w:t>
      </w:r>
      <w:r w:rsidR="004C59AD">
        <w:t xml:space="preserve"> </w:t>
      </w:r>
      <w:r>
        <w:t>tulu teenimise eesmärgil. Kui isik asub pärast põhitööd oma autoga taksoteenust osutama, saab seda tõlgendada kui alakasutuses oleva auto efektiivsemat rakendamist</w:t>
      </w:r>
      <w:r w:rsidR="00E82EFB">
        <w:t>.</w:t>
      </w:r>
      <w:r>
        <w:t xml:space="preserve"> </w:t>
      </w:r>
      <w:r w:rsidR="00E82EFB">
        <w:t>A</w:t>
      </w:r>
      <w:r>
        <w:t xml:space="preserve">ga võib ka kahtlustada, et auto ostmisel sai otsustavaks just võimalus sõiduteenuse osutamisega raha teenida. </w:t>
      </w:r>
      <w:r w:rsidR="00956DC5">
        <w:t>K</w:t>
      </w:r>
      <w:r>
        <w:t>ui seda võimalust ei oleks, siis oleks auto jäänud ostmata ning isiklikud liikumisvajadused oleks rahuldatud kuidagi teisiti. Alati polegi võimalik üheselt öelda, mis motiiv on esmane, mis sekundaarne.</w:t>
      </w:r>
    </w:p>
    <w:p w14:paraId="5B2C9AC2" w14:textId="4EDFDC41" w:rsidR="007967CC" w:rsidRPr="008C3ECA" w:rsidRDefault="007967CC" w:rsidP="007967CC">
      <w:pPr>
        <w:jc w:val="both"/>
        <w:rPr>
          <w:rStyle w:val="PurpleText"/>
        </w:rPr>
      </w:pPr>
      <w:r w:rsidRPr="008C3ECA">
        <w:rPr>
          <w:rStyle w:val="PurpleText"/>
        </w:rPr>
        <w:t>Mõningaid jagamismajanduse nüansse</w:t>
      </w:r>
    </w:p>
    <w:p w14:paraId="2042CADD" w14:textId="34211FD9" w:rsidR="007967CC" w:rsidRPr="00D2647A" w:rsidRDefault="007967CC" w:rsidP="007967CC">
      <w:pPr>
        <w:jc w:val="both"/>
        <w:rPr>
          <w:szCs w:val="24"/>
        </w:rPr>
      </w:pPr>
      <w:r w:rsidRPr="00D2647A">
        <w:rPr>
          <w:szCs w:val="24"/>
        </w:rPr>
        <w:t>Eriti varasemas kirjanduses käsitleti jagamismajandust peamiselt "inimeselt inimesele" tüüpi teenuste osutamisena, mille puhul ei eeldata erilisi professionaalseid oskusi. Eriti peale seda, kui jagamismajanduse termini all hakati rääkima lisaks materiaalsete objektide teise kasutusse andmisest</w:t>
      </w:r>
      <w:r w:rsidR="004C59AD">
        <w:rPr>
          <w:szCs w:val="24"/>
        </w:rPr>
        <w:t xml:space="preserve"> </w:t>
      </w:r>
      <w:r w:rsidRPr="00D2647A">
        <w:rPr>
          <w:szCs w:val="24"/>
        </w:rPr>
        <w:t>ka oma aja väljarentimisest tellijale (töötamine tellijale mitte pikemaajalise töölepingu alusel, vaid lühikeste “tööampsudega”) on</w:t>
      </w:r>
      <w:r w:rsidR="004C59AD">
        <w:rPr>
          <w:szCs w:val="24"/>
        </w:rPr>
        <w:t xml:space="preserve"> </w:t>
      </w:r>
      <w:r w:rsidRPr="00D2647A">
        <w:rPr>
          <w:szCs w:val="24"/>
        </w:rPr>
        <w:t xml:space="preserve">hakatud välja tooma, et teenuse osutajateks jagamismajanduses võivad olla nii </w:t>
      </w:r>
      <w:r w:rsidRPr="00D2647A">
        <w:rPr>
          <w:b/>
          <w:bCs/>
          <w:szCs w:val="24"/>
        </w:rPr>
        <w:t>mitteprofessionaalid kui ka oma kutseoskuste raames tegutsevad professionaalid</w:t>
      </w:r>
      <w:r w:rsidRPr="00D2647A">
        <w:rPr>
          <w:szCs w:val="24"/>
        </w:rPr>
        <w:t>.</w:t>
      </w:r>
      <w:r w:rsidR="004E7B2E">
        <w:rPr>
          <w:szCs w:val="24"/>
        </w:rPr>
        <w:t xml:space="preserve"> </w:t>
      </w:r>
      <w:r w:rsidRPr="00D2647A">
        <w:rPr>
          <w:szCs w:val="24"/>
        </w:rPr>
        <w:t>Kui tegemist on toa või korteri lühiajalise üürimisega</w:t>
      </w:r>
      <w:r w:rsidR="004E7B2E">
        <w:rPr>
          <w:szCs w:val="24"/>
        </w:rPr>
        <w:t xml:space="preserve"> </w:t>
      </w:r>
      <w:r w:rsidRPr="00D2647A">
        <w:rPr>
          <w:szCs w:val="24"/>
        </w:rPr>
        <w:t>e</w:t>
      </w:r>
      <w:r w:rsidR="004E7B2E">
        <w:rPr>
          <w:szCs w:val="24"/>
        </w:rPr>
        <w:t>hk</w:t>
      </w:r>
      <w:r w:rsidRPr="00D2647A">
        <w:rPr>
          <w:szCs w:val="24"/>
        </w:rPr>
        <w:t xml:space="preserve"> majutusteenuse osutamisega, siis professionaalsuse-mitteprofessionaalsuse teema ei ole eriti aktuaalne, oma transpordivahendiga reisiteenuse osutamise puhul võib aga </w:t>
      </w:r>
      <w:r w:rsidR="00E96F35">
        <w:rPr>
          <w:szCs w:val="24"/>
        </w:rPr>
        <w:t xml:space="preserve">seda </w:t>
      </w:r>
      <w:r w:rsidRPr="00D2647A">
        <w:rPr>
          <w:szCs w:val="24"/>
        </w:rPr>
        <w:t xml:space="preserve">juba tähtsustuda. </w:t>
      </w:r>
      <w:r w:rsidR="004C66AE">
        <w:rPr>
          <w:szCs w:val="24"/>
        </w:rPr>
        <w:t>Kui v</w:t>
      </w:r>
      <w:r w:rsidRPr="00D2647A">
        <w:rPr>
          <w:szCs w:val="24"/>
        </w:rPr>
        <w:t xml:space="preserve">arasem jagamismajanduse alane kirjandus käsitles teenuse osutajana vaid indiviide, </w:t>
      </w:r>
      <w:r w:rsidR="004C66AE">
        <w:rPr>
          <w:szCs w:val="24"/>
        </w:rPr>
        <w:t xml:space="preserve">siis </w:t>
      </w:r>
      <w:r w:rsidRPr="00D2647A">
        <w:rPr>
          <w:szCs w:val="24"/>
        </w:rPr>
        <w:t>hiljem on siin-seal hakatud juba kasutama väljendit "</w:t>
      </w:r>
      <w:r w:rsidRPr="00D2647A">
        <w:rPr>
          <w:i/>
          <w:iCs/>
          <w:szCs w:val="24"/>
        </w:rPr>
        <w:t>individuals and entities</w:t>
      </w:r>
      <w:r w:rsidRPr="00D2647A">
        <w:rPr>
          <w:szCs w:val="24"/>
        </w:rPr>
        <w:t xml:space="preserve">", st kõne all ei pruugi olla vaid üksikisikud, üksikisik võib teenust osutada ka firma kaudu. </w:t>
      </w:r>
    </w:p>
    <w:p w14:paraId="3D6D30B0" w14:textId="18386111" w:rsidR="007967CC" w:rsidRPr="00E14EBC" w:rsidRDefault="007967CC" w:rsidP="007967CC">
      <w:pPr>
        <w:jc w:val="both"/>
      </w:pPr>
      <w:r w:rsidRPr="00E14EBC">
        <w:t xml:space="preserve">Jagamismajanduse teenuse osutamine võib toimuda traditsioonilistele ärisuhetele omaselt, lähtudes </w:t>
      </w:r>
      <w:r w:rsidRPr="009503AA">
        <w:rPr>
          <w:b/>
          <w:bCs/>
        </w:rPr>
        <w:t>turul valitsevast hinnatasemest</w:t>
      </w:r>
      <w:r w:rsidRPr="00E14EBC">
        <w:t>. Samuti võib see realiseeruda erinevate teenete vahetamise kaudu (eriti tuttavate ja sugulaste vahel), toimuda alandatud või sümboolse tasu eest</w:t>
      </w:r>
      <w:r>
        <w:t xml:space="preserve">. </w:t>
      </w:r>
      <w:r w:rsidR="006D5B9C">
        <w:t>Näiteks</w:t>
      </w:r>
      <w:r>
        <w:t xml:space="preserve"> oma autoga taksoteenuse osutami</w:t>
      </w:r>
      <w:r w:rsidR="006D5B9C">
        <w:t xml:space="preserve">ne </w:t>
      </w:r>
      <w:r>
        <w:t xml:space="preserve">on jagamismajanduslik nähtus, </w:t>
      </w:r>
      <w:r w:rsidR="005F5FFD">
        <w:t>aga seda on ka</w:t>
      </w:r>
      <w:r>
        <w:t xml:space="preserve"> sõidujagamine, kui näiteks igapäevastel ühel marsruudil</w:t>
      </w:r>
      <w:r w:rsidR="004C59AD">
        <w:t xml:space="preserve"> </w:t>
      </w:r>
      <w:r>
        <w:t>tööle ja tagasi sõites</w:t>
      </w:r>
      <w:r w:rsidR="004C59AD">
        <w:t xml:space="preserve"> </w:t>
      </w:r>
      <w:r>
        <w:t>tehakse seda ühe autoga.</w:t>
      </w:r>
      <w:r w:rsidR="004C59AD">
        <w:t xml:space="preserve"> </w:t>
      </w:r>
      <w:r>
        <w:t xml:space="preserve">Sel juhul võib tasumine toimuda </w:t>
      </w:r>
      <w:r w:rsidRPr="00E14EBC">
        <w:t>näiteks kulupõhiselt</w:t>
      </w:r>
      <w:r>
        <w:t xml:space="preserve">, </w:t>
      </w:r>
      <w:r w:rsidRPr="00E14EBC">
        <w:t>osa kütusehinna kompenseerimise teel</w:t>
      </w:r>
      <w:r>
        <w:t>,</w:t>
      </w:r>
      <w:r w:rsidR="004C59AD">
        <w:t xml:space="preserve"> </w:t>
      </w:r>
      <w:r>
        <w:t>või siis põhimõttel, et ü</w:t>
      </w:r>
      <w:r w:rsidR="00937AC0">
        <w:t>hel</w:t>
      </w:r>
      <w:r>
        <w:t xml:space="preserve"> päev</w:t>
      </w:r>
      <w:r w:rsidR="00937AC0">
        <w:t>al</w:t>
      </w:r>
      <w:r>
        <w:t xml:space="preserve"> </w:t>
      </w:r>
      <w:r w:rsidR="007E6B2D">
        <w:t xml:space="preserve">tehakse </w:t>
      </w:r>
      <w:r>
        <w:t>sõi</w:t>
      </w:r>
      <w:r w:rsidR="007E6B2D">
        <w:t>t</w:t>
      </w:r>
      <w:r>
        <w:t xml:space="preserve"> </w:t>
      </w:r>
      <w:r w:rsidR="007E6B2D">
        <w:t>ühe</w:t>
      </w:r>
      <w:r>
        <w:t>, tei</w:t>
      </w:r>
      <w:r w:rsidR="00937AC0">
        <w:t>sel</w:t>
      </w:r>
      <w:r>
        <w:t xml:space="preserve"> päev</w:t>
      </w:r>
      <w:r w:rsidR="00937AC0">
        <w:t>al</w:t>
      </w:r>
      <w:r>
        <w:t xml:space="preserve"> </w:t>
      </w:r>
      <w:r w:rsidR="007E6B2D">
        <w:t xml:space="preserve">teise </w:t>
      </w:r>
      <w:r>
        <w:t xml:space="preserve">autoga. </w:t>
      </w:r>
    </w:p>
    <w:p w14:paraId="20F1B6D1" w14:textId="22712128" w:rsidR="007967CC" w:rsidRPr="00FF16B1" w:rsidRDefault="007967CC" w:rsidP="007967CC">
      <w:pPr>
        <w:jc w:val="both"/>
        <w:rPr>
          <w:szCs w:val="24"/>
        </w:rPr>
      </w:pPr>
      <w:r w:rsidRPr="00FF16B1">
        <w:rPr>
          <w:szCs w:val="24"/>
        </w:rPr>
        <w:lastRenderedPageBreak/>
        <w:t xml:space="preserve">Küsimus vahendajast, kelle abil teenus leiaks paremini kliendi ja klient teenuse, oli </w:t>
      </w:r>
      <w:r w:rsidR="00C66DA7" w:rsidRPr="00FF16B1">
        <w:rPr>
          <w:szCs w:val="24"/>
        </w:rPr>
        <w:t>esialgsetes</w:t>
      </w:r>
      <w:r w:rsidRPr="00FF16B1">
        <w:rPr>
          <w:szCs w:val="24"/>
        </w:rPr>
        <w:t xml:space="preserve"> jagamismajanduse versioonides veel tagaplaanil. Soovide kokku</w:t>
      </w:r>
      <w:r w:rsidR="00C66DA7">
        <w:rPr>
          <w:szCs w:val="24"/>
        </w:rPr>
        <w:t xml:space="preserve"> </w:t>
      </w:r>
      <w:r w:rsidRPr="00FF16B1">
        <w:rPr>
          <w:szCs w:val="24"/>
        </w:rPr>
        <w:t>viimist käsitleti pigem kahe subjekti vahel toimuva vahetu protsessina. Hiljem olukord muutus, seoses interneti levikuga tõusid kesksele kohale digiplatvormid, viies potentsiaalsed teenusevajajad ja teenuseosutajad kokku</w:t>
      </w:r>
      <w:r w:rsidR="004C59AD">
        <w:rPr>
          <w:szCs w:val="24"/>
        </w:rPr>
        <w:t xml:space="preserve"> </w:t>
      </w:r>
      <w:r w:rsidRPr="00FF16B1">
        <w:rPr>
          <w:szCs w:val="24"/>
        </w:rPr>
        <w:t>tasu eest. Seda teemat analüüsime täiendavalt allpool alapeatükis 1.1.2.</w:t>
      </w:r>
    </w:p>
    <w:p w14:paraId="73FF3276" w14:textId="77777777" w:rsidR="007967CC" w:rsidRPr="00E14EBC" w:rsidRDefault="007967CC" w:rsidP="007967CC">
      <w:pPr>
        <w:pStyle w:val="TableTitle"/>
        <w:jc w:val="both"/>
      </w:pPr>
      <w:r w:rsidRPr="00E14EBC">
        <w:t>Miks peetakse jagamismajandust kasulikuks?</w:t>
      </w:r>
    </w:p>
    <w:p w14:paraId="203FBE19" w14:textId="49BB7F5A" w:rsidR="007967CC" w:rsidRPr="00E14EBC" w:rsidRDefault="007967CC" w:rsidP="007967CC">
      <w:pPr>
        <w:jc w:val="both"/>
      </w:pPr>
      <w:r w:rsidRPr="00E14EBC">
        <w:t>Erialakirjanduses valitseb jagamismajanduse suhtes üldiselt positiivne hoiak</w:t>
      </w:r>
      <w:r w:rsidR="00CE757E">
        <w:t>.</w:t>
      </w:r>
      <w:r w:rsidRPr="00E14EBC">
        <w:rPr>
          <w:rStyle w:val="FootnoteReference"/>
        </w:rPr>
        <w:footnoteReference w:id="17"/>
      </w:r>
      <w:r w:rsidRPr="00E14EBC">
        <w:rPr>
          <w:vertAlign w:val="superscript"/>
        </w:rPr>
        <w:t>,</w:t>
      </w:r>
      <w:r w:rsidRPr="00E14EBC">
        <w:rPr>
          <w:rStyle w:val="FootnoteReference"/>
        </w:rPr>
        <w:footnoteReference w:id="18"/>
      </w:r>
      <w:r w:rsidRPr="00E14EBC">
        <w:t xml:space="preserve"> Selle toetamist on soovitanud nii EL kui ka teised rahvusvahelised organisatsioonid. Alljärgnevalt on esitatud peamised põhjused, miks jagamismajanduse soosimist peetakse vajalikuks.</w:t>
      </w:r>
    </w:p>
    <w:p w14:paraId="486C87D8" w14:textId="379A10F1" w:rsidR="007967CC" w:rsidRPr="00E14EBC" w:rsidRDefault="007967CC" w:rsidP="007967CC">
      <w:pPr>
        <w:jc w:val="both"/>
      </w:pPr>
      <w:r w:rsidRPr="1688D34F">
        <w:rPr>
          <w:b/>
          <w:bCs/>
        </w:rPr>
        <w:t>Majanduslik aspekt |</w:t>
      </w:r>
      <w:r>
        <w:t xml:space="preserve"> Laias laastus ei peaks väide, et</w:t>
      </w:r>
      <w:r w:rsidR="004C59AD">
        <w:t xml:space="preserve"> </w:t>
      </w:r>
      <w:r>
        <w:t xml:space="preserve">alakasutatud ressursside tõhusam kasutusele võtmine on kasulik, nõudma erilist põhjendamist. Kuna </w:t>
      </w:r>
      <w:r w:rsidR="007448D9">
        <w:t>ressursid</w:t>
      </w:r>
      <w:r>
        <w:t xml:space="preserve"> on majanduses</w:t>
      </w:r>
      <w:r w:rsidR="004C59AD">
        <w:t xml:space="preserve"> </w:t>
      </w:r>
      <w:r>
        <w:t xml:space="preserve">alati piiratud, siis peaks nende </w:t>
      </w:r>
      <w:r w:rsidR="007448D9">
        <w:t>ressursside</w:t>
      </w:r>
      <w:r>
        <w:t xml:space="preserve"> majanduskäibesse võtmine tõstma</w:t>
      </w:r>
      <w:r w:rsidR="004C59AD">
        <w:t xml:space="preserve"> </w:t>
      </w:r>
      <w:r>
        <w:t>majanduse</w:t>
      </w:r>
      <w:r w:rsidR="004C59AD">
        <w:t xml:space="preserve"> </w:t>
      </w:r>
      <w:r>
        <w:t>efektiivsust. Heaoluökonoomilisest perspektiivist vaadates rõhutatakse ka seda, et arenenud jagamismajanduslik kultuur</w:t>
      </w:r>
      <w:r w:rsidR="004C59AD">
        <w:t xml:space="preserve"> </w:t>
      </w:r>
      <w:r>
        <w:t>aitab leevendada kõrgetest tehingukuludest tulenevat turutõrgete probleemi</w:t>
      </w:r>
      <w:r w:rsidR="5DE57439">
        <w:t>,</w:t>
      </w:r>
      <w:r>
        <w:t xml:space="preserve"> tehes lihtsamaks mitmesuguste lepete sõlmimise, kus ilma, et tekiks</w:t>
      </w:r>
      <w:r w:rsidR="004C59AD">
        <w:t xml:space="preserve"> </w:t>
      </w:r>
      <w:r>
        <w:t>täiendavaid</w:t>
      </w:r>
      <w:r w:rsidR="004C59AD">
        <w:t xml:space="preserve"> </w:t>
      </w:r>
      <w:r>
        <w:t>ühiskondlikke kulusid</w:t>
      </w:r>
      <w:r w:rsidR="72987D4C">
        <w:t>,</w:t>
      </w:r>
      <w:r>
        <w:t xml:space="preserve"> võidavad kõik osalejad.</w:t>
      </w:r>
      <w:r w:rsidR="00647157" w:rsidRPr="00647157">
        <w:t xml:space="preserve"> Väga positiivne on</w:t>
      </w:r>
      <w:r w:rsidR="00647157">
        <w:t xml:space="preserve"> ka see</w:t>
      </w:r>
      <w:r w:rsidR="00647157" w:rsidRPr="00647157">
        <w:t>, et valdavalt väikeettevõtluse põhimõtetel toimiv jagamismajandus on reeglina paindlikum reageerima muutuvatele nõudmistele kui suurematele ettevõtetele tuginev majandussektor. See on väga oluline efektiivsuse tõstmise tegur.</w:t>
      </w:r>
    </w:p>
    <w:p w14:paraId="06A43D3E" w14:textId="39117929" w:rsidR="007967CC" w:rsidRPr="00E14EBC" w:rsidRDefault="003D7AE8" w:rsidP="007967CC">
      <w:pPr>
        <w:jc w:val="both"/>
      </w:pPr>
      <w:r>
        <w:t>Mõneti v</w:t>
      </w:r>
      <w:r w:rsidR="007967CC">
        <w:t>astuoluli</w:t>
      </w:r>
      <w:r w:rsidR="007461C9">
        <w:t>s</w:t>
      </w:r>
      <w:r w:rsidR="007967CC">
        <w:t>e efekt</w:t>
      </w:r>
      <w:r w:rsidR="007461C9">
        <w:t>ina</w:t>
      </w:r>
      <w:r w:rsidR="007967CC">
        <w:t xml:space="preserve"> peaks j</w:t>
      </w:r>
      <w:r w:rsidR="007967CC" w:rsidRPr="00E14EBC">
        <w:t>agamismajanduse laialdasem kasutuselevõtt</w:t>
      </w:r>
      <w:r w:rsidR="004C59AD">
        <w:t xml:space="preserve"> </w:t>
      </w:r>
      <w:r w:rsidR="007461C9">
        <w:t xml:space="preserve">ühelt poolt </w:t>
      </w:r>
      <w:r w:rsidR="007967CC" w:rsidRPr="00E14EBC">
        <w:t>tooma kaasa pakkumise suurendamis</w:t>
      </w:r>
      <w:r w:rsidR="007448D9">
        <w:t>e</w:t>
      </w:r>
      <w:r w:rsidR="007967CC" w:rsidRPr="00E14EBC">
        <w:t>, mis teenuste hindu</w:t>
      </w:r>
      <w:r w:rsidR="00C17487">
        <w:t xml:space="preserve"> eeldatavalt alandab</w:t>
      </w:r>
      <w:r w:rsidR="007967CC">
        <w:t>, teiselt poolt aga saame väita, et</w:t>
      </w:r>
      <w:r w:rsidR="004C59AD">
        <w:t xml:space="preserve"> </w:t>
      </w:r>
      <w:r w:rsidR="007967CC" w:rsidRPr="00E14EBC">
        <w:t xml:space="preserve">jagamismajanduse lembeses ühiskonnas </w:t>
      </w:r>
      <w:r w:rsidR="007967CC">
        <w:t xml:space="preserve">pole </w:t>
      </w:r>
      <w:r w:rsidR="007967CC" w:rsidRPr="00E14EBC">
        <w:t>teatud kaupu</w:t>
      </w:r>
      <w:r w:rsidR="004C59AD">
        <w:t xml:space="preserve"> </w:t>
      </w:r>
      <w:r w:rsidR="007967CC" w:rsidRPr="00E14EBC">
        <w:t>enam vaja nii palju toota</w:t>
      </w:r>
      <w:r w:rsidR="000569BC">
        <w:t>, mistõttu jäävad tegemata ka</w:t>
      </w:r>
      <w:r w:rsidR="004C59AD">
        <w:t xml:space="preserve"> </w:t>
      </w:r>
      <w:r w:rsidR="001C2608">
        <w:t>nende tootmise ja pakkumisega seotud</w:t>
      </w:r>
      <w:r w:rsidR="007967CC" w:rsidRPr="00E14EBC">
        <w:t xml:space="preserve"> investeeringu</w:t>
      </w:r>
      <w:r w:rsidR="002D0202">
        <w:t>d</w:t>
      </w:r>
      <w:r w:rsidR="007967CC">
        <w:t xml:space="preserve">. </w:t>
      </w:r>
      <w:r w:rsidR="002D0202">
        <w:t>Samuti</w:t>
      </w:r>
      <w:r w:rsidR="004C59AD">
        <w:t xml:space="preserve"> </w:t>
      </w:r>
      <w:r w:rsidR="007967CC">
        <w:t>võib</w:t>
      </w:r>
      <w:r w:rsidR="004C59AD">
        <w:t xml:space="preserve"> </w:t>
      </w:r>
      <w:r w:rsidR="007967CC">
        <w:t>mingite</w:t>
      </w:r>
      <w:r w:rsidR="00D24174">
        <w:t>l</w:t>
      </w:r>
      <w:r w:rsidR="007967CC">
        <w:t xml:space="preserve"> </w:t>
      </w:r>
      <w:r w:rsidR="00D24174">
        <w:t xml:space="preserve">tegevusaladel </w:t>
      </w:r>
      <w:r w:rsidR="007967CC">
        <w:t>väheneda</w:t>
      </w:r>
      <w:r w:rsidR="00FE1539">
        <w:t xml:space="preserve"> tööhõive</w:t>
      </w:r>
      <w:r w:rsidR="007967CC">
        <w:t>,</w:t>
      </w:r>
      <w:r w:rsidR="00FE1539">
        <w:t xml:space="preserve"> samas teistes võib</w:t>
      </w:r>
      <w:r w:rsidR="00D24174">
        <w:t xml:space="preserve"> see omakorda</w:t>
      </w:r>
      <w:r w:rsidR="00FE1539">
        <w:t xml:space="preserve"> </w:t>
      </w:r>
      <w:r w:rsidR="007967CC">
        <w:t>suureneda. Väheneb näiteks traditsioonilistes taksofirmades, suureneb “Boltile” töötavate juhtide töö arvel. Kuna osa jagamismajanduses tehtavast tööst tööhõivestatistikas ei kajastu, siis võib formaalselt mõõdetav tööhõive suureneva</w:t>
      </w:r>
      <w:r w:rsidR="004C59AD">
        <w:t xml:space="preserve"> </w:t>
      </w:r>
      <w:r w:rsidR="007967CC">
        <w:t>jagamismajanduse osatähtsusega sektorites langeda.</w:t>
      </w:r>
      <w:r w:rsidR="004C59AD">
        <w:t xml:space="preserve"> </w:t>
      </w:r>
      <w:r w:rsidR="007967CC" w:rsidRPr="00926149">
        <w:t xml:space="preserve">Lõppkokkuvõttes saab siin majanduslikku koondtulemust neist erinevatest mõjudest hinnata selle järgi, kas tööhõivest vabanenud inimesed ja tegemata jäänud investeeringutest </w:t>
      </w:r>
      <w:r w:rsidR="00ED6353">
        <w:t>vabanenud</w:t>
      </w:r>
      <w:r w:rsidR="00ED6353" w:rsidRPr="00926149">
        <w:t xml:space="preserve"> </w:t>
      </w:r>
      <w:r w:rsidR="007967CC" w:rsidRPr="00926149">
        <w:t xml:space="preserve">raha </w:t>
      </w:r>
      <w:r w:rsidR="00ED6353">
        <w:t xml:space="preserve">leiavad </w:t>
      </w:r>
      <w:r w:rsidR="007967CC" w:rsidRPr="00926149">
        <w:t xml:space="preserve">mingi mõistlikuma </w:t>
      </w:r>
      <w:r w:rsidR="00ED6353">
        <w:t>rakenduse.</w:t>
      </w:r>
      <w:r w:rsidR="00D87B33">
        <w:t xml:space="preserve"> Samas võib</w:t>
      </w:r>
      <w:r w:rsidR="007967CC">
        <w:t xml:space="preserve"> jagamismajanduse osatähtsuse tõus</w:t>
      </w:r>
      <w:r w:rsidR="00B63BA4">
        <w:t>uga kaasnev efektiivsuse kasv ka</w:t>
      </w:r>
      <w:r w:rsidR="007967CC">
        <w:t xml:space="preserve"> tööhõive</w:t>
      </w:r>
      <w:r w:rsidR="00B63BA4">
        <w:t>t</w:t>
      </w:r>
      <w:r w:rsidR="000D18AC">
        <w:t xml:space="preserve"> kokkuvõttes</w:t>
      </w:r>
      <w:r w:rsidR="007967CC">
        <w:t xml:space="preserve"> </w:t>
      </w:r>
      <w:r w:rsidR="00B63BA4">
        <w:t xml:space="preserve">oluliselt </w:t>
      </w:r>
      <w:r w:rsidR="007967CC">
        <w:t>suuren</w:t>
      </w:r>
      <w:r w:rsidR="641BDE76">
        <w:t>da</w:t>
      </w:r>
      <w:r w:rsidR="007967CC">
        <w:t xml:space="preserve">da. Näiteks kui hästi töötav kodumajutus toob linna rohkem turiste, siis võidavad sellest </w:t>
      </w:r>
      <w:r w:rsidR="00EF611C">
        <w:t xml:space="preserve">nii </w:t>
      </w:r>
      <w:r w:rsidR="007967CC">
        <w:t xml:space="preserve">teenindus </w:t>
      </w:r>
      <w:r w:rsidR="00EF611C">
        <w:t>kui ka</w:t>
      </w:r>
      <w:r w:rsidR="007967CC">
        <w:t xml:space="preserve"> kaubandus</w:t>
      </w:r>
      <w:r w:rsidR="00EF611C">
        <w:t>, mille tulemusel</w:t>
      </w:r>
      <w:r w:rsidR="007967CC">
        <w:t xml:space="preserve"> tööhõive neis sektorites tõuseb. </w:t>
      </w:r>
    </w:p>
    <w:p w14:paraId="312837C2" w14:textId="2271D237" w:rsidR="007967CC" w:rsidRPr="00E14EBC" w:rsidRDefault="007967CC" w:rsidP="007967CC">
      <w:pPr>
        <w:jc w:val="both"/>
      </w:pPr>
      <w:r w:rsidRPr="1C92C443">
        <w:rPr>
          <w:b/>
          <w:bCs/>
        </w:rPr>
        <w:t>Ökoloogiline aspekt |</w:t>
      </w:r>
      <w:r>
        <w:t xml:space="preserve"> Sellest aspektist vaadates on</w:t>
      </w:r>
      <w:r w:rsidR="004C59AD">
        <w:t xml:space="preserve"> </w:t>
      </w:r>
      <w:r>
        <w:t>jagamismajanduse laienemise mõjud valdavalt positiivsed.</w:t>
      </w:r>
      <w:r w:rsidR="004C59AD">
        <w:t xml:space="preserve"> </w:t>
      </w:r>
      <w:r>
        <w:t>Eeldatakse, et ressursside tõhusam kasutamine tähendab, et vajadus täiendavate</w:t>
      </w:r>
      <w:r w:rsidR="004C59AD">
        <w:t xml:space="preserve"> </w:t>
      </w:r>
      <w:r>
        <w:t>ehituste ja toodete järele väheneb ja see vähendab ökoloogilist survet. Kui toimub taksoteeninduse mahtude ümberkan</w:t>
      </w:r>
      <w:r w:rsidR="36EE4465">
        <w:t>d</w:t>
      </w:r>
      <w:r>
        <w:t xml:space="preserve">umine traditsiooniliselt taksoteeninduselt nn “Bolti” </w:t>
      </w:r>
      <w:r>
        <w:lastRenderedPageBreak/>
        <w:t>sõitvatele juhtidele, siis</w:t>
      </w:r>
      <w:r w:rsidR="004C59AD">
        <w:t xml:space="preserve"> </w:t>
      </w:r>
      <w:r>
        <w:t>pole mõju keskkonnasurvele selge. Kui eeldame optimistlikult, et selle tulemusena väheneb inimeste poolt sõitudeks oma autode kasutamine, siis võib see vähendada küll parkimiskoormust, kuid eriti mitte saastekoormust.</w:t>
      </w:r>
      <w:r w:rsidR="004C59AD">
        <w:t xml:space="preserve"> </w:t>
      </w:r>
      <w:r>
        <w:t>Kui suureneb sõidujagamise kasutamine, st inimeste arv autos suureneb, siis võib sellel olla arvestatav positiivne</w:t>
      </w:r>
      <w:r w:rsidR="004C59AD">
        <w:t xml:space="preserve"> </w:t>
      </w:r>
      <w:r>
        <w:t>ökoloogiline mõju.</w:t>
      </w:r>
      <w:r w:rsidR="00F45A7A">
        <w:t xml:space="preserve"> </w:t>
      </w:r>
      <w:r>
        <w:t>Kodumajutuse eelistamise korral väheneb vajadus uute suurte hotellide ehitamiseks, mistõttu sama turistide arvu juures surve looduskeskkonnale väheneb. Lisaks on siis koormus keskkonnale geograafilises</w:t>
      </w:r>
      <w:r w:rsidR="004C59AD">
        <w:t xml:space="preserve"> </w:t>
      </w:r>
      <w:r>
        <w:t>ruumis tõenäoliselt enam hajutatud.</w:t>
      </w:r>
    </w:p>
    <w:p w14:paraId="6EEFE3B7" w14:textId="6E61EF16" w:rsidR="007967CC" w:rsidRPr="00E14EBC" w:rsidRDefault="007967CC" w:rsidP="007967CC">
      <w:pPr>
        <w:jc w:val="both"/>
      </w:pPr>
      <w:r w:rsidRPr="00E14EBC">
        <w:rPr>
          <w:b/>
          <w:bCs/>
        </w:rPr>
        <w:t>Sotsiaalne aspekt |</w:t>
      </w:r>
      <w:r w:rsidRPr="00E14EBC">
        <w:t xml:space="preserve"> Jagamismajanduse puhul loetakse pigem positiivseks mõjuks tavakodanike ettevõtlusalast aktiivsuse kasvu</w:t>
      </w:r>
      <w:r w:rsidR="000E0A81">
        <w:t>.</w:t>
      </w:r>
      <w:r w:rsidRPr="00E14EBC">
        <w:rPr>
          <w:rStyle w:val="FootnoteReference"/>
        </w:rPr>
        <w:footnoteReference w:id="19"/>
      </w:r>
      <w:r w:rsidRPr="00E14EBC">
        <w:t xml:space="preserve"> Loodetakse, et jagamismajandus aitab muuta mitmetes valdkondades käsunduslikud ja organisatsioonilised hierarhiad "lamedamaks", mida peetakse sotsiaalselt positiivseks arenguks. Eeldatakse ka, et jagamismajanduse levik suurendab ühiskondlikku suhtlust – inimesed, kes muidu ei kohtuks ega suhtleks, satuvad jagamismajanduse teenuste kasutamisel omavahel kontakti. Näiteks isik, kes on loobunud isikliku autoga sõitmisest ja kasutab selle asemel sõidujagamisteenust, võib leida juhist endale huvitava vestluspartneri. Kodumajutust ja hommikusööki pakkuval eakal inimesel on võimalik külalistega vestelda ja suhelda, mis võib tema enesetunnet ja aktiivsust parandada jne.</w:t>
      </w:r>
    </w:p>
    <w:p w14:paraId="03FFE64F" w14:textId="039A4919" w:rsidR="007967CC" w:rsidRPr="00E14EBC" w:rsidRDefault="007967CC" w:rsidP="007967CC">
      <w:pPr>
        <w:jc w:val="both"/>
        <w:rPr>
          <w:rStyle w:val="PurpleText"/>
        </w:rPr>
      </w:pPr>
      <w:r w:rsidRPr="00E14EBC">
        <w:rPr>
          <w:rStyle w:val="PurpleText"/>
        </w:rPr>
        <w:t>Jagamismajanduse nõrgad küljed</w:t>
      </w:r>
    </w:p>
    <w:p w14:paraId="0B331DE0" w14:textId="21E51244" w:rsidR="007967CC" w:rsidRDefault="007967CC" w:rsidP="007967CC">
      <w:pPr>
        <w:jc w:val="both"/>
      </w:pPr>
      <w:r w:rsidRPr="00E14EBC">
        <w:t xml:space="preserve">Siin tuleks </w:t>
      </w:r>
      <w:r>
        <w:t xml:space="preserve">kõige pealt </w:t>
      </w:r>
      <w:r w:rsidRPr="00E14EBC">
        <w:t>eristada neid probleeme, mis tekivad</w:t>
      </w:r>
      <w:r w:rsidR="004C59AD">
        <w:t xml:space="preserve"> </w:t>
      </w:r>
      <w:r>
        <w:t xml:space="preserve">otseselt seoses </w:t>
      </w:r>
      <w:r w:rsidRPr="00E14EBC">
        <w:t xml:space="preserve">jagamismajanduse </w:t>
      </w:r>
      <w:r>
        <w:t>kui sellisega</w:t>
      </w:r>
      <w:r w:rsidR="3EDB3D87">
        <w:t>,</w:t>
      </w:r>
      <w:r>
        <w:t xml:space="preserve"> ja neid probleeme, mis võivad tekkida</w:t>
      </w:r>
      <w:r w:rsidR="004C59AD">
        <w:t xml:space="preserve"> </w:t>
      </w:r>
      <w:r>
        <w:t>järgmises al</w:t>
      </w:r>
      <w:r w:rsidR="00C246EC">
        <w:t>a</w:t>
      </w:r>
      <w:r>
        <w:t xml:space="preserve">peatükis käsitletava digiplatvormide invasiooni tagajärjel, mis ei pruugi alati seostuda just jagamismudeliga selle ranges tähenduses. Rahvusvahelises kirjanduses on küllalt palju käsitletud näiteks selle tõttu tekkinud teatud linnaosade “üleuputamist” turistide majutamisega. Samas, alati ei eristata, kui palju on sel juhul tegemist turistide majutamisega korterites, kus elavad ka püsielanikud, kui palju puhtalt külaliskorteriteks muudetud pindadega. Põhimõtteliselt võib probleeme tekkida </w:t>
      </w:r>
      <w:r w:rsidR="00C246EC">
        <w:t>muid</w:t>
      </w:r>
      <w:r w:rsidR="22753B63">
        <w:t>u</w:t>
      </w:r>
      <w:r w:rsidR="00C246EC">
        <w:t>gi</w:t>
      </w:r>
      <w:r>
        <w:t xml:space="preserve"> mõlemal juhul</w:t>
      </w:r>
      <w:r w:rsidR="000E0A81">
        <w:t>.</w:t>
      </w:r>
      <w:r>
        <w:rPr>
          <w:rStyle w:val="FootnoteReference"/>
        </w:rPr>
        <w:footnoteReference w:id="20"/>
      </w:r>
    </w:p>
    <w:p w14:paraId="430DBE31" w14:textId="7CED405C" w:rsidR="007967CC" w:rsidRPr="00E14EBC" w:rsidRDefault="007967CC" w:rsidP="007967CC">
      <w:pPr>
        <w:jc w:val="both"/>
      </w:pPr>
      <w:r>
        <w:t>Kui keskendume just jagamismajanduse spetsiifikast tulenevatele probleemidele, siis jääb järgi eelkõige ka</w:t>
      </w:r>
      <w:r w:rsidR="3040363D">
        <w:t>ks</w:t>
      </w:r>
      <w:r>
        <w:t xml:space="preserve"> laiemat ja ü</w:t>
      </w:r>
      <w:r w:rsidR="0F3195F2">
        <w:t>ks</w:t>
      </w:r>
      <w:r>
        <w:t xml:space="preserve"> konkreetset jagamismajanduse valdkonda puudutavat probleemide ringi.</w:t>
      </w:r>
    </w:p>
    <w:p w14:paraId="014630E7" w14:textId="77777777" w:rsidR="007967CC" w:rsidRPr="006C4AFD" w:rsidRDefault="007967CC" w:rsidP="007967CC">
      <w:pPr>
        <w:jc w:val="both"/>
        <w:rPr>
          <w:szCs w:val="24"/>
        </w:rPr>
      </w:pPr>
      <w:r w:rsidRPr="006C4AFD">
        <w:rPr>
          <w:b/>
          <w:bCs/>
          <w:szCs w:val="24"/>
        </w:rPr>
        <w:t>Teenindusstandardite võimalik langus ja sellega seotud ohud |</w:t>
      </w:r>
      <w:r w:rsidRPr="006C4AFD">
        <w:rPr>
          <w:szCs w:val="24"/>
        </w:rPr>
        <w:t xml:space="preserve"> Võrreldes varasemalt professionaalsete ettevõtete poolt pakutuga, on jagamismajanduse levikuga mitmed teenuse kvaliteedile ja teenuse osutajale esitatavad nõuded kas langenud või on kardetud nende langust. Tõenäoliselt on ajuti oma isikliku autoga n-ö taksoteenust osutav amatöör siiski vähem </w:t>
      </w:r>
      <w:r w:rsidRPr="006C4AFD">
        <w:rPr>
          <w:szCs w:val="24"/>
        </w:rPr>
        <w:lastRenderedPageBreak/>
        <w:t xml:space="preserve">kvalifitseeritud kui taksofirma professionaalne autojuht ja puudusi võib olla ka tema teeninduskultuuris. Kodumajutuse puhul ei ole kliendil alust eeldada neid teenuseid, mida osutatakse hotellis. Tõsi, hinna ja kvaliteedi suhe võib olla oluliselt soodsam. </w:t>
      </w:r>
    </w:p>
    <w:p w14:paraId="7CCEABE3" w14:textId="54F57A26" w:rsidR="007967CC" w:rsidRDefault="007967CC" w:rsidP="007967CC">
      <w:pPr>
        <w:jc w:val="both"/>
      </w:pPr>
      <w:r w:rsidRPr="1688D34F">
        <w:rPr>
          <w:b/>
        </w:rPr>
        <w:t>Maksuküsimused |</w:t>
      </w:r>
      <w:r>
        <w:t xml:space="preserve"> Kuna jagamismajanduses osalevad ärid on üldiselt väiksemad kui traditsioonilis</w:t>
      </w:r>
      <w:r w:rsidR="651358EC">
        <w:t>ed</w:t>
      </w:r>
      <w:r>
        <w:t xml:space="preserve"> samas valdkonnas tegutseva</w:t>
      </w:r>
      <w:r w:rsidR="398F3F6D">
        <w:t>d</w:t>
      </w:r>
      <w:r>
        <w:t xml:space="preserve"> ettevõt</w:t>
      </w:r>
      <w:r w:rsidR="25037FC9">
        <w:t>ted</w:t>
      </w:r>
      <w:r>
        <w:t>, võidakse karta, et riigil on raske sealt makse koguda. Raske on eristada, kus lõpeb näiteks tuttavate vaheline üksteise abistamine ja algab äritegevus, mida on mõtet maksustada. Väikeste ärimahtude juures tekib aga</w:t>
      </w:r>
      <w:r w:rsidR="004C59AD">
        <w:t xml:space="preserve"> </w:t>
      </w:r>
      <w:r>
        <w:t>küsimus, mil määral on avalikul sektoril otstarbekas kulutada aega ja vahendeid, et tuvastada selles valdkonnas toimuda võivaid maksuseaduse alaseid rikkumisi.</w:t>
      </w:r>
    </w:p>
    <w:p w14:paraId="1FA5167C" w14:textId="2A71F0AA" w:rsidR="007967CC" w:rsidRPr="006C4AFD" w:rsidRDefault="007967CC" w:rsidP="007967CC">
      <w:pPr>
        <w:jc w:val="both"/>
      </w:pPr>
      <w:r>
        <w:t>Suurt klientide arvu puudutava jagamismajanduse vormi rakendamine</w:t>
      </w:r>
      <w:r w:rsidR="004C59AD">
        <w:t xml:space="preserve"> </w:t>
      </w:r>
      <w:r>
        <w:t>kohtades, kus see toob kaasa klientide koondumise, võib</w:t>
      </w:r>
      <w:r w:rsidR="004C59AD">
        <w:t xml:space="preserve"> </w:t>
      </w:r>
      <w:r>
        <w:t>häirida</w:t>
      </w:r>
      <w:r w:rsidR="004C59AD">
        <w:t xml:space="preserve"> </w:t>
      </w:r>
      <w:r>
        <w:t xml:space="preserve">lähiümbrust ja naabreid. Eelkõige võib see olla probleemiks </w:t>
      </w:r>
      <w:r w:rsidRPr="1688D34F">
        <w:rPr>
          <w:b/>
        </w:rPr>
        <w:t>kodumajutuse rakendamisel korrusmajades asuvates korterites</w:t>
      </w:r>
      <w:r>
        <w:t>. Peatume sellel probleemil lähemalt töö edasises tekstis.</w:t>
      </w:r>
      <w:r w:rsidR="004C59AD">
        <w:t xml:space="preserve"> </w:t>
      </w:r>
    </w:p>
    <w:p w14:paraId="4A63A61E" w14:textId="6BFA71B3" w:rsidR="008B7452" w:rsidRDefault="007967CC" w:rsidP="008B7452">
      <w:pPr>
        <w:jc w:val="both"/>
      </w:pPr>
      <w:r>
        <w:t xml:space="preserve">Küllalt tihti on püütud jagamismajanduse puhul püstitada küsimust ka </w:t>
      </w:r>
      <w:r w:rsidRPr="1688D34F">
        <w:rPr>
          <w:b/>
        </w:rPr>
        <w:t>ebaõiglasest konkurentsist</w:t>
      </w:r>
      <w:r>
        <w:t xml:space="preserve"> vastavates valdkondades teenust osutavate firmadega (näiteks hotellid). Seda, et jagamismajanduse mudeli kasutamine (kodumajutus)</w:t>
      </w:r>
      <w:r w:rsidR="004C59AD">
        <w:t xml:space="preserve"> </w:t>
      </w:r>
      <w:r>
        <w:t>võtab hotellidelt ära mingi osa kliente ja võib seda teha odavamate hindade kaudu, ei saa siiski pidada veel</w:t>
      </w:r>
      <w:r w:rsidR="004C59AD">
        <w:t xml:space="preserve"> </w:t>
      </w:r>
      <w:r>
        <w:t>ebaõiglaseks konkurentsiks. Traditsioonilised teenindusfirmad ja alakasutuses olevate ressursside kasutamisel baseeruv jagamismajandus kasutavad küllalt erinevaid ärimudeleid</w:t>
      </w:r>
      <w:r w:rsidR="002F1511">
        <w:t>. Seega</w:t>
      </w:r>
      <w:r>
        <w:t xml:space="preserve"> </w:t>
      </w:r>
      <w:r w:rsidR="002F1511">
        <w:t>on</w:t>
      </w:r>
      <w:r>
        <w:t xml:space="preserve"> loogiline, et nende raames paku</w:t>
      </w:r>
      <w:r w:rsidR="44E3EF95">
        <w:t>ta</w:t>
      </w:r>
      <w:r w:rsidR="00CA02EF">
        <w:t>kse erinevaid teenuseid</w:t>
      </w:r>
      <w:r>
        <w:t xml:space="preserve"> </w:t>
      </w:r>
      <w:r w:rsidR="00CA02EF">
        <w:t>ning kliendid valivad ise, milline rahuldab nende vajadusi kõige paremini</w:t>
      </w:r>
      <w:r>
        <w:t>. Kui ebaõiglase konkurentsi teemat on mõtet tõstatada, siis mitte jagamismajandusega seoses, aga seoses nõuete võrdsusega, mis kehtivad traditsioonilistes firmades ja uutes, äriajamiseks tehtud investeeringute baasil tegutsevates ettevõtmistes, mille tegevus jääb väljapoole traditsiooniliste firmade tegevust reguleerinud tegevusnorme. Kui pakutakse põhimõtteliselt võrreldavat teenust, siis ei tohiks nõutavad tingimused anda eeliseid ühele või teisele poole.</w:t>
      </w:r>
    </w:p>
    <w:p w14:paraId="3EBC8C55" w14:textId="77777777" w:rsidR="007967CC" w:rsidRPr="00E14EBC" w:rsidRDefault="007967CC" w:rsidP="008B7452">
      <w:pPr>
        <w:jc w:val="both"/>
        <w:rPr>
          <w:rStyle w:val="PurpleText"/>
        </w:rPr>
      </w:pPr>
      <w:r w:rsidRPr="00E14EBC">
        <w:rPr>
          <w:rStyle w:val="PurpleText"/>
        </w:rPr>
        <w:t>Jagamismajandus ja lühiajaline üürimine</w:t>
      </w:r>
    </w:p>
    <w:p w14:paraId="62607F4E" w14:textId="01E8C64F" w:rsidR="007967CC" w:rsidRPr="000B74FB" w:rsidRDefault="007967CC" w:rsidP="007967CC">
      <w:pPr>
        <w:jc w:val="both"/>
      </w:pPr>
      <w:r>
        <w:t xml:space="preserve">Kui lähtuda arusaamast, et jagamismajanduse üheks põhiliseks tunnusjooneks on see, et tegemist on </w:t>
      </w:r>
      <w:r w:rsidRPr="1688D34F">
        <w:rPr>
          <w:b/>
        </w:rPr>
        <w:t>alakasutuses olevate ressursside täiendava kasutusse</w:t>
      </w:r>
      <w:r w:rsidR="00126FE2" w:rsidRPr="1688D34F">
        <w:rPr>
          <w:b/>
        </w:rPr>
        <w:t xml:space="preserve"> </w:t>
      </w:r>
      <w:r w:rsidRPr="1688D34F">
        <w:rPr>
          <w:b/>
        </w:rPr>
        <w:t>võtmisega</w:t>
      </w:r>
      <w:r w:rsidR="0F2DE579">
        <w:t>,</w:t>
      </w:r>
      <w:r>
        <w:t xml:space="preserve"> tuleneb sellest</w:t>
      </w:r>
      <w:r w:rsidR="004C59AD">
        <w:t xml:space="preserve"> </w:t>
      </w:r>
      <w:r>
        <w:t>käesoleva uuringu jaoks oluline järeldus: igasugune lühiajaline üürimine</w:t>
      </w:r>
      <w:r w:rsidR="004C59AD">
        <w:t xml:space="preserve"> </w:t>
      </w:r>
      <w:r>
        <w:t>(majutusteenuse osutamine lühiajalise üüri nime all)</w:t>
      </w:r>
      <w:r w:rsidR="36490FEE">
        <w:t>,</w:t>
      </w:r>
      <w:r>
        <w:t xml:space="preserve"> mis toimub väljaspool traditsioonilisi</w:t>
      </w:r>
      <w:r w:rsidR="004C59AD">
        <w:t xml:space="preserve"> </w:t>
      </w:r>
      <w:r>
        <w:t>majutusasutusi</w:t>
      </w:r>
      <w:r w:rsidR="7264EE40">
        <w:t>,</w:t>
      </w:r>
      <w:r>
        <w:t xml:space="preserve"> ei pruugi kvalifitseeruda veel jagamismajanduseks. Jagamismajandusliku tegevusena saab tõlgendada üldjuhul ikkagi</w:t>
      </w:r>
      <w:r w:rsidR="004C59AD">
        <w:t xml:space="preserve"> </w:t>
      </w:r>
      <w:r w:rsidRPr="1688D34F">
        <w:rPr>
          <w:b/>
        </w:rPr>
        <w:t>üürnike võtmist lühemaks ajaks majja või korterisse, kus ise elatakse</w:t>
      </w:r>
      <w:r>
        <w:t>.</w:t>
      </w:r>
      <w:r w:rsidR="004C59AD">
        <w:t xml:space="preserve"> </w:t>
      </w:r>
      <w:r>
        <w:t>Kui</w:t>
      </w:r>
      <w:r w:rsidR="004C59AD">
        <w:t xml:space="preserve"> </w:t>
      </w:r>
      <w:r>
        <w:t>on ostetud spetsiaalselt majutusteenuse osutamiseks kortereid kokku või ehitatud külaliskortereid, siis ei saa seda jagamismajanduseks pidada. See, kas üürile</w:t>
      </w:r>
      <w:r w:rsidR="00126FE2">
        <w:t xml:space="preserve"> </w:t>
      </w:r>
      <w:r>
        <w:t xml:space="preserve">andmise eesmärgil omandatud pindu majandatakse </w:t>
      </w:r>
      <w:r w:rsidR="00580E1B">
        <w:t xml:space="preserve">füüsilise isikuna </w:t>
      </w:r>
      <w:r>
        <w:t>või luuakse selleks firma</w:t>
      </w:r>
      <w:r w:rsidR="7D838245">
        <w:t>,</w:t>
      </w:r>
      <w:r>
        <w:t xml:space="preserve"> ei oma siinkohal olulist tähtsust. </w:t>
      </w:r>
    </w:p>
    <w:p w14:paraId="2B00B8CA" w14:textId="4CB701FE" w:rsidR="007967CC" w:rsidRPr="000B74FB" w:rsidRDefault="007967CC" w:rsidP="007967CC">
      <w:pPr>
        <w:jc w:val="both"/>
        <w:rPr>
          <w:szCs w:val="24"/>
        </w:rPr>
      </w:pPr>
      <w:r w:rsidRPr="000B74FB">
        <w:rPr>
          <w:szCs w:val="24"/>
        </w:rPr>
        <w:t>Kodumajutuse puhul pole majutusteenuse osutamiseks</w:t>
      </w:r>
      <w:r w:rsidR="004C59AD">
        <w:rPr>
          <w:szCs w:val="24"/>
        </w:rPr>
        <w:t xml:space="preserve"> </w:t>
      </w:r>
      <w:r w:rsidRPr="000B74FB">
        <w:rPr>
          <w:szCs w:val="24"/>
        </w:rPr>
        <w:t>vaja täiendavat pinda juurde ehitada või osta, teenus saab teoks inimeste elamise ajutise kokkutõmbamise kaudu</w:t>
      </w:r>
      <w:r w:rsidR="004C59AD">
        <w:rPr>
          <w:szCs w:val="24"/>
        </w:rPr>
        <w:t xml:space="preserve"> </w:t>
      </w:r>
      <w:r w:rsidRPr="000B74FB">
        <w:rPr>
          <w:szCs w:val="24"/>
        </w:rPr>
        <w:t>pindadelt, mida</w:t>
      </w:r>
      <w:r w:rsidR="004C59AD">
        <w:rPr>
          <w:szCs w:val="24"/>
        </w:rPr>
        <w:t xml:space="preserve"> </w:t>
      </w:r>
      <w:r w:rsidRPr="000B74FB">
        <w:rPr>
          <w:szCs w:val="24"/>
        </w:rPr>
        <w:t xml:space="preserve">nad kasutavad tavaliselt ise oma igapäevase elutegevuse huvides. See, kas väljaüürijad tõmbavad </w:t>
      </w:r>
      <w:r w:rsidRPr="000B74FB">
        <w:rPr>
          <w:szCs w:val="24"/>
        </w:rPr>
        <w:lastRenderedPageBreak/>
        <w:t>väljaüürimise perioodiks oma elamist kokku või kolivad selleks ajaks ajutiselt üldse välja, ei tee põhimõttelist vahet.</w:t>
      </w:r>
    </w:p>
    <w:p w14:paraId="55BDF4F9" w14:textId="587FE88B" w:rsidR="007967CC" w:rsidRPr="000B74FB" w:rsidRDefault="007967CC" w:rsidP="007967CC">
      <w:pPr>
        <w:jc w:val="both"/>
      </w:pPr>
      <w:r>
        <w:t>Vaatamata sellele, et nagu juba näitasime, pole alati kerge tõmmata piiri, millal on tegemist eelkõige elamiseks ja millal eelkõige väljaüürimiseks mõeldud pinnaga, omab eeltoodud rõhuasutus olulist majanduslikku mõtet. Rahvamajanduse tasandilt vaadatuna tähendab pindade kasutamine kaheseks otstarbeks</w:t>
      </w:r>
      <w:r w:rsidR="0BC9F00E">
        <w:t>,</w:t>
      </w:r>
      <w:r>
        <w:t xml:space="preserve"> nii elamiseks kui ajutiseks väljaüürimiseks, </w:t>
      </w:r>
      <w:r w:rsidRPr="1688D34F">
        <w:rPr>
          <w:b/>
        </w:rPr>
        <w:t>re</w:t>
      </w:r>
      <w:r w:rsidR="007452C8" w:rsidRPr="1688D34F">
        <w:rPr>
          <w:b/>
        </w:rPr>
        <w:t>s</w:t>
      </w:r>
      <w:r w:rsidRPr="1688D34F">
        <w:rPr>
          <w:b/>
        </w:rPr>
        <w:t>sursiökonoomiat</w:t>
      </w:r>
      <w:r w:rsidR="7B43EED9" w:rsidRPr="000F7C5F">
        <w:t>.</w:t>
      </w:r>
      <w:r w:rsidRPr="1688D34F">
        <w:rPr>
          <w:b/>
        </w:rPr>
        <w:t xml:space="preserve"> </w:t>
      </w:r>
      <w:r>
        <w:t xml:space="preserve">Lisandväärtust luuakse selleks täiendavaid </w:t>
      </w:r>
      <w:r w:rsidR="007452C8">
        <w:t>ressursse</w:t>
      </w:r>
      <w:r>
        <w:t xml:space="preserve"> loomata,</w:t>
      </w:r>
      <w:r w:rsidR="004C59AD">
        <w:t xml:space="preserve"> </w:t>
      </w:r>
      <w:r>
        <w:t xml:space="preserve">juba olemasolevate </w:t>
      </w:r>
      <w:r w:rsidR="007452C8">
        <w:t>ressursside</w:t>
      </w:r>
      <w:r>
        <w:t xml:space="preserve"> täielikuma kasutamise teel. Lisaks räägib jagamismajanduslikku laadi üürileandmise, kodumajutuse, kasuks ka selle paindlikkus. Sel viisil on võimalik luua ilma suuremate kulutusteta majutusvõimalusi suvitushooajaks või suurte spordi- või kultuuriürituste läbiviimise ajaks. Väljaspool neid perioode on vastavaid pindu </w:t>
      </w:r>
      <w:r w:rsidR="7FF7D2C3">
        <w:t xml:space="preserve">võimalik </w:t>
      </w:r>
      <w:r>
        <w:t>kasutada kohalike inimeste igapäevase elamise huvides.</w:t>
      </w:r>
    </w:p>
    <w:p w14:paraId="736BDB41" w14:textId="389D3AB6" w:rsidR="007967CC" w:rsidRPr="006C4AFD" w:rsidRDefault="007967CC" w:rsidP="007967CC">
      <w:pPr>
        <w:jc w:val="both"/>
        <w:rPr>
          <w:szCs w:val="24"/>
        </w:rPr>
      </w:pPr>
      <w:r w:rsidRPr="006C4AFD">
        <w:rPr>
          <w:szCs w:val="24"/>
        </w:rPr>
        <w:t>Eelnevast ei tulene, et spetsiaalsete</w:t>
      </w:r>
      <w:r w:rsidR="004C59AD">
        <w:rPr>
          <w:szCs w:val="24"/>
        </w:rPr>
        <w:t xml:space="preserve"> </w:t>
      </w:r>
      <w:r w:rsidRPr="006C4AFD">
        <w:rPr>
          <w:szCs w:val="24"/>
        </w:rPr>
        <w:t>külaliskorterite loomine oleks paha või kuidagi teisejärguline. Sellel on lihtsalt teistsugused plussid ja miinused. Sel juhul on see tegevus piisavalt lähedane</w:t>
      </w:r>
      <w:r w:rsidR="004C59AD">
        <w:rPr>
          <w:szCs w:val="24"/>
        </w:rPr>
        <w:t xml:space="preserve"> </w:t>
      </w:r>
      <w:r w:rsidRPr="006C4AFD">
        <w:rPr>
          <w:szCs w:val="24"/>
        </w:rPr>
        <w:t>hotellide ja teiste juba eksisteerivate majutus</w:t>
      </w:r>
      <w:r w:rsidR="0064680E">
        <w:rPr>
          <w:szCs w:val="24"/>
        </w:rPr>
        <w:t xml:space="preserve">e valdkonna </w:t>
      </w:r>
      <w:r w:rsidRPr="006C4AFD">
        <w:rPr>
          <w:szCs w:val="24"/>
        </w:rPr>
        <w:t>ettevõtlust teostavate ettevõtete</w:t>
      </w:r>
      <w:r w:rsidR="004C59AD">
        <w:rPr>
          <w:szCs w:val="24"/>
        </w:rPr>
        <w:t xml:space="preserve"> </w:t>
      </w:r>
      <w:r w:rsidRPr="006C4AFD">
        <w:rPr>
          <w:szCs w:val="24"/>
        </w:rPr>
        <w:t xml:space="preserve">tegevusele ja seda tuleks ka sellises kontekstis käsitleda ja hinnata. </w:t>
      </w:r>
    </w:p>
    <w:p w14:paraId="0BC754E9" w14:textId="77777777" w:rsidR="007967CC" w:rsidRPr="007621C5" w:rsidRDefault="007967CC" w:rsidP="007967CC">
      <w:pPr>
        <w:jc w:val="both"/>
        <w:rPr>
          <w:szCs w:val="24"/>
        </w:rPr>
      </w:pPr>
      <w:r w:rsidRPr="007621C5">
        <w:rPr>
          <w:szCs w:val="24"/>
        </w:rPr>
        <w:t>Lühiajalise üürituruga kaasnevaid probleeme (mis suures osas kattuvad eespool kirjeldatuga) ning nende leevendamiseks rakendatud poliitikaid on uurinud paljud autorid</w:t>
      </w:r>
      <w:r w:rsidRPr="007621C5">
        <w:rPr>
          <w:rStyle w:val="FootnoteReference"/>
          <w:szCs w:val="24"/>
        </w:rPr>
        <w:footnoteReference w:id="21"/>
      </w:r>
      <w:r w:rsidRPr="007621C5">
        <w:rPr>
          <w:szCs w:val="24"/>
        </w:rPr>
        <w:t>, mida oleme aluseks võtnud ka meie uuringu baasil selgunud probleemide ja mõjude hindamisel ja poliitikasoovituste valikul.</w:t>
      </w:r>
    </w:p>
    <w:p w14:paraId="791131B4" w14:textId="77777777" w:rsidR="007967CC" w:rsidRPr="00063682" w:rsidRDefault="007967CC" w:rsidP="007967CC">
      <w:pPr>
        <w:pStyle w:val="Heading3"/>
        <w:ind w:left="540"/>
        <w:rPr>
          <w:rFonts w:hint="eastAsia"/>
        </w:rPr>
      </w:pPr>
      <w:bookmarkStart w:id="62" w:name="_Toc208991585"/>
      <w:r w:rsidRPr="00E14EBC">
        <w:t>Uus fookus: platvormimajandus</w:t>
      </w:r>
      <w:bookmarkEnd w:id="62"/>
    </w:p>
    <w:p w14:paraId="57BF081F" w14:textId="5A0C75ED" w:rsidR="007967CC" w:rsidRPr="00063682" w:rsidRDefault="007967CC" w:rsidP="007967CC">
      <w:pPr>
        <w:jc w:val="both"/>
      </w:pPr>
      <w:r>
        <w:t>Jagamismajanduse arengus, sh ka lühiajalise üüri valdkonnas, hakkas üh</w:t>
      </w:r>
      <w:r w:rsidR="6F9209A5">
        <w:t>a</w:t>
      </w:r>
      <w:r>
        <w:t xml:space="preserve"> rohkem esile tõusma ja muutus isegi</w:t>
      </w:r>
      <w:r w:rsidR="004C59AD">
        <w:t xml:space="preserve"> </w:t>
      </w:r>
      <w:r>
        <w:t xml:space="preserve">nn mängumuutjaks </w:t>
      </w:r>
      <w:r w:rsidRPr="1688D34F">
        <w:rPr>
          <w:b/>
        </w:rPr>
        <w:t>vahendusplatvormide areng</w:t>
      </w:r>
      <w:r w:rsidRPr="000F7C5F">
        <w:t>.</w:t>
      </w:r>
      <w:r w:rsidR="00B31748">
        <w:t xml:space="preserve"> </w:t>
      </w:r>
      <w:r>
        <w:t>Jagamismajandus alustas suhteliselt lokaalset laadi nähtusena. Ta leidis endale koha ja tunnustuse teiste majandamisvormide hulgas, kuid ta</w:t>
      </w:r>
      <w:r w:rsidR="004C59AD">
        <w:t xml:space="preserve"> </w:t>
      </w:r>
      <w:r>
        <w:t>oleks laienenud veelgi hoogsamalt, kui</w:t>
      </w:r>
      <w:r w:rsidR="004C59AD">
        <w:t xml:space="preserve"> </w:t>
      </w:r>
      <w:r>
        <w:t>selles osaleda soovijail oleks olnud kasutada enam informatsiooni potentsiaalsete partnerite kohta</w:t>
      </w:r>
      <w:r w:rsidR="002928A5">
        <w:t>:</w:t>
      </w:r>
      <w:r>
        <w:t xml:space="preserve"> </w:t>
      </w:r>
      <w:r w:rsidR="002928A5">
        <w:t>r</w:t>
      </w:r>
      <w:r>
        <w:t>essursside pakkujail infot potentsiaalsete klientide kohta, kes võiksid olla</w:t>
      </w:r>
      <w:r w:rsidR="004C59AD">
        <w:t xml:space="preserve"> </w:t>
      </w:r>
      <w:r>
        <w:t>huvitatud</w:t>
      </w:r>
      <w:r w:rsidR="004C59AD">
        <w:t xml:space="preserve"> </w:t>
      </w:r>
      <w:r>
        <w:t>tema ressurssidest ja nende baasil pakutavatest teenustest</w:t>
      </w:r>
      <w:r w:rsidR="32D73AC8">
        <w:t>,</w:t>
      </w:r>
      <w:r w:rsidR="004C59AD">
        <w:t xml:space="preserve"> </w:t>
      </w:r>
      <w:r>
        <w:t>ja klientidel infot selle kohta, kus ja mis tingimustel neid kasutada saab.</w:t>
      </w:r>
      <w:r w:rsidR="004C59AD">
        <w:t xml:space="preserve"> </w:t>
      </w:r>
      <w:r>
        <w:t xml:space="preserve">Situatsiooni muutis totaalselt eelmise sajandi lõpul toimunud digirevolutsioon ja selle baasil </w:t>
      </w:r>
      <w:r w:rsidRPr="1688D34F">
        <w:rPr>
          <w:b/>
        </w:rPr>
        <w:t>digitaalsete platvormide</w:t>
      </w:r>
      <w:r>
        <w:t>, teisiti öeldes, digitaalsete infrastruktuuride, loomine. See võimaldas mingis valdkonnas tegutsevatel teenuste osutamisest või kasutamisest</w:t>
      </w:r>
      <w:r w:rsidR="004C59AD">
        <w:t xml:space="preserve"> </w:t>
      </w:r>
      <w:r>
        <w:t>huvitatud inimgruppidel kontakteeruda ja jõuda sobivate ärialastele lepeteni</w:t>
      </w:r>
      <w:r w:rsidR="004C59AD">
        <w:t xml:space="preserve"> </w:t>
      </w:r>
      <w:r>
        <w:t>kiiresti, mugavalt ja väikeste kuludega. Vahendajaid ja vahendusplatvorme oli kasutatud ju ennegi, vahendusplatvormiks võib nimetada kasvõi kuulutustahvlit bussijaamas, kust kuurortlinna saabunu võis lugeda infot, kust suvitamisnädalaks öömaja võiks</w:t>
      </w:r>
      <w:r w:rsidR="004C59AD">
        <w:t xml:space="preserve"> </w:t>
      </w:r>
      <w:r>
        <w:t>leida</w:t>
      </w:r>
      <w:r w:rsidR="008748CA">
        <w:t>.</w:t>
      </w:r>
      <w:r>
        <w:t xml:space="preserve"> </w:t>
      </w:r>
      <w:r w:rsidR="008748CA">
        <w:t>A</w:t>
      </w:r>
      <w:r>
        <w:t>ga</w:t>
      </w:r>
      <w:r w:rsidR="004C59AD">
        <w:t xml:space="preserve"> </w:t>
      </w:r>
      <w:r>
        <w:t>elektrooniline platvorm, kust</w:t>
      </w:r>
      <w:r w:rsidR="004C59AD">
        <w:t xml:space="preserve"> </w:t>
      </w:r>
      <w:r>
        <w:t>kõik huvitatud saavad juba enne kodust lahkumist pildi kohalikust üüriturust, saavad võrrelda võimalusi, millised on</w:t>
      </w:r>
      <w:r w:rsidR="004C59AD">
        <w:t xml:space="preserve"> </w:t>
      </w:r>
      <w:r>
        <w:t xml:space="preserve">antud piirkonnas, antud hinnaklassi ja lisatingimuste puhul toa või korteri üürile võtmise tingimused, on </w:t>
      </w:r>
      <w:r>
        <w:lastRenderedPageBreak/>
        <w:t>kvalitatiivselt juba täiesti teine tasand. Kuna tehingute massiline realiseerumine veebiplatvormide, eriti rahvusvaheliste veebiplatvormide kaudu</w:t>
      </w:r>
      <w:r w:rsidR="00864473">
        <w:t>,</w:t>
      </w:r>
      <w:r>
        <w:t xml:space="preserve"> kujunes paljudes teenusemajanduse valdkondades põhiliseks arengumootoriks, siis hakati üha enam rääkima mitte jagamismajandusest, vaid</w:t>
      </w:r>
      <w:r w:rsidR="004C59AD">
        <w:t xml:space="preserve"> </w:t>
      </w:r>
      <w:r w:rsidRPr="1688D34F">
        <w:rPr>
          <w:b/>
        </w:rPr>
        <w:t>platvormimajandusest</w:t>
      </w:r>
      <w:r w:rsidRPr="000F7C5F">
        <w:t>.</w:t>
      </w:r>
    </w:p>
    <w:p w14:paraId="56A7738A" w14:textId="29DDA7C0" w:rsidR="007967CC" w:rsidRDefault="007967CC" w:rsidP="007967CC">
      <w:pPr>
        <w:jc w:val="both"/>
      </w:pPr>
      <w:r>
        <w:t>Digiplatvormid ei hakanud majutusteenuste pakkumist vahendama muidugi mitte ainult kodumajutusteenuse osas, vaid ka teistes</w:t>
      </w:r>
      <w:r w:rsidR="004C59AD">
        <w:t xml:space="preserve"> </w:t>
      </w:r>
      <w:r>
        <w:t xml:space="preserve">majutusäri valdkondades. Platvormi seisukohalt pole erilist vahet, kas tegu on alakasutuses oleva </w:t>
      </w:r>
      <w:r w:rsidR="00032291">
        <w:t>ressursi</w:t>
      </w:r>
      <w:r>
        <w:t xml:space="preserve"> (osalise või ajutise) või puhtalt rahateenimiseks soetatud </w:t>
      </w:r>
      <w:r w:rsidR="00032291">
        <w:t>ressursi</w:t>
      </w:r>
      <w:r>
        <w:t xml:space="preserve"> väljaüürimisega. Samas kasutuselevõetud uue vahendusmehhanismi tehnoloogili</w:t>
      </w:r>
      <w:r w:rsidR="62FC0F45">
        <w:t>s</w:t>
      </w:r>
      <w:r>
        <w:t>e külje sarnasusest</w:t>
      </w:r>
      <w:r w:rsidR="004C59AD">
        <w:t xml:space="preserve"> </w:t>
      </w:r>
      <w:r>
        <w:t>ei tulene, et majanduslikud ja sotsiaalsed efektid, mis tekivad platvormide edukäigu tõttu, oleksid jagamismajandusliku lühiajalise üüri (teisiti: kodumajutuse)</w:t>
      </w:r>
      <w:r w:rsidR="004C59AD">
        <w:t xml:space="preserve"> </w:t>
      </w:r>
      <w:r>
        <w:t>laienemise ja teiste digiplatvormide arengust hoogu saanud üüriliikide laienemise puhul ühesugused.</w:t>
      </w:r>
    </w:p>
    <w:p w14:paraId="71084CA5" w14:textId="3E35EDD2" w:rsidR="007967CC" w:rsidRPr="00063682" w:rsidRDefault="007967CC" w:rsidP="007967CC">
      <w:pPr>
        <w:jc w:val="both"/>
      </w:pPr>
      <w:r>
        <w:t>21. sajandi algust iseloomustab platvormimajanduse</w:t>
      </w:r>
      <w:r w:rsidR="004C59AD">
        <w:t xml:space="preserve"> </w:t>
      </w:r>
      <w:r>
        <w:t>maruline areng. Digitaalsete platvormide tekkega intensiivistus mitte ainult füüsiliste objektide, nagu majade, korterite või autode üürimise/rentimisega seotud äritegevus, mille puhul lokaalne turg on suhteliselt piiratud, aga ka kauplemine sellise</w:t>
      </w:r>
      <w:r w:rsidR="004C59AD">
        <w:t xml:space="preserve"> </w:t>
      </w:r>
      <w:r>
        <w:t>ressursiga nagu vaba tööaeg. Alates kooliõpetajatest, kes said kasutada oma õhtupoolikuid õpilaste järeleaitamistundide andmiseks või mingite suhteliselt lihtsat laadi</w:t>
      </w:r>
      <w:r w:rsidR="004C59AD">
        <w:t xml:space="preserve"> </w:t>
      </w:r>
      <w:r>
        <w:t>„tööampsude“ tegemisega ja lõpetades lülitumisega väga keerukate ülesannetega tegelevatesse võrgustikesse. Ajares</w:t>
      </w:r>
      <w:r w:rsidR="00BA5A1A">
        <w:t>s</w:t>
      </w:r>
      <w:r>
        <w:t>ursi</w:t>
      </w:r>
      <w:r w:rsidR="004C59AD">
        <w:t xml:space="preserve"> </w:t>
      </w:r>
      <w:r>
        <w:t>puhul on aga raske tõmmata piiri, kus lõpeb alakasutatud ressursi kasutamine ja algab digitaalne töö põhitööna või siis oma puhkamiseks hädavajaliku aja kuritarvitamine.</w:t>
      </w:r>
    </w:p>
    <w:p w14:paraId="66715C23" w14:textId="36FF6CF4" w:rsidR="007967CC" w:rsidRPr="00063682" w:rsidRDefault="007967CC" w:rsidP="007967CC">
      <w:pPr>
        <w:jc w:val="both"/>
      </w:pPr>
      <w:r>
        <w:t xml:space="preserve">Digiplatvormide võidukäik on ühtlasi globaalsuse võidukäik. Paremini standardiseeritavate tehingute puhul ongi digiplatvormid globaalsed. </w:t>
      </w:r>
      <w:r w:rsidRPr="1688D34F">
        <w:rPr>
          <w:b/>
        </w:rPr>
        <w:t>Globaalsetel digitaalsetel platvormidel</w:t>
      </w:r>
      <w:r>
        <w:t xml:space="preserve"> on suuri eeliseid, kui protsess, mille korraldamiselt ja teenindamiselt nad raha teenivad, seostub laia, üle riigipiiride toimuva äriga nagu näiteks rahvusvaheline turism</w:t>
      </w:r>
      <w:r w:rsidR="00EC5755">
        <w:t>.</w:t>
      </w:r>
      <w:r>
        <w:t xml:space="preserve"> </w:t>
      </w:r>
      <w:r w:rsidR="00EC5755">
        <w:t>S</w:t>
      </w:r>
      <w:r>
        <w:t>el juhul annab mastaabiefekti saavutamine eriti suurt tulu</w:t>
      </w:r>
      <w:r w:rsidR="00E22EA4">
        <w:t>.</w:t>
      </w:r>
      <w:r>
        <w:t xml:space="preserve"> </w:t>
      </w:r>
      <w:r w:rsidR="00E22EA4">
        <w:t>A</w:t>
      </w:r>
      <w:r>
        <w:t>ga ka juhul</w:t>
      </w:r>
      <w:r w:rsidR="00ED28BA">
        <w:t>,</w:t>
      </w:r>
      <w:r>
        <w:t xml:space="preserve"> kui tegemist </w:t>
      </w:r>
      <w:r w:rsidR="732E2CFD">
        <w:t xml:space="preserve">on </w:t>
      </w:r>
      <w:r>
        <w:t>oma olemuselt lokaalsema teenusega nagu linnasisene taksoteenus, kus tarbijateks on valdavalt kohalikud elanikud, võib hästi väljakujundatud</w:t>
      </w:r>
      <w:r w:rsidR="00ED28BA">
        <w:t>,</w:t>
      </w:r>
      <w:r>
        <w:t xml:space="preserve"> eri kohtades katsetatud ja usaldusväärselt toimiv globaalse firma poolt pakutav platvormiteenus olla äärmiselt konkurentsivõimeline.</w:t>
      </w:r>
    </w:p>
    <w:p w14:paraId="59C29AF3" w14:textId="749445CC" w:rsidR="001005DB" w:rsidRDefault="007967CC" w:rsidP="007967CC">
      <w:pPr>
        <w:jc w:val="both"/>
      </w:pPr>
      <w:r>
        <w:t>Ühtlasi on see ka teenuste standardiseerimise võidukäik</w:t>
      </w:r>
      <w:r w:rsidR="003E4B8D">
        <w:t>, sest</w:t>
      </w:r>
      <w:r>
        <w:t xml:space="preserve"> </w:t>
      </w:r>
      <w:r w:rsidR="003E4B8D">
        <w:t>r</w:t>
      </w:r>
      <w:r>
        <w:t>ahvusvaheliselt opereerivate digiplatvormide teenused lihtsalt peavad olema tugevalt standardiseeritud.</w:t>
      </w:r>
      <w:r w:rsidR="004C59AD">
        <w:t xml:space="preserve"> </w:t>
      </w:r>
      <w:r>
        <w:t>Varem seostus</w:t>
      </w:r>
      <w:r w:rsidR="004C59AD">
        <w:t xml:space="preserve"> </w:t>
      </w:r>
      <w:r>
        <w:t>jagamismajandus</w:t>
      </w:r>
      <w:r w:rsidR="004C59AD">
        <w:t xml:space="preserve"> </w:t>
      </w:r>
      <w:r>
        <w:t>sisulise ja vahel ka küllalt</w:t>
      </w:r>
      <w:r w:rsidR="004C59AD">
        <w:t xml:space="preserve"> </w:t>
      </w:r>
      <w:r>
        <w:t xml:space="preserve">loomingulise diskussiooniga </w:t>
      </w:r>
      <w:r w:rsidR="00AD19E1">
        <w:t>ressursi</w:t>
      </w:r>
      <w:r>
        <w:t xml:space="preserve"> omaniku/teenuse osutaja ja selle kasutamisest või kaaskasutamisest huvitatu vahel: kuidas kasutada, mis tingimustel kasutada, kuivõrd kooskasutada (näiteks sõidujagamise puhul). Platvormide ajastul</w:t>
      </w:r>
      <w:r w:rsidR="00F90783">
        <w:t xml:space="preserve"> on</w:t>
      </w:r>
      <w:r>
        <w:t xml:space="preserve"> sellis</w:t>
      </w:r>
      <w:r w:rsidR="00FC3C89">
        <w:t>ed</w:t>
      </w:r>
      <w:r>
        <w:t xml:space="preserve"> arutel</w:t>
      </w:r>
      <w:r w:rsidR="00F90783">
        <w:t>ud</w:t>
      </w:r>
      <w:r w:rsidR="00FC3C89">
        <w:t xml:space="preserve"> viidud miinimumini</w:t>
      </w:r>
      <w:r>
        <w:t>. Tegemist on juba kirjas olevatel</w:t>
      </w:r>
      <w:r w:rsidR="004C59AD">
        <w:t xml:space="preserve"> </w:t>
      </w:r>
      <w:r>
        <w:t>tingimustel toimuva äritehinguga.</w:t>
      </w:r>
      <w:r w:rsidR="00AD19E1">
        <w:t xml:space="preserve"> </w:t>
      </w:r>
      <w:r>
        <w:t>Digiplatvorm teeb mõlemale poolele vastuvõetavate tingimusteni jõudmise lihtsamaks,</w:t>
      </w:r>
      <w:r w:rsidR="004C59AD">
        <w:t xml:space="preserve"> </w:t>
      </w:r>
      <w:r>
        <w:t>hoiab</w:t>
      </w:r>
      <w:r w:rsidR="004C59AD">
        <w:t xml:space="preserve"> </w:t>
      </w:r>
      <w:r>
        <w:t>kokku aega ja energiat, kuid võtab jagamismajanduselt suuresti</w:t>
      </w:r>
      <w:r w:rsidR="004C59AD">
        <w:t xml:space="preserve"> </w:t>
      </w:r>
      <w:r>
        <w:t>sellele, vähemalt tema sinisilmsemate propageerijate poolt</w:t>
      </w:r>
      <w:r w:rsidR="004C59AD">
        <w:t xml:space="preserve"> </w:t>
      </w:r>
      <w:r>
        <w:t>omistatud kooperatiivsuse ja loova suhtlemisega seotud elemendid.</w:t>
      </w:r>
    </w:p>
    <w:p w14:paraId="6609780C" w14:textId="664FA5F2" w:rsidR="007967CC" w:rsidRPr="00AD19E1" w:rsidRDefault="00BB40CA" w:rsidP="00420052">
      <w:pPr>
        <w:keepNext/>
        <w:jc w:val="both"/>
        <w:rPr>
          <w:rStyle w:val="PurpleText"/>
        </w:rPr>
      </w:pPr>
      <w:r w:rsidRPr="00BB40CA">
        <w:rPr>
          <w:rStyle w:val="PurpleText"/>
        </w:rPr>
        <w:lastRenderedPageBreak/>
        <w:t>„</w:t>
      </w:r>
      <w:r w:rsidR="007967CC" w:rsidRPr="00AD19E1">
        <w:rPr>
          <w:rStyle w:val="PurpleText"/>
        </w:rPr>
        <w:t>Platvormikapitalism</w:t>
      </w:r>
      <w:r w:rsidRPr="00BB40CA">
        <w:rPr>
          <w:rStyle w:val="PurpleText"/>
        </w:rPr>
        <w:t>“</w:t>
      </w:r>
    </w:p>
    <w:p w14:paraId="144F4C70" w14:textId="774699B8" w:rsidR="007967CC" w:rsidRPr="00063682" w:rsidRDefault="007967CC" w:rsidP="007967CC">
      <w:pPr>
        <w:jc w:val="both"/>
        <w:rPr>
          <w:szCs w:val="24"/>
        </w:rPr>
      </w:pPr>
      <w:r w:rsidRPr="00063682">
        <w:rPr>
          <w:szCs w:val="24"/>
        </w:rPr>
        <w:t xml:space="preserve">Nagu üldistab Nick Srnicek, ühinesid mitut liiki andmete koondamisel ja kasutamisel platvormitüüpi ärimudelit kasutavad suunad, nagu jagamismajandus, </w:t>
      </w:r>
      <w:r w:rsidRPr="00063682">
        <w:rPr>
          <w:i/>
          <w:iCs/>
          <w:szCs w:val="24"/>
        </w:rPr>
        <w:t>gig economy</w:t>
      </w:r>
      <w:r w:rsidRPr="00063682">
        <w:rPr>
          <w:szCs w:val="24"/>
        </w:rPr>
        <w:t xml:space="preserve"> (jupitöö majandus või tööampsu majandus), </w:t>
      </w:r>
      <w:r w:rsidRPr="00063682">
        <w:rPr>
          <w:i/>
          <w:iCs/>
          <w:szCs w:val="24"/>
        </w:rPr>
        <w:t>attention economy</w:t>
      </w:r>
      <w:r w:rsidRPr="00063682">
        <w:rPr>
          <w:szCs w:val="24"/>
        </w:rPr>
        <w:t xml:space="preserve"> (tähelepanu ärgitamisel baseeruv majandus) jt uueks tervikparadigmaks, mida võib nimetada </w:t>
      </w:r>
      <w:r w:rsidRPr="00063682">
        <w:rPr>
          <w:b/>
          <w:bCs/>
          <w:szCs w:val="24"/>
        </w:rPr>
        <w:t>platvormikapitalismiks</w:t>
      </w:r>
      <w:r w:rsidR="00AA2E55" w:rsidRPr="00514229">
        <w:rPr>
          <w:szCs w:val="24"/>
        </w:rPr>
        <w:t>.</w:t>
      </w:r>
      <w:r w:rsidRPr="00063682">
        <w:rPr>
          <w:rStyle w:val="FootnoteReference"/>
          <w:szCs w:val="24"/>
        </w:rPr>
        <w:footnoteReference w:id="22"/>
      </w:r>
    </w:p>
    <w:p w14:paraId="413423A1" w14:textId="46FF44F6" w:rsidR="007967CC" w:rsidRPr="00846C50" w:rsidRDefault="007967CC" w:rsidP="007967CC">
      <w:pPr>
        <w:jc w:val="both"/>
      </w:pPr>
      <w:r>
        <w:t>Platvormimajandus/platvormikapitalism on näidanud oma efektiivsust, aga on hakanud saama ka tugevat kriitikat. Kritiseerida digitaalseid platvorme kui selliseid on kaunis raske. Neid on ju võimalik korraldada ja korraldataksegi ka asjaosaliste enda</w:t>
      </w:r>
      <w:r w:rsidR="004C59AD">
        <w:t xml:space="preserve"> </w:t>
      </w:r>
      <w:r>
        <w:t>poolt kooperatiivsel alusel, näiteks</w:t>
      </w:r>
      <w:r w:rsidR="004C59AD">
        <w:t xml:space="preserve"> </w:t>
      </w:r>
      <w:r>
        <w:t>innovatsiooniplatvorme. Küll aga on tihti</w:t>
      </w:r>
      <w:r w:rsidR="004C59AD">
        <w:t xml:space="preserve"> </w:t>
      </w:r>
      <w:r>
        <w:t xml:space="preserve">kriitika all nn </w:t>
      </w:r>
      <w:r w:rsidRPr="1688D34F">
        <w:rPr>
          <w:b/>
        </w:rPr>
        <w:t>välised</w:t>
      </w:r>
      <w:r>
        <w:t xml:space="preserve"> platvormid, sellised, mis on loodud väljapool kooperatsioonipartnerite ringi ja pakuvad neile tehingute tegemiseks tasu eest oma ärimudelil baseeruvat vahendust. Digiplatvormide võidukäik põhineb keskendumisel teenusemajanduse võtmeküsimusele, informatsiooni koondamisele ja kasutamisele. Firmad, kes pole seotud primaarsete teenuste osutamiseks vajalike materiaalsete varadega, nende soetamisega ja neisse investeerimisega, suudavad areneda oluliselt kiiremini kui primaarset teenust osutavad firmad ning globaalse haarde ja edu korral suudavad tõusta domineerivale positsioonile, n-ö riisuda teenusemajanduse arengult, küll nende endi abiga toimuvalt arengult, koore.</w:t>
      </w:r>
    </w:p>
    <w:p w14:paraId="0847A126" w14:textId="79E5F797" w:rsidR="007967CC" w:rsidRPr="00846C50" w:rsidRDefault="007967CC" w:rsidP="007967CC">
      <w:pPr>
        <w:jc w:val="both"/>
      </w:pPr>
      <w:r>
        <w:t>Umbusk väliste platvormide vastu on eelneva tõttu küll mõistetav, aga sellele pole ka raske vastu vaielda osutades</w:t>
      </w:r>
      <w:r w:rsidR="004C59AD">
        <w:t xml:space="preserve"> </w:t>
      </w:r>
      <w:r>
        <w:t>positiivsetele efektidele, mida platvormide kasutamine kaasa toob. Teise valguse võtab aga diskussioon siis, kui tuua mängu monopoolsuse oh</w:t>
      </w:r>
      <w:r w:rsidR="355FA9E4">
        <w:t>t</w:t>
      </w:r>
      <w:r>
        <w:t>. Kaasajal ongi suurenemas</w:t>
      </w:r>
      <w:r w:rsidR="004C59AD">
        <w:t xml:space="preserve"> </w:t>
      </w:r>
      <w:r>
        <w:t xml:space="preserve">hirmud, et digiplatvormide edasine tugevnemine võib viia nende suurenemise ja kontsentreerumise kaudu </w:t>
      </w:r>
      <w:r w:rsidRPr="1688D34F">
        <w:rPr>
          <w:b/>
        </w:rPr>
        <w:t>platvormide monopoolse seisundini</w:t>
      </w:r>
      <w:r>
        <w:t>, nn platvormifeodalismi tekkele. Suure kasutajate hulgaga platvormilt lahkuda on kasutajatel üha raskem, kaotused oleksid selle juures suured ja pealegi võivad platvormid, vaatamata katsetele allutada neid konkurentsiseaduse reeglitele, püüda kasutajaid siduda enda külge erinevate</w:t>
      </w:r>
      <w:r w:rsidR="004C59AD">
        <w:t xml:space="preserve"> </w:t>
      </w:r>
      <w:r>
        <w:t>lubamatute võtetega. Kardetakse, et nn primaarset teenust osutavatele, vahetult tarbijat teenindavatele inimestele ja ettevõtetele</w:t>
      </w:r>
      <w:r w:rsidR="002850DB">
        <w:t>,</w:t>
      </w:r>
      <w:r>
        <w:t xml:space="preserve"> jääb “teenusemajanduslikust pirukast” saadavatest tuludest</w:t>
      </w:r>
      <w:r w:rsidR="004C59AD">
        <w:t xml:space="preserve"> </w:t>
      </w:r>
      <w:r>
        <w:t xml:space="preserve">üha väiksem ja monopoolse seisundi saavutanud ja seda seisundit hoida suutvatele digitaalsetele platvormidele üha suurem osa. </w:t>
      </w:r>
      <w:r w:rsidR="00F971E8">
        <w:t>Probleemi võimendab</w:t>
      </w:r>
      <w:r>
        <w:t xml:space="preserve"> ka</w:t>
      </w:r>
      <w:r w:rsidR="004C59AD">
        <w:t xml:space="preserve"> </w:t>
      </w:r>
      <w:r>
        <w:t>rahvusvaheliste digiplatvormide maksustamise, täpsemini maksustamisest möödahiilimise küsimus.</w:t>
      </w:r>
    </w:p>
    <w:p w14:paraId="2A4C7372" w14:textId="08097D90" w:rsidR="007967CC" w:rsidRPr="00846C50" w:rsidRDefault="007967CC" w:rsidP="007967CC">
      <w:pPr>
        <w:jc w:val="both"/>
      </w:pPr>
      <w:r>
        <w:t>Vaadates toimunut laiemate ühiskondlike arengute aspektist</w:t>
      </w:r>
      <w:r w:rsidR="1F2417EB">
        <w:t>,</w:t>
      </w:r>
      <w:r>
        <w:t xml:space="preserve"> saab platvormide esiletõusus näha nii positiivset kui negatiivset. </w:t>
      </w:r>
      <w:r w:rsidR="004E687F">
        <w:t xml:space="preserve">See võimaldab </w:t>
      </w:r>
      <w:r>
        <w:t>siseneda</w:t>
      </w:r>
      <w:r w:rsidR="004C59AD">
        <w:t xml:space="preserve"> </w:t>
      </w:r>
      <w:r>
        <w:t>turule lisaks</w:t>
      </w:r>
      <w:r w:rsidR="004C59AD">
        <w:t xml:space="preserve"> </w:t>
      </w:r>
      <w:r>
        <w:t>juba oma positsioonid sisse töötanud firmadele, näiteks suur</w:t>
      </w:r>
      <w:r w:rsidR="004E687F">
        <w:t>tele</w:t>
      </w:r>
      <w:r>
        <w:t xml:space="preserve"> hotellid</w:t>
      </w:r>
      <w:r w:rsidR="004E687F">
        <w:t>ele</w:t>
      </w:r>
      <w:r>
        <w:t>, hulgaliselt teis</w:t>
      </w:r>
      <w:r w:rsidR="004E687F">
        <w:t>tel</w:t>
      </w:r>
      <w:r>
        <w:t xml:space="preserve"> teenuseosutaja</w:t>
      </w:r>
      <w:r w:rsidR="004E687F">
        <w:t>tel</w:t>
      </w:r>
      <w:r>
        <w:t>, nii</w:t>
      </w:r>
      <w:r w:rsidR="004C59AD">
        <w:t xml:space="preserve"> </w:t>
      </w:r>
      <w:r>
        <w:t>üksikisiku</w:t>
      </w:r>
      <w:r w:rsidR="004E687F">
        <w:t>tel</w:t>
      </w:r>
      <w:r w:rsidR="004C59AD">
        <w:t xml:space="preserve"> </w:t>
      </w:r>
      <w:r>
        <w:t>kui firma</w:t>
      </w:r>
      <w:r w:rsidR="004E687F">
        <w:t>del</w:t>
      </w:r>
      <w:r>
        <w:t>, nõrgend</w:t>
      </w:r>
      <w:r w:rsidR="004E687F">
        <w:t>ades</w:t>
      </w:r>
      <w:r>
        <w:t xml:space="preserve"> väljakujunenud hierarhiate mõju.</w:t>
      </w:r>
      <w:r w:rsidR="004C59AD">
        <w:t xml:space="preserve"> </w:t>
      </w:r>
      <w:r>
        <w:t>Võimaluste ühtlustumine suurendas majanduses toimijate ja arenevast majandusest kasusaajate hulka, demokratiseeris majandust. Mida aeg edasi, seda enam aga hakatakse kartma, et</w:t>
      </w:r>
      <w:r w:rsidR="004C59AD">
        <w:t xml:space="preserve"> </w:t>
      </w:r>
      <w:r>
        <w:t>digiplatvormide võimsa tõusuga</w:t>
      </w:r>
      <w:r w:rsidR="004C59AD">
        <w:t xml:space="preserve"> </w:t>
      </w:r>
      <w:r>
        <w:t>juhtivatele positsioonidele ja monopoliseerumisohuga muutub sõltuvus neist majandusele ja demokraatiale ohtlikult suureks ja</w:t>
      </w:r>
      <w:r w:rsidR="004C59AD">
        <w:t xml:space="preserve"> </w:t>
      </w:r>
      <w:r w:rsidRPr="1688D34F">
        <w:rPr>
          <w:b/>
        </w:rPr>
        <w:t>hierarhiad pigem järsemateks</w:t>
      </w:r>
      <w:r>
        <w:t>.</w:t>
      </w:r>
    </w:p>
    <w:p w14:paraId="51F5A671" w14:textId="78044E3B" w:rsidR="007967CC" w:rsidRDefault="007967CC" w:rsidP="007967CC">
      <w:pPr>
        <w:jc w:val="both"/>
        <w:rPr>
          <w:szCs w:val="24"/>
        </w:rPr>
      </w:pPr>
      <w:r w:rsidRPr="00846C50">
        <w:rPr>
          <w:szCs w:val="24"/>
        </w:rPr>
        <w:lastRenderedPageBreak/>
        <w:t xml:space="preserve">Digiplatvormide ekspansioon on põrkunud paljudes maades </w:t>
      </w:r>
      <w:r w:rsidRPr="00846C50">
        <w:rPr>
          <w:b/>
          <w:bCs/>
          <w:szCs w:val="24"/>
        </w:rPr>
        <w:t>teenindusvaldkondades tegutsenud traditsiooniliste</w:t>
      </w:r>
      <w:r w:rsidR="004C59AD">
        <w:rPr>
          <w:b/>
          <w:bCs/>
          <w:szCs w:val="24"/>
        </w:rPr>
        <w:t xml:space="preserve"> </w:t>
      </w:r>
      <w:r w:rsidRPr="00846C50">
        <w:rPr>
          <w:b/>
          <w:bCs/>
          <w:szCs w:val="24"/>
        </w:rPr>
        <w:t>firmade, nagu hotellid ja taksofirmad, tõsisele vastupanule</w:t>
      </w:r>
      <w:r>
        <w:rPr>
          <w:b/>
          <w:bCs/>
          <w:szCs w:val="24"/>
        </w:rPr>
        <w:t>.</w:t>
      </w:r>
      <w:r w:rsidR="004C59AD">
        <w:rPr>
          <w:b/>
          <w:bCs/>
          <w:szCs w:val="24"/>
        </w:rPr>
        <w:t xml:space="preserve"> </w:t>
      </w:r>
      <w:r w:rsidRPr="00846C50">
        <w:rPr>
          <w:szCs w:val="24"/>
        </w:rPr>
        <w:t>Tihti toetavad seda vastutegutsemist ka traditsiooniliste (“klassikaliste”) ärimudelite alusel tegutsemist jätkata püüdvate firmade töötajad, kes kardavad, et nad kaotavad endiste firmade tegevuse lõpetamisega oma harjumispärase töö ja sotsiaalsed garantiid ning kes pole veendunud, et töö platvormifirmade poolt pealesurutud uue ärimudeli raames neid rahuldab.</w:t>
      </w:r>
      <w:r w:rsidRPr="009E3F89">
        <w:rPr>
          <w:szCs w:val="24"/>
        </w:rPr>
        <w:t xml:space="preserve"> </w:t>
      </w:r>
      <w:r>
        <w:rPr>
          <w:szCs w:val="24"/>
        </w:rPr>
        <w:t>Osade valdkondade puhul liituvad protestidega</w:t>
      </w:r>
      <w:r w:rsidR="004C59AD">
        <w:rPr>
          <w:szCs w:val="24"/>
        </w:rPr>
        <w:t xml:space="preserve"> </w:t>
      </w:r>
      <w:r w:rsidRPr="00846C50">
        <w:rPr>
          <w:szCs w:val="24"/>
        </w:rPr>
        <w:t>ka linnakeskkondade stabiilsust väärtustavad ja elanike huve kaitsvad aktivistid</w:t>
      </w:r>
      <w:r>
        <w:rPr>
          <w:szCs w:val="24"/>
        </w:rPr>
        <w:t>.</w:t>
      </w:r>
    </w:p>
    <w:p w14:paraId="72097815" w14:textId="77777777" w:rsidR="007967CC" w:rsidRDefault="007967CC" w:rsidP="007967CC">
      <w:pPr>
        <w:jc w:val="both"/>
        <w:rPr>
          <w:rStyle w:val="PurpleText"/>
          <w:szCs w:val="24"/>
        </w:rPr>
      </w:pPr>
      <w:r w:rsidRPr="002C75BE">
        <w:rPr>
          <w:rStyle w:val="PurpleText"/>
          <w:szCs w:val="24"/>
        </w:rPr>
        <w:t>Platvormimajanduse efektid majutusteenuste turul</w:t>
      </w:r>
    </w:p>
    <w:p w14:paraId="7050BDFA" w14:textId="35C77E98" w:rsidR="007967CC" w:rsidRDefault="007967CC" w:rsidP="007967CC">
      <w:pPr>
        <w:jc w:val="both"/>
      </w:pPr>
      <w:r w:rsidRPr="1688D34F">
        <w:rPr>
          <w:rStyle w:val="PurpleText"/>
          <w:color w:val="auto"/>
        </w:rPr>
        <w:t>Efektid, mi</w:t>
      </w:r>
      <w:r w:rsidR="29596E59" w:rsidRPr="1688D34F">
        <w:rPr>
          <w:rStyle w:val="PurpleText"/>
          <w:color w:val="auto"/>
        </w:rPr>
        <w:t>da</w:t>
      </w:r>
      <w:r w:rsidRPr="1688D34F">
        <w:rPr>
          <w:rStyle w:val="PurpleText"/>
          <w:color w:val="auto"/>
        </w:rPr>
        <w:t xml:space="preserve"> andis platvormimajandus eri majandussektorites</w:t>
      </w:r>
      <w:r w:rsidR="00EE6C74">
        <w:rPr>
          <w:rStyle w:val="PurpleText"/>
          <w:color w:val="auto"/>
        </w:rPr>
        <w:t xml:space="preserve"> ning mida kiidetakse või laidetakse</w:t>
      </w:r>
      <w:r w:rsidR="2CE281AA" w:rsidRPr="1688D34F">
        <w:rPr>
          <w:rStyle w:val="PurpleText"/>
          <w:color w:val="auto"/>
        </w:rPr>
        <w:t>,</w:t>
      </w:r>
      <w:r w:rsidRPr="1688D34F">
        <w:rPr>
          <w:rStyle w:val="PurpleText"/>
          <w:color w:val="auto"/>
        </w:rPr>
        <w:t xml:space="preserve"> on suuresti sarnased. </w:t>
      </w:r>
      <w:r w:rsidR="00EE6C74">
        <w:rPr>
          <w:rStyle w:val="PurpleText"/>
          <w:color w:val="auto"/>
        </w:rPr>
        <w:t>Samas esineb valdkonniti ka erisusi</w:t>
      </w:r>
      <w:r w:rsidRPr="1688D34F">
        <w:rPr>
          <w:rStyle w:val="PurpleText"/>
          <w:color w:val="auto"/>
        </w:rPr>
        <w:t>. Näiteks ei puuduta</w:t>
      </w:r>
      <w:r w:rsidR="004C59AD" w:rsidRPr="1688D34F">
        <w:rPr>
          <w:rStyle w:val="PurpleText"/>
          <w:color w:val="auto"/>
        </w:rPr>
        <w:t xml:space="preserve"> </w:t>
      </w:r>
      <w:r w:rsidRPr="1688D34F">
        <w:rPr>
          <w:rStyle w:val="PurpleText"/>
          <w:color w:val="auto"/>
        </w:rPr>
        <w:t>majutusteenustega tegelevaid platvorme see küllalt terav kriitika, mida tehakse tööjõuga opereerivate platvormide aadressil, kus pole p</w:t>
      </w:r>
      <w:r>
        <w:t>iisavalt hästi lahendatud</w:t>
      </w:r>
      <w:r w:rsidR="004C59AD">
        <w:t xml:space="preserve"> </w:t>
      </w:r>
      <w:r>
        <w:t>platvormide kaudu oma tööjõudu müüvate inimeste sotsiaalsete garantiide küsimus.</w:t>
      </w:r>
    </w:p>
    <w:p w14:paraId="4B3C0459" w14:textId="6A84165C" w:rsidR="00CD6369" w:rsidRDefault="007967CC" w:rsidP="007967CC">
      <w:pPr>
        <w:jc w:val="both"/>
      </w:pPr>
      <w:r w:rsidRPr="1688D34F">
        <w:t>Majutuse valdkonnale on iseloomulik see, et siin</w:t>
      </w:r>
      <w:r w:rsidR="004C59AD">
        <w:rPr>
          <w:szCs w:val="24"/>
        </w:rPr>
        <w:t xml:space="preserve"> </w:t>
      </w:r>
      <w:r w:rsidRPr="1688D34F">
        <w:t>mõjutab platvormimajanduse ekspansioon</w:t>
      </w:r>
      <w:r w:rsidR="004C59AD">
        <w:rPr>
          <w:szCs w:val="24"/>
        </w:rPr>
        <w:t xml:space="preserve"> </w:t>
      </w:r>
      <w:r w:rsidRPr="1688D34F">
        <w:t>küllalt tugevalt</w:t>
      </w:r>
      <w:r w:rsidR="004C59AD">
        <w:rPr>
          <w:szCs w:val="24"/>
        </w:rPr>
        <w:t xml:space="preserve"> </w:t>
      </w:r>
      <w:r w:rsidRPr="1688D34F">
        <w:t>geograafilist ruumi, eelkõige linnaruumi, võib limiteerida selle kasutamist teistsugusteks eesmärkideks ja minna vastuollu erinevate sotsiaalsete gruppide huvidega.</w:t>
      </w:r>
      <w:r w:rsidR="004C59AD">
        <w:rPr>
          <w:szCs w:val="24"/>
        </w:rPr>
        <w:t xml:space="preserve"> </w:t>
      </w:r>
      <w:r w:rsidRPr="1688D34F">
        <w:t>Just selle valdkonna kohta käib kriitikute väide, et platvormide teenuste kasutamisele üleminek muudab oluliselt mitte ainult tervete teenusemajanduse harude toimimist, aga ka kõike ümbritsevat. Platvormid kujundavad selle keskkonna, mille osaks nad ise on, ümber. Tulles mingisse piirkonda surub Airbnb seal</w:t>
      </w:r>
      <w:r w:rsidR="004C59AD">
        <w:rPr>
          <w:szCs w:val="24"/>
        </w:rPr>
        <w:t xml:space="preserve"> </w:t>
      </w:r>
      <w:r w:rsidRPr="1688D34F">
        <w:t>üürid ja kinnisvarahinnad üles. Et peale seda</w:t>
      </w:r>
      <w:r w:rsidR="004C59AD">
        <w:rPr>
          <w:szCs w:val="24"/>
        </w:rPr>
        <w:t xml:space="preserve"> </w:t>
      </w:r>
      <w:r w:rsidRPr="1688D34F">
        <w:t>sellesse piirkonda püsima</w:t>
      </w:r>
      <w:r w:rsidR="00927F5E">
        <w:t xml:space="preserve"> jääda</w:t>
      </w:r>
      <w:r w:rsidRPr="1688D34F">
        <w:t>,</w:t>
      </w:r>
      <w:r w:rsidR="004C59AD">
        <w:rPr>
          <w:szCs w:val="24"/>
        </w:rPr>
        <w:t xml:space="preserve"> </w:t>
      </w:r>
      <w:r w:rsidRPr="1688D34F">
        <w:t>oma üürid ja maksud ära maksta,</w:t>
      </w:r>
      <w:r w:rsidR="004C59AD">
        <w:rPr>
          <w:szCs w:val="24"/>
        </w:rPr>
        <w:t xml:space="preserve"> </w:t>
      </w:r>
      <w:r w:rsidRPr="1688D34F">
        <w:t>pea</w:t>
      </w:r>
      <w:r w:rsidR="00A96E6A">
        <w:t xml:space="preserve">vad </w:t>
      </w:r>
      <w:r w:rsidR="007D2E42">
        <w:t>püsielanikud</w:t>
      </w:r>
      <w:r w:rsidRPr="1688D34F">
        <w:t xml:space="preserve"> ise hakkama Airbnb kaudu ruume välja üürima, nagu väidetakse ühes platvormikapitalismi suhtes kriitilises raamatus</w:t>
      </w:r>
      <w:r w:rsidR="00AA2E55">
        <w:t>.</w:t>
      </w:r>
      <w:r w:rsidR="00CD6369" w:rsidRPr="1688D34F">
        <w:rPr>
          <w:rStyle w:val="FootnoteReference"/>
        </w:rPr>
        <w:footnoteReference w:id="23"/>
      </w:r>
      <w:r w:rsidRPr="007E7D83">
        <w:rPr>
          <w:szCs w:val="24"/>
        </w:rPr>
        <w:t xml:space="preserve"> </w:t>
      </w:r>
      <w:r w:rsidRPr="1688D34F">
        <w:t>Suur osa nii jagamismajanduse kui platvorm</w:t>
      </w:r>
      <w:r w:rsidR="00DB37BD" w:rsidRPr="1688D34F">
        <w:t>im</w:t>
      </w:r>
      <w:r w:rsidRPr="1688D34F">
        <w:t xml:space="preserve">ajanduse levikuga seostuvaid konflikte käibki ühel või </w:t>
      </w:r>
      <w:r w:rsidR="00DB37BD" w:rsidRPr="1688D34F">
        <w:t>teisel</w:t>
      </w:r>
      <w:r w:rsidRPr="1688D34F">
        <w:t xml:space="preserve"> moel ruumikasutuse ümber. Kas siis selles mõttes, et takistab</w:t>
      </w:r>
      <w:r w:rsidR="004C59AD">
        <w:rPr>
          <w:szCs w:val="24"/>
        </w:rPr>
        <w:t xml:space="preserve"> </w:t>
      </w:r>
      <w:r w:rsidRPr="1688D34F">
        <w:t>ruumikasutust teisteks otstarveteks</w:t>
      </w:r>
      <w:r w:rsidR="004C59AD">
        <w:rPr>
          <w:szCs w:val="24"/>
        </w:rPr>
        <w:t xml:space="preserve"> </w:t>
      </w:r>
      <w:r w:rsidRPr="1688D34F">
        <w:t>või siis mõjub halvasti naabruskonnale.</w:t>
      </w:r>
    </w:p>
    <w:p w14:paraId="48DA8DD7" w14:textId="558CAF00" w:rsidR="007967CC" w:rsidRDefault="007967CC" w:rsidP="007967CC">
      <w:pPr>
        <w:jc w:val="both"/>
      </w:pPr>
      <w:r>
        <w:t>Digitaalsed platvormid aitasid</w:t>
      </w:r>
      <w:r w:rsidR="004C59AD">
        <w:t xml:space="preserve"> </w:t>
      </w:r>
      <w:r>
        <w:t xml:space="preserve">oma tekkega nii üksikisikute käsutuses olnud alakasutatud varade turuletoomist </w:t>
      </w:r>
      <w:r w:rsidR="71AA4096">
        <w:t>kui ka</w:t>
      </w:r>
      <w:r>
        <w:t xml:space="preserve"> sellega opereerimist (st jagamism</w:t>
      </w:r>
      <w:r w:rsidR="00DB37BD">
        <w:t>a</w:t>
      </w:r>
      <w:r>
        <w:t>jandust), kuid nende mõju on laiem. Nad kujundasid oma tegevusmudeli alusel ümber</w:t>
      </w:r>
      <w:r w:rsidR="004C59AD">
        <w:t xml:space="preserve"> </w:t>
      </w:r>
      <w:r>
        <w:t>terved teenusemajanduse valdkonnad muutes need suuremaid võimalusi pakkuvateks. See aitas kaasa neis juba uute ettevõtjate tekkimisele, kes opereerivad</w:t>
      </w:r>
      <w:r w:rsidR="004C59AD">
        <w:t xml:space="preserve"> </w:t>
      </w:r>
      <w:r>
        <w:t xml:space="preserve">juba mitte varem olemas olnud alakasutatud varadega, vaid </w:t>
      </w:r>
      <w:r w:rsidRPr="1688D34F">
        <w:rPr>
          <w:b/>
        </w:rPr>
        <w:t>puhtalt äritegemise otstarbeks soetatud varadega</w:t>
      </w:r>
      <w:r>
        <w:t>.</w:t>
      </w:r>
    </w:p>
    <w:p w14:paraId="038042EE" w14:textId="685AC4A0" w:rsidR="007967CC" w:rsidRPr="00A8249E" w:rsidRDefault="007967CC" w:rsidP="007967CC">
      <w:pPr>
        <w:jc w:val="both"/>
      </w:pPr>
      <w:r w:rsidRPr="1688D34F">
        <w:t xml:space="preserve">Majutustegevuses saavad põhimõtteliselt digiplatvormide kasutamisest tekkivaid efekte kasutada ja selle baasil oma tegevust laiendada erinevat tüüpi teenusepakkujad, nii traditsioonilist tüüpi hotellid, kodumajutuse pakkujad, kes pakuvad majutust samas hoones, kus nad üldiselt ise ka elavad (tehes seda osades tubades või siis üürides kogu eluruumi välja ajutiselt enda äraoleku perioodiks), kui ka spetsiaalselt vaid lühiajalise väljaüürimise eesmärgiks soetatud külaliskorterid. Hotellide kasusaamise aste platvormidest on teise kahe grupiga võrreldes siiski madalam. Nad said globaalsete digiplatvormide abil küll suurendada mõnel määral oma ruumide täituvuse astet, </w:t>
      </w:r>
      <w:r w:rsidRPr="1688D34F">
        <w:lastRenderedPageBreak/>
        <w:t>kuid nende jaoks polnud platvormid elulise tähtsusega lisares</w:t>
      </w:r>
      <w:r w:rsidR="00CE4A8A" w:rsidRPr="1688D34F">
        <w:t>s</w:t>
      </w:r>
      <w:r w:rsidRPr="1688D34F">
        <w:t>ursiks. Suuremad neist olid kasutanud ja kasutavad ka edasi klientide leidmiseks oma hotellikettidele kuuluvaid infosüsteeme. Uute hotellide ehitamine või laiendamine on ka kaunis ajamahukas protsess, näiteks külaliskorteritega opereerivad väikemajutuse pakkujad saavad täiendavaid majutusvõimalusi luua kiiremini. Selleks täiendavaid kortereid omandada on võimalik kiiremini kui uut hotelli ehitada. Kodumajutus võib olla küll</w:t>
      </w:r>
      <w:r w:rsidR="004C59AD">
        <w:rPr>
          <w:szCs w:val="24"/>
        </w:rPr>
        <w:t xml:space="preserve"> </w:t>
      </w:r>
      <w:r w:rsidRPr="1688D34F">
        <w:t>kiire reageer</w:t>
      </w:r>
      <w:r w:rsidR="00CE4A8A" w:rsidRPr="1688D34F">
        <w:t>i</w:t>
      </w:r>
      <w:r w:rsidRPr="1688D34F">
        <w:t>ja, kuid ta võimalused on</w:t>
      </w:r>
      <w:r w:rsidR="004C59AD">
        <w:rPr>
          <w:szCs w:val="24"/>
        </w:rPr>
        <w:t xml:space="preserve"> </w:t>
      </w:r>
      <w:r w:rsidRPr="1688D34F">
        <w:t xml:space="preserve">piiratud ruumide arvuga. Kõige </w:t>
      </w:r>
      <w:r w:rsidRPr="1688D34F">
        <w:rPr>
          <w:b/>
        </w:rPr>
        <w:t>suuremaks võitjaks digiplatvormide võidukäigust on</w:t>
      </w:r>
      <w:r w:rsidR="004C59AD" w:rsidRPr="1688D34F">
        <w:rPr>
          <w:b/>
        </w:rPr>
        <w:t xml:space="preserve"> </w:t>
      </w:r>
      <w:r w:rsidRPr="1688D34F">
        <w:rPr>
          <w:b/>
        </w:rPr>
        <w:t xml:space="preserve">seetõttu külaliskorterite soetamisel baseeruv äri. </w:t>
      </w:r>
      <w:r w:rsidRPr="1688D34F">
        <w:t>Digiplatvorm aitab kliente leida ja kui asi ära ei tasu, on võimalik ostetud korter jälle maha müüa.</w:t>
      </w:r>
      <w:r w:rsidR="004C59AD">
        <w:rPr>
          <w:szCs w:val="24"/>
        </w:rPr>
        <w:t xml:space="preserve"> </w:t>
      </w:r>
      <w:r w:rsidRPr="1688D34F">
        <w:t>Eesti tingimustes on mitmete soodustavate tegurite kokkulangemise tõttu lühiajalise üüriteenuse digiplatvormide ekspansioon toimunud suurel määral</w:t>
      </w:r>
      <w:r w:rsidR="004C59AD">
        <w:rPr>
          <w:szCs w:val="24"/>
        </w:rPr>
        <w:t xml:space="preserve"> </w:t>
      </w:r>
      <w:r w:rsidRPr="1688D34F">
        <w:t>puhtalt külaliskorteritena kasutatavate</w:t>
      </w:r>
      <w:r w:rsidR="004C59AD">
        <w:rPr>
          <w:szCs w:val="24"/>
        </w:rPr>
        <w:t xml:space="preserve"> </w:t>
      </w:r>
      <w:r w:rsidRPr="1688D34F">
        <w:t>eluruumide baasil. Teisiti öeldes, platvormimajanduse teke on aidanud oluliselt aktiviseerida ettevõtlust majutusteenuse pakkumisel, seda suurendada ja rikastada, kuid vähem jagamismajandusliku mudeli alusel ja rohkem klassikalise</w:t>
      </w:r>
      <w:r w:rsidR="004C59AD">
        <w:rPr>
          <w:szCs w:val="24"/>
        </w:rPr>
        <w:t xml:space="preserve"> </w:t>
      </w:r>
      <w:r w:rsidRPr="1688D34F">
        <w:t>üüriäri</w:t>
      </w:r>
      <w:r w:rsidR="004C59AD">
        <w:rPr>
          <w:szCs w:val="24"/>
        </w:rPr>
        <w:t xml:space="preserve"> </w:t>
      </w:r>
      <w:r w:rsidRPr="1688D34F">
        <w:t>mudeli sarnaselt, kus</w:t>
      </w:r>
      <w:r w:rsidR="004C59AD">
        <w:rPr>
          <w:szCs w:val="24"/>
        </w:rPr>
        <w:t xml:space="preserve"> </w:t>
      </w:r>
      <w:r w:rsidRPr="1688D34F">
        <w:t>tegemist ongi majutusäri eesmärgil omandatud pinnaga</w:t>
      </w:r>
      <w:r w:rsidR="00AA2E55">
        <w:t>.</w:t>
      </w:r>
      <w:r w:rsidR="00703455" w:rsidRPr="1688D34F">
        <w:rPr>
          <w:vertAlign w:val="superscript"/>
        </w:rPr>
        <w:footnoteReference w:id="24"/>
      </w:r>
    </w:p>
    <w:p w14:paraId="6A94656C" w14:textId="548BCE2D" w:rsidR="007967CC" w:rsidRPr="00A8249E" w:rsidRDefault="007967CC" w:rsidP="007967CC">
      <w:pPr>
        <w:jc w:val="both"/>
        <w:rPr>
          <w:szCs w:val="24"/>
        </w:rPr>
      </w:pPr>
      <w:r w:rsidRPr="00A8249E">
        <w:rPr>
          <w:szCs w:val="24"/>
        </w:rPr>
        <w:t>Uueks viimase 10 aasta jooksul esilekerkinud figuuriks</w:t>
      </w:r>
      <w:r w:rsidR="004C59AD">
        <w:rPr>
          <w:szCs w:val="24"/>
        </w:rPr>
        <w:t xml:space="preserve"> </w:t>
      </w:r>
      <w:r w:rsidRPr="00A8249E">
        <w:rPr>
          <w:szCs w:val="24"/>
        </w:rPr>
        <w:t xml:space="preserve">on mitmeid külaliskortereid omav inimene, kes üürib neid välja kas füüsilise isiku või firmana. Osadel juhtudel ta elatubki sellest tegevusest, aga </w:t>
      </w:r>
      <w:r w:rsidR="00DC288F">
        <w:rPr>
          <w:szCs w:val="24"/>
        </w:rPr>
        <w:t>sagedamini</w:t>
      </w:r>
      <w:r w:rsidRPr="00A8249E">
        <w:rPr>
          <w:szCs w:val="24"/>
        </w:rPr>
        <w:t xml:space="preserve"> pole tal siiski nii suures koguses väljaüüritavat pinda, et üürimistegevus saaks olla tema püsisissetuleku allikaks. Sel juhul jaotab lühiajalise üüri teenuse pakkuja oma aega mingit muud laadi põhitegevuse ja külaliskorterite väljaüürimisel põhineva äri vahel.</w:t>
      </w:r>
    </w:p>
    <w:p w14:paraId="5ECC3CA1" w14:textId="7B75BAEC" w:rsidR="007967CC" w:rsidRPr="00A8249E" w:rsidRDefault="007967CC" w:rsidP="007967CC">
      <w:pPr>
        <w:jc w:val="both"/>
      </w:pPr>
      <w:r w:rsidRPr="00A8249E">
        <w:rPr>
          <w:szCs w:val="24"/>
        </w:rPr>
        <w:t>Pakkumise suurenemisel ja mitmekesistumisel majutussektoris on rida positiivseid tulemusi.</w:t>
      </w:r>
      <w:r w:rsidR="004C59AD">
        <w:rPr>
          <w:szCs w:val="24"/>
        </w:rPr>
        <w:t xml:space="preserve"> </w:t>
      </w:r>
      <w:r w:rsidRPr="00A8249E">
        <w:rPr>
          <w:szCs w:val="24"/>
        </w:rPr>
        <w:t>Laieneb teenuste spekter, see</w:t>
      </w:r>
      <w:r w:rsidR="004C59AD">
        <w:rPr>
          <w:szCs w:val="24"/>
        </w:rPr>
        <w:t xml:space="preserve"> </w:t>
      </w:r>
      <w:r w:rsidRPr="00A8249E">
        <w:rPr>
          <w:szCs w:val="24"/>
        </w:rPr>
        <w:t>sisaldab hinna ja teenuse kvaliteedi vahekorra poolest erinevaid variante. Klient saab leida talle asukohalt sobivaima ööbimispaiga, valida, kas ta soovib majutust näiteks koos hommikusöögiga või mitt</w:t>
      </w:r>
      <w:r w:rsidR="00BE0D8B">
        <w:rPr>
          <w:szCs w:val="24"/>
        </w:rPr>
        <w:t>e</w:t>
      </w:r>
      <w:r w:rsidRPr="00A8249E">
        <w:rPr>
          <w:szCs w:val="24"/>
        </w:rPr>
        <w:t xml:space="preserve"> jne. See</w:t>
      </w:r>
      <w:r w:rsidR="004C59AD">
        <w:rPr>
          <w:szCs w:val="24"/>
        </w:rPr>
        <w:t xml:space="preserve"> </w:t>
      </w:r>
      <w:r w:rsidRPr="00A8249E">
        <w:rPr>
          <w:szCs w:val="24"/>
        </w:rPr>
        <w:t xml:space="preserve">suurendab reisisihtkohtade atraktiivsust külastajate jaoks, aitab kaasa turismimajanduse arengule. </w:t>
      </w:r>
      <w:r w:rsidRPr="00A8249E">
        <w:rPr>
          <w:b/>
          <w:bCs/>
          <w:szCs w:val="24"/>
        </w:rPr>
        <w:t>Suurenev konkurents avaldab stimuleerivat mõju</w:t>
      </w:r>
      <w:r w:rsidRPr="00A8249E">
        <w:rPr>
          <w:szCs w:val="24"/>
        </w:rPr>
        <w:t xml:space="preserve"> kõikidele majutusteenuse pakkujate gruppidele, sunnib neid oma tegevust täiustama ja looma eristavaid tegureid, mis motiveeriks kliente just nende teenust eelistama.</w:t>
      </w:r>
      <w:r w:rsidR="000C4C07">
        <w:t xml:space="preserve"> </w:t>
      </w:r>
      <w:r>
        <w:t>Probleemseks võib olukord muutuda siis, kui lühiajalise</w:t>
      </w:r>
      <w:r w:rsidR="512C509F">
        <w:t>le</w:t>
      </w:r>
      <w:r>
        <w:t xml:space="preserve"> üürile </w:t>
      </w:r>
      <w:r w:rsidR="00BE0D8B">
        <w:t>orienteerunud</w:t>
      </w:r>
      <w:r>
        <w:t xml:space="preserve"> külaliskorterite massilisem ekspansioon satub vastuollu omavalitsuste taotlustega hoida pikaajalised üürid inimeste jaoks taskukohased ja soosida püsielanikkonda.</w:t>
      </w:r>
    </w:p>
    <w:p w14:paraId="7008E20A" w14:textId="46725EBE" w:rsidR="00E34337" w:rsidRPr="00A8249E" w:rsidRDefault="007967CC" w:rsidP="007967CC">
      <w:pPr>
        <w:jc w:val="both"/>
        <w:rPr>
          <w:szCs w:val="24"/>
        </w:rPr>
      </w:pPr>
      <w:r>
        <w:t>Nii nagu ka mitmetes teistes</w:t>
      </w:r>
      <w:r w:rsidR="004C59AD">
        <w:t xml:space="preserve"> </w:t>
      </w:r>
      <w:r>
        <w:t xml:space="preserve">valdkondades tegutsevad </w:t>
      </w:r>
      <w:r w:rsidR="00DF7F00">
        <w:t>platvormid</w:t>
      </w:r>
      <w:r w:rsidR="6E80715B">
        <w:t>,</w:t>
      </w:r>
      <w:r>
        <w:t xml:space="preserve"> on ka majutusteenuse vahendamisele </w:t>
      </w:r>
      <w:r w:rsidR="00DF7F00">
        <w:t>orienteerunud</w:t>
      </w:r>
      <w:r>
        <w:t xml:space="preserve"> platvormid</w:t>
      </w:r>
      <w:r w:rsidR="004C59AD">
        <w:t xml:space="preserve"> </w:t>
      </w:r>
      <w:r>
        <w:t>olnud väga</w:t>
      </w:r>
      <w:r w:rsidR="004C59AD">
        <w:t xml:space="preserve"> </w:t>
      </w:r>
      <w:r>
        <w:t>loovad</w:t>
      </w:r>
      <w:r w:rsidR="004C59AD">
        <w:t xml:space="preserve"> </w:t>
      </w:r>
      <w:r>
        <w:t>saamaks hakkama</w:t>
      </w:r>
      <w:r w:rsidR="004C59AD">
        <w:t xml:space="preserve"> </w:t>
      </w:r>
      <w:r>
        <w:t>erinevate informatsioonitõrgetest tekkida võivate</w:t>
      </w:r>
      <w:r w:rsidR="004C59AD">
        <w:t xml:space="preserve"> </w:t>
      </w:r>
      <w:r>
        <w:t>probleemi</w:t>
      </w:r>
      <w:r w:rsidR="7C27DDA2">
        <w:t>de</w:t>
      </w:r>
      <w:r>
        <w:t>ga.</w:t>
      </w:r>
      <w:r w:rsidR="004C59AD">
        <w:t xml:space="preserve"> </w:t>
      </w:r>
      <w:r>
        <w:t>“K</w:t>
      </w:r>
      <w:r w:rsidR="00DF7F00">
        <w:t>a</w:t>
      </w:r>
      <w:r>
        <w:t>ugjuhtimise” teel pakutava teenuse kvaliteedi osas valitses esialgu küllalt suur ebakindlus, mis raskendas tarbijatel otsuste tegemist. Platvormteenuste täiustamise teel on suudetud seda ebakindlust tunduvalt maha võtta, potentsiaalne platvormikasutaja saab praegu juba küllalt hea ülevaate osutatava teenuse tingimustest ja teda ees ootavast keskkonnast ning teravaid konflikte kliendi petta saamise ainetel ei ole palju.</w:t>
      </w:r>
      <w:r w:rsidR="00581E03">
        <w:rPr>
          <w:szCs w:val="24"/>
        </w:rPr>
        <w:t xml:space="preserve"> </w:t>
      </w:r>
      <w:bookmarkStart w:id="63" w:name="_Toc208989868"/>
      <w:r w:rsidRPr="00A8249E">
        <w:rPr>
          <w:szCs w:val="24"/>
        </w:rPr>
        <w:t xml:space="preserve">Ka küsimus platvormide vahendusel osutatavate teenuste maksustamisest on suudetud lahendada tavaliselt viisil, mis rahuldab riigivõime, kes enam ei ole seisukohal, et platvormide abil osutatavate teenuste maksustamisest saab ta oluliselt vähem maksutulu kui </w:t>
      </w:r>
      <w:r w:rsidRPr="00A8249E">
        <w:rPr>
          <w:szCs w:val="24"/>
        </w:rPr>
        <w:lastRenderedPageBreak/>
        <w:t>analoogilisi teenuseid osutavate “klassikalise” ärimudeli baasil tegutsevate firmade maksustamisest. See ei tähenda küll, et</w:t>
      </w:r>
      <w:r w:rsidR="004C59AD">
        <w:rPr>
          <w:szCs w:val="24"/>
        </w:rPr>
        <w:t xml:space="preserve"> </w:t>
      </w:r>
      <w:r w:rsidRPr="00A8249E">
        <w:rPr>
          <w:bCs/>
          <w:szCs w:val="24"/>
        </w:rPr>
        <w:t>platvormide endi maksustamise probleemid oleksid lahendatud või lähenemas lahenemisele.</w:t>
      </w:r>
      <w:bookmarkEnd w:id="63"/>
    </w:p>
    <w:p w14:paraId="17E47F11" w14:textId="77777777" w:rsidR="00055FF5" w:rsidRPr="001E44AD" w:rsidRDefault="00055FF5" w:rsidP="00055FF5">
      <w:pPr>
        <w:keepNext/>
        <w:keepLines/>
        <w:numPr>
          <w:ilvl w:val="1"/>
          <w:numId w:val="9"/>
        </w:numPr>
        <w:tabs>
          <w:tab w:val="num" w:pos="360"/>
        </w:tabs>
        <w:spacing w:before="200" w:after="120" w:line="264" w:lineRule="auto"/>
        <w:ind w:left="0" w:firstLine="0"/>
        <w:contextualSpacing/>
        <w:outlineLvl w:val="1"/>
        <w:rPr>
          <w:rFonts w:asciiTheme="majorHAnsi" w:eastAsiaTheme="majorEastAsia" w:hAnsiTheme="majorHAnsi" w:cstheme="majorBidi" w:hint="eastAsia"/>
          <w:color w:val="1A1A1A" w:themeColor="accent1" w:themeShade="BF"/>
          <w:sz w:val="28"/>
          <w:szCs w:val="28"/>
        </w:rPr>
      </w:pPr>
      <w:bookmarkStart w:id="64" w:name="_Toc208955491"/>
      <w:bookmarkStart w:id="65" w:name="_Toc208991586"/>
      <w:bookmarkStart w:id="66" w:name="_Toc197718052"/>
      <w:bookmarkStart w:id="67" w:name="_Toc192009864"/>
      <w:bookmarkEnd w:id="64"/>
      <w:r w:rsidRPr="288A3578">
        <w:rPr>
          <w:rFonts w:asciiTheme="majorHAnsi" w:eastAsiaTheme="majorEastAsia" w:hAnsiTheme="majorHAnsi" w:cstheme="majorBidi"/>
          <w:color w:val="1A1A1A"/>
          <w:sz w:val="28"/>
          <w:szCs w:val="28"/>
        </w:rPr>
        <w:t>Lühiajaline üürimine Eesti õigusruumis</w:t>
      </w:r>
      <w:bookmarkEnd w:id="65"/>
    </w:p>
    <w:p w14:paraId="74483274" w14:textId="687B9F84" w:rsidR="001E44AD" w:rsidRPr="00E14EBC" w:rsidRDefault="001E44AD" w:rsidP="001E44AD">
      <w:pPr>
        <w:pStyle w:val="MintBlock"/>
      </w:pPr>
      <w:r w:rsidRPr="00772186">
        <w:rPr>
          <w:b/>
          <w:bCs/>
        </w:rPr>
        <w:t>Lühiajalise üüri teenus ei ole Eesti õiguses määratletud kui eraldiseisev juriidiline mõiste</w:t>
      </w:r>
      <w:r>
        <w:t>. Lühiajalise üürimise teenus langeb sisuliselt kahe õiguskäsitluse – üürimise ja majutusteenuse – piirialale. Peamised kohaldatavad normid tulenevad VÕS</w:t>
      </w:r>
      <w:r w:rsidR="00DF6542">
        <w:t>-st</w:t>
      </w:r>
      <w:r>
        <w:t>, TurS</w:t>
      </w:r>
      <w:r w:rsidR="00DF6542">
        <w:t>-st</w:t>
      </w:r>
      <w:r>
        <w:t>, EhS</w:t>
      </w:r>
      <w:r w:rsidR="00DF6542">
        <w:t>-st</w:t>
      </w:r>
      <w:r>
        <w:t xml:space="preserve">, erinevatest valdkondlikest määrustest ning EL tasandi regulatsioonidest. </w:t>
      </w:r>
    </w:p>
    <w:p w14:paraId="10C49018" w14:textId="77777777" w:rsidR="001E44AD" w:rsidRPr="00E14EBC" w:rsidRDefault="001E44AD" w:rsidP="001E44AD">
      <w:pPr>
        <w:pStyle w:val="MintBlock"/>
      </w:pPr>
    </w:p>
    <w:p w14:paraId="5FD8973F" w14:textId="77777777" w:rsidR="001E44AD" w:rsidRPr="00E14EBC" w:rsidRDefault="001E44AD" w:rsidP="001E44AD">
      <w:pPr>
        <w:pStyle w:val="MintBlock"/>
      </w:pPr>
      <w:r>
        <w:t>Lühiajalise üüri teenuse kvalifitseerimine üürisuhtena või majutusteenusena sõltub teenuse sisust, iseloomust ja ärilisest eesmärgist. Kui teenus hõlmab selliseid elemente, nagu voodipesu, koristus, ööpäevaringne broneerimine, ning seda tehakse järjepidevalt, siis on sisuliselt tegemist majutusteenuse osutamisega. Kui aga ruum antakse lihtsalt valdamiseks ja kasutamiseks ilma teenuse elemendita, võib käsitleda seda üürina. Mida lühem ja ajaliselt määratletum on periood, seda tõenäolisem on, et tegemist on majutusteenusega, mitte klassikalise üürilepinguga.</w:t>
      </w:r>
    </w:p>
    <w:p w14:paraId="132F4460" w14:textId="77777777" w:rsidR="001E44AD" w:rsidRPr="00E14EBC" w:rsidRDefault="001E44AD" w:rsidP="001E44AD">
      <w:pPr>
        <w:pStyle w:val="MintBlock"/>
      </w:pPr>
    </w:p>
    <w:p w14:paraId="2AF8AB32" w14:textId="49A3D86F" w:rsidR="001E44AD" w:rsidRPr="00E14EBC" w:rsidRDefault="001E44AD" w:rsidP="001E44AD">
      <w:pPr>
        <w:pStyle w:val="MintBlock"/>
      </w:pPr>
      <w:r>
        <w:t xml:space="preserve">Teenuse kvalifitseerimisel üürimiseks või majutuseks tuleb arvestada, et majutusasutusele ja -teenuse osutamisele kehtivad täiendavad nõuded, mida eluruumile ja üürile andmisele ei rakendata. Lisaks on sellisel majutusteenuse pakkujal, kes on registreeritud vastava tegevusalaga äriregistris ning kel on vähemalt viis voodikohta, kohustus esitada SA-le andmeid teenuse kasutamise kohta (nt ööbijate arv, päritoluriik, ööbimiste kestus). Samuti on erinevused üüritehingu ja majutusteenuse maksustamisel. </w:t>
      </w:r>
    </w:p>
    <w:p w14:paraId="72196AC2" w14:textId="77777777" w:rsidR="00D745D1" w:rsidRPr="00E14EBC" w:rsidRDefault="00D745D1" w:rsidP="001E44AD">
      <w:pPr>
        <w:pStyle w:val="MintBlock"/>
      </w:pPr>
    </w:p>
    <w:p w14:paraId="5D380778" w14:textId="7D361BF7" w:rsidR="001E44AD" w:rsidRDefault="001E44AD" w:rsidP="001E44AD">
      <w:pPr>
        <w:pStyle w:val="MintBlock"/>
      </w:pPr>
      <w:r>
        <w:t xml:space="preserve">Lühiajalise üüri teenuse turgu puudutavad mitmed EL regulatsioonid, et saada paremaid andmeid turu kohta ja tõhusamalt maksustada teenuse osutajaid. Näiteks DAC7 direktiivi alusel edastavad platvormid maksuhaldurile teavet majutusteenuse pakkujate isikuandmete ja teenitud tulu kohta, eesmärgiga tagada maksukohustuste täitmine ja läbipaistvus. Alates 2026. aastast rakenduv määrus (EL) 2024/1028 annab liikmesriikidele raamistiku </w:t>
      </w:r>
      <w:r w:rsidRPr="1C92C443">
        <w:rPr>
          <w:rFonts w:ascii="Arial" w:hAnsi="Arial" w:cs="Arial"/>
        </w:rPr>
        <w:t xml:space="preserve">majutusteenuse pakkujate registreerimiskohustuse kehtestamiseks ning </w:t>
      </w:r>
      <w:r>
        <w:t xml:space="preserve">majutusteenuste kohta andmete kogumiseks. </w:t>
      </w:r>
    </w:p>
    <w:p w14:paraId="49835EEF" w14:textId="77777777" w:rsidR="001E44AD" w:rsidRDefault="001E44AD" w:rsidP="001E44AD">
      <w:pPr>
        <w:pStyle w:val="MintBlock"/>
      </w:pPr>
    </w:p>
    <w:p w14:paraId="0C7DF137" w14:textId="1B391DD8" w:rsidR="001E44AD" w:rsidRPr="00E14EBC" w:rsidRDefault="00024244" w:rsidP="00714680">
      <w:pPr>
        <w:pStyle w:val="MintBlock"/>
      </w:pPr>
      <w:bookmarkStart w:id="68" w:name="_Hlk208828108"/>
      <w:r w:rsidRPr="00D934F7">
        <w:t>Võttes arvesse, et antud uuring käsitleb</w:t>
      </w:r>
      <w:r w:rsidR="00C807FD" w:rsidRPr="00D934F7">
        <w:t xml:space="preserve"> </w:t>
      </w:r>
      <w:r w:rsidR="00EB28BE" w:rsidRPr="00D934F7">
        <w:t xml:space="preserve">majandustegevuse raames eluruumides </w:t>
      </w:r>
      <w:r w:rsidR="00416108" w:rsidRPr="00D934F7">
        <w:t>majutusteenuse pakkumist (vt ka järeldus peatük</w:t>
      </w:r>
      <w:r w:rsidR="00006DC2">
        <w:t>is</w:t>
      </w:r>
      <w:r w:rsidR="00416108" w:rsidRPr="00D934F7">
        <w:t xml:space="preserve"> 1.4), siis saab </w:t>
      </w:r>
      <w:r w:rsidR="00D934F7" w:rsidRPr="00D934F7">
        <w:t>k</w:t>
      </w:r>
      <w:r w:rsidR="001E44AD" w:rsidRPr="00D934F7">
        <w:t xml:space="preserve">okkuvõtvalt öelda, et </w:t>
      </w:r>
      <w:r w:rsidR="00D934F7" w:rsidRPr="00772186">
        <w:rPr>
          <w:b/>
          <w:bCs/>
        </w:rPr>
        <w:t>lühi</w:t>
      </w:r>
      <w:r w:rsidR="15469C2F" w:rsidRPr="00772186">
        <w:rPr>
          <w:b/>
          <w:bCs/>
        </w:rPr>
        <w:t>a</w:t>
      </w:r>
      <w:r w:rsidR="00D934F7" w:rsidRPr="00772186">
        <w:rPr>
          <w:b/>
          <w:bCs/>
        </w:rPr>
        <w:t xml:space="preserve">jalise üüri teenuse tarbeks ei </w:t>
      </w:r>
      <w:r w:rsidR="73ED4239" w:rsidRPr="00772186">
        <w:rPr>
          <w:b/>
          <w:bCs/>
        </w:rPr>
        <w:t xml:space="preserve">ole </w:t>
      </w:r>
      <w:r w:rsidR="001E44AD" w:rsidRPr="00772186">
        <w:rPr>
          <w:b/>
          <w:bCs/>
        </w:rPr>
        <w:t>vajadus</w:t>
      </w:r>
      <w:r w:rsidR="00D934F7" w:rsidRPr="00772186">
        <w:rPr>
          <w:b/>
          <w:bCs/>
        </w:rPr>
        <w:t>t</w:t>
      </w:r>
      <w:r w:rsidR="001E44AD" w:rsidRPr="00772186">
        <w:rPr>
          <w:b/>
          <w:bCs/>
        </w:rPr>
        <w:t xml:space="preserve"> luua uut võlaõiguslikku õigussuhet</w:t>
      </w:r>
      <w:r w:rsidR="001E44AD">
        <w:t xml:space="preserve">. Eesti õigusruumis on täna olemas õiguslik raamistik majutusteenuse osutamiseks ja vajalikud reeglid ning nõuded, milledest majutusteenuse </w:t>
      </w:r>
      <w:bookmarkEnd w:id="68"/>
      <w:r w:rsidR="001E44AD">
        <w:t xml:space="preserve">pakkujad peavad lähtuma. </w:t>
      </w:r>
    </w:p>
    <w:p w14:paraId="569B91B6" w14:textId="77777777" w:rsidR="001E44AD" w:rsidRPr="00E14EBC" w:rsidRDefault="001E44AD" w:rsidP="001E44AD">
      <w:pPr>
        <w:jc w:val="both"/>
      </w:pPr>
      <w:r>
        <w:t xml:space="preserve">Mõiste päritolu on seostatav eeskätt EL poliitikadokumentide ja õigusloomega, kus inglise keeles kasutatakse mitmeid kattuvaid termineid, nagu </w:t>
      </w:r>
      <w:r w:rsidRPr="288A3578">
        <w:rPr>
          <w:i/>
          <w:iCs/>
        </w:rPr>
        <w:t>short-term rental services</w:t>
      </w:r>
      <w:r>
        <w:t xml:space="preserve">, </w:t>
      </w:r>
      <w:r w:rsidRPr="288A3578">
        <w:rPr>
          <w:i/>
          <w:iCs/>
        </w:rPr>
        <w:t>short-term accommodation</w:t>
      </w:r>
      <w:r>
        <w:t xml:space="preserve"> ja </w:t>
      </w:r>
      <w:r w:rsidRPr="288A3578">
        <w:rPr>
          <w:i/>
          <w:iCs/>
        </w:rPr>
        <w:t>short-term letting</w:t>
      </w:r>
      <w:r>
        <w:t xml:space="preserve">. Nendest mõistetest on eesti keelde tõlgitud erinevaid vasteid, näiteks </w:t>
      </w:r>
      <w:r w:rsidRPr="288A3578">
        <w:rPr>
          <w:b/>
          <w:bCs/>
        </w:rPr>
        <w:t>„lühiajaline majutus“</w:t>
      </w:r>
      <w:r>
        <w:t xml:space="preserve">, </w:t>
      </w:r>
      <w:r w:rsidRPr="288A3578">
        <w:rPr>
          <w:b/>
          <w:bCs/>
        </w:rPr>
        <w:t>„lühiajalise majutuse renditeenus“</w:t>
      </w:r>
      <w:r>
        <w:t xml:space="preserve"> või </w:t>
      </w:r>
      <w:r w:rsidRPr="288A3578">
        <w:rPr>
          <w:b/>
          <w:bCs/>
        </w:rPr>
        <w:t>„lühiajalise majutuse üüriteenus“</w:t>
      </w:r>
      <w:r>
        <w:t>. Kõige selgem õiguslik viide sellele mõistekomplektile on Euroopa Komisjoni 2022. aasta määruse ettepanekus:</w:t>
      </w:r>
    </w:p>
    <w:p w14:paraId="2931DEF1" w14:textId="1FDBDDE0" w:rsidR="001E44AD" w:rsidRPr="00E14EBC" w:rsidRDefault="001E44AD" w:rsidP="001E44AD">
      <w:pPr>
        <w:pStyle w:val="ListParagraph"/>
        <w:numPr>
          <w:ilvl w:val="0"/>
          <w:numId w:val="38"/>
        </w:numPr>
        <w:jc w:val="both"/>
      </w:pPr>
      <w:r w:rsidRPr="00E14EBC">
        <w:lastRenderedPageBreak/>
        <w:t xml:space="preserve">Euroopa Komisjoni määruse ettepanek (COM(2022) 571 </w:t>
      </w:r>
      <w:r w:rsidRPr="004565CE">
        <w:rPr>
          <w:i/>
        </w:rPr>
        <w:t>final</w:t>
      </w:r>
      <w:r w:rsidRPr="00E14EBC">
        <w:rPr>
          <w:b/>
          <w:bCs/>
        </w:rPr>
        <w:t>)</w:t>
      </w:r>
      <w:r w:rsidRPr="00E14EBC">
        <w:t xml:space="preserve"> käsitleb </w:t>
      </w:r>
      <w:r w:rsidRPr="00E14EBC">
        <w:rPr>
          <w:b/>
          <w:bCs/>
        </w:rPr>
        <w:t>lühiajalise majutuse renditeenustega seotud andmete kogumist ja jagamist</w:t>
      </w:r>
      <w:r w:rsidRPr="00E14EBC">
        <w:t xml:space="preserve">, mille eesmärk on tagada paremad halduspraktikad, läbipaistvus ja õiglane konkurents. Ettepanekus kasutatakse inglise keeles terminit </w:t>
      </w:r>
      <w:r w:rsidRPr="00E14EBC">
        <w:rPr>
          <w:i/>
          <w:iCs/>
        </w:rPr>
        <w:t>short-term rental services</w:t>
      </w:r>
      <w:r w:rsidRPr="00E14EBC">
        <w:t xml:space="preserve"> ning ametlikus eestikeelses tõlkes on see esitatud kui </w:t>
      </w:r>
      <w:r w:rsidRPr="00E14EBC">
        <w:rPr>
          <w:b/>
          <w:bCs/>
        </w:rPr>
        <w:t>„lühiajalise majutuse renditeenus“</w:t>
      </w:r>
      <w:r w:rsidR="00A050C4" w:rsidRPr="00514229">
        <w:t>.</w:t>
      </w:r>
      <w:r w:rsidRPr="00514229">
        <w:rPr>
          <w:rStyle w:val="FootnoteReference"/>
        </w:rPr>
        <w:footnoteReference w:id="25"/>
      </w:r>
      <w:r w:rsidRPr="00E14EBC">
        <w:t xml:space="preserve"> See dokument on esimene EL-i määruse tasandi algatus, kus mõistet kasutatakse süsteemselt ja see on ka ametlikult eesti keelde tõlgitud.</w:t>
      </w:r>
    </w:p>
    <w:p w14:paraId="794285A2" w14:textId="77777777" w:rsidR="001E44AD" w:rsidRPr="00E14EBC" w:rsidRDefault="001E44AD" w:rsidP="001E44AD">
      <w:pPr>
        <w:pStyle w:val="ListParagraph"/>
        <w:numPr>
          <w:ilvl w:val="0"/>
          <w:numId w:val="38"/>
        </w:numPr>
        <w:jc w:val="both"/>
        <w:rPr>
          <w:rFonts w:ascii="Arial" w:eastAsia="Arial" w:hAnsi="Arial" w:cs="Arial"/>
        </w:rPr>
      </w:pPr>
      <w:r w:rsidRPr="288A3578">
        <w:rPr>
          <w:rFonts w:ascii="Arial" w:eastAsia="Arial" w:hAnsi="Arial" w:cs="Arial"/>
        </w:rPr>
        <w:t>Nimetatud ettepaneku järgselt vastu võetud Euroopa Parlamendi ja nõukogu määruse (EL) 2024/1028 tõlkes on kasutatud terminit „</w:t>
      </w:r>
      <w:r w:rsidRPr="288A3578">
        <w:rPr>
          <w:rFonts w:ascii="Arial" w:eastAsia="Arial" w:hAnsi="Arial" w:cs="Arial"/>
          <w:b/>
          <w:bCs/>
        </w:rPr>
        <w:t>lühiajalise majutuse üüriteenus</w:t>
      </w:r>
      <w:r w:rsidRPr="288A3578">
        <w:rPr>
          <w:rFonts w:ascii="Arial" w:eastAsia="Arial" w:hAnsi="Arial" w:cs="Arial"/>
        </w:rPr>
        <w:t>“, mis on art.3 p 4 kohaselt majutuskoha lühiajaline üürile andmine, mida tehakse tasu eest kutsetegevuse raames või väljaspool seda pidevalt või ajutiselt, nagu on täpsemalt määratletud riiklikus õiguses.</w:t>
      </w:r>
      <w:r w:rsidRPr="288A3578">
        <w:rPr>
          <w:rStyle w:val="FootnoteReference"/>
          <w:rFonts w:ascii="Arial" w:eastAsia="Arial" w:hAnsi="Arial" w:cs="Arial"/>
        </w:rPr>
        <w:footnoteReference w:id="26"/>
      </w:r>
    </w:p>
    <w:p w14:paraId="080DA000" w14:textId="77777777" w:rsidR="001E44AD" w:rsidRPr="00E14EBC" w:rsidRDefault="001E44AD" w:rsidP="001E44AD">
      <w:pPr>
        <w:jc w:val="both"/>
      </w:pPr>
      <w:r w:rsidRPr="00E14EBC">
        <w:t>Varasemalt on mõiste omakorda välja arendatud Euroopa Komisjoni laiemast poliitikadokumendist:</w:t>
      </w:r>
    </w:p>
    <w:p w14:paraId="0DBFD521" w14:textId="50DB99B0" w:rsidR="001E44AD" w:rsidRPr="00E14EBC" w:rsidRDefault="001E44AD" w:rsidP="001E44AD">
      <w:pPr>
        <w:numPr>
          <w:ilvl w:val="0"/>
          <w:numId w:val="31"/>
        </w:numPr>
        <w:jc w:val="both"/>
      </w:pPr>
      <w:r w:rsidRPr="00E14EBC">
        <w:rPr>
          <w:rFonts w:ascii="Arial" w:eastAsia="Arial" w:hAnsi="Arial" w:cs="Arial"/>
          <w:szCs w:val="24"/>
        </w:rPr>
        <w:t xml:space="preserve">Euroopa Komisjoni teatis „Euroopa jagamismajanduse tegevuskava“ (COM(2016) 356 final) tutvustab jagamismajanduse üldiseid põhimõtteid ja toob esile majutusteenused kui ühe võtmesektori. Dokumendis kasutatakse ingliskeelset terminit </w:t>
      </w:r>
      <w:r w:rsidRPr="00E14EBC">
        <w:rPr>
          <w:rFonts w:ascii="Arial" w:eastAsia="Arial" w:hAnsi="Arial" w:cs="Arial"/>
          <w:i/>
          <w:iCs/>
          <w:szCs w:val="24"/>
        </w:rPr>
        <w:t>short-term rental accommodation</w:t>
      </w:r>
      <w:r w:rsidRPr="00E14EBC">
        <w:t xml:space="preserve">, mille eesti keelde tõlgitud vasteks on </w:t>
      </w:r>
      <w:r w:rsidRPr="00E14EBC">
        <w:rPr>
          <w:b/>
          <w:bCs/>
        </w:rPr>
        <w:t>„lühiajaline majutus“</w:t>
      </w:r>
      <w:r w:rsidRPr="00E14EBC">
        <w:t xml:space="preserve"> või </w:t>
      </w:r>
      <w:r w:rsidRPr="00E14EBC">
        <w:rPr>
          <w:b/>
          <w:bCs/>
        </w:rPr>
        <w:t>„lühiajaline majutusteenus“</w:t>
      </w:r>
      <w:r w:rsidR="00A050C4" w:rsidRPr="00514229">
        <w:t>.</w:t>
      </w:r>
      <w:r w:rsidRPr="00514229">
        <w:rPr>
          <w:rStyle w:val="FootnoteReference"/>
        </w:rPr>
        <w:footnoteReference w:id="27"/>
      </w:r>
    </w:p>
    <w:p w14:paraId="135FFE26" w14:textId="3D418974" w:rsidR="001E44AD" w:rsidRPr="00E14EBC" w:rsidRDefault="001E44AD" w:rsidP="001E44AD">
      <w:pPr>
        <w:jc w:val="both"/>
      </w:pPr>
      <w:r w:rsidRPr="00E14EBC">
        <w:t xml:space="preserve">Lisaks on Euroopa Majandus- ja Sotsiaalkomitee oma arvamustes käsitlenud vajadust lühiajalise majutuse sektori reguleerimise järele, kasutades sarnaseid mõisteid nagu </w:t>
      </w:r>
      <w:r w:rsidRPr="00E14EBC">
        <w:rPr>
          <w:b/>
          <w:bCs/>
        </w:rPr>
        <w:t>„lühiajalise majutuse üüriteenus“</w:t>
      </w:r>
      <w:r w:rsidR="00A050C4" w:rsidRPr="00C7216E">
        <w:t>.</w:t>
      </w:r>
      <w:r w:rsidRPr="00C7216E">
        <w:rPr>
          <w:rStyle w:val="FootnoteReference"/>
        </w:rPr>
        <w:footnoteReference w:id="28"/>
      </w:r>
    </w:p>
    <w:p w14:paraId="64A5C341" w14:textId="77777777" w:rsidR="001E44AD" w:rsidRPr="00E14EBC" w:rsidRDefault="001E44AD" w:rsidP="001E44AD">
      <w:pPr>
        <w:jc w:val="both"/>
      </w:pPr>
      <w:r>
        <w:t xml:space="preserve">Kokkuvõttes võib öelda, et mõiste „lühiajalise üüri teenus“ on Eesti õigusruumis hetkel </w:t>
      </w:r>
      <w:r w:rsidRPr="288A3578">
        <w:rPr>
          <w:b/>
          <w:bCs/>
        </w:rPr>
        <w:t>tõlkeliselt kujunenud termin</w:t>
      </w:r>
      <w:r>
        <w:t>. Selle kasutamine põhineb rahvusvahelises õiguses, eriti EL dokumentides kasutatud ingliskeelsete mõistete tõlgetel ja tõlgendustel. Eesti õiguses puudub selle mõiste ametlik definitsioon.</w:t>
      </w:r>
    </w:p>
    <w:p w14:paraId="46409172" w14:textId="77777777" w:rsidR="001E44AD" w:rsidRPr="00E14EBC" w:rsidRDefault="001E44AD" w:rsidP="001E44AD">
      <w:pPr>
        <w:jc w:val="both"/>
      </w:pPr>
      <w:r>
        <w:t xml:space="preserve">Analüüsimaks kuidas käsitleda lühiajalise üüri teenuseid tänases õigusruumis, tuleb silmas pidada, et selle teenuse puhul ei ole tegemist uut tüüpi ärimudeliga, kuid tänu jagamis- ja platvormimajanduse tekkele on arenenud üürileandja ja üürniku kokku viimise võimalused. Nende omavahelistes õigussuhetes ei ole seejuures mingeid muutusi toimunud. Oma sisult jääb lühiajalise üüri teenus </w:t>
      </w:r>
      <w:r w:rsidRPr="06639471">
        <w:rPr>
          <w:b/>
          <w:bCs/>
        </w:rPr>
        <w:t>ajutise majutamise ja üüri teenuse osutamise piirialale</w:t>
      </w:r>
      <w:r>
        <w:t xml:space="preserve">, mistõttu on selle </w:t>
      </w:r>
      <w:r>
        <w:lastRenderedPageBreak/>
        <w:t>käsitlemine õigusruumis nüansirohke ning asjakohane on vaadelda nii üürimisele kui majutusteenusele rakenduvaid norme.</w:t>
      </w:r>
    </w:p>
    <w:p w14:paraId="36188D6B" w14:textId="77777777" w:rsidR="001E44AD" w:rsidRPr="00E14EBC" w:rsidRDefault="001E44AD" w:rsidP="001E44AD">
      <w:pPr>
        <w:pStyle w:val="Heading3"/>
        <w:ind w:left="540"/>
        <w:rPr>
          <w:rStyle w:val="PurpleText"/>
          <w:rFonts w:hint="eastAsia"/>
          <w:color w:val="auto"/>
        </w:rPr>
      </w:pPr>
      <w:bookmarkStart w:id="69" w:name="_Toc197718053"/>
      <w:bookmarkStart w:id="70" w:name="_Toc208991587"/>
      <w:r w:rsidRPr="00E14EBC">
        <w:rPr>
          <w:rStyle w:val="PurpleText"/>
          <w:color w:val="auto"/>
        </w:rPr>
        <w:t>Üürimisele rakenduvad normid</w:t>
      </w:r>
      <w:bookmarkEnd w:id="69"/>
      <w:bookmarkEnd w:id="70"/>
    </w:p>
    <w:p w14:paraId="66F614E4" w14:textId="292ABFFA" w:rsidR="001E44AD" w:rsidRPr="00E14EBC" w:rsidRDefault="001E44AD" w:rsidP="001E44AD">
      <w:pPr>
        <w:jc w:val="both"/>
      </w:pPr>
      <w:r w:rsidRPr="00E14EBC">
        <w:t>Üürimine kui tehing on VÕS-i</w:t>
      </w:r>
      <w:r w:rsidRPr="00E14EBC">
        <w:rPr>
          <w:vertAlign w:val="superscript"/>
        </w:rPr>
        <w:footnoteReference w:id="29"/>
      </w:r>
      <w:r w:rsidRPr="00E14EBC">
        <w:t xml:space="preserve"> kohaselt vara kasutusse andmine ja seda reguleeritakse VÕS</w:t>
      </w:r>
      <w:r w:rsidR="00FF6BBA">
        <w:t>-i</w:t>
      </w:r>
      <w:r w:rsidRPr="00E14EBC">
        <w:t xml:space="preserve"> 3. osa</w:t>
      </w:r>
      <w:r w:rsidR="004F763F">
        <w:t xml:space="preserve"> (</w:t>
      </w:r>
      <w:r w:rsidRPr="00E14EBC">
        <w:t>kasutuslepingud</w:t>
      </w:r>
      <w:r w:rsidR="004F763F">
        <w:t>)</w:t>
      </w:r>
      <w:r w:rsidRPr="00E14EBC">
        <w:t xml:space="preserve"> 15. peatükis </w:t>
      </w:r>
      <w:r w:rsidR="004F763F">
        <w:t>(</w:t>
      </w:r>
      <w:r w:rsidRPr="00E14EBC">
        <w:t>üürileping</w:t>
      </w:r>
      <w:r w:rsidR="004F763F">
        <w:t>)</w:t>
      </w:r>
      <w:r w:rsidRPr="00E14EBC">
        <w:t xml:space="preserve"> olevate sätete alusel. Teenuste osutamise lepingud on koondatud VÕS-i 8. osa, teenuste osutamise lepingud alla. VÕS-is ei käsitleta majutusteenuse osutamist ega selleks sõlmitud lepinguid.</w:t>
      </w:r>
    </w:p>
    <w:p w14:paraId="098C5290" w14:textId="6813AB0A" w:rsidR="001E44AD" w:rsidRPr="00E14EBC" w:rsidRDefault="001E44AD" w:rsidP="001E44AD">
      <w:pPr>
        <w:spacing w:after="0"/>
        <w:jc w:val="both"/>
        <w:rPr>
          <w:rFonts w:ascii="Arial" w:hAnsi="Arial" w:cs="Arial"/>
        </w:rPr>
      </w:pPr>
      <w:r w:rsidRPr="06639471">
        <w:rPr>
          <w:rFonts w:ascii="Arial" w:hAnsi="Arial" w:cs="Arial"/>
        </w:rPr>
        <w:t>VÕS</w:t>
      </w:r>
      <w:r w:rsidR="00DF6542">
        <w:rPr>
          <w:rFonts w:ascii="Arial" w:hAnsi="Arial" w:cs="Arial"/>
        </w:rPr>
        <w:t>-i</w:t>
      </w:r>
      <w:r w:rsidRPr="06639471">
        <w:rPr>
          <w:rFonts w:ascii="Arial" w:hAnsi="Arial" w:cs="Arial"/>
        </w:rPr>
        <w:t xml:space="preserve"> §271 kohaselt kohustub üks isik (üürileandja) üürilepinguga andma teisele isikule (üürnikule) kasutamiseks asja ja üürnik kohustub maksma üürileandjale selle eest tasu (üüri). Siit tuletades (koosmõjus VÕS</w:t>
      </w:r>
      <w:r w:rsidR="00DF6542">
        <w:rPr>
          <w:rFonts w:ascii="Arial" w:hAnsi="Arial" w:cs="Arial"/>
        </w:rPr>
        <w:t>-i</w:t>
      </w:r>
      <w:r w:rsidRPr="06639471">
        <w:rPr>
          <w:rFonts w:ascii="Arial" w:hAnsi="Arial" w:cs="Arial"/>
        </w:rPr>
        <w:t xml:space="preserve"> §339</w:t>
      </w:r>
      <w:r w:rsidR="00DF6542">
        <w:rPr>
          <w:rFonts w:ascii="Arial" w:hAnsi="Arial" w:cs="Arial"/>
        </w:rPr>
        <w:t>,</w:t>
      </w:r>
      <w:r w:rsidRPr="06639471">
        <w:rPr>
          <w:rFonts w:ascii="Arial" w:hAnsi="Arial" w:cs="Arial"/>
        </w:rPr>
        <w:t xml:space="preserve"> Rendilepingu mõiste) on </w:t>
      </w:r>
      <w:r w:rsidRPr="06639471">
        <w:rPr>
          <w:rFonts w:ascii="Arial" w:hAnsi="Arial" w:cs="Arial"/>
          <w:b/>
          <w:bCs/>
        </w:rPr>
        <w:t>üürimine asja tasu eest kasutada andmine selliselt, et kasutajal ei ole õigust üüritud asja majandada</w:t>
      </w:r>
      <w:r w:rsidRPr="06639471">
        <w:rPr>
          <w:rFonts w:ascii="Arial" w:hAnsi="Arial" w:cs="Arial"/>
        </w:rPr>
        <w:t>.</w:t>
      </w:r>
    </w:p>
    <w:p w14:paraId="674808B8" w14:textId="799DB0CA" w:rsidR="001E44AD" w:rsidRPr="00E14EBC" w:rsidRDefault="001E44AD" w:rsidP="001E44AD">
      <w:pPr>
        <w:jc w:val="both"/>
        <w:rPr>
          <w:rFonts w:ascii="Arial" w:hAnsi="Arial" w:cs="Arial"/>
        </w:rPr>
      </w:pPr>
      <w:r w:rsidRPr="06639471">
        <w:rPr>
          <w:rFonts w:ascii="Arial" w:hAnsi="Arial" w:cs="Arial"/>
        </w:rPr>
        <w:t xml:space="preserve">Üürileandja ja üürniku vahel tekib lepinguline suhe ka juhul, kui nad omavahel otseselt kokku ei puutu ja tehing sõlmitakse kellegi vahendusel, nt platvormid nagu Airbnb, Booking jms. </w:t>
      </w:r>
      <w:r>
        <w:t xml:space="preserve">Vahendajad ei ole üürisuhte pooleks, sest reeglina ei ole nad üürile andjad ega üürnikud. </w:t>
      </w:r>
      <w:r w:rsidRPr="06639471">
        <w:rPr>
          <w:rFonts w:ascii="Arial" w:hAnsi="Arial" w:cs="Arial"/>
        </w:rPr>
        <w:t>Vahendaja ja üürileandja vahel on sellisel juhul sõlmitud maaklerleping VÕS</w:t>
      </w:r>
      <w:r w:rsidR="00DF6542">
        <w:rPr>
          <w:rFonts w:ascii="Arial" w:hAnsi="Arial" w:cs="Arial"/>
        </w:rPr>
        <w:t>-i</w:t>
      </w:r>
      <w:r w:rsidRPr="06639471">
        <w:rPr>
          <w:rFonts w:ascii="Arial" w:hAnsi="Arial" w:cs="Arial"/>
        </w:rPr>
        <w:t xml:space="preserve"> §658 lg1 tähenduses, kus Airbnb, Booking vms platvorm vahendab üürileandjale lepingu sõlmimist kolmandale isikule (üürnikule). Kui leping on sõlmitud vahendaja kaudu (Airbnb, Booking jms), siis vahendaja saab olla üürilepingu pooleks ainult siis, kui ta on ise üüritava asja omanik või kui ta ise on üürnik.</w:t>
      </w:r>
    </w:p>
    <w:p w14:paraId="518373B4" w14:textId="77777777" w:rsidR="001E44AD" w:rsidRPr="00E14EBC" w:rsidRDefault="001E44AD" w:rsidP="001E44AD">
      <w:pPr>
        <w:jc w:val="both"/>
        <w:rPr>
          <w:rStyle w:val="PurpleText"/>
        </w:rPr>
      </w:pPr>
      <w:r w:rsidRPr="00E14EBC">
        <w:rPr>
          <w:rStyle w:val="PurpleText"/>
        </w:rPr>
        <w:t>VÕS-i rakendumine majutusteenuse pakkumisel</w:t>
      </w:r>
    </w:p>
    <w:p w14:paraId="3AFA99B5" w14:textId="55210E1E" w:rsidR="001E44AD" w:rsidRPr="00E14EBC" w:rsidRDefault="001E44AD" w:rsidP="001E44AD">
      <w:pPr>
        <w:jc w:val="both"/>
      </w:pPr>
      <w:r>
        <w:t>Praktikas kasutatakse lühiajalise üüri teenuse osutamiseks enamasti eluruume (ehk elamu või korter, mis on kasutatav alaliseks elamiseks) ja vahel ka äriruume (ehk majandus- või kutsetegevuses kasutatav ruum). VÕS</w:t>
      </w:r>
      <w:r w:rsidR="002D5E02">
        <w:t>-i</w:t>
      </w:r>
      <w:r>
        <w:t xml:space="preserve"> 15. peatükis üürisuhtele ja -lepingutele sätestatud tingimused </w:t>
      </w:r>
      <w:r w:rsidRPr="06639471">
        <w:rPr>
          <w:b/>
          <w:bCs/>
        </w:rPr>
        <w:t>kehtivad mõlemate, st nii eluruumide kui äriruumide</w:t>
      </w:r>
      <w:r>
        <w:t xml:space="preserve">, kohta. </w:t>
      </w:r>
    </w:p>
    <w:p w14:paraId="3AE77C03" w14:textId="0C2BC9F9" w:rsidR="001E44AD" w:rsidRPr="00E14EBC" w:rsidRDefault="001E44AD" w:rsidP="001E44AD">
      <w:pPr>
        <w:jc w:val="both"/>
        <w:rPr>
          <w:rFonts w:ascii="Arial" w:hAnsi="Arial" w:cs="Arial"/>
        </w:rPr>
      </w:pPr>
      <w:r w:rsidRPr="00E14EBC">
        <w:t>Samas VÕS</w:t>
      </w:r>
      <w:r w:rsidR="00030554">
        <w:t>-i</w:t>
      </w:r>
      <w:r w:rsidRPr="00E14EBC">
        <w:t xml:space="preserve"> §272 lg4 p1 kohaselt </w:t>
      </w:r>
      <w:r w:rsidRPr="00E14EBC">
        <w:rPr>
          <w:b/>
          <w:bCs/>
        </w:rPr>
        <w:t xml:space="preserve">ei kehti </w:t>
      </w:r>
      <w:r w:rsidRPr="00E14EBC">
        <w:rPr>
          <w:rFonts w:ascii="Arial" w:hAnsi="Arial" w:cs="Arial"/>
        </w:rPr>
        <w:t xml:space="preserve">selles sätestatud nõuded </w:t>
      </w:r>
      <w:r w:rsidRPr="00E14EBC">
        <w:rPr>
          <w:rFonts w:ascii="Arial" w:hAnsi="Arial" w:cs="Arial"/>
          <w:b/>
          <w:bCs/>
        </w:rPr>
        <w:t xml:space="preserve">majutusettevõtte ruumide ning puhkamiseks mõeldud ruumide üürilepingutele tähtajaga </w:t>
      </w:r>
      <w:r>
        <w:rPr>
          <w:rFonts w:ascii="Arial" w:hAnsi="Arial" w:cs="Arial"/>
          <w:b/>
          <w:bCs/>
        </w:rPr>
        <w:t>alla</w:t>
      </w:r>
      <w:r w:rsidRPr="00E14EBC">
        <w:rPr>
          <w:rFonts w:ascii="Arial" w:hAnsi="Arial" w:cs="Arial"/>
          <w:b/>
          <w:bCs/>
        </w:rPr>
        <w:t xml:space="preserve"> kolme kuu, samuti muude ruumide ajutiseks kasutamiseks sõlmitud üürilepingutele. </w:t>
      </w:r>
      <w:r w:rsidRPr="00E14EBC">
        <w:rPr>
          <w:rFonts w:ascii="Arial" w:hAnsi="Arial" w:cs="Arial"/>
        </w:rPr>
        <w:t>Ehk tegemist on kolme erandiga (majutusettevõtte ruumid ja puhkamiseks mõeldud ruumid, tähtajaga kuni kolm kuud ning muud ruumid ilma kasutamise tähtaja määramiseta), mille eesmärk on jätta lühiajaline ja ajutine ruumikasutus väljapoole regulaarsete üürisuhete ranget raamistikku.</w:t>
      </w:r>
    </w:p>
    <w:p w14:paraId="5D8D4EF6" w14:textId="77777777" w:rsidR="001E44AD" w:rsidRPr="00E14EBC" w:rsidRDefault="001E44AD" w:rsidP="001E44AD">
      <w:pPr>
        <w:jc w:val="both"/>
        <w:rPr>
          <w:rFonts w:ascii="Arial" w:hAnsi="Arial" w:cs="Arial"/>
        </w:rPr>
      </w:pPr>
      <w:r w:rsidRPr="00E14EBC">
        <w:rPr>
          <w:rFonts w:ascii="Arial" w:hAnsi="Arial" w:cs="Arial"/>
        </w:rPr>
        <w:t xml:space="preserve">Oluline on rõhutada, et selle välistuse aluseks peab olema nii ruumi ajutine kasutus kui ka selle kasutusala – näiteks juhul, kui ruumi üürib välja majutusettevõte või kui tegemist on ruumiga, mida kasutatakse turismi või muu lühiajalise viibimise eesmärgil. Seega kehtib välistus </w:t>
      </w:r>
      <w:r w:rsidRPr="00406DA7">
        <w:rPr>
          <w:rFonts w:ascii="Arial" w:hAnsi="Arial" w:cs="Arial"/>
          <w:b/>
        </w:rPr>
        <w:t>üksnes</w:t>
      </w:r>
      <w:r w:rsidRPr="002D5E02">
        <w:rPr>
          <w:rFonts w:ascii="Arial" w:hAnsi="Arial" w:cs="Arial"/>
        </w:rPr>
        <w:t xml:space="preserve"> </w:t>
      </w:r>
      <w:r w:rsidRPr="00E14EBC">
        <w:rPr>
          <w:rFonts w:ascii="Arial" w:hAnsi="Arial" w:cs="Arial"/>
        </w:rPr>
        <w:t>siis, kui tegemist on majutusettevõtte ruumidega või muude ruumidega, mille kasutus on ajutine ning ajaliselt piiratud maksimaalselt kolme kuuga.</w:t>
      </w:r>
    </w:p>
    <w:p w14:paraId="111B2556" w14:textId="63464B08" w:rsidR="001E44AD" w:rsidRPr="00E14EBC" w:rsidRDefault="001E44AD" w:rsidP="001E44AD">
      <w:pPr>
        <w:jc w:val="both"/>
        <w:rPr>
          <w:rFonts w:ascii="Arial" w:hAnsi="Arial" w:cs="Arial"/>
        </w:rPr>
      </w:pPr>
      <w:r w:rsidRPr="00E14EBC">
        <w:rPr>
          <w:rFonts w:ascii="Arial" w:hAnsi="Arial" w:cs="Arial"/>
        </w:rPr>
        <w:t>See ei tähenda siiski, et eluruumide või äriruumide üürilepingute VÕS</w:t>
      </w:r>
      <w:r w:rsidR="00030554">
        <w:rPr>
          <w:rFonts w:ascii="Arial" w:hAnsi="Arial" w:cs="Arial"/>
        </w:rPr>
        <w:t>-i</w:t>
      </w:r>
      <w:r w:rsidRPr="00E14EBC">
        <w:rPr>
          <w:rFonts w:ascii="Arial" w:hAnsi="Arial" w:cs="Arial"/>
        </w:rPr>
        <w:t xml:space="preserve"> sätteid ei võiks üldse kohaldada sellistele lepingutele. Kui pooled sõnaselgelt kokku lepivad, on võimalik rakendada ka </w:t>
      </w:r>
      <w:r w:rsidRPr="00E14EBC">
        <w:rPr>
          <w:rFonts w:ascii="Arial" w:hAnsi="Arial" w:cs="Arial"/>
        </w:rPr>
        <w:lastRenderedPageBreak/>
        <w:t xml:space="preserve">VÕS-i 15. peatüki sätteid (nt üürilepingu vorminõuded, ülesütlemise tähtajad jms) ka lühiajalise üüri teenuse puhul. </w:t>
      </w:r>
      <w:r>
        <w:rPr>
          <w:rFonts w:ascii="Arial" w:hAnsi="Arial" w:cs="Arial"/>
        </w:rPr>
        <w:t>Sellisel juhul tuleb aga jälgida, et kõiki VÕS-i üürilepingu sätteid ei ole võimalik rakendada majutusteenuse korral.</w:t>
      </w:r>
    </w:p>
    <w:p w14:paraId="59741248" w14:textId="5E4E186D" w:rsidR="001E44AD" w:rsidRDefault="001E44AD" w:rsidP="001E44AD">
      <w:pPr>
        <w:jc w:val="both"/>
        <w:rPr>
          <w:rFonts w:ascii="Arial" w:hAnsi="Arial" w:cs="Arial"/>
        </w:rPr>
      </w:pPr>
      <w:r w:rsidRPr="00E14EBC">
        <w:rPr>
          <w:rFonts w:ascii="Arial" w:hAnsi="Arial" w:cs="Arial"/>
        </w:rPr>
        <w:t xml:space="preserve">Tuleb selgelt eristada olukordi, kus </w:t>
      </w:r>
      <w:r w:rsidRPr="00E14EBC">
        <w:rPr>
          <w:rFonts w:ascii="Arial" w:hAnsi="Arial" w:cs="Arial"/>
          <w:b/>
          <w:bCs/>
        </w:rPr>
        <w:t xml:space="preserve">toimub </w:t>
      </w:r>
      <w:r>
        <w:rPr>
          <w:rFonts w:ascii="Arial" w:hAnsi="Arial" w:cs="Arial"/>
          <w:b/>
          <w:bCs/>
        </w:rPr>
        <w:t xml:space="preserve">majutusteenuse osutamine </w:t>
      </w:r>
      <w:r w:rsidRPr="00E14EBC">
        <w:rPr>
          <w:rFonts w:ascii="Arial" w:hAnsi="Arial" w:cs="Arial"/>
          <w:b/>
          <w:bCs/>
        </w:rPr>
        <w:t>majutusettevõtte kaudu</w:t>
      </w:r>
      <w:r w:rsidRPr="00E14EBC">
        <w:rPr>
          <w:rFonts w:ascii="Arial" w:hAnsi="Arial" w:cs="Arial"/>
        </w:rPr>
        <w:t xml:space="preserve"> (nt hotell, hostel</w:t>
      </w:r>
      <w:r>
        <w:rPr>
          <w:rFonts w:ascii="Arial" w:hAnsi="Arial" w:cs="Arial"/>
        </w:rPr>
        <w:t>, kodumajutus, külaliskorter</w:t>
      </w:r>
      <w:r w:rsidRPr="00E14EBC">
        <w:rPr>
          <w:rFonts w:ascii="Arial" w:hAnsi="Arial" w:cs="Arial"/>
        </w:rPr>
        <w:t xml:space="preserve"> vm TurS tähenduses majutusüksus) ning neid, kus </w:t>
      </w:r>
      <w:r>
        <w:rPr>
          <w:rFonts w:ascii="Arial" w:hAnsi="Arial" w:cs="Arial"/>
        </w:rPr>
        <w:t xml:space="preserve">ruumi kasutada andmise puhul ei ole tegemist majutusteenusega. </w:t>
      </w:r>
      <w:r w:rsidRPr="00E14EBC">
        <w:rPr>
          <w:rFonts w:ascii="Arial" w:hAnsi="Arial" w:cs="Arial"/>
        </w:rPr>
        <w:t>Viimasel juhtudel ei kohaldu VÕS</w:t>
      </w:r>
      <w:r w:rsidR="00F12E07">
        <w:rPr>
          <w:rFonts w:ascii="Arial" w:hAnsi="Arial" w:cs="Arial"/>
        </w:rPr>
        <w:t>-i</w:t>
      </w:r>
      <w:r w:rsidRPr="00E14EBC">
        <w:rPr>
          <w:rFonts w:ascii="Arial" w:hAnsi="Arial" w:cs="Arial"/>
        </w:rPr>
        <w:t xml:space="preserve"> §272 lg4 p1 välistus, kuna renditav ruum ei kuulu seaduse mõttes majutusettevõtte ruumide alla. </w:t>
      </w:r>
      <w:r>
        <w:rPr>
          <w:rFonts w:ascii="Arial" w:hAnsi="Arial" w:cs="Arial"/>
        </w:rPr>
        <w:t>Ka TurS</w:t>
      </w:r>
      <w:r w:rsidR="00F12E07">
        <w:rPr>
          <w:rFonts w:ascii="Arial" w:hAnsi="Arial" w:cs="Arial"/>
        </w:rPr>
        <w:t>-i</w:t>
      </w:r>
      <w:r>
        <w:rPr>
          <w:rFonts w:ascii="Arial" w:hAnsi="Arial" w:cs="Arial"/>
        </w:rPr>
        <w:t xml:space="preserve"> §19 lg3 alusel kehtestatud ettevõtlus- ja infotehnoloogiaministri 21.04.2017 määrus nr 17</w:t>
      </w:r>
      <w:r>
        <w:rPr>
          <w:rStyle w:val="FootnoteReference"/>
          <w:rFonts w:ascii="Arial" w:hAnsi="Arial" w:cs="Arial"/>
        </w:rPr>
        <w:footnoteReference w:id="30"/>
      </w:r>
      <w:r>
        <w:rPr>
          <w:rFonts w:ascii="Arial" w:hAnsi="Arial" w:cs="Arial"/>
        </w:rPr>
        <w:t xml:space="preserve"> selgelt eristab majutusruume ja puhkamiseks mõeldud ruume (§13 lg1, 15 lg1 ja 16 lg1).</w:t>
      </w:r>
      <w:r w:rsidRPr="598BB2BE">
        <w:rPr>
          <w:rFonts w:ascii="Arial" w:hAnsi="Arial" w:cs="Arial"/>
        </w:rPr>
        <w:t xml:space="preserve"> </w:t>
      </w:r>
    </w:p>
    <w:p w14:paraId="54EE3D48" w14:textId="4266F199" w:rsidR="001E44AD" w:rsidRDefault="001E44AD" w:rsidP="001E44AD">
      <w:pPr>
        <w:jc w:val="both"/>
        <w:rPr>
          <w:rFonts w:ascii="Arial" w:hAnsi="Arial" w:cs="Arial"/>
        </w:rPr>
      </w:pPr>
      <w:r w:rsidRPr="00E14EBC">
        <w:rPr>
          <w:rFonts w:ascii="Arial" w:hAnsi="Arial" w:cs="Arial"/>
        </w:rPr>
        <w:t>Järgnevas tabelis on toodud kokkuvõtlikult ülevaade, milliste juhtumite korral VÕS</w:t>
      </w:r>
      <w:r w:rsidR="00DF6542">
        <w:rPr>
          <w:rFonts w:ascii="Arial" w:hAnsi="Arial" w:cs="Arial"/>
        </w:rPr>
        <w:t>-i</w:t>
      </w:r>
      <w:r w:rsidRPr="00E14EBC">
        <w:rPr>
          <w:rFonts w:ascii="Arial" w:hAnsi="Arial" w:cs="Arial"/>
        </w:rPr>
        <w:t xml:space="preserve"> sätted kohalduvad ja millal mitte. </w:t>
      </w:r>
    </w:p>
    <w:p w14:paraId="52B1C6ED" w14:textId="289F5002" w:rsidR="001E44AD" w:rsidRDefault="001E44AD" w:rsidP="002E2047">
      <w:pPr>
        <w:pStyle w:val="TableTitle"/>
      </w:pPr>
      <w:r w:rsidRPr="06639471">
        <w:t>Tabel 2: VÕS</w:t>
      </w:r>
      <w:r w:rsidR="001464A1">
        <w:t>-i</w:t>
      </w:r>
      <w:r w:rsidRPr="06639471">
        <w:t xml:space="preserve"> rakendumise võrdlusanalüüs</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3417"/>
        <w:gridCol w:w="3418"/>
      </w:tblGrid>
      <w:tr w:rsidR="004F5F3C" w14:paraId="1B731EF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417" w:type="dxa"/>
          </w:tcPr>
          <w:p w14:paraId="09294ECA" w14:textId="77777777" w:rsidR="001E44AD" w:rsidRDefault="001E44AD">
            <w:pPr>
              <w:rPr>
                <w:rFonts w:ascii="Arial" w:hAnsi="Arial" w:cs="Arial"/>
              </w:rPr>
            </w:pPr>
            <w:r w:rsidRPr="288A3578">
              <w:rPr>
                <w:sz w:val="22"/>
              </w:rPr>
              <w:t>Juhtum</w:t>
            </w:r>
          </w:p>
        </w:tc>
        <w:tc>
          <w:tcPr>
            <w:tcW w:w="3417" w:type="dxa"/>
          </w:tcPr>
          <w:p w14:paraId="10C042F3" w14:textId="33228744" w:rsidR="001E44AD" w:rsidRDefault="001E44AD">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14EBC">
              <w:rPr>
                <w:rFonts w:cstheme="minorHAnsi"/>
                <w:sz w:val="22"/>
              </w:rPr>
              <w:t>Kas VÕS</w:t>
            </w:r>
            <w:r w:rsidR="006242BB">
              <w:rPr>
                <w:rFonts w:cstheme="minorHAnsi"/>
                <w:sz w:val="22"/>
              </w:rPr>
              <w:t>-i</w:t>
            </w:r>
            <w:r w:rsidRPr="00E14EBC">
              <w:rPr>
                <w:rFonts w:cstheme="minorHAnsi"/>
                <w:sz w:val="22"/>
              </w:rPr>
              <w:t xml:space="preserve"> 15. peatüki </w:t>
            </w:r>
            <w:r>
              <w:rPr>
                <w:rFonts w:cstheme="minorHAnsi"/>
                <w:sz w:val="22"/>
              </w:rPr>
              <w:t xml:space="preserve">(üürileping) </w:t>
            </w:r>
            <w:r w:rsidRPr="00E14EBC">
              <w:rPr>
                <w:rFonts w:cstheme="minorHAnsi"/>
                <w:sz w:val="22"/>
              </w:rPr>
              <w:t>sätted kohalduvad?</w:t>
            </w:r>
          </w:p>
        </w:tc>
        <w:tc>
          <w:tcPr>
            <w:tcW w:w="3418" w:type="dxa"/>
          </w:tcPr>
          <w:p w14:paraId="3AD51428" w14:textId="77777777" w:rsidR="001E44AD" w:rsidRDefault="001E44AD">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14EBC">
              <w:rPr>
                <w:rFonts w:cstheme="minorHAnsi"/>
                <w:sz w:val="22"/>
              </w:rPr>
              <w:t>Selgitus</w:t>
            </w:r>
          </w:p>
        </w:tc>
      </w:tr>
      <w:tr w:rsidR="006B1E5D" w14:paraId="6516233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2A78D5A9" w14:textId="77777777" w:rsidR="001E44AD" w:rsidRDefault="001E44AD">
            <w:pPr>
              <w:rPr>
                <w:rFonts w:ascii="Arial" w:hAnsi="Arial" w:cs="Arial"/>
              </w:rPr>
            </w:pPr>
            <w:r w:rsidRPr="00E14EBC">
              <w:rPr>
                <w:rFonts w:cstheme="minorHAnsi"/>
                <w:sz w:val="22"/>
              </w:rPr>
              <w:t>Majutusettevõte (nt hotell, hostel) üürib tuba kuni 3 kuuks</w:t>
            </w:r>
          </w:p>
        </w:tc>
        <w:tc>
          <w:tcPr>
            <w:tcW w:w="3417" w:type="dxa"/>
          </w:tcPr>
          <w:p w14:paraId="78A970A2" w14:textId="77777777" w:rsidR="001E44AD" w:rsidRDefault="001E44A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14EBC">
              <w:rPr>
                <w:rFonts w:cstheme="minorHAnsi"/>
                <w:sz w:val="22"/>
              </w:rPr>
              <w:t xml:space="preserve"> Ei kohaldu</w:t>
            </w:r>
          </w:p>
        </w:tc>
        <w:tc>
          <w:tcPr>
            <w:tcW w:w="3418" w:type="dxa"/>
          </w:tcPr>
          <w:p w14:paraId="1752F88E" w14:textId="55959AF0" w:rsidR="001E44AD" w:rsidRDefault="001E44A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14EBC">
              <w:rPr>
                <w:sz w:val="22"/>
              </w:rPr>
              <w:t>VÕS</w:t>
            </w:r>
            <w:r w:rsidR="001464A1">
              <w:rPr>
                <w:sz w:val="22"/>
              </w:rPr>
              <w:t>-i</w:t>
            </w:r>
            <w:r w:rsidRPr="00E14EBC">
              <w:rPr>
                <w:sz w:val="22"/>
              </w:rPr>
              <w:t xml:space="preserve"> § 272 lg4 p1 järgi on välistatud majutusettevõtte ruumid ja puhkamiseks mõeldud ruumid, kui leping on lühiajaline (kuni 3 kuud) ning muud ruumid ilma kasutamise tähtaja määramiseta</w:t>
            </w:r>
          </w:p>
        </w:tc>
      </w:tr>
      <w:tr w:rsidR="006B1E5D" w14:paraId="0ABB0678" w14:textId="77777777">
        <w:tc>
          <w:tcPr>
            <w:cnfStyle w:val="001000000000" w:firstRow="0" w:lastRow="0" w:firstColumn="1" w:lastColumn="0" w:oddVBand="0" w:evenVBand="0" w:oddHBand="0" w:evenHBand="0" w:firstRowFirstColumn="0" w:firstRowLastColumn="0" w:lastRowFirstColumn="0" w:lastRowLastColumn="0"/>
            <w:tcW w:w="3417" w:type="dxa"/>
          </w:tcPr>
          <w:p w14:paraId="1D53028D" w14:textId="77777777" w:rsidR="001E44AD" w:rsidRDefault="001E44AD">
            <w:pPr>
              <w:rPr>
                <w:rFonts w:ascii="Arial" w:hAnsi="Arial" w:cs="Arial"/>
              </w:rPr>
            </w:pPr>
            <w:r w:rsidRPr="00E14EBC">
              <w:rPr>
                <w:rFonts w:cstheme="minorHAnsi"/>
                <w:sz w:val="22"/>
              </w:rPr>
              <w:t>Majutusettevõte üürib tuba pikemaks ajaks kui 3 kuud</w:t>
            </w:r>
          </w:p>
        </w:tc>
        <w:tc>
          <w:tcPr>
            <w:tcW w:w="3417" w:type="dxa"/>
          </w:tcPr>
          <w:p w14:paraId="1495ACD3" w14:textId="77777777" w:rsidR="001E44AD" w:rsidRDefault="001E44A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4EBC">
              <w:rPr>
                <w:rFonts w:cstheme="minorHAnsi"/>
                <w:sz w:val="22"/>
              </w:rPr>
              <w:t>Kohalduvad</w:t>
            </w:r>
          </w:p>
        </w:tc>
        <w:tc>
          <w:tcPr>
            <w:tcW w:w="3418" w:type="dxa"/>
          </w:tcPr>
          <w:p w14:paraId="4D13C6B6" w14:textId="77777777" w:rsidR="001E44AD" w:rsidRDefault="001E44A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4EBC">
              <w:rPr>
                <w:rFonts w:cstheme="minorHAnsi"/>
                <w:sz w:val="22"/>
              </w:rPr>
              <w:t>Kui leping ületab 3 kuud, ei kohaldu välistus ja rakenduvad tavapärased üürisuhte sätted</w:t>
            </w:r>
          </w:p>
        </w:tc>
      </w:tr>
      <w:tr w:rsidR="006B1E5D" w14:paraId="3FF425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43F3CE9C" w14:textId="77777777" w:rsidR="001E44AD" w:rsidRDefault="001E44AD">
            <w:pPr>
              <w:rPr>
                <w:rFonts w:ascii="Arial" w:hAnsi="Arial" w:cs="Arial"/>
              </w:rPr>
            </w:pPr>
            <w:r w:rsidRPr="00E14EBC">
              <w:rPr>
                <w:rFonts w:cstheme="minorHAnsi"/>
                <w:sz w:val="22"/>
              </w:rPr>
              <w:t xml:space="preserve">Eraisik või mittetulunduslik isik üürib korteri lühiajaliselt </w:t>
            </w:r>
          </w:p>
        </w:tc>
        <w:tc>
          <w:tcPr>
            <w:tcW w:w="3417" w:type="dxa"/>
          </w:tcPr>
          <w:p w14:paraId="7B4A062B" w14:textId="77777777" w:rsidR="001E44AD" w:rsidRDefault="001E44A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14EBC">
              <w:rPr>
                <w:rFonts w:cstheme="minorHAnsi"/>
                <w:sz w:val="22"/>
              </w:rPr>
              <w:t>Võib kohalduda</w:t>
            </w:r>
          </w:p>
        </w:tc>
        <w:tc>
          <w:tcPr>
            <w:tcW w:w="3418" w:type="dxa"/>
          </w:tcPr>
          <w:p w14:paraId="61DB951B" w14:textId="4AD84C32" w:rsidR="001E44AD" w:rsidRDefault="001E44A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14EBC">
              <w:rPr>
                <w:rFonts w:cstheme="minorHAnsi"/>
                <w:sz w:val="22"/>
              </w:rPr>
              <w:t>Kui tegemist ei ole majutus</w:t>
            </w:r>
            <w:r>
              <w:rPr>
                <w:rFonts w:cstheme="minorHAnsi"/>
                <w:sz w:val="22"/>
              </w:rPr>
              <w:t>teenusega</w:t>
            </w:r>
            <w:r w:rsidRPr="00E14EBC">
              <w:rPr>
                <w:rFonts w:cstheme="minorHAnsi"/>
                <w:sz w:val="22"/>
              </w:rPr>
              <w:t>, siis § 272 lg4 p1 ei kohaldu ning üldised üürilepingu sätted võivad kohalduda</w:t>
            </w:r>
          </w:p>
        </w:tc>
      </w:tr>
      <w:tr w:rsidR="006B1E5D" w14:paraId="02587FBA" w14:textId="77777777">
        <w:tc>
          <w:tcPr>
            <w:cnfStyle w:val="001000000000" w:firstRow="0" w:lastRow="0" w:firstColumn="1" w:lastColumn="0" w:oddVBand="0" w:evenVBand="0" w:oddHBand="0" w:evenHBand="0" w:firstRowFirstColumn="0" w:firstRowLastColumn="0" w:lastRowFirstColumn="0" w:lastRowLastColumn="0"/>
            <w:tcW w:w="3417" w:type="dxa"/>
          </w:tcPr>
          <w:p w14:paraId="145BAA2E" w14:textId="77777777" w:rsidR="001E44AD" w:rsidRDefault="001E44AD">
            <w:pPr>
              <w:rPr>
                <w:rFonts w:ascii="Arial" w:hAnsi="Arial" w:cs="Arial"/>
              </w:rPr>
            </w:pPr>
            <w:r w:rsidRPr="00E14EBC">
              <w:rPr>
                <w:rFonts w:cstheme="minorHAnsi"/>
                <w:sz w:val="22"/>
              </w:rPr>
              <w:t>Lepitakse selgesõnaliselt kokku, et kohaldatakse eluruumi üürilepingu sätteid</w:t>
            </w:r>
          </w:p>
        </w:tc>
        <w:tc>
          <w:tcPr>
            <w:tcW w:w="3417" w:type="dxa"/>
          </w:tcPr>
          <w:p w14:paraId="1B9C65BA" w14:textId="77777777" w:rsidR="001E44AD" w:rsidRDefault="001E44A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4EBC">
              <w:rPr>
                <w:rFonts w:cstheme="minorHAnsi"/>
                <w:sz w:val="22"/>
              </w:rPr>
              <w:t>Kohalduvad</w:t>
            </w:r>
          </w:p>
        </w:tc>
        <w:tc>
          <w:tcPr>
            <w:tcW w:w="3418" w:type="dxa"/>
          </w:tcPr>
          <w:p w14:paraId="59F76131" w14:textId="77777777" w:rsidR="001E44AD" w:rsidRDefault="001E44A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4EBC">
              <w:rPr>
                <w:rFonts w:cstheme="minorHAnsi"/>
                <w:sz w:val="22"/>
              </w:rPr>
              <w:t xml:space="preserve">Ka juhul, kui seadus lubab välistuse, võivad pooled </w:t>
            </w:r>
            <w:r w:rsidRPr="00E14EBC">
              <w:rPr>
                <w:rFonts w:cstheme="minorHAnsi"/>
                <w:b/>
                <w:bCs/>
                <w:sz w:val="22"/>
              </w:rPr>
              <w:t>kokkuleppel</w:t>
            </w:r>
            <w:r w:rsidRPr="00E14EBC">
              <w:rPr>
                <w:rFonts w:cstheme="minorHAnsi"/>
                <w:sz w:val="22"/>
              </w:rPr>
              <w:t xml:space="preserve"> siiski rakendada VÕS-i 15. peatüki sätteid (nt tähtajad, teavitused jne)</w:t>
            </w:r>
          </w:p>
        </w:tc>
      </w:tr>
      <w:tr w:rsidR="006B1E5D" w14:paraId="103CE7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1828BDC4" w14:textId="77777777" w:rsidR="001E44AD" w:rsidRDefault="001E44AD">
            <w:pPr>
              <w:rPr>
                <w:rFonts w:ascii="Arial" w:hAnsi="Arial" w:cs="Arial"/>
              </w:rPr>
            </w:pPr>
            <w:r w:rsidRPr="00E14EBC">
              <w:rPr>
                <w:rFonts w:cstheme="minorHAnsi"/>
                <w:sz w:val="22"/>
              </w:rPr>
              <w:lastRenderedPageBreak/>
              <w:t>Ajutine ruumikasutus (nt ruumi rent 1 nädalaks sündmuseks, kontoriks, puhkeotstarbeks)</w:t>
            </w:r>
          </w:p>
        </w:tc>
        <w:tc>
          <w:tcPr>
            <w:tcW w:w="3417" w:type="dxa"/>
          </w:tcPr>
          <w:p w14:paraId="6E04CEB6" w14:textId="77777777" w:rsidR="001E44AD" w:rsidRDefault="001E44A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14EBC">
              <w:rPr>
                <w:rFonts w:cstheme="minorHAnsi"/>
                <w:sz w:val="22"/>
              </w:rPr>
              <w:t>Ei kohaldu</w:t>
            </w:r>
          </w:p>
        </w:tc>
        <w:tc>
          <w:tcPr>
            <w:tcW w:w="3418" w:type="dxa"/>
          </w:tcPr>
          <w:p w14:paraId="497B0A09" w14:textId="0E8EDA8D" w:rsidR="001E44AD" w:rsidRDefault="001E44A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14EBC">
              <w:rPr>
                <w:rFonts w:cstheme="minorHAnsi"/>
                <w:sz w:val="22"/>
              </w:rPr>
              <w:t>Kui ruumi kasutatakse ajutiselt (mitte elamiseks) ja kuni 3 kuud, siis kohaldub § 272 lg4 p1 järgi välistus</w:t>
            </w:r>
          </w:p>
        </w:tc>
      </w:tr>
      <w:tr w:rsidR="006B1E5D" w14:paraId="6406771D" w14:textId="77777777">
        <w:tc>
          <w:tcPr>
            <w:cnfStyle w:val="001000000000" w:firstRow="0" w:lastRow="0" w:firstColumn="1" w:lastColumn="0" w:oddVBand="0" w:evenVBand="0" w:oddHBand="0" w:evenHBand="0" w:firstRowFirstColumn="0" w:firstRowLastColumn="0" w:lastRowFirstColumn="0" w:lastRowLastColumn="0"/>
            <w:tcW w:w="3417" w:type="dxa"/>
          </w:tcPr>
          <w:p w14:paraId="0B7A45CF" w14:textId="77777777" w:rsidR="001E44AD" w:rsidRDefault="001E44AD">
            <w:pPr>
              <w:rPr>
                <w:rFonts w:ascii="Arial" w:hAnsi="Arial" w:cs="Arial"/>
              </w:rPr>
            </w:pPr>
            <w:r w:rsidRPr="00E14EBC">
              <w:rPr>
                <w:rFonts w:cstheme="minorHAnsi"/>
                <w:sz w:val="22"/>
              </w:rPr>
              <w:t>Lühiajaline üür, kuid ruumi kasutatakse reaalselt eluruumina (nt kuuks ajaks elamiseks)</w:t>
            </w:r>
          </w:p>
        </w:tc>
        <w:tc>
          <w:tcPr>
            <w:tcW w:w="3417" w:type="dxa"/>
          </w:tcPr>
          <w:p w14:paraId="6CD4D19D" w14:textId="77777777" w:rsidR="001E44AD" w:rsidRDefault="001E44A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4EBC">
              <w:rPr>
                <w:rFonts w:cstheme="minorHAnsi"/>
                <w:sz w:val="22"/>
              </w:rPr>
              <w:t>Tõlgendatav juhtumi põhiselt</w:t>
            </w:r>
          </w:p>
        </w:tc>
        <w:tc>
          <w:tcPr>
            <w:tcW w:w="3418" w:type="dxa"/>
          </w:tcPr>
          <w:p w14:paraId="3B7A75D0" w14:textId="77777777" w:rsidR="001E44AD" w:rsidRDefault="001E44A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6639471">
              <w:rPr>
                <w:sz w:val="22"/>
              </w:rPr>
              <w:t>Kui ruum ei ole majutusettevõtte osa ja seda kasutatakse elamiseks, võib vaidluse korral lugeda selle eluruumi üüriks ja kohaldada vastavaid sätteid</w:t>
            </w:r>
          </w:p>
        </w:tc>
      </w:tr>
    </w:tbl>
    <w:p w14:paraId="67148978" w14:textId="77777777" w:rsidR="001E44AD" w:rsidRPr="00E14EBC" w:rsidRDefault="001E44AD" w:rsidP="001E44AD">
      <w:pPr>
        <w:pStyle w:val="Heading3"/>
        <w:ind w:left="540"/>
        <w:rPr>
          <w:rStyle w:val="PurpleText"/>
          <w:rFonts w:hint="eastAsia"/>
          <w:color w:val="auto"/>
        </w:rPr>
      </w:pPr>
      <w:bookmarkStart w:id="71" w:name="_Toc197718054"/>
      <w:bookmarkStart w:id="72" w:name="_Toc208991588"/>
      <w:r w:rsidRPr="00E14EBC">
        <w:rPr>
          <w:rStyle w:val="PurpleText"/>
          <w:color w:val="auto"/>
        </w:rPr>
        <w:t>Majutusteenusele rakenduvad normid</w:t>
      </w:r>
      <w:bookmarkEnd w:id="71"/>
      <w:bookmarkEnd w:id="72"/>
    </w:p>
    <w:p w14:paraId="19EABD0D" w14:textId="549E5884" w:rsidR="001E44AD" w:rsidRPr="00E14EBC" w:rsidRDefault="001E44AD" w:rsidP="001E44AD">
      <w:pPr>
        <w:jc w:val="both"/>
      </w:pPr>
      <w:r w:rsidRPr="00E14EBC">
        <w:t xml:space="preserve">TurS sätestab tingimused majutusteenuse osutamisele, kui see </w:t>
      </w:r>
      <w:r w:rsidRPr="00162672">
        <w:t>toimub ettevõtlustegevuse raames</w:t>
      </w:r>
      <w:r w:rsidRPr="00E14EBC">
        <w:t xml:space="preserve"> ja vastab teatud sisulistele tingimustele. TurS</w:t>
      </w:r>
      <w:r w:rsidR="00722F37">
        <w:t>-i</w:t>
      </w:r>
      <w:r w:rsidRPr="00E14EBC">
        <w:t xml:space="preserve"> §17 lg2 kohaselt on majutusteenus </w:t>
      </w:r>
      <w:r w:rsidRPr="00E14EBC">
        <w:rPr>
          <w:b/>
          <w:bCs/>
        </w:rPr>
        <w:t>ajutise ööbimisvõimaluse pakkumine</w:t>
      </w:r>
      <w:r w:rsidRPr="00E14EBC">
        <w:t xml:space="preserve">. Erinevalt üürimisest on majutusteenus teist tüüpi tehing. Ehk majutusteenus on sisult </w:t>
      </w:r>
      <w:r w:rsidRPr="00E14EBC">
        <w:rPr>
          <w:b/>
          <w:bCs/>
        </w:rPr>
        <w:t>teenuse osutamise leping</w:t>
      </w:r>
      <w:r w:rsidRPr="00E14EBC">
        <w:t xml:space="preserve"> – sarnaselt VÕS</w:t>
      </w:r>
      <w:r w:rsidR="00722F37">
        <w:t>-i</w:t>
      </w:r>
      <w:r w:rsidRPr="00E14EBC">
        <w:t xml:space="preserve"> §379 all viidatud ajutise kasutuse võimaldamisega, kui seda tehakse lühiajaliselt.</w:t>
      </w:r>
    </w:p>
    <w:p w14:paraId="5D636A3F" w14:textId="5B381711" w:rsidR="001E44AD" w:rsidRPr="00E14EBC" w:rsidRDefault="001E44AD" w:rsidP="001E44AD">
      <w:pPr>
        <w:jc w:val="both"/>
      </w:pPr>
      <w:r>
        <w:t xml:space="preserve">TurS eristab selgelt </w:t>
      </w:r>
      <w:r w:rsidRPr="288A3578">
        <w:rPr>
          <w:b/>
          <w:bCs/>
        </w:rPr>
        <w:t>majutusteenust</w:t>
      </w:r>
      <w:r>
        <w:t xml:space="preserve"> ja </w:t>
      </w:r>
      <w:r w:rsidRPr="288A3578">
        <w:rPr>
          <w:b/>
          <w:bCs/>
        </w:rPr>
        <w:t>eluruumi üürimist</w:t>
      </w:r>
      <w:r>
        <w:t>, määratledes nende vahe sisuliselt teenuse sisu ja lepinguõigusliku aluse kaudu. TurS</w:t>
      </w:r>
      <w:r w:rsidR="00722F37">
        <w:t>-i</w:t>
      </w:r>
      <w:r>
        <w:t xml:space="preserve"> §17 lg3 p2 kohaselt </w:t>
      </w:r>
      <w:r w:rsidRPr="288A3578">
        <w:rPr>
          <w:b/>
          <w:bCs/>
        </w:rPr>
        <w:t xml:space="preserve">ei loeta majutusteenuseks sellist majutamist, mille puhul sõlmitakse eluruumi üürileping. </w:t>
      </w:r>
      <w:r>
        <w:t>See tähendab, et kui teenuse pakkumine põhineb VÕS</w:t>
      </w:r>
      <w:r w:rsidR="00722F37">
        <w:t>-i</w:t>
      </w:r>
      <w:r>
        <w:t xml:space="preserve"> §271 alusel sõlmitud üürilepingul, käsitatakse tehingut mitte majutusteenusena, vaid eluruumi üürina. Seega on tegemist </w:t>
      </w:r>
      <w:r w:rsidRPr="288A3578">
        <w:rPr>
          <w:b/>
          <w:bCs/>
        </w:rPr>
        <w:t>üürimisega</w:t>
      </w:r>
      <w:r>
        <w:t>, kui pooled sõlmivad lepingu, mille sisuks on ruumi elamiseks kasutada andmine. Oluline on, et tegu pole ainult vormilise eristusega – sisu ja osutamise viis määravad, kas tegemist on teenuse või üürisuhtega. Näiteks kui lühiajalise üüri teenust osutatakse selliselt, et see on sisult ajutine ja lühiajaline, siis ei ole tegemist eluruumi üürilepinguga. Kui aga sama eluruum antakse üle pikemaks perioodiks elukohana kasutamiseks klassikalise üürilepingu tunnuste alusel, on TurS</w:t>
      </w:r>
      <w:r w:rsidR="00722F37">
        <w:t>-i</w:t>
      </w:r>
      <w:r>
        <w:t xml:space="preserve"> §17 lg3 p2 kohaselt tegemist üürimisega.</w:t>
      </w:r>
    </w:p>
    <w:p w14:paraId="49EFDA83" w14:textId="77777777" w:rsidR="001E44AD" w:rsidRDefault="001E44AD" w:rsidP="001E44AD">
      <w:pPr>
        <w:tabs>
          <w:tab w:val="left" w:pos="3086"/>
        </w:tabs>
        <w:jc w:val="both"/>
        <w:rPr>
          <w:rStyle w:val="PurpleText"/>
        </w:rPr>
      </w:pPr>
      <w:r w:rsidRPr="00E14EBC">
        <w:rPr>
          <w:rStyle w:val="PurpleText"/>
        </w:rPr>
        <w:t>Majutusteenuse osutaja</w:t>
      </w:r>
      <w:r>
        <w:rPr>
          <w:rStyle w:val="PurpleText"/>
        </w:rPr>
        <w:tab/>
      </w:r>
    </w:p>
    <w:p w14:paraId="119EB573" w14:textId="1EFB78E9" w:rsidR="001E44AD" w:rsidRPr="00E14EBC" w:rsidRDefault="001E44AD" w:rsidP="001E44AD">
      <w:pPr>
        <w:tabs>
          <w:tab w:val="left" w:pos="3086"/>
        </w:tabs>
        <w:jc w:val="both"/>
        <w:rPr>
          <w:rStyle w:val="PurpleText"/>
        </w:rPr>
      </w:pPr>
      <w:r>
        <w:t>TurS</w:t>
      </w:r>
      <w:r w:rsidR="001C7027">
        <w:t>-i</w:t>
      </w:r>
      <w:r>
        <w:t xml:space="preserve"> §17 lg1 kohaselt on majutusettevõte majandusüksus, mille kaudu ettevõtja oma majandus- või kutsetegevuse raames osutab majutusteenust ning lg2 kohaselt on majutusteenus ajutise ööbimisvõimaluse pakkumine. TurS ei defineeri, kes on </w:t>
      </w:r>
      <w:r w:rsidRPr="1C92C443">
        <w:rPr>
          <w:b/>
          <w:bCs/>
        </w:rPr>
        <w:t xml:space="preserve">majutusteenuse osutaja. </w:t>
      </w:r>
      <w:r>
        <w:t xml:space="preserve">Arvestades (majutus)teenuse olemust, saab majutusteenuse osutaja olla füüsiline või juriidiline isik, kes pakub ajutist ööbimisvõimalust ehk majutust. </w:t>
      </w:r>
    </w:p>
    <w:p w14:paraId="5B618E47" w14:textId="0619BF17" w:rsidR="00876F64" w:rsidRDefault="001E44AD" w:rsidP="001E44AD">
      <w:pPr>
        <w:jc w:val="both"/>
        <w:rPr>
          <w:rFonts w:ascii="Arial" w:hAnsi="Arial" w:cs="Arial"/>
        </w:rPr>
      </w:pPr>
      <w:r w:rsidRPr="1C92C443">
        <w:rPr>
          <w:rFonts w:ascii="Arial" w:hAnsi="Arial" w:cs="Arial"/>
        </w:rPr>
        <w:t xml:space="preserve">Eesti õiguses ei ole majandus- või kutsetegevus eraldi õigusmõistena määratletud. Kuid MSÜS §3 kohaselt on </w:t>
      </w:r>
      <w:r w:rsidRPr="1C92C443">
        <w:rPr>
          <w:rFonts w:ascii="Arial" w:hAnsi="Arial" w:cs="Arial"/>
          <w:b/>
          <w:bCs/>
        </w:rPr>
        <w:t>majandustegevus iga iseseisvalt teostatav, tulu saamise eesmärgiga ja püsiv tegevus</w:t>
      </w:r>
      <w:r w:rsidRPr="1C92C443">
        <w:rPr>
          <w:rFonts w:ascii="Arial" w:hAnsi="Arial" w:cs="Arial"/>
        </w:rPr>
        <w:t>, mis ei ole seadusest tulenevalt keelatud. Seega võib</w:t>
      </w:r>
      <w:r w:rsidR="000C57EE">
        <w:rPr>
          <w:rFonts w:ascii="Arial" w:hAnsi="Arial" w:cs="Arial"/>
        </w:rPr>
        <w:t xml:space="preserve"> praegu kehtivast õigusest</w:t>
      </w:r>
      <w:r w:rsidRPr="1C92C443">
        <w:rPr>
          <w:rFonts w:ascii="Arial" w:hAnsi="Arial" w:cs="Arial"/>
        </w:rPr>
        <w:t xml:space="preserve"> jääda </w:t>
      </w:r>
      <w:r w:rsidR="001A5823">
        <w:rPr>
          <w:rFonts w:ascii="Arial" w:hAnsi="Arial" w:cs="Arial"/>
        </w:rPr>
        <w:t>arusaam</w:t>
      </w:r>
      <w:r w:rsidRPr="1C92C443">
        <w:rPr>
          <w:rFonts w:ascii="Arial" w:hAnsi="Arial" w:cs="Arial"/>
        </w:rPr>
        <w:t xml:space="preserve">, et juhuslikku laadi tasulise majutamise võimaldamine, kui see ei toimu ettevõtja poolt </w:t>
      </w:r>
      <w:r w:rsidRPr="1C92C443">
        <w:rPr>
          <w:rFonts w:ascii="Arial" w:hAnsi="Arial" w:cs="Arial"/>
        </w:rPr>
        <w:lastRenderedPageBreak/>
        <w:t xml:space="preserve">tema püsiva majandus- või kutsetegevuse raames, ei ole </w:t>
      </w:r>
      <w:r>
        <w:t>TurS</w:t>
      </w:r>
      <w:r w:rsidR="00D0746B">
        <w:t>-i</w:t>
      </w:r>
      <w:r>
        <w:t xml:space="preserve"> mõistes käsitletav </w:t>
      </w:r>
      <w:r w:rsidRPr="1C92C443">
        <w:rPr>
          <w:rFonts w:ascii="Arial" w:hAnsi="Arial" w:cs="Arial"/>
        </w:rPr>
        <w:t>majutusteenusena.</w:t>
      </w:r>
      <w:r w:rsidR="00CE386C">
        <w:rPr>
          <w:rStyle w:val="FootnoteReference"/>
        </w:rPr>
        <w:footnoteReference w:id="31"/>
      </w:r>
      <w:r w:rsidRPr="1C92C443">
        <w:rPr>
          <w:rFonts w:ascii="Arial" w:hAnsi="Arial" w:cs="Arial"/>
        </w:rPr>
        <w:t xml:space="preserve"> Siiski ei </w:t>
      </w:r>
      <w:r w:rsidR="0041227D">
        <w:rPr>
          <w:rFonts w:ascii="Arial" w:hAnsi="Arial" w:cs="Arial"/>
        </w:rPr>
        <w:t>saa</w:t>
      </w:r>
      <w:r w:rsidR="0041227D" w:rsidRPr="1C92C443">
        <w:rPr>
          <w:rFonts w:ascii="Arial" w:hAnsi="Arial" w:cs="Arial"/>
        </w:rPr>
        <w:t xml:space="preserve"> </w:t>
      </w:r>
      <w:r w:rsidRPr="1C92C443">
        <w:rPr>
          <w:rFonts w:ascii="Arial" w:hAnsi="Arial" w:cs="Arial"/>
        </w:rPr>
        <w:t xml:space="preserve">majutusteenuse osutaja määramisel </w:t>
      </w:r>
      <w:r w:rsidR="0041227D">
        <w:rPr>
          <w:rFonts w:ascii="Arial" w:hAnsi="Arial" w:cs="Arial"/>
        </w:rPr>
        <w:t xml:space="preserve">olla </w:t>
      </w:r>
      <w:r w:rsidRPr="1C92C443">
        <w:rPr>
          <w:rFonts w:ascii="Arial" w:hAnsi="Arial" w:cs="Arial"/>
        </w:rPr>
        <w:t xml:space="preserve">olulised tegevuse </w:t>
      </w:r>
      <w:r w:rsidRPr="1C92C443">
        <w:rPr>
          <w:rFonts w:ascii="Arial" w:hAnsi="Arial" w:cs="Arial"/>
          <w:b/>
          <w:bCs/>
        </w:rPr>
        <w:t>majanduslik iseloom ja püsivus</w:t>
      </w:r>
      <w:r w:rsidRPr="1C92C443">
        <w:rPr>
          <w:rFonts w:ascii="Arial" w:hAnsi="Arial" w:cs="Arial"/>
        </w:rPr>
        <w:t xml:space="preserve">, samuti mitte teenuse osutaja juriidiline vorm. </w:t>
      </w:r>
      <w:r w:rsidR="00B439AD">
        <w:rPr>
          <w:rFonts w:ascii="Arial" w:hAnsi="Arial" w:cs="Arial"/>
        </w:rPr>
        <w:t>Kui lühiajalise üüri teenuse ehk m</w:t>
      </w:r>
      <w:r w:rsidRPr="1C92C443">
        <w:rPr>
          <w:rFonts w:ascii="Arial" w:hAnsi="Arial" w:cs="Arial"/>
        </w:rPr>
        <w:t>ajutusteenuse osutami</w:t>
      </w:r>
      <w:r w:rsidR="00B439AD">
        <w:rPr>
          <w:rFonts w:ascii="Arial" w:hAnsi="Arial" w:cs="Arial"/>
        </w:rPr>
        <w:t>ne</w:t>
      </w:r>
      <w:r w:rsidR="004A2BCC">
        <w:rPr>
          <w:rFonts w:ascii="Arial" w:hAnsi="Arial" w:cs="Arial"/>
        </w:rPr>
        <w:t xml:space="preserve"> </w:t>
      </w:r>
      <w:r w:rsidR="00B439AD">
        <w:rPr>
          <w:rFonts w:ascii="Arial" w:hAnsi="Arial" w:cs="Arial"/>
        </w:rPr>
        <w:t>siduda</w:t>
      </w:r>
      <w:r w:rsidRPr="1C92C443">
        <w:rPr>
          <w:rFonts w:ascii="Arial" w:hAnsi="Arial" w:cs="Arial"/>
        </w:rPr>
        <w:t xml:space="preserve"> </w:t>
      </w:r>
      <w:r>
        <w:t>TurS</w:t>
      </w:r>
      <w:r w:rsidR="00D0746B">
        <w:t>-i</w:t>
      </w:r>
      <w:r>
        <w:t xml:space="preserve"> §17 lg2 alusel </w:t>
      </w:r>
      <w:r w:rsidRPr="1C92C443">
        <w:rPr>
          <w:rFonts w:ascii="Arial" w:hAnsi="Arial" w:cs="Arial"/>
        </w:rPr>
        <w:t xml:space="preserve">kitsalt ettevõtlusega </w:t>
      </w:r>
      <w:r w:rsidR="00165338">
        <w:rPr>
          <w:rFonts w:ascii="Arial" w:hAnsi="Arial" w:cs="Arial"/>
        </w:rPr>
        <w:t>või</w:t>
      </w:r>
      <w:r w:rsidR="00165338" w:rsidRPr="1C92C443">
        <w:rPr>
          <w:rFonts w:ascii="Arial" w:hAnsi="Arial" w:cs="Arial"/>
        </w:rPr>
        <w:t xml:space="preserve"> </w:t>
      </w:r>
      <w:r w:rsidRPr="1C92C443">
        <w:rPr>
          <w:rFonts w:ascii="Arial" w:hAnsi="Arial" w:cs="Arial"/>
        </w:rPr>
        <w:t xml:space="preserve">majandus- või kutsetegevusega, </w:t>
      </w:r>
      <w:r w:rsidR="0019746E">
        <w:rPr>
          <w:rFonts w:ascii="Arial" w:hAnsi="Arial" w:cs="Arial"/>
        </w:rPr>
        <w:t>siis tekib</w:t>
      </w:r>
      <w:r w:rsidRPr="1C92C443">
        <w:rPr>
          <w:rFonts w:ascii="Arial" w:hAnsi="Arial" w:cs="Arial"/>
        </w:rPr>
        <w:t xml:space="preserve"> olukord, kus keegi selgelt ja sisuliselt osutab majutusteenust, aga seda ei saa nimetada majutusteenuseks, </w:t>
      </w:r>
      <w:r w:rsidR="00527F45">
        <w:rPr>
          <w:rFonts w:ascii="Arial" w:hAnsi="Arial" w:cs="Arial"/>
        </w:rPr>
        <w:t>või sellele ei saa kohaldada majutusteenusele kohaldatavaid nõudeid</w:t>
      </w:r>
      <w:r w:rsidR="00527F45" w:rsidRPr="1C92C443">
        <w:rPr>
          <w:rFonts w:ascii="Arial" w:hAnsi="Arial" w:cs="Arial"/>
        </w:rPr>
        <w:t xml:space="preserve">, </w:t>
      </w:r>
      <w:r w:rsidRPr="1C92C443">
        <w:rPr>
          <w:rFonts w:ascii="Arial" w:hAnsi="Arial" w:cs="Arial"/>
        </w:rPr>
        <w:t>sest üheski õigusnormis ei ole sellist olukorda ette nähtud.</w:t>
      </w:r>
      <w:r w:rsidR="009E4F92">
        <w:rPr>
          <w:rFonts w:ascii="Arial" w:hAnsi="Arial" w:cs="Arial"/>
        </w:rPr>
        <w:t xml:space="preserve"> </w:t>
      </w:r>
      <w:r w:rsidR="009E4F92" w:rsidRPr="00DE43F0">
        <w:rPr>
          <w:rFonts w:ascii="Arial" w:hAnsi="Arial" w:cs="Arial"/>
        </w:rPr>
        <w:t xml:space="preserve">Sellisel juhul </w:t>
      </w:r>
      <w:r w:rsidR="005124FE">
        <w:rPr>
          <w:rFonts w:ascii="Arial" w:hAnsi="Arial" w:cs="Arial"/>
        </w:rPr>
        <w:t>tuleb rakendada</w:t>
      </w:r>
      <w:r w:rsidR="009E4F92" w:rsidRPr="00DE43F0">
        <w:rPr>
          <w:rFonts w:ascii="Arial" w:hAnsi="Arial" w:cs="Arial"/>
        </w:rPr>
        <w:t xml:space="preserve"> TsÜS</w:t>
      </w:r>
      <w:r w:rsidR="00B750D5">
        <w:rPr>
          <w:rFonts w:ascii="Arial" w:hAnsi="Arial" w:cs="Arial"/>
        </w:rPr>
        <w:t>-i</w:t>
      </w:r>
      <w:r w:rsidR="009E4F92" w:rsidRPr="00DE43F0">
        <w:rPr>
          <w:rFonts w:ascii="Arial" w:hAnsi="Arial" w:cs="Arial"/>
        </w:rPr>
        <w:t xml:space="preserve"> §4</w:t>
      </w:r>
      <w:r w:rsidR="00BB0733">
        <w:rPr>
          <w:rFonts w:ascii="Arial" w:hAnsi="Arial" w:cs="Arial"/>
        </w:rPr>
        <w:t>, mille kohaselt</w:t>
      </w:r>
      <w:r w:rsidR="009E4F92" w:rsidRPr="00DE43F0">
        <w:rPr>
          <w:rFonts w:ascii="Arial" w:hAnsi="Arial" w:cs="Arial"/>
        </w:rPr>
        <w:t>: „Õigussuhet reguleeriva sätte puudumisel kohaldatakse sätet, mis reguleerib reguleerimata õigussuhtele lähedast õigussuhet, kui õigussuhte reguleerimata jätmine ei vasta seaduse mõttele ega eesmärgile. Sellise sätte puudumisel lähtutakse seaduse või õiguse üldisest mõttest.“ Lähimaks õiguslikult reguleeritud õigussuhteks ongi TurS</w:t>
      </w:r>
      <w:r w:rsidR="00B750D5">
        <w:rPr>
          <w:rFonts w:ascii="Arial" w:hAnsi="Arial" w:cs="Arial"/>
        </w:rPr>
        <w:t>-i</w:t>
      </w:r>
      <w:r w:rsidR="009E4F92" w:rsidRPr="00DE43F0">
        <w:rPr>
          <w:rFonts w:ascii="Arial" w:hAnsi="Arial" w:cs="Arial"/>
        </w:rPr>
        <w:t xml:space="preserve"> vastavad sätted.</w:t>
      </w:r>
      <w:r w:rsidR="005124FE">
        <w:rPr>
          <w:rFonts w:ascii="Arial" w:hAnsi="Arial" w:cs="Arial"/>
        </w:rPr>
        <w:t xml:space="preserve"> Eelkirjeldatud keerukus </w:t>
      </w:r>
      <w:r w:rsidR="006936B0">
        <w:rPr>
          <w:rFonts w:ascii="Arial" w:hAnsi="Arial" w:cs="Arial"/>
        </w:rPr>
        <w:t>lühiajalise üüri teenuse kui majutusteenuse mää</w:t>
      </w:r>
      <w:r w:rsidR="00F82102">
        <w:rPr>
          <w:rFonts w:ascii="Arial" w:hAnsi="Arial" w:cs="Arial"/>
        </w:rPr>
        <w:t xml:space="preserve">ratlemisel </w:t>
      </w:r>
      <w:r w:rsidR="00337354">
        <w:rPr>
          <w:rFonts w:ascii="Arial" w:hAnsi="Arial" w:cs="Arial"/>
        </w:rPr>
        <w:t xml:space="preserve">tänases õigusruumis vajab </w:t>
      </w:r>
      <w:r w:rsidR="0095685F">
        <w:rPr>
          <w:rFonts w:ascii="Arial" w:hAnsi="Arial" w:cs="Arial"/>
        </w:rPr>
        <w:t>tä</w:t>
      </w:r>
      <w:r w:rsidR="00FA7D03">
        <w:rPr>
          <w:rFonts w:ascii="Arial" w:hAnsi="Arial" w:cs="Arial"/>
        </w:rPr>
        <w:t xml:space="preserve">psustamist võttes arvesse </w:t>
      </w:r>
      <w:r w:rsidR="00DB4DC2">
        <w:rPr>
          <w:rFonts w:ascii="Arial" w:hAnsi="Arial" w:cs="Arial"/>
        </w:rPr>
        <w:t>tänast lühiajalise üüri turu aktiivsust ja mitmekesisust.</w:t>
      </w:r>
    </w:p>
    <w:p w14:paraId="20541472" w14:textId="78C4C130" w:rsidR="001E44AD" w:rsidRDefault="001E44AD" w:rsidP="001E44AD">
      <w:pPr>
        <w:jc w:val="both"/>
        <w:rPr>
          <w:rFonts w:ascii="Arial" w:hAnsi="Arial" w:cs="Arial"/>
        </w:rPr>
      </w:pPr>
      <w:r w:rsidRPr="288A3578">
        <w:rPr>
          <w:rFonts w:ascii="Arial" w:hAnsi="Arial" w:cs="Arial"/>
        </w:rPr>
        <w:t>TurS</w:t>
      </w:r>
      <w:r w:rsidR="00D0746B">
        <w:rPr>
          <w:rFonts w:ascii="Arial" w:hAnsi="Arial" w:cs="Arial"/>
        </w:rPr>
        <w:t>-i</w:t>
      </w:r>
      <w:r w:rsidRPr="288A3578">
        <w:rPr>
          <w:rFonts w:ascii="Arial" w:hAnsi="Arial" w:cs="Arial"/>
        </w:rPr>
        <w:t xml:space="preserve"> tähenduses tuleb eristada kahte tihedalt seotud, kuid sisult erinevat mõistet: </w:t>
      </w:r>
      <w:r w:rsidRPr="00F66A24">
        <w:rPr>
          <w:rFonts w:ascii="Arial" w:hAnsi="Arial" w:cs="Arial"/>
          <w:b/>
          <w:bCs/>
        </w:rPr>
        <w:t xml:space="preserve">majutusteenuse osutaja </w:t>
      </w:r>
      <w:r w:rsidRPr="00F66A24">
        <w:rPr>
          <w:rFonts w:ascii="Arial" w:hAnsi="Arial" w:cs="Arial"/>
        </w:rPr>
        <w:t>ja</w:t>
      </w:r>
      <w:r w:rsidRPr="00F66A24">
        <w:rPr>
          <w:rFonts w:ascii="Arial" w:hAnsi="Arial" w:cs="Arial"/>
          <w:b/>
          <w:bCs/>
        </w:rPr>
        <w:t xml:space="preserve"> majutusettevõte</w:t>
      </w:r>
      <w:r w:rsidRPr="288A3578">
        <w:rPr>
          <w:rFonts w:ascii="Arial" w:hAnsi="Arial" w:cs="Arial"/>
          <w:b/>
          <w:bCs/>
        </w:rPr>
        <w:t>.</w:t>
      </w:r>
      <w:r w:rsidRPr="288A3578">
        <w:rPr>
          <w:rFonts w:ascii="Arial" w:hAnsi="Arial" w:cs="Arial"/>
        </w:rPr>
        <w:t xml:space="preserve"> </w:t>
      </w:r>
      <w:r w:rsidRPr="00F66A24">
        <w:rPr>
          <w:rFonts w:ascii="Arial" w:hAnsi="Arial" w:cs="Arial"/>
          <w:b/>
          <w:bCs/>
        </w:rPr>
        <w:t>Majutusteenuse osutaja</w:t>
      </w:r>
      <w:r w:rsidRPr="288A3578">
        <w:rPr>
          <w:rFonts w:ascii="Arial" w:hAnsi="Arial" w:cs="Arial"/>
        </w:rPr>
        <w:t xml:space="preserve"> on füüsiline või juriidiline isik, kes pakub ajutist ööbimisvõimalust. Majutusettevõte seevastu on füüsiline üksus – näiteks hotell, hostel, külaliskorter või kodumajutus, kus teenust osutatakse. Seega on majutusettevõte koht, mille kaudu majutusteenuse osutaja oma teenust pakub. Lühiajalise üüri teenuse kontekstis võib ka üksikisik, kes regulaarselt</w:t>
      </w:r>
      <w:r w:rsidR="00C447DB">
        <w:rPr>
          <w:rFonts w:ascii="Arial" w:hAnsi="Arial" w:cs="Arial"/>
        </w:rPr>
        <w:t xml:space="preserve"> või mitte</w:t>
      </w:r>
      <w:r w:rsidRPr="288A3578">
        <w:rPr>
          <w:rFonts w:ascii="Arial" w:hAnsi="Arial" w:cs="Arial"/>
        </w:rPr>
        <w:t xml:space="preserve"> ja ärilisel eesmärgil pakub ajutist majutust (nt mõne platvormi kaudu), </w:t>
      </w:r>
      <w:r>
        <w:rPr>
          <w:rFonts w:ascii="Arial" w:hAnsi="Arial" w:cs="Arial"/>
        </w:rPr>
        <w:t xml:space="preserve">kuid ei ole ennast määratlenud ettevõtjana, </w:t>
      </w:r>
      <w:r w:rsidRPr="288A3578">
        <w:rPr>
          <w:rFonts w:ascii="Arial" w:hAnsi="Arial" w:cs="Arial"/>
        </w:rPr>
        <w:t>kujutada endast sisuliselt majutusteenuse osutajat, samas kui tema kasutatav eluruum (nt korter) võib vastata majutusettevõtte tunnustele TurS</w:t>
      </w:r>
      <w:r w:rsidR="00D0746B">
        <w:rPr>
          <w:rFonts w:ascii="Arial" w:hAnsi="Arial" w:cs="Arial"/>
        </w:rPr>
        <w:t>-i</w:t>
      </w:r>
      <w:r w:rsidRPr="288A3578">
        <w:rPr>
          <w:rFonts w:ascii="Arial" w:hAnsi="Arial" w:cs="Arial"/>
        </w:rPr>
        <w:t xml:space="preserve"> tähenduses.</w:t>
      </w:r>
    </w:p>
    <w:p w14:paraId="6F186893" w14:textId="5BF43965" w:rsidR="00822BED" w:rsidRPr="00E14EBC" w:rsidRDefault="00822BED" w:rsidP="00822BED">
      <w:pPr>
        <w:spacing w:after="0"/>
        <w:jc w:val="both"/>
        <w:rPr>
          <w:rFonts w:ascii="Arial" w:hAnsi="Arial" w:cs="Arial"/>
        </w:rPr>
      </w:pPr>
      <w:r>
        <w:t>Majutusteenuse osutajal peavad olema teenuse osutamiseks sobivad, ohutud ja turvalised hooned, ruumid, sisustus ja maa-ala jms, mis tuleneva majutusteenustele kehtestatud nõuetest (neid nõuded on täpsemalt käsitletud ka järgnevates alapeatükkides).</w:t>
      </w:r>
    </w:p>
    <w:p w14:paraId="54A12C0F" w14:textId="6A475E55" w:rsidR="001E44AD" w:rsidRPr="00E14EBC" w:rsidRDefault="001E44AD" w:rsidP="001E44AD">
      <w:pPr>
        <w:jc w:val="both"/>
        <w:rPr>
          <w:rFonts w:ascii="Arial" w:hAnsi="Arial" w:cs="Arial"/>
        </w:rPr>
      </w:pPr>
      <w:r w:rsidRPr="00822BED">
        <w:rPr>
          <w:rFonts w:ascii="Arial" w:hAnsi="Arial" w:cs="Arial"/>
          <w:b/>
          <w:bCs/>
        </w:rPr>
        <w:t>Majutusettevõteteks</w:t>
      </w:r>
      <w:r w:rsidRPr="5848DE21">
        <w:rPr>
          <w:rFonts w:ascii="Arial" w:hAnsi="Arial" w:cs="Arial"/>
        </w:rPr>
        <w:t xml:space="preserve"> võivad TurS</w:t>
      </w:r>
      <w:r w:rsidR="00D0746B">
        <w:rPr>
          <w:rFonts w:ascii="Arial" w:hAnsi="Arial" w:cs="Arial"/>
        </w:rPr>
        <w:t>-i</w:t>
      </w:r>
      <w:r w:rsidRPr="5848DE21">
        <w:rPr>
          <w:rFonts w:ascii="Arial" w:hAnsi="Arial" w:cs="Arial"/>
        </w:rPr>
        <w:t xml:space="preserve"> </w:t>
      </w:r>
      <w:r>
        <w:t xml:space="preserve">§18 lg1 </w:t>
      </w:r>
      <w:r w:rsidRPr="5848DE21">
        <w:rPr>
          <w:rFonts w:ascii="Arial" w:hAnsi="Arial" w:cs="Arial"/>
        </w:rPr>
        <w:t xml:space="preserve">kohaselt olla hotell, motell, külalistemaja, hostel, puhkeküla või -laager, puhkemaja, külaliskorter ja kodumajutus. Neist lühiajalise üüri teenuse osutamisele vastavad kõige enam </w:t>
      </w:r>
      <w:r w:rsidRPr="5848DE21">
        <w:rPr>
          <w:rFonts w:ascii="Arial" w:hAnsi="Arial" w:cs="Arial"/>
          <w:b/>
          <w:bCs/>
        </w:rPr>
        <w:t>puhkemaja,</w:t>
      </w:r>
      <w:r w:rsidRPr="5848DE21">
        <w:rPr>
          <w:rFonts w:ascii="Arial" w:hAnsi="Arial" w:cs="Arial"/>
        </w:rPr>
        <w:t xml:space="preserve"> </w:t>
      </w:r>
      <w:r w:rsidRPr="5848DE21">
        <w:rPr>
          <w:rFonts w:ascii="Arial" w:hAnsi="Arial" w:cs="Arial"/>
          <w:b/>
          <w:bCs/>
        </w:rPr>
        <w:t>külaliskorter</w:t>
      </w:r>
      <w:r w:rsidRPr="5848DE21">
        <w:rPr>
          <w:rFonts w:ascii="Arial" w:hAnsi="Arial" w:cs="Arial"/>
        </w:rPr>
        <w:t xml:space="preserve"> ja </w:t>
      </w:r>
      <w:r w:rsidRPr="5848DE21">
        <w:rPr>
          <w:rFonts w:ascii="Arial" w:hAnsi="Arial" w:cs="Arial"/>
          <w:b/>
          <w:bCs/>
        </w:rPr>
        <w:t>kodumajutus</w:t>
      </w:r>
      <w:r w:rsidRPr="00C15AD4">
        <w:rPr>
          <w:rFonts w:ascii="Arial" w:hAnsi="Arial" w:cs="Arial"/>
        </w:rPr>
        <w:t>, kuna:</w:t>
      </w:r>
    </w:p>
    <w:p w14:paraId="462422B3" w14:textId="77777777" w:rsidR="001E44AD" w:rsidRPr="00E14EBC" w:rsidRDefault="001E44AD" w:rsidP="001E44AD">
      <w:pPr>
        <w:numPr>
          <w:ilvl w:val="0"/>
          <w:numId w:val="40"/>
        </w:numPr>
        <w:spacing w:line="240" w:lineRule="auto"/>
        <w:jc w:val="both"/>
        <w:rPr>
          <w:rFonts w:ascii="Arial" w:hAnsi="Arial" w:cs="Arial"/>
        </w:rPr>
      </w:pPr>
      <w:r>
        <w:rPr>
          <w:rFonts w:ascii="Arial" w:hAnsi="Arial" w:cs="Arial"/>
        </w:rPr>
        <w:t>n</w:t>
      </w:r>
      <w:r w:rsidRPr="00E14EBC">
        <w:rPr>
          <w:rFonts w:ascii="Arial" w:hAnsi="Arial" w:cs="Arial"/>
        </w:rPr>
        <w:t>eed võivad asuda tavapärases eluruumis</w:t>
      </w:r>
      <w:r>
        <w:rPr>
          <w:rFonts w:ascii="Arial" w:hAnsi="Arial" w:cs="Arial"/>
        </w:rPr>
        <w:t>;</w:t>
      </w:r>
    </w:p>
    <w:p w14:paraId="73541267" w14:textId="77777777" w:rsidR="001E44AD" w:rsidRDefault="001E44AD" w:rsidP="001E44AD">
      <w:pPr>
        <w:numPr>
          <w:ilvl w:val="0"/>
          <w:numId w:val="40"/>
        </w:numPr>
        <w:spacing w:line="240" w:lineRule="auto"/>
        <w:jc w:val="both"/>
        <w:rPr>
          <w:rFonts w:ascii="Arial" w:hAnsi="Arial" w:cs="Arial"/>
        </w:rPr>
      </w:pPr>
      <w:r>
        <w:rPr>
          <w:rFonts w:ascii="Arial" w:hAnsi="Arial" w:cs="Arial"/>
        </w:rPr>
        <w:t>s</w:t>
      </w:r>
      <w:r w:rsidRPr="288A3578">
        <w:rPr>
          <w:rFonts w:ascii="Arial" w:hAnsi="Arial" w:cs="Arial"/>
        </w:rPr>
        <w:t xml:space="preserve">ageli </w:t>
      </w:r>
      <w:r>
        <w:rPr>
          <w:rFonts w:ascii="Arial" w:hAnsi="Arial" w:cs="Arial"/>
        </w:rPr>
        <w:t>ei ole teenuse pakkuja ise füüsiliselt majutusettevõttes kohal:</w:t>
      </w:r>
    </w:p>
    <w:p w14:paraId="7B52F067" w14:textId="77777777" w:rsidR="001E44AD" w:rsidRPr="00E14EBC" w:rsidRDefault="001E44AD" w:rsidP="001E44AD">
      <w:pPr>
        <w:numPr>
          <w:ilvl w:val="0"/>
          <w:numId w:val="40"/>
        </w:numPr>
        <w:spacing w:line="240" w:lineRule="auto"/>
        <w:jc w:val="both"/>
        <w:rPr>
          <w:rFonts w:ascii="Arial" w:hAnsi="Arial" w:cs="Arial"/>
        </w:rPr>
      </w:pPr>
      <w:r>
        <w:rPr>
          <w:rFonts w:ascii="Arial" w:hAnsi="Arial" w:cs="Arial"/>
        </w:rPr>
        <w:t>üldiselt ei pakuta lisateenuseid (nt toitlustust);</w:t>
      </w:r>
    </w:p>
    <w:p w14:paraId="37DD8A57" w14:textId="77777777" w:rsidR="001E44AD" w:rsidRPr="00E14EBC" w:rsidRDefault="001E44AD" w:rsidP="001E44AD">
      <w:pPr>
        <w:numPr>
          <w:ilvl w:val="0"/>
          <w:numId w:val="40"/>
        </w:numPr>
        <w:spacing w:line="240" w:lineRule="auto"/>
        <w:jc w:val="both"/>
        <w:rPr>
          <w:rFonts w:ascii="Arial" w:hAnsi="Arial" w:cs="Arial"/>
        </w:rPr>
      </w:pPr>
      <w:r>
        <w:rPr>
          <w:rFonts w:ascii="Arial" w:hAnsi="Arial" w:cs="Arial"/>
        </w:rPr>
        <w:t>t</w:t>
      </w:r>
      <w:r w:rsidRPr="00E14EBC">
        <w:rPr>
          <w:rFonts w:ascii="Arial" w:hAnsi="Arial" w:cs="Arial"/>
        </w:rPr>
        <w:t>eenus on paindlik ning suunatud lühiajaliseks kasutuseks (1 öö – paar nädalat)</w:t>
      </w:r>
      <w:r>
        <w:rPr>
          <w:rFonts w:ascii="Arial" w:hAnsi="Arial" w:cs="Arial"/>
        </w:rPr>
        <w:t>;</w:t>
      </w:r>
    </w:p>
    <w:p w14:paraId="49110D3D" w14:textId="77777777" w:rsidR="001E44AD" w:rsidRPr="00E14EBC" w:rsidRDefault="001E44AD" w:rsidP="001E44AD">
      <w:pPr>
        <w:numPr>
          <w:ilvl w:val="0"/>
          <w:numId w:val="40"/>
        </w:numPr>
        <w:spacing w:line="240" w:lineRule="auto"/>
        <w:jc w:val="both"/>
        <w:rPr>
          <w:rFonts w:ascii="Arial" w:hAnsi="Arial" w:cs="Arial"/>
        </w:rPr>
      </w:pPr>
      <w:r>
        <w:rPr>
          <w:rFonts w:ascii="Arial" w:hAnsi="Arial" w:cs="Arial"/>
        </w:rPr>
        <w:t>t</w:t>
      </w:r>
      <w:r w:rsidRPr="00E14EBC">
        <w:rPr>
          <w:rFonts w:ascii="Arial" w:hAnsi="Arial" w:cs="Arial"/>
        </w:rPr>
        <w:t>üüpilised on veebipõhised broneeringud (nt Airbnb, Booking.com).</w:t>
      </w:r>
    </w:p>
    <w:p w14:paraId="2E35AAA3" w14:textId="77777777" w:rsidR="001E44AD" w:rsidRPr="00E14EBC" w:rsidRDefault="001E44AD" w:rsidP="001E44AD">
      <w:pPr>
        <w:jc w:val="both"/>
        <w:rPr>
          <w:rFonts w:ascii="Arial" w:hAnsi="Arial" w:cs="Arial"/>
        </w:rPr>
      </w:pPr>
      <w:r w:rsidRPr="00E14EBC">
        <w:rPr>
          <w:rFonts w:ascii="Arial" w:hAnsi="Arial" w:cs="Arial"/>
        </w:rPr>
        <w:lastRenderedPageBreak/>
        <w:t>Majutusteenuse osutamine ja majutusettevõtte määratlus ei eelda täna kohustuslikku registreeringut ega litsentsi.</w:t>
      </w:r>
      <w:r w:rsidRPr="00E14EBC">
        <w:rPr>
          <w:rStyle w:val="FootnoteReference"/>
          <w:rFonts w:ascii="Arial" w:hAnsi="Arial" w:cs="Arial"/>
        </w:rPr>
        <w:footnoteReference w:id="32"/>
      </w:r>
    </w:p>
    <w:p w14:paraId="5BE00202" w14:textId="311D9BDF" w:rsidR="001E44AD" w:rsidRPr="00E14EBC" w:rsidRDefault="001E44AD" w:rsidP="001E44AD">
      <w:pPr>
        <w:jc w:val="both"/>
        <w:rPr>
          <w:rFonts w:ascii="Arial" w:hAnsi="Arial" w:cs="Arial"/>
        </w:rPr>
      </w:pPr>
      <w:r w:rsidRPr="00E14EBC">
        <w:rPr>
          <w:rFonts w:ascii="Arial" w:hAnsi="Arial" w:cs="Arial"/>
        </w:rPr>
        <w:t>Lühiajalise üüri teenusega seotult kasutatakse praktikas vahel ka mõistet „</w:t>
      </w:r>
      <w:r w:rsidRPr="00E14EBC">
        <w:rPr>
          <w:rFonts w:ascii="Arial" w:hAnsi="Arial" w:cs="Arial"/>
          <w:b/>
          <w:bCs/>
        </w:rPr>
        <w:t>majutusüksus</w:t>
      </w:r>
      <w:r w:rsidRPr="00E14EBC">
        <w:rPr>
          <w:rFonts w:ascii="Arial" w:hAnsi="Arial" w:cs="Arial"/>
        </w:rPr>
        <w:t xml:space="preserve">“. Mõistet </w:t>
      </w:r>
      <w:r w:rsidRPr="00E14EBC">
        <w:rPr>
          <w:rFonts w:ascii="Arial" w:hAnsi="Arial" w:cs="Arial"/>
          <w:b/>
          <w:bCs/>
        </w:rPr>
        <w:t>„majutusüksus“</w:t>
      </w:r>
      <w:r w:rsidRPr="00E14EBC">
        <w:rPr>
          <w:rFonts w:ascii="Arial" w:hAnsi="Arial" w:cs="Arial"/>
        </w:rPr>
        <w:t xml:space="preserve"> ei kasutata Eesti õiguses. Kuid see on levinud praktikas majutussektori kohta statistika kogumisel ning EL</w:t>
      </w:r>
      <w:r w:rsidR="0042439A">
        <w:rPr>
          <w:rFonts w:ascii="Arial" w:hAnsi="Arial" w:cs="Arial"/>
        </w:rPr>
        <w:t>-i</w:t>
      </w:r>
      <w:r w:rsidRPr="00E14EBC">
        <w:rPr>
          <w:rFonts w:ascii="Arial" w:hAnsi="Arial" w:cs="Arial"/>
        </w:rPr>
        <w:t xml:space="preserve"> õigusaktides, tähistades ka majutusettevõtet, kus osutatakse majutusteenust. Samuti kasutatakse statistika kogumisel mõistet </w:t>
      </w:r>
      <w:r w:rsidRPr="00E14EBC">
        <w:rPr>
          <w:rFonts w:ascii="Arial" w:hAnsi="Arial" w:cs="Arial"/>
          <w:b/>
          <w:bCs/>
        </w:rPr>
        <w:t>„majutusruum“</w:t>
      </w:r>
      <w:r w:rsidRPr="00E14EBC">
        <w:rPr>
          <w:rFonts w:ascii="Arial" w:hAnsi="Arial" w:cs="Arial"/>
        </w:rPr>
        <w:t>, mille all mõeldakse majutusettevõttes (või ka majutusüksuses) olevaid külaliste majutamiseks mõeldud ruume.</w:t>
      </w:r>
    </w:p>
    <w:p w14:paraId="3BB9FBEA" w14:textId="77777777" w:rsidR="001E44AD" w:rsidRPr="00E14EBC" w:rsidRDefault="001E44AD" w:rsidP="001E44AD">
      <w:pPr>
        <w:pStyle w:val="Heading3"/>
        <w:ind w:left="450"/>
        <w:rPr>
          <w:rStyle w:val="PurpleText"/>
          <w:rFonts w:hint="eastAsia"/>
          <w:color w:val="auto"/>
        </w:rPr>
      </w:pPr>
      <w:bookmarkStart w:id="73" w:name="_Toc197718055"/>
      <w:bookmarkStart w:id="74" w:name="_Toc208991589"/>
      <w:r w:rsidRPr="00E14EBC">
        <w:rPr>
          <w:rStyle w:val="PurpleText"/>
          <w:color w:val="auto"/>
        </w:rPr>
        <w:t>Lühiajalise üüri teenuse ajalisest kestusest</w:t>
      </w:r>
      <w:bookmarkEnd w:id="73"/>
      <w:bookmarkEnd w:id="74"/>
    </w:p>
    <w:p w14:paraId="69021D24" w14:textId="77777777" w:rsidR="001E44AD" w:rsidRPr="00E14EBC" w:rsidRDefault="001E44AD" w:rsidP="001E44AD">
      <w:pPr>
        <w:spacing w:after="0"/>
        <w:jc w:val="both"/>
        <w:rPr>
          <w:rFonts w:ascii="Arial" w:hAnsi="Arial" w:cs="Arial"/>
        </w:rPr>
      </w:pPr>
      <w:r w:rsidRPr="00E14EBC">
        <w:rPr>
          <w:rFonts w:ascii="Arial" w:hAnsi="Arial" w:cs="Arial"/>
        </w:rPr>
        <w:t>Lühiajalise üüri teenuse sisu tõlgendamiseks tuleb vaadelda ka mõistete „ajutine“ ja „lühiajaline“ tõlgendamist õiguses. Õiguslikus vaates ei ole need mõisted üheselt määratletud ning nende tähendus sõltub kontekstist, milles neid kasutatakse.</w:t>
      </w:r>
    </w:p>
    <w:p w14:paraId="1124E5D1" w14:textId="77777777" w:rsidR="001E44AD" w:rsidRPr="00E14EBC" w:rsidRDefault="001E44AD" w:rsidP="001E44AD">
      <w:pPr>
        <w:spacing w:after="0"/>
        <w:jc w:val="both"/>
        <w:rPr>
          <w:rFonts w:ascii="Arial" w:hAnsi="Arial" w:cs="Arial"/>
        </w:rPr>
      </w:pPr>
      <w:r w:rsidRPr="00E14EBC">
        <w:rPr>
          <w:rFonts w:ascii="Arial" w:hAnsi="Arial" w:cs="Arial"/>
        </w:rPr>
        <w:t xml:space="preserve">Eesti Keele Instituudi 2024 ühendsõnastiku kohaselt tähendab „ajutine“: </w:t>
      </w:r>
      <w:r w:rsidRPr="00E14EBC">
        <w:rPr>
          <w:rFonts w:ascii="Arial" w:hAnsi="Arial" w:cs="Arial"/>
          <w:i/>
          <w:iCs/>
        </w:rPr>
        <w:t>mittealatine, mõneks ajaks määratud, mööduv või mittepüsiv</w:t>
      </w:r>
      <w:r w:rsidRPr="00E14EBC">
        <w:rPr>
          <w:rFonts w:ascii="Arial" w:hAnsi="Arial" w:cs="Arial"/>
        </w:rPr>
        <w:t xml:space="preserve">. Õigustõlgenduse kontekstis tähendab see, et tegevuse või lepingu </w:t>
      </w:r>
      <w:r w:rsidRPr="00E14EBC">
        <w:rPr>
          <w:rFonts w:ascii="Arial" w:hAnsi="Arial" w:cs="Arial"/>
          <w:b/>
          <w:bCs/>
        </w:rPr>
        <w:t>kestus on poolte vahel konkreetselt kokkulepitud ning olemuselt mitte jääv</w:t>
      </w:r>
      <w:r w:rsidRPr="00E14EBC">
        <w:rPr>
          <w:rFonts w:ascii="Arial" w:hAnsi="Arial" w:cs="Arial"/>
        </w:rPr>
        <w:t>.</w:t>
      </w:r>
    </w:p>
    <w:p w14:paraId="4F914071" w14:textId="1D1A5673" w:rsidR="001E44AD" w:rsidRPr="00E14EBC" w:rsidRDefault="001E44AD" w:rsidP="001E44AD">
      <w:pPr>
        <w:spacing w:after="0"/>
        <w:jc w:val="both"/>
        <w:rPr>
          <w:rFonts w:ascii="Arial" w:hAnsi="Arial" w:cs="Arial"/>
        </w:rPr>
      </w:pPr>
      <w:r w:rsidRPr="00E14EBC">
        <w:rPr>
          <w:rFonts w:ascii="Arial" w:hAnsi="Arial" w:cs="Arial"/>
        </w:rPr>
        <w:t xml:space="preserve">Oluline on mõista, et </w:t>
      </w:r>
      <w:r w:rsidRPr="00E14EBC">
        <w:rPr>
          <w:rFonts w:ascii="Arial" w:hAnsi="Arial" w:cs="Arial"/>
          <w:b/>
          <w:bCs/>
        </w:rPr>
        <w:t>ajutine</w:t>
      </w:r>
      <w:r w:rsidRPr="00E14EBC">
        <w:rPr>
          <w:rFonts w:ascii="Arial" w:hAnsi="Arial" w:cs="Arial"/>
        </w:rPr>
        <w:t xml:space="preserve"> ei tähenda alati </w:t>
      </w:r>
      <w:r w:rsidRPr="00E14EBC">
        <w:rPr>
          <w:rFonts w:ascii="Arial" w:hAnsi="Arial" w:cs="Arial"/>
          <w:b/>
          <w:bCs/>
        </w:rPr>
        <w:t>lühiajalist</w:t>
      </w:r>
      <w:r w:rsidRPr="00E14EBC">
        <w:rPr>
          <w:rFonts w:ascii="Arial" w:hAnsi="Arial" w:cs="Arial"/>
        </w:rPr>
        <w:t xml:space="preserve">. Näiteks hoonestusõigus, mis on samuti ajutine, võib seaduse kohaselt kehtida kuni 99 aastat (asjaõigusseadus §226). Seega võib midagi olla ajutine ka juhul, kui kestus on pikk, kuid sellel on </w:t>
      </w:r>
      <w:r w:rsidRPr="00E14EBC">
        <w:rPr>
          <w:rFonts w:ascii="Arial" w:hAnsi="Arial" w:cs="Arial"/>
          <w:b/>
          <w:bCs/>
        </w:rPr>
        <w:t>tähistatud lõpp</w:t>
      </w:r>
      <w:r w:rsidRPr="00E14EBC">
        <w:rPr>
          <w:rFonts w:ascii="Arial" w:hAnsi="Arial" w:cs="Arial"/>
        </w:rPr>
        <w:t xml:space="preserve">. Sellest vaatepunktist tuleb ka lühiajalise üüri teenust ja klassikalist majutusteenust mõista kui </w:t>
      </w:r>
      <w:r w:rsidRPr="00E14EBC">
        <w:rPr>
          <w:rFonts w:ascii="Arial" w:hAnsi="Arial" w:cs="Arial"/>
          <w:i/>
          <w:iCs/>
        </w:rPr>
        <w:t>ajutisi õigussuhteid</w:t>
      </w:r>
      <w:r w:rsidRPr="00E14EBC">
        <w:rPr>
          <w:rFonts w:ascii="Arial" w:hAnsi="Arial" w:cs="Arial"/>
        </w:rPr>
        <w:t>, mille lühiajaline iseloom on eeldatav, kuid mitte automaatselt juriidiliselt määratletud.</w:t>
      </w:r>
    </w:p>
    <w:p w14:paraId="12620DC3" w14:textId="176E8541" w:rsidR="001E44AD" w:rsidRPr="00E14EBC" w:rsidRDefault="001E44AD" w:rsidP="001E44AD">
      <w:pPr>
        <w:spacing w:after="0"/>
        <w:jc w:val="both"/>
        <w:rPr>
          <w:rFonts w:ascii="Arial" w:hAnsi="Arial" w:cs="Arial"/>
        </w:rPr>
      </w:pPr>
      <w:r w:rsidRPr="5848DE21">
        <w:rPr>
          <w:rFonts w:ascii="Arial" w:hAnsi="Arial" w:cs="Arial"/>
        </w:rPr>
        <w:t>Analüüsitava temaatika peamiselt seotud seadustes, VÕS-is ja TurS-is on ka kasutatud ajalisi piire. VÕS</w:t>
      </w:r>
      <w:r w:rsidR="00AB6BF8">
        <w:rPr>
          <w:rFonts w:ascii="Arial" w:hAnsi="Arial" w:cs="Arial"/>
        </w:rPr>
        <w:t>-i</w:t>
      </w:r>
      <w:r w:rsidRPr="5848DE21">
        <w:rPr>
          <w:rFonts w:ascii="Arial" w:hAnsi="Arial" w:cs="Arial"/>
        </w:rPr>
        <w:t xml:space="preserve"> alusel on üürisuhe </w:t>
      </w:r>
      <w:r w:rsidRPr="5848DE21">
        <w:rPr>
          <w:rFonts w:ascii="Arial" w:hAnsi="Arial" w:cs="Arial"/>
          <w:b/>
          <w:bCs/>
        </w:rPr>
        <w:t>kas tähtajaline või tähtajatu</w:t>
      </w:r>
      <w:r w:rsidRPr="5848DE21">
        <w:rPr>
          <w:rFonts w:ascii="Arial" w:hAnsi="Arial" w:cs="Arial"/>
        </w:rPr>
        <w:t xml:space="preserve"> (VÕS §309-312). Tähtajaline üürileping lõpeb määratud tähtaja saabumisel automaatselt, samas kui tähtajatu üürilepingu lõpetamine eeldab seaduses sätestatud etteteatamist. Samas, VÕS</w:t>
      </w:r>
      <w:r w:rsidR="00AB6BF8">
        <w:rPr>
          <w:rFonts w:ascii="Arial" w:hAnsi="Arial" w:cs="Arial"/>
        </w:rPr>
        <w:t>-i</w:t>
      </w:r>
      <w:r w:rsidRPr="5848DE21">
        <w:rPr>
          <w:rFonts w:ascii="Arial" w:hAnsi="Arial" w:cs="Arial"/>
        </w:rPr>
        <w:t xml:space="preserve"> §310 lg1 alusel, kui üürnik jätkab asja kasutamist pärast tähtaja möödumist ja üürileandja seda ei takista, loetakse leping tähtajatuks. See tähendab, et ka väga lühikeseks ajaks sõlmitud üürileping võib passiivsuse korral muutuda määramata tähtajaks kehtivaks. Praktikas on selle sätte kohaldumine lühiajalise üüri teenuse puhul vähetõenäoline.</w:t>
      </w:r>
    </w:p>
    <w:p w14:paraId="56B6BC18" w14:textId="52B690E9" w:rsidR="001E44AD" w:rsidRPr="00E14EBC" w:rsidRDefault="001E44AD" w:rsidP="001E44AD">
      <w:pPr>
        <w:tabs>
          <w:tab w:val="num" w:pos="720"/>
        </w:tabs>
        <w:spacing w:after="0"/>
        <w:jc w:val="both"/>
        <w:rPr>
          <w:rFonts w:ascii="Arial" w:hAnsi="Arial" w:cs="Arial"/>
        </w:rPr>
      </w:pPr>
      <w:r w:rsidRPr="00E14EBC">
        <w:rPr>
          <w:rFonts w:ascii="Arial" w:hAnsi="Arial" w:cs="Arial"/>
        </w:rPr>
        <w:t>VÕS-is ega TurS-is ei ole defineeritud mõisted „ajutine“ ja „lühiajaline“. Samas VÕS</w:t>
      </w:r>
      <w:r w:rsidR="00AB6BF8">
        <w:rPr>
          <w:rFonts w:ascii="Arial" w:hAnsi="Arial" w:cs="Arial"/>
        </w:rPr>
        <w:t>-i</w:t>
      </w:r>
      <w:r w:rsidRPr="00E14EBC">
        <w:rPr>
          <w:rFonts w:ascii="Arial" w:hAnsi="Arial" w:cs="Arial"/>
          <w:b/>
          <w:bCs/>
        </w:rPr>
        <w:t xml:space="preserve"> </w:t>
      </w:r>
      <w:r w:rsidRPr="00E14EBC">
        <w:rPr>
          <w:rFonts w:ascii="Arial" w:hAnsi="Arial" w:cs="Arial"/>
        </w:rPr>
        <w:t>kaudu saab järeldada, et majutusteenus on olemuslikult ajutine. VÕS</w:t>
      </w:r>
      <w:r w:rsidR="00AB6BF8">
        <w:rPr>
          <w:rFonts w:ascii="Arial" w:hAnsi="Arial" w:cs="Arial"/>
        </w:rPr>
        <w:t>-i</w:t>
      </w:r>
      <w:r w:rsidRPr="00E14EBC">
        <w:rPr>
          <w:rFonts w:ascii="Arial" w:hAnsi="Arial" w:cs="Arial"/>
        </w:rPr>
        <w:t xml:space="preserve"> §272 lg4 p1 kohaselt </w:t>
      </w:r>
      <w:r w:rsidRPr="00E14EBC">
        <w:rPr>
          <w:rFonts w:ascii="Arial" w:hAnsi="Arial" w:cs="Arial"/>
          <w:b/>
          <w:bCs/>
        </w:rPr>
        <w:t>ei kohaldata eluruumi üürilepingu</w:t>
      </w:r>
      <w:r w:rsidRPr="00E14EBC">
        <w:rPr>
          <w:rFonts w:ascii="Arial" w:hAnsi="Arial" w:cs="Arial"/>
        </w:rPr>
        <w:t xml:space="preserve"> </w:t>
      </w:r>
      <w:r w:rsidRPr="00E14EBC">
        <w:rPr>
          <w:rFonts w:ascii="Arial" w:hAnsi="Arial" w:cs="Arial"/>
          <w:b/>
          <w:bCs/>
        </w:rPr>
        <w:t>erisätteid</w:t>
      </w:r>
      <w:r w:rsidRPr="00E14EBC">
        <w:rPr>
          <w:rFonts w:ascii="Arial" w:hAnsi="Arial" w:cs="Arial"/>
        </w:rPr>
        <w:t xml:space="preserve"> nendele juhtudele, kus tegemist on majutusettevõtte ruumide või muude ruumide ajutiseks kasutamiseks sõlmitud üürilepingutega, </w:t>
      </w:r>
      <w:r w:rsidRPr="00E14EBC">
        <w:rPr>
          <w:rFonts w:ascii="Arial" w:hAnsi="Arial" w:cs="Arial"/>
          <w:b/>
          <w:bCs/>
        </w:rPr>
        <w:t>mille kestus ei ületa kolme kuud</w:t>
      </w:r>
      <w:r w:rsidRPr="00E14EBC">
        <w:rPr>
          <w:rFonts w:ascii="Arial" w:hAnsi="Arial" w:cs="Arial"/>
        </w:rPr>
        <w:t>. Seega kui näiteks teenust pakutakse kodumajutuses või külaliskorteris alla kolme kuu, käsitatakse seda pigem majutusteenusena, mitte eluruumi üürina.</w:t>
      </w:r>
    </w:p>
    <w:p w14:paraId="3B5ABEC8" w14:textId="0971A0BD" w:rsidR="001E44AD" w:rsidRPr="00E14EBC" w:rsidRDefault="001E44AD" w:rsidP="001E44AD">
      <w:pPr>
        <w:tabs>
          <w:tab w:val="num" w:pos="720"/>
        </w:tabs>
        <w:spacing w:after="0"/>
        <w:jc w:val="both"/>
        <w:rPr>
          <w:rFonts w:ascii="Arial" w:hAnsi="Arial" w:cs="Arial"/>
        </w:rPr>
      </w:pPr>
      <w:r w:rsidRPr="00E14EBC">
        <w:rPr>
          <w:rFonts w:ascii="Arial" w:hAnsi="Arial" w:cs="Arial"/>
        </w:rPr>
        <w:t>Ka TurS</w:t>
      </w:r>
      <w:r w:rsidR="00D0746B">
        <w:rPr>
          <w:rFonts w:ascii="Arial" w:hAnsi="Arial" w:cs="Arial"/>
        </w:rPr>
        <w:t>-i</w:t>
      </w:r>
      <w:r w:rsidRPr="00E14EBC">
        <w:rPr>
          <w:rFonts w:ascii="Arial" w:hAnsi="Arial" w:cs="Arial"/>
        </w:rPr>
        <w:t xml:space="preserve"> muutmise seaduse seletuskirja</w:t>
      </w:r>
      <w:r w:rsidRPr="00E14EBC">
        <w:rPr>
          <w:rStyle w:val="FootnoteReference"/>
          <w:rFonts w:ascii="Arial" w:hAnsi="Arial" w:cs="Arial"/>
        </w:rPr>
        <w:footnoteReference w:id="33"/>
      </w:r>
      <w:r w:rsidRPr="00E14EBC">
        <w:rPr>
          <w:rFonts w:ascii="Arial" w:hAnsi="Arial" w:cs="Arial"/>
        </w:rPr>
        <w:t xml:space="preserve"> kohaselt on TurS-is kasutatud majutusteenuse definitsioonis teenuse ajutisuse sissetoomise eesmärk eristada paremini majutusteenust eluruumi üürilepingutest. Kuigi võlaõiguslikult on majutusteenuse osutamisel tegemist üürilepinguga, ei </w:t>
      </w:r>
      <w:r w:rsidRPr="00E14EBC">
        <w:rPr>
          <w:rFonts w:ascii="Arial" w:hAnsi="Arial" w:cs="Arial"/>
        </w:rPr>
        <w:lastRenderedPageBreak/>
        <w:t>kohaldu sellele eluruumi üürilepingute erireeglid. Nimelt on VÕS</w:t>
      </w:r>
      <w:r w:rsidR="00AB6BF8">
        <w:rPr>
          <w:rFonts w:ascii="Arial" w:hAnsi="Arial" w:cs="Arial"/>
        </w:rPr>
        <w:t>-i</w:t>
      </w:r>
      <w:r w:rsidRPr="00E14EBC">
        <w:rPr>
          <w:rFonts w:ascii="Arial" w:hAnsi="Arial" w:cs="Arial"/>
        </w:rPr>
        <w:t xml:space="preserve"> §272 </w:t>
      </w:r>
      <w:r w:rsidR="00017E89">
        <w:rPr>
          <w:rFonts w:ascii="Arial" w:hAnsi="Arial" w:cs="Arial"/>
        </w:rPr>
        <w:t>lg</w:t>
      </w:r>
      <w:r w:rsidRPr="00E14EBC">
        <w:rPr>
          <w:rFonts w:ascii="Arial" w:hAnsi="Arial" w:cs="Arial"/>
        </w:rPr>
        <w:t xml:space="preserve">4 </w:t>
      </w:r>
      <w:r w:rsidR="00017E89">
        <w:rPr>
          <w:rFonts w:ascii="Arial" w:hAnsi="Arial" w:cs="Arial"/>
        </w:rPr>
        <w:t>p</w:t>
      </w:r>
      <w:r w:rsidRPr="00E14EBC">
        <w:rPr>
          <w:rFonts w:ascii="Arial" w:hAnsi="Arial" w:cs="Arial"/>
        </w:rPr>
        <w:t>1 sätestatud, et elu- ja äriruumide üürimise kohta sätestatut ei kohaldata majutusettevõtte ruumide ning puhkamiseks mõeldud ruumide üürilepingutele tähtajaga mitte üle kolme kuu, samuti muude ruumide ajutiseks kasutamiseks sõlmitud üürilepingutele. Kahe seaduse koosmõjus käsitletakse kuni kolm kuud kestvat majutust lühiajaliseks ehk ajutiseks, mille eesmärk ei ole pakkuda elukohta.</w:t>
      </w:r>
    </w:p>
    <w:p w14:paraId="2355E53C" w14:textId="77777777" w:rsidR="001E44AD" w:rsidRPr="00E14EBC" w:rsidRDefault="001E44AD" w:rsidP="001E44AD">
      <w:pPr>
        <w:pStyle w:val="Heading3"/>
        <w:ind w:left="540"/>
        <w:rPr>
          <w:rFonts w:hint="eastAsia"/>
        </w:rPr>
      </w:pPr>
      <w:bookmarkStart w:id="75" w:name="_Toc197718056"/>
      <w:bookmarkStart w:id="76" w:name="_Toc208991590"/>
      <w:r w:rsidRPr="00E14EBC">
        <w:t>Külastajate registreerimise ja andmete esitamise kohustus</w:t>
      </w:r>
      <w:bookmarkEnd w:id="75"/>
      <w:bookmarkEnd w:id="76"/>
    </w:p>
    <w:p w14:paraId="3147FBD3" w14:textId="6730265C" w:rsidR="001E44AD" w:rsidRPr="00E14EBC" w:rsidRDefault="001E44AD" w:rsidP="001E44AD">
      <w:pPr>
        <w:jc w:val="both"/>
        <w:rPr>
          <w:rFonts w:ascii="Arial" w:hAnsi="Arial" w:cs="Arial"/>
        </w:rPr>
      </w:pPr>
      <w:r w:rsidRPr="00E14EBC">
        <w:rPr>
          <w:rFonts w:ascii="Arial" w:hAnsi="Arial" w:cs="Arial"/>
        </w:rPr>
        <w:t>Majutusteenuse osutaja on TurS</w:t>
      </w:r>
      <w:r w:rsidR="00D0746B">
        <w:rPr>
          <w:rFonts w:ascii="Arial" w:hAnsi="Arial" w:cs="Arial"/>
        </w:rPr>
        <w:t>-i</w:t>
      </w:r>
      <w:r w:rsidRPr="00E14EBC">
        <w:rPr>
          <w:rFonts w:ascii="Arial" w:hAnsi="Arial" w:cs="Arial"/>
        </w:rPr>
        <w:t xml:space="preserve"> §24 kohaselt </w:t>
      </w:r>
      <w:r w:rsidRPr="00E14EBC">
        <w:rPr>
          <w:rFonts w:ascii="Arial" w:hAnsi="Arial" w:cs="Arial"/>
          <w:b/>
          <w:bCs/>
        </w:rPr>
        <w:t>kohustatud registreerima majutusteenuse kasutaja</w:t>
      </w:r>
      <w:r w:rsidRPr="00E14EBC">
        <w:rPr>
          <w:rFonts w:ascii="Arial" w:hAnsi="Arial" w:cs="Arial"/>
        </w:rPr>
        <w:t xml:space="preserve"> enne teenuse osutamise algust.</w:t>
      </w:r>
      <w:r w:rsidRPr="2C5F7B00">
        <w:rPr>
          <w:rFonts w:ascii="Arial" w:hAnsi="Arial" w:cs="Arial"/>
        </w:rPr>
        <w:t xml:space="preserve"> </w:t>
      </w:r>
      <w:r>
        <w:t xml:space="preserve">See nõue on kooskõlas </w:t>
      </w:r>
      <w:r w:rsidRPr="00314C3E">
        <w:rPr>
          <w:rFonts w:ascii="Arial" w:hAnsi="Arial" w:cs="Arial"/>
        </w:rPr>
        <w:t xml:space="preserve">Schengeni </w:t>
      </w:r>
      <w:r w:rsidRPr="2C5F7B00">
        <w:rPr>
          <w:rFonts w:ascii="Arial" w:hAnsi="Arial" w:cs="Arial"/>
        </w:rPr>
        <w:t>konventsiooni</w:t>
      </w:r>
      <w:r w:rsidRPr="00314C3E">
        <w:rPr>
          <w:rFonts w:ascii="Arial" w:hAnsi="Arial" w:cs="Arial"/>
        </w:rPr>
        <w:t>ga</w:t>
      </w:r>
      <w:r>
        <w:rPr>
          <w:rStyle w:val="FootnoteReference"/>
          <w:rFonts w:ascii="Arial" w:hAnsi="Arial" w:cs="Arial"/>
        </w:rPr>
        <w:footnoteReference w:id="34"/>
      </w:r>
      <w:r>
        <w:rPr>
          <w:rFonts w:ascii="Arial" w:hAnsi="Arial" w:cs="Arial"/>
        </w:rPr>
        <w:t>, mille järgi</w:t>
      </w:r>
      <w:r w:rsidRPr="00314C3E">
        <w:rPr>
          <w:rFonts w:ascii="Arial" w:hAnsi="Arial" w:cs="Arial"/>
        </w:rPr>
        <w:t xml:space="preserve"> </w:t>
      </w:r>
      <w:r w:rsidRPr="00A32B95">
        <w:rPr>
          <w:rFonts w:ascii="Arial" w:hAnsi="Arial" w:cs="Arial"/>
        </w:rPr>
        <w:t>peab korrakaitseasutustel olema võimalik neid andmeid kasutada ka</w:t>
      </w:r>
      <w:r>
        <w:rPr>
          <w:rFonts w:ascii="Arial" w:hAnsi="Arial" w:cs="Arial"/>
        </w:rPr>
        <w:t>s</w:t>
      </w:r>
      <w:r w:rsidRPr="00A32B95">
        <w:rPr>
          <w:rFonts w:ascii="Arial" w:hAnsi="Arial" w:cs="Arial"/>
        </w:rPr>
        <w:t xml:space="preserve"> ohu ennetamiseks, kriminaaluurimise läbiviimiseks või kadunud isikute või õnnetusjuhtumite ohvritega seotud asjaolude selgitamiseks.</w:t>
      </w:r>
      <w:r w:rsidRPr="00E14EBC">
        <w:rPr>
          <w:rFonts w:ascii="Arial" w:hAnsi="Arial" w:cs="Arial"/>
        </w:rPr>
        <w:t xml:space="preserve"> Registreerimisandmed hõlmavad kasutaja nime, sünniaega, kodakondsust, elukohariiki, majutuse aega ja reisi eesmärki. Majutusteenuse osutaja peab säilitama registreerimisandmeid kaks aastat ning tagama nende edastamise </w:t>
      </w:r>
      <w:r>
        <w:rPr>
          <w:rFonts w:ascii="Arial" w:hAnsi="Arial" w:cs="Arial"/>
        </w:rPr>
        <w:t>PPA-le</w:t>
      </w:r>
      <w:r w:rsidRPr="00E14EBC">
        <w:rPr>
          <w:rFonts w:ascii="Arial" w:hAnsi="Arial" w:cs="Arial"/>
        </w:rPr>
        <w:t xml:space="preserve"> ning julgeolekuasutustele nende nõudmisel.</w:t>
      </w:r>
    </w:p>
    <w:p w14:paraId="31949D01" w14:textId="439E98D9" w:rsidR="001E44AD" w:rsidRPr="00E14EBC" w:rsidRDefault="001E44AD" w:rsidP="001E44AD">
      <w:pPr>
        <w:jc w:val="both"/>
        <w:rPr>
          <w:rFonts w:ascii="Arial" w:hAnsi="Arial" w:cs="Arial"/>
        </w:rPr>
      </w:pPr>
      <w:r w:rsidRPr="00E14EBC">
        <w:rPr>
          <w:rFonts w:ascii="Arial" w:hAnsi="Arial" w:cs="Arial"/>
        </w:rPr>
        <w:t xml:space="preserve">Lisaks on </w:t>
      </w:r>
      <w:r w:rsidR="00D31407">
        <w:rPr>
          <w:rFonts w:ascii="Arial" w:hAnsi="Arial" w:cs="Arial"/>
        </w:rPr>
        <w:t xml:space="preserve">valimisse kuuluvad </w:t>
      </w:r>
      <w:r w:rsidRPr="00E14EBC">
        <w:rPr>
          <w:rFonts w:ascii="Arial" w:hAnsi="Arial" w:cs="Arial"/>
        </w:rPr>
        <w:t>majutusteenuse osutaja</w:t>
      </w:r>
      <w:r w:rsidR="00D31407">
        <w:rPr>
          <w:rFonts w:ascii="Arial" w:hAnsi="Arial" w:cs="Arial"/>
        </w:rPr>
        <w:t>t</w:t>
      </w:r>
      <w:r w:rsidRPr="00E14EBC">
        <w:rPr>
          <w:rFonts w:ascii="Arial" w:hAnsi="Arial" w:cs="Arial"/>
        </w:rPr>
        <w:t xml:space="preserve"> kohustatud </w:t>
      </w:r>
      <w:r w:rsidRPr="00910271">
        <w:rPr>
          <w:rFonts w:ascii="Arial" w:hAnsi="Arial" w:cs="Arial"/>
          <w:b/>
        </w:rPr>
        <w:t>esitama majutusettevõtete kohta andmed SA-le</w:t>
      </w:r>
      <w:r w:rsidRPr="00E14EBC">
        <w:rPr>
          <w:rFonts w:ascii="Arial" w:hAnsi="Arial" w:cs="Arial"/>
        </w:rPr>
        <w:t xml:space="preserve">. Majutusettevõtete statistika (nt 2024. aasta programmis tähistusega 1.2.3.05, 2024. aasta statistikatöö nr 22101 „Majutustegevus“) kogumiseks peavad </w:t>
      </w:r>
      <w:r w:rsidRPr="288A3578">
        <w:rPr>
          <w:rFonts w:ascii="Arial" w:hAnsi="Arial" w:cs="Arial"/>
        </w:rPr>
        <w:t>nii põhi-</w:t>
      </w:r>
      <w:r>
        <w:rPr>
          <w:rFonts w:ascii="Arial" w:hAnsi="Arial" w:cs="Arial"/>
        </w:rPr>
        <w:t xml:space="preserve"> </w:t>
      </w:r>
      <w:r w:rsidRPr="288A3578">
        <w:rPr>
          <w:rFonts w:ascii="Arial" w:hAnsi="Arial" w:cs="Arial"/>
        </w:rPr>
        <w:t>kui kõrvaltegevusena</w:t>
      </w:r>
      <w:r w:rsidRPr="00E14EBC">
        <w:rPr>
          <w:rFonts w:ascii="Arial" w:hAnsi="Arial" w:cs="Arial"/>
        </w:rPr>
        <w:t xml:space="preserve"> majutusteenuse osutajad</w:t>
      </w:r>
      <w:r>
        <w:rPr>
          <w:rFonts w:ascii="Arial" w:hAnsi="Arial" w:cs="Arial"/>
        </w:rPr>
        <w:t>,</w:t>
      </w:r>
      <w:r w:rsidRPr="00E14EBC">
        <w:rPr>
          <w:rFonts w:ascii="Arial" w:hAnsi="Arial" w:cs="Arial"/>
        </w:rPr>
        <w:t xml:space="preserve"> kelle hallatavas majutusettevõttes on </w:t>
      </w:r>
      <w:r w:rsidRPr="00910271">
        <w:rPr>
          <w:rFonts w:ascii="Arial" w:hAnsi="Arial" w:cs="Arial"/>
          <w:b/>
        </w:rPr>
        <w:t>viis või enam voodikohta</w:t>
      </w:r>
      <w:r w:rsidRPr="00E14EBC">
        <w:rPr>
          <w:rFonts w:ascii="Arial" w:hAnsi="Arial" w:cs="Arial"/>
        </w:rPr>
        <w:t>, esitama andmeid ööbinud isikute ehk majutatute arvu, nende elukohariigi ja reisi eesmärgi, majutuste arvu (ööbimised) ning majutusruumide</w:t>
      </w:r>
      <w:r w:rsidR="004368CD">
        <w:rPr>
          <w:rFonts w:ascii="Arial" w:hAnsi="Arial" w:cs="Arial"/>
        </w:rPr>
        <w:t xml:space="preserve"> andmed.</w:t>
      </w:r>
      <w:r w:rsidRPr="00E14EBC">
        <w:rPr>
          <w:rStyle w:val="FootnoteReference"/>
          <w:rFonts w:ascii="Arial" w:hAnsi="Arial" w:cs="Arial"/>
        </w:rPr>
        <w:footnoteReference w:id="35"/>
      </w:r>
      <w:r>
        <w:rPr>
          <w:rFonts w:ascii="Arial" w:hAnsi="Arial" w:cs="Arial"/>
        </w:rPr>
        <w:t xml:space="preserve"> </w:t>
      </w:r>
      <w:r w:rsidR="004368CD">
        <w:rPr>
          <w:rFonts w:ascii="Arial" w:hAnsi="Arial" w:cs="Arial"/>
        </w:rPr>
        <w:t xml:space="preserve">Valimisse kuuluvad </w:t>
      </w:r>
      <w:r w:rsidR="00E429C9">
        <w:rPr>
          <w:rFonts w:ascii="Arial" w:hAnsi="Arial" w:cs="Arial"/>
        </w:rPr>
        <w:t>majutusettevõtted esitavad s</w:t>
      </w:r>
      <w:r>
        <w:rPr>
          <w:rFonts w:ascii="Arial" w:hAnsi="Arial" w:cs="Arial"/>
        </w:rPr>
        <w:t xml:space="preserve">tatistikat igakuiselt </w:t>
      </w:r>
      <w:r w:rsidRPr="00E14EBC">
        <w:rPr>
          <w:rFonts w:ascii="Arial" w:hAnsi="Arial" w:cs="Arial"/>
        </w:rPr>
        <w:t>SA</w:t>
      </w:r>
      <w:r w:rsidRPr="288A3578">
        <w:rPr>
          <w:rFonts w:ascii="Arial" w:hAnsi="Arial" w:cs="Arial"/>
        </w:rPr>
        <w:t xml:space="preserve"> e-teeninduskeskkonnas hiljemalt iga kuu 10. kuupäevaks.</w:t>
      </w:r>
    </w:p>
    <w:p w14:paraId="2D57F08D" w14:textId="77777777" w:rsidR="001E44AD" w:rsidRPr="00E14EBC" w:rsidRDefault="001E44AD" w:rsidP="001E44AD">
      <w:pPr>
        <w:pStyle w:val="Heading3"/>
        <w:ind w:left="540"/>
        <w:rPr>
          <w:rFonts w:hint="eastAsia"/>
        </w:rPr>
      </w:pPr>
      <w:bookmarkStart w:id="77" w:name="_Toc197718057"/>
      <w:bookmarkStart w:id="78" w:name="_Toc208991591"/>
      <w:r w:rsidRPr="00E14EBC">
        <w:t>Üürimiseks ja majutusteenuseks kasutatavate ruumide nõuded</w:t>
      </w:r>
      <w:bookmarkEnd w:id="77"/>
      <w:bookmarkEnd w:id="78"/>
    </w:p>
    <w:p w14:paraId="21B42C1D" w14:textId="77777777" w:rsidR="001E44AD" w:rsidRPr="00E14EBC" w:rsidRDefault="001E44AD" w:rsidP="001E44AD">
      <w:pPr>
        <w:jc w:val="both"/>
      </w:pPr>
      <w:r w:rsidRPr="00E14EBC">
        <w:t xml:space="preserve">Eluruumi või majutusettevõttes ruumi väljaüürimine või kasutamine majutusteenuse osutamiseks eeldab, et ruum vastab kehtestatud ohutus-, tervise- ja kasutusnõuetele. Eestis tulenevad need nõuded mitmest erinevast õigusaktist, mille kohaldumine sõltub eelkõige sellest, </w:t>
      </w:r>
      <w:r w:rsidRPr="00E14EBC">
        <w:rPr>
          <w:b/>
          <w:bCs/>
        </w:rPr>
        <w:t>millist liiki ruumi kasutatakse</w:t>
      </w:r>
      <w:r w:rsidRPr="00E14EBC">
        <w:t xml:space="preserve"> ja </w:t>
      </w:r>
      <w:r w:rsidRPr="00E14EBC">
        <w:rPr>
          <w:b/>
          <w:bCs/>
        </w:rPr>
        <w:t>kas tegevus toimub era- või majandustegevusena</w:t>
      </w:r>
      <w:r w:rsidRPr="00E14EBC">
        <w:t>. Peamised rakenduvad regulatsioonid on VÕS, EhS, TurS, elamuseadus, korteriomandi- ja korteriühistuseadus, valdkondlikud määrused ning kohalike omavalitsuste määrused.</w:t>
      </w:r>
    </w:p>
    <w:p w14:paraId="180D14AD" w14:textId="77777777" w:rsidR="001E44AD" w:rsidRPr="00E14EBC" w:rsidRDefault="001E44AD" w:rsidP="001E44AD">
      <w:pPr>
        <w:jc w:val="both"/>
        <w:rPr>
          <w:rStyle w:val="PurpleText"/>
        </w:rPr>
      </w:pPr>
      <w:r w:rsidRPr="00E14EBC">
        <w:rPr>
          <w:rStyle w:val="PurpleText"/>
        </w:rPr>
        <w:t xml:space="preserve">Eluruumi ja äriruumi mõisted </w:t>
      </w:r>
    </w:p>
    <w:p w14:paraId="48DEF6E8" w14:textId="34B8A8C8" w:rsidR="001E44AD" w:rsidRPr="00E14EBC" w:rsidRDefault="001E44AD" w:rsidP="001E44AD">
      <w:pPr>
        <w:spacing w:after="0"/>
        <w:jc w:val="both"/>
        <w:rPr>
          <w:rFonts w:ascii="Arial" w:hAnsi="Arial" w:cs="Arial"/>
        </w:rPr>
      </w:pPr>
      <w:r>
        <w:t>Eluruumi mõiste on määratletud VÕS</w:t>
      </w:r>
      <w:r w:rsidR="00AB6BF8">
        <w:t>-i</w:t>
      </w:r>
      <w:r>
        <w:t xml:space="preserve"> §272 lg1, mille kohaselt on eluruum </w:t>
      </w:r>
      <w:r w:rsidRPr="5848DE21">
        <w:rPr>
          <w:b/>
          <w:bCs/>
        </w:rPr>
        <w:t>selline hoone või selle osa, mis on mõeldud alaliseks elamiseks</w:t>
      </w:r>
      <w:r>
        <w:t xml:space="preserve">. Eluruumina käsitatakse üldjuhul korterit, maja või selle osa, mille kasutusotstarve on määratud elamiseks ja mis peab vastama elamiskõlblikkuse nõuetele. </w:t>
      </w:r>
      <w:r w:rsidRPr="5848DE21">
        <w:rPr>
          <w:rFonts w:ascii="Arial" w:hAnsi="Arial" w:cs="Arial"/>
        </w:rPr>
        <w:t>Ruumi määratlemine eluruumina on oluline, sest eluruumi üürimise kohta käivaid sätteid on võimalik kohaldada ainult juhul, kui lepingu kohaselt üüritakse just eluruumi.</w:t>
      </w:r>
    </w:p>
    <w:p w14:paraId="2CB2F5C1" w14:textId="1745AFCE" w:rsidR="001E44AD" w:rsidRPr="00E14EBC" w:rsidRDefault="001E44AD" w:rsidP="001E44AD">
      <w:pPr>
        <w:spacing w:after="0"/>
        <w:jc w:val="both"/>
        <w:rPr>
          <w:rFonts w:ascii="Arial" w:hAnsi="Arial" w:cs="Arial"/>
        </w:rPr>
      </w:pPr>
      <w:r>
        <w:lastRenderedPageBreak/>
        <w:t>Äriruum on VÕS</w:t>
      </w:r>
      <w:r w:rsidR="00AB6BF8">
        <w:t>-i</w:t>
      </w:r>
      <w:r>
        <w:t xml:space="preserve"> §272 lg1 2. lause kohaselt </w:t>
      </w:r>
      <w:r w:rsidRPr="288A3578">
        <w:rPr>
          <w:b/>
          <w:bCs/>
        </w:rPr>
        <w:t>majandus- või kutsetegevuses kasutatav ruum</w:t>
      </w:r>
      <w:r>
        <w:t>, näiteks kontor, kaubanduspind, teenindusüksus, aga ka hotell, külalistemaja või muu sarnane. Äriruumi üürilepingutele kohalduvad üldised VÕS</w:t>
      </w:r>
      <w:r w:rsidR="00AB6BF8">
        <w:t>-i</w:t>
      </w:r>
      <w:r>
        <w:t xml:space="preserve"> §271 üürisätted, kuid neile ei kohaldu eluruumi üürilepingule sätestatud täiendavad kaitsenormid. Ehk kui ärihoones asuvat ruumi, mis võimaldab selles elamist </w:t>
      </w:r>
      <w:r w:rsidRPr="288A3578">
        <w:rPr>
          <w:rFonts w:ascii="Arial" w:hAnsi="Arial" w:cs="Arial"/>
        </w:rPr>
        <w:t>ja mida ka kasutatakse ajutiseks elamiseks (nt üüri</w:t>
      </w:r>
      <w:r>
        <w:rPr>
          <w:rFonts w:ascii="Arial" w:hAnsi="Arial" w:cs="Arial"/>
        </w:rPr>
        <w:t>miseks</w:t>
      </w:r>
      <w:r w:rsidRPr="288A3578">
        <w:rPr>
          <w:rFonts w:ascii="Arial" w:hAnsi="Arial" w:cs="Arial"/>
        </w:rPr>
        <w:t>),</w:t>
      </w:r>
      <w:r>
        <w:rPr>
          <w:rFonts w:ascii="Arial" w:hAnsi="Arial" w:cs="Arial"/>
        </w:rPr>
        <w:t xml:space="preserve"> siis</w:t>
      </w:r>
      <w:r w:rsidRPr="288A3578">
        <w:rPr>
          <w:rFonts w:ascii="Arial" w:hAnsi="Arial" w:cs="Arial"/>
        </w:rPr>
        <w:t xml:space="preserve"> on tegemist äriruumi üürimisega ja eluruumi üürimise sätteid ei kohaldata. Äriruum VÕS-i tähenduses on äritegevuseks, mitte elamiseks mõeldud ruum.</w:t>
      </w:r>
    </w:p>
    <w:p w14:paraId="688AADED" w14:textId="6FBE0C60" w:rsidR="001E44AD" w:rsidRDefault="001E44AD" w:rsidP="001E44AD">
      <w:pPr>
        <w:jc w:val="both"/>
      </w:pPr>
      <w:r>
        <w:t xml:space="preserve">Oluline juriidiline erisus seisneb selles, et kui näiteks korterit või elumaja (mis on eluruum) kasutatakse majutusteenuse osutamiseks, võib selle õiguslik käsitlus nihkuda eluruumist äriruumile ehk teenuse osutamise üksuseks. See võib tähendada </w:t>
      </w:r>
      <w:r w:rsidRPr="1C92C443">
        <w:rPr>
          <w:b/>
          <w:bCs/>
        </w:rPr>
        <w:t xml:space="preserve">kasutusotstarbe muutmist </w:t>
      </w:r>
      <w:r w:rsidR="00CD2A1E">
        <w:t>(</w:t>
      </w:r>
      <w:r>
        <w:t xml:space="preserve">ja sellest tulenevalt </w:t>
      </w:r>
      <w:r w:rsidRPr="1C92C443">
        <w:rPr>
          <w:b/>
          <w:bCs/>
        </w:rPr>
        <w:t xml:space="preserve">turismiseaduse </w:t>
      </w:r>
      <w:r>
        <w:t xml:space="preserve">kohaldamist. </w:t>
      </w:r>
      <w:r w:rsidR="00882197">
        <w:t xml:space="preserve">Samas toimub uuringuobjektiks olev majutustegevus peamiselt külaliskorterites või kodumajutusena, millede puhul ei pea kasutusotstarvet muutma. </w:t>
      </w:r>
      <w:r>
        <w:t>Kui eluruumi kasutatakse majutusteenuseks, kuid kasutusotstarvet ei muudeta, siis saab seda tõlgendada kasutusloata kasutamisena, mis EhS</w:t>
      </w:r>
      <w:r w:rsidR="00847AD0">
        <w:t>-i</w:t>
      </w:r>
      <w:r>
        <w:t xml:space="preserve"> §139 järgi ei ole lubatud. Järelevalve kohustus majutusteenuste osutamisele kehtestatud nõuete täitmise üle ja ehitise kasutamise otstarbest tulenevate nõuetele vastavuse üle lasub kohalikul omavalitsusel (vastavalt TurS §30 lg2 p4 ja EhS §130 lg2). </w:t>
      </w:r>
    </w:p>
    <w:p w14:paraId="2B3F3B82" w14:textId="77777777" w:rsidR="001E44AD" w:rsidRPr="00E14EBC" w:rsidRDefault="001E44AD" w:rsidP="001E44AD">
      <w:pPr>
        <w:jc w:val="both"/>
        <w:rPr>
          <w:rStyle w:val="PurpleText"/>
        </w:rPr>
      </w:pPr>
      <w:r w:rsidRPr="00E14EBC">
        <w:rPr>
          <w:rStyle w:val="PurpleText"/>
        </w:rPr>
        <w:t>Kasutusotstarve</w:t>
      </w:r>
    </w:p>
    <w:p w14:paraId="33DABEF9" w14:textId="03F07235" w:rsidR="001E44AD" w:rsidRDefault="001E44AD" w:rsidP="001E44AD">
      <w:pPr>
        <w:jc w:val="both"/>
        <w:rPr>
          <w:rFonts w:ascii="Arial" w:eastAsia="Arial" w:hAnsi="Arial" w:cs="Arial"/>
        </w:rPr>
      </w:pPr>
      <w:r w:rsidRPr="00B54A22">
        <w:rPr>
          <w:rFonts w:ascii="Arial" w:eastAsia="Arial" w:hAnsi="Arial" w:cs="Arial"/>
        </w:rPr>
        <w:t xml:space="preserve">Hoonete kasutus peab olema kooskõlas detailplaneeringus määratud krundi kasutusotstarbega ja/või üldplaneeringu maakasutuse juhtotstarbega. Detailplaneeringuid koostatakse üldjuhul vaid uute hoonete püstitamiseks või hoonete laiendamiseks, olemasolevas väljakujunenud linnaruumis suunab hoonete kasutusotstarbeid üldplaneeringu juhtotstarve. Juhtotstarve aga annab maa-alade valdavad ja peamised </w:t>
      </w:r>
      <w:r w:rsidRPr="00B54A22">
        <w:rPr>
          <w:rFonts w:ascii="Arial" w:eastAsia="MS Mincho" w:hAnsi="Arial" w:cs="Arial"/>
        </w:rPr>
        <w:t>kasutusotstarbed (PlanS §6 p9</w:t>
      </w:r>
      <w:r w:rsidR="006142F5" w:rsidRPr="00B54A22">
        <w:rPr>
          <w:rStyle w:val="FootnoteReference"/>
          <w:rFonts w:ascii="Arial" w:eastAsia="MS Mincho" w:hAnsi="Arial" w:cs="Arial"/>
        </w:rPr>
        <w:footnoteReference w:id="36"/>
      </w:r>
      <w:r w:rsidRPr="00B54A22">
        <w:rPr>
          <w:rFonts w:ascii="Arial" w:eastAsia="MS Mincho" w:hAnsi="Arial" w:cs="Arial"/>
        </w:rPr>
        <w:t>)</w:t>
      </w:r>
      <w:r w:rsidRPr="00B54A22">
        <w:rPr>
          <w:rFonts w:ascii="Arial" w:eastAsia="Arial" w:hAnsi="Arial" w:cs="Arial"/>
        </w:rPr>
        <w:t xml:space="preserve">. Nii ei keela korterelamuala juhtotstarve automaatselt muid kasutusotstarbeid, vaid nõuab uute hoonete ja alade eluruumide osakaaluks üle 50%. Mõnikord on juhtotstarvete kirjeldustes toodud välja ka lubatud kõrvalotstarbed või välistatud teatud maakasutused. </w:t>
      </w:r>
      <w:r w:rsidRPr="00361D44">
        <w:rPr>
          <w:rFonts w:ascii="Arial" w:eastAsia="Arial" w:hAnsi="Arial" w:cs="Arial"/>
        </w:rPr>
        <w:t>Sõltuvalt üldplaneeringu olemusest ja maakasutuse juhtotstarvete määratlusest võib maakasutuse sõnastus olla asukoha spetsiifiline ning seada küllalt konkreetseid piiranguid maa-alade kasutusele, sh majutusteenusele. Olemuselt on iga üldplaneeringu juhtotstarve käsitletav piiranguna. Üldplaneeringu üldistusastet silmas pidades on seatavad tingimused ja piirangud üldist laadi ning saavad seada vaid selgest üldisest huvist ja linnaehituslikust eesmärgist lähtuvaid minimaalseid maakasutuse piiranguid eraomandile. Selles vaates on üldplaneeringutes põhimõtteliselt küll võimalik majutusteenuse piiramine või keelamine nt elamu- või korterelamu juhtotstarbega aladel, kuid kitsalt lühiajalise majutusteenuse eristamist pikaajalisest majutusteenusest on üldplaneeringu tasandil linnaehituslikult keeruline kui mitte võimatu põhjendada.</w:t>
      </w:r>
    </w:p>
    <w:p w14:paraId="69DD1AA4" w14:textId="436C3F4E" w:rsidR="001E44AD" w:rsidRDefault="001E44AD" w:rsidP="001E44AD">
      <w:pPr>
        <w:jc w:val="both"/>
        <w:rPr>
          <w:rFonts w:ascii="Arial" w:eastAsia="Arial" w:hAnsi="Arial" w:cs="Arial"/>
        </w:rPr>
      </w:pPr>
      <w:r w:rsidRPr="00361D44">
        <w:rPr>
          <w:rFonts w:ascii="Arial" w:eastAsia="Arial" w:hAnsi="Arial" w:cs="Arial"/>
        </w:rPr>
        <w:t>Plan</w:t>
      </w:r>
      <w:r>
        <w:rPr>
          <w:rFonts w:ascii="Arial" w:eastAsia="Arial" w:hAnsi="Arial" w:cs="Arial"/>
        </w:rPr>
        <w:t>S</w:t>
      </w:r>
      <w:r w:rsidRPr="00361D44">
        <w:rPr>
          <w:rFonts w:ascii="Arial" w:eastAsia="Arial" w:hAnsi="Arial" w:cs="Arial"/>
        </w:rPr>
        <w:t xml:space="preserve"> §6 ja </w:t>
      </w:r>
      <w:r w:rsidR="00080ABB" w:rsidRPr="00361D44">
        <w:rPr>
          <w:rFonts w:ascii="Arial" w:eastAsia="Arial" w:hAnsi="Arial" w:cs="Arial"/>
        </w:rPr>
        <w:t>§</w:t>
      </w:r>
      <w:r w:rsidRPr="00361D44">
        <w:rPr>
          <w:rFonts w:ascii="Arial" w:eastAsia="Arial" w:hAnsi="Arial" w:cs="Arial"/>
        </w:rPr>
        <w:t>126 paku</w:t>
      </w:r>
      <w:r w:rsidR="00080ABB">
        <w:rPr>
          <w:rFonts w:ascii="Arial" w:eastAsia="Arial" w:hAnsi="Arial" w:cs="Arial"/>
        </w:rPr>
        <w:t>vad</w:t>
      </w:r>
      <w:r w:rsidRPr="00361D44">
        <w:rPr>
          <w:rFonts w:ascii="Arial" w:eastAsia="Arial" w:hAnsi="Arial" w:cs="Arial"/>
        </w:rPr>
        <w:t xml:space="preserve"> lisaks ka võimaluse miljööväärtuslike alade ja väärtuslike üksikobjektide ning kohaliku tähtsusega kultuuripärandi piiride määramiseks ning kaitse- ja kasutustingimuste määramiseks. Põhimõtteliselt on võimalik piirata miljöö ja püsielanikkonna säilitamise eesmärgil ka eluruumide muutmist kontoriteks või külaliskorteriteks (kasutamist </w:t>
      </w:r>
      <w:r w:rsidRPr="00361D44">
        <w:rPr>
          <w:rFonts w:ascii="Arial" w:eastAsia="Arial" w:hAnsi="Arial" w:cs="Arial"/>
        </w:rPr>
        <w:lastRenderedPageBreak/>
        <w:t>lühiajalise majutusteenusena). Kuid siin peab hindama, kas piirangu rakendumine on miljöö kaitsmiseks eesmärgipärane, nt juhul kui on oht, et kortereid kasutatakse omanike poolt vaid hooajaliselt (nt suvekorterid) ning ilma lühiajalise majutuseta jääksid korterid valdava osa ajast tühjana seisma. Püsielanike olemasolu linnapiirkonna miljöö säilimiseks on rõhutatud mitmes varasemas uuringus, sh “Pärand ja kogukond”</w:t>
      </w:r>
      <w:r w:rsidRPr="00361D44">
        <w:rPr>
          <w:rFonts w:ascii="Arial" w:eastAsia="Arial" w:hAnsi="Arial" w:cs="Arial"/>
          <w:vertAlign w:val="superscript"/>
        </w:rPr>
        <w:footnoteReference w:id="37"/>
      </w:r>
      <w:r w:rsidRPr="00361D44">
        <w:rPr>
          <w:rFonts w:ascii="Arial" w:eastAsia="Arial" w:hAnsi="Arial" w:cs="Arial"/>
        </w:rPr>
        <w:t>. Igal juhul peavad üldplaneeringuga seatavad kitsendused lähtuma üldisest huvist ning olema võimalikult täpselt sõnastatud, et vältida põhjendamatuid piiranguid ja planeeringu liigset jäikust, nt kodus töötamise (kodukontori) keelamist. Kokkuvõttes on vajalik igas linnas üldplaneeringu koostamisel asukohaspetsiifiliselt eraldi kaaluda, kas ja millisel viisil lühiajalise majutusteenuse reguleerimine on üldplaneeringus otstarbekas, eesmärgipärane ja võimalik.</w:t>
      </w:r>
    </w:p>
    <w:p w14:paraId="6253EAA8" w14:textId="2268A942" w:rsidR="001E44AD" w:rsidRPr="00361D44" w:rsidRDefault="001E44AD" w:rsidP="001E44AD">
      <w:pPr>
        <w:jc w:val="both"/>
        <w:rPr>
          <w:rFonts w:ascii="Arial" w:eastAsia="Arial" w:hAnsi="Arial" w:cs="Arial"/>
        </w:rPr>
      </w:pPr>
      <w:r w:rsidRPr="00361D44">
        <w:rPr>
          <w:rFonts w:ascii="Arial" w:eastAsia="Arial" w:hAnsi="Arial" w:cs="Arial"/>
        </w:rPr>
        <w:t>Hoonete kasutus peab olema kooskõlas nii üldplaneeringus määratud maakasutuse juhtotstarbega kui ka seda täpsustava detailplaneeringuga määratud krundi kasutamise sihtotstarbega (PlanS §126 lg4). Krundi kasutamise sihtotstarve määrab, millisel otstarbel võib krunti pärast planeeringu kehtestamist kasutada. Krundi kasutamise sihtotstarbe alusel määrab linna- või vallavalitsus katastriüksuse sihtotstarbe ja ehitise kasutamise otstarbe. Krundile võib määrata mitu kasutamise sihtotstarvet (PlanS §126 lg5).</w:t>
      </w:r>
    </w:p>
    <w:p w14:paraId="485E0A25" w14:textId="2A0863B9" w:rsidR="001E44AD" w:rsidRPr="003549CD" w:rsidRDefault="001E44AD" w:rsidP="001E44AD">
      <w:pPr>
        <w:jc w:val="both"/>
        <w:rPr>
          <w:rFonts w:ascii="Arial" w:eastAsia="Arial" w:hAnsi="Arial" w:cs="Arial"/>
          <w:b/>
        </w:rPr>
      </w:pPr>
      <w:r w:rsidRPr="00361D44">
        <w:rPr>
          <w:rFonts w:ascii="Arial" w:eastAsia="MS Mincho" w:hAnsi="Arial" w:cs="Arial"/>
          <w:lang w:val="et"/>
        </w:rPr>
        <w:t>Tänase praktika kohaselt</w:t>
      </w:r>
      <w:r w:rsidRPr="00BA017C">
        <w:rPr>
          <w:rFonts w:ascii="Arial" w:eastAsia="MS Mincho" w:hAnsi="Arial" w:cs="Arial"/>
          <w:lang w:val="et"/>
        </w:rPr>
        <w:t xml:space="preserve"> </w:t>
      </w:r>
      <w:r w:rsidR="0F106614" w:rsidRPr="00BA017C">
        <w:rPr>
          <w:rFonts w:ascii="Arial" w:eastAsia="MS Mincho" w:hAnsi="Arial" w:cs="Arial"/>
          <w:lang w:val="et"/>
        </w:rPr>
        <w:t>ei ole</w:t>
      </w:r>
      <w:r w:rsidRPr="00361D44">
        <w:rPr>
          <w:rFonts w:ascii="Arial" w:eastAsia="MS Mincho" w:hAnsi="Arial" w:cs="Arial"/>
          <w:lang w:val="et"/>
        </w:rPr>
        <w:t xml:space="preserve"> Eestis üldiselt võimalik taotleda kasutusluba vaid korterelamu ühele korterile. Kortermajadel väljastatakse kasutusluba tavaliselt ainult tervele hoonele, mitte üksikule korterile eraldi – see kehtib nii uusehituse kui ka renoveeritud korterelamute puhul. Korteril on võimalik taotleda küll osalist kasutusluba (EhS</w:t>
      </w:r>
      <w:r w:rsidR="0037537B">
        <w:rPr>
          <w:rFonts w:ascii="Arial" w:eastAsia="MS Mincho" w:hAnsi="Arial" w:cs="Arial"/>
          <w:lang w:val="et"/>
        </w:rPr>
        <w:t>-i</w:t>
      </w:r>
      <w:r w:rsidR="008E5031">
        <w:rPr>
          <w:rFonts w:ascii="Arial" w:eastAsia="MS Mincho" w:hAnsi="Arial" w:cs="Arial"/>
          <w:lang w:val="et"/>
        </w:rPr>
        <w:t xml:space="preserve"> </w:t>
      </w:r>
      <w:r w:rsidRPr="00361D44">
        <w:rPr>
          <w:rFonts w:ascii="Arial" w:eastAsia="MS Mincho" w:hAnsi="Arial" w:cs="Arial"/>
          <w:lang w:val="et"/>
        </w:rPr>
        <w:t>§50 alusel), kui see korter on valmis, ohutuse nõuded on täidetud ja tehnosüsteemid (nt elekter, gaas, ventilatsioon, tuleohutus) vastavad nõuetele – näiteks juhul, kui korteril on tehtud ehitustöid, mis vajavad eraldi osaluba. Kortermajade puhul tuleb kasutusloa taotlemiseks (ka osalise kasutusloa taotlemisel) saada kõigi omanike nõusolek – selleta kasutusluba ei väljastata. Kasutusteatise puhul viimast nõuet ei ole, kuid on võimalus kaasata kinnistu kaasomanikud menetlusse.</w:t>
      </w:r>
    </w:p>
    <w:p w14:paraId="5AB8027C" w14:textId="0F43FA1A" w:rsidR="001E44AD" w:rsidRPr="00E14EBC" w:rsidRDefault="001E44AD" w:rsidP="001E44AD">
      <w:pPr>
        <w:jc w:val="both"/>
      </w:pPr>
      <w:r w:rsidRPr="00E14EBC">
        <w:t xml:space="preserve">Ruumile (hoonele või selle osale) kasutusotstarbe määramine on vajalik, kuna see määratleb, milleks ruum on kavandatud ja tohib olla kasutuses, ning see loob õigusliku aluse ruumile muudes õigusaktides kohalduvate nõuete ja kohustuste rakendamiseks. Eestis reguleerib kasutusotstarbe määramist EhS, mille §11 kohaselt kantakse kasutusotstarve ehitisregistrisse ning see määratakse projekteerimisel ja ehitusloa väljastamisel. </w:t>
      </w:r>
    </w:p>
    <w:p w14:paraId="60442F1A" w14:textId="52C817A8" w:rsidR="001E44AD" w:rsidRPr="00E14EBC" w:rsidRDefault="001E44AD" w:rsidP="001E44AD">
      <w:pPr>
        <w:jc w:val="both"/>
      </w:pPr>
      <w:r>
        <w:t xml:space="preserve">Kasutusotstarve on seega õiguslik mehhanism, mis aitab tagada, et ruume kasutatakse </w:t>
      </w:r>
      <w:r w:rsidRPr="1C92C443">
        <w:rPr>
          <w:b/>
          <w:bCs/>
        </w:rPr>
        <w:t xml:space="preserve">eesmärgipäraselt, ohutult ja kooskõlas avaliku huviga. </w:t>
      </w:r>
      <w:r>
        <w:t>Näiteks kui korteri kasutusotstarve ehitisregistris on „elamu“, käsitletakse seda õiguslikult eluruumina ja sellele kohalduvad teistest õigusaktidest eluruumi üürimise, elamiskõlblikkuse ja kaitsenormide sätted. Kui kasutusotstarve on näiteks „ärihoone“, käsitletakse seda äriruumina ning sellele rakenduvad teistsugused nõuded (nt tuleohutuse tagamisel vms).</w:t>
      </w:r>
    </w:p>
    <w:p w14:paraId="32CFF367" w14:textId="0E9463DC" w:rsidR="001E44AD" w:rsidRPr="00E14EBC" w:rsidRDefault="001E44AD" w:rsidP="001E44AD">
      <w:pPr>
        <w:jc w:val="both"/>
      </w:pPr>
      <w:r>
        <w:lastRenderedPageBreak/>
        <w:t>Ehitisregistrisse kantavate hoonete kasutusotstarvete loetelu on sätestatud majandus- ja taristuministri määruses nr 51 „Ehitise kasutamise otstarvete loetelu“.</w:t>
      </w:r>
      <w:r w:rsidR="00DC6592">
        <w:rPr>
          <w:rStyle w:val="FootnoteReference"/>
        </w:rPr>
        <w:footnoteReference w:id="38"/>
      </w:r>
      <w:r>
        <w:t xml:space="preserve"> See määrus sisaldab klassifikatsiooni, mis määratleb erinevad hoonete kasutusotstarbed. Muuhulgas on eraldi </w:t>
      </w:r>
      <w:r w:rsidRPr="1C92C443">
        <w:rPr>
          <w:b/>
          <w:bCs/>
        </w:rPr>
        <w:t>kategooriad elamutele</w:t>
      </w:r>
      <w:r>
        <w:t xml:space="preserve"> (sh nt ühe ja mitme korteriga elamu, suvila, aiamaja jne), </w:t>
      </w:r>
      <w:r w:rsidRPr="1C92C443">
        <w:rPr>
          <w:b/>
          <w:bCs/>
        </w:rPr>
        <w:t>majutushoonetele</w:t>
      </w:r>
      <w:r>
        <w:t xml:space="preserve"> (sh nt hotell, külalistemaja, hostel, puhkemaja, kodumajutus ja muu majutushoone) ning </w:t>
      </w:r>
      <w:r w:rsidRPr="1C92C443">
        <w:rPr>
          <w:b/>
          <w:bCs/>
        </w:rPr>
        <w:t>ärihoonetele</w:t>
      </w:r>
      <w:r>
        <w:t xml:space="preserve"> (sh nt büroohoone, teenindushoone, söögikoht jms). Majutusteenust on võimalik osutada kõigis loetletud ehitistes.</w:t>
      </w:r>
    </w:p>
    <w:p w14:paraId="6EB99307" w14:textId="77777777" w:rsidR="001E44AD" w:rsidRDefault="001E44AD" w:rsidP="001E44AD">
      <w:pPr>
        <w:jc w:val="both"/>
      </w:pPr>
      <w:r>
        <w:t>Tulenevalt ruumidele määratud kasutusotstarbest sõltub ka, millised nõuded (nt tuleohutuse jms) on ruumidele ja hoonele kehtestatud (vt täpsemalt järgmised alapunktid).</w:t>
      </w:r>
    </w:p>
    <w:p w14:paraId="604A60DD" w14:textId="61405E1F" w:rsidR="001E44AD" w:rsidRPr="00C92AFE" w:rsidRDefault="001E44AD" w:rsidP="001E44AD">
      <w:pPr>
        <w:jc w:val="both"/>
        <w:rPr>
          <w:rStyle w:val="PurpleText"/>
          <w:color w:val="auto"/>
        </w:rPr>
      </w:pPr>
      <w:r>
        <w:t>Ruumide kasutusotstarbe muutmiseks tuleb pöörduda kohaliku omavalitsuse poole. Omavalitsus hindab, kas kavandatav uus kasutusotstarve on kooskõlas kehtiva üld- või detailplaneeringuga ja kas ruumid vastavad uuele otstarbele esitatavatele nõuetele, sealhulgas ehituslikele, tuleohutus- ja tervisekaitsenõuetele. Positiivse otsuse korral väljastatakse kasutusloa muutmise otsus või antakse juhised edasisteks toiminguteks, näiteks ehitustööde tegemiseks ja uue kasutusloa taotlemiseks. Eh</w:t>
      </w:r>
      <w:r w:rsidR="00C16616">
        <w:t>S-i</w:t>
      </w:r>
      <w:r>
        <w:t xml:space="preserve"> §130 lg2 kohaselt lasub järelevalve, sh rikkumiste menetluse, kohustus kohalikul omavalitsusel.</w:t>
      </w:r>
    </w:p>
    <w:p w14:paraId="2072D8BA" w14:textId="77777777" w:rsidR="001E44AD" w:rsidRPr="00E14EBC" w:rsidRDefault="001E44AD" w:rsidP="001E44AD">
      <w:pPr>
        <w:spacing w:after="0"/>
        <w:jc w:val="both"/>
        <w:rPr>
          <w:color w:val="82009B" w:themeColor="accent6"/>
        </w:rPr>
      </w:pPr>
      <w:r w:rsidRPr="00E14EBC">
        <w:rPr>
          <w:color w:val="82009B" w:themeColor="accent6"/>
        </w:rPr>
        <w:t>Eluruumile kehtivad nõuded</w:t>
      </w:r>
    </w:p>
    <w:p w14:paraId="70F11442" w14:textId="0A82854F" w:rsidR="001E44AD" w:rsidRPr="00E14EBC" w:rsidRDefault="001E44AD" w:rsidP="001E44AD">
      <w:pPr>
        <w:spacing w:after="0"/>
        <w:jc w:val="both"/>
        <w:rPr>
          <w:rFonts w:ascii="Arial" w:hAnsi="Arial" w:cs="Arial"/>
        </w:rPr>
      </w:pPr>
      <w:r w:rsidRPr="00E14EBC">
        <w:rPr>
          <w:rFonts w:ascii="Arial" w:hAnsi="Arial" w:cs="Arial"/>
        </w:rPr>
        <w:t>Eluruumile esitatavad nõuded on kehtestatud Majandus- ja taristuministri 20. juuli 2015. a määrusega nr 85 „Eluruumile esitatavad nõuded“.</w:t>
      </w:r>
      <w:r w:rsidR="00D33246">
        <w:rPr>
          <w:rStyle w:val="FootnoteReference"/>
          <w:rFonts w:ascii="Arial" w:hAnsi="Arial" w:cs="Arial"/>
        </w:rPr>
        <w:footnoteReference w:id="39"/>
      </w:r>
      <w:r w:rsidRPr="00E14EBC">
        <w:rPr>
          <w:rFonts w:ascii="Arial" w:hAnsi="Arial" w:cs="Arial"/>
        </w:rPr>
        <w:t xml:space="preserve"> Vastavalt määruse §1 lg2 on eluruumile esitatavate nõuete kehtestamise eesmärk inimesele ohutu ja tervisliku elukeskkonna tagamine. Eluruumis peab inimesel olema võimalik ööpäevaringselt viibida. Lõike 3 kohaselt kohaldatakse määrust:</w:t>
      </w:r>
    </w:p>
    <w:p w14:paraId="6BA32D1F" w14:textId="77777777" w:rsidR="001E44AD" w:rsidRPr="00E14EBC" w:rsidRDefault="001E44AD" w:rsidP="001E44AD">
      <w:pPr>
        <w:numPr>
          <w:ilvl w:val="0"/>
          <w:numId w:val="19"/>
        </w:numPr>
        <w:spacing w:after="0"/>
        <w:contextualSpacing/>
        <w:jc w:val="both"/>
        <w:rPr>
          <w:rFonts w:ascii="Arial" w:hAnsi="Arial" w:cs="Arial"/>
        </w:rPr>
      </w:pPr>
      <w:r w:rsidRPr="00E14EBC">
        <w:rPr>
          <w:rFonts w:ascii="Arial" w:hAnsi="Arial" w:cs="Arial"/>
        </w:rPr>
        <w:t>ühe korteriga elamus, välja arvatud suvila, aiamaja, asuvale eluruumile;</w:t>
      </w:r>
    </w:p>
    <w:p w14:paraId="6E06F5EB" w14:textId="77777777" w:rsidR="001E44AD" w:rsidRPr="00E14EBC" w:rsidRDefault="001E44AD" w:rsidP="001E44AD">
      <w:pPr>
        <w:numPr>
          <w:ilvl w:val="0"/>
          <w:numId w:val="19"/>
        </w:numPr>
        <w:spacing w:after="0"/>
        <w:contextualSpacing/>
        <w:jc w:val="both"/>
        <w:rPr>
          <w:rFonts w:ascii="Arial" w:hAnsi="Arial" w:cs="Arial"/>
        </w:rPr>
      </w:pPr>
      <w:r w:rsidRPr="5848DE21">
        <w:rPr>
          <w:rFonts w:ascii="Arial" w:hAnsi="Arial" w:cs="Arial"/>
        </w:rPr>
        <w:t>kahe või mitme korteriga elamu, nagu paarismaja, ridaelamu, korterelamu, korterile.</w:t>
      </w:r>
    </w:p>
    <w:p w14:paraId="1C153BB9" w14:textId="77777777" w:rsidR="001E44AD" w:rsidRPr="00E14EBC" w:rsidRDefault="001E44AD" w:rsidP="001E44AD">
      <w:pPr>
        <w:spacing w:after="0"/>
        <w:jc w:val="both"/>
        <w:rPr>
          <w:rFonts w:ascii="Arial" w:hAnsi="Arial" w:cs="Arial"/>
        </w:rPr>
      </w:pPr>
      <w:r w:rsidRPr="5848DE21">
        <w:rPr>
          <w:rFonts w:ascii="Arial" w:hAnsi="Arial" w:cs="Arial"/>
        </w:rPr>
        <w:t xml:space="preserve">Määruses on sätestatud </w:t>
      </w:r>
      <w:r w:rsidRPr="5848DE21">
        <w:rPr>
          <w:rFonts w:ascii="Arial" w:hAnsi="Arial" w:cs="Arial"/>
          <w:b/>
          <w:bCs/>
        </w:rPr>
        <w:t xml:space="preserve">nõuded eluruumi kütte-, vee-, kanalisatsiooni-, elektri- ja ventilatsioonisüsteemidele ning tuleohutusele. </w:t>
      </w:r>
      <w:r w:rsidRPr="5848DE21">
        <w:rPr>
          <w:rFonts w:ascii="Arial" w:hAnsi="Arial" w:cs="Arial"/>
        </w:rPr>
        <w:t>Näiteks peab eluruumil olema teistest eluruumidest eraldi sissepääs ukse kaudu ja eluruumi igal eraldi ruumis asuval elu-, töö- ja magamistoal ning köögil peab olema vähemalt üks uks. Eluruumi igal elu-, töö- ja magamistoal ning köögil peab olema vähemalt üks lahtikäiv aken. Peab olema loomulik või mehaaniline ventilatsioon, mis tagab inimese elutegevuseks vajaliku õhuvahetuse. Hoones või selle teenindamiseks määratud maa-alal peab olema tagatud tualeti kasutamine.</w:t>
      </w:r>
    </w:p>
    <w:p w14:paraId="75A0EBB7" w14:textId="1EE67166" w:rsidR="001E44AD" w:rsidRPr="00E14EBC" w:rsidRDefault="001E44AD" w:rsidP="001E44AD">
      <w:pPr>
        <w:spacing w:after="0"/>
        <w:jc w:val="both"/>
        <w:rPr>
          <w:rFonts w:ascii="Arial" w:hAnsi="Arial" w:cs="Arial"/>
        </w:rPr>
      </w:pPr>
      <w:r w:rsidRPr="1688D34F">
        <w:rPr>
          <w:rFonts w:ascii="Arial" w:hAnsi="Arial" w:cs="Arial"/>
        </w:rPr>
        <w:t xml:space="preserve">Siseministri määrus nr 17 „Ehitisele esitatavad tuleohutusnõuded“ sätestab täpsemad </w:t>
      </w:r>
      <w:r w:rsidRPr="1688D34F">
        <w:rPr>
          <w:rFonts w:ascii="Arial" w:hAnsi="Arial" w:cs="Arial"/>
          <w:b/>
          <w:bCs/>
        </w:rPr>
        <w:t>nõuded eluruumide tuleohutuse tagamiseks</w:t>
      </w:r>
      <w:r w:rsidRPr="1688D34F">
        <w:rPr>
          <w:rFonts w:ascii="Arial" w:hAnsi="Arial" w:cs="Arial"/>
        </w:rPr>
        <w:t>.</w:t>
      </w:r>
      <w:r w:rsidR="00B336C8">
        <w:rPr>
          <w:rStyle w:val="FootnoteReference"/>
          <w:rFonts w:ascii="Arial" w:hAnsi="Arial" w:cs="Arial"/>
        </w:rPr>
        <w:footnoteReference w:id="40"/>
      </w:r>
      <w:r w:rsidRPr="1688D34F">
        <w:rPr>
          <w:rFonts w:ascii="Arial" w:hAnsi="Arial" w:cs="Arial"/>
        </w:rPr>
        <w:t xml:space="preserve"> Nende kohaselt peab elamu või korteri vähemalt ühes eluruumis olema tulekahjusignalisatsiooniandur, vastavalt hoone suurusele ja kasutusotstarbele ka tulekahju-signalisatsioonisüsteemid või automaatsed tulekustutussüsteemid, hoones peavad olema piisava arvu ja suurusega evakuatsiooniteed ning -pääsud jne. Lisaks rakenduvad </w:t>
      </w:r>
      <w:r w:rsidRPr="1688D34F">
        <w:rPr>
          <w:rFonts w:ascii="Arial" w:hAnsi="Arial" w:cs="Arial"/>
        </w:rPr>
        <w:lastRenderedPageBreak/>
        <w:t>eluruumidele teised valdkondlikud määrused, mis kehtestavad täpsemalt tervisekaitsenõuded (nt õhutemperatuur, ventilatsioon, valgus), nõuded elektripaigaldistele, sisekliima määramisele jms.</w:t>
      </w:r>
    </w:p>
    <w:p w14:paraId="397FBE92" w14:textId="77777777" w:rsidR="001E44AD" w:rsidRPr="00E14EBC" w:rsidRDefault="001E44AD" w:rsidP="001E44AD">
      <w:pPr>
        <w:pStyle w:val="TableTitle"/>
      </w:pPr>
      <w:r w:rsidRPr="00E14EBC">
        <w:t xml:space="preserve">Majutusasutusele (majutushoonele) kehtivad nõuded </w:t>
      </w:r>
    </w:p>
    <w:p w14:paraId="74BEC0E0" w14:textId="7D2F53BF" w:rsidR="001E44AD" w:rsidRDefault="001E44AD" w:rsidP="001E44AD">
      <w:pPr>
        <w:jc w:val="both"/>
        <w:rPr>
          <w:rFonts w:ascii="Arial" w:hAnsi="Arial" w:cs="Arial"/>
        </w:rPr>
      </w:pPr>
      <w:r w:rsidRPr="00E14EBC">
        <w:rPr>
          <w:rFonts w:ascii="Arial" w:hAnsi="Arial" w:cs="Arial"/>
        </w:rPr>
        <w:t>TurS</w:t>
      </w:r>
      <w:r w:rsidR="00D0746B">
        <w:rPr>
          <w:rFonts w:ascii="Arial" w:hAnsi="Arial" w:cs="Arial"/>
        </w:rPr>
        <w:t>-i</w:t>
      </w:r>
      <w:r w:rsidRPr="00E14EBC">
        <w:rPr>
          <w:rFonts w:ascii="Arial" w:hAnsi="Arial" w:cs="Arial"/>
        </w:rPr>
        <w:t xml:space="preserve"> §19 kohaselt peavad majutusteenuse osutajal olema teenuse osutamiseks sobivad, ohutud ja turvalised hooned, ruumid, sisustus ja maa-ala ning ta peab tagama majutusettevõtte liigi eripära arvestavad majutus- ja puhkevõimalused ning piisavad hügieenitingimused.</w:t>
      </w:r>
      <w:r>
        <w:rPr>
          <w:rFonts w:ascii="Arial" w:hAnsi="Arial" w:cs="Arial"/>
        </w:rPr>
        <w:t xml:space="preserve"> Täpsemad nõuded majutusteenuse osutamisele on eelnimetatu</w:t>
      </w:r>
      <w:r w:rsidR="00BE7401">
        <w:rPr>
          <w:rFonts w:ascii="Arial" w:hAnsi="Arial" w:cs="Arial"/>
        </w:rPr>
        <w:t>d</w:t>
      </w:r>
      <w:r>
        <w:rPr>
          <w:rFonts w:ascii="Arial" w:hAnsi="Arial" w:cs="Arial"/>
        </w:rPr>
        <w:t xml:space="preserve"> paragrahvi lõike 3 kohaselt kehtestatud ettevõtlus- ja infotehnoloogiaministri 21.04.2021 määrusega nr 17.</w:t>
      </w:r>
      <w:r>
        <w:rPr>
          <w:rStyle w:val="FootnoteReference"/>
          <w:rFonts w:ascii="Arial" w:hAnsi="Arial" w:cs="Arial"/>
        </w:rPr>
        <w:footnoteReference w:id="41"/>
      </w:r>
    </w:p>
    <w:p w14:paraId="54FA4969" w14:textId="246E6085" w:rsidR="001E44AD" w:rsidRDefault="001E44AD" w:rsidP="001E44AD">
      <w:pPr>
        <w:spacing w:after="0"/>
        <w:jc w:val="both"/>
        <w:rPr>
          <w:rFonts w:ascii="Arial" w:hAnsi="Arial" w:cs="Arial"/>
        </w:rPr>
      </w:pPr>
      <w:r w:rsidRPr="00E14EBC">
        <w:rPr>
          <w:rFonts w:ascii="Arial" w:hAnsi="Arial" w:cs="Arial"/>
        </w:rPr>
        <w:t>Ka majutusasutustele (ehk majutushoonetele) kehtib eelmainitud siseministri määrus nr 17 „Ehitisele esitatavad tuleohutusnõuded“.</w:t>
      </w:r>
      <w:r w:rsidR="007B4284">
        <w:rPr>
          <w:rStyle w:val="FootnoteReference"/>
          <w:rFonts w:ascii="Arial" w:hAnsi="Arial" w:cs="Arial"/>
        </w:rPr>
        <w:footnoteReference w:id="42"/>
      </w:r>
      <w:r w:rsidRPr="00E14EBC">
        <w:rPr>
          <w:rFonts w:ascii="Arial" w:hAnsi="Arial" w:cs="Arial"/>
        </w:rPr>
        <w:t xml:space="preserve"> Kui eluruumid on määruses liigitatud I kasutusviisi alla (ehk kus hoone kasutajad tunnevad hoonet hästi ja suudavad ise oma ohutuse eest hoolitseda), siis </w:t>
      </w:r>
      <w:r w:rsidRPr="00E14EBC">
        <w:rPr>
          <w:rFonts w:ascii="Arial" w:hAnsi="Arial" w:cs="Arial"/>
          <w:b/>
          <w:bCs/>
        </w:rPr>
        <w:t>majutusasutused on liigitatud II kasutusviisi alla</w:t>
      </w:r>
      <w:r w:rsidRPr="00E14EBC">
        <w:rPr>
          <w:rFonts w:ascii="Arial" w:hAnsi="Arial" w:cs="Arial"/>
        </w:rPr>
        <w:t xml:space="preserve"> (ehk mille kasutajad ei pruugi hoonet hästi tunda, kuid suudavad ise oma ohutuse eest hoolitseda), millele kehtivad rangemad nõuded. </w:t>
      </w:r>
    </w:p>
    <w:p w14:paraId="20DF1AB0" w14:textId="09990A95" w:rsidR="001E44AD" w:rsidRPr="001A398D" w:rsidRDefault="001E44AD" w:rsidP="001E44AD">
      <w:pPr>
        <w:spacing w:after="0"/>
        <w:jc w:val="both"/>
        <w:rPr>
          <w:rFonts w:ascii="Arial" w:hAnsi="Arial" w:cs="Arial"/>
        </w:rPr>
      </w:pPr>
      <w:r w:rsidRPr="5848DE21">
        <w:rPr>
          <w:rFonts w:ascii="Arial" w:hAnsi="Arial" w:cs="Arial"/>
          <w:b/>
          <w:bCs/>
        </w:rPr>
        <w:t>Erandiks on siin enam kui kümne voodikohaga</w:t>
      </w:r>
      <w:r w:rsidRPr="5848DE21">
        <w:rPr>
          <w:rFonts w:ascii="Arial" w:hAnsi="Arial" w:cs="Arial"/>
        </w:rPr>
        <w:t xml:space="preserve"> </w:t>
      </w:r>
      <w:r w:rsidRPr="5848DE21">
        <w:rPr>
          <w:rFonts w:ascii="Arial" w:hAnsi="Arial" w:cs="Arial"/>
          <w:b/>
          <w:bCs/>
        </w:rPr>
        <w:t>majutusettevõte I kasutusviisiga hoones</w:t>
      </w:r>
      <w:r w:rsidR="00F41876">
        <w:rPr>
          <w:rFonts w:ascii="Arial" w:hAnsi="Arial" w:cs="Arial"/>
          <w:b/>
          <w:bCs/>
        </w:rPr>
        <w:t xml:space="preserve"> </w:t>
      </w:r>
      <w:r w:rsidR="00F41876" w:rsidRPr="003F0878">
        <w:rPr>
          <w:rFonts w:ascii="Arial" w:hAnsi="Arial" w:cs="Arial"/>
        </w:rPr>
        <w:t>(siseministri määrus</w:t>
      </w:r>
      <w:r w:rsidR="003F0878" w:rsidRPr="003F0878">
        <w:rPr>
          <w:rFonts w:ascii="Arial" w:hAnsi="Arial" w:cs="Arial"/>
        </w:rPr>
        <w:t>e</w:t>
      </w:r>
      <w:r w:rsidR="003F0878">
        <w:rPr>
          <w:rFonts w:ascii="Arial" w:hAnsi="Arial" w:cs="Arial"/>
          <w:b/>
          <w:bCs/>
        </w:rPr>
        <w:t xml:space="preserve"> </w:t>
      </w:r>
      <w:r w:rsidR="00AB6FBC" w:rsidRPr="00514229">
        <w:rPr>
          <w:rFonts w:ascii="Arial" w:hAnsi="Arial" w:cs="Arial"/>
        </w:rPr>
        <w:t>nr 17</w:t>
      </w:r>
      <w:r w:rsidR="00AB6FBC">
        <w:rPr>
          <w:rFonts w:ascii="Arial" w:hAnsi="Arial" w:cs="Arial"/>
          <w:b/>
          <w:bCs/>
        </w:rPr>
        <w:t xml:space="preserve"> </w:t>
      </w:r>
      <w:r w:rsidR="003F0878">
        <w:t>§29 lg1 p2).</w:t>
      </w:r>
      <w:r w:rsidRPr="5848DE21">
        <w:rPr>
          <w:rFonts w:ascii="Arial" w:hAnsi="Arial" w:cs="Arial"/>
        </w:rPr>
        <w:t xml:space="preserve"> Sellisel juhul peab hoone evakuatsiooni ning tuleohutuspaigaldiste nõuete osas vastama II kasutusviisiga hoonetele kehtestatud tuleohutusnõuetele.</w:t>
      </w:r>
    </w:p>
    <w:p w14:paraId="2A0F87BD" w14:textId="77777777" w:rsidR="001E44AD" w:rsidRPr="00E14EBC" w:rsidRDefault="001E44AD" w:rsidP="001E44AD">
      <w:pPr>
        <w:spacing w:after="0"/>
        <w:jc w:val="both"/>
        <w:rPr>
          <w:rFonts w:ascii="Arial" w:hAnsi="Arial" w:cs="Arial"/>
        </w:rPr>
      </w:pPr>
      <w:r w:rsidRPr="5848DE21">
        <w:rPr>
          <w:rFonts w:ascii="Arial" w:hAnsi="Arial" w:cs="Arial"/>
        </w:rPr>
        <w:t xml:space="preserve">Majutusasutuste puhul on vajalik kasutada </w:t>
      </w:r>
      <w:r w:rsidRPr="5848DE21">
        <w:rPr>
          <w:rFonts w:ascii="Arial" w:hAnsi="Arial" w:cs="Arial"/>
          <w:b/>
          <w:bCs/>
        </w:rPr>
        <w:t>täiendavaid ja rangemaid nõudeid</w:t>
      </w:r>
      <w:r w:rsidRPr="5848DE21">
        <w:rPr>
          <w:rFonts w:ascii="Arial" w:hAnsi="Arial" w:cs="Arial"/>
        </w:rPr>
        <w:t xml:space="preserve"> (ehk II kasutusviisiga hoonetele määratud nõudeid), sest:</w:t>
      </w:r>
    </w:p>
    <w:p w14:paraId="30D7212C" w14:textId="77777777" w:rsidR="001E44AD" w:rsidRPr="00E14EBC" w:rsidRDefault="001E44AD" w:rsidP="001E44AD">
      <w:pPr>
        <w:numPr>
          <w:ilvl w:val="0"/>
          <w:numId w:val="33"/>
        </w:numPr>
        <w:spacing w:after="0"/>
        <w:jc w:val="both"/>
        <w:rPr>
          <w:rFonts w:ascii="Arial" w:hAnsi="Arial" w:cs="Arial"/>
        </w:rPr>
      </w:pPr>
      <w:r w:rsidRPr="00E14EBC">
        <w:rPr>
          <w:rFonts w:ascii="Arial" w:hAnsi="Arial" w:cs="Arial"/>
        </w:rPr>
        <w:t>tegemist on ajutise, sageli anonüümse kasutusega ruumiga, kus inimesed ei tunne ruumi ja evakuatsiooniteid,</w:t>
      </w:r>
    </w:p>
    <w:p w14:paraId="482061B6" w14:textId="77777777" w:rsidR="001E44AD" w:rsidRPr="00E14EBC" w:rsidRDefault="001E44AD" w:rsidP="001E44AD">
      <w:pPr>
        <w:numPr>
          <w:ilvl w:val="0"/>
          <w:numId w:val="33"/>
        </w:numPr>
        <w:spacing w:after="0"/>
        <w:jc w:val="both"/>
        <w:rPr>
          <w:rFonts w:ascii="Arial" w:hAnsi="Arial" w:cs="Arial"/>
        </w:rPr>
      </w:pPr>
      <w:r w:rsidRPr="00E14EBC">
        <w:rPr>
          <w:rFonts w:ascii="Arial" w:hAnsi="Arial" w:cs="Arial"/>
        </w:rPr>
        <w:t>ruumides võib olla suur külastajate voog ja ööpäevaringne kasutus,</w:t>
      </w:r>
    </w:p>
    <w:p w14:paraId="1D515CF5" w14:textId="77777777" w:rsidR="001E44AD" w:rsidRPr="00E14EBC" w:rsidRDefault="001E44AD" w:rsidP="001E44AD">
      <w:pPr>
        <w:numPr>
          <w:ilvl w:val="0"/>
          <w:numId w:val="33"/>
        </w:numPr>
        <w:spacing w:after="0"/>
        <w:jc w:val="both"/>
        <w:rPr>
          <w:rFonts w:ascii="Arial" w:hAnsi="Arial" w:cs="Arial"/>
        </w:rPr>
      </w:pPr>
      <w:r w:rsidRPr="00E14EBC">
        <w:rPr>
          <w:rFonts w:ascii="Arial" w:hAnsi="Arial" w:cs="Arial"/>
        </w:rPr>
        <w:t>teenus kuulub avaliku teenuse kategooriasse, seega rakenduvad avaliku ruumi tuleohutuse standardid.</w:t>
      </w:r>
    </w:p>
    <w:p w14:paraId="5567F4AD" w14:textId="77777777" w:rsidR="001E44AD" w:rsidRDefault="001E44AD" w:rsidP="001E44AD">
      <w:pPr>
        <w:spacing w:after="0"/>
        <w:jc w:val="both"/>
        <w:rPr>
          <w:rFonts w:ascii="Arial" w:hAnsi="Arial" w:cs="Arial"/>
          <w:b/>
          <w:bCs/>
        </w:rPr>
      </w:pPr>
      <w:r w:rsidRPr="288A3578">
        <w:rPr>
          <w:rFonts w:ascii="Arial" w:hAnsi="Arial" w:cs="Arial"/>
        </w:rPr>
        <w:t>Sellised rangemad nõuded on näiteks: autonoomne suitsuandur igas majutusruumis ja automaatne tulekahjusignalisatsioonisüsteem üldkasutatavates alades (nt koridorid, fuajee); kaks iseseisvat ja märgistatud evakuatsiooniteed; nähtaval kohal evakuatsiooniskeemid ja külastajale kirjalik ohutusmeelespea; tulekustuti igal korrusel (või tuletekk) jne.</w:t>
      </w:r>
      <w:r w:rsidRPr="288A3578">
        <w:rPr>
          <w:rFonts w:ascii="Arial" w:hAnsi="Arial" w:cs="Arial"/>
          <w:b/>
          <w:bCs/>
        </w:rPr>
        <w:t xml:space="preserve"> </w:t>
      </w:r>
    </w:p>
    <w:p w14:paraId="10226A3E" w14:textId="02CAB2E5" w:rsidR="001E44AD" w:rsidRPr="004E034F" w:rsidRDefault="001E44AD" w:rsidP="001E44AD">
      <w:pPr>
        <w:jc w:val="both"/>
      </w:pPr>
      <w:r>
        <w:t xml:space="preserve">Seejuures on oluline jälgida, et olenemata sellest, kas osutatav majutusteenus on lühiajaline või pikaajaline, siis nõuded võivad erineda ka erinevatele hoone osadele, seda just </w:t>
      </w:r>
      <w:r w:rsidRPr="00805BE2">
        <w:t>mitmeotstarbeli</w:t>
      </w:r>
      <w:r>
        <w:t>st</w:t>
      </w:r>
      <w:r w:rsidRPr="00805BE2">
        <w:t xml:space="preserve">e </w:t>
      </w:r>
      <w:r w:rsidRPr="004E034F">
        <w:t>hoonete kasutuse puhul. Nt külaliskorterid ja kodumajutused võivad, tulenevalt majandus- ja taristuministri 02.06.2015 määruse nr 51</w:t>
      </w:r>
      <w:r w:rsidRPr="004E034F">
        <w:rPr>
          <w:rStyle w:val="FootnoteReference"/>
        </w:rPr>
        <w:footnoteReference w:id="43"/>
      </w:r>
      <w:r w:rsidRPr="004E034F">
        <w:t xml:space="preserve"> §1 lg4, asuda ka elamuotstarbelisel pinnal.</w:t>
      </w:r>
      <w:r>
        <w:t xml:space="preserve"> Lisaks eelmises lõigus toodule peavad majutusettevõtte igas majutusruumis olema nähtaval kohal tuleohutuse meelespea. Samuti evakuatsiooni ja tulekahju korral tegutsemise skeem. Skeemi ei </w:t>
      </w:r>
      <w:r>
        <w:lastRenderedPageBreak/>
        <w:t>pea olema, kui majutusruum asub</w:t>
      </w:r>
      <w:r w:rsidRPr="00413161">
        <w:t xml:space="preserve"> I kasutusviisiga hoones või hoones, mille kasutusviis on oluliste tuleohutusnõuete osas võrdsustatud I kasutusviisiga</w:t>
      </w:r>
      <w:r w:rsidR="000E6BF9">
        <w:t xml:space="preserve"> (määruse §2 lg2)</w:t>
      </w:r>
      <w:r>
        <w:t>.</w:t>
      </w:r>
      <w:r>
        <w:rPr>
          <w:rStyle w:val="FootnoteReference"/>
        </w:rPr>
        <w:footnoteReference w:id="44"/>
      </w:r>
      <w:r>
        <w:t xml:space="preserve"> Samuti peab v</w:t>
      </w:r>
      <w:r w:rsidRPr="006518A1">
        <w:t>äljumis- või evakuatsiooniteel oleva majutusruumi, korteri või majutushoone välisuks olema seestpoolt võtmeta avatav.</w:t>
      </w:r>
    </w:p>
    <w:p w14:paraId="13527463" w14:textId="77777777" w:rsidR="001E44AD" w:rsidRDefault="001E44AD" w:rsidP="001E44AD">
      <w:pPr>
        <w:spacing w:after="0"/>
        <w:jc w:val="both"/>
        <w:rPr>
          <w:rFonts w:ascii="Arial" w:hAnsi="Arial" w:cs="Arial"/>
          <w:b/>
          <w:bCs/>
        </w:rPr>
      </w:pPr>
      <w:r w:rsidRPr="004E034F">
        <w:rPr>
          <w:rFonts w:ascii="Arial" w:hAnsi="Arial" w:cs="Arial"/>
        </w:rPr>
        <w:t>Erinevalt eluruumidest</w:t>
      </w:r>
      <w:r w:rsidRPr="004E034F">
        <w:rPr>
          <w:rFonts w:ascii="Arial" w:hAnsi="Arial" w:cs="Arial"/>
          <w:b/>
          <w:bCs/>
        </w:rPr>
        <w:t>,</w:t>
      </w:r>
      <w:r w:rsidRPr="004E034F">
        <w:rPr>
          <w:rFonts w:ascii="Arial" w:hAnsi="Arial" w:cs="Arial"/>
        </w:rPr>
        <w:t xml:space="preserve"> kus on määratud sotsiaalselt põhjendatud suurused perekonna iga liikme (18m</w:t>
      </w:r>
      <w:r w:rsidRPr="004E034F">
        <w:rPr>
          <w:rFonts w:ascii="Arial" w:hAnsi="Arial" w:cs="Arial"/>
          <w:vertAlign w:val="superscript"/>
        </w:rPr>
        <w:t>2</w:t>
      </w:r>
      <w:r w:rsidRPr="004E034F">
        <w:rPr>
          <w:rFonts w:ascii="Arial" w:hAnsi="Arial" w:cs="Arial"/>
        </w:rPr>
        <w:t>) ja lisaks perekonna (15m</w:t>
      </w:r>
      <w:r w:rsidRPr="004E034F">
        <w:rPr>
          <w:rFonts w:ascii="Arial" w:hAnsi="Arial" w:cs="Arial"/>
          <w:vertAlign w:val="superscript"/>
        </w:rPr>
        <w:t>2</w:t>
      </w:r>
      <w:r w:rsidRPr="004E034F">
        <w:rPr>
          <w:rFonts w:ascii="Arial" w:hAnsi="Arial" w:cs="Arial"/>
        </w:rPr>
        <w:t>) kohta</w:t>
      </w:r>
      <w:r w:rsidRPr="004E034F">
        <w:rPr>
          <w:rStyle w:val="FootnoteReference"/>
          <w:rFonts w:ascii="Arial" w:hAnsi="Arial" w:cs="Arial"/>
        </w:rPr>
        <w:footnoteReference w:id="45"/>
      </w:r>
      <w:r w:rsidRPr="004E034F">
        <w:rPr>
          <w:rFonts w:ascii="Arial" w:hAnsi="Arial" w:cs="Arial"/>
        </w:rPr>
        <w:t>, majutusruumidele</w:t>
      </w:r>
      <w:r>
        <w:rPr>
          <w:rFonts w:ascii="Arial" w:hAnsi="Arial" w:cs="Arial"/>
        </w:rPr>
        <w:t xml:space="preserve"> selliseid norme kehtestatud ei ole. Samas võib mainitud sätet tõlgendada selliselt, et elamus asuv majutusruum peab suuruselt vastama nimetatud normidele</w:t>
      </w:r>
      <w:r>
        <w:rPr>
          <w:rFonts w:ascii="Arial" w:hAnsi="Arial" w:cs="Arial"/>
          <w:b/>
          <w:bCs/>
        </w:rPr>
        <w:t>.</w:t>
      </w:r>
    </w:p>
    <w:p w14:paraId="5D47C5B7" w14:textId="77777777" w:rsidR="001E44AD" w:rsidRPr="00E826FD" w:rsidRDefault="001E44AD" w:rsidP="001E44AD">
      <w:pPr>
        <w:spacing w:after="0"/>
        <w:jc w:val="both"/>
        <w:rPr>
          <w:rFonts w:ascii="Arial" w:hAnsi="Arial" w:cs="Arial"/>
        </w:rPr>
      </w:pPr>
      <w:r w:rsidRPr="5848DE21">
        <w:rPr>
          <w:rFonts w:ascii="Arial" w:hAnsi="Arial" w:cs="Arial"/>
        </w:rPr>
        <w:t xml:space="preserve">Samas peab iga elu- ja/või ärihoone omanik jälgima, et tema omand oleks kõigile selles viibijate elule ja tervisele ohutu. Seda olenemata sellest, kas selles pakutakse majutusteenust või mitte. </w:t>
      </w:r>
    </w:p>
    <w:p w14:paraId="2578EFD3" w14:textId="77777777" w:rsidR="001E44AD" w:rsidRPr="00E14EBC" w:rsidRDefault="001E44AD" w:rsidP="001E44AD">
      <w:pPr>
        <w:spacing w:after="0"/>
        <w:jc w:val="both"/>
        <w:rPr>
          <w:rStyle w:val="PurpleText"/>
        </w:rPr>
      </w:pPr>
      <w:r w:rsidRPr="00E14EBC">
        <w:rPr>
          <w:rStyle w:val="PurpleText"/>
        </w:rPr>
        <w:t>Majutusteenusele kehtivad nõuded</w:t>
      </w:r>
    </w:p>
    <w:p w14:paraId="2B952C2C" w14:textId="77777777" w:rsidR="001E44AD" w:rsidRPr="00E14EBC" w:rsidRDefault="001E44AD" w:rsidP="001E44AD">
      <w:pPr>
        <w:spacing w:after="0"/>
        <w:jc w:val="both"/>
        <w:rPr>
          <w:rFonts w:ascii="Arial" w:hAnsi="Arial" w:cs="Arial"/>
        </w:rPr>
      </w:pPr>
      <w:r w:rsidRPr="00E14EBC">
        <w:rPr>
          <w:rFonts w:ascii="Arial" w:hAnsi="Arial" w:cs="Arial"/>
        </w:rPr>
        <w:t>Lisaks ruumide n</w:t>
      </w:r>
      <w:r>
        <w:rPr>
          <w:rFonts w:ascii="Arial" w:hAnsi="Arial" w:cs="Arial"/>
        </w:rPr>
        <w:t>-</w:t>
      </w:r>
      <w:r w:rsidRPr="00E14EBC">
        <w:rPr>
          <w:rFonts w:ascii="Arial" w:hAnsi="Arial" w:cs="Arial"/>
        </w:rPr>
        <w:t>ö füüsilistele nõuetele on kehtestatud ettevõtlus- ja infotehnoloogiaministri määruses nr 17, „Majutusteenuse osutamise nõuded“</w:t>
      </w:r>
      <w:r w:rsidRPr="00E14EBC">
        <w:rPr>
          <w:rFonts w:ascii="Arial" w:hAnsi="Arial" w:cs="Arial"/>
          <w:vertAlign w:val="superscript"/>
        </w:rPr>
        <w:footnoteReference w:id="46"/>
      </w:r>
      <w:r w:rsidRPr="00E14EBC">
        <w:rPr>
          <w:rFonts w:ascii="Arial" w:hAnsi="Arial" w:cs="Arial"/>
        </w:rPr>
        <w:t xml:space="preserve"> täpsemad nõuded majutusteenusele. Ehk see määrus ei keskendu hoonele kui ehitisele, vaid </w:t>
      </w:r>
      <w:r w:rsidRPr="00E14EBC">
        <w:rPr>
          <w:rFonts w:ascii="Arial" w:hAnsi="Arial" w:cs="Arial"/>
          <w:b/>
          <w:bCs/>
        </w:rPr>
        <w:t>teenusele kui tegevusele</w:t>
      </w:r>
      <w:r w:rsidRPr="00E14EBC">
        <w:rPr>
          <w:rFonts w:ascii="Arial" w:hAnsi="Arial" w:cs="Arial"/>
        </w:rPr>
        <w:t xml:space="preserve">, mida ruumis osutatakse. </w:t>
      </w:r>
    </w:p>
    <w:p w14:paraId="14CC6882" w14:textId="77777777" w:rsidR="001E44AD" w:rsidRPr="00E14EBC" w:rsidRDefault="001E44AD" w:rsidP="001E44AD">
      <w:pPr>
        <w:spacing w:after="0"/>
        <w:jc w:val="both"/>
        <w:rPr>
          <w:rFonts w:ascii="Arial" w:hAnsi="Arial" w:cs="Arial"/>
        </w:rPr>
      </w:pPr>
      <w:r w:rsidRPr="64F64B3A">
        <w:rPr>
          <w:rFonts w:ascii="Arial" w:hAnsi="Arial" w:cs="Arial"/>
        </w:rPr>
        <w:t xml:space="preserve">Määruse eesmärk on tagada ühtsed nõuded kõigis majutusettevõtetes – hotellidest kodumajutusteni, vastavalt majutuse liigile. Näiteks oma sisult rohkem lühiajalise üüri teenusele vastavas külaliskorteris ja kodumajutuses tuleb pakkuda toidu valmistamise võimalust ning tagada voodipesu ja rätikute olemasolu või nende laenutamise võimalus. Samas näiteks hotellis tuleb pakkuda igapäevast koristusteenust ja voodipesu vahetamist. </w:t>
      </w:r>
    </w:p>
    <w:p w14:paraId="00D1F283" w14:textId="77777777" w:rsidR="001E44AD" w:rsidRPr="00E14EBC" w:rsidRDefault="001E44AD" w:rsidP="001E44AD">
      <w:pPr>
        <w:spacing w:after="0"/>
        <w:jc w:val="both"/>
        <w:rPr>
          <w:rFonts w:ascii="Arial" w:hAnsi="Arial" w:cs="Arial"/>
        </w:rPr>
      </w:pPr>
      <w:r w:rsidRPr="64F64B3A">
        <w:rPr>
          <w:rFonts w:ascii="Arial" w:hAnsi="Arial" w:cs="Arial"/>
        </w:rPr>
        <w:t xml:space="preserve">Lisaks kehtivad majutusteenuse osutamisel veel mitmed erinevate </w:t>
      </w:r>
      <w:r w:rsidRPr="64F64B3A">
        <w:rPr>
          <w:rFonts w:ascii="Arial" w:hAnsi="Arial" w:cs="Arial"/>
          <w:b/>
          <w:bCs/>
        </w:rPr>
        <w:t>valdkondade regulatsioonidest tulenevad nõuded</w:t>
      </w:r>
      <w:r w:rsidRPr="64F64B3A">
        <w:rPr>
          <w:rFonts w:ascii="Arial" w:hAnsi="Arial" w:cs="Arial"/>
        </w:rPr>
        <w:t xml:space="preserve">. Sellisteks on näiteks – </w:t>
      </w:r>
      <w:r>
        <w:rPr>
          <w:rFonts w:ascii="Arial" w:hAnsi="Arial" w:cs="Arial"/>
        </w:rPr>
        <w:t xml:space="preserve">tarbijaid vahetult teenindava </w:t>
      </w:r>
      <w:r w:rsidRPr="64F64B3A">
        <w:rPr>
          <w:rFonts w:ascii="Arial" w:hAnsi="Arial" w:cs="Arial"/>
        </w:rPr>
        <w:t>personali eesti keele oskuse nõue vähemalt B1-tasemel; erinevad hügieeninõuded (nt sooja veega pesemise võimalus, tualeti võimalus jne); kui pakutakse toitlustust, siis toidu käitlemisega seotud nõuded; teenuste kasutajate teavitamine hinnakirjast jms; ligipääsetavuse tagamine ning sisse- ja väljapääsude märgistus jne.</w:t>
      </w:r>
    </w:p>
    <w:p w14:paraId="1151304F" w14:textId="77777777" w:rsidR="001E44AD" w:rsidRPr="00E14EBC" w:rsidRDefault="001E44AD" w:rsidP="001E44AD">
      <w:pPr>
        <w:spacing w:after="0"/>
        <w:jc w:val="both"/>
        <w:rPr>
          <w:rStyle w:val="PurpleText"/>
        </w:rPr>
      </w:pPr>
      <w:r w:rsidRPr="00E14EBC">
        <w:rPr>
          <w:rStyle w:val="PurpleText"/>
        </w:rPr>
        <w:t>Eluruumile ning majutusasutusele (ja -teenustele) kehtivate nõuete võrdlus</w:t>
      </w:r>
    </w:p>
    <w:p w14:paraId="72B6FA53" w14:textId="3B5D966B" w:rsidR="001E44AD" w:rsidRPr="00E14EBC" w:rsidRDefault="001E44AD" w:rsidP="001E44AD">
      <w:pPr>
        <w:jc w:val="both"/>
      </w:pPr>
      <w:r>
        <w:t>Kokkuvõtvalt on nii eluruumidele kui majutushoonete ruumidele kehtestatud erinevaid nö füüsilisi nõudeid, et tagada nende kasutajate ohutus ja ruumide vastavus nendes toimuvale tegevusele. Seejuures on majutushoonetele kehtestatud nõuded rangemad, kuna nendes on vajadus tagada seal ajutiselt majutuvate klientide ohutus, tervis ja õigused</w:t>
      </w:r>
      <w:r w:rsidR="24A156E9">
        <w:t>.</w:t>
      </w:r>
    </w:p>
    <w:p w14:paraId="70AE2D42" w14:textId="77777777" w:rsidR="001E44AD" w:rsidRPr="00E14EBC" w:rsidRDefault="001E44AD" w:rsidP="001E44AD">
      <w:pPr>
        <w:jc w:val="both"/>
      </w:pPr>
      <w:r w:rsidRPr="00E14EBC">
        <w:lastRenderedPageBreak/>
        <w:t xml:space="preserve">Alljärgnev tabel esitab võrdleva ülevaate nõuetest, mis kehtivad Eestis eluruumide ja majutusteenuse osutamise suhtes. </w:t>
      </w:r>
    </w:p>
    <w:p w14:paraId="650B432C" w14:textId="3655D71F" w:rsidR="001E44AD" w:rsidRPr="00E14EBC" w:rsidRDefault="001E44AD" w:rsidP="001E44AD">
      <w:pPr>
        <w:pStyle w:val="TableTitle"/>
      </w:pPr>
      <w:r>
        <w:t xml:space="preserve">Tabel 3: Eluruumidele ja </w:t>
      </w:r>
      <w:r w:rsidRPr="288A3578">
        <w:rPr>
          <w:rStyle w:val="PurpleText"/>
        </w:rPr>
        <w:t>majutus</w:t>
      </w:r>
      <w:r>
        <w:rPr>
          <w:rStyle w:val="PurpleText"/>
        </w:rPr>
        <w:t xml:space="preserve">ruumidele </w:t>
      </w:r>
      <w:r w:rsidRPr="288A3578">
        <w:rPr>
          <w:rStyle w:val="PurpleText"/>
        </w:rPr>
        <w:t>kehtivad nõuded</w:t>
      </w:r>
    </w:p>
    <w:tbl>
      <w:tblPr>
        <w:tblStyle w:val="TableGridLight"/>
        <w:tblW w:w="10345" w:type="dxa"/>
        <w:tblLayout w:type="fixed"/>
        <w:tblLook w:val="04A0" w:firstRow="1" w:lastRow="0" w:firstColumn="1" w:lastColumn="0" w:noHBand="0" w:noVBand="1"/>
      </w:tblPr>
      <w:tblGrid>
        <w:gridCol w:w="2729"/>
        <w:gridCol w:w="3419"/>
        <w:gridCol w:w="4197"/>
      </w:tblGrid>
      <w:tr w:rsidR="001E44AD" w:rsidRPr="00E14EBC" w14:paraId="467420CB" w14:textId="77777777">
        <w:trPr>
          <w:tblHeader/>
        </w:trPr>
        <w:tc>
          <w:tcPr>
            <w:tcW w:w="2729" w:type="dxa"/>
            <w:shd w:val="clear" w:color="auto" w:fill="232323" w:themeFill="accent1"/>
          </w:tcPr>
          <w:p w14:paraId="7C1CD51C" w14:textId="77777777" w:rsidR="001E44AD" w:rsidRPr="00E14EBC" w:rsidRDefault="001E44AD">
            <w:r w:rsidRPr="00E14EBC">
              <w:t>Nõuete kategooria</w:t>
            </w:r>
          </w:p>
        </w:tc>
        <w:tc>
          <w:tcPr>
            <w:tcW w:w="3419" w:type="dxa"/>
            <w:shd w:val="clear" w:color="auto" w:fill="232323" w:themeFill="accent1"/>
          </w:tcPr>
          <w:p w14:paraId="7928831D" w14:textId="77777777" w:rsidR="001E44AD" w:rsidRPr="00E14EBC" w:rsidRDefault="001E44AD">
            <w:r w:rsidRPr="00E14EBC">
              <w:t>Eluruum</w:t>
            </w:r>
          </w:p>
        </w:tc>
        <w:tc>
          <w:tcPr>
            <w:tcW w:w="4197" w:type="dxa"/>
            <w:shd w:val="clear" w:color="auto" w:fill="232323" w:themeFill="accent1"/>
          </w:tcPr>
          <w:p w14:paraId="223AD7C3" w14:textId="4F37B644" w:rsidR="001E44AD" w:rsidRPr="00E14EBC" w:rsidRDefault="001E44AD">
            <w:r>
              <w:t>Majutusruum</w:t>
            </w:r>
          </w:p>
        </w:tc>
      </w:tr>
      <w:tr w:rsidR="001E44AD" w:rsidRPr="00E14EBC" w14:paraId="4C40C828" w14:textId="77777777">
        <w:tc>
          <w:tcPr>
            <w:tcW w:w="2729" w:type="dxa"/>
          </w:tcPr>
          <w:p w14:paraId="701AD420" w14:textId="77777777" w:rsidR="001E44AD" w:rsidRPr="00E14EBC" w:rsidRDefault="001E44AD">
            <w:r w:rsidRPr="00E14EBC">
              <w:t>Kasutusotstarve ja õiguslik alus</w:t>
            </w:r>
          </w:p>
        </w:tc>
        <w:tc>
          <w:tcPr>
            <w:tcW w:w="3419" w:type="dxa"/>
          </w:tcPr>
          <w:p w14:paraId="5048BB4C" w14:textId="7CD525B1" w:rsidR="001E44AD" w:rsidRPr="00E14EBC" w:rsidRDefault="001E44AD">
            <w:r w:rsidRPr="00E14EBC">
              <w:t>Kasutusotstarve: elamu (EhS §11); VÕS</w:t>
            </w:r>
            <w:r w:rsidR="00AB6BF8">
              <w:t>-i</w:t>
            </w:r>
            <w:r w:rsidRPr="00E14EBC">
              <w:t xml:space="preserve"> §271 alusel eluruumina</w:t>
            </w:r>
          </w:p>
        </w:tc>
        <w:tc>
          <w:tcPr>
            <w:tcW w:w="4197" w:type="dxa"/>
          </w:tcPr>
          <w:p w14:paraId="11462D33" w14:textId="77777777" w:rsidR="001E44AD" w:rsidRPr="00E14EBC" w:rsidRDefault="001E44AD">
            <w:r>
              <w:t>Kasutusotstarve: majutushoone (nt kood 1210); TurS §18, määrus nr 17</w:t>
            </w:r>
          </w:p>
        </w:tc>
      </w:tr>
      <w:tr w:rsidR="001E44AD" w:rsidRPr="00E14EBC" w14:paraId="2125EC47" w14:textId="77777777">
        <w:tc>
          <w:tcPr>
            <w:tcW w:w="2729" w:type="dxa"/>
          </w:tcPr>
          <w:p w14:paraId="6C4B7D12" w14:textId="77777777" w:rsidR="001E44AD" w:rsidRPr="00E14EBC" w:rsidRDefault="001E44AD">
            <w:r w:rsidRPr="00E14EBC">
              <w:t>Sisekliima (temperatuur, niiskus)</w:t>
            </w:r>
          </w:p>
        </w:tc>
        <w:tc>
          <w:tcPr>
            <w:tcW w:w="3419" w:type="dxa"/>
          </w:tcPr>
          <w:p w14:paraId="270A13E0" w14:textId="4500CB6A" w:rsidR="001E44AD" w:rsidRPr="00E14EBC" w:rsidRDefault="001E44AD">
            <w:r w:rsidRPr="00E14EBC">
              <w:t>Min. temperatuur 18°C</w:t>
            </w:r>
            <w:r w:rsidR="008D06F1">
              <w:t>,</w:t>
            </w:r>
            <w:r w:rsidRPr="00E14EBC">
              <w:t xml:space="preserve"> suhteline niiskus 40–60% </w:t>
            </w:r>
          </w:p>
        </w:tc>
        <w:tc>
          <w:tcPr>
            <w:tcW w:w="4197" w:type="dxa"/>
          </w:tcPr>
          <w:p w14:paraId="48A9476D" w14:textId="77777777" w:rsidR="001E44AD" w:rsidRPr="00E14EBC" w:rsidRDefault="001E44AD">
            <w:r w:rsidRPr="00E14EBC">
              <w:t xml:space="preserve">Min. temperatuur 18°C, sisekliima peab sobima ööbimiseks </w:t>
            </w:r>
          </w:p>
        </w:tc>
      </w:tr>
      <w:tr w:rsidR="001E44AD" w:rsidRPr="00E14EBC" w14:paraId="1959D366" w14:textId="77777777">
        <w:tc>
          <w:tcPr>
            <w:tcW w:w="2729" w:type="dxa"/>
          </w:tcPr>
          <w:p w14:paraId="46E624CD" w14:textId="77777777" w:rsidR="001E44AD" w:rsidRPr="00E14EBC" w:rsidRDefault="001E44AD">
            <w:r w:rsidRPr="00E14EBC">
              <w:t>Ventilatsioon</w:t>
            </w:r>
          </w:p>
        </w:tc>
        <w:tc>
          <w:tcPr>
            <w:tcW w:w="3419" w:type="dxa"/>
          </w:tcPr>
          <w:p w14:paraId="061EB17B" w14:textId="77777777" w:rsidR="001E44AD" w:rsidRPr="00E14EBC" w:rsidRDefault="001E44AD">
            <w:r w:rsidRPr="00E14EBC">
              <w:t xml:space="preserve">Loomulik või mehaaniline ventilatsioon </w:t>
            </w:r>
          </w:p>
        </w:tc>
        <w:tc>
          <w:tcPr>
            <w:tcW w:w="4197" w:type="dxa"/>
          </w:tcPr>
          <w:p w14:paraId="628B6977" w14:textId="77777777" w:rsidR="001E44AD" w:rsidRPr="00E14EBC" w:rsidRDefault="001E44AD">
            <w:r w:rsidRPr="00E14EBC">
              <w:t xml:space="preserve">Loomulik või mehaaniline ventilatsioon </w:t>
            </w:r>
          </w:p>
        </w:tc>
      </w:tr>
      <w:tr w:rsidR="001E44AD" w:rsidRPr="00E14EBC" w14:paraId="76961D12" w14:textId="77777777">
        <w:tc>
          <w:tcPr>
            <w:tcW w:w="2729" w:type="dxa"/>
          </w:tcPr>
          <w:p w14:paraId="260FA960" w14:textId="77777777" w:rsidR="001E44AD" w:rsidRPr="00E14EBC" w:rsidRDefault="001E44AD">
            <w:r>
              <w:t>Vesi ja kanalisatsioon</w:t>
            </w:r>
          </w:p>
        </w:tc>
        <w:tc>
          <w:tcPr>
            <w:tcW w:w="3419" w:type="dxa"/>
          </w:tcPr>
          <w:p w14:paraId="41E19FFE" w14:textId="41D80155" w:rsidR="001E44AD" w:rsidRPr="00E14EBC" w:rsidRDefault="001E44AD">
            <w:r>
              <w:t>Tualett või selle kasutamise võimalus samas hoones või selle teenindamiseks määratud maa-alal. Külma vee saamise võimalus või samas hoones või selle teenindamiseks määratud maa-alal</w:t>
            </w:r>
          </w:p>
        </w:tc>
        <w:tc>
          <w:tcPr>
            <w:tcW w:w="4197" w:type="dxa"/>
          </w:tcPr>
          <w:p w14:paraId="07C39E21" w14:textId="4B8653CA" w:rsidR="001E44AD" w:rsidRPr="00E14EBC" w:rsidRDefault="001E44AD">
            <w:r w:rsidRPr="00E14EBC">
              <w:t>Kohustuslik ligipääs WC-le, pesemisvõimalus</w:t>
            </w:r>
            <w:r w:rsidR="00074B84">
              <w:t>,</w:t>
            </w:r>
            <w:r w:rsidRPr="00E14EBC">
              <w:t xml:space="preserve"> soe vesi</w:t>
            </w:r>
          </w:p>
        </w:tc>
      </w:tr>
      <w:tr w:rsidR="001E44AD" w:rsidRPr="00E14EBC" w14:paraId="25BF8954" w14:textId="77777777">
        <w:tc>
          <w:tcPr>
            <w:tcW w:w="2729" w:type="dxa"/>
          </w:tcPr>
          <w:p w14:paraId="77E62782" w14:textId="77777777" w:rsidR="001E44AD" w:rsidRPr="00E14EBC" w:rsidRDefault="001E44AD">
            <w:r w:rsidRPr="00E14EBC">
              <w:t>Elektriohutus</w:t>
            </w:r>
          </w:p>
        </w:tc>
        <w:tc>
          <w:tcPr>
            <w:tcW w:w="3419" w:type="dxa"/>
          </w:tcPr>
          <w:p w14:paraId="53869CB0" w14:textId="77777777" w:rsidR="001E44AD" w:rsidRPr="00E14EBC" w:rsidRDefault="001E44AD">
            <w:r w:rsidRPr="00E14EBC">
              <w:t xml:space="preserve">Elektripaigaldiste audit ehituse/renoveerimise järel </w:t>
            </w:r>
          </w:p>
        </w:tc>
        <w:tc>
          <w:tcPr>
            <w:tcW w:w="4197" w:type="dxa"/>
          </w:tcPr>
          <w:p w14:paraId="6E35EC84" w14:textId="77777777" w:rsidR="001E44AD" w:rsidRPr="00E14EBC" w:rsidRDefault="001E44AD">
            <w:r w:rsidRPr="00E14EBC">
              <w:t xml:space="preserve">Ohutu ja kontrollitud paigaldus, audit vajadusel </w:t>
            </w:r>
          </w:p>
        </w:tc>
      </w:tr>
      <w:tr w:rsidR="001E44AD" w:rsidRPr="00E14EBC" w14:paraId="223557E4" w14:textId="77777777">
        <w:tc>
          <w:tcPr>
            <w:tcW w:w="2729" w:type="dxa"/>
          </w:tcPr>
          <w:p w14:paraId="40041B48" w14:textId="77777777" w:rsidR="001E44AD" w:rsidRPr="00E14EBC" w:rsidRDefault="001E44AD">
            <w:r w:rsidRPr="00E14EBC">
              <w:t>Tuleohutus</w:t>
            </w:r>
            <w:r>
              <w:rPr>
                <w:rStyle w:val="FootnoteReference"/>
              </w:rPr>
              <w:footnoteReference w:id="47"/>
            </w:r>
            <w:r w:rsidRPr="00E14EBC">
              <w:t xml:space="preserve"> (suitsuandurid, evakuatsioon)</w:t>
            </w:r>
          </w:p>
        </w:tc>
        <w:tc>
          <w:tcPr>
            <w:tcW w:w="3419" w:type="dxa"/>
          </w:tcPr>
          <w:p w14:paraId="789762BC" w14:textId="77777777" w:rsidR="001E44AD" w:rsidRPr="00E14EBC" w:rsidRDefault="001E44AD">
            <w:r>
              <w:t xml:space="preserve">Vähemalt ühes eluruumis </w:t>
            </w:r>
            <w:r w:rsidRPr="00294FF2">
              <w:t>tulekahjusignalisatsiooniandur</w:t>
            </w:r>
            <w:r w:rsidRPr="00294FF2" w:rsidDel="00294FF2">
              <w:t xml:space="preserve"> </w:t>
            </w:r>
            <w:r>
              <w:t>evakuatsioonitee olemasolu</w:t>
            </w:r>
          </w:p>
        </w:tc>
        <w:tc>
          <w:tcPr>
            <w:tcW w:w="4197" w:type="dxa"/>
          </w:tcPr>
          <w:p w14:paraId="62B3AE5F" w14:textId="62445A85" w:rsidR="001E44AD" w:rsidRPr="00E14EBC" w:rsidRDefault="001E44AD">
            <w:r>
              <w:t xml:space="preserve">Igas majutusruumis </w:t>
            </w:r>
            <w:r w:rsidRPr="288A3578">
              <w:rPr>
                <w:rFonts w:ascii="Arial" w:hAnsi="Arial" w:cs="Arial"/>
              </w:rPr>
              <w:t>automaatne</w:t>
            </w:r>
            <w:r>
              <w:rPr>
                <w:rFonts w:ascii="Arial" w:hAnsi="Arial" w:cs="Arial"/>
              </w:rPr>
              <w:t xml:space="preserve"> ja autonoomne</w:t>
            </w:r>
            <w:r w:rsidRPr="288A3578">
              <w:rPr>
                <w:rFonts w:ascii="Arial" w:hAnsi="Arial" w:cs="Arial"/>
              </w:rPr>
              <w:t xml:space="preserve"> tulekahjusignalisatsiooni-süsteem</w:t>
            </w:r>
            <w:r>
              <w:t>, kaks evakuatsiooniteed, valgustus jms</w:t>
            </w:r>
          </w:p>
        </w:tc>
      </w:tr>
      <w:tr w:rsidR="001E44AD" w:rsidRPr="00E14EBC" w14:paraId="249448DF" w14:textId="77777777">
        <w:tc>
          <w:tcPr>
            <w:tcW w:w="2729" w:type="dxa"/>
          </w:tcPr>
          <w:p w14:paraId="73799673" w14:textId="77777777" w:rsidR="001E44AD" w:rsidRPr="00E14EBC" w:rsidRDefault="001E44AD">
            <w:r w:rsidRPr="00E14EBC">
              <w:t>Sanitaar- ja hügieeninõuded</w:t>
            </w:r>
          </w:p>
        </w:tc>
        <w:tc>
          <w:tcPr>
            <w:tcW w:w="3419" w:type="dxa"/>
          </w:tcPr>
          <w:p w14:paraId="1A8DA4B4" w14:textId="27583B20" w:rsidR="001E44AD" w:rsidRPr="00E14EBC" w:rsidRDefault="001E44AD">
            <w:r>
              <w:t>Pole reguleeritu</w:t>
            </w:r>
            <w:r w:rsidR="4A7B5760">
              <w:t>d</w:t>
            </w:r>
          </w:p>
        </w:tc>
        <w:tc>
          <w:tcPr>
            <w:tcW w:w="4197" w:type="dxa"/>
          </w:tcPr>
          <w:p w14:paraId="46F448A9" w14:textId="7EE10E17" w:rsidR="001E44AD" w:rsidRPr="00E14EBC" w:rsidRDefault="001E44AD">
            <w:r w:rsidRPr="00E14EBC">
              <w:t>Koristus, desinfitseerimine, rätikute/voodipesu vahetus</w:t>
            </w:r>
          </w:p>
        </w:tc>
      </w:tr>
      <w:tr w:rsidR="001E44AD" w:rsidRPr="00E14EBC" w14:paraId="4B8E38CC" w14:textId="77777777">
        <w:tc>
          <w:tcPr>
            <w:tcW w:w="2729" w:type="dxa"/>
          </w:tcPr>
          <w:p w14:paraId="67BC65CE" w14:textId="77777777" w:rsidR="001E44AD" w:rsidRPr="00E14EBC" w:rsidRDefault="001E44AD">
            <w:r>
              <w:t>Ruumide suurus</w:t>
            </w:r>
          </w:p>
        </w:tc>
        <w:tc>
          <w:tcPr>
            <w:tcW w:w="3419" w:type="dxa"/>
          </w:tcPr>
          <w:p w14:paraId="419A8506" w14:textId="77777777" w:rsidR="001E44AD" w:rsidRPr="00E14EBC" w:rsidRDefault="001E44AD">
            <w:r w:rsidRPr="007D43CC">
              <w:t>18 m</w:t>
            </w:r>
            <w:r w:rsidRPr="007D43CC">
              <w:rPr>
                <w:vertAlign w:val="superscript"/>
              </w:rPr>
              <w:t>2</w:t>
            </w:r>
            <w:r w:rsidRPr="007D43CC">
              <w:t> eluruumide üldpinda perekonna iga liikme ja lisaks 15 m</w:t>
            </w:r>
            <w:r w:rsidRPr="007D43CC">
              <w:rPr>
                <w:vertAlign w:val="superscript"/>
              </w:rPr>
              <w:t>2</w:t>
            </w:r>
            <w:r w:rsidRPr="007D43CC">
              <w:t> perekonna</w:t>
            </w:r>
            <w:r>
              <w:t xml:space="preserve"> kohta</w:t>
            </w:r>
          </w:p>
        </w:tc>
        <w:tc>
          <w:tcPr>
            <w:tcW w:w="4197" w:type="dxa"/>
          </w:tcPr>
          <w:p w14:paraId="5FEE1450" w14:textId="77777777" w:rsidR="001E44AD" w:rsidRPr="00E14EBC" w:rsidRDefault="001E44AD">
            <w:r>
              <w:t>Pole reguleeritud</w:t>
            </w:r>
          </w:p>
        </w:tc>
      </w:tr>
      <w:tr w:rsidR="001E44AD" w:rsidRPr="00E14EBC" w14:paraId="493AE284" w14:textId="77777777">
        <w:tc>
          <w:tcPr>
            <w:tcW w:w="2729" w:type="dxa"/>
          </w:tcPr>
          <w:p w14:paraId="2A25CDFE" w14:textId="77777777" w:rsidR="001E44AD" w:rsidRPr="00E14EBC" w:rsidRDefault="001E44AD">
            <w:r w:rsidRPr="00E14EBC">
              <w:t>Mööbel ja sisustus</w:t>
            </w:r>
          </w:p>
        </w:tc>
        <w:tc>
          <w:tcPr>
            <w:tcW w:w="3419" w:type="dxa"/>
          </w:tcPr>
          <w:p w14:paraId="075C41A0" w14:textId="77777777" w:rsidR="001E44AD" w:rsidRPr="00E14EBC" w:rsidRDefault="001E44AD">
            <w:r w:rsidRPr="00E14EBC">
              <w:t>Pole reguleeritud</w:t>
            </w:r>
          </w:p>
        </w:tc>
        <w:tc>
          <w:tcPr>
            <w:tcW w:w="4197" w:type="dxa"/>
          </w:tcPr>
          <w:p w14:paraId="794E3B03" w14:textId="77777777" w:rsidR="001E44AD" w:rsidRPr="00E14EBC" w:rsidRDefault="001E44AD">
            <w:r>
              <w:t xml:space="preserve">Kohustuslik voodi, madrats, puhas voodipesu, valgustus, </w:t>
            </w:r>
          </w:p>
        </w:tc>
      </w:tr>
      <w:tr w:rsidR="001E44AD" w:rsidRPr="00E14EBC" w14:paraId="2BD4212F" w14:textId="77777777">
        <w:tc>
          <w:tcPr>
            <w:tcW w:w="2729" w:type="dxa"/>
          </w:tcPr>
          <w:p w14:paraId="7310C8AD" w14:textId="77777777" w:rsidR="001E44AD" w:rsidRPr="00E14EBC" w:rsidRDefault="001E44AD">
            <w:r w:rsidRPr="00E14EBC">
              <w:t>Teenuse läbipaistvus ja info</w:t>
            </w:r>
          </w:p>
        </w:tc>
        <w:tc>
          <w:tcPr>
            <w:tcW w:w="3419" w:type="dxa"/>
          </w:tcPr>
          <w:p w14:paraId="65EF962C" w14:textId="77777777" w:rsidR="001E44AD" w:rsidRPr="00E14EBC" w:rsidRDefault="001E44AD">
            <w:r w:rsidRPr="00E14EBC">
              <w:t>Puudub, ei kohaldu</w:t>
            </w:r>
          </w:p>
        </w:tc>
        <w:tc>
          <w:tcPr>
            <w:tcW w:w="4197" w:type="dxa"/>
          </w:tcPr>
          <w:p w14:paraId="3361039B" w14:textId="77777777" w:rsidR="001E44AD" w:rsidRPr="00E14EBC" w:rsidRDefault="001E44AD">
            <w:r w:rsidRPr="00E14EBC">
              <w:t>Teenuse kirjeldus, hinnad, ohutusinfo ja evakuatsiooniskeem nähtaval</w:t>
            </w:r>
          </w:p>
        </w:tc>
      </w:tr>
      <w:tr w:rsidR="001E44AD" w:rsidRPr="00E14EBC" w14:paraId="5C17EEA5" w14:textId="77777777">
        <w:tc>
          <w:tcPr>
            <w:tcW w:w="2729" w:type="dxa"/>
          </w:tcPr>
          <w:p w14:paraId="0409D3AE" w14:textId="5A35734D" w:rsidR="001E44AD" w:rsidRPr="00E14EBC" w:rsidRDefault="001E44AD">
            <w:r>
              <w:lastRenderedPageBreak/>
              <w:t>Eesti keele valdamise nõue</w:t>
            </w:r>
          </w:p>
        </w:tc>
        <w:tc>
          <w:tcPr>
            <w:tcW w:w="3419" w:type="dxa"/>
          </w:tcPr>
          <w:p w14:paraId="080A7841" w14:textId="77777777" w:rsidR="001E44AD" w:rsidRPr="00E14EBC" w:rsidRDefault="001E44AD">
            <w:r w:rsidRPr="00E14EBC">
              <w:t>Puudub, ei kohaldu</w:t>
            </w:r>
          </w:p>
        </w:tc>
        <w:tc>
          <w:tcPr>
            <w:tcW w:w="4197" w:type="dxa"/>
          </w:tcPr>
          <w:p w14:paraId="14B41861" w14:textId="77777777" w:rsidR="001E44AD" w:rsidRPr="00E14EBC" w:rsidRDefault="001E44AD">
            <w:r>
              <w:t>Majutusettevõtte teenindav isik peab valdama eesti keelt vähemalt B1 tasemel</w:t>
            </w:r>
          </w:p>
        </w:tc>
      </w:tr>
      <w:tr w:rsidR="001E44AD" w:rsidRPr="00E14EBC" w14:paraId="74D49435" w14:textId="77777777">
        <w:tc>
          <w:tcPr>
            <w:tcW w:w="2729" w:type="dxa"/>
          </w:tcPr>
          <w:p w14:paraId="1D2B0CA1" w14:textId="77777777" w:rsidR="001E44AD" w:rsidRPr="00E14EBC" w:rsidRDefault="001E44AD">
            <w:r w:rsidRPr="00E14EBC">
              <w:t>Toidukäitlemise nõuded</w:t>
            </w:r>
          </w:p>
        </w:tc>
        <w:tc>
          <w:tcPr>
            <w:tcW w:w="3419" w:type="dxa"/>
          </w:tcPr>
          <w:p w14:paraId="17904A6B" w14:textId="77777777" w:rsidR="001E44AD" w:rsidRPr="00E14EBC" w:rsidRDefault="001E44AD">
            <w:r w:rsidRPr="00E14EBC">
              <w:t>Puudub, ei kohaldu</w:t>
            </w:r>
          </w:p>
        </w:tc>
        <w:tc>
          <w:tcPr>
            <w:tcW w:w="4197" w:type="dxa"/>
          </w:tcPr>
          <w:p w14:paraId="15839AC1" w14:textId="77777777" w:rsidR="001E44AD" w:rsidRPr="00E14EBC" w:rsidRDefault="001E44AD">
            <w:r w:rsidRPr="00E14EBC">
              <w:t>Kui pakutakse toitu, tuleb järgida toiduseadust ja toiduohutuse nõudeid</w:t>
            </w:r>
          </w:p>
        </w:tc>
      </w:tr>
      <w:tr w:rsidR="001E44AD" w:rsidRPr="00E14EBC" w14:paraId="0516C7C9" w14:textId="77777777">
        <w:tc>
          <w:tcPr>
            <w:tcW w:w="2729" w:type="dxa"/>
          </w:tcPr>
          <w:p w14:paraId="1A46BB01" w14:textId="77777777" w:rsidR="001E44AD" w:rsidRPr="00E14EBC" w:rsidRDefault="001E44AD">
            <w:r w:rsidRPr="00E14EBC">
              <w:t>Järelevalveasutused</w:t>
            </w:r>
          </w:p>
        </w:tc>
        <w:tc>
          <w:tcPr>
            <w:tcW w:w="3419" w:type="dxa"/>
          </w:tcPr>
          <w:p w14:paraId="2680D1AF" w14:textId="77777777" w:rsidR="001E44AD" w:rsidRPr="00E14EBC" w:rsidRDefault="001E44AD">
            <w:r>
              <w:t xml:space="preserve">KOV, Päästeamet, Terviseamet, TTJA </w:t>
            </w:r>
          </w:p>
        </w:tc>
        <w:tc>
          <w:tcPr>
            <w:tcW w:w="4197" w:type="dxa"/>
          </w:tcPr>
          <w:p w14:paraId="36F8E285" w14:textId="77777777" w:rsidR="001E44AD" w:rsidRPr="00E14EBC" w:rsidRDefault="001E44AD">
            <w:r>
              <w:t>KOV (TurS §30 lg4), TTJA (TurS §30 lg1), Päästeamet, Terviseamet, Keeleamet</w:t>
            </w:r>
          </w:p>
        </w:tc>
      </w:tr>
    </w:tbl>
    <w:p w14:paraId="55FB17BA" w14:textId="77777777" w:rsidR="001E44AD" w:rsidRPr="00E14EBC" w:rsidRDefault="001E44AD" w:rsidP="001E44AD">
      <w:pPr>
        <w:spacing w:after="0"/>
        <w:jc w:val="both"/>
        <w:rPr>
          <w:color w:val="82009B" w:themeColor="accent6"/>
        </w:rPr>
      </w:pPr>
      <w:r w:rsidRPr="1C92C443">
        <w:rPr>
          <w:color w:val="82009B" w:themeColor="accent6"/>
        </w:rPr>
        <w:t>Korteriomandi- ja korteriühistuseaduse mõju</w:t>
      </w:r>
    </w:p>
    <w:p w14:paraId="1CCA0CC5" w14:textId="6CD0B156" w:rsidR="001E44AD" w:rsidRPr="00E14EBC" w:rsidRDefault="001E44AD" w:rsidP="001E44AD">
      <w:pPr>
        <w:jc w:val="both"/>
      </w:pPr>
      <w:r w:rsidRPr="00E14EBC">
        <w:t>Kuna lühiajalise üüri teenuse osutamine toimub tihti korteriomandis, siis tuleb arvestada ka KrtS</w:t>
      </w:r>
      <w:r w:rsidR="00334BA0">
        <w:t>-i</w:t>
      </w:r>
      <w:r w:rsidRPr="00E14EBC">
        <w:t xml:space="preserve"> sätetega. KrtS</w:t>
      </w:r>
      <w:r w:rsidR="00334BA0">
        <w:t>-i</w:t>
      </w:r>
      <w:r w:rsidRPr="00E14EBC">
        <w:t xml:space="preserve"> §30 lg1 järgi on korteriomanikul </w:t>
      </w:r>
      <w:r w:rsidRPr="00E14EBC">
        <w:rPr>
          <w:b/>
          <w:bCs/>
        </w:rPr>
        <w:t>õigus kasutada korterit oma äranägemise järgi</w:t>
      </w:r>
      <w:r w:rsidRPr="00E14EBC">
        <w:t xml:space="preserve"> niivõrd, kui see ei ole vastuolus seadusega või kolmanda isiku õigustatud huviga. Sama seaduse §12 lg2 kohaselt peavad korteriomanikud omavahelistes suhetes järgima hea usu põhimõtet ja arvestama üksteise õigustatud huve.</w:t>
      </w:r>
    </w:p>
    <w:p w14:paraId="0E589F03" w14:textId="4C05BEBA" w:rsidR="001E44AD" w:rsidRPr="00E14EBC" w:rsidRDefault="001E44AD" w:rsidP="001E44AD">
      <w:pPr>
        <w:jc w:val="both"/>
      </w:pPr>
      <w:r>
        <w:t>KrtS</w:t>
      </w:r>
      <w:r w:rsidR="00334BA0">
        <w:t>-i</w:t>
      </w:r>
      <w:r>
        <w:t xml:space="preserve"> §31 kohaselt on korteriomanik kohustatud hoidma eriomandi</w:t>
      </w:r>
      <w:r>
        <w:rPr>
          <w:rStyle w:val="FootnoteReference"/>
        </w:rPr>
        <w:footnoteReference w:id="48"/>
      </w:r>
      <w:r>
        <w:t xml:space="preserve"> eset korras ning seda ja kaasomandi eset kasutades hoiduma tegevusest, mille toime teistele korteriomanikele ületab omandi tavakasutusest tekkivad mõjud. Samuti võimaldama eriomandi eset kasutada teistel isikutel, kui see on vajalik kaasomandi eseme korrashoiuks.</w:t>
      </w:r>
    </w:p>
    <w:p w14:paraId="78D8E777" w14:textId="77777777" w:rsidR="001E44AD" w:rsidRPr="00E14EBC" w:rsidRDefault="001E44AD" w:rsidP="001E44AD">
      <w:pPr>
        <w:spacing w:after="0"/>
        <w:jc w:val="both"/>
        <w:rPr>
          <w:rFonts w:ascii="Arial" w:hAnsi="Arial" w:cs="Arial"/>
        </w:rPr>
      </w:pPr>
      <w:r w:rsidRPr="288A3578">
        <w:rPr>
          <w:rFonts w:ascii="Arial" w:hAnsi="Arial" w:cs="Arial"/>
        </w:rPr>
        <w:t xml:space="preserve">Seega KrtS </w:t>
      </w:r>
      <w:r w:rsidRPr="288A3578">
        <w:rPr>
          <w:rFonts w:ascii="Arial" w:hAnsi="Arial" w:cs="Arial"/>
          <w:b/>
          <w:bCs/>
        </w:rPr>
        <w:t>ei keela</w:t>
      </w:r>
      <w:r w:rsidRPr="288A3578">
        <w:rPr>
          <w:rFonts w:ascii="Arial" w:hAnsi="Arial" w:cs="Arial"/>
          <w:b/>
        </w:rPr>
        <w:t xml:space="preserve"> </w:t>
      </w:r>
      <w:r w:rsidRPr="288A3578">
        <w:rPr>
          <w:rFonts w:ascii="Arial" w:hAnsi="Arial" w:cs="Arial"/>
        </w:rPr>
        <w:t xml:space="preserve">korteriomanikul oma </w:t>
      </w:r>
      <w:r w:rsidRPr="288A3578">
        <w:rPr>
          <w:rFonts w:ascii="Arial" w:hAnsi="Arial" w:cs="Arial"/>
          <w:b/>
          <w:bCs/>
        </w:rPr>
        <w:t>korterit üürile anda või osutada lühiajalise üüri teenust</w:t>
      </w:r>
      <w:r w:rsidRPr="288A3578">
        <w:rPr>
          <w:rFonts w:ascii="Arial" w:hAnsi="Arial" w:cs="Arial"/>
        </w:rPr>
        <w:t xml:space="preserve">. Küll aga sätestab seadus korteriomanike kohustuse hoiduda tegevusest, mille toime teistele korteriomanikele ületab omandi tavakasutusest tekkivad mõjud. See tähendab, et lühiajalise üüri tegevus ei tohi oluliselt häirida teiste elanike rahu, näiteks öörahu rikkumisega, pideva müra või suurenenud </w:t>
      </w:r>
      <w:r>
        <w:rPr>
          <w:rFonts w:ascii="Arial" w:hAnsi="Arial" w:cs="Arial"/>
        </w:rPr>
        <w:t>inimeste liikumisega</w:t>
      </w:r>
      <w:r w:rsidRPr="288A3578">
        <w:rPr>
          <w:rFonts w:ascii="Arial" w:hAnsi="Arial" w:cs="Arial"/>
        </w:rPr>
        <w:t xml:space="preserve"> majas. Korteriomaniku kohustusi peavad järgima ka teised korteriomandit kasutavad isikud (KrtS §31 lg4) ehk nt üürnikud või sinna majutatud isikud. </w:t>
      </w:r>
    </w:p>
    <w:p w14:paraId="3434B4F8" w14:textId="699AE813" w:rsidR="001E44AD" w:rsidRDefault="001E44AD" w:rsidP="001E44AD">
      <w:pPr>
        <w:spacing w:after="0"/>
        <w:jc w:val="both"/>
        <w:rPr>
          <w:rFonts w:ascii="Arial" w:hAnsi="Arial" w:cs="Arial"/>
        </w:rPr>
      </w:pPr>
      <w:r w:rsidRPr="00E14EBC">
        <w:rPr>
          <w:rFonts w:ascii="Arial" w:hAnsi="Arial" w:cs="Arial"/>
        </w:rPr>
        <w:t xml:space="preserve">Korteriühistul on õigus põhikirjas kehtestada </w:t>
      </w:r>
      <w:r w:rsidRPr="00E14EBC">
        <w:rPr>
          <w:rFonts w:ascii="Arial" w:hAnsi="Arial" w:cs="Arial"/>
          <w:b/>
          <w:bCs/>
        </w:rPr>
        <w:t>reegleid maja kasutamise kohta</w:t>
      </w:r>
      <w:r w:rsidRPr="00E14EBC">
        <w:rPr>
          <w:rFonts w:ascii="Arial" w:hAnsi="Arial" w:cs="Arial"/>
        </w:rPr>
        <w:t>, mis võivad kaudselt mõjutada lühiajalist üüri. Näiteks võivad need reguleerida öörahu, parkimist või jäätmekäitlust, mida peavad järgima ka lühiajalised üürnikud. Kuid korteriühistu ei saa kehtestada otsest keeldu lühiajalise üüri teenuse osutamiseks</w:t>
      </w:r>
      <w:r w:rsidR="00B74B7C">
        <w:rPr>
          <w:rFonts w:ascii="Arial" w:hAnsi="Arial" w:cs="Arial"/>
        </w:rPr>
        <w:t>.</w:t>
      </w:r>
      <w:r w:rsidR="00F166E0">
        <w:rPr>
          <w:rStyle w:val="FootnoteReference"/>
          <w:rFonts w:ascii="Arial" w:hAnsi="Arial" w:cs="Arial"/>
        </w:rPr>
        <w:footnoteReference w:id="49"/>
      </w:r>
    </w:p>
    <w:p w14:paraId="650F67EE" w14:textId="1AE695E6" w:rsidR="001E44AD" w:rsidRDefault="001E44AD" w:rsidP="001E44AD">
      <w:pPr>
        <w:spacing w:after="0"/>
        <w:jc w:val="both"/>
        <w:rPr>
          <w:rFonts w:ascii="Arial" w:hAnsi="Arial" w:cs="Arial"/>
        </w:rPr>
      </w:pPr>
      <w:r w:rsidRPr="1C92C443">
        <w:rPr>
          <w:rFonts w:ascii="Arial" w:hAnsi="Arial" w:cs="Arial"/>
        </w:rPr>
        <w:lastRenderedPageBreak/>
        <w:t xml:space="preserve">Kehtiv KrtS näeb ette, et majandamiskulude katmiseks peavad korteriomanikud tegema ettemakseid vastavalt oma kaasmandi osa suurusele. Korteriühistu põhikirjaga võib ette näha </w:t>
      </w:r>
      <w:r w:rsidRPr="1C92C443">
        <w:rPr>
          <w:rFonts w:ascii="Arial" w:hAnsi="Arial" w:cs="Arial"/>
          <w:b/>
          <w:bCs/>
        </w:rPr>
        <w:t>erineva kohustuste jaotuse aluse ja tasumise korra</w:t>
      </w:r>
      <w:r w:rsidRPr="1C92C443">
        <w:rPr>
          <w:rFonts w:ascii="Arial" w:hAnsi="Arial" w:cs="Arial"/>
        </w:rPr>
        <w:t>. Eelkõige võib põhikirjaga ette näha, et tegelikust tarbimisest sõltuvad majandamiskulud tasub korteriomanik pärast kulude suuruse selgumist kas vastavalt oma kaasomandi osa suurusele või vastavalt tema poolt tarbitud teenuse mahule (KrtS §40 lg2). Seega on korteriühistutel olemas seadusest tulenev alus majanduskulude katmiseks vastavalt tarbitud teenuse mahule.</w:t>
      </w:r>
      <w:r>
        <w:rPr>
          <w:rFonts w:ascii="Arial" w:hAnsi="Arial" w:cs="Arial"/>
        </w:rPr>
        <w:t xml:space="preserve"> Kui teenuste maht on suurenenud tulenevalt majutusteenuse </w:t>
      </w:r>
      <w:r w:rsidRPr="00BA017C">
        <w:rPr>
          <w:rFonts w:ascii="Arial" w:hAnsi="Arial" w:cs="Arial"/>
        </w:rPr>
        <w:t>osutami</w:t>
      </w:r>
      <w:r w:rsidR="08798090" w:rsidRPr="00BA017C">
        <w:rPr>
          <w:rFonts w:ascii="Arial" w:hAnsi="Arial" w:cs="Arial"/>
        </w:rPr>
        <w:t>se</w:t>
      </w:r>
      <w:r w:rsidRPr="00BA017C">
        <w:rPr>
          <w:rFonts w:ascii="Arial" w:hAnsi="Arial" w:cs="Arial"/>
        </w:rPr>
        <w:t>st</w:t>
      </w:r>
      <w:r>
        <w:rPr>
          <w:rFonts w:ascii="Arial" w:hAnsi="Arial" w:cs="Arial"/>
        </w:rPr>
        <w:t xml:space="preserve"> korteriomaniku poolt, siis saab asjaomaselt korteriomanikult </w:t>
      </w:r>
      <w:r w:rsidR="00834461">
        <w:rPr>
          <w:rFonts w:ascii="Arial" w:hAnsi="Arial" w:cs="Arial"/>
        </w:rPr>
        <w:t xml:space="preserve">nõuda </w:t>
      </w:r>
      <w:r>
        <w:rPr>
          <w:rFonts w:ascii="Arial" w:hAnsi="Arial" w:cs="Arial"/>
        </w:rPr>
        <w:t xml:space="preserve">nende </w:t>
      </w:r>
      <w:r w:rsidR="00251680">
        <w:rPr>
          <w:rFonts w:ascii="Arial" w:hAnsi="Arial" w:cs="Arial"/>
        </w:rPr>
        <w:t xml:space="preserve">kulude </w:t>
      </w:r>
      <w:r>
        <w:rPr>
          <w:rFonts w:ascii="Arial" w:hAnsi="Arial" w:cs="Arial"/>
        </w:rPr>
        <w:t>tasumist.</w:t>
      </w:r>
    </w:p>
    <w:p w14:paraId="1B130D80" w14:textId="43755684" w:rsidR="001E44AD" w:rsidRPr="00E14EBC" w:rsidRDefault="001E44AD" w:rsidP="001E44AD">
      <w:pPr>
        <w:spacing w:after="0"/>
        <w:jc w:val="both"/>
        <w:rPr>
          <w:rFonts w:ascii="Arial" w:hAnsi="Arial" w:cs="Arial"/>
        </w:rPr>
      </w:pPr>
      <w:r w:rsidRPr="00E14EBC">
        <w:rPr>
          <w:rFonts w:ascii="Arial" w:hAnsi="Arial" w:cs="Arial"/>
        </w:rPr>
        <w:t xml:space="preserve">Kui üürimine või lühiajalise üüri teenuse osutamine </w:t>
      </w:r>
      <w:r w:rsidRPr="00E14EBC">
        <w:rPr>
          <w:rFonts w:ascii="Arial" w:hAnsi="Arial" w:cs="Arial"/>
          <w:b/>
          <w:bCs/>
        </w:rPr>
        <w:t>rikub teiste korteriomanike õigusi või korteriühistu kehtestatud reegleid</w:t>
      </w:r>
      <w:r w:rsidRPr="00E14EBC">
        <w:rPr>
          <w:rFonts w:ascii="Arial" w:hAnsi="Arial" w:cs="Arial"/>
        </w:rPr>
        <w:t>, võivad teised omanikud või korteriühistu nõuda rikkumise lõpetamist ja kahju hüvitamist. Äärmuslikel juhtudel võivad teised korteriomanikud esitada rikkuja suhtes võõrandamisnõude. Kehtiva KrtS</w:t>
      </w:r>
      <w:r w:rsidR="00DD6625">
        <w:rPr>
          <w:rFonts w:ascii="Arial" w:hAnsi="Arial" w:cs="Arial"/>
        </w:rPr>
        <w:t>-i</w:t>
      </w:r>
      <w:r w:rsidRPr="00E14EBC">
        <w:rPr>
          <w:rFonts w:ascii="Arial" w:hAnsi="Arial" w:cs="Arial"/>
        </w:rPr>
        <w:t xml:space="preserve"> osas puudub kohtupraktika, mis puudutab teiste korteriomanike õiguste rikkumist ajutiste elanike või korteriomandit kasutatavate isikute poolt. </w:t>
      </w:r>
    </w:p>
    <w:p w14:paraId="44F99A87" w14:textId="77777777" w:rsidR="001E44AD" w:rsidRPr="00E14EBC" w:rsidRDefault="001E44AD" w:rsidP="001E44AD">
      <w:pPr>
        <w:pStyle w:val="Heading3"/>
        <w:ind w:left="450"/>
        <w:rPr>
          <w:rFonts w:hint="eastAsia"/>
        </w:rPr>
      </w:pPr>
      <w:bookmarkStart w:id="79" w:name="_Toc208991592"/>
      <w:r w:rsidRPr="00E14EBC">
        <w:t>Maksustamise õiguslik raamistik</w:t>
      </w:r>
      <w:bookmarkEnd w:id="79"/>
    </w:p>
    <w:p w14:paraId="36A9FB45" w14:textId="77777777" w:rsidR="001E44AD" w:rsidRPr="00E14EBC" w:rsidRDefault="001E44AD" w:rsidP="001E44AD">
      <w:pPr>
        <w:spacing w:after="0"/>
        <w:jc w:val="both"/>
        <w:rPr>
          <w:rFonts w:ascii="Arial" w:hAnsi="Arial" w:cs="Arial"/>
        </w:rPr>
      </w:pPr>
      <w:r w:rsidRPr="00713501">
        <w:t>Lühiajalise üüri teenuse osutamisele ja majutusteenuse osutamisele kehtivad Eestis käibemaksu ja tulumaksu deklareerimise ja tasumise kohustus olenevalt teenuse osutamise vormist, regulaarsusest ning teenuse osutaja õiguslikust vormist. Eri maksude kohaldumine sõltub nii teenuse sisust kui ka sellest, kuidas</w:t>
      </w:r>
      <w:r w:rsidRPr="00E14EBC">
        <w:rPr>
          <w:rFonts w:ascii="Arial" w:hAnsi="Arial" w:cs="Arial"/>
        </w:rPr>
        <w:t xml:space="preserve"> tegevus on juriidiliselt korraldatud. Seetõttu on maksustamise seisukohalt kriitilise tähtsusega eristada, kas tegemist on </w:t>
      </w:r>
      <w:r w:rsidRPr="00E14EBC">
        <w:rPr>
          <w:rFonts w:ascii="Arial" w:hAnsi="Arial" w:cs="Arial"/>
          <w:b/>
          <w:bCs/>
        </w:rPr>
        <w:t>klassikalise üürisuhtena käsitatava tehingu</w:t>
      </w:r>
      <w:r w:rsidRPr="00E14EBC">
        <w:rPr>
          <w:rFonts w:ascii="Arial" w:hAnsi="Arial" w:cs="Arial"/>
        </w:rPr>
        <w:t xml:space="preserve"> või </w:t>
      </w:r>
      <w:r w:rsidRPr="00E14EBC">
        <w:rPr>
          <w:rFonts w:ascii="Arial" w:hAnsi="Arial" w:cs="Arial"/>
          <w:b/>
          <w:bCs/>
        </w:rPr>
        <w:t>teenuslepingu (majutusteenuse) raames osutatava teenusega</w:t>
      </w:r>
      <w:r w:rsidRPr="00E14EBC">
        <w:rPr>
          <w:rFonts w:ascii="Arial" w:hAnsi="Arial" w:cs="Arial"/>
        </w:rPr>
        <w:t>.</w:t>
      </w:r>
    </w:p>
    <w:p w14:paraId="321951D2" w14:textId="77777777" w:rsidR="001E44AD" w:rsidRPr="00E14EBC" w:rsidRDefault="001E44AD" w:rsidP="001E44AD">
      <w:pPr>
        <w:spacing w:after="0"/>
        <w:jc w:val="both"/>
        <w:rPr>
          <w:rStyle w:val="PurpleText"/>
        </w:rPr>
      </w:pPr>
      <w:r w:rsidRPr="00E14EBC">
        <w:rPr>
          <w:rStyle w:val="PurpleText"/>
        </w:rPr>
        <w:t>Üüritehingu maksustamine</w:t>
      </w:r>
    </w:p>
    <w:p w14:paraId="1064B145" w14:textId="71C20120" w:rsidR="001E44AD" w:rsidRPr="00E14EBC" w:rsidRDefault="001E44AD" w:rsidP="001E44AD">
      <w:pPr>
        <w:spacing w:after="0"/>
        <w:jc w:val="both"/>
        <w:rPr>
          <w:rFonts w:ascii="Arial" w:hAnsi="Arial" w:cs="Arial"/>
        </w:rPr>
      </w:pPr>
      <w:r w:rsidRPr="1688D34F">
        <w:rPr>
          <w:rFonts w:ascii="Arial" w:hAnsi="Arial" w:cs="Arial"/>
        </w:rPr>
        <w:t xml:space="preserve">Kui </w:t>
      </w:r>
      <w:r w:rsidRPr="1688D34F">
        <w:rPr>
          <w:rFonts w:ascii="Arial" w:hAnsi="Arial" w:cs="Arial"/>
          <w:b/>
          <w:bCs/>
        </w:rPr>
        <w:t>üürileandja on füüsiline isik</w:t>
      </w:r>
      <w:r w:rsidRPr="1688D34F">
        <w:rPr>
          <w:rFonts w:ascii="Arial" w:hAnsi="Arial" w:cs="Arial"/>
        </w:rPr>
        <w:t>, käsitatakse üürist saadud tulu füüsilise isiku tuluna, mida maksustatakse 22% tulumaksumääraga. Füüsiline isik on kohustatud saadud tulu deklareerima iga-aastases tuludeklaratsioonis. Lihtsustatud korras on</w:t>
      </w:r>
      <w:r>
        <w:rPr>
          <w:rFonts w:ascii="Arial" w:hAnsi="Arial" w:cs="Arial"/>
        </w:rPr>
        <w:t xml:space="preserve"> </w:t>
      </w:r>
      <w:r w:rsidRPr="1688D34F">
        <w:rPr>
          <w:rFonts w:ascii="Arial" w:hAnsi="Arial" w:cs="Arial"/>
        </w:rPr>
        <w:t>TuMS §39</w:t>
      </w:r>
      <w:r w:rsidRPr="1688D34F">
        <w:rPr>
          <w:rFonts w:ascii="Arial" w:hAnsi="Arial" w:cs="Arial"/>
          <w:vertAlign w:val="superscript"/>
        </w:rPr>
        <w:t>1</w:t>
      </w:r>
      <w:r w:rsidRPr="1688D34F">
        <w:rPr>
          <w:rFonts w:ascii="Arial" w:hAnsi="Arial" w:cs="Arial"/>
        </w:rPr>
        <w:t xml:space="preserve"> alusel lubatud </w:t>
      </w:r>
      <w:r w:rsidR="00FD0960" w:rsidRPr="00FD0960">
        <w:rPr>
          <w:rFonts w:ascii="Arial" w:hAnsi="Arial" w:cs="Arial"/>
        </w:rPr>
        <w:t xml:space="preserve">eluruumi üürilepingu alusel saadud </w:t>
      </w:r>
      <w:r w:rsidRPr="1688D34F">
        <w:rPr>
          <w:rFonts w:ascii="Arial" w:hAnsi="Arial" w:cs="Arial"/>
        </w:rPr>
        <w:t xml:space="preserve">üürist maha arvata 20% kulude katteks ilma täiendavate tõenditeta, kuid soovi korral võib kasutada ka tegelike dokumenteeritud kulude mahaarvamist. </w:t>
      </w:r>
      <w:r w:rsidR="00A6798D" w:rsidRPr="00A6798D">
        <w:rPr>
          <w:rFonts w:ascii="Arial" w:hAnsi="Arial" w:cs="Arial"/>
        </w:rPr>
        <w:t>Kui eluruum antakse kasutusse inimeste majutamiseks, siis sellisel juhul</w:t>
      </w:r>
      <w:r w:rsidR="00B47932">
        <w:rPr>
          <w:rFonts w:ascii="Arial" w:hAnsi="Arial" w:cs="Arial"/>
        </w:rPr>
        <w:t xml:space="preserve"> </w:t>
      </w:r>
      <w:r w:rsidR="00B47932" w:rsidRPr="00B47932">
        <w:rPr>
          <w:rFonts w:ascii="Arial" w:hAnsi="Arial" w:cs="Arial"/>
        </w:rPr>
        <w:t>TuMS §39</w:t>
      </w:r>
      <w:r w:rsidR="00B47932" w:rsidRPr="00B47932">
        <w:rPr>
          <w:rFonts w:ascii="Arial" w:hAnsi="Arial" w:cs="Arial"/>
          <w:vertAlign w:val="superscript"/>
        </w:rPr>
        <w:t>1</w:t>
      </w:r>
      <w:r w:rsidR="00B47932" w:rsidRPr="00B47932">
        <w:rPr>
          <w:rFonts w:ascii="Arial" w:hAnsi="Arial" w:cs="Arial"/>
        </w:rPr>
        <w:t xml:space="preserve"> </w:t>
      </w:r>
      <w:r w:rsidR="00B47932">
        <w:rPr>
          <w:rFonts w:ascii="Arial" w:hAnsi="Arial" w:cs="Arial"/>
        </w:rPr>
        <w:t xml:space="preserve">kohast </w:t>
      </w:r>
      <w:r w:rsidR="00A6798D" w:rsidRPr="00A6798D">
        <w:rPr>
          <w:rFonts w:ascii="Arial" w:hAnsi="Arial" w:cs="Arial"/>
        </w:rPr>
        <w:t>20% mahaarvamist rakendada ei saa ning saadud tulu tuleb deklareerida renditulu tululiigi all.</w:t>
      </w:r>
    </w:p>
    <w:p w14:paraId="01F15E97" w14:textId="77777777" w:rsidR="001E44AD" w:rsidRPr="00E14EBC" w:rsidRDefault="001E44AD" w:rsidP="001E44AD">
      <w:pPr>
        <w:spacing w:after="0"/>
        <w:jc w:val="both"/>
        <w:rPr>
          <w:rFonts w:ascii="Arial" w:hAnsi="Arial" w:cs="Arial"/>
        </w:rPr>
      </w:pPr>
      <w:r w:rsidRPr="00E14EBC">
        <w:rPr>
          <w:rFonts w:ascii="Arial" w:hAnsi="Arial" w:cs="Arial"/>
        </w:rPr>
        <w:t>Kui füüsiline isik soovib üüritegevusest saadud tulu deklareerida ettevõtlustuluna, peab ta end registreerima FIE-na ning maksustama tulu kasumipõhiselt, arvestades maha kõik seotud kulud. Lisaks tuleb arvestada sotsiaalmaksu maksukohustusega. See maksustamisviis võib olla kasulikum, kui kulusid on palju ja tegevus toimub suuremas mahus, kuid see toob kaasa suurema halduskoormuse kui tavapärane passiivne tulu deklareerimine.</w:t>
      </w:r>
    </w:p>
    <w:p w14:paraId="23C67503" w14:textId="77777777" w:rsidR="001E44AD" w:rsidRPr="00E14EBC" w:rsidRDefault="001E44AD" w:rsidP="001E44AD">
      <w:pPr>
        <w:spacing w:after="0"/>
        <w:jc w:val="both"/>
        <w:rPr>
          <w:rFonts w:ascii="Arial" w:hAnsi="Arial" w:cs="Arial"/>
        </w:rPr>
      </w:pPr>
      <w:r w:rsidRPr="00E14EBC">
        <w:rPr>
          <w:rFonts w:ascii="Arial" w:hAnsi="Arial" w:cs="Arial"/>
        </w:rPr>
        <w:lastRenderedPageBreak/>
        <w:t xml:space="preserve">Kui </w:t>
      </w:r>
      <w:r w:rsidRPr="00E14EBC">
        <w:rPr>
          <w:rFonts w:ascii="Arial" w:hAnsi="Arial" w:cs="Arial"/>
          <w:b/>
          <w:bCs/>
        </w:rPr>
        <w:t>üürileandja on juriidiline isik</w:t>
      </w:r>
      <w:r w:rsidRPr="00E14EBC">
        <w:rPr>
          <w:rFonts w:ascii="Arial" w:hAnsi="Arial" w:cs="Arial"/>
        </w:rPr>
        <w:t xml:space="preserve">, toimub tulumaksuga maksustamine ettevõtlustulu põhimõttel. Tulu teenimise hetkel tulumaksukohustust ei teki – maksustamine toimub alles siis, kui tulu jaotatakse kasumina, näiteks dividendidena, või tehakse väljaspool ettevõtluseesmärke jäävaid kulutusi, vastavalt TuMS §50 ja §51 sätetele. Juriidiline isik saab ettevõtlustulust maha arvata kõik üüritegevusega seotud kulud, sealhulgas remondi- ja halduskulud ning amortisatsiooni. </w:t>
      </w:r>
    </w:p>
    <w:p w14:paraId="0F83C9BD" w14:textId="77777777" w:rsidR="001E44AD" w:rsidRPr="00E14EBC" w:rsidRDefault="001E44AD" w:rsidP="001E44AD">
      <w:pPr>
        <w:spacing w:after="0"/>
        <w:jc w:val="both"/>
        <w:rPr>
          <w:rFonts w:ascii="Arial" w:hAnsi="Arial" w:cs="Arial"/>
        </w:rPr>
      </w:pPr>
      <w:r w:rsidRPr="5848DE21">
        <w:rPr>
          <w:rFonts w:ascii="Arial" w:hAnsi="Arial" w:cs="Arial"/>
        </w:rPr>
        <w:t xml:space="preserve">Kui tegemist on eluruumi üürimisega, siis KMS §16 lg2 p2 alusel on see käibemaksust vabastatud, olenemata, kas üürileandja on füüsiline või juriidiline isik. </w:t>
      </w:r>
    </w:p>
    <w:p w14:paraId="4DDF1361" w14:textId="1B1150AE" w:rsidR="001E44AD" w:rsidRPr="00E14EBC" w:rsidRDefault="001E44AD" w:rsidP="001E44AD">
      <w:pPr>
        <w:spacing w:after="0"/>
        <w:jc w:val="both"/>
        <w:rPr>
          <w:rFonts w:ascii="Arial" w:hAnsi="Arial" w:cs="Arial"/>
        </w:rPr>
      </w:pPr>
      <w:r w:rsidRPr="5848DE21">
        <w:rPr>
          <w:rFonts w:ascii="Arial" w:hAnsi="Arial" w:cs="Arial"/>
        </w:rPr>
        <w:t>Seega mõjutab üüritehingu maksustamist eelkõige osapoolte õiguslik staatus ja see, kas tegevust loetakse tulu saamise eesmärgil toimuvaks majandustegevuseks või mitte. Füüsili</w:t>
      </w:r>
      <w:r>
        <w:rPr>
          <w:rFonts w:ascii="Arial" w:hAnsi="Arial" w:cs="Arial"/>
        </w:rPr>
        <w:t>s</w:t>
      </w:r>
      <w:r w:rsidRPr="5848DE21">
        <w:rPr>
          <w:rFonts w:ascii="Arial" w:hAnsi="Arial" w:cs="Arial"/>
        </w:rPr>
        <w:t>e isik</w:t>
      </w:r>
      <w:r>
        <w:rPr>
          <w:rFonts w:ascii="Arial" w:hAnsi="Arial" w:cs="Arial"/>
        </w:rPr>
        <w:t>u</w:t>
      </w:r>
      <w:r w:rsidRPr="5848DE21">
        <w:rPr>
          <w:rFonts w:ascii="Arial" w:hAnsi="Arial" w:cs="Arial"/>
        </w:rPr>
        <w:t xml:space="preserve"> tulu</w:t>
      </w:r>
      <w:r>
        <w:rPr>
          <w:rFonts w:ascii="Arial" w:hAnsi="Arial" w:cs="Arial"/>
        </w:rPr>
        <w:t xml:space="preserve"> maksustatakse</w:t>
      </w:r>
      <w:r w:rsidRPr="5848DE21">
        <w:rPr>
          <w:rFonts w:ascii="Arial" w:hAnsi="Arial" w:cs="Arial"/>
        </w:rPr>
        <w:t xml:space="preserve"> vahetult selle saamisel, juriidili</w:t>
      </w:r>
      <w:r>
        <w:rPr>
          <w:rFonts w:ascii="Arial" w:hAnsi="Arial" w:cs="Arial"/>
        </w:rPr>
        <w:t>s</w:t>
      </w:r>
      <w:r w:rsidRPr="5848DE21">
        <w:rPr>
          <w:rFonts w:ascii="Arial" w:hAnsi="Arial" w:cs="Arial"/>
        </w:rPr>
        <w:t>e isik</w:t>
      </w:r>
      <w:r>
        <w:rPr>
          <w:rFonts w:ascii="Arial" w:hAnsi="Arial" w:cs="Arial"/>
        </w:rPr>
        <w:t>u tulu</w:t>
      </w:r>
      <w:r w:rsidRPr="5848DE21">
        <w:rPr>
          <w:rFonts w:ascii="Arial" w:hAnsi="Arial" w:cs="Arial"/>
        </w:rPr>
        <w:t xml:space="preserve"> aga alles kasumi jaotamisel</w:t>
      </w:r>
      <w:r>
        <w:rPr>
          <w:rFonts w:ascii="Arial" w:hAnsi="Arial" w:cs="Arial"/>
        </w:rPr>
        <w:t>.</w:t>
      </w:r>
    </w:p>
    <w:p w14:paraId="01F7412A" w14:textId="77777777" w:rsidR="001E44AD" w:rsidRPr="00E14EBC" w:rsidRDefault="001E44AD" w:rsidP="001E44AD">
      <w:pPr>
        <w:spacing w:after="0"/>
        <w:jc w:val="both"/>
        <w:rPr>
          <w:rStyle w:val="PurpleText"/>
        </w:rPr>
      </w:pPr>
      <w:r w:rsidRPr="00E14EBC">
        <w:rPr>
          <w:rStyle w:val="PurpleText"/>
        </w:rPr>
        <w:t>Majutusteenuse maksustamine</w:t>
      </w:r>
    </w:p>
    <w:p w14:paraId="058BA255" w14:textId="77777777" w:rsidR="001E44AD" w:rsidRPr="00E14EBC" w:rsidRDefault="001E44AD" w:rsidP="001E44AD">
      <w:pPr>
        <w:spacing w:after="0"/>
        <w:jc w:val="both"/>
        <w:rPr>
          <w:rFonts w:ascii="Arial" w:hAnsi="Arial" w:cs="Arial"/>
        </w:rPr>
      </w:pPr>
      <w:r w:rsidRPr="00E14EBC">
        <w:rPr>
          <w:rFonts w:ascii="Arial" w:hAnsi="Arial" w:cs="Arial"/>
        </w:rPr>
        <w:t>Majutusteenuse maksustamine toimub Eestis erinevate maksuliikide lõikes sõltuvalt sellest, kas teenust osutab füüsiline või juriidiline isik ning kas tegevus kvalifitseerub majandus- või kutsetegevuseks. Kui majutusteenust osutatakse süstemaatiliselt ja kasumitaotluslikult, käsitletakse seda ettevõtlusena, mis toob kaasa nii tulu- kui ka käibemaksukohustuse.</w:t>
      </w:r>
    </w:p>
    <w:p w14:paraId="58DF4197" w14:textId="7290CC60" w:rsidR="001E44AD" w:rsidRPr="00E14EBC" w:rsidRDefault="001E44AD" w:rsidP="001E44AD">
      <w:pPr>
        <w:spacing w:after="0"/>
        <w:jc w:val="both"/>
        <w:rPr>
          <w:rFonts w:ascii="Arial" w:hAnsi="Arial" w:cs="Arial"/>
        </w:rPr>
      </w:pPr>
      <w:r w:rsidRPr="00E14EBC">
        <w:rPr>
          <w:rFonts w:ascii="Arial" w:hAnsi="Arial" w:cs="Arial"/>
          <w:b/>
          <w:bCs/>
        </w:rPr>
        <w:t xml:space="preserve">Füüsilisel isikul, </w:t>
      </w:r>
      <w:r w:rsidRPr="00E14EBC">
        <w:rPr>
          <w:rFonts w:ascii="Arial" w:hAnsi="Arial" w:cs="Arial"/>
        </w:rPr>
        <w:t>kes osutab majutusteenust, tuleb tulu deklareerida füüsilise isiku ettevõtlustuluna kas FIE-na tegutsedes või nn väikeettevõtluse korras, arvestades maha tegelik</w:t>
      </w:r>
      <w:r w:rsidR="00706FC1">
        <w:rPr>
          <w:rFonts w:ascii="Arial" w:hAnsi="Arial" w:cs="Arial"/>
        </w:rPr>
        <w:t>ud</w:t>
      </w:r>
      <w:r w:rsidRPr="00E14EBC">
        <w:rPr>
          <w:rFonts w:ascii="Arial" w:hAnsi="Arial" w:cs="Arial"/>
        </w:rPr>
        <w:t xml:space="preserve"> kulud. Kui teenuseosutaja on registreeritud FIE-na, kehtivad talle kõik ettevõtlustulu maksustamise reeglid, sealhulgas sotsiaalmaksukohustus, kui teenitud kasum ületab sotsiaalmaksu miinimumi. Füüsilisel isikul, kes ei ole FIE, kuid osutab siiski majutusteenust järjepidevalt ja tulu saamise eesmärgil, tekib samuti ettevõtlustulu deklareerimise ja tulumaksu tasumise kohustus.</w:t>
      </w:r>
    </w:p>
    <w:p w14:paraId="07E41CDC" w14:textId="270B6F2A" w:rsidR="001E44AD" w:rsidRPr="00E14EBC" w:rsidRDefault="001E44AD" w:rsidP="001E44AD">
      <w:pPr>
        <w:spacing w:after="0"/>
        <w:jc w:val="both"/>
        <w:rPr>
          <w:rFonts w:ascii="Arial" w:hAnsi="Arial" w:cs="Arial"/>
        </w:rPr>
      </w:pPr>
      <w:r w:rsidRPr="00E14EBC">
        <w:rPr>
          <w:rFonts w:ascii="Arial" w:hAnsi="Arial" w:cs="Arial"/>
          <w:b/>
          <w:bCs/>
        </w:rPr>
        <w:t>Juriidilisel isikul</w:t>
      </w:r>
      <w:r w:rsidRPr="00E14EBC">
        <w:rPr>
          <w:rFonts w:ascii="Arial" w:hAnsi="Arial" w:cs="Arial"/>
        </w:rPr>
        <w:t xml:space="preserve">, kes osutab majutusteenust, tekib tulumaksu kohustuse arvestus üldise äriühingu kasumi maksustamise korra alusel. Ettevõte ei maksa tulumaksu teenuse osutamise käigus saadud tulult vahetult, vaid maksustamine toimub alles kasumi jaotamisel (nt dividendide maksmisel), vastavalt TuMS §50. Kõik majutusteenusega seotud kulud – sealhulgas tööjõukulud, koristusteenused, kommunaalkulud jms, on ettevõtlusega seotud kulud ning neid saab kasumist maha arvata. </w:t>
      </w:r>
    </w:p>
    <w:p w14:paraId="5533D466" w14:textId="1BF8216C" w:rsidR="001E44AD" w:rsidRPr="00E14EBC" w:rsidRDefault="001E44AD" w:rsidP="001E44AD">
      <w:pPr>
        <w:spacing w:after="0"/>
        <w:jc w:val="both"/>
        <w:rPr>
          <w:rFonts w:ascii="Arial" w:hAnsi="Arial" w:cs="Arial"/>
        </w:rPr>
      </w:pPr>
      <w:r w:rsidRPr="00E14EBC">
        <w:rPr>
          <w:rFonts w:ascii="Arial" w:hAnsi="Arial" w:cs="Arial"/>
        </w:rPr>
        <w:t>Erinevalt üüritehingust, mida maksustatakse ainult tulumaksuga ja mis on käibemaksuvaba (KMS §16 lg2 p2), hõlmab majutusteenus lisaks ruumi kasutusele andmisele ka muid elemente (nt koristus, voodipesu vahetus, toitlustus jms), mistõttu see kuulub käibemaksuga maksustamisele. Selline vahetegu on maksuõiguse seisukohalt oluline, kuna määrab, kas teenust maksustatakse ainult tulumaksuga või lisandub sellele ka käibemaks.</w:t>
      </w:r>
    </w:p>
    <w:p w14:paraId="40683AE6" w14:textId="48D6F613" w:rsidR="001E44AD" w:rsidRPr="00E14EBC" w:rsidRDefault="001E44AD" w:rsidP="001E44AD">
      <w:pPr>
        <w:spacing w:after="0"/>
        <w:jc w:val="both"/>
        <w:rPr>
          <w:rFonts w:ascii="Arial" w:hAnsi="Arial" w:cs="Arial"/>
        </w:rPr>
      </w:pPr>
      <w:r w:rsidRPr="00E14EBC">
        <w:rPr>
          <w:rFonts w:ascii="Arial" w:hAnsi="Arial" w:cs="Arial"/>
        </w:rPr>
        <w:t xml:space="preserve">Majutusteenuse osutamisel, olenemata kas seda osutab füüsiline või juriidiline isik, tekib </w:t>
      </w:r>
      <w:r w:rsidRPr="00E14EBC">
        <w:rPr>
          <w:rFonts w:ascii="Arial" w:hAnsi="Arial" w:cs="Arial"/>
          <w:b/>
          <w:bCs/>
        </w:rPr>
        <w:t>käibemaksukohustus</w:t>
      </w:r>
      <w:r w:rsidRPr="00E14EBC">
        <w:rPr>
          <w:rFonts w:ascii="Arial" w:hAnsi="Arial" w:cs="Arial"/>
        </w:rPr>
        <w:t xml:space="preserve"> juhul kui majutusteenuse osutaja aastakäive ületab KMS §19 sätestatud piirmäära ehk 40 000 eurot. KMS §15 lg1</w:t>
      </w:r>
      <w:r>
        <w:rPr>
          <w:rFonts w:ascii="Arial" w:hAnsi="Arial" w:cs="Arial"/>
          <w:vertAlign w:val="superscript"/>
        </w:rPr>
        <w:t>1</w:t>
      </w:r>
      <w:r w:rsidRPr="00E14EBC">
        <w:rPr>
          <w:rFonts w:ascii="Arial" w:hAnsi="Arial" w:cs="Arial"/>
        </w:rPr>
        <w:t xml:space="preserve"> kohaselt kehtib majutusteenusele käibemaksumäär 13% (alates 1.01.2025, enne seda 9%). Kui teenust pakutakse väiksemas mahus, jäädes </w:t>
      </w:r>
      <w:r w:rsidRPr="00E14EBC">
        <w:rPr>
          <w:rFonts w:ascii="Arial" w:hAnsi="Arial" w:cs="Arial"/>
        </w:rPr>
        <w:lastRenderedPageBreak/>
        <w:t xml:space="preserve">allapoole piirmäära, siis on käibemaksukohustuslaseks registreerimine võimalik vabatahtlikult, juhul kui tegemist on ettevõtluse korras teenuse osutamisega. </w:t>
      </w:r>
      <w:r w:rsidRPr="00E14EBC">
        <w:rPr>
          <w:rStyle w:val="FootnoteReference"/>
          <w:rFonts w:ascii="Arial" w:hAnsi="Arial" w:cs="Arial"/>
        </w:rPr>
        <w:footnoteReference w:id="50"/>
      </w:r>
    </w:p>
    <w:p w14:paraId="79A86E54" w14:textId="77777777" w:rsidR="001E44AD" w:rsidRPr="00E14EBC" w:rsidRDefault="001E44AD" w:rsidP="001E44AD">
      <w:pPr>
        <w:spacing w:after="0"/>
        <w:jc w:val="both"/>
        <w:rPr>
          <w:rStyle w:val="PurpleText"/>
        </w:rPr>
      </w:pPr>
      <w:r w:rsidRPr="00E14EBC">
        <w:rPr>
          <w:rStyle w:val="PurpleText"/>
        </w:rPr>
        <w:t>Ettevõtluskonto</w:t>
      </w:r>
    </w:p>
    <w:p w14:paraId="4D9D987B" w14:textId="77777777" w:rsidR="001E44AD" w:rsidRPr="00E14EBC" w:rsidRDefault="001E44AD" w:rsidP="001E44AD">
      <w:pPr>
        <w:spacing w:after="0"/>
        <w:jc w:val="both"/>
        <w:rPr>
          <w:rFonts w:ascii="Arial" w:hAnsi="Arial" w:cs="Arial"/>
        </w:rPr>
      </w:pPr>
      <w:r w:rsidRPr="288A3578">
        <w:rPr>
          <w:rFonts w:ascii="Arial" w:hAnsi="Arial" w:cs="Arial"/>
        </w:rPr>
        <w:t xml:space="preserve">Füüsilistele isikutele, kes soovivad tegutseda väikemahulise ettevõtluse raames ilma vajaduseta registreeruda FIE-na, on Eestis loodud </w:t>
      </w:r>
      <w:r w:rsidRPr="288A3578">
        <w:rPr>
          <w:rFonts w:ascii="Arial" w:hAnsi="Arial" w:cs="Arial"/>
          <w:b/>
          <w:bCs/>
        </w:rPr>
        <w:t>lihtsustatud maksustamise mehhanismina</w:t>
      </w:r>
      <w:r w:rsidRPr="288A3578">
        <w:rPr>
          <w:rFonts w:ascii="Arial" w:hAnsi="Arial" w:cs="Arial"/>
        </w:rPr>
        <w:t xml:space="preserve"> ettevõtluskonto (ELMS §1). See võimaldab teenusepakkujal täita oma maksukohustused koondmaksena, ilma raamatupidamise või eraldi maksudeklaratsioonideta. Ettevõtluskonto kaudu saadud tulu maksustatakse automaatselt 20% maksemääraga, mis katab nii tulu- kui ka sotsiaalmaksu. </w:t>
      </w:r>
    </w:p>
    <w:p w14:paraId="31EF8C36" w14:textId="77777777" w:rsidR="001E44AD" w:rsidRPr="00E14EBC" w:rsidRDefault="001E44AD" w:rsidP="001E44AD">
      <w:pPr>
        <w:spacing w:after="0"/>
        <w:jc w:val="both"/>
        <w:rPr>
          <w:rFonts w:ascii="Arial" w:hAnsi="Arial" w:cs="Arial"/>
        </w:rPr>
      </w:pPr>
      <w:r w:rsidRPr="00E14EBC">
        <w:rPr>
          <w:rFonts w:ascii="Arial" w:hAnsi="Arial" w:cs="Arial"/>
        </w:rPr>
        <w:t xml:space="preserve">Ettevõtluskonto võib olla </w:t>
      </w:r>
      <w:r w:rsidRPr="00E14EBC">
        <w:rPr>
          <w:rFonts w:ascii="Arial" w:hAnsi="Arial" w:cs="Arial"/>
          <w:b/>
          <w:bCs/>
        </w:rPr>
        <w:t>sobiv lahendus füüsilistele isikutele, kes üürivad oma kinnisvara ajutiselt</w:t>
      </w:r>
      <w:r w:rsidRPr="00E14EBC">
        <w:rPr>
          <w:rFonts w:ascii="Arial" w:hAnsi="Arial" w:cs="Arial"/>
        </w:rPr>
        <w:t xml:space="preserve"> välja või osutavad majutusteenust. Kuna tõenäoliselt on märkimisväärne hulk lühiajalise üüri teenuse pakkujaid just füüsilised isikud, siis pakub ettevõtluskonto neile mugavat lahendust saadud tulu deklareerimiseks.</w:t>
      </w:r>
    </w:p>
    <w:p w14:paraId="4DE2D22D" w14:textId="77777777" w:rsidR="001E44AD" w:rsidRPr="00E14EBC" w:rsidRDefault="001E44AD" w:rsidP="001E44AD">
      <w:pPr>
        <w:pStyle w:val="TableTitle"/>
      </w:pPr>
      <w:r w:rsidRPr="00E14EBC">
        <w:t xml:space="preserve">Tabel </w:t>
      </w:r>
      <w:r>
        <w:t>3:</w:t>
      </w:r>
      <w:r w:rsidRPr="00E14EBC">
        <w:t xml:space="preserve"> Ülevaade üüritehingu ja majutusteenuse maksustamise alustest</w:t>
      </w:r>
    </w:p>
    <w:tbl>
      <w:tblPr>
        <w:tblStyle w:val="TableGrid"/>
        <w:tblW w:w="10255" w:type="dxa"/>
        <w:tblLook w:val="04A0" w:firstRow="1" w:lastRow="0" w:firstColumn="1" w:lastColumn="0" w:noHBand="0" w:noVBand="1"/>
      </w:tblPr>
      <w:tblGrid>
        <w:gridCol w:w="1964"/>
        <w:gridCol w:w="3881"/>
        <w:gridCol w:w="4410"/>
      </w:tblGrid>
      <w:tr w:rsidR="001E44AD" w:rsidRPr="00E14EBC" w14:paraId="79DD1E76" w14:textId="77777777">
        <w:trPr>
          <w:trHeight w:val="300"/>
          <w:tblHeader/>
        </w:trPr>
        <w:tc>
          <w:tcPr>
            <w:tcW w:w="1964" w:type="dxa"/>
            <w:shd w:val="clear" w:color="auto" w:fill="232323" w:themeFill="accent1"/>
            <w:noWrap/>
            <w:hideMark/>
          </w:tcPr>
          <w:p w14:paraId="11A5EB08" w14:textId="77777777" w:rsidR="001E44AD" w:rsidRPr="00E14EBC" w:rsidRDefault="001E44AD">
            <w:pPr>
              <w:spacing w:before="0" w:line="240" w:lineRule="auto"/>
              <w:rPr>
                <w:rFonts w:asciiTheme="minorBidi" w:eastAsia="Times New Roman" w:hAnsiTheme="minorBidi"/>
                <w:color w:val="FEFEFE" w:themeColor="background1"/>
                <w:kern w:val="0"/>
                <w:sz w:val="22"/>
                <w:lang w:eastAsia="et-EE"/>
                <w14:ligatures w14:val="none"/>
              </w:rPr>
            </w:pPr>
            <w:r w:rsidRPr="00E14EBC">
              <w:rPr>
                <w:rFonts w:asciiTheme="minorBidi" w:eastAsia="Times New Roman" w:hAnsiTheme="minorBidi"/>
                <w:color w:val="FEFEFE" w:themeColor="background1"/>
                <w:kern w:val="0"/>
                <w:sz w:val="22"/>
                <w:lang w:eastAsia="et-EE"/>
                <w14:ligatures w14:val="none"/>
              </w:rPr>
              <w:t>Maksustamise aspekt</w:t>
            </w:r>
          </w:p>
        </w:tc>
        <w:tc>
          <w:tcPr>
            <w:tcW w:w="3881" w:type="dxa"/>
            <w:shd w:val="clear" w:color="auto" w:fill="232323" w:themeFill="accent1"/>
            <w:noWrap/>
            <w:hideMark/>
          </w:tcPr>
          <w:p w14:paraId="25364DDA" w14:textId="77777777" w:rsidR="001E44AD" w:rsidRPr="00E14EBC" w:rsidRDefault="001E44AD">
            <w:pPr>
              <w:spacing w:before="0" w:line="240" w:lineRule="auto"/>
              <w:rPr>
                <w:rFonts w:asciiTheme="minorBidi" w:eastAsia="Times New Roman" w:hAnsiTheme="minorBidi"/>
                <w:color w:val="FEFEFE" w:themeColor="background1"/>
                <w:kern w:val="0"/>
                <w:sz w:val="22"/>
                <w:lang w:eastAsia="et-EE"/>
                <w14:ligatures w14:val="none"/>
              </w:rPr>
            </w:pPr>
            <w:r w:rsidRPr="00E14EBC">
              <w:rPr>
                <w:rFonts w:asciiTheme="minorBidi" w:eastAsia="Times New Roman" w:hAnsiTheme="minorBidi"/>
                <w:color w:val="FEFEFE" w:themeColor="background1"/>
                <w:kern w:val="0"/>
                <w:sz w:val="22"/>
                <w:lang w:eastAsia="et-EE"/>
                <w14:ligatures w14:val="none"/>
              </w:rPr>
              <w:t>Üüritehing</w:t>
            </w:r>
          </w:p>
        </w:tc>
        <w:tc>
          <w:tcPr>
            <w:tcW w:w="4410" w:type="dxa"/>
            <w:shd w:val="clear" w:color="auto" w:fill="232323" w:themeFill="accent1"/>
            <w:noWrap/>
            <w:hideMark/>
          </w:tcPr>
          <w:p w14:paraId="2F5563A9" w14:textId="77777777" w:rsidR="001E44AD" w:rsidRPr="00E14EBC" w:rsidRDefault="001E44AD">
            <w:pPr>
              <w:spacing w:before="0" w:line="240" w:lineRule="auto"/>
              <w:rPr>
                <w:rFonts w:asciiTheme="minorBidi" w:eastAsia="Times New Roman" w:hAnsiTheme="minorBidi"/>
                <w:color w:val="FEFEFE" w:themeColor="background1"/>
                <w:kern w:val="0"/>
                <w:sz w:val="22"/>
                <w:lang w:eastAsia="et-EE"/>
                <w14:ligatures w14:val="none"/>
              </w:rPr>
            </w:pPr>
            <w:r w:rsidRPr="00E14EBC">
              <w:rPr>
                <w:rFonts w:asciiTheme="minorBidi" w:eastAsia="Times New Roman" w:hAnsiTheme="minorBidi"/>
                <w:color w:val="FEFEFE" w:themeColor="background1"/>
                <w:kern w:val="0"/>
                <w:sz w:val="22"/>
                <w:lang w:eastAsia="et-EE"/>
                <w14:ligatures w14:val="none"/>
              </w:rPr>
              <w:t>Majutusteenus</w:t>
            </w:r>
          </w:p>
        </w:tc>
      </w:tr>
      <w:tr w:rsidR="001E44AD" w:rsidRPr="00E14EBC" w14:paraId="51CC727A" w14:textId="77777777">
        <w:trPr>
          <w:trHeight w:val="300"/>
        </w:trPr>
        <w:tc>
          <w:tcPr>
            <w:tcW w:w="10255" w:type="dxa"/>
            <w:gridSpan w:val="3"/>
            <w:shd w:val="clear" w:color="auto" w:fill="E5E5E5" w:themeFill="background2" w:themeFillShade="E6"/>
            <w:noWrap/>
          </w:tcPr>
          <w:p w14:paraId="32E68D6E"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Füüsiline isik</w:t>
            </w:r>
          </w:p>
        </w:tc>
      </w:tr>
      <w:tr w:rsidR="001E44AD" w:rsidRPr="00E14EBC" w14:paraId="646B5D94" w14:textId="77777777" w:rsidTr="008313B4">
        <w:trPr>
          <w:trHeight w:val="871"/>
        </w:trPr>
        <w:tc>
          <w:tcPr>
            <w:tcW w:w="1964" w:type="dxa"/>
            <w:noWrap/>
            <w:hideMark/>
          </w:tcPr>
          <w:p w14:paraId="2B509108"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 xml:space="preserve">Tulumaks </w:t>
            </w:r>
          </w:p>
        </w:tc>
        <w:tc>
          <w:tcPr>
            <w:tcW w:w="3881" w:type="dxa"/>
            <w:noWrap/>
            <w:hideMark/>
          </w:tcPr>
          <w:p w14:paraId="4CD8AA29" w14:textId="22D30EE5"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5848DE21">
              <w:rPr>
                <w:rFonts w:asciiTheme="minorBidi" w:eastAsia="Times New Roman" w:hAnsiTheme="minorBidi"/>
                <w:color w:val="000000"/>
                <w:kern w:val="0"/>
                <w:sz w:val="22"/>
                <w:lang w:eastAsia="et-EE"/>
                <w14:ligatures w14:val="none"/>
              </w:rPr>
              <w:t>2</w:t>
            </w:r>
            <w:r>
              <w:rPr>
                <w:rFonts w:asciiTheme="minorBidi" w:eastAsia="Times New Roman" w:hAnsiTheme="minorBidi"/>
                <w:color w:val="000000"/>
                <w:kern w:val="0"/>
                <w:sz w:val="22"/>
                <w:lang w:eastAsia="et-EE"/>
                <w14:ligatures w14:val="none"/>
              </w:rPr>
              <w:t>2</w:t>
            </w:r>
            <w:r w:rsidRPr="5848DE21">
              <w:rPr>
                <w:rFonts w:asciiTheme="minorBidi" w:eastAsia="Times New Roman" w:hAnsiTheme="minorBidi"/>
                <w:color w:val="000000"/>
                <w:kern w:val="0"/>
                <w:sz w:val="22"/>
                <w:lang w:eastAsia="et-EE"/>
                <w14:ligatures w14:val="none"/>
              </w:rPr>
              <w:t>% brutotulult; 20% kulude katteks (TuMS §39</w:t>
            </w:r>
            <w:r>
              <w:rPr>
                <w:rFonts w:asciiTheme="minorBidi" w:eastAsia="Times New Roman" w:hAnsiTheme="minorBidi"/>
                <w:color w:val="000000"/>
                <w:kern w:val="0"/>
                <w:sz w:val="22"/>
                <w:vertAlign w:val="superscript"/>
                <w:lang w:eastAsia="et-EE"/>
                <w14:ligatures w14:val="none"/>
              </w:rPr>
              <w:t>1</w:t>
            </w:r>
            <w:r w:rsidRPr="5848DE21">
              <w:rPr>
                <w:rFonts w:asciiTheme="minorBidi" w:eastAsia="Times New Roman" w:hAnsiTheme="minorBidi"/>
                <w:color w:val="000000"/>
                <w:kern w:val="0"/>
                <w:sz w:val="22"/>
                <w:lang w:eastAsia="et-EE"/>
                <w14:ligatures w14:val="none"/>
              </w:rPr>
              <w:t>)</w:t>
            </w:r>
          </w:p>
        </w:tc>
        <w:tc>
          <w:tcPr>
            <w:tcW w:w="4410" w:type="dxa"/>
            <w:noWrap/>
            <w:hideMark/>
          </w:tcPr>
          <w:p w14:paraId="2F04C0F6"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5848DE21">
              <w:rPr>
                <w:rFonts w:asciiTheme="minorBidi" w:eastAsia="Times New Roman" w:hAnsiTheme="minorBidi"/>
                <w:color w:val="000000"/>
                <w:kern w:val="0"/>
                <w:sz w:val="22"/>
                <w:lang w:eastAsia="et-EE"/>
                <w14:ligatures w14:val="none"/>
              </w:rPr>
              <w:t>2</w:t>
            </w:r>
            <w:r>
              <w:rPr>
                <w:rFonts w:asciiTheme="minorBidi" w:eastAsia="Times New Roman" w:hAnsiTheme="minorBidi"/>
                <w:color w:val="000000"/>
                <w:kern w:val="0"/>
                <w:sz w:val="22"/>
                <w:lang w:eastAsia="et-EE"/>
                <w14:ligatures w14:val="none"/>
              </w:rPr>
              <w:t>2</w:t>
            </w:r>
            <w:r w:rsidRPr="5848DE21">
              <w:rPr>
                <w:rFonts w:asciiTheme="minorBidi" w:eastAsia="Times New Roman" w:hAnsiTheme="minorBidi"/>
                <w:color w:val="000000"/>
                <w:kern w:val="0"/>
                <w:sz w:val="22"/>
                <w:lang w:eastAsia="et-EE"/>
                <w14:ligatures w14:val="none"/>
              </w:rPr>
              <w:t>% ettevõtlustulult; FIE või ettevõtluskonto kaudu, arvestades ka sotsiaalmaks</w:t>
            </w:r>
            <w:r w:rsidRPr="288A3578">
              <w:rPr>
                <w:rFonts w:asciiTheme="minorBidi" w:eastAsia="Times New Roman" w:hAnsiTheme="minorBidi"/>
                <w:color w:val="000000"/>
                <w:sz w:val="22"/>
                <w:lang w:eastAsia="et-EE"/>
              </w:rPr>
              <w:t>u</w:t>
            </w:r>
            <w:r w:rsidRPr="5848DE21">
              <w:rPr>
                <w:rFonts w:asciiTheme="minorBidi" w:eastAsia="Times New Roman" w:hAnsiTheme="minorBidi"/>
                <w:color w:val="000000"/>
                <w:kern w:val="0"/>
                <w:sz w:val="22"/>
                <w:lang w:eastAsia="et-EE"/>
                <w14:ligatures w14:val="none"/>
              </w:rPr>
              <w:t xml:space="preserve"> (ELMS §1)</w:t>
            </w:r>
          </w:p>
        </w:tc>
      </w:tr>
      <w:tr w:rsidR="001E44AD" w:rsidRPr="00E14EBC" w14:paraId="77473BC5" w14:textId="77777777" w:rsidTr="008313B4">
        <w:trPr>
          <w:trHeight w:val="610"/>
        </w:trPr>
        <w:tc>
          <w:tcPr>
            <w:tcW w:w="1964" w:type="dxa"/>
            <w:noWrap/>
          </w:tcPr>
          <w:p w14:paraId="05F1EA29"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 xml:space="preserve">Käibemaks </w:t>
            </w:r>
          </w:p>
        </w:tc>
        <w:tc>
          <w:tcPr>
            <w:tcW w:w="3881" w:type="dxa"/>
            <w:noWrap/>
          </w:tcPr>
          <w:p w14:paraId="2CB0CFE2" w14:textId="1B0E189A"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Ei kohaldu (KMS §16 lg2 p2)</w:t>
            </w:r>
          </w:p>
        </w:tc>
        <w:tc>
          <w:tcPr>
            <w:tcW w:w="4410" w:type="dxa"/>
            <w:noWrap/>
          </w:tcPr>
          <w:p w14:paraId="1623D24B" w14:textId="1AAC5C09"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Kohaldub, kui piirmäär ületatud; 13% käibemaks (KMS §15 lg2 p3)</w:t>
            </w:r>
          </w:p>
        </w:tc>
      </w:tr>
      <w:tr w:rsidR="001E44AD" w:rsidRPr="00E14EBC" w14:paraId="12878CE5" w14:textId="77777777">
        <w:trPr>
          <w:trHeight w:val="300"/>
        </w:trPr>
        <w:tc>
          <w:tcPr>
            <w:tcW w:w="1964" w:type="dxa"/>
            <w:noWrap/>
          </w:tcPr>
          <w:p w14:paraId="02CCDB13"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 xml:space="preserve">Sotsiaalmaks </w:t>
            </w:r>
          </w:p>
        </w:tc>
        <w:tc>
          <w:tcPr>
            <w:tcW w:w="3881" w:type="dxa"/>
            <w:noWrap/>
          </w:tcPr>
          <w:p w14:paraId="07FD079A"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Ei kohaldu, kui passiivne tulu (ei ole ettevõtlustulu)</w:t>
            </w:r>
          </w:p>
        </w:tc>
        <w:tc>
          <w:tcPr>
            <w:tcW w:w="4410" w:type="dxa"/>
            <w:noWrap/>
          </w:tcPr>
          <w:p w14:paraId="11194C0F"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Kohaldub, kui FIE; kehtib miinimumkohustus, v.a ettevõtluskonto korral</w:t>
            </w:r>
          </w:p>
        </w:tc>
      </w:tr>
      <w:tr w:rsidR="001E44AD" w:rsidRPr="00E14EBC" w14:paraId="14446123" w14:textId="77777777">
        <w:trPr>
          <w:trHeight w:val="300"/>
        </w:trPr>
        <w:tc>
          <w:tcPr>
            <w:tcW w:w="1964" w:type="dxa"/>
            <w:noWrap/>
          </w:tcPr>
          <w:p w14:paraId="7534F349"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Ettevõtluskonto kasutus</w:t>
            </w:r>
          </w:p>
        </w:tc>
        <w:tc>
          <w:tcPr>
            <w:tcW w:w="3881" w:type="dxa"/>
            <w:noWrap/>
          </w:tcPr>
          <w:p w14:paraId="0B6621A9"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Pr>
                <w:rFonts w:asciiTheme="minorBidi" w:eastAsia="Times New Roman" w:hAnsiTheme="minorBidi"/>
                <w:color w:val="000000"/>
                <w:kern w:val="0"/>
                <w:sz w:val="22"/>
                <w:lang w:eastAsia="et-EE"/>
                <w14:ligatures w14:val="none"/>
              </w:rPr>
              <w:t xml:space="preserve">Kohaldub, kui on avatud  ettevõtluskonto ja üüri tulu kantakse sinna </w:t>
            </w:r>
          </w:p>
        </w:tc>
        <w:tc>
          <w:tcPr>
            <w:tcW w:w="4410" w:type="dxa"/>
            <w:noWrap/>
          </w:tcPr>
          <w:p w14:paraId="6825FC13" w14:textId="37FD6455"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Pr>
                <w:rFonts w:asciiTheme="minorBidi" w:eastAsia="Times New Roman" w:hAnsiTheme="minorBidi"/>
                <w:color w:val="000000"/>
                <w:kern w:val="0"/>
                <w:sz w:val="22"/>
                <w:lang w:eastAsia="et-EE"/>
                <w14:ligatures w14:val="none"/>
              </w:rPr>
              <w:t xml:space="preserve">Kohaldub, kui on avatud ettevõtluskonto ja üüri tulu kantakse sinna </w:t>
            </w:r>
          </w:p>
        </w:tc>
      </w:tr>
      <w:tr w:rsidR="001E44AD" w:rsidRPr="00E14EBC" w14:paraId="0A6C2030" w14:textId="77777777">
        <w:trPr>
          <w:trHeight w:val="300"/>
        </w:trPr>
        <w:tc>
          <w:tcPr>
            <w:tcW w:w="1964" w:type="dxa"/>
            <w:noWrap/>
          </w:tcPr>
          <w:p w14:paraId="1E4F3556"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 xml:space="preserve">Kulude mahaarvamine </w:t>
            </w:r>
          </w:p>
        </w:tc>
        <w:tc>
          <w:tcPr>
            <w:tcW w:w="3881" w:type="dxa"/>
            <w:noWrap/>
          </w:tcPr>
          <w:p w14:paraId="5FBDF1DE" w14:textId="6597A1DD"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5848DE21">
              <w:rPr>
                <w:rFonts w:asciiTheme="minorBidi" w:eastAsia="Times New Roman" w:hAnsiTheme="minorBidi"/>
                <w:color w:val="000000"/>
                <w:kern w:val="0"/>
                <w:sz w:val="22"/>
                <w:lang w:eastAsia="et-EE"/>
                <w14:ligatures w14:val="none"/>
              </w:rPr>
              <w:t>20% tulust (TuMS §39</w:t>
            </w:r>
            <w:r>
              <w:rPr>
                <w:rFonts w:asciiTheme="minorBidi" w:eastAsia="Times New Roman" w:hAnsiTheme="minorBidi"/>
                <w:color w:val="000000"/>
                <w:kern w:val="0"/>
                <w:sz w:val="22"/>
                <w:vertAlign w:val="superscript"/>
                <w:lang w:eastAsia="et-EE"/>
                <w14:ligatures w14:val="none"/>
              </w:rPr>
              <w:t>1</w:t>
            </w:r>
            <w:r w:rsidRPr="5848DE21">
              <w:rPr>
                <w:rFonts w:asciiTheme="minorBidi" w:eastAsia="Times New Roman" w:hAnsiTheme="minorBidi"/>
                <w:color w:val="000000"/>
                <w:kern w:val="0"/>
                <w:sz w:val="22"/>
                <w:lang w:eastAsia="et-EE"/>
                <w14:ligatures w14:val="none"/>
              </w:rPr>
              <w:t>)</w:t>
            </w:r>
          </w:p>
        </w:tc>
        <w:tc>
          <w:tcPr>
            <w:tcW w:w="4410" w:type="dxa"/>
            <w:noWrap/>
          </w:tcPr>
          <w:p w14:paraId="14F4B262"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Võimalik arvestada ettevõtluskuludena, kui tegutsetakse FIE-na; ettevõtluskonto puhul kulusid maha arvata ei saa</w:t>
            </w:r>
          </w:p>
        </w:tc>
      </w:tr>
      <w:tr w:rsidR="001E44AD" w:rsidRPr="00E14EBC" w14:paraId="48620FB2" w14:textId="77777777">
        <w:trPr>
          <w:trHeight w:val="300"/>
        </w:trPr>
        <w:tc>
          <w:tcPr>
            <w:tcW w:w="10255" w:type="dxa"/>
            <w:gridSpan w:val="3"/>
            <w:shd w:val="clear" w:color="auto" w:fill="E5E5E5" w:themeFill="background2" w:themeFillShade="E6"/>
            <w:noWrap/>
          </w:tcPr>
          <w:p w14:paraId="711B88F5"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Juriidiline isik</w:t>
            </w:r>
          </w:p>
        </w:tc>
      </w:tr>
      <w:tr w:rsidR="001E44AD" w:rsidRPr="00E14EBC" w14:paraId="5015B653" w14:textId="77777777">
        <w:trPr>
          <w:trHeight w:val="300"/>
        </w:trPr>
        <w:tc>
          <w:tcPr>
            <w:tcW w:w="1964" w:type="dxa"/>
            <w:noWrap/>
            <w:hideMark/>
          </w:tcPr>
          <w:p w14:paraId="750100B1"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 xml:space="preserve">Tulumaks </w:t>
            </w:r>
          </w:p>
        </w:tc>
        <w:tc>
          <w:tcPr>
            <w:tcW w:w="3881" w:type="dxa"/>
            <w:noWrap/>
            <w:hideMark/>
          </w:tcPr>
          <w:p w14:paraId="42848F1F" w14:textId="6AB37255"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5848DE21">
              <w:rPr>
                <w:rFonts w:asciiTheme="minorBidi" w:eastAsia="Times New Roman" w:hAnsiTheme="minorBidi"/>
                <w:color w:val="000000"/>
                <w:kern w:val="0"/>
                <w:sz w:val="22"/>
                <w:lang w:eastAsia="et-EE"/>
                <w14:ligatures w14:val="none"/>
              </w:rPr>
              <w:t>20/80 jaotatud kasumilt ettevõtte tasandil (TuMS §54 lg5 ja 61 lg25)</w:t>
            </w:r>
          </w:p>
        </w:tc>
        <w:tc>
          <w:tcPr>
            <w:tcW w:w="4410" w:type="dxa"/>
            <w:noWrap/>
            <w:hideMark/>
          </w:tcPr>
          <w:p w14:paraId="727365CF"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5848DE21">
              <w:rPr>
                <w:rFonts w:asciiTheme="minorBidi" w:eastAsia="Times New Roman" w:hAnsiTheme="minorBidi"/>
                <w:color w:val="000000"/>
                <w:kern w:val="0"/>
                <w:sz w:val="22"/>
                <w:lang w:eastAsia="et-EE"/>
                <w14:ligatures w14:val="none"/>
              </w:rPr>
              <w:t>20/80 kasumilt, kõik kulud arvestatakse ettevõtluskuludena</w:t>
            </w:r>
          </w:p>
        </w:tc>
      </w:tr>
      <w:tr w:rsidR="001E44AD" w:rsidRPr="00E14EBC" w14:paraId="66CF3290" w14:textId="77777777">
        <w:trPr>
          <w:trHeight w:val="300"/>
        </w:trPr>
        <w:tc>
          <w:tcPr>
            <w:tcW w:w="1964" w:type="dxa"/>
            <w:noWrap/>
          </w:tcPr>
          <w:p w14:paraId="6C007F5E"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 xml:space="preserve">Käibemaks </w:t>
            </w:r>
          </w:p>
        </w:tc>
        <w:tc>
          <w:tcPr>
            <w:tcW w:w="3881" w:type="dxa"/>
            <w:noWrap/>
          </w:tcPr>
          <w:p w14:paraId="6A232498" w14:textId="2276A50B"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Ei kohaldu (eluruumide üürimine KMS §16 lg2 p2)</w:t>
            </w:r>
          </w:p>
        </w:tc>
        <w:tc>
          <w:tcPr>
            <w:tcW w:w="4410" w:type="dxa"/>
            <w:noWrap/>
          </w:tcPr>
          <w:p w14:paraId="613FC757" w14:textId="77D4643E"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Kohaldub, kui piirmäär ületatud; 13% käibemaks alates 2025 (KMS §15 lg2 p3)</w:t>
            </w:r>
          </w:p>
        </w:tc>
      </w:tr>
      <w:tr w:rsidR="001E44AD" w:rsidRPr="00E14EBC" w14:paraId="0EF75D11" w14:textId="77777777">
        <w:trPr>
          <w:trHeight w:val="300"/>
        </w:trPr>
        <w:tc>
          <w:tcPr>
            <w:tcW w:w="1964" w:type="dxa"/>
            <w:noWrap/>
          </w:tcPr>
          <w:p w14:paraId="35D3B5F9"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 xml:space="preserve">Sotsiaalmaks </w:t>
            </w:r>
          </w:p>
        </w:tc>
        <w:tc>
          <w:tcPr>
            <w:tcW w:w="3881" w:type="dxa"/>
            <w:noWrap/>
          </w:tcPr>
          <w:p w14:paraId="15F8EE5F"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Tööjõukuludelt tasutakse vastavalt seadusele</w:t>
            </w:r>
          </w:p>
        </w:tc>
        <w:tc>
          <w:tcPr>
            <w:tcW w:w="4410" w:type="dxa"/>
            <w:noWrap/>
          </w:tcPr>
          <w:p w14:paraId="09DD6EFC"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Tööjõukuludelt sotsiaalmaks ettevõtte kanda</w:t>
            </w:r>
          </w:p>
        </w:tc>
      </w:tr>
      <w:tr w:rsidR="001E44AD" w:rsidRPr="00E14EBC" w14:paraId="151E8914" w14:textId="77777777">
        <w:trPr>
          <w:trHeight w:val="300"/>
        </w:trPr>
        <w:tc>
          <w:tcPr>
            <w:tcW w:w="1964" w:type="dxa"/>
            <w:noWrap/>
            <w:hideMark/>
          </w:tcPr>
          <w:p w14:paraId="42BA0C66"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lastRenderedPageBreak/>
              <w:t>Kulude mahaarvamine (tulumaks)</w:t>
            </w:r>
          </w:p>
        </w:tc>
        <w:tc>
          <w:tcPr>
            <w:tcW w:w="3881" w:type="dxa"/>
            <w:noWrap/>
            <w:hideMark/>
          </w:tcPr>
          <w:p w14:paraId="767A79DF"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Kõik ettevõtlusega seotud kulud arvestatakse enne kasumi maksustamist</w:t>
            </w:r>
          </w:p>
        </w:tc>
        <w:tc>
          <w:tcPr>
            <w:tcW w:w="4410" w:type="dxa"/>
            <w:noWrap/>
            <w:hideMark/>
          </w:tcPr>
          <w:p w14:paraId="53A25187"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Kõik ettevõtluskulud (nt koristus, remont, reklaam) vähendavad maksustatavat kasumit</w:t>
            </w:r>
          </w:p>
        </w:tc>
      </w:tr>
      <w:tr w:rsidR="001E44AD" w:rsidRPr="00E14EBC" w14:paraId="7E0F09A0" w14:textId="77777777">
        <w:trPr>
          <w:trHeight w:val="300"/>
        </w:trPr>
        <w:tc>
          <w:tcPr>
            <w:tcW w:w="1964" w:type="dxa"/>
            <w:noWrap/>
            <w:hideMark/>
          </w:tcPr>
          <w:p w14:paraId="4F7D805C"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Kulude mahaarvamine (käibemaks)</w:t>
            </w:r>
          </w:p>
        </w:tc>
        <w:tc>
          <w:tcPr>
            <w:tcW w:w="3881" w:type="dxa"/>
            <w:noWrap/>
            <w:hideMark/>
          </w:tcPr>
          <w:p w14:paraId="1CB216D3"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5848DE21">
              <w:rPr>
                <w:rFonts w:asciiTheme="minorBidi" w:eastAsia="Times New Roman" w:hAnsiTheme="minorBidi"/>
                <w:color w:val="000000"/>
                <w:kern w:val="0"/>
                <w:sz w:val="22"/>
                <w:lang w:eastAsia="et-EE"/>
                <w14:ligatures w14:val="none"/>
              </w:rPr>
              <w:t>Ei kohaldu, kuna käibemaks ei rakendu üüritehingule</w:t>
            </w:r>
          </w:p>
        </w:tc>
        <w:tc>
          <w:tcPr>
            <w:tcW w:w="4410" w:type="dxa"/>
            <w:noWrap/>
            <w:hideMark/>
          </w:tcPr>
          <w:p w14:paraId="7722687A" w14:textId="77777777" w:rsidR="001E44AD" w:rsidRPr="00E14EBC" w:rsidRDefault="001E44AD">
            <w:pPr>
              <w:spacing w:before="0" w:line="240" w:lineRule="auto"/>
              <w:rPr>
                <w:rFonts w:asciiTheme="minorBidi" w:eastAsia="Times New Roman" w:hAnsiTheme="minorBidi"/>
                <w:color w:val="000000"/>
                <w:kern w:val="0"/>
                <w:sz w:val="22"/>
                <w:lang w:eastAsia="et-EE"/>
                <w14:ligatures w14:val="none"/>
              </w:rPr>
            </w:pPr>
            <w:r w:rsidRPr="00E14EBC">
              <w:rPr>
                <w:rFonts w:asciiTheme="minorBidi" w:eastAsia="Times New Roman" w:hAnsiTheme="minorBidi"/>
                <w:color w:val="000000"/>
                <w:kern w:val="0"/>
                <w:sz w:val="22"/>
                <w:lang w:eastAsia="et-EE"/>
                <w14:ligatures w14:val="none"/>
              </w:rPr>
              <w:t>Sisendkäibemaksu saab maha arvata, kui kulud on seotud maksustatava teenusega</w:t>
            </w:r>
          </w:p>
        </w:tc>
      </w:tr>
    </w:tbl>
    <w:p w14:paraId="21F14254" w14:textId="77777777" w:rsidR="001E44AD" w:rsidRPr="00E14EBC" w:rsidRDefault="001E44AD" w:rsidP="001E44AD">
      <w:pPr>
        <w:spacing w:after="0"/>
        <w:jc w:val="both"/>
        <w:rPr>
          <w:rFonts w:ascii="Arial" w:hAnsi="Arial" w:cs="Arial"/>
        </w:rPr>
      </w:pPr>
      <w:r w:rsidRPr="00E14EBC">
        <w:rPr>
          <w:rFonts w:ascii="Arial" w:hAnsi="Arial" w:cs="Arial"/>
        </w:rPr>
        <w:t xml:space="preserve">Kokkuvõttes on majutusteenuse osutamisel maksustamiskohustus laiem kui tavapärase üürilepingu puhul, hõlmates lisaks tulumaksule sageli ka käibemaksu ja sotsiaalmaksu. Maksustamine sõltub seejuures teenuse osutamise vormist, teenuse kestusest ja mahust, samuti sellest, kas teenuseosutaja tegutseb füüsilise või juriidilise isikuna ning kas tegevus kvalifitseerub majandustegevuseks. </w:t>
      </w:r>
    </w:p>
    <w:p w14:paraId="3F8A4617" w14:textId="77777777" w:rsidR="001E44AD" w:rsidRPr="00E14EBC" w:rsidRDefault="001E44AD" w:rsidP="001E44AD">
      <w:pPr>
        <w:spacing w:after="0"/>
        <w:jc w:val="both"/>
        <w:rPr>
          <w:rStyle w:val="PurpleText"/>
        </w:rPr>
      </w:pPr>
      <w:r w:rsidRPr="00E14EBC">
        <w:rPr>
          <w:rStyle w:val="PurpleText"/>
        </w:rPr>
        <w:t>Maksuandmete esitamise ja vahetamise kohustus</w:t>
      </w:r>
    </w:p>
    <w:p w14:paraId="36AFB553" w14:textId="41F7B843" w:rsidR="001E44AD" w:rsidRPr="00E14EBC" w:rsidRDefault="001E44AD" w:rsidP="001E44AD">
      <w:pPr>
        <w:spacing w:after="0"/>
        <w:jc w:val="both"/>
        <w:rPr>
          <w:rFonts w:ascii="Arial" w:hAnsi="Arial" w:cs="Arial"/>
        </w:rPr>
      </w:pPr>
      <w:r w:rsidRPr="5848DE21">
        <w:rPr>
          <w:rFonts w:ascii="Arial" w:hAnsi="Arial" w:cs="Arial"/>
        </w:rPr>
        <w:t>Lühiajalise üüri teenuse osutamisega kaasneva maksukohustuse tuvastamiseks ja maksustamise lihtsustamiseks kohaldatakse kõigis EL</w:t>
      </w:r>
      <w:r w:rsidR="009030B9">
        <w:rPr>
          <w:rFonts w:ascii="Arial" w:hAnsi="Arial" w:cs="Arial"/>
        </w:rPr>
        <w:t>-i</w:t>
      </w:r>
      <w:r w:rsidRPr="5848DE21">
        <w:rPr>
          <w:rFonts w:ascii="Arial" w:hAnsi="Arial" w:cs="Arial"/>
        </w:rPr>
        <w:t xml:space="preserve"> liikmesriikides alates 2023. aastast </w:t>
      </w:r>
      <w:r w:rsidRPr="5848DE21">
        <w:rPr>
          <w:rFonts w:ascii="Arial" w:hAnsi="Arial" w:cs="Arial"/>
          <w:b/>
          <w:bCs/>
        </w:rPr>
        <w:t>Nõukogu direktiivi (EL) 2021/514</w:t>
      </w:r>
      <w:r w:rsidRPr="5848DE21">
        <w:rPr>
          <w:rFonts w:ascii="Arial" w:hAnsi="Arial" w:cs="Arial"/>
        </w:rPr>
        <w:t>, tuntud ka kui DAC7. Direktiivi eesmärk on parandada maksuhaldurite vahelist teabevahetust digiplatvormide kaudu teenitud tulu osas. DAC7 laiendab oluliselt platvormide kaudu majandustegevusega seotud maksustamise järelevalveraamistikku ja suurendab läbipaistvust sektorites, kus teenuseid või kaupu pakutakse digikeskkondade kaudu, sh ka lühiajalise üüri teenuse turul.</w:t>
      </w:r>
    </w:p>
    <w:p w14:paraId="0DCC0A3F" w14:textId="77777777" w:rsidR="001E44AD" w:rsidRPr="00E14EBC" w:rsidRDefault="001E44AD" w:rsidP="001E44AD">
      <w:pPr>
        <w:spacing w:after="0"/>
        <w:jc w:val="both"/>
        <w:rPr>
          <w:rFonts w:ascii="Arial" w:hAnsi="Arial" w:cs="Arial"/>
        </w:rPr>
      </w:pPr>
      <w:r w:rsidRPr="00E14EBC">
        <w:rPr>
          <w:rFonts w:ascii="Arial" w:hAnsi="Arial" w:cs="Arial"/>
        </w:rPr>
        <w:t>Direktiivi alusel on eelkõige digitaalsed platvormid, nagu näiteks Airbnb, Booking.com, eBay jt, mille kaudu eraisikud ja ettevõtted müüvad kaupu või osutavad teenuseid, kohustatud koguma andmeid platvormi kasutajate kohta, kes teenivad tulu, ja edastama need andmed teenuseosutaja maksuresidentsuse riigi maksuhaldurile. Eestis täidab seda ülesannet Maksu- ja Tolliamet. Kogutavad andmed hõlmavad:</w:t>
      </w:r>
    </w:p>
    <w:p w14:paraId="67B1C53D" w14:textId="77777777" w:rsidR="001E44AD" w:rsidRPr="00E14EBC" w:rsidRDefault="001E44AD" w:rsidP="001E44AD">
      <w:pPr>
        <w:numPr>
          <w:ilvl w:val="0"/>
          <w:numId w:val="32"/>
        </w:numPr>
        <w:spacing w:after="0"/>
        <w:jc w:val="both"/>
        <w:rPr>
          <w:rFonts w:ascii="Arial" w:hAnsi="Arial" w:cs="Arial"/>
        </w:rPr>
      </w:pPr>
      <w:r w:rsidRPr="00E14EBC">
        <w:rPr>
          <w:rFonts w:ascii="Arial" w:hAnsi="Arial" w:cs="Arial"/>
        </w:rPr>
        <w:t>teenuseosutaja ees- ja perekonnanime või ettevõtte nime, aadressi ja maksukohustuslase numbrit (TIN);</w:t>
      </w:r>
    </w:p>
    <w:p w14:paraId="29E89166" w14:textId="77777777" w:rsidR="001E44AD" w:rsidRPr="00E14EBC" w:rsidRDefault="001E44AD" w:rsidP="001E44AD">
      <w:pPr>
        <w:numPr>
          <w:ilvl w:val="0"/>
          <w:numId w:val="32"/>
        </w:numPr>
        <w:spacing w:after="0"/>
        <w:jc w:val="both"/>
        <w:rPr>
          <w:rFonts w:ascii="Arial" w:hAnsi="Arial" w:cs="Arial"/>
        </w:rPr>
      </w:pPr>
      <w:r w:rsidRPr="00E14EBC">
        <w:rPr>
          <w:rFonts w:ascii="Arial" w:hAnsi="Arial" w:cs="Arial"/>
        </w:rPr>
        <w:t>maksuresidentsust ja kontonumbrit, kuhu tulu laekub;</w:t>
      </w:r>
    </w:p>
    <w:p w14:paraId="5A1EC088" w14:textId="77777777" w:rsidR="001E44AD" w:rsidRPr="00E14EBC" w:rsidRDefault="001E44AD" w:rsidP="001E44AD">
      <w:pPr>
        <w:numPr>
          <w:ilvl w:val="0"/>
          <w:numId w:val="32"/>
        </w:numPr>
        <w:spacing w:after="0"/>
        <w:jc w:val="both"/>
        <w:rPr>
          <w:rFonts w:ascii="Arial" w:hAnsi="Arial" w:cs="Arial"/>
        </w:rPr>
      </w:pPr>
      <w:r w:rsidRPr="00E14EBC">
        <w:rPr>
          <w:rFonts w:ascii="Arial" w:hAnsi="Arial" w:cs="Arial"/>
        </w:rPr>
        <w:t>iga majutusüksuse või pakutava teenuse asukohta ja identifitseerimisinfot;</w:t>
      </w:r>
    </w:p>
    <w:p w14:paraId="68CD105F" w14:textId="77777777" w:rsidR="001E44AD" w:rsidRPr="00E14EBC" w:rsidRDefault="001E44AD" w:rsidP="001E44AD">
      <w:pPr>
        <w:numPr>
          <w:ilvl w:val="0"/>
          <w:numId w:val="32"/>
        </w:numPr>
        <w:spacing w:after="0"/>
        <w:jc w:val="both"/>
        <w:rPr>
          <w:rFonts w:ascii="Arial" w:hAnsi="Arial" w:cs="Arial"/>
        </w:rPr>
      </w:pPr>
      <w:r w:rsidRPr="00E14EBC">
        <w:rPr>
          <w:rFonts w:ascii="Arial" w:hAnsi="Arial" w:cs="Arial"/>
        </w:rPr>
        <w:t>kogutulu suurust, maksete arvu ja teenuse osutamise sagedust;</w:t>
      </w:r>
    </w:p>
    <w:p w14:paraId="1DFA0D17" w14:textId="77777777" w:rsidR="001E44AD" w:rsidRPr="00E14EBC" w:rsidRDefault="001E44AD" w:rsidP="001E44AD">
      <w:pPr>
        <w:numPr>
          <w:ilvl w:val="0"/>
          <w:numId w:val="32"/>
        </w:numPr>
        <w:spacing w:after="0"/>
        <w:jc w:val="both"/>
        <w:rPr>
          <w:rFonts w:ascii="Arial" w:hAnsi="Arial" w:cs="Arial"/>
        </w:rPr>
      </w:pPr>
      <w:r w:rsidRPr="00E14EBC">
        <w:rPr>
          <w:rFonts w:ascii="Arial" w:hAnsi="Arial" w:cs="Arial"/>
        </w:rPr>
        <w:t>kinnisvara puhul: aktiivsete rendipäevade arvu ning broneeringute koguarvu.</w:t>
      </w:r>
    </w:p>
    <w:p w14:paraId="1CD4F982" w14:textId="77777777" w:rsidR="001E44AD" w:rsidRPr="00E14EBC" w:rsidRDefault="001E44AD" w:rsidP="001E44AD">
      <w:pPr>
        <w:spacing w:after="0"/>
        <w:jc w:val="both"/>
        <w:rPr>
          <w:rFonts w:ascii="Arial" w:hAnsi="Arial" w:cs="Arial"/>
        </w:rPr>
      </w:pPr>
      <w:r w:rsidRPr="5848DE21">
        <w:rPr>
          <w:rFonts w:ascii="Arial" w:hAnsi="Arial" w:cs="Arial"/>
        </w:rPr>
        <w:t xml:space="preserve">Need andmed tuleb </w:t>
      </w:r>
      <w:r w:rsidRPr="5848DE21">
        <w:rPr>
          <w:rFonts w:ascii="Arial" w:hAnsi="Arial" w:cs="Arial"/>
          <w:b/>
          <w:bCs/>
        </w:rPr>
        <w:t>platvormil koguda kord aastas</w:t>
      </w:r>
      <w:r w:rsidRPr="5848DE21">
        <w:rPr>
          <w:rFonts w:ascii="Arial" w:hAnsi="Arial" w:cs="Arial"/>
        </w:rPr>
        <w:t xml:space="preserve"> ning edastada automaatselt maksuhaldurile, kes omakorda võib andmeid </w:t>
      </w:r>
      <w:r w:rsidRPr="5848DE21">
        <w:rPr>
          <w:rFonts w:ascii="Arial" w:hAnsi="Arial" w:cs="Arial"/>
          <w:b/>
          <w:bCs/>
        </w:rPr>
        <w:t>jagada</w:t>
      </w:r>
      <w:r w:rsidRPr="5848DE21">
        <w:rPr>
          <w:rFonts w:ascii="Arial" w:hAnsi="Arial" w:cs="Arial"/>
        </w:rPr>
        <w:t xml:space="preserve"> </w:t>
      </w:r>
      <w:r w:rsidRPr="5848DE21">
        <w:rPr>
          <w:rFonts w:ascii="Arial" w:hAnsi="Arial" w:cs="Arial"/>
          <w:b/>
          <w:bCs/>
        </w:rPr>
        <w:t>teiste liikmesriikide maksuhalduritega</w:t>
      </w:r>
      <w:r w:rsidRPr="5848DE21">
        <w:rPr>
          <w:rFonts w:ascii="Arial" w:hAnsi="Arial" w:cs="Arial"/>
        </w:rPr>
        <w:t>, kui platvormi kasutaja on nendes riikides maksuresident või tegevus on seal seotud.</w:t>
      </w:r>
    </w:p>
    <w:p w14:paraId="3174B503" w14:textId="77777777" w:rsidR="001E44AD" w:rsidRPr="00E14EBC" w:rsidRDefault="001E44AD" w:rsidP="001E44AD">
      <w:pPr>
        <w:spacing w:after="0"/>
        <w:jc w:val="both"/>
        <w:rPr>
          <w:rFonts w:ascii="Arial" w:hAnsi="Arial" w:cs="Arial"/>
        </w:rPr>
      </w:pPr>
      <w:r w:rsidRPr="00E14EBC">
        <w:rPr>
          <w:rFonts w:ascii="Arial" w:hAnsi="Arial" w:cs="Arial"/>
        </w:rPr>
        <w:t xml:space="preserve">Direktiivi eesmärk ei ole üksnes parandada maksude kogumist, vaid ka tagada maksusüsteemi õiglus ja vähendada maksudest kõrvalehoidumist. See puudutab eriti füüsilisi isikuid, kes pole end registreerinud ettevõtjaks, kuid kes platvormide kaudu teenivad regulaarselt arvestatavat tulu. DAC7 raames kogutud andmed võimaldavad maksuhalduritel hinnata, kas tulu on deklareeritud, kas isik tegutseb ettevõtluses ning millised maksud on kohaldatavad. </w:t>
      </w:r>
    </w:p>
    <w:p w14:paraId="65510430" w14:textId="77777777" w:rsidR="001E44AD" w:rsidRPr="00E14EBC" w:rsidRDefault="001E44AD" w:rsidP="001E44AD">
      <w:pPr>
        <w:spacing w:after="0"/>
        <w:jc w:val="both"/>
        <w:rPr>
          <w:rFonts w:ascii="Arial" w:hAnsi="Arial" w:cs="Arial"/>
        </w:rPr>
      </w:pPr>
      <w:r w:rsidRPr="00E14EBC">
        <w:rPr>
          <w:rFonts w:ascii="Arial" w:hAnsi="Arial" w:cs="Arial"/>
        </w:rPr>
        <w:lastRenderedPageBreak/>
        <w:t>DAC7 mõju on eelkõige lühiajalise üüri teenuse pakkujatele, kes kasutavad majandustegevuseks platvorme. Ka juhul, kui teenuseosutaja ise ei tee midagi aktiivselt andmete esitamiseks, kogub platvorm nõutud info, mis jõuab automaatselt maksuhaldurini. See tähendab, et maksuhalduritel on võimalik tuvastada ka varasemalt varjatud tulu või tegevus ning rakendada vajadusel tagantjärele maksukohustusi.</w:t>
      </w:r>
    </w:p>
    <w:p w14:paraId="701A85F1" w14:textId="77777777" w:rsidR="001E44AD" w:rsidRPr="00E14EBC" w:rsidRDefault="001E44AD" w:rsidP="001E44AD">
      <w:pPr>
        <w:spacing w:after="0"/>
        <w:jc w:val="both"/>
        <w:rPr>
          <w:rFonts w:ascii="Arial" w:hAnsi="Arial" w:cs="Arial"/>
        </w:rPr>
      </w:pPr>
      <w:r w:rsidRPr="00E14EBC">
        <w:rPr>
          <w:rFonts w:ascii="Arial" w:hAnsi="Arial" w:cs="Arial"/>
        </w:rPr>
        <w:t xml:space="preserve">Arvestades direktiivi jõustumist, siis esimesed anded DAC7 alusel koguti 2023. aasta kohta ning vahetati maksuhaldurite vahel 2024. aasta jooksul. </w:t>
      </w:r>
    </w:p>
    <w:p w14:paraId="44916CF4" w14:textId="77777777" w:rsidR="001E44AD" w:rsidRPr="00E14EBC" w:rsidRDefault="001E44AD" w:rsidP="001E44AD">
      <w:pPr>
        <w:pStyle w:val="Heading3"/>
        <w:ind w:left="540"/>
        <w:rPr>
          <w:rFonts w:hint="eastAsia"/>
        </w:rPr>
      </w:pPr>
      <w:bookmarkStart w:id="80" w:name="_Toc208991593"/>
      <w:r w:rsidRPr="00E14EBC">
        <w:t>Euroopa Liidu raamistik</w:t>
      </w:r>
      <w:bookmarkEnd w:id="80"/>
    </w:p>
    <w:p w14:paraId="1A0DB6F7" w14:textId="77777777" w:rsidR="001E44AD" w:rsidRPr="00E14EBC" w:rsidRDefault="001E44AD" w:rsidP="001E44AD">
      <w:pPr>
        <w:jc w:val="both"/>
      </w:pPr>
      <w:r w:rsidRPr="00E14EBC">
        <w:t>Lühiajalise üüri teenuse ning majutusteenuse pakkumine on osaliselt reguleeritud ka EL tasandil. Viimastel aastatel on EL vastu võtnud mitmeid määruseid ja direktiive, mis loovad ühtseid nõudeid nii lühiajalise üüri teenuse ehk (majutus)teenuse osutajatele kui ka platvormidele, mille kaudu teenust vahendatakse. Käesolevas peatükis analüüsitakse nelja asjakohast EL-i õigusakti, mis mõjutavad otseselt või kaudselt lühiajalise majutusteenuse turu toimimist, andmete kogumist ja maksustamise läbipaistvust.</w:t>
      </w:r>
    </w:p>
    <w:p w14:paraId="1B30F1E8" w14:textId="77777777" w:rsidR="001E44AD" w:rsidRPr="00E14EBC" w:rsidRDefault="001E44AD" w:rsidP="001E44AD">
      <w:pPr>
        <w:spacing w:after="0"/>
        <w:jc w:val="both"/>
        <w:rPr>
          <w:color w:val="82009B" w:themeColor="accent6"/>
        </w:rPr>
      </w:pPr>
      <w:r w:rsidRPr="00E14EBC">
        <w:rPr>
          <w:color w:val="82009B" w:themeColor="accent6"/>
        </w:rPr>
        <w:t>EL-i direktiiv 2006/123/EÜ ehk teenuste direktiiv</w:t>
      </w:r>
    </w:p>
    <w:p w14:paraId="3FBD1265" w14:textId="77777777" w:rsidR="001E44AD" w:rsidRPr="00E14EBC" w:rsidRDefault="001E44AD" w:rsidP="001E44AD">
      <w:pPr>
        <w:spacing w:after="0"/>
        <w:jc w:val="both"/>
        <w:rPr>
          <w:rFonts w:ascii="Arial" w:hAnsi="Arial" w:cs="Arial"/>
        </w:rPr>
      </w:pPr>
      <w:r w:rsidRPr="00E14EBC">
        <w:rPr>
          <w:rFonts w:ascii="Arial" w:hAnsi="Arial" w:cs="Arial"/>
        </w:rPr>
        <w:t>Direktiivi puhul on tegemist üldnormiga ja selle art.1 lg1 kehtestab üldsätted, mis lihtsustavad teenuseosutajate asutamisvabaduse teostamist ja teenuste vaba liikumist, säilitades samas teenuste kõrge kvaliteedi. Art.2 lg1 kohaselt kohaldatakse direktiivi liikmesriikides asutatud teenuseosutajate poolt osutatavate teenuste suhtes. Direktiiv on Eestis üle võetud majandustegevuse seadustiku üldosa seadusega ning toodete ja teenuste ligipääsetavuse seadusega.</w:t>
      </w:r>
    </w:p>
    <w:p w14:paraId="5377809C" w14:textId="77777777" w:rsidR="001E44AD" w:rsidRPr="00E14EBC" w:rsidRDefault="001E44AD" w:rsidP="001E44AD">
      <w:pPr>
        <w:spacing w:after="0"/>
        <w:jc w:val="both"/>
        <w:rPr>
          <w:rFonts w:ascii="Arial" w:hAnsi="Arial" w:cs="Arial"/>
        </w:rPr>
      </w:pPr>
      <w:r w:rsidRPr="288A3578">
        <w:rPr>
          <w:rFonts w:ascii="Arial" w:hAnsi="Arial" w:cs="Arial"/>
        </w:rPr>
        <w:t>Direktiiv on asjakohane, kuna lühiajalise üüri teenuse puhul on tegemist teenuse pakkumisega. Direktiivi eesmärk on tagada, et igasuguste teenuste pakkumine oleks lubatud ilma ebaproportsionaalsete piiranguteta.</w:t>
      </w:r>
    </w:p>
    <w:p w14:paraId="2A8DCB4C" w14:textId="77777777" w:rsidR="001E44AD" w:rsidRPr="00E14EBC" w:rsidRDefault="001E44AD" w:rsidP="001E44AD">
      <w:pPr>
        <w:spacing w:after="0"/>
        <w:jc w:val="both"/>
        <w:rPr>
          <w:color w:val="82009B" w:themeColor="accent6"/>
        </w:rPr>
      </w:pPr>
      <w:r w:rsidRPr="00E14EBC">
        <w:rPr>
          <w:color w:val="82009B" w:themeColor="accent6"/>
        </w:rPr>
        <w:t xml:space="preserve">EL-i määrus 2022/2065 ehk digiteenuste määrus </w:t>
      </w:r>
    </w:p>
    <w:p w14:paraId="1CBCE84C" w14:textId="77777777" w:rsidR="001E44AD" w:rsidRPr="00E14EBC" w:rsidRDefault="001E44AD" w:rsidP="001E44AD">
      <w:pPr>
        <w:spacing w:after="0"/>
        <w:jc w:val="both"/>
        <w:rPr>
          <w:rFonts w:ascii="Arial" w:hAnsi="Arial" w:cs="Arial"/>
        </w:rPr>
      </w:pPr>
      <w:r w:rsidRPr="00E14EBC">
        <w:t xml:space="preserve">Määruse eesmärk on ühtlustada digiteenuste osutamise reegleid kogu EL-is, tagades turvalisema ja läbipaistvama veebikeskkonna. </w:t>
      </w:r>
      <w:r w:rsidRPr="00E14EBC">
        <w:rPr>
          <w:rFonts w:ascii="Arial" w:hAnsi="Arial" w:cs="Arial"/>
        </w:rPr>
        <w:t xml:space="preserve">Määruse art.1 lg1 kohaselt on selle eesmärk aidata kaasa vahendusteenuste siseturu nõuetekohasele toimimisele, kehtestades ühtlustatud õigusnormid, et tagada turvaline, prognoositav ja usaldusväärne digikeskkond, mis hõlbustab innovatsiooni ja kus hartas sätestatud põhiõigused, sealhulgas tarbijakaitse põhimõte, on tõhusalt kaitstud. </w:t>
      </w:r>
    </w:p>
    <w:p w14:paraId="16285C3E" w14:textId="77777777" w:rsidR="001E44AD" w:rsidRPr="00E14EBC" w:rsidRDefault="001E44AD" w:rsidP="001E44AD">
      <w:pPr>
        <w:spacing w:after="0"/>
        <w:jc w:val="both"/>
        <w:rPr>
          <w:rFonts w:ascii="Arial" w:hAnsi="Arial" w:cs="Arial"/>
        </w:rPr>
      </w:pPr>
      <w:r w:rsidRPr="00E14EBC">
        <w:rPr>
          <w:rFonts w:ascii="Arial" w:hAnsi="Arial" w:cs="Arial"/>
        </w:rPr>
        <w:t xml:space="preserve">Määruse art.3 p i määratleb digiplatvormid kui vahendusteenuste osutajad, kes ühendavad teenusesaajaid ja teenusepakkujaid, võimaldades kasutajatel suhelda, sisu jagada või kaupu ja teenuseid osta. Selliste digiplatvormide hulka saab lugeda ka lühiajalise üüri teenuse vahendajad, nagu Airbnb, Booking jt. </w:t>
      </w:r>
    </w:p>
    <w:p w14:paraId="25676595" w14:textId="77777777" w:rsidR="001E44AD" w:rsidRPr="00E14EBC" w:rsidRDefault="001E44AD" w:rsidP="001E44AD">
      <w:pPr>
        <w:spacing w:after="0"/>
        <w:jc w:val="both"/>
        <w:rPr>
          <w:rFonts w:ascii="Arial" w:hAnsi="Arial" w:cs="Arial"/>
        </w:rPr>
      </w:pPr>
      <w:r w:rsidRPr="00E14EBC">
        <w:rPr>
          <w:rFonts w:ascii="Arial" w:hAnsi="Arial" w:cs="Arial"/>
        </w:rPr>
        <w:t>Digiteenuste määrusest tulenevad platvormidele mitmed kohustused, nagu näiteks ebaseadusliku sisu eemaldamine, kasutajate teavitamine, läbipaistvus jne.</w:t>
      </w:r>
    </w:p>
    <w:p w14:paraId="0AB0BB4E" w14:textId="77777777" w:rsidR="001E44AD" w:rsidRPr="00E14EBC" w:rsidRDefault="001E44AD" w:rsidP="001E44AD">
      <w:pPr>
        <w:spacing w:after="0"/>
        <w:jc w:val="both"/>
        <w:rPr>
          <w:rFonts w:ascii="Arial" w:hAnsi="Arial" w:cs="Arial"/>
        </w:rPr>
      </w:pPr>
      <w:r w:rsidRPr="00E14EBC">
        <w:rPr>
          <w:rFonts w:ascii="Arial" w:hAnsi="Arial" w:cs="Arial"/>
        </w:rPr>
        <w:t>Tegemist on Eestis vahetult kohaldatava õigusnormiga. Selle rakendamise eest on vastutav TTJA, kes teostab järelevalvet platvormide tegevuse üle.</w:t>
      </w:r>
    </w:p>
    <w:p w14:paraId="390E5F53" w14:textId="77777777" w:rsidR="001E44AD" w:rsidRPr="00E14EBC" w:rsidRDefault="001E44AD" w:rsidP="001E44AD">
      <w:pPr>
        <w:spacing w:after="0"/>
        <w:jc w:val="both"/>
        <w:rPr>
          <w:color w:val="82009B" w:themeColor="accent6"/>
        </w:rPr>
      </w:pPr>
      <w:r w:rsidRPr="00E14EBC">
        <w:rPr>
          <w:color w:val="82009B" w:themeColor="accent6"/>
        </w:rPr>
        <w:lastRenderedPageBreak/>
        <w:t>EL-i määrus 2024/1028, milles käsitletakse lühiajalise majutuse andmete kogumist</w:t>
      </w:r>
      <w:r w:rsidRPr="00E14EBC">
        <w:rPr>
          <w:rStyle w:val="FootnoteReference"/>
          <w:rFonts w:ascii="Arial" w:hAnsi="Arial" w:cs="Arial"/>
        </w:rPr>
        <w:footnoteReference w:id="51"/>
      </w:r>
    </w:p>
    <w:p w14:paraId="776BD1A2" w14:textId="0EFED930" w:rsidR="001E44AD" w:rsidRPr="00E14EBC" w:rsidRDefault="001E44AD" w:rsidP="001E44AD">
      <w:pPr>
        <w:spacing w:after="0"/>
        <w:jc w:val="both"/>
        <w:rPr>
          <w:rFonts w:ascii="Arial" w:hAnsi="Arial" w:cs="Arial"/>
        </w:rPr>
      </w:pPr>
      <w:r w:rsidRPr="00E14EBC">
        <w:rPr>
          <w:rFonts w:ascii="Arial" w:hAnsi="Arial" w:cs="Arial"/>
        </w:rPr>
        <w:t>Määrus käsitleb lühiajalise majutus</w:t>
      </w:r>
      <w:r>
        <w:rPr>
          <w:rFonts w:ascii="Arial" w:hAnsi="Arial" w:cs="Arial"/>
        </w:rPr>
        <w:t>e üüri</w:t>
      </w:r>
      <w:r w:rsidRPr="00E14EBC">
        <w:rPr>
          <w:rFonts w:ascii="Arial" w:hAnsi="Arial" w:cs="Arial"/>
        </w:rPr>
        <w:t>teenus</w:t>
      </w:r>
      <w:r>
        <w:rPr>
          <w:rFonts w:ascii="Arial" w:hAnsi="Arial" w:cs="Arial"/>
        </w:rPr>
        <w:t>t</w:t>
      </w:r>
      <w:r w:rsidRPr="00E14EBC">
        <w:rPr>
          <w:rFonts w:ascii="Arial" w:hAnsi="Arial" w:cs="Arial"/>
        </w:rPr>
        <w:t xml:space="preserve">e andmete kogumist ja jagamist, on osa EL-i laiemast strateegiast turismisektori digitaliseerimise ja järelevalvevõimekuse tugevdamiseks. Määrus jõustus 2024. aastal, kuid selle rakendamine toimub järk-järgult, eeldades liikmesriikidelt mitmeid korralduslikke otsuseid ning tehnilise võimekuse loomist. </w:t>
      </w:r>
      <w:r w:rsidRPr="00E14EBC">
        <w:t>Määruse loomise eesmärk oli adresseerida teatud Euroopa suurlinnade sotsiaal-majanduslikke muresid, kus lühiajalise üürimise populaarsuse kasvule omistatakse taskukohaste pikaajaliste üürikorterite turult välja tõrjumist ja turismist tingitud ülerahvastatust.</w:t>
      </w:r>
      <w:r w:rsidRPr="00E14EBC">
        <w:rPr>
          <w:vertAlign w:val="superscript"/>
        </w:rPr>
        <w:footnoteReference w:id="52"/>
      </w:r>
      <w:r w:rsidRPr="00E14EBC">
        <w:t xml:space="preserve"> Sel eesmärgil sätestab määrus ühtlustatud raamistiku andmete kogumiseks, töötlemiseks ja jagamiseks</w:t>
      </w:r>
      <w:r>
        <w:t xml:space="preserve"> majutaja (</w:t>
      </w:r>
      <w:r w:rsidRPr="00E04E77">
        <w:t xml:space="preserve">füüsiline või juriidiline isik, kes osutab või kavatseb kutsetegevuse raames või väljaspool seda osutada pidevalt või ajutiselt lühiajalise väljaüürimise </w:t>
      </w:r>
      <w:r w:rsidR="5951FD50" w:rsidRPr="00E04E77">
        <w:t xml:space="preserve">teenust </w:t>
      </w:r>
      <w:r w:rsidRPr="00E04E77">
        <w:t>veebiplatvormi kaudu tasu eest</w:t>
      </w:r>
      <w:r>
        <w:t>, art3 p1)</w:t>
      </w:r>
      <w:r w:rsidRPr="00E14EBC">
        <w:t xml:space="preserve">, veebiplatvormide ja ametiasutuste vahel. </w:t>
      </w:r>
      <w:r w:rsidRPr="00F65F81">
        <w:rPr>
          <w:rFonts w:ascii="Arial" w:hAnsi="Arial" w:cs="Arial"/>
          <w:b/>
        </w:rPr>
        <w:t>Määrus ei reguleeri teenuse osutamist sisuliselt, vaid ainult teenuse osutajate registreerimist ja andmete kogumist</w:t>
      </w:r>
      <w:r w:rsidRPr="00E14EBC">
        <w:rPr>
          <w:rFonts w:ascii="Arial" w:hAnsi="Arial" w:cs="Arial"/>
        </w:rPr>
        <w:t>.</w:t>
      </w:r>
    </w:p>
    <w:p w14:paraId="7E5635EC" w14:textId="77777777" w:rsidR="001E44AD" w:rsidRPr="00E14EBC" w:rsidRDefault="001E44AD" w:rsidP="001E44AD">
      <w:pPr>
        <w:spacing w:after="0"/>
        <w:jc w:val="both"/>
        <w:rPr>
          <w:rFonts w:ascii="Arial" w:hAnsi="Arial" w:cs="Arial"/>
        </w:rPr>
      </w:pPr>
      <w:r w:rsidRPr="00E14EBC">
        <w:rPr>
          <w:rFonts w:ascii="Arial" w:hAnsi="Arial" w:cs="Arial"/>
        </w:rPr>
        <w:t>Määruse kohaldamisala on määratletud artiklis 2 ning see hõlmab:</w:t>
      </w:r>
    </w:p>
    <w:p w14:paraId="4C5FAB86" w14:textId="77777777" w:rsidR="001E44AD" w:rsidRPr="00E14EBC" w:rsidRDefault="001E44AD" w:rsidP="001E44AD">
      <w:pPr>
        <w:numPr>
          <w:ilvl w:val="0"/>
          <w:numId w:val="34"/>
        </w:numPr>
        <w:spacing w:after="0"/>
        <w:jc w:val="both"/>
        <w:rPr>
          <w:rFonts w:ascii="Arial" w:hAnsi="Arial" w:cs="Arial"/>
        </w:rPr>
      </w:pPr>
      <w:r w:rsidRPr="00E14EBC">
        <w:rPr>
          <w:rFonts w:ascii="Arial" w:hAnsi="Arial" w:cs="Arial"/>
          <w:b/>
          <w:bCs/>
        </w:rPr>
        <w:t>Veebiplatvormide pakkujaid</w:t>
      </w:r>
      <w:r w:rsidRPr="00E14EBC">
        <w:rPr>
          <w:rFonts w:ascii="Arial" w:hAnsi="Arial" w:cs="Arial"/>
        </w:rPr>
        <w:t>, kes võimaldavad külalistel sõlmida kauglepinguid lühiajalise majutusteenuse osutajatega, olenemata platvormi asukohariigist.</w:t>
      </w:r>
    </w:p>
    <w:p w14:paraId="0D441936" w14:textId="2DE8E6E6" w:rsidR="001E44AD" w:rsidRPr="00E14EBC" w:rsidRDefault="001E44AD" w:rsidP="001E44AD">
      <w:pPr>
        <w:numPr>
          <w:ilvl w:val="0"/>
          <w:numId w:val="34"/>
        </w:numPr>
        <w:spacing w:after="0"/>
        <w:jc w:val="both"/>
        <w:rPr>
          <w:rFonts w:ascii="Arial" w:hAnsi="Arial" w:cs="Arial"/>
        </w:rPr>
      </w:pPr>
      <w:r w:rsidRPr="1688D34F">
        <w:rPr>
          <w:rFonts w:ascii="Arial" w:hAnsi="Arial" w:cs="Arial"/>
          <w:b/>
          <w:bCs/>
        </w:rPr>
        <w:t>Majutajaid</w:t>
      </w:r>
      <w:r w:rsidRPr="1688D34F">
        <w:rPr>
          <w:rFonts w:ascii="Arial" w:hAnsi="Arial" w:cs="Arial"/>
        </w:rPr>
        <w:t>, kes pakuvad tasulist lühiajalise majutuse üüriteenust.</w:t>
      </w:r>
    </w:p>
    <w:p w14:paraId="0887E4D1" w14:textId="144A7999" w:rsidR="001E44AD" w:rsidRPr="00E14EBC" w:rsidRDefault="001E44AD" w:rsidP="001E44AD">
      <w:pPr>
        <w:tabs>
          <w:tab w:val="num" w:pos="720"/>
        </w:tabs>
        <w:spacing w:after="0"/>
        <w:jc w:val="both"/>
        <w:rPr>
          <w:rFonts w:ascii="Arial" w:hAnsi="Arial" w:cs="Arial"/>
        </w:rPr>
      </w:pPr>
      <w:r w:rsidRPr="288A3578">
        <w:rPr>
          <w:rFonts w:ascii="Arial" w:hAnsi="Arial" w:cs="Arial"/>
        </w:rPr>
        <w:t xml:space="preserve">Määrus annab sisuliselt igale liikmesriigile võimaluse ise otsustada, kas nad kehtestavad sellise </w:t>
      </w:r>
      <w:r w:rsidRPr="288A3578">
        <w:rPr>
          <w:rFonts w:ascii="Arial" w:hAnsi="Arial" w:cs="Arial"/>
          <w:b/>
          <w:bCs/>
        </w:rPr>
        <w:t xml:space="preserve">kohustusliku </w:t>
      </w:r>
      <w:r>
        <w:rPr>
          <w:rFonts w:ascii="Arial" w:hAnsi="Arial" w:cs="Arial"/>
          <w:b/>
          <w:bCs/>
        </w:rPr>
        <w:t xml:space="preserve">lühiajalise </w:t>
      </w:r>
      <w:r w:rsidRPr="288A3578">
        <w:rPr>
          <w:rFonts w:ascii="Arial" w:hAnsi="Arial" w:cs="Arial"/>
          <w:b/>
          <w:bCs/>
        </w:rPr>
        <w:t>majutus</w:t>
      </w:r>
      <w:r>
        <w:rPr>
          <w:rFonts w:ascii="Arial" w:hAnsi="Arial" w:cs="Arial"/>
          <w:b/>
          <w:bCs/>
        </w:rPr>
        <w:t>e üüri</w:t>
      </w:r>
      <w:r w:rsidRPr="288A3578">
        <w:rPr>
          <w:rFonts w:ascii="Arial" w:hAnsi="Arial" w:cs="Arial"/>
          <w:b/>
          <w:bCs/>
        </w:rPr>
        <w:t xml:space="preserve">teenuse pakkujate </w:t>
      </w:r>
      <w:r w:rsidRPr="00514229">
        <w:rPr>
          <w:rFonts w:ascii="Arial" w:hAnsi="Arial" w:cs="Arial"/>
        </w:rPr>
        <w:t>registreerimissüsteemi</w:t>
      </w:r>
      <w:r w:rsidR="00836DC8" w:rsidRPr="00514229">
        <w:rPr>
          <w:rFonts w:ascii="Arial" w:hAnsi="Arial" w:cs="Arial"/>
        </w:rPr>
        <w:t xml:space="preserve"> ning</w:t>
      </w:r>
      <w:r w:rsidR="00A769D7" w:rsidRPr="00514229">
        <w:rPr>
          <w:rFonts w:ascii="Arial" w:hAnsi="Arial" w:cs="Arial"/>
        </w:rPr>
        <w:t xml:space="preserve"> </w:t>
      </w:r>
      <w:r w:rsidR="00595BC9">
        <w:rPr>
          <w:rFonts w:ascii="Arial" w:hAnsi="Arial" w:cs="Arial"/>
        </w:rPr>
        <w:t xml:space="preserve">kas </w:t>
      </w:r>
      <w:r w:rsidR="00084A5F">
        <w:rPr>
          <w:rFonts w:ascii="Arial" w:hAnsi="Arial" w:cs="Arial"/>
        </w:rPr>
        <w:t xml:space="preserve">seda peetakse vajalikuks </w:t>
      </w:r>
      <w:r w:rsidR="00595BC9">
        <w:rPr>
          <w:rFonts w:ascii="Arial" w:hAnsi="Arial" w:cs="Arial"/>
        </w:rPr>
        <w:t xml:space="preserve">riiklikul või kohalikul </w:t>
      </w:r>
      <w:r w:rsidR="00A769D7" w:rsidRPr="00514229">
        <w:rPr>
          <w:rFonts w:ascii="Arial" w:hAnsi="Arial" w:cs="Arial"/>
        </w:rPr>
        <w:t>tas</w:t>
      </w:r>
      <w:r w:rsidR="00595BC9">
        <w:rPr>
          <w:rFonts w:ascii="Arial" w:hAnsi="Arial" w:cs="Arial"/>
        </w:rPr>
        <w:t>andil</w:t>
      </w:r>
      <w:r w:rsidRPr="288A3578">
        <w:rPr>
          <w:rFonts w:ascii="Arial" w:hAnsi="Arial" w:cs="Arial"/>
        </w:rPr>
        <w:t>. Kui riik otsustab sellise menetluse kehtestada, tuleb tal järgida määruses sätestatud tingimusi. Näiteks tuleb majutusteenuse osutajal esitada enda kohta andmed, sh iga majutuskoha kohta, talle tuleb väljastada registreerimisnumber, riik peab looma selleks sobiva elektroonilise registreerimissüsteemi jne.</w:t>
      </w:r>
    </w:p>
    <w:p w14:paraId="6061E23E" w14:textId="77777777" w:rsidR="001E44AD" w:rsidRPr="00E14EBC" w:rsidRDefault="001E44AD" w:rsidP="001E44AD">
      <w:pPr>
        <w:tabs>
          <w:tab w:val="num" w:pos="720"/>
        </w:tabs>
        <w:spacing w:after="0"/>
        <w:jc w:val="both"/>
        <w:rPr>
          <w:rFonts w:ascii="Arial" w:hAnsi="Arial" w:cs="Arial"/>
        </w:rPr>
      </w:pPr>
      <w:r w:rsidRPr="00E14EBC">
        <w:rPr>
          <w:rFonts w:ascii="Arial" w:hAnsi="Arial" w:cs="Arial"/>
        </w:rPr>
        <w:t>Kui liikmesriik kehtestab vastava süsteemi, muutub registreerimine kohustuslikuks ja selle täitmist hakkavad tagama nii platvormid kui ka järelevalveasutused.</w:t>
      </w:r>
    </w:p>
    <w:p w14:paraId="263146D5" w14:textId="77777777" w:rsidR="001E44AD" w:rsidRDefault="001E44AD" w:rsidP="001E44AD">
      <w:pPr>
        <w:spacing w:after="0"/>
        <w:jc w:val="both"/>
        <w:rPr>
          <w:rFonts w:ascii="Arial" w:hAnsi="Arial" w:cs="Arial"/>
        </w:rPr>
      </w:pPr>
      <w:r w:rsidRPr="00E14EBC">
        <w:rPr>
          <w:rFonts w:ascii="Arial" w:hAnsi="Arial" w:cs="Arial"/>
        </w:rPr>
        <w:t>Määrus jõustus 19.05.2024 ja seda kohaldatakse alates 20.05.2026. Eestis ei ole praegu majutusteenuse pakkujate registreerimiskohustust, kuid määruse rakendamise valguses tuleb teha vastav otsus, kas ja millisel kujul selline süsteem luua. Sellise otsuse tegemisel tuleb arvestada nii süsteemi loomise kui ka järelevalve täitmisega. Teisalt võib kohustus aidata kaasa majutusturu arengule ja läbipaistvuse suurendamisele.</w:t>
      </w:r>
    </w:p>
    <w:p w14:paraId="4B7718D8" w14:textId="5DD75755" w:rsidR="001E44AD" w:rsidRPr="00E14EBC" w:rsidRDefault="001E44AD" w:rsidP="001E44AD">
      <w:pPr>
        <w:spacing w:after="0"/>
        <w:jc w:val="both"/>
        <w:rPr>
          <w:rFonts w:ascii="Arial" w:hAnsi="Arial" w:cs="Arial"/>
        </w:rPr>
      </w:pPr>
      <w:r w:rsidRPr="288A3578">
        <w:rPr>
          <w:rFonts w:ascii="Arial" w:hAnsi="Arial" w:cs="Arial"/>
        </w:rPr>
        <w:t xml:space="preserve">Lisaks märgime, et määruse terminoloogias kasutatakse mõistet „lühiajalise majutuse üüriteenus“. Nagu eelnevalt kirjeldatud, siis Eesti õigusraamistikus on üürimine ja teenuse osutamine erinevad võlaõiguslikud suhted. Eluruumi üürimise eesmärgiks on vara kasutusse andmine (pikaajaliseks) elamiseks. Majutuse eesmärgiks on teenuse osutamine, mille käigus teenuse saajal on küll õigus </w:t>
      </w:r>
      <w:r w:rsidRPr="288A3578">
        <w:rPr>
          <w:rFonts w:ascii="Arial" w:hAnsi="Arial" w:cs="Arial"/>
        </w:rPr>
        <w:lastRenderedPageBreak/>
        <w:t xml:space="preserve">kasutada majutusruumi, kuid tema õigused on oluliselt kitsamad kui üürnikul. Seega on sisu alusel korrektne määrust rakendada majutusteenusele ning määruse terminit mõista kui „lühiajalist majutus(teenust)“. </w:t>
      </w:r>
    </w:p>
    <w:p w14:paraId="3300EA8A" w14:textId="77777777" w:rsidR="001E44AD" w:rsidRPr="00E14EBC" w:rsidRDefault="001E44AD" w:rsidP="001E44AD">
      <w:pPr>
        <w:spacing w:after="0"/>
        <w:jc w:val="both"/>
        <w:rPr>
          <w:rStyle w:val="PurpleText"/>
        </w:rPr>
      </w:pPr>
      <w:r w:rsidRPr="00E14EBC">
        <w:rPr>
          <w:rStyle w:val="PurpleText"/>
        </w:rPr>
        <w:t>Määrus (EL) 2018/1724 Euroopa digitaalse identiteedi kohta</w:t>
      </w:r>
    </w:p>
    <w:p w14:paraId="45328254" w14:textId="77777777" w:rsidR="001E44AD" w:rsidRPr="00E14EBC" w:rsidRDefault="001E44AD" w:rsidP="001E44AD">
      <w:pPr>
        <w:spacing w:after="0"/>
        <w:jc w:val="both"/>
        <w:rPr>
          <w:rFonts w:ascii="Arial" w:hAnsi="Arial" w:cs="Arial"/>
        </w:rPr>
      </w:pPr>
      <w:r w:rsidRPr="5848DE21">
        <w:rPr>
          <w:rFonts w:ascii="Arial" w:hAnsi="Arial" w:cs="Arial"/>
        </w:rPr>
        <w:t>Määruse eesmärk on luua usaldusväärne ja turvaline Euroopa digitaalse identiteedi raamistik, mis võimaldab kodanikel ja ettevõtetel tõendada oma identiteeti veebis. Määrus sätestab liikmesriikidele kohustuse tagada digitaalse identiteedi lahenduste kättesaadavus ning teenuseosutajad peavad saama integreerida digitaalse identiteedi lahendusi oma platvormidele. Määrus on liikmesriikides otsekohalduv.</w:t>
      </w:r>
    </w:p>
    <w:p w14:paraId="3DBEB452" w14:textId="77777777" w:rsidR="001E44AD" w:rsidRDefault="001E44AD" w:rsidP="001E44AD">
      <w:pPr>
        <w:jc w:val="both"/>
        <w:rPr>
          <w:rFonts w:ascii="Arial" w:hAnsi="Arial" w:cs="Arial"/>
        </w:rPr>
      </w:pPr>
      <w:r w:rsidRPr="1688D34F">
        <w:rPr>
          <w:rFonts w:ascii="Arial" w:hAnsi="Arial" w:cs="Arial"/>
        </w:rPr>
        <w:t xml:space="preserve">Kuigi määrus (EL) 2018/1724 ei sätesta otseselt lühiajalise üüri või majutusteenuseid, siis see </w:t>
      </w:r>
      <w:r w:rsidRPr="1688D34F">
        <w:rPr>
          <w:rFonts w:ascii="Arial" w:hAnsi="Arial" w:cs="Arial"/>
          <w:b/>
          <w:bCs/>
        </w:rPr>
        <w:t>toetab tehniliselt ja juriidiliselt määruse (EL) 2024/1028 rakendamist</w:t>
      </w:r>
      <w:r w:rsidRPr="1688D34F">
        <w:rPr>
          <w:rFonts w:ascii="Arial" w:hAnsi="Arial" w:cs="Arial"/>
        </w:rPr>
        <w:t>, pakkudes vajaliku digitaalse infrastruktuuri, piiriüleste toimingute ja e-teenuste</w:t>
      </w:r>
      <w:r w:rsidRPr="1688D34F">
        <w:rPr>
          <w:rFonts w:ascii="Arial" w:hAnsi="Arial" w:cs="Arial"/>
          <w:b/>
          <w:bCs/>
        </w:rPr>
        <w:t xml:space="preserve"> </w:t>
      </w:r>
      <w:r w:rsidRPr="1688D34F">
        <w:rPr>
          <w:rFonts w:ascii="Arial" w:hAnsi="Arial" w:cs="Arial"/>
        </w:rPr>
        <w:t>ligipääsu raamistiku.</w:t>
      </w:r>
    </w:p>
    <w:p w14:paraId="58188587" w14:textId="61DEC4C7" w:rsidR="001E44AD" w:rsidRDefault="001E44AD" w:rsidP="001E44AD">
      <w:pPr>
        <w:spacing w:after="0"/>
        <w:jc w:val="both"/>
        <w:rPr>
          <w:b/>
          <w:bCs/>
          <w:color w:val="82009B" w:themeColor="accent6"/>
        </w:rPr>
      </w:pPr>
      <w:r w:rsidRPr="00E14EBC">
        <w:rPr>
          <w:rStyle w:val="PurpleText"/>
        </w:rPr>
        <w:t xml:space="preserve">Määrus (EL) </w:t>
      </w:r>
      <w:r>
        <w:rPr>
          <w:rStyle w:val="PurpleText"/>
        </w:rPr>
        <w:t>692</w:t>
      </w:r>
      <w:r w:rsidRPr="00E14EBC">
        <w:rPr>
          <w:rStyle w:val="PurpleText"/>
        </w:rPr>
        <w:t>/2</w:t>
      </w:r>
      <w:r>
        <w:rPr>
          <w:rStyle w:val="PurpleText"/>
        </w:rPr>
        <w:t>011, mis käsitleb</w:t>
      </w:r>
      <w:r w:rsidRPr="00E14EBC">
        <w:rPr>
          <w:rStyle w:val="PurpleText"/>
        </w:rPr>
        <w:t xml:space="preserve"> </w:t>
      </w:r>
      <w:r w:rsidRPr="00837F84">
        <w:rPr>
          <w:color w:val="82009B" w:themeColor="accent6"/>
        </w:rPr>
        <w:t>Euroopa turismistatistikat</w:t>
      </w:r>
      <w:r w:rsidRPr="00111919">
        <w:rPr>
          <w:rFonts w:hint="eastAsia"/>
          <w:b/>
          <w:bCs/>
          <w:color w:val="82009B" w:themeColor="accent6"/>
        </w:rPr>
        <w:t> </w:t>
      </w:r>
    </w:p>
    <w:p w14:paraId="3FC780C8" w14:textId="3A2FE4EE" w:rsidR="001E44AD" w:rsidRPr="00E017E4" w:rsidRDefault="001E44AD" w:rsidP="00953696">
      <w:pPr>
        <w:jc w:val="both"/>
      </w:pPr>
      <w:r w:rsidRPr="009F3D0D">
        <w:t>M</w:t>
      </w:r>
      <w:r w:rsidRPr="009F3D0D">
        <w:rPr>
          <w:rFonts w:hint="eastAsia"/>
        </w:rPr>
        <w:t>ää</w:t>
      </w:r>
      <w:r w:rsidRPr="009F3D0D">
        <w:t xml:space="preserve">rusega luuakse </w:t>
      </w:r>
      <w:r w:rsidRPr="009F3D0D">
        <w:rPr>
          <w:rFonts w:hint="eastAsia"/>
        </w:rPr>
        <w:t>ü</w:t>
      </w:r>
      <w:r w:rsidRPr="009F3D0D">
        <w:t xml:space="preserve">hine raamistik Euroopa turismistatistika süstemaatiliseks arendamiseks, koostamiseks ja levitamiseks. Eesmärgi täitmiseks koguvad, koostavad, töötlevad ja edastavad liikmesriigid </w:t>
      </w:r>
      <w:r w:rsidRPr="009F3D0D">
        <w:rPr>
          <w:rFonts w:hint="eastAsia"/>
        </w:rPr>
        <w:t>ü</w:t>
      </w:r>
      <w:r w:rsidRPr="009F3D0D">
        <w:t>htlustatud statistilisi andmeid turismiteenuste pakkumise ja nõudluse kohta.</w:t>
      </w:r>
    </w:p>
    <w:p w14:paraId="31F7E412" w14:textId="482BE285" w:rsidR="001E44AD" w:rsidRPr="004E7091" w:rsidRDefault="001E44AD" w:rsidP="001E44AD">
      <w:pPr>
        <w:jc w:val="both"/>
        <w:rPr>
          <w:rStyle w:val="PurpleText"/>
        </w:rPr>
      </w:pPr>
      <w:r w:rsidRPr="1688D34F">
        <w:rPr>
          <w:rStyle w:val="PurpleText"/>
        </w:rPr>
        <w:t>Kohtulahendite ülevaade</w:t>
      </w:r>
    </w:p>
    <w:p w14:paraId="14EA6FAE" w14:textId="77777777" w:rsidR="001E44AD" w:rsidRDefault="001E44AD" w:rsidP="001E44AD">
      <w:pPr>
        <w:spacing w:after="0"/>
        <w:jc w:val="both"/>
        <w:rPr>
          <w:rFonts w:ascii="Arial" w:hAnsi="Arial" w:cs="Arial"/>
        </w:rPr>
      </w:pPr>
      <w:r w:rsidRPr="00E14EBC">
        <w:rPr>
          <w:rFonts w:ascii="Arial" w:hAnsi="Arial" w:cs="Arial"/>
        </w:rPr>
        <w:t xml:space="preserve">Eestis ei ole tehtud selliseid kohtulahendeid, mis puudutavad lühiajalise üüri teenuse mõiste sisustamist või käsitleksid </w:t>
      </w:r>
      <w:r>
        <w:rPr>
          <w:rFonts w:ascii="Arial" w:hAnsi="Arial" w:cs="Arial"/>
        </w:rPr>
        <w:t>otseselt</w:t>
      </w:r>
      <w:r w:rsidRPr="00E14EBC">
        <w:rPr>
          <w:rFonts w:ascii="Arial" w:hAnsi="Arial" w:cs="Arial"/>
        </w:rPr>
        <w:t xml:space="preserve"> lühiajalise üüri teenuse osutamis</w:t>
      </w:r>
      <w:r>
        <w:rPr>
          <w:rFonts w:ascii="Arial" w:hAnsi="Arial" w:cs="Arial"/>
        </w:rPr>
        <w:t>t</w:t>
      </w:r>
      <w:r w:rsidRPr="00E14EBC">
        <w:rPr>
          <w:rFonts w:ascii="Arial" w:hAnsi="Arial" w:cs="Arial"/>
        </w:rPr>
        <w:t>.</w:t>
      </w:r>
      <w:r>
        <w:rPr>
          <w:rFonts w:ascii="Arial" w:hAnsi="Arial" w:cs="Arial"/>
        </w:rPr>
        <w:t xml:space="preserve"> </w:t>
      </w:r>
    </w:p>
    <w:p w14:paraId="00CB12A6" w14:textId="0751393F" w:rsidR="001E44AD" w:rsidRDefault="00060393" w:rsidP="007F5D00">
      <w:pPr>
        <w:spacing w:after="0"/>
        <w:jc w:val="both"/>
        <w:rPr>
          <w:rFonts w:ascii="Arial" w:hAnsi="Arial" w:cs="Arial"/>
        </w:rPr>
      </w:pPr>
      <w:r>
        <w:rPr>
          <w:rFonts w:ascii="Arial" w:hAnsi="Arial" w:cs="Arial"/>
        </w:rPr>
        <w:t xml:space="preserve">Kaudselt puudutab lühiajalist </w:t>
      </w:r>
      <w:r w:rsidR="00CC0936">
        <w:rPr>
          <w:rFonts w:ascii="Arial" w:hAnsi="Arial" w:cs="Arial"/>
        </w:rPr>
        <w:t>üürimist lahend h</w:t>
      </w:r>
      <w:r w:rsidR="001E44AD">
        <w:rPr>
          <w:rFonts w:ascii="Arial" w:hAnsi="Arial" w:cs="Arial"/>
        </w:rPr>
        <w:t xml:space="preserve">aldusasjas </w:t>
      </w:r>
      <w:r w:rsidR="001E44AD" w:rsidRPr="005B1264">
        <w:rPr>
          <w:rFonts w:ascii="Arial" w:hAnsi="Arial" w:cs="Arial"/>
        </w:rPr>
        <w:t>3-3-1-47-15</w:t>
      </w:r>
      <w:r w:rsidR="001E44AD">
        <w:rPr>
          <w:rFonts w:ascii="Arial" w:hAnsi="Arial" w:cs="Arial"/>
        </w:rPr>
        <w:t>, mis käsitlessisendkäibemaks</w:t>
      </w:r>
      <w:r w:rsidR="00625CA4">
        <w:rPr>
          <w:rFonts w:ascii="Arial" w:hAnsi="Arial" w:cs="Arial"/>
        </w:rPr>
        <w:t>u</w:t>
      </w:r>
      <w:r w:rsidR="001E44AD">
        <w:rPr>
          <w:rFonts w:ascii="Arial" w:hAnsi="Arial" w:cs="Arial"/>
        </w:rPr>
        <w:t xml:space="preserve"> arvestamise õiguspärasust</w:t>
      </w:r>
      <w:r w:rsidR="00CC0936">
        <w:rPr>
          <w:rFonts w:ascii="Arial" w:hAnsi="Arial" w:cs="Arial"/>
        </w:rPr>
        <w:t>, kuid milles</w:t>
      </w:r>
      <w:r w:rsidR="001E44AD">
        <w:rPr>
          <w:rFonts w:ascii="Arial" w:hAnsi="Arial" w:cs="Arial"/>
        </w:rPr>
        <w:t xml:space="preserve"> on Riigikohus avaldanud arvamust, et ehitusõiguse normid ei keela </w:t>
      </w:r>
      <w:r w:rsidR="001E44AD" w:rsidRPr="005B1264">
        <w:rPr>
          <w:rFonts w:ascii="Arial" w:hAnsi="Arial" w:cs="Arial"/>
        </w:rPr>
        <w:t>elamu või selles paikneva korteri kasutamist ajutiseks elamiseks.</w:t>
      </w:r>
      <w:r w:rsidR="001E44AD">
        <w:rPr>
          <w:rFonts w:ascii="Arial" w:hAnsi="Arial" w:cs="Arial"/>
        </w:rPr>
        <w:t xml:space="preserve"> S</w:t>
      </w:r>
      <w:r w:rsidR="001E44AD" w:rsidRPr="005B1264">
        <w:rPr>
          <w:rFonts w:ascii="Arial" w:hAnsi="Arial" w:cs="Arial"/>
        </w:rPr>
        <w:t>amuti võib elamus asuv korter olla kasutatav näiteks ka majutusteenuse osutamiseks, s.t majandustegevuses.</w:t>
      </w:r>
      <w:r w:rsidR="001E44AD">
        <w:rPr>
          <w:rStyle w:val="FootnoteReference"/>
          <w:rFonts w:ascii="Arial" w:hAnsi="Arial" w:cs="Arial"/>
        </w:rPr>
        <w:footnoteReference w:id="53"/>
      </w:r>
      <w:r w:rsidR="001E44AD">
        <w:rPr>
          <w:rFonts w:ascii="Arial" w:hAnsi="Arial" w:cs="Arial"/>
        </w:rPr>
        <w:t xml:space="preserve"> </w:t>
      </w:r>
      <w:r w:rsidR="00CC0936">
        <w:rPr>
          <w:rFonts w:ascii="Arial" w:hAnsi="Arial" w:cs="Arial"/>
        </w:rPr>
        <w:t xml:space="preserve">Siinkohal </w:t>
      </w:r>
      <w:r w:rsidR="007F5D00">
        <w:rPr>
          <w:rFonts w:ascii="Arial" w:hAnsi="Arial" w:cs="Arial"/>
        </w:rPr>
        <w:t>on oluline märkida, et v</w:t>
      </w:r>
      <w:r w:rsidR="00CC0936">
        <w:rPr>
          <w:rFonts w:ascii="Arial" w:hAnsi="Arial" w:cs="Arial"/>
        </w:rPr>
        <w:t xml:space="preserve">aatamata laialt levinud kombele tsiteerida erinevaid kohtulahendeid, </w:t>
      </w:r>
      <w:r w:rsidR="007F5D00">
        <w:rPr>
          <w:rFonts w:ascii="Arial" w:hAnsi="Arial" w:cs="Arial"/>
        </w:rPr>
        <w:t>ei ole</w:t>
      </w:r>
      <w:r w:rsidR="00CC0936">
        <w:rPr>
          <w:rFonts w:ascii="Arial" w:hAnsi="Arial" w:cs="Arial"/>
        </w:rPr>
        <w:t xml:space="preserve"> Eesti Vabariigi õiguses seaduslikku alust kaasusõiguse (pretsedendiõiguse) rakendamiseks. S</w:t>
      </w:r>
      <w:r w:rsidR="05974692">
        <w:rPr>
          <w:rFonts w:ascii="Arial" w:hAnsi="Arial" w:cs="Arial"/>
        </w:rPr>
        <w:t>.</w:t>
      </w:r>
      <w:r w:rsidR="00CC0936">
        <w:rPr>
          <w:rFonts w:ascii="Arial" w:hAnsi="Arial" w:cs="Arial"/>
        </w:rPr>
        <w:t>t, et kohtulahend ei sea kohustusi isikutele, kes ei ole selle kohtumenetluse pooleks.</w:t>
      </w:r>
    </w:p>
    <w:p w14:paraId="099712C5" w14:textId="145424F5" w:rsidR="001E44AD" w:rsidRPr="00E14EBC" w:rsidRDefault="001E44AD" w:rsidP="001E44AD">
      <w:pPr>
        <w:spacing w:after="0"/>
        <w:jc w:val="both"/>
        <w:rPr>
          <w:rFonts w:ascii="Arial" w:hAnsi="Arial" w:cs="Arial"/>
        </w:rPr>
      </w:pPr>
      <w:r w:rsidRPr="00E14EBC">
        <w:rPr>
          <w:rFonts w:ascii="Arial" w:hAnsi="Arial" w:cs="Arial"/>
        </w:rPr>
        <w:t xml:space="preserve">Euroopa Kohtu praktikast on asjakohane välja tuua </w:t>
      </w:r>
      <w:r w:rsidRPr="00FE782E">
        <w:rPr>
          <w:rFonts w:ascii="Arial" w:hAnsi="Arial" w:cs="Arial"/>
          <w:b/>
          <w:bCs/>
        </w:rPr>
        <w:t>kaks kaasust</w:t>
      </w:r>
      <w:r w:rsidRPr="00E14EBC">
        <w:rPr>
          <w:rFonts w:ascii="Arial" w:hAnsi="Arial" w:cs="Arial"/>
        </w:rPr>
        <w:t>.</w:t>
      </w:r>
    </w:p>
    <w:p w14:paraId="03B7C658" w14:textId="77777777" w:rsidR="001E44AD" w:rsidRPr="00E14EBC" w:rsidRDefault="001E44AD" w:rsidP="001E44AD">
      <w:pPr>
        <w:spacing w:after="0"/>
        <w:jc w:val="both"/>
        <w:rPr>
          <w:rFonts w:ascii="Arial" w:hAnsi="Arial" w:cs="Arial"/>
        </w:rPr>
      </w:pPr>
      <w:r w:rsidRPr="00E14EBC">
        <w:rPr>
          <w:rFonts w:ascii="Arial" w:hAnsi="Arial" w:cs="Arial"/>
        </w:rPr>
        <w:t>Euroopa Kohtu kohtuasi C-346/95 puudutab käibemaksuga maksustamist kinnisvara üürile andmisel (erandid majutusel hotellisektoris või sarnase funktsiooniga sektorites). Lahendi kohaselt: „27. Eeltoodut arvestades tuleb eelotsusetaotluse esitanud kohtule vastata, et kuuenda direktiivi artikli 13 B osa punkti b alapunkti 1 võib tõlgendada nii, et külalistele lühiajalise majutuse pakkumine on maksustatav, kuna tegemist on majutuse pakkumisega sektorites, mille funktsioon on sarnane hotellisektori funktsiooniga. Sellega seoses ei välista artikli 13 B osa punkti b alapunkt 1 vähem kui kuue kuu pikkuseks sõlmitud lepingute maksustamist, kui see kestus kajastab poolte tahet.“ Teisisõnu tuleb lühiajalist üürimist käsitleda lisaks vara kasutusse andmisena ka teenusena</w:t>
      </w:r>
      <w:r>
        <w:rPr>
          <w:rFonts w:ascii="Arial" w:hAnsi="Arial" w:cs="Arial"/>
        </w:rPr>
        <w:t>, mis vastab ka Eesti kontekstile.</w:t>
      </w:r>
    </w:p>
    <w:p w14:paraId="3C40D47B" w14:textId="77777777" w:rsidR="001E44AD" w:rsidRDefault="001E44AD" w:rsidP="001E44AD">
      <w:pPr>
        <w:spacing w:after="0"/>
        <w:jc w:val="both"/>
        <w:rPr>
          <w:rFonts w:ascii="Arial" w:hAnsi="Arial" w:cs="Arial"/>
        </w:rPr>
      </w:pPr>
      <w:r w:rsidRPr="00E14EBC">
        <w:rPr>
          <w:rFonts w:ascii="Arial" w:hAnsi="Arial" w:cs="Arial"/>
        </w:rPr>
        <w:lastRenderedPageBreak/>
        <w:t>Euroopa Kohtu liidetud kohtuasjad C</w:t>
      </w:r>
      <w:r w:rsidRPr="00E14EBC">
        <w:rPr>
          <w:rFonts w:ascii="Cambria Math" w:hAnsi="Cambria Math" w:cs="Cambria Math"/>
        </w:rPr>
        <w:t>‑</w:t>
      </w:r>
      <w:r w:rsidRPr="00E14EBC">
        <w:rPr>
          <w:rFonts w:ascii="Arial" w:hAnsi="Arial" w:cs="Arial"/>
        </w:rPr>
        <w:t>724/18 ja C</w:t>
      </w:r>
      <w:r w:rsidRPr="00E14EBC">
        <w:rPr>
          <w:rFonts w:ascii="Cambria Math" w:hAnsi="Cambria Math" w:cs="Cambria Math"/>
        </w:rPr>
        <w:t>‑</w:t>
      </w:r>
      <w:r w:rsidRPr="00E14EBC">
        <w:rPr>
          <w:rFonts w:ascii="Arial" w:hAnsi="Arial" w:cs="Arial"/>
        </w:rPr>
        <w:t>727/18 käsitlevad möbleeritud eluruumi korduvat ja lühiajalist üürile andmist ajutistele kasutajatele, kellele see ei muutu elukohaks. Selle kaasuse lahendi põhjal tuleb Euroopa Parlamendi ja nõukogu 12. detsembri 2006. aasta direktiivi 2006/123/EÜ teenuste kohta siseturul artikleid 1 ja 2 tõlgendada nii, et seda direktiivi kohaldatakse liikmesriigi õigusnormidele, mis käsitlevad tegevust, mis seisneb möbleeritud eluruumide tasu eest korduvas ja lühiajalises üürile andmises – olgu ettevõtluse raames või väljaspool seda – ajutistele kasutajatele, kellele see ei muutu elukohaks. Ehk siis direktiivi ülevõtvad õigusnormid rakendatakse lühiajalisele üürile andmisele ka siis, kui see toimub väljaspool ettevõtlust (majandustegevust).</w:t>
      </w:r>
    </w:p>
    <w:p w14:paraId="665EEB50" w14:textId="0E7F07F8" w:rsidR="00FC07C0" w:rsidRDefault="00E177D7" w:rsidP="00A75C38">
      <w:pPr>
        <w:pStyle w:val="Heading2"/>
        <w:rPr>
          <w:rFonts w:hint="eastAsia"/>
        </w:rPr>
      </w:pPr>
      <w:bookmarkStart w:id="81" w:name="_Toc208955500"/>
      <w:bookmarkStart w:id="82" w:name="_Toc208955501"/>
      <w:bookmarkStart w:id="83" w:name="_Toc197718063"/>
      <w:bookmarkStart w:id="84" w:name="_Toc208991594"/>
      <w:bookmarkEnd w:id="66"/>
      <w:bookmarkEnd w:id="67"/>
      <w:bookmarkEnd w:id="81"/>
      <w:bookmarkEnd w:id="82"/>
      <w:r>
        <w:t xml:space="preserve">Eesti turuosaliste arvamused </w:t>
      </w:r>
      <w:r w:rsidR="003E7FFA">
        <w:t>lühiajalise üüri turu</w:t>
      </w:r>
      <w:r w:rsidR="00FC07C0" w:rsidRPr="00E14EBC">
        <w:t xml:space="preserve"> toimimise kohta</w:t>
      </w:r>
      <w:bookmarkEnd w:id="83"/>
      <w:bookmarkEnd w:id="84"/>
    </w:p>
    <w:p w14:paraId="2AB4D34B" w14:textId="41A43880" w:rsidR="007F43CB" w:rsidRDefault="39460F0C" w:rsidP="005871B2">
      <w:pPr>
        <w:pStyle w:val="MintBlock"/>
      </w:pPr>
      <w:r>
        <w:t xml:space="preserve">Eesti turuosalised avaldasid intervjuudes üldiselt läbivalt seisukohta, et lühiajalise üüri teenuste näol on </w:t>
      </w:r>
      <w:r w:rsidRPr="288A3578">
        <w:rPr>
          <w:b/>
          <w:bCs/>
        </w:rPr>
        <w:t>tegu majutus</w:t>
      </w:r>
      <w:r w:rsidR="00DE70CD">
        <w:rPr>
          <w:b/>
          <w:bCs/>
        </w:rPr>
        <w:t>teenus</w:t>
      </w:r>
      <w:r w:rsidRPr="288A3578">
        <w:rPr>
          <w:b/>
          <w:bCs/>
        </w:rPr>
        <w:t>e</w:t>
      </w:r>
      <w:r w:rsidR="00397F42">
        <w:rPr>
          <w:b/>
          <w:bCs/>
        </w:rPr>
        <w:t>ga</w:t>
      </w:r>
      <w:r w:rsidRPr="288A3578">
        <w:rPr>
          <w:b/>
          <w:bCs/>
        </w:rPr>
        <w:t xml:space="preserve"> või</w:t>
      </w:r>
      <w:r w:rsidR="00A376AB">
        <w:rPr>
          <w:b/>
          <w:bCs/>
        </w:rPr>
        <w:t xml:space="preserve"> </w:t>
      </w:r>
      <w:r w:rsidR="00397F42">
        <w:rPr>
          <w:b/>
          <w:bCs/>
        </w:rPr>
        <w:t>liig</w:t>
      </w:r>
      <w:r w:rsidR="00B00D1C">
        <w:rPr>
          <w:b/>
          <w:bCs/>
        </w:rPr>
        <w:t>i</w:t>
      </w:r>
      <w:r w:rsidR="00397F42">
        <w:rPr>
          <w:b/>
          <w:bCs/>
        </w:rPr>
        <w:t xml:space="preserve">tasid selle </w:t>
      </w:r>
      <w:r w:rsidR="00A376AB">
        <w:rPr>
          <w:b/>
          <w:bCs/>
        </w:rPr>
        <w:t>täpsemalt</w:t>
      </w:r>
      <w:r w:rsidRPr="288A3578">
        <w:rPr>
          <w:b/>
          <w:bCs/>
        </w:rPr>
        <w:t xml:space="preserve"> külaliskorterite pakkumise</w:t>
      </w:r>
      <w:r w:rsidR="00397F42">
        <w:rPr>
          <w:b/>
          <w:bCs/>
        </w:rPr>
        <w:t>ks</w:t>
      </w:r>
      <w:r>
        <w:t xml:space="preserve">. </w:t>
      </w:r>
      <w:r w:rsidR="6C18565B">
        <w:t>Üldisel</w:t>
      </w:r>
      <w:r w:rsidR="00916198">
        <w:t>t</w:t>
      </w:r>
      <w:r w:rsidR="6C18565B">
        <w:t xml:space="preserve"> ei ole Eesti</w:t>
      </w:r>
      <w:r w:rsidR="71479F53">
        <w:t>s</w:t>
      </w:r>
      <w:r w:rsidR="6C18565B">
        <w:t xml:space="preserve"> tegemist</w:t>
      </w:r>
      <w:r>
        <w:t xml:space="preserve"> klassikalises mõttes jagamismajandusega, vaid äritegevusega, mille tegevusalaks on majutusteenuse osutamine. </w:t>
      </w:r>
      <w:r w:rsidR="1DBD3FEB">
        <w:t>Vaid üksikud intervjueeritavad oli</w:t>
      </w:r>
      <w:r w:rsidR="38CA3690">
        <w:t>d</w:t>
      </w:r>
      <w:r w:rsidR="1DBD3FEB">
        <w:t xml:space="preserve"> seisukohal, et lühiajalise üüri teenused võivad olla seotud ka</w:t>
      </w:r>
      <w:r w:rsidR="734B2CF3">
        <w:t xml:space="preserve"> kla</w:t>
      </w:r>
      <w:r w:rsidR="30D71D99">
        <w:t>s</w:t>
      </w:r>
      <w:r w:rsidR="734B2CF3">
        <w:t>sikalise</w:t>
      </w:r>
      <w:r w:rsidR="1DBD3FEB">
        <w:t xml:space="preserve"> jagamismajandusega, mis </w:t>
      </w:r>
      <w:r w:rsidR="425DA072">
        <w:t xml:space="preserve">aitab </w:t>
      </w:r>
      <w:r w:rsidR="1DBD3FEB">
        <w:t>pakkujal oma kodu arvelt tehtavaid kulusid (näiteks kommunaalmaksete mahtu) leevendada</w:t>
      </w:r>
      <w:r w:rsidR="4FE11F11">
        <w:t xml:space="preserve"> või kus oma kodu kasutada andmine toi</w:t>
      </w:r>
      <w:r w:rsidR="7114D0D2">
        <w:t>mub mitte ärilistel kaalutlustel.</w:t>
      </w:r>
    </w:p>
    <w:p w14:paraId="4C565EB5" w14:textId="5A6CC813" w:rsidR="000E31BE" w:rsidRDefault="164F2644" w:rsidP="000E31BE">
      <w:pPr>
        <w:jc w:val="both"/>
      </w:pPr>
      <w:r>
        <w:t>Lühiajalise üüri teenuse tegeliku sisu ja turu toimimise mõistmiseks viisime läbi intervjuud turuosalistega. Intervjuud</w:t>
      </w:r>
      <w:r w:rsidR="666464BA">
        <w:t xml:space="preserve">es </w:t>
      </w:r>
      <w:r w:rsidR="14EE14D3">
        <w:t>uurisime</w:t>
      </w:r>
      <w:r w:rsidR="235E4772">
        <w:t>,</w:t>
      </w:r>
      <w:r w:rsidR="666464BA">
        <w:t xml:space="preserve"> </w:t>
      </w:r>
      <w:r>
        <w:t>kuidas erinevad turu osapooled ise lühiajalise üüri teenust käsitlevad.</w:t>
      </w:r>
    </w:p>
    <w:p w14:paraId="287C17CD" w14:textId="7A5DAC3F" w:rsidR="000E31BE" w:rsidRPr="00E14EBC" w:rsidRDefault="164F2644" w:rsidP="000E31BE">
      <w:pPr>
        <w:jc w:val="both"/>
      </w:pPr>
      <w:r w:rsidRPr="5848DE21">
        <w:rPr>
          <w:b/>
          <w:bCs/>
        </w:rPr>
        <w:t>Lühiajalise üüri teenuste pakkujate</w:t>
      </w:r>
      <w:r>
        <w:t xml:space="preserve"> enda sõnul on nad majutusteenuse osutajad. Välja arvatud üksikud erandid, kes rõhutavad, et lisaks majutusteenuse osutajatele on olemas ka selliseid, kes </w:t>
      </w:r>
      <w:r w:rsidR="57987679">
        <w:t>lubavad</w:t>
      </w:r>
      <w:r>
        <w:t xml:space="preserve"> enda kodu, tuba või kõrvalhoonet ajutiselt kasutada just jagamismajanduse klassikalisest vaatest – neil ei ole seda lihtsalt vahepeal enda tarbeks vaja ning selle tegevuse juures puuduvad </w:t>
      </w:r>
      <w:r w:rsidR="120891B5">
        <w:t xml:space="preserve">neil </w:t>
      </w:r>
      <w:r>
        <w:t>igasugused ärilised huvid. Selliseid on pakkujate oletusel aga Eestis väga vähe, valdav enamus on pakkujate hinnangul ikkagi ärilisel eesmärgil majutusteenuse pakkujad.</w:t>
      </w:r>
    </w:p>
    <w:p w14:paraId="3BA9E957" w14:textId="7329EF59" w:rsidR="000E31BE" w:rsidRPr="00E14EBC" w:rsidRDefault="164F2644" w:rsidP="000E31BE">
      <w:pPr>
        <w:jc w:val="both"/>
      </w:pPr>
      <w:r>
        <w:t>Tuginedes intervjuudes kogutud sisendile</w:t>
      </w:r>
      <w:r w:rsidR="20432F56">
        <w:t>,</w:t>
      </w:r>
      <w:r>
        <w:t xml:space="preserve"> jagasime parema analüüsi tarbeks lühiajalise üüri </w:t>
      </w:r>
      <w:r w:rsidRPr="5848DE21">
        <w:rPr>
          <w:b/>
          <w:bCs/>
        </w:rPr>
        <w:t>teenuste pakkujad teenuse osutamise mahu järgi kaheks grupiks</w:t>
      </w:r>
      <w:r>
        <w:t>. Esiteks väikesed, kes üürivad regulaarselt välja 1-4 korterit ning tegelevad teenuse osutamisega ise (</w:t>
      </w:r>
      <w:r w:rsidR="3FA969C4">
        <w:t>sh</w:t>
      </w:r>
      <w:r>
        <w:t xml:space="preserve"> majutuse reklaamiga, ruumide koristamisega, külastajatega suhtlemi</w:t>
      </w:r>
      <w:r w:rsidR="0C5EB1FD">
        <w:t>sega</w:t>
      </w:r>
      <w:r>
        <w:t xml:space="preserve"> jne). Teiseks keskmised ja suured, kelle hallatavate korterite maht on piisavalt suur, et sellega kaasnevad kas täiendavad tööjõukulud või vajadus tellida hooldusteenuseid. Keskmised ja suured teenuse pakkujad saab liigitada omakorda üldistatult külaliskorterite pakkujateks, vahendusteenuse osutajateks või arendajateks. Seejuures võib üht pakkujat iseloomustada ka kõik kolm määratlust, kuna sisuliselt võib tegeleda vahendusteenuse pakkuja sama tegevusega, millega külaliskorteri pakkuja (selle erinevusega, et korter ei kuulu vahendajale) ja mõned suuremad vahendajad/pakkujad on ka ise kinnisvara arendajad.</w:t>
      </w:r>
    </w:p>
    <w:p w14:paraId="00698E98" w14:textId="56969C53" w:rsidR="000E31BE" w:rsidRPr="00E14EBC" w:rsidRDefault="164F2644" w:rsidP="000E31BE">
      <w:pPr>
        <w:jc w:val="both"/>
      </w:pPr>
      <w:r>
        <w:lastRenderedPageBreak/>
        <w:t>Lühiajalise üüri teenuste turu pakkujate intervjuude põhjal tegutse</w:t>
      </w:r>
      <w:r w:rsidR="4D111E68">
        <w:t>taks</w:t>
      </w:r>
      <w:r w:rsidR="00744552">
        <w:t>e</w:t>
      </w:r>
      <w:r w:rsidR="4D111E68">
        <w:t xml:space="preserve"> </w:t>
      </w:r>
      <w:r w:rsidR="57F0C544">
        <w:t xml:space="preserve">turul </w:t>
      </w:r>
      <w:r w:rsidRPr="5848DE21">
        <w:rPr>
          <w:b/>
          <w:bCs/>
        </w:rPr>
        <w:t>sõltumata suurusest (korterite arvust) äriühinguna</w:t>
      </w:r>
      <w:r>
        <w:t xml:space="preserve">, mille (üheks) tegevusalaks on majutusteenused. Klassikalise jagamismajandusega tegelevate pakkujate osakaalu hinnatakse väga madalaks, tõenäoliselt alla 10% kogu turust. Hinnanguliselt on jagamismajandus enim levinud väljaspool tõmbekeskuseid. Ühe suurema pakkuja sõnul </w:t>
      </w:r>
      <w:r w:rsidR="50A73F6C">
        <w:t xml:space="preserve">seostatakse </w:t>
      </w:r>
      <w:r>
        <w:t xml:space="preserve">näiteks Tallinna piires jagamismajandust rohkem välismaalastega, kes kas ise viibivad siin vaid hooajaliselt või on lihtsalt harjunud oma elukohast ühte tuba välja üürima. Kokkuvõtvalt hindavad nad, et suuremates linnades üldiselt ei üürita enda eluasemest ühte tuba välja, küll aga esineb seda maapiirkonnas või väikestes linnades. </w:t>
      </w:r>
    </w:p>
    <w:p w14:paraId="6C90047B" w14:textId="77777777" w:rsidR="000E31BE" w:rsidRPr="00E14EBC" w:rsidRDefault="000E31BE" w:rsidP="000E31BE">
      <w:pPr>
        <w:jc w:val="both"/>
      </w:pPr>
      <w:r>
        <w:t>Lühiajalise üüri teenuse p</w:t>
      </w:r>
      <w:r w:rsidRPr="00E14EBC">
        <w:t xml:space="preserve">akkujate sõnul </w:t>
      </w:r>
      <w:r w:rsidRPr="00172B6B">
        <w:rPr>
          <w:b/>
          <w:bCs/>
        </w:rPr>
        <w:t>ei ole majutus ainult kitsalt turismi eesmärgil välismaalaste sihtrühmale osutatav teenus</w:t>
      </w:r>
      <w:r w:rsidRPr="00E14EBC">
        <w:t>, vaid võib puudutada ka tudengeid, ajutiselt töökohustustest tulenevalt alalisest elukohast eemal viibijaid, siseturiste ning teisi kohalikke ühiskonnagruppe. Näiteks COVID-19 pandeemia ajal pakkusid lühiajalise üüri korterid kas eneseisolatsiooni või muul põhjusel kodust pikemalt eemal viibimise võimalust. Seega ei saa igas olukorras väita, et lühiajaline üürimine piirneks ainult nädala-paariga, vaid see võib teatud puhkudel tähendada ka mõne kuu pikkust üürimist.</w:t>
      </w:r>
    </w:p>
    <w:p w14:paraId="6C08C36A" w14:textId="47A55CAE" w:rsidR="000E31BE" w:rsidRPr="00E14EBC" w:rsidRDefault="000E31BE" w:rsidP="000E31BE">
      <w:pPr>
        <w:jc w:val="both"/>
      </w:pPr>
      <w:r w:rsidRPr="00E14EBC">
        <w:t xml:space="preserve">Lühiajalise üüri teenuse pakkujate sõnul </w:t>
      </w:r>
      <w:r w:rsidR="00004589">
        <w:t xml:space="preserve">on tegemist majutusteenusega, kuid tegu </w:t>
      </w:r>
      <w:r w:rsidRPr="00E14EBC">
        <w:t xml:space="preserve">ei ole hotelli tüüpi teenustega. Mööndakse, et on sarnaseid elemente, nagu hügieeni ja tuleohutuse tagamine, aga </w:t>
      </w:r>
      <w:r w:rsidRPr="00A91CC5">
        <w:rPr>
          <w:b/>
          <w:bCs/>
        </w:rPr>
        <w:t>sisult on lühiajalise üüri teenused ja klassikaline hotellimajutus erinevad majutusteenuse liigid</w:t>
      </w:r>
      <w:r w:rsidRPr="00E14EBC">
        <w:t>. Keskmised ja suuremad teenuse pakkujad ning korterite vahendajad selgitavad teenuste erinevust selle olemuse ja haldamise eripärade kaudu. Lühiajalise üüri teenus on kliendi vaatest paindlikum, kuna tema kasutuses on terve korter koos sisustatud köögiga. Seega on majutus kliendile kas optimaalsem või mugavam kui hotellis, eriti perega reisides või töölähetusel viibides. Lisaks võimaldavad platvormid osutada majutusteenust ka hooajaliselt ning kohtades, kus hotelle kas pole või need ei kata ajutis</w:t>
      </w:r>
      <w:r>
        <w:t>elt kasvanud n</w:t>
      </w:r>
      <w:r w:rsidRPr="00E14EBC">
        <w:t xml:space="preserve">õudlust – kasulik nii (maa)piirkonnale või riigile turismi vaates, kliendile pakkumise hulga mõttes ja ürituse puhul ka ürituse korraldajale (mh toodi </w:t>
      </w:r>
      <w:r w:rsidR="00FA63C5" w:rsidRPr="00E14EBC">
        <w:t>näiteks</w:t>
      </w:r>
      <w:r w:rsidR="00FA63C5">
        <w:t xml:space="preserve"> </w:t>
      </w:r>
      <w:r w:rsidRPr="00E14EBC">
        <w:t xml:space="preserve">Rally Estonia-t ja Tartu Kultuuripealinna). </w:t>
      </w:r>
    </w:p>
    <w:p w14:paraId="273DB4EB" w14:textId="2D1A4EE8" w:rsidR="000E31BE" w:rsidRPr="00E14EBC" w:rsidRDefault="000E31BE" w:rsidP="000E31BE">
      <w:pPr>
        <w:jc w:val="both"/>
      </w:pPr>
      <w:r w:rsidRPr="00E14EBC">
        <w:t>Erinevuse</w:t>
      </w:r>
      <w:r>
        <w:t>d</w:t>
      </w:r>
      <w:r w:rsidRPr="00E14EBC">
        <w:t xml:space="preserve"> on </w:t>
      </w:r>
      <w:r w:rsidR="00EA53DC">
        <w:t xml:space="preserve">ka </w:t>
      </w:r>
      <w:r w:rsidRPr="00E14EBC">
        <w:t xml:space="preserve">üüritavate pindade haldamise osas. Näiteks kui ühe teenuseosutaja poolt välja üüritavad ruumid asuvad erinevates hoonetes, siis lisanduvad tavapärastele hooldus- ja tööjõukuludele ka logistikaga seotud kulud. Mõnedel suurematel teenuse pakkujatel puudub oma personal, mistõttu tuleb koristus- ning pesuteenused </w:t>
      </w:r>
      <w:r>
        <w:t xml:space="preserve">sisse </w:t>
      </w:r>
      <w:r w:rsidRPr="00E14EBC">
        <w:t>tellida.</w:t>
      </w:r>
    </w:p>
    <w:p w14:paraId="05525525" w14:textId="33EB8CB2" w:rsidR="000E31BE" w:rsidRPr="00E14EBC" w:rsidRDefault="000E31BE" w:rsidP="000E31BE">
      <w:pPr>
        <w:jc w:val="both"/>
      </w:pPr>
      <w:r w:rsidRPr="00E14EBC">
        <w:t xml:space="preserve">Väiksemad teenuse pakkujad rõhutavad samuti korterite haldamisest tulenevaid omapärasid, aga lisavad juurde </w:t>
      </w:r>
      <w:r w:rsidR="00221FC9" w:rsidRPr="00820D65">
        <w:rPr>
          <w:b/>
          <w:bCs/>
        </w:rPr>
        <w:t xml:space="preserve">ruumide paindliku kasutamise </w:t>
      </w:r>
      <w:r w:rsidRPr="00820D65">
        <w:rPr>
          <w:b/>
          <w:bCs/>
        </w:rPr>
        <w:t>aspekti</w:t>
      </w:r>
      <w:r w:rsidRPr="00E14EBC">
        <w:t>. Pakkujal on alati võimalus eluruumi kasutamise otstarvet muuta, kuna seal ei viibi ühtegi pikaajalise üürilepinguga seotud isikut ja see pole ehitatud hotelliks. Seega saab omanik eluruumi võtta tagasi enda kasutusse, ära müüa või anda pikaajalisele üürile. Samuti on võimalik pakkuda külastajale personaalsemat lähenemist, kuna omanik suhtleb kliendiga otse. Otsesuhtluse osas tõid kaks väikepakkujat ka välja, et nad teevad probleemide ennetamiseks igale huvilisele tasutakontrolli lähtuvalt varasematest arvustutest, külastuse eesmärgist ning muudest teguritest, mis võivad pakkuja otsust mõjutada. Seega võib järeldada, et erinevalt hotellidest on lühiajalise üüri teenuse pakkujatel suurem kontroll, kellele ta majutusteenust osutab.</w:t>
      </w:r>
    </w:p>
    <w:p w14:paraId="429921A4" w14:textId="77777777" w:rsidR="000E31BE" w:rsidRPr="00E14EBC" w:rsidRDefault="000E31BE" w:rsidP="000E31BE">
      <w:pPr>
        <w:jc w:val="both"/>
      </w:pPr>
      <w:r w:rsidRPr="00E14EBC">
        <w:lastRenderedPageBreak/>
        <w:t xml:space="preserve">Väikepakkujate sõnul on nende tegevuse kulud proportsionaalselt suuremad kui hotellidel või suurematel pakkujatel (sh vahendusteenuse osutajatel). Vahe tuleb sellest, et pakkumise maht on väiksem tulenevalt väiksemast </w:t>
      </w:r>
      <w:r>
        <w:t xml:space="preserve">voodikohtade </w:t>
      </w:r>
      <w:r w:rsidRPr="00E14EBC">
        <w:t xml:space="preserve">arvust. Mis ühtlasi tähendab, et kui üks ruum jääb pikemaks ajaks tühjaks, muutub ka käive märksa väiksemaks, kuna teised ruumid peavad ära katma nii enda kulud, teenuse osutamisega kaasnevad kulud kui ka tühjalt seisva ruumi kommunaalkulud (mõnede pakkujate puhul ka laenukulud). </w:t>
      </w:r>
    </w:p>
    <w:p w14:paraId="07AC6912" w14:textId="610435A7" w:rsidR="000E31BE" w:rsidRPr="00E14EBC" w:rsidRDefault="164F2644" w:rsidP="000E31BE">
      <w:pPr>
        <w:jc w:val="both"/>
      </w:pPr>
      <w:r>
        <w:t>Ükski intervjuul osalenud lühiajalise üüriteenuse pakkuja ei näe põhjust, et lühiajalise üüri teenuseid tuleks seaduste tasandil täiendavalt defineerida. Nende hinnangul on TurS-i</w:t>
      </w:r>
      <w:r w:rsidR="003439B4">
        <w:t>s</w:t>
      </w:r>
      <w:r>
        <w:t xml:space="preserve"> majutusettevõtete liigid, kui </w:t>
      </w:r>
      <w:r w:rsidR="00591B87">
        <w:t xml:space="preserve">majutusteenuse pakkumise </w:t>
      </w:r>
      <w:r>
        <w:t>erinevad vormid, juba lahti mõtestatud. Lühiajalise üüri teenus vastab oma olemuselt külaliskorteri liigitusele, ehk TurS</w:t>
      </w:r>
      <w:r w:rsidR="00B45FAF">
        <w:t>-i</w:t>
      </w:r>
      <w:r>
        <w:t xml:space="preserve"> §18 lg8: majutusettevõte, kus terve korter antakse tervikuna majutusteenuse kasutaja kasutusse. Üks pakkuja tõi paralleeli ka ühe varasemalt TurS-i kehtinud külaliskorteri erisusega, mille kohaselt on tegu sellist liiki majutusettevõttega, kus ei osuta</w:t>
      </w:r>
      <w:r w:rsidR="0B9B1204">
        <w:t>ta</w:t>
      </w:r>
      <w:r>
        <w:t xml:space="preserve"> toitlustusteenust (toiduvalmistamise üksuseks on korter). </w:t>
      </w:r>
    </w:p>
    <w:p w14:paraId="7C479EDE" w14:textId="77777777" w:rsidR="000E31BE" w:rsidRPr="00E14EBC" w:rsidRDefault="000E31BE" w:rsidP="000E31BE">
      <w:pPr>
        <w:jc w:val="both"/>
      </w:pPr>
      <w:r w:rsidRPr="00E14EBC">
        <w:t xml:space="preserve">Samas, eriti suuremad üüriteenuse pakkujad on üksmeelel, et TurS-i alusel kehtestatud ja muid majutusteenustele kehtestatud nõudeid (näiteks külaliste registreerimise kohustus; tuleohutuse alane järelevalve; maksustamise alane järelevalve, et pakkuja ei varjaks oma tööjõukulusid ja tegelikke tulusid) üldiselt </w:t>
      </w:r>
      <w:r>
        <w:t xml:space="preserve">lühiajalise üüri teenuse pakkujate </w:t>
      </w:r>
      <w:r w:rsidRPr="00E14EBC">
        <w:t>puhul ei rakendata. Seega võib esineda olukordi, kus lühiajalise üüri teenuse osutamisel jäetakse tulu deklareerimata, tööjõumaksud tasumata või eiratakse (tule)ohutusnõuete täitmist, mis omakorda tekitab ebaõiglast konkurentsi. Selliseid olukordi esineb intervjueeritute sõnul Eestis pigem rohkem.</w:t>
      </w:r>
    </w:p>
    <w:p w14:paraId="62A6A7DA" w14:textId="353A6BBD" w:rsidR="000E31BE" w:rsidRPr="00E14EBC" w:rsidRDefault="000E31BE" w:rsidP="000E31BE">
      <w:pPr>
        <w:jc w:val="both"/>
      </w:pPr>
      <w:r w:rsidRPr="1688D34F">
        <w:rPr>
          <w:b/>
          <w:bCs/>
        </w:rPr>
        <w:t>Hotellide ja klassikalise majutussektori esindajate</w:t>
      </w:r>
      <w:r>
        <w:t xml:space="preserve"> hinnangul on lühiajalise üüri teenuse näol tegu ettevõtluse vormiga ehk majutusteenuse osutamisega, kuid teenuse osutajad ei täida majutusasutustele kehtestatud nõudeid. </w:t>
      </w:r>
      <w:r w:rsidR="00252234">
        <w:t xml:space="preserve">Näiteks </w:t>
      </w:r>
      <w:r w:rsidR="00E4743A">
        <w:t xml:space="preserve">ei </w:t>
      </w:r>
      <w:r w:rsidR="00577CB9">
        <w:t>täideta</w:t>
      </w:r>
      <w:r w:rsidR="00E4743A">
        <w:t xml:space="preserve"> </w:t>
      </w:r>
      <w:r w:rsidR="00247344">
        <w:t>külaliste registreerimise</w:t>
      </w:r>
      <w:r w:rsidR="00FA63C5">
        <w:t xml:space="preserve"> </w:t>
      </w:r>
      <w:r w:rsidR="00247344">
        <w:t xml:space="preserve">ja </w:t>
      </w:r>
      <w:r w:rsidR="00E4743A">
        <w:t>tuleohutusenõudeid</w:t>
      </w:r>
      <w:r w:rsidR="00247344">
        <w:t xml:space="preserve"> (vt täpsemalt eelmisest peatükist</w:t>
      </w:r>
      <w:r w:rsidR="00D5339E">
        <w:t xml:space="preserve"> 1.2, kus on kirjeldatud majutus</w:t>
      </w:r>
      <w:r w:rsidR="00497206">
        <w:t xml:space="preserve">asutustele </w:t>
      </w:r>
      <w:r w:rsidR="00D5339E">
        <w:t>keht</w:t>
      </w:r>
      <w:r w:rsidR="00497206">
        <w:t>estatud nõuded)</w:t>
      </w:r>
      <w:r w:rsidR="00BD4C03">
        <w:t xml:space="preserve">. </w:t>
      </w:r>
      <w:r>
        <w:t>Nende hinnangul on probleemi olemus veelgi laiem, hõlmates lisaks tasumata maksudele ning ebaausale konkurentsile ka erinevaid pehmeid aspekte, nagu müraprobleemid, turvalisusega seotud riskid jm</w:t>
      </w:r>
      <w:r w:rsidR="00637DA3">
        <w:t xml:space="preserve"> (vt mõjude kohta täpsemalt peatükist 3)</w:t>
      </w:r>
      <w:r>
        <w:t xml:space="preserve">. </w:t>
      </w:r>
    </w:p>
    <w:p w14:paraId="2E82441E" w14:textId="77777777" w:rsidR="000E31BE" w:rsidRPr="00E14EBC" w:rsidRDefault="000E31BE" w:rsidP="000E31BE">
      <w:pPr>
        <w:jc w:val="both"/>
      </w:pPr>
      <w:r w:rsidRPr="00E14EBC">
        <w:t>Lühiajalise üüri teenuse pakkujate arvamusel esineb selliseid pehmeid probleeme pigem vähem. Neid tekitavad üksikud üüriteenuse pakkujad, kes tänast reguleerimatust ära kasutavad, tekitades sellega tervele lühiajalise üüri turule mainekahju ning loovad ühiskonnas fooni, et elukeskkonda puudutavad mõjud on lühiajalise üüri teenuste puhul suuremad kui tegelikkuses paika peab.</w:t>
      </w:r>
    </w:p>
    <w:p w14:paraId="567BF848" w14:textId="4F8F274B" w:rsidR="000E31BE" w:rsidRPr="00E14EBC" w:rsidRDefault="000E31BE" w:rsidP="000E31BE">
      <w:pPr>
        <w:jc w:val="both"/>
        <w:rPr>
          <w:color w:val="232323" w:themeColor="text1"/>
        </w:rPr>
      </w:pPr>
      <w:r w:rsidRPr="00D92214">
        <w:rPr>
          <w:b/>
          <w:bCs/>
        </w:rPr>
        <w:t>Korteriomanike esindajad</w:t>
      </w:r>
      <w:r>
        <w:t xml:space="preserve"> tõdesid, et kuigi </w:t>
      </w:r>
      <w:r w:rsidRPr="00E14EBC">
        <w:t xml:space="preserve">Eestis </w:t>
      </w:r>
      <w:r>
        <w:t xml:space="preserve">puudub </w:t>
      </w:r>
      <w:r w:rsidRPr="00E14EBC">
        <w:t xml:space="preserve">täpne lühiajalise üüri teenuste määratlus, </w:t>
      </w:r>
      <w:r>
        <w:t>siis</w:t>
      </w:r>
      <w:r w:rsidRPr="00E14EBC">
        <w:t xml:space="preserve"> praktikas käsitletakse seda kui ruumi üürimist lühikeseks perioodiks, tavaliselt paari</w:t>
      </w:r>
      <w:r w:rsidR="00756F10">
        <w:t>st</w:t>
      </w:r>
      <w:r w:rsidRPr="00E14EBC">
        <w:t xml:space="preserve"> päeva</w:t>
      </w:r>
      <w:r w:rsidR="00756F10">
        <w:t>st</w:t>
      </w:r>
      <w:r w:rsidRPr="00E14EBC">
        <w:t xml:space="preserve"> kuni mõne nädalani. Enamasti vahendatakse lühiajalist üüri Airbnb ja teiste veebiplatvormide kaudu. </w:t>
      </w:r>
      <w:r w:rsidRPr="00E14EBC">
        <w:rPr>
          <w:color w:val="232323" w:themeColor="text1"/>
        </w:rPr>
        <w:t>Korteriomanike esindajate hinnangul võiks umbes aasta ja pikema üürimise perioodi puhul olla tegemist pikaajalise üürimisega, sest üürnikud tajuvad seda juba püsiva elukohana. Samas ei ole selget piiri, mis ajast alates üürisuhet pidada pikaajaliseks, ning see jääb omaniku ja üürniku subjektiivse hinnangu küsimuseks.</w:t>
      </w:r>
    </w:p>
    <w:p w14:paraId="6CF0C3A3" w14:textId="77777777" w:rsidR="000E31BE" w:rsidRDefault="000E31BE" w:rsidP="000E31BE">
      <w:pPr>
        <w:jc w:val="both"/>
      </w:pPr>
      <w:r w:rsidRPr="00E14EBC">
        <w:lastRenderedPageBreak/>
        <w:t>Korteriomanike esindaja</w:t>
      </w:r>
      <w:r>
        <w:t xml:space="preserve">te </w:t>
      </w:r>
      <w:r w:rsidRPr="00E14EBC">
        <w:t xml:space="preserve">sõnul </w:t>
      </w:r>
      <w:r>
        <w:t>on l</w:t>
      </w:r>
      <w:r w:rsidRPr="00E14EBC">
        <w:t>ühiajalise üüri teenuste turg Eestis suuresti hooajaline. Suvekuudel on see eriti aktiivne Pärnus, kus lühiajalise üüri teenused on taskukohasem alternatiiv hotellidele, mis on kohaliku turismi peamine majutusvalik. Lisaks Pärnule on</w:t>
      </w:r>
      <w:r>
        <w:t xml:space="preserve"> nende arvates</w:t>
      </w:r>
      <w:r w:rsidRPr="00E14EBC">
        <w:t xml:space="preserve"> lühiajalise üüri teenuste turul suurim aktiivsus Tallinnas ja Tartus, kus seda kasutavad nii turistid kui ka lühiajalises töölähetuses viibivad inimesed.</w:t>
      </w:r>
    </w:p>
    <w:p w14:paraId="6B8E2A1D" w14:textId="77777777" w:rsidR="000E31BE" w:rsidRPr="00E14EBC" w:rsidRDefault="000E31BE" w:rsidP="000E31BE">
      <w:pPr>
        <w:jc w:val="both"/>
      </w:pPr>
      <w:r w:rsidRPr="00172B6B">
        <w:rPr>
          <w:b/>
          <w:bCs/>
        </w:rPr>
        <w:t>Kinnisvarasektori esindajad</w:t>
      </w:r>
      <w:r w:rsidRPr="00E14EBC">
        <w:t xml:space="preserve"> seevastu leidsid, et lühiajalise üürimise teenused on Eestis veel uus nähtus. Nende hinnangul on praegu lühiajalise üüri teenuste näol üldistatult tegu kodumajutuse pakkumise vormiga, mis ei avalda Eestis märgatavaid negatiivseid sotsiaal-majanduslikke mõjusid. Küll aga on sellel väga suur arengupotentsiaal, näiteks lühi- ja pikaajaliseks üürimiseks sobivate kinnisvaraarenduste näol. Turu edasine areng oleneb sellest, kuidas riik turgu sekkuma hakkab.</w:t>
      </w:r>
    </w:p>
    <w:p w14:paraId="47F29BF0" w14:textId="235E86E9" w:rsidR="000E31BE" w:rsidRDefault="164F2644" w:rsidP="000E31BE">
      <w:pPr>
        <w:jc w:val="both"/>
      </w:pPr>
      <w:r w:rsidRPr="5848DE21">
        <w:rPr>
          <w:b/>
          <w:bCs/>
        </w:rPr>
        <w:t>Kohalikud omavalitsused</w:t>
      </w:r>
      <w:r>
        <w:t xml:space="preserve"> pidasid üldiselt lühiajalise üüri teenuseid sisuliselt majutusteenuseks, seostasid seda pigem turismiga ning tõid mitmeid paralleele</w:t>
      </w:r>
      <w:r w:rsidR="1ECA5AD0">
        <w:t>,</w:t>
      </w:r>
      <w:r>
        <w:t xml:space="preserve"> kuidas teistes välisriikides on majutusteenuste negatiivseid mõjusid püütud reguleerida.</w:t>
      </w:r>
    </w:p>
    <w:p w14:paraId="481A3254" w14:textId="4244DEF4" w:rsidR="005F4616" w:rsidRDefault="000E31BE" w:rsidP="005F4616">
      <w:pPr>
        <w:jc w:val="both"/>
      </w:pPr>
      <w:r w:rsidRPr="00E14EBC">
        <w:t xml:space="preserve">Viimaseks, </w:t>
      </w:r>
      <w:r w:rsidRPr="00172B6B">
        <w:rPr>
          <w:b/>
          <w:bCs/>
        </w:rPr>
        <w:t>intervjueeritud poliitikakujundajad (ministeeriumid) ja järelevalveasutused</w:t>
      </w:r>
      <w:r w:rsidRPr="00E14EBC">
        <w:t xml:space="preserve"> jäid </w:t>
      </w:r>
      <w:r>
        <w:t>lühiajalise üüri teenuse mõiste</w:t>
      </w:r>
      <w:r w:rsidRPr="00E14EBC">
        <w:t xml:space="preserve"> defineerimise ja turu toimimise küsimustes äraootavale seisukohale</w:t>
      </w:r>
      <w:r>
        <w:t>. I</w:t>
      </w:r>
      <w:r w:rsidRPr="00E14EBC">
        <w:t xml:space="preserve">lma selgeid piire tõmbamata ja pigem isiklikust hinnangust lähtuvalt avaldati arvamust, et </w:t>
      </w:r>
      <w:r>
        <w:t>teenus</w:t>
      </w:r>
      <w:r w:rsidRPr="00E14EBC">
        <w:t xml:space="preserve"> on seotud ennekõike platvormidel </w:t>
      </w:r>
      <w:r w:rsidR="005F4616" w:rsidRPr="00E14EBC">
        <w:t>majutuse pakkumisega</w:t>
      </w:r>
      <w:r w:rsidR="005F4616">
        <w:t xml:space="preserve">, peamiselt </w:t>
      </w:r>
      <w:r w:rsidR="005F4616" w:rsidRPr="00E14EBC">
        <w:t xml:space="preserve">turismi alaselt, nii sise- kui ka välisturismi vaates. </w:t>
      </w:r>
    </w:p>
    <w:p w14:paraId="1A0790D8" w14:textId="32BE5D0F" w:rsidR="00A0105B" w:rsidRDefault="00A0105B" w:rsidP="00FF215C">
      <w:pPr>
        <w:pStyle w:val="Heading2"/>
        <w:rPr>
          <w:rFonts w:hint="eastAsia"/>
        </w:rPr>
      </w:pPr>
      <w:bookmarkStart w:id="85" w:name="_Toc208991595"/>
      <w:r w:rsidRPr="00E14EBC">
        <w:t xml:space="preserve">Lühiajalise üüri </w:t>
      </w:r>
      <w:r w:rsidR="00E16055">
        <w:t xml:space="preserve">teenuse </w:t>
      </w:r>
      <w:r>
        <w:t xml:space="preserve">mõiste </w:t>
      </w:r>
      <w:r w:rsidRPr="00E14EBC">
        <w:t>defineerimine</w:t>
      </w:r>
      <w:r w:rsidR="00E16055">
        <w:t xml:space="preserve"> ja turu </w:t>
      </w:r>
      <w:r w:rsidR="00707F36">
        <w:t>toimimine</w:t>
      </w:r>
      <w:r w:rsidRPr="00E14EBC">
        <w:t xml:space="preserve"> Eesti majanduskeskkonnas</w:t>
      </w:r>
      <w:bookmarkEnd w:id="85"/>
    </w:p>
    <w:p w14:paraId="7360B004" w14:textId="45207AB2" w:rsidR="00931634" w:rsidRDefault="00624EF8" w:rsidP="004B317E">
      <w:pPr>
        <w:jc w:val="both"/>
      </w:pPr>
      <w:r w:rsidRPr="00624EF8">
        <w:t>Lühiajalise üüri teenuse</w:t>
      </w:r>
      <w:r w:rsidR="00164463">
        <w:t xml:space="preserve"> </w:t>
      </w:r>
      <w:r w:rsidRPr="00624EF8">
        <w:t>õiguslik</w:t>
      </w:r>
      <w:r w:rsidR="00D1099D">
        <w:t>uks</w:t>
      </w:r>
      <w:r w:rsidRPr="00624EF8">
        <w:t xml:space="preserve"> ja sisuli</w:t>
      </w:r>
      <w:r w:rsidR="00D1099D">
        <w:t xml:space="preserve">seks </w:t>
      </w:r>
      <w:r w:rsidRPr="00624EF8">
        <w:t>määratlemi</w:t>
      </w:r>
      <w:r w:rsidR="00D1099D">
        <w:t xml:space="preserve">seks </w:t>
      </w:r>
      <w:r w:rsidRPr="00624EF8">
        <w:t xml:space="preserve">Eesti majanduskeskkonnas </w:t>
      </w:r>
      <w:r w:rsidR="00D1099D">
        <w:t xml:space="preserve">oleme tuginenud nii eelkirjeldatud </w:t>
      </w:r>
      <w:r w:rsidR="00BC22A2">
        <w:t xml:space="preserve">jagamis- ja platvormimajanduse teooriale, siseriiklikule õigusele </w:t>
      </w:r>
      <w:r w:rsidR="002908C6">
        <w:t>ja EL normatiivsetele arengutele kui ka igapäevasele turupraktikale.</w:t>
      </w:r>
    </w:p>
    <w:p w14:paraId="33E5DB29" w14:textId="3D5B8357" w:rsidR="00624EF8" w:rsidRPr="00624EF8" w:rsidRDefault="00100573" w:rsidP="00931634">
      <w:pPr>
        <w:pStyle w:val="MintBlock"/>
      </w:pPr>
      <w:r w:rsidRPr="00100573">
        <w:rPr>
          <w:b/>
          <w:bCs/>
        </w:rPr>
        <w:t>Analüüs</w:t>
      </w:r>
      <w:r w:rsidR="00E32325">
        <w:rPr>
          <w:b/>
          <w:bCs/>
        </w:rPr>
        <w:t xml:space="preserve">i tulemusel saab järeldada, </w:t>
      </w:r>
      <w:r w:rsidRPr="00100573">
        <w:rPr>
          <w:b/>
          <w:bCs/>
        </w:rPr>
        <w:t xml:space="preserve">et </w:t>
      </w:r>
      <w:r w:rsidR="007A1296">
        <w:rPr>
          <w:b/>
          <w:bCs/>
        </w:rPr>
        <w:t xml:space="preserve">majandustegevuse raames </w:t>
      </w:r>
      <w:r w:rsidRPr="00100573">
        <w:rPr>
          <w:b/>
          <w:bCs/>
        </w:rPr>
        <w:t>eluruumi</w:t>
      </w:r>
      <w:r w:rsidR="00E32325">
        <w:rPr>
          <w:b/>
          <w:bCs/>
        </w:rPr>
        <w:t>des</w:t>
      </w:r>
      <w:r w:rsidRPr="00100573">
        <w:rPr>
          <w:b/>
          <w:bCs/>
        </w:rPr>
        <w:t xml:space="preserve"> lühiajali</w:t>
      </w:r>
      <w:r w:rsidR="00E32325">
        <w:rPr>
          <w:b/>
          <w:bCs/>
        </w:rPr>
        <w:t>se üüri teenuse pakkumine o</w:t>
      </w:r>
      <w:r w:rsidRPr="00100573">
        <w:rPr>
          <w:b/>
          <w:bCs/>
        </w:rPr>
        <w:t>n sisuliselt majutusteenus</w:t>
      </w:r>
      <w:r w:rsidR="4F944F5D" w:rsidRPr="00BA017C">
        <w:rPr>
          <w:b/>
          <w:bCs/>
        </w:rPr>
        <w:t>,</w:t>
      </w:r>
      <w:r w:rsidRPr="00100573">
        <w:rPr>
          <w:b/>
          <w:bCs/>
        </w:rPr>
        <w:t xml:space="preserve"> nagu kodumajutus, külaliskorter või puhkemaja, sest see vastab kõikidele </w:t>
      </w:r>
      <w:r w:rsidR="006D6141">
        <w:rPr>
          <w:b/>
          <w:bCs/>
        </w:rPr>
        <w:t>TurS-is</w:t>
      </w:r>
      <w:r w:rsidR="006D6141" w:rsidRPr="00100573">
        <w:rPr>
          <w:b/>
          <w:bCs/>
        </w:rPr>
        <w:t xml:space="preserve"> </w:t>
      </w:r>
      <w:r w:rsidRPr="00100573">
        <w:rPr>
          <w:b/>
          <w:bCs/>
        </w:rPr>
        <w:t xml:space="preserve">kirjeldatud majutusteenuse </w:t>
      </w:r>
      <w:r w:rsidR="00DB7D2D">
        <w:rPr>
          <w:b/>
          <w:bCs/>
        </w:rPr>
        <w:t>tunnustele</w:t>
      </w:r>
      <w:r w:rsidRPr="00100573">
        <w:rPr>
          <w:b/>
          <w:bCs/>
        </w:rPr>
        <w:t>.</w:t>
      </w:r>
      <w:r w:rsidR="00FD6984">
        <w:rPr>
          <w:b/>
          <w:bCs/>
        </w:rPr>
        <w:t xml:space="preserve"> </w:t>
      </w:r>
    </w:p>
    <w:p w14:paraId="5EA6068C" w14:textId="2E881D2E" w:rsidR="003243A5" w:rsidRDefault="003243A5" w:rsidP="004D6646">
      <w:pPr>
        <w:jc w:val="both"/>
      </w:pPr>
      <w:r>
        <w:t xml:space="preserve">Sellist järeldust toetavad </w:t>
      </w:r>
      <w:r w:rsidR="001A49BD">
        <w:t xml:space="preserve">ning turu toimimist kirjeldavad </w:t>
      </w:r>
      <w:r>
        <w:t>järgmised</w:t>
      </w:r>
      <w:r w:rsidR="00084287">
        <w:t xml:space="preserve"> kokkuvõtvad</w:t>
      </w:r>
      <w:r>
        <w:t xml:space="preserve"> </w:t>
      </w:r>
      <w:r w:rsidR="00084287">
        <w:t>selgitused</w:t>
      </w:r>
      <w:r w:rsidR="00237803">
        <w:t xml:space="preserve"> </w:t>
      </w:r>
      <w:r w:rsidR="00FB0DC8">
        <w:t xml:space="preserve">koosmõjus </w:t>
      </w:r>
      <w:r w:rsidR="00237803">
        <w:t xml:space="preserve">(vt ka </w:t>
      </w:r>
      <w:r w:rsidR="00FA1385">
        <w:t>J</w:t>
      </w:r>
      <w:r w:rsidR="00237803">
        <w:t>oonis 1)</w:t>
      </w:r>
      <w:r w:rsidR="00FA1385">
        <w:t>.</w:t>
      </w:r>
    </w:p>
    <w:p w14:paraId="1156A19A" w14:textId="30465A08" w:rsidR="00047A89" w:rsidRDefault="00376361" w:rsidP="007F08F4">
      <w:pPr>
        <w:pStyle w:val="ListParagraph"/>
        <w:numPr>
          <w:ilvl w:val="0"/>
          <w:numId w:val="44"/>
        </w:numPr>
        <w:jc w:val="both"/>
      </w:pPr>
      <w:r>
        <w:t xml:space="preserve">Lühiajalise üüri teenuse </w:t>
      </w:r>
      <w:r w:rsidR="0051087B">
        <w:t xml:space="preserve">sisuks on </w:t>
      </w:r>
      <w:r w:rsidR="00B75AE5">
        <w:t>ööbimisvõimaluse ehk majutuse pakkumine</w:t>
      </w:r>
      <w:r w:rsidR="003C070A">
        <w:t xml:space="preserve">. </w:t>
      </w:r>
      <w:r w:rsidR="00624EF8" w:rsidRPr="00624EF8">
        <w:t xml:space="preserve">Teenus on selgelt suunatud mittepüsivale, lühiajalisele kasutusele, mis vastab </w:t>
      </w:r>
      <w:r w:rsidR="003C070A">
        <w:t>TurS-is</w:t>
      </w:r>
      <w:r w:rsidR="00624EF8" w:rsidRPr="00624EF8">
        <w:t xml:space="preserve"> toodud majutusteenuse sisule</w:t>
      </w:r>
      <w:r w:rsidR="00F7238E">
        <w:t xml:space="preserve"> ning valitud majutusteenuse liikidele (</w:t>
      </w:r>
      <w:r w:rsidR="00B87754">
        <w:t>n</w:t>
      </w:r>
      <w:r w:rsidR="0050159F">
        <w:t>agu</w:t>
      </w:r>
      <w:r w:rsidR="00F7238E">
        <w:t xml:space="preserve"> kodumajutus, külaliskorter</w:t>
      </w:r>
      <w:r w:rsidR="0050159F">
        <w:t>, puhkemaja</w:t>
      </w:r>
      <w:r w:rsidR="00F7238E">
        <w:t xml:space="preserve">). </w:t>
      </w:r>
    </w:p>
    <w:p w14:paraId="7BD40518" w14:textId="764B8321" w:rsidR="009B107A" w:rsidRDefault="00047A89" w:rsidP="007F08F4">
      <w:pPr>
        <w:pStyle w:val="ListParagraph"/>
        <w:numPr>
          <w:ilvl w:val="0"/>
          <w:numId w:val="44"/>
        </w:numPr>
        <w:jc w:val="both"/>
      </w:pPr>
      <w:r>
        <w:t>T</w:t>
      </w:r>
      <w:r w:rsidR="00F22348">
        <w:t>eenuse pakkujad ise defineerivad end majutusteenuse pakkujatena</w:t>
      </w:r>
      <w:r w:rsidR="00C51548">
        <w:t xml:space="preserve">. </w:t>
      </w:r>
    </w:p>
    <w:p w14:paraId="78107A36" w14:textId="008F12F6" w:rsidR="008D3163" w:rsidRDefault="003C070A" w:rsidP="007F08F4">
      <w:pPr>
        <w:pStyle w:val="ListParagraph"/>
        <w:numPr>
          <w:ilvl w:val="0"/>
          <w:numId w:val="44"/>
        </w:numPr>
        <w:jc w:val="both"/>
      </w:pPr>
      <w:r>
        <w:lastRenderedPageBreak/>
        <w:t>V</w:t>
      </w:r>
      <w:r w:rsidR="00624EF8" w:rsidRPr="00624EF8">
        <w:t xml:space="preserve">aldav osa </w:t>
      </w:r>
      <w:r w:rsidR="00237803">
        <w:t>teenuse</w:t>
      </w:r>
      <w:r w:rsidR="00624EF8" w:rsidRPr="00624EF8">
        <w:t xml:space="preserve"> pakkujatest tegutseb majandusliku eesmärgiga ning osutab teenust korduvuse ja süsteemsusega</w:t>
      </w:r>
      <w:r w:rsidR="00B34380">
        <w:t xml:space="preserve"> ning üldiselt kasu ja tulu eesmärgil, </w:t>
      </w:r>
      <w:r w:rsidR="00624EF8" w:rsidRPr="00624EF8">
        <w:t>mis lubab tegevust pidada majandustegevuseks</w:t>
      </w:r>
      <w:r w:rsidR="003447DD">
        <w:t>.</w:t>
      </w:r>
      <w:r w:rsidR="009F4239">
        <w:t xml:space="preserve"> </w:t>
      </w:r>
    </w:p>
    <w:p w14:paraId="646195F2" w14:textId="589ACD07" w:rsidR="008D3163" w:rsidRDefault="78BEBA4E" w:rsidP="007F08F4">
      <w:pPr>
        <w:pStyle w:val="ListParagraph"/>
        <w:numPr>
          <w:ilvl w:val="0"/>
          <w:numId w:val="44"/>
        </w:numPr>
        <w:jc w:val="both"/>
      </w:pPr>
      <w:r>
        <w:t xml:space="preserve">Eesti lühiajalise üüri turul tegutsevad nii ettevõtted kui </w:t>
      </w:r>
      <w:r w:rsidR="29FF0F52">
        <w:t xml:space="preserve">ka </w:t>
      </w:r>
      <w:r>
        <w:t xml:space="preserve">eraisikud. Turuosaliste enda hinnangul </w:t>
      </w:r>
      <w:r w:rsidR="00992EAB">
        <w:t xml:space="preserve">tegutsetakse pigem ettevõtluse </w:t>
      </w:r>
      <w:r w:rsidR="00811788">
        <w:t>vormis</w:t>
      </w:r>
      <w:r>
        <w:t xml:space="preserve">. </w:t>
      </w:r>
      <w:r w:rsidR="00F03A24">
        <w:t>Ka</w:t>
      </w:r>
      <w:r w:rsidR="001F0B2B">
        <w:t xml:space="preserve"> turgu iseloomustavate andmete analüüs (vt täpsemalt peatükk </w:t>
      </w:r>
      <w:r w:rsidR="6D174230">
        <w:t>2</w:t>
      </w:r>
      <w:r w:rsidR="001F0B2B">
        <w:t xml:space="preserve">) näitab, et </w:t>
      </w:r>
      <w:r w:rsidR="6D174230">
        <w:t>suurt</w:t>
      </w:r>
      <w:r w:rsidR="000B3F16">
        <w:t xml:space="preserve"> osa teenuse </w:t>
      </w:r>
      <w:r w:rsidR="6D174230">
        <w:t>turust hallatakse</w:t>
      </w:r>
      <w:r w:rsidR="000B3F16">
        <w:t xml:space="preserve"> professionaalselt (</w:t>
      </w:r>
      <w:r w:rsidR="008336A1" w:rsidRPr="00B67DEC">
        <w:rPr>
          <w:rFonts w:eastAsia="Aptos"/>
        </w:rPr>
        <w:t xml:space="preserve">keskmiselt 74% </w:t>
      </w:r>
      <w:r w:rsidR="00B67DEC" w:rsidRPr="00B67DEC">
        <w:rPr>
          <w:rFonts w:eastAsia="Aptos"/>
        </w:rPr>
        <w:t>lühi</w:t>
      </w:r>
      <w:r w:rsidR="00F03A24">
        <w:rPr>
          <w:rFonts w:eastAsia="Aptos"/>
        </w:rPr>
        <w:t>a</w:t>
      </w:r>
      <w:r w:rsidR="00B67DEC" w:rsidRPr="00B67DEC">
        <w:rPr>
          <w:rFonts w:eastAsia="Aptos"/>
        </w:rPr>
        <w:t xml:space="preserve">jalise </w:t>
      </w:r>
      <w:r w:rsidR="008336A1" w:rsidRPr="00B67DEC">
        <w:rPr>
          <w:rFonts w:eastAsia="Aptos"/>
        </w:rPr>
        <w:t>üüri</w:t>
      </w:r>
      <w:r w:rsidR="00B67DEC" w:rsidRPr="00B67DEC">
        <w:rPr>
          <w:rFonts w:eastAsia="Aptos"/>
        </w:rPr>
        <w:t xml:space="preserve"> </w:t>
      </w:r>
      <w:r w:rsidR="008336A1" w:rsidRPr="00B67DEC">
        <w:rPr>
          <w:rFonts w:eastAsia="Aptos"/>
        </w:rPr>
        <w:t xml:space="preserve">pindadest </w:t>
      </w:r>
      <w:r w:rsidR="00B67DEC" w:rsidRPr="00B67DEC">
        <w:rPr>
          <w:rFonts w:eastAsia="Aptos"/>
        </w:rPr>
        <w:t xml:space="preserve">on </w:t>
      </w:r>
      <w:r w:rsidR="008336A1" w:rsidRPr="00B67DEC">
        <w:rPr>
          <w:rFonts w:eastAsia="Aptos"/>
        </w:rPr>
        <w:t xml:space="preserve">sellised, mille pakkujale kuulus vähemalt </w:t>
      </w:r>
      <w:r w:rsidR="00B67DEC" w:rsidRPr="00B67DEC">
        <w:rPr>
          <w:rFonts w:eastAsia="Aptos"/>
        </w:rPr>
        <w:t>kaks</w:t>
      </w:r>
      <w:r w:rsidR="008336A1" w:rsidRPr="00B67DEC">
        <w:rPr>
          <w:rFonts w:eastAsia="Aptos"/>
        </w:rPr>
        <w:t xml:space="preserve"> üüripinda</w:t>
      </w:r>
      <w:r w:rsidR="00B67DEC" w:rsidRPr="00B67DEC">
        <w:rPr>
          <w:rFonts w:eastAsia="Aptos"/>
        </w:rPr>
        <w:t>).</w:t>
      </w:r>
      <w:r w:rsidRPr="00B67DEC">
        <w:rPr>
          <w:rFonts w:eastAsia="Aptos"/>
        </w:rPr>
        <w:t xml:space="preserve"> </w:t>
      </w:r>
      <w:r>
        <w:t>Kehtiva</w:t>
      </w:r>
      <w:r w:rsidR="548CE9A5">
        <w:t>s Eesti</w:t>
      </w:r>
      <w:r>
        <w:t xml:space="preserve"> õigu</w:t>
      </w:r>
      <w:r w:rsidR="548CE9A5">
        <w:t>ses</w:t>
      </w:r>
      <w:r>
        <w:t xml:space="preserve"> ei ole piiranguid majutusteenuse osutaja juriidilisele vormile. Sisuliselt saab teenuse osutaja ise valida</w:t>
      </w:r>
      <w:r w:rsidR="7F31B1D3">
        <w:t xml:space="preserve">, </w:t>
      </w:r>
      <w:r>
        <w:t>millise</w:t>
      </w:r>
      <w:r w:rsidR="55BE7D06">
        <w:t>s</w:t>
      </w:r>
      <w:r>
        <w:t xml:space="preserve"> vormis ta </w:t>
      </w:r>
      <w:r w:rsidR="55BE7D06">
        <w:t>majandustegevusega tegeleda</w:t>
      </w:r>
      <w:r>
        <w:t xml:space="preserve"> soovib ning vastavalt sellele täita nt registreerimise, maksustamise, raamatupidamise jms nõuded nagu ka kõikide teiste tegevusalade puhul.</w:t>
      </w:r>
    </w:p>
    <w:p w14:paraId="015311E7" w14:textId="1FE0FD45" w:rsidR="00047A89" w:rsidRDefault="00554745" w:rsidP="007F08F4">
      <w:pPr>
        <w:pStyle w:val="ListParagraph"/>
        <w:numPr>
          <w:ilvl w:val="0"/>
          <w:numId w:val="44"/>
        </w:numPr>
        <w:jc w:val="both"/>
      </w:pPr>
      <w:r>
        <w:t xml:space="preserve">Uuringu raames kogutud andmete analüüs (vt täpsemalt peatükk </w:t>
      </w:r>
      <w:r w:rsidR="00442C2F">
        <w:t>2</w:t>
      </w:r>
      <w:r>
        <w:t>) kinnitas, et teistest piirkondadest oluliselt suurem nõudlus ja pakkumine on Tallinnas, Tartus, Lääne-Eestis (sh Pärnus ja Kuressaares). Ka i</w:t>
      </w:r>
      <w:r w:rsidR="2E5B6E1A">
        <w:t xml:space="preserve">ntervjuude põhjal </w:t>
      </w:r>
      <w:r w:rsidR="0E4B0677">
        <w:t>on</w:t>
      </w:r>
      <w:r w:rsidR="2E5B6E1A">
        <w:t xml:space="preserve"> majutusteenuse pakkumine aktiivsem suuremates keskustes ning suunatud lisaks turistidele ka teistele ajutist majutust vajavatele inimestele (nt töölähetuse puhul). Selline turu toimimine on sarnane n</w:t>
      </w:r>
      <w:r w:rsidR="00184A0C">
        <w:t>-</w:t>
      </w:r>
      <w:r w:rsidR="2E5B6E1A">
        <w:t>ö traditsioonilisele majutussektorile.</w:t>
      </w:r>
    </w:p>
    <w:p w14:paraId="1715B4A1" w14:textId="7FDF0788" w:rsidR="00ED3AA8" w:rsidRDefault="5A847D63" w:rsidP="00005906">
      <w:pPr>
        <w:pStyle w:val="ListParagraph"/>
        <w:numPr>
          <w:ilvl w:val="0"/>
          <w:numId w:val="44"/>
        </w:numPr>
        <w:jc w:val="both"/>
      </w:pPr>
      <w:r>
        <w:t xml:space="preserve">Teenuse pakkumine toimub </w:t>
      </w:r>
      <w:r w:rsidR="00587B37">
        <w:t xml:space="preserve">suures osas </w:t>
      </w:r>
      <w:r>
        <w:t xml:space="preserve">platvormimajanduse osana, </w:t>
      </w:r>
      <w:r w:rsidR="6F0C6ADE">
        <w:t>kuid mitte ainult. Levinud on</w:t>
      </w:r>
      <w:r>
        <w:t xml:space="preserve"> vahendusteenust osutavad digitaalsed platvormid</w:t>
      </w:r>
      <w:r w:rsidR="61C69A8B">
        <w:t>,</w:t>
      </w:r>
      <w:r>
        <w:t xml:space="preserve"> nagu Airbnb, Booking.com</w:t>
      </w:r>
      <w:r w:rsidR="6F0C6ADE">
        <w:t xml:space="preserve">. </w:t>
      </w:r>
      <w:r w:rsidR="00587B37">
        <w:t>I</w:t>
      </w:r>
      <w:r w:rsidR="6F0C6ADE">
        <w:t xml:space="preserve">ntervjuude ja dokumendianalüüsi </w:t>
      </w:r>
      <w:r w:rsidR="00587B37">
        <w:t xml:space="preserve">saab </w:t>
      </w:r>
      <w:r w:rsidR="6F0C6ADE">
        <w:t xml:space="preserve">põhjal järeldada, et </w:t>
      </w:r>
      <w:r w:rsidR="00A12ED4">
        <w:t xml:space="preserve">vähesel määral </w:t>
      </w:r>
      <w:r w:rsidR="6F0C6ADE">
        <w:t xml:space="preserve">kasutatakse ka </w:t>
      </w:r>
      <w:r w:rsidR="75B35D12">
        <w:t>erinevaid sotsiaalmeedia kanaleid ja kohalikke turismi veebisaite, viimaseid just väljaspool suuri linnasid asuvat</w:t>
      </w:r>
      <w:r w:rsidR="2E49B51A">
        <w:t>e</w:t>
      </w:r>
      <w:r w:rsidR="75B35D12">
        <w:t xml:space="preserve"> pakkumiste puhul</w:t>
      </w:r>
      <w:r w:rsidR="003B02E6">
        <w:t xml:space="preserve"> (vt täpsemalt turu toimimise statistikat peatükist 2)</w:t>
      </w:r>
      <w:r w:rsidR="75B35D12">
        <w:t>.</w:t>
      </w:r>
      <w:r w:rsidR="002A6ED5">
        <w:t xml:space="preserve"> </w:t>
      </w:r>
    </w:p>
    <w:p w14:paraId="4117AC51" w14:textId="622C182A" w:rsidR="005B15E3" w:rsidRDefault="0AC8AE18" w:rsidP="00502714">
      <w:pPr>
        <w:jc w:val="both"/>
      </w:pPr>
      <w:r w:rsidRPr="00EF4631">
        <w:rPr>
          <w:b/>
        </w:rPr>
        <w:t xml:space="preserve">Lühiajalise üüri teenuste sisulist vastavust majutusteenusele </w:t>
      </w:r>
      <w:r w:rsidR="636C7153" w:rsidRPr="00EF4631">
        <w:rPr>
          <w:b/>
        </w:rPr>
        <w:t>toetab ka</w:t>
      </w:r>
      <w:r w:rsidR="636C7153">
        <w:t xml:space="preserve"> </w:t>
      </w:r>
      <w:r w:rsidR="636C7153" w:rsidRPr="00921574">
        <w:rPr>
          <w:b/>
          <w:bCs/>
        </w:rPr>
        <w:t>välisriikide praktika analüüs</w:t>
      </w:r>
      <w:r w:rsidR="636C7153">
        <w:t xml:space="preserve">. </w:t>
      </w:r>
      <w:r w:rsidR="2D847B88">
        <w:t>Ka a</w:t>
      </w:r>
      <w:r w:rsidR="0920B76B" w:rsidRPr="00E14EBC">
        <w:t xml:space="preserve">nalüüsitud </w:t>
      </w:r>
      <w:r w:rsidR="3A120C65" w:rsidRPr="00E14EBC">
        <w:t>välisriikide</w:t>
      </w:r>
      <w:r w:rsidR="3A120C65">
        <w:t>s</w:t>
      </w:r>
      <w:r w:rsidR="3A120C65" w:rsidRPr="00E14EBC">
        <w:t xml:space="preserve"> </w:t>
      </w:r>
      <w:r w:rsidR="7E796F17" w:rsidRPr="00E14EBC">
        <w:t>(</w:t>
      </w:r>
      <w:bookmarkStart w:id="86" w:name="_Hlk196725345"/>
      <w:r w:rsidR="7E796F17" w:rsidRPr="00E14EBC">
        <w:t>Hollandi, Saksamaa, Soome, Šveitsi ja Tšehhi</w:t>
      </w:r>
      <w:bookmarkEnd w:id="86"/>
      <w:r w:rsidR="7E796F17" w:rsidRPr="00E14EBC">
        <w:t>) defineeritakse lühiajali</w:t>
      </w:r>
      <w:r w:rsidR="7E796F17">
        <w:t>s</w:t>
      </w:r>
      <w:r w:rsidR="7E796F17" w:rsidRPr="00E14EBC">
        <w:t>e üür</w:t>
      </w:r>
      <w:r w:rsidR="7E796F17">
        <w:t>i teenus</w:t>
      </w:r>
      <w:r w:rsidR="4AB2BA4C">
        <w:t xml:space="preserve"> sisuliselt</w:t>
      </w:r>
      <w:r w:rsidR="7E796F17" w:rsidRPr="00E14EBC">
        <w:t xml:space="preserve"> kui ajuti</w:t>
      </w:r>
      <w:r w:rsidR="754F40C2" w:rsidRPr="00E14EBC">
        <w:t>s</w:t>
      </w:r>
      <w:r w:rsidR="39978A56" w:rsidRPr="00E14EBC">
        <w:t>t</w:t>
      </w:r>
      <w:r w:rsidR="7E796F17" w:rsidRPr="00E14EBC">
        <w:t xml:space="preserve"> majutus</w:t>
      </w:r>
      <w:r w:rsidR="54D4989E" w:rsidRPr="00E14EBC">
        <w:t>t</w:t>
      </w:r>
      <w:r w:rsidR="7E796F17" w:rsidRPr="00E14EBC">
        <w:t>, mille kestus jääb mõnest päevast kuni nelja nädala või kuue kuuni (vt täpsemalt lisa 1 ja lisa 2). Lühiajalise üüri eristamise aluseks pikaajalisest eluruumi üürimisest on üüriperioodi pikkus ja osade riikide näitel ka pakutava teenuse laad</w:t>
      </w:r>
      <w:r w:rsidR="00C74BC2">
        <w:t xml:space="preserve"> ehk kas tegemist on ajutis</w:t>
      </w:r>
      <w:r w:rsidR="00971A4F">
        <w:t>e</w:t>
      </w:r>
      <w:r w:rsidR="00C74BC2">
        <w:t xml:space="preserve"> ja turismi eesmärgil pakutava teenusega või pigem</w:t>
      </w:r>
      <w:r w:rsidR="00971A4F">
        <w:t xml:space="preserve"> püsivama elukoha ja klassikalise üüri teenusega</w:t>
      </w:r>
      <w:r w:rsidR="7E796F17" w:rsidRPr="00E14EBC">
        <w:t xml:space="preserve">. </w:t>
      </w:r>
      <w:r w:rsidR="00674BEF">
        <w:t>Lühiajali</w:t>
      </w:r>
      <w:r w:rsidR="004C7AC7">
        <w:t>s</w:t>
      </w:r>
      <w:r w:rsidR="00674BEF">
        <w:t>e üüri teenuse konkreetse defineerimise</w:t>
      </w:r>
      <w:r w:rsidR="00674BEF" w:rsidRPr="00E14EBC">
        <w:t xml:space="preserve"> </w:t>
      </w:r>
      <w:r w:rsidR="7E796F17" w:rsidRPr="00E14EBC">
        <w:t xml:space="preserve">osas </w:t>
      </w:r>
      <w:r w:rsidR="00674BEF">
        <w:t>kasutatakse</w:t>
      </w:r>
      <w:r w:rsidR="00674BEF" w:rsidRPr="00E14EBC">
        <w:t xml:space="preserve"> </w:t>
      </w:r>
      <w:r w:rsidR="7E796F17" w:rsidRPr="00E14EBC">
        <w:t>erinevaid lähenemisi. Näiteks Soomes on lühiajalise üüri teenuse definitsioon arendusjärgus, kuid seal on riiklik ehitusjärelevalve ühing loonud detailse kriteeriumide</w:t>
      </w:r>
      <w:r w:rsidR="005B15E3" w:rsidRPr="00E14EBC">
        <w:rPr>
          <w:rStyle w:val="FootnoteReference"/>
        </w:rPr>
        <w:footnoteReference w:id="54"/>
      </w:r>
      <w:r w:rsidR="7E796F17" w:rsidRPr="00E14EBC">
        <w:t xml:space="preserve"> kogumi, mille alusel otsustatakse klassifitseerimine </w:t>
      </w:r>
      <w:r w:rsidR="02943EB7">
        <w:t>üürimiseks ja majutuseks</w:t>
      </w:r>
      <w:r w:rsidR="7E796F17" w:rsidRPr="00E14EBC">
        <w:t xml:space="preserve">. </w:t>
      </w:r>
    </w:p>
    <w:p w14:paraId="003A450A" w14:textId="77777777" w:rsidR="0059724A" w:rsidRDefault="0059724A" w:rsidP="00502714">
      <w:pPr>
        <w:jc w:val="both"/>
      </w:pPr>
    </w:p>
    <w:p w14:paraId="39209079" w14:textId="77777777" w:rsidR="0059724A" w:rsidRDefault="0059724A" w:rsidP="00502714">
      <w:pPr>
        <w:jc w:val="both"/>
      </w:pPr>
    </w:p>
    <w:p w14:paraId="64F132DF" w14:textId="77777777" w:rsidR="0059724A" w:rsidRDefault="0059724A" w:rsidP="00502714">
      <w:pPr>
        <w:jc w:val="both"/>
      </w:pPr>
    </w:p>
    <w:p w14:paraId="7ED39F85" w14:textId="77777777" w:rsidR="0059724A" w:rsidRDefault="0059724A" w:rsidP="00502714">
      <w:pPr>
        <w:jc w:val="both"/>
      </w:pPr>
    </w:p>
    <w:p w14:paraId="4CED1681" w14:textId="77777777" w:rsidR="0059724A" w:rsidRDefault="0059724A" w:rsidP="00502714">
      <w:pPr>
        <w:jc w:val="both"/>
      </w:pPr>
    </w:p>
    <w:p w14:paraId="45468561" w14:textId="14CF942A" w:rsidR="00B10405" w:rsidRDefault="13A62ADE" w:rsidP="00502714">
      <w:pPr>
        <w:pStyle w:val="TableTitle"/>
        <w:jc w:val="both"/>
      </w:pPr>
      <w:r>
        <w:lastRenderedPageBreak/>
        <w:t>Joonis 1: Lühiajalise üüri teenuse mõiste defineerimise loogika</w:t>
      </w:r>
    </w:p>
    <w:p w14:paraId="3D77BD98" w14:textId="49FEC0BF" w:rsidR="00B10405" w:rsidRPr="006D2886" w:rsidRDefault="00EF2E95" w:rsidP="00502714">
      <w:pPr>
        <w:jc w:val="both"/>
      </w:pPr>
      <w:r w:rsidRPr="00EF2E95">
        <w:rPr>
          <w:noProof/>
        </w:rPr>
        <w:drawing>
          <wp:inline distT="0" distB="0" distL="0" distR="0" wp14:anchorId="3BEE5EDC" wp14:editId="0E33E02B">
            <wp:extent cx="6516370" cy="3909695"/>
            <wp:effectExtent l="0" t="0" r="0" b="0"/>
            <wp:docPr id="1669365647" name="Picture 1" descr="A diagram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65647" name="Picture 1" descr="A diagram with text and words&#10;&#10;AI-generated content may be incorrect."/>
                    <pic:cNvPicPr/>
                  </pic:nvPicPr>
                  <pic:blipFill>
                    <a:blip r:embed="rId16"/>
                    <a:stretch>
                      <a:fillRect/>
                    </a:stretch>
                  </pic:blipFill>
                  <pic:spPr>
                    <a:xfrm>
                      <a:off x="0" y="0"/>
                      <a:ext cx="6516370" cy="3909695"/>
                    </a:xfrm>
                    <a:prstGeom prst="rect">
                      <a:avLst/>
                    </a:prstGeom>
                  </pic:spPr>
                </pic:pic>
              </a:graphicData>
            </a:graphic>
          </wp:inline>
        </w:drawing>
      </w:r>
    </w:p>
    <w:p w14:paraId="272A8666" w14:textId="0DF03E88" w:rsidR="00B74421" w:rsidRPr="00B74421" w:rsidRDefault="0095474D" w:rsidP="00BE179D">
      <w:pPr>
        <w:pStyle w:val="BottomCaption"/>
      </w:pPr>
      <w:r>
        <w:t xml:space="preserve">* </w:t>
      </w:r>
      <w:r w:rsidR="00B74421">
        <w:t xml:space="preserve">Statistika esitamise kohustus on </w:t>
      </w:r>
      <w:r w:rsidR="00B74421" w:rsidRPr="00B74421">
        <w:t xml:space="preserve">5 ja enama voodikohaga </w:t>
      </w:r>
      <w:r w:rsidR="00283EB6" w:rsidRPr="00B74421">
        <w:t>EMTAK tegevusaladega 551-553</w:t>
      </w:r>
      <w:r w:rsidR="00283EB6">
        <w:t xml:space="preserve"> </w:t>
      </w:r>
      <w:r w:rsidR="00B74421" w:rsidRPr="00B74421">
        <w:t>põhi</w:t>
      </w:r>
      <w:r w:rsidR="00283EB6">
        <w:t>-</w:t>
      </w:r>
      <w:r w:rsidR="00B74421" w:rsidRPr="00B74421">
        <w:t xml:space="preserve"> või kõrvaltegevusena majutusteenust pakkuva</w:t>
      </w:r>
      <w:r w:rsidR="00283EB6">
        <w:t>tel</w:t>
      </w:r>
      <w:r w:rsidR="00B74421" w:rsidRPr="00B74421">
        <w:t xml:space="preserve"> majutuskoh</w:t>
      </w:r>
      <w:r w:rsidR="00EA6F16">
        <w:t>tadel</w:t>
      </w:r>
      <w:r w:rsidR="00B74421" w:rsidRPr="00B74421">
        <w:t>.</w:t>
      </w:r>
    </w:p>
    <w:p w14:paraId="217A6359" w14:textId="4D354297" w:rsidR="00926B0C" w:rsidRDefault="5096351A" w:rsidP="00502714">
      <w:pPr>
        <w:jc w:val="both"/>
      </w:pPr>
      <w:r>
        <w:t>Oluline on</w:t>
      </w:r>
      <w:r w:rsidR="10AEF6C2">
        <w:t xml:space="preserve"> mõista, et majutusteenuste</w:t>
      </w:r>
      <w:r w:rsidR="05A486FA">
        <w:t>,</w:t>
      </w:r>
      <w:r w:rsidR="10AEF6C2">
        <w:t xml:space="preserve"> sh lühiajalise üüri </w:t>
      </w:r>
      <w:r w:rsidR="505EC66E">
        <w:t xml:space="preserve">teenuste </w:t>
      </w:r>
      <w:r w:rsidR="10AEF6C2">
        <w:t xml:space="preserve">turg on </w:t>
      </w:r>
      <w:r w:rsidR="10AEF6C2" w:rsidRPr="5848DE21">
        <w:rPr>
          <w:b/>
          <w:bCs/>
        </w:rPr>
        <w:t>väga mitmetahuline ja kompleksne.</w:t>
      </w:r>
      <w:r w:rsidR="10AEF6C2">
        <w:t xml:space="preserve"> </w:t>
      </w:r>
      <w:r w:rsidR="118BEE8A">
        <w:t xml:space="preserve">Majutusteenusele ja lühiajalise üüri teenusele </w:t>
      </w:r>
      <w:r w:rsidR="368B94AF">
        <w:t>iseloomulikud tunnused</w:t>
      </w:r>
      <w:r w:rsidR="629A2EFE">
        <w:t xml:space="preserve"> on omavahel tihedalt p</w:t>
      </w:r>
      <w:r w:rsidR="1D2AA147">
        <w:t>õimunud ning e</w:t>
      </w:r>
      <w:r w:rsidR="629A2EFE">
        <w:t>i ole võimal</w:t>
      </w:r>
      <w:r w:rsidR="1D2AA147">
        <w:t xml:space="preserve">ik </w:t>
      </w:r>
      <w:r w:rsidR="00397546">
        <w:t xml:space="preserve">ühe kindla tunnuse alusel </w:t>
      </w:r>
      <w:r w:rsidR="1D2AA147">
        <w:t xml:space="preserve">tõmmata piiri, kust </w:t>
      </w:r>
      <w:r w:rsidR="1AC4322A">
        <w:t>lõpeb n</w:t>
      </w:r>
      <w:r w:rsidR="0007374F">
        <w:t>-</w:t>
      </w:r>
      <w:r w:rsidR="1AC4322A">
        <w:t xml:space="preserve">ö klassikaline hotellimajutus ja algab </w:t>
      </w:r>
      <w:r w:rsidR="3B6148F3">
        <w:t>lühiajalise üüri teenuse pakkumine</w:t>
      </w:r>
      <w:r w:rsidR="2B85E7D5">
        <w:t>; võ</w:t>
      </w:r>
      <w:r w:rsidR="28B01F31">
        <w:t xml:space="preserve">i kust algab </w:t>
      </w:r>
      <w:r w:rsidR="74A2250E">
        <w:t>üüritehing</w:t>
      </w:r>
      <w:r w:rsidR="2B85E7D5">
        <w:t xml:space="preserve">; või </w:t>
      </w:r>
      <w:r w:rsidR="3FD84BFB">
        <w:t xml:space="preserve">kus </w:t>
      </w:r>
      <w:r w:rsidR="40E46E0A">
        <w:t xml:space="preserve">on täpselt piir äritegevuse suunitlusega </w:t>
      </w:r>
      <w:r w:rsidR="0144201F">
        <w:t>või</w:t>
      </w:r>
      <w:r w:rsidR="581A3196">
        <w:t xml:space="preserve"> ressursside alakasutusest tingitud </w:t>
      </w:r>
      <w:r w:rsidR="0144201F">
        <w:t>tehingu vahel.</w:t>
      </w:r>
    </w:p>
    <w:p w14:paraId="5BDB525E" w14:textId="0F488794" w:rsidR="00382DDD" w:rsidRDefault="4691030E" w:rsidP="00502714">
      <w:pPr>
        <w:jc w:val="both"/>
      </w:pPr>
      <w:r>
        <w:t>Ka klassikalist hotellimajutust saab pidada lühiajalise üüri teenuseks, mis võib toimuda platvormimajanduse vormis</w:t>
      </w:r>
      <w:r w:rsidR="4FF24A41">
        <w:t xml:space="preserve">, sest hotellides </w:t>
      </w:r>
      <w:r w:rsidR="7D76C73D">
        <w:t>üüritakse</w:t>
      </w:r>
      <w:r w:rsidR="4FF24A41">
        <w:t xml:space="preserve"> ka sisuliselt tube välja </w:t>
      </w:r>
      <w:r w:rsidR="5271821E">
        <w:t>l</w:t>
      </w:r>
      <w:r w:rsidR="750AFF47">
        <w:t>ü</w:t>
      </w:r>
      <w:r w:rsidR="5271821E">
        <w:t xml:space="preserve">hiajaliselt </w:t>
      </w:r>
      <w:r w:rsidR="4FF24A41">
        <w:t xml:space="preserve">ja teenust reklaamitakse samadel </w:t>
      </w:r>
      <w:r w:rsidR="7D76C73D">
        <w:t>platvormidel (nt Booking jt)</w:t>
      </w:r>
      <w:r>
        <w:t xml:space="preserve">. </w:t>
      </w:r>
      <w:r w:rsidR="7D76C73D">
        <w:t>Ä</w:t>
      </w:r>
      <w:r>
        <w:t>riühingu</w:t>
      </w:r>
      <w:r w:rsidR="5F274F8C">
        <w:t xml:space="preserve"> kaudu lühiajalise üüri teenuste pakkuja on samamoodi äriregistris registreeritud nagu klassikaline hotell. Seejuures võib mõlemate puhul kehtida olukord, et majutusteenus ei ole nende põhitegevusala</w:t>
      </w:r>
      <w:r w:rsidR="7BE14EF2">
        <w:t xml:space="preserve"> või vastupidi.</w:t>
      </w:r>
    </w:p>
    <w:p w14:paraId="11E9CE13" w14:textId="2ECB8632" w:rsidR="001F24D7" w:rsidRDefault="00351BAB" w:rsidP="00502714">
      <w:pPr>
        <w:jc w:val="both"/>
      </w:pPr>
      <w:r>
        <w:t>Ühe tegurina võib ma</w:t>
      </w:r>
      <w:r w:rsidR="001F24D7">
        <w:t>ju</w:t>
      </w:r>
      <w:r w:rsidR="00C869DF">
        <w:t>tus</w:t>
      </w:r>
      <w:r w:rsidR="001F24D7">
        <w:t xml:space="preserve">teenuse pakkumist iseloomustada </w:t>
      </w:r>
      <w:r w:rsidR="009E7601">
        <w:t>regulaar</w:t>
      </w:r>
      <w:r w:rsidR="00E62050">
        <w:t>sus</w:t>
      </w:r>
      <w:r w:rsidR="009E7601">
        <w:t xml:space="preserve"> ja tulu </w:t>
      </w:r>
      <w:r w:rsidR="00522141">
        <w:t xml:space="preserve">või kasu </w:t>
      </w:r>
      <w:r w:rsidR="009E7601">
        <w:t xml:space="preserve">saamiseks </w:t>
      </w:r>
      <w:r w:rsidR="003E484A">
        <w:t>suunatud</w:t>
      </w:r>
      <w:r w:rsidR="009E7601">
        <w:t xml:space="preserve"> tegevus. Samas kui keegi otsustab </w:t>
      </w:r>
      <w:r w:rsidR="0061066C">
        <w:t xml:space="preserve">vaid </w:t>
      </w:r>
      <w:r w:rsidR="009E7601">
        <w:t xml:space="preserve">ühekordselt </w:t>
      </w:r>
      <w:r w:rsidR="00745E80">
        <w:t xml:space="preserve">tulu või kasu saades </w:t>
      </w:r>
      <w:r w:rsidR="00806807">
        <w:t xml:space="preserve">ruumi majutuseks välja </w:t>
      </w:r>
      <w:r w:rsidR="004B2F46">
        <w:t>anda</w:t>
      </w:r>
      <w:r w:rsidR="00806807">
        <w:t xml:space="preserve">, siis on samamoodi tegu sisuliselt majutusteenusega. </w:t>
      </w:r>
    </w:p>
    <w:p w14:paraId="2DFB1377" w14:textId="4DE66843" w:rsidR="00926B0C" w:rsidRDefault="4E23A926" w:rsidP="00BB6D45">
      <w:pPr>
        <w:jc w:val="both"/>
      </w:pPr>
      <w:r>
        <w:t xml:space="preserve">Kuigi tänases õiguses on sätestatud, et alla </w:t>
      </w:r>
      <w:r w:rsidR="00784C92">
        <w:t>kolme</w:t>
      </w:r>
      <w:r>
        <w:t xml:space="preserve"> kuulise</w:t>
      </w:r>
      <w:r w:rsidR="67FF8E59">
        <w:t>ks</w:t>
      </w:r>
      <w:r>
        <w:t xml:space="preserve"> </w:t>
      </w:r>
      <w:r w:rsidR="19420A7F">
        <w:t>majutuseks või puhkamiseks mõeldud ruumi üürimisele ei kohald</w:t>
      </w:r>
      <w:r w:rsidR="67FF8E59">
        <w:t>u</w:t>
      </w:r>
      <w:r w:rsidR="19420A7F">
        <w:t xml:space="preserve"> üürilepingu sätteid, siis samas on ka osapooltel õigus </w:t>
      </w:r>
      <w:r w:rsidR="42EF6E7B">
        <w:t xml:space="preserve">lepingu tingimused omavahel kokku leppida ja sisust tulenevalt tehingut üüritehinguna käsitleda. </w:t>
      </w:r>
      <w:r w:rsidR="6A79FF88">
        <w:t xml:space="preserve">Teisalt kirjeldati intervjuudes, et vahel võib majutusteenuse vajadus olla ka pikem kui </w:t>
      </w:r>
      <w:r w:rsidR="00A919D0">
        <w:t>kolm</w:t>
      </w:r>
      <w:r w:rsidR="6A79FF88">
        <w:t xml:space="preserve"> kuud, kuid </w:t>
      </w:r>
      <w:r w:rsidR="6A79FF88">
        <w:lastRenderedPageBreak/>
        <w:t>teenuse sisu mõttes on ikkagi tegu majutusega.</w:t>
      </w:r>
      <w:r w:rsidR="701E576F">
        <w:t xml:space="preserve"> Seega ei saa ka 3</w:t>
      </w:r>
      <w:r w:rsidR="03BFC4CF">
        <w:t>-</w:t>
      </w:r>
      <w:r w:rsidR="701E576F">
        <w:t>kuuline piirang üksi määrata</w:t>
      </w:r>
      <w:r w:rsidR="094D3A68">
        <w:t>,</w:t>
      </w:r>
      <w:r w:rsidR="701E576F">
        <w:t xml:space="preserve"> kas tegu on majutusteenusega või mitte.</w:t>
      </w:r>
    </w:p>
    <w:p w14:paraId="6A04B31A" w14:textId="7BB79B44" w:rsidR="00265C51" w:rsidRDefault="00D523C8" w:rsidP="0055393F">
      <w:pPr>
        <w:pStyle w:val="MintBlock"/>
      </w:pPr>
      <w:r>
        <w:t xml:space="preserve">Kokkuvõtteks märgime, et </w:t>
      </w:r>
      <w:r w:rsidR="001F7C15">
        <w:t xml:space="preserve">praktikas võib olla lõputu hulk erinevaid </w:t>
      </w:r>
      <w:r w:rsidR="001F7C15" w:rsidRPr="00B806FE">
        <w:t>võimalusi ruumide kasutada andmiseks</w:t>
      </w:r>
      <w:r w:rsidR="001F7C15">
        <w:t xml:space="preserve">. Seega tuleks </w:t>
      </w:r>
      <w:r>
        <w:t>i</w:t>
      </w:r>
      <w:r w:rsidR="00265C51" w:rsidRPr="00B806FE">
        <w:t xml:space="preserve">ga üksiku </w:t>
      </w:r>
      <w:r w:rsidR="00BA1AC2" w:rsidRPr="00B806FE">
        <w:t>tehingu defineerimise</w:t>
      </w:r>
      <w:r w:rsidR="00E06B7A">
        <w:t>l</w:t>
      </w:r>
      <w:r w:rsidR="00BA1AC2" w:rsidRPr="00B806FE">
        <w:t xml:space="preserve"> </w:t>
      </w:r>
      <w:r w:rsidR="00265C51" w:rsidRPr="00B806FE">
        <w:t>majutusteenuse</w:t>
      </w:r>
      <w:r w:rsidR="00BA1AC2" w:rsidRPr="00B806FE">
        <w:t>ks</w:t>
      </w:r>
      <w:r w:rsidR="00265C51" w:rsidRPr="00B806FE">
        <w:t xml:space="preserve"> (sh lühiajalise üüri teenuse</w:t>
      </w:r>
      <w:r w:rsidR="0055393F">
        <w:t>ks</w:t>
      </w:r>
      <w:r w:rsidR="00265C51" w:rsidRPr="00B806FE">
        <w:t>)</w:t>
      </w:r>
      <w:r w:rsidR="00BA1AC2" w:rsidRPr="00B806FE">
        <w:t xml:space="preserve"> hinnata </w:t>
      </w:r>
      <w:r w:rsidR="00FD161D">
        <w:t xml:space="preserve">koosmõjus </w:t>
      </w:r>
      <w:r w:rsidR="00E06B7A">
        <w:t xml:space="preserve">selle tehingu kõiki tunnuseid ja </w:t>
      </w:r>
      <w:r w:rsidR="00ED3ABF">
        <w:t xml:space="preserve">tegelikku </w:t>
      </w:r>
      <w:r w:rsidR="00E06B7A">
        <w:t>sisu</w:t>
      </w:r>
      <w:r w:rsidR="002602D5">
        <w:t xml:space="preserve">. </w:t>
      </w:r>
      <w:r w:rsidR="00BA1AC2" w:rsidRPr="00B806FE">
        <w:t xml:space="preserve">Siiski saab suures plaanis </w:t>
      </w:r>
      <w:r w:rsidR="00EE3F2F" w:rsidRPr="00B806FE">
        <w:t xml:space="preserve">eristada meie uuritavat objekti </w:t>
      </w:r>
      <w:r w:rsidR="00B806FE" w:rsidRPr="00B806FE">
        <w:t>traditsioonilisest</w:t>
      </w:r>
      <w:r w:rsidR="003D5D3B" w:rsidRPr="00B806FE">
        <w:t xml:space="preserve"> hotellisektorist ning </w:t>
      </w:r>
      <w:r w:rsidR="00B806FE" w:rsidRPr="00B806FE">
        <w:t>klassikaliselt jagamismajanduse põhimõttel tehtud tehingutest</w:t>
      </w:r>
      <w:r w:rsidR="0055393F">
        <w:t xml:space="preserve">. </w:t>
      </w:r>
    </w:p>
    <w:p w14:paraId="1B0AE4E9" w14:textId="77777777" w:rsidR="0055393F" w:rsidRPr="00B806FE" w:rsidRDefault="0055393F" w:rsidP="0055393F">
      <w:pPr>
        <w:pStyle w:val="MintBlock"/>
      </w:pPr>
    </w:p>
    <w:p w14:paraId="1CE9465B" w14:textId="292C3DDE" w:rsidR="00597271" w:rsidRPr="00490EB4" w:rsidRDefault="4E55EA72" w:rsidP="0055393F">
      <w:pPr>
        <w:pStyle w:val="MintBlock"/>
        <w:rPr>
          <w:b/>
          <w:bCs/>
        </w:rPr>
      </w:pPr>
      <w:r>
        <w:t>Tuleneva</w:t>
      </w:r>
      <w:r w:rsidR="108BC184">
        <w:t>lt</w:t>
      </w:r>
      <w:r>
        <w:t xml:space="preserve"> eelneva</w:t>
      </w:r>
      <w:r w:rsidR="108BC184">
        <w:t>st</w:t>
      </w:r>
      <w:r w:rsidR="386171BE">
        <w:t>,</w:t>
      </w:r>
      <w:r>
        <w:t xml:space="preserve"> </w:t>
      </w:r>
      <w:r w:rsidR="278180D4">
        <w:t>oleme</w:t>
      </w:r>
      <w:r>
        <w:t xml:space="preserve"> käesolevas </w:t>
      </w:r>
      <w:r w:rsidR="108BC184">
        <w:t>aruandes</w:t>
      </w:r>
      <w:r>
        <w:t xml:space="preserve"> ja edasises analüüsis </w:t>
      </w:r>
      <w:r w:rsidRPr="5848DE21">
        <w:rPr>
          <w:b/>
          <w:bCs/>
        </w:rPr>
        <w:t>vaatluse all</w:t>
      </w:r>
      <w:r w:rsidR="278180D4" w:rsidRPr="5848DE21">
        <w:rPr>
          <w:b/>
          <w:bCs/>
        </w:rPr>
        <w:t>a võtnud</w:t>
      </w:r>
      <w:r w:rsidRPr="5848DE21">
        <w:rPr>
          <w:b/>
          <w:bCs/>
        </w:rPr>
        <w:t xml:space="preserve"> </w:t>
      </w:r>
      <w:r w:rsidR="6E46080F" w:rsidRPr="5848DE21">
        <w:rPr>
          <w:b/>
          <w:bCs/>
        </w:rPr>
        <w:t>selle</w:t>
      </w:r>
      <w:r w:rsidR="4C9C6CA3" w:rsidRPr="5848DE21">
        <w:rPr>
          <w:b/>
          <w:bCs/>
        </w:rPr>
        <w:t xml:space="preserve"> osa Eesti majutusteenuse turust</w:t>
      </w:r>
      <w:r w:rsidR="4C9C6CA3">
        <w:t xml:space="preserve">, kus üldiselt </w:t>
      </w:r>
      <w:r w:rsidR="454ED595">
        <w:t xml:space="preserve">lühiajalise üüri teenuse osutamine </w:t>
      </w:r>
      <w:r w:rsidR="36AA2BB8">
        <w:t>(ehk sisuliselt majutusteenuse osutamine)</w:t>
      </w:r>
      <w:r w:rsidR="36AA2BB8" w:rsidRPr="5848DE21">
        <w:rPr>
          <w:b/>
          <w:bCs/>
        </w:rPr>
        <w:t xml:space="preserve"> </w:t>
      </w:r>
      <w:r w:rsidR="454ED595" w:rsidRPr="5848DE21">
        <w:rPr>
          <w:b/>
          <w:bCs/>
        </w:rPr>
        <w:t xml:space="preserve">toimub ärilistel eesmärkidel ning eluruumis. </w:t>
      </w:r>
    </w:p>
    <w:p w14:paraId="491A6B44" w14:textId="77777777" w:rsidR="00490EB4" w:rsidRDefault="00490EB4" w:rsidP="00B10405">
      <w:pPr>
        <w:spacing w:before="0" w:line="259" w:lineRule="auto"/>
        <w:rPr>
          <w:rStyle w:val="PurpleText"/>
        </w:rPr>
      </w:pPr>
    </w:p>
    <w:p w14:paraId="35B14484" w14:textId="3E57CB2E" w:rsidR="00B10405" w:rsidRPr="004C0F5D" w:rsidRDefault="005243DD" w:rsidP="00B10405">
      <w:pPr>
        <w:spacing w:before="0" w:line="259" w:lineRule="auto"/>
        <w:rPr>
          <w:rStyle w:val="PurpleText"/>
        </w:rPr>
      </w:pPr>
      <w:r w:rsidRPr="004C0F5D">
        <w:rPr>
          <w:rStyle w:val="PurpleText"/>
        </w:rPr>
        <w:t>Majutusteenustele kehtivate nõuete täitmisest</w:t>
      </w:r>
    </w:p>
    <w:p w14:paraId="7116B12C" w14:textId="1B3AB0FA" w:rsidR="00BB6D45" w:rsidRDefault="00422487" w:rsidP="008545ED">
      <w:pPr>
        <w:jc w:val="both"/>
      </w:pPr>
      <w:r>
        <w:t xml:space="preserve">Lähtudes tehtud järeldusest, et </w:t>
      </w:r>
      <w:r w:rsidR="00FB1067">
        <w:t xml:space="preserve">sisuliselt vastab </w:t>
      </w:r>
      <w:r w:rsidR="004756C9">
        <w:t>Eestis kasutatav</w:t>
      </w:r>
      <w:r w:rsidR="00C26BE3">
        <w:t xml:space="preserve"> termin „lühiajalise üüri teenus“ majutusteenuse sisule</w:t>
      </w:r>
      <w:r w:rsidR="00B21B82">
        <w:t xml:space="preserve">, </w:t>
      </w:r>
      <w:r w:rsidR="00BB6D45">
        <w:t>siis</w:t>
      </w:r>
      <w:r w:rsidR="007A44FC">
        <w:t xml:space="preserve"> </w:t>
      </w:r>
      <w:r w:rsidR="007A44FC" w:rsidRPr="00A50359">
        <w:rPr>
          <w:b/>
          <w:bCs/>
        </w:rPr>
        <w:t>kohalduvad lühi</w:t>
      </w:r>
      <w:r w:rsidR="004756C9" w:rsidRPr="00A50359">
        <w:rPr>
          <w:b/>
          <w:bCs/>
        </w:rPr>
        <w:t>a</w:t>
      </w:r>
      <w:r w:rsidR="007A44FC" w:rsidRPr="00A50359">
        <w:rPr>
          <w:b/>
          <w:bCs/>
        </w:rPr>
        <w:t>jalise üüri teenuse pakkumisele ka kõik</w:t>
      </w:r>
      <w:r w:rsidR="007A44FC">
        <w:t xml:space="preserve"> </w:t>
      </w:r>
      <w:r w:rsidR="00A368F8" w:rsidRPr="00AC3B93">
        <w:rPr>
          <w:b/>
          <w:bCs/>
        </w:rPr>
        <w:t>majutus</w:t>
      </w:r>
      <w:r w:rsidR="00690C38" w:rsidRPr="00AC3B93">
        <w:rPr>
          <w:b/>
          <w:bCs/>
        </w:rPr>
        <w:t xml:space="preserve">teenusele ja </w:t>
      </w:r>
      <w:r w:rsidR="00A368F8" w:rsidRPr="00AC3B93">
        <w:rPr>
          <w:b/>
          <w:bCs/>
        </w:rPr>
        <w:t>majutus</w:t>
      </w:r>
      <w:r w:rsidR="00690C38" w:rsidRPr="00AC3B93">
        <w:rPr>
          <w:b/>
          <w:bCs/>
        </w:rPr>
        <w:t xml:space="preserve">teenuse </w:t>
      </w:r>
      <w:r w:rsidR="00667C82">
        <w:rPr>
          <w:b/>
          <w:bCs/>
        </w:rPr>
        <w:t>osutajale</w:t>
      </w:r>
      <w:r w:rsidR="00690C38" w:rsidRPr="00AC3B93">
        <w:rPr>
          <w:b/>
          <w:bCs/>
        </w:rPr>
        <w:t xml:space="preserve"> </w:t>
      </w:r>
      <w:r w:rsidR="007A44FC">
        <w:rPr>
          <w:b/>
          <w:bCs/>
        </w:rPr>
        <w:t>kehtivad</w:t>
      </w:r>
      <w:r w:rsidR="00690C38" w:rsidRPr="00AC3B93">
        <w:rPr>
          <w:b/>
          <w:bCs/>
        </w:rPr>
        <w:t xml:space="preserve"> nõuded</w:t>
      </w:r>
      <w:r w:rsidR="00A368F8">
        <w:t xml:space="preserve"> </w:t>
      </w:r>
      <w:r w:rsidR="007A44FC" w:rsidRPr="007A44FC">
        <w:rPr>
          <w:b/>
          <w:bCs/>
        </w:rPr>
        <w:t>ja regulatsioonid</w:t>
      </w:r>
      <w:r w:rsidR="007A44FC">
        <w:t xml:space="preserve"> </w:t>
      </w:r>
      <w:r w:rsidR="00A368F8">
        <w:t>(vt Joonis 1)</w:t>
      </w:r>
      <w:r w:rsidR="00690C38">
        <w:t>.</w:t>
      </w:r>
    </w:p>
    <w:p w14:paraId="2A74F4FF" w14:textId="35A42A1B" w:rsidR="00A25DDA" w:rsidRDefault="57B55510" w:rsidP="008545ED">
      <w:pPr>
        <w:jc w:val="both"/>
      </w:pPr>
      <w:r>
        <w:t>Kuna</w:t>
      </w:r>
      <w:r w:rsidR="44A25D98">
        <w:t xml:space="preserve"> </w:t>
      </w:r>
      <w:r w:rsidR="4ADBA94D">
        <w:t xml:space="preserve">Eestis ei ole lühiajalise üüri teenust </w:t>
      </w:r>
      <w:r w:rsidR="3A3C0531">
        <w:t xml:space="preserve">seni </w:t>
      </w:r>
      <w:r w:rsidR="4ADBA94D">
        <w:t>selgesõnaliselt defineeritud</w:t>
      </w:r>
      <w:r>
        <w:t xml:space="preserve">, siis see </w:t>
      </w:r>
      <w:r w:rsidR="4AADEA25">
        <w:t xml:space="preserve">on kaasa toonud olukorra, </w:t>
      </w:r>
      <w:r w:rsidR="7CDED36A">
        <w:t xml:space="preserve">kus </w:t>
      </w:r>
      <w:r w:rsidR="34F09945" w:rsidRPr="288A3578">
        <w:rPr>
          <w:b/>
          <w:bCs/>
        </w:rPr>
        <w:t>kõik lühiajalise üüri teenuse osutajad selliseid</w:t>
      </w:r>
      <w:r w:rsidR="4ADBA94D" w:rsidRPr="288A3578">
        <w:rPr>
          <w:b/>
          <w:bCs/>
        </w:rPr>
        <w:t xml:space="preserve"> majutusteenuste nõudeid </w:t>
      </w:r>
      <w:r w:rsidR="34F09945" w:rsidRPr="288A3578">
        <w:rPr>
          <w:b/>
          <w:bCs/>
        </w:rPr>
        <w:t>täielikult või osaliselt ei täida</w:t>
      </w:r>
      <w:r w:rsidR="4ADBA94D">
        <w:t xml:space="preserve">. Siinkohal on oluline rõhutada, et meil puuduvad tõendid selle kohta, </w:t>
      </w:r>
      <w:r w:rsidR="7777DD34">
        <w:t xml:space="preserve">millises mahus võib </w:t>
      </w:r>
      <w:r w:rsidR="5F1CA60D">
        <w:t>nõuete</w:t>
      </w:r>
      <w:r w:rsidR="4ADBA94D">
        <w:t xml:space="preserve"> mittetäitmine</w:t>
      </w:r>
      <w:r w:rsidR="5F1CA60D">
        <w:t xml:space="preserve"> toimuda</w:t>
      </w:r>
      <w:r w:rsidR="4ADBA94D">
        <w:t xml:space="preserve">. </w:t>
      </w:r>
      <w:r w:rsidR="5F1CA60D">
        <w:t>Ühelt poolt v</w:t>
      </w:r>
      <w:r w:rsidR="78267F93">
        <w:t xml:space="preserve">õib arvata, et </w:t>
      </w:r>
      <w:r w:rsidR="239237BE">
        <w:t xml:space="preserve">lühiajalise üüri teenuste pakkujad on ise ka huvitatud enda teenuse kõrgest kvaliteedist (mis lubab küsida paremat tasu ning tagab </w:t>
      </w:r>
      <w:r w:rsidR="6F52D4DC">
        <w:t>läbi külaliste rahuolu ka järgmiste klientide leidmise)</w:t>
      </w:r>
      <w:r w:rsidR="17618CD8">
        <w:t xml:space="preserve">, mistõttu nad üldiselt hoolitsevad niikuinii </w:t>
      </w:r>
      <w:r w:rsidR="40D1C193">
        <w:t>piisaval</w:t>
      </w:r>
      <w:r w:rsidR="17618CD8">
        <w:t xml:space="preserve"> määral </w:t>
      </w:r>
      <w:r w:rsidR="2ED3977C">
        <w:t xml:space="preserve">vajalike tuleohutus-, hügieeni- jms nõuete eest. </w:t>
      </w:r>
      <w:r w:rsidR="5DFC8AF1">
        <w:t xml:space="preserve">Samas võib esineda ka olukordi, kus </w:t>
      </w:r>
      <w:r w:rsidR="1306DF5C">
        <w:t xml:space="preserve">nõuete mittetäitmine võib toimuda lihtsalt </w:t>
      </w:r>
      <w:r w:rsidR="4D0FBC0D">
        <w:t>teadmatusest</w:t>
      </w:r>
      <w:r w:rsidR="1306DF5C">
        <w:t xml:space="preserve"> või </w:t>
      </w:r>
      <w:r w:rsidR="4D0FBC0D">
        <w:t xml:space="preserve">hoopis eiratakse </w:t>
      </w:r>
      <w:r w:rsidR="5D99F4B4">
        <w:t xml:space="preserve">teadlikult </w:t>
      </w:r>
      <w:r w:rsidR="4D0FBC0D">
        <w:t xml:space="preserve">ka minimaalsete nõuete täitmist </w:t>
      </w:r>
      <w:r w:rsidR="5DFC8AF1">
        <w:t>kulude kokkuhoiu nimel. Siinkohal on oluline roll järelevalveasutustel</w:t>
      </w:r>
      <w:r w:rsidR="5F1CA60D">
        <w:t>, kes on ka täna kohustatud kehtivate nõuete ja regulatsioonide täitmise üle järelevalvet tegema.</w:t>
      </w:r>
    </w:p>
    <w:p w14:paraId="4B297D9F" w14:textId="2FF1E491" w:rsidR="008545ED" w:rsidRDefault="00EE34FE" w:rsidP="008545ED">
      <w:pPr>
        <w:jc w:val="both"/>
      </w:pPr>
      <w:r>
        <w:t xml:space="preserve">Lisaks </w:t>
      </w:r>
      <w:r w:rsidR="002E61EB">
        <w:t xml:space="preserve">on oluline välja tuua, </w:t>
      </w:r>
      <w:r w:rsidR="1ABE8D24">
        <w:t xml:space="preserve">et Eesti lühiajalise üüri teenuste turg on </w:t>
      </w:r>
      <w:r w:rsidR="002E61EB">
        <w:t xml:space="preserve">aja jooksul </w:t>
      </w:r>
      <w:r w:rsidR="1ABE8D24">
        <w:t xml:space="preserve">märkimisväärselt arenenud ja kasvanud, </w:t>
      </w:r>
      <w:r w:rsidR="002E61EB">
        <w:t xml:space="preserve">mille tulemusel </w:t>
      </w:r>
      <w:r w:rsidR="0275740F">
        <w:t xml:space="preserve">võib turul esineda olukordi, kus </w:t>
      </w:r>
      <w:r w:rsidR="4E3C0E27">
        <w:t xml:space="preserve">ühes eluhoones (nt kortermajas) </w:t>
      </w:r>
      <w:r w:rsidR="0B6905E0">
        <w:t xml:space="preserve">on </w:t>
      </w:r>
      <w:r w:rsidR="3184ACB2">
        <w:t xml:space="preserve">majutusteenuste pakkumiseks kasutavate eluruumide (korterite) ja </w:t>
      </w:r>
      <w:r w:rsidR="01CC69A2">
        <w:t xml:space="preserve">pakutavate voodikohtade </w:t>
      </w:r>
      <w:r w:rsidR="3184ACB2">
        <w:t xml:space="preserve">arv </w:t>
      </w:r>
      <w:r w:rsidR="3184ACB2" w:rsidRPr="1688D34F">
        <w:rPr>
          <w:b/>
          <w:bCs/>
        </w:rPr>
        <w:t xml:space="preserve">ületanud sellise </w:t>
      </w:r>
      <w:r w:rsidR="01CC69A2" w:rsidRPr="1688D34F">
        <w:rPr>
          <w:b/>
          <w:bCs/>
        </w:rPr>
        <w:t>kriitilise</w:t>
      </w:r>
      <w:r w:rsidR="3184ACB2" w:rsidRPr="1688D34F">
        <w:rPr>
          <w:b/>
          <w:bCs/>
        </w:rPr>
        <w:t xml:space="preserve"> piiri</w:t>
      </w:r>
      <w:r w:rsidR="01CC69A2">
        <w:t>, et</w:t>
      </w:r>
      <w:r w:rsidR="005C3AD2">
        <w:t xml:space="preserve"> </w:t>
      </w:r>
      <w:r w:rsidR="01CC69A2">
        <w:t xml:space="preserve">nende ruumide ja hoonete omanikud </w:t>
      </w:r>
      <w:r w:rsidR="31AE356B">
        <w:t>peaksid</w:t>
      </w:r>
      <w:r w:rsidR="01CC69A2">
        <w:t xml:space="preserve"> </w:t>
      </w:r>
      <w:r w:rsidR="01CC69A2" w:rsidRPr="1688D34F">
        <w:rPr>
          <w:b/>
          <w:bCs/>
        </w:rPr>
        <w:t xml:space="preserve">täitma </w:t>
      </w:r>
      <w:r w:rsidR="1DC4CB70" w:rsidRPr="1688D34F">
        <w:rPr>
          <w:b/>
          <w:bCs/>
        </w:rPr>
        <w:t xml:space="preserve">täiendavaid nõudeid või </w:t>
      </w:r>
      <w:r w:rsidR="005C3AD2">
        <w:rPr>
          <w:b/>
          <w:bCs/>
        </w:rPr>
        <w:t xml:space="preserve">tuleks kaaluda </w:t>
      </w:r>
      <w:r w:rsidR="1DC4CB70" w:rsidRPr="1688D34F">
        <w:rPr>
          <w:b/>
          <w:bCs/>
        </w:rPr>
        <w:t>ruumide/hoone kasutusotstar</w:t>
      </w:r>
      <w:r w:rsidR="005C3AD2">
        <w:rPr>
          <w:b/>
          <w:bCs/>
        </w:rPr>
        <w:t>be</w:t>
      </w:r>
      <w:r w:rsidR="009D4F44">
        <w:rPr>
          <w:b/>
          <w:bCs/>
        </w:rPr>
        <w:t xml:space="preserve"> muutmist</w:t>
      </w:r>
      <w:r w:rsidR="1DC4CB70">
        <w:t xml:space="preserve">. </w:t>
      </w:r>
      <w:r w:rsidR="21BF9B7E">
        <w:t xml:space="preserve">Nendeks tegevusteks on </w:t>
      </w:r>
      <w:r w:rsidR="0296C335">
        <w:t xml:space="preserve">sisuliselt </w:t>
      </w:r>
      <w:r w:rsidR="21BF9B7E">
        <w:t xml:space="preserve">tänases õiguses </w:t>
      </w:r>
      <w:r w:rsidR="0296C335">
        <w:t>vajalikud</w:t>
      </w:r>
      <w:r w:rsidR="21BF9B7E">
        <w:t xml:space="preserve"> hoovad ja protsessid</w:t>
      </w:r>
      <w:r w:rsidR="0296C335">
        <w:t xml:space="preserve"> olemas. Probleemiks on, et ühelt poolt puudub </w:t>
      </w:r>
      <w:r w:rsidR="000B3BDC">
        <w:t>ülevaade</w:t>
      </w:r>
      <w:r w:rsidR="78C03F6F">
        <w:t>,</w:t>
      </w:r>
      <w:r w:rsidR="000B3BDC">
        <w:t xml:space="preserve"> millistes hoonetes on selline olukord tekkinud</w:t>
      </w:r>
      <w:r w:rsidR="0296C335">
        <w:t>, sh isegi eluhoone omanikel võib olla keeruline sellis</w:t>
      </w:r>
      <w:r w:rsidR="003546EC">
        <w:t>t</w:t>
      </w:r>
      <w:r w:rsidR="0296C335">
        <w:t xml:space="preserve"> olukor</w:t>
      </w:r>
      <w:r w:rsidR="003546EC">
        <w:t>da</w:t>
      </w:r>
      <w:r w:rsidR="0296C335">
        <w:t xml:space="preserve"> tuvastada</w:t>
      </w:r>
      <w:r w:rsidR="1DA3C8EC">
        <w:t>,</w:t>
      </w:r>
      <w:r w:rsidR="0296C335">
        <w:t xml:space="preserve"> kui </w:t>
      </w:r>
      <w:r w:rsidR="163B0E1F">
        <w:t>samas hoones tegutsev</w:t>
      </w:r>
      <w:r w:rsidR="003546EC">
        <w:t>(</w:t>
      </w:r>
      <w:r w:rsidR="163B0E1F">
        <w:t>ad</w:t>
      </w:r>
      <w:r w:rsidR="003546EC">
        <w:t>)</w:t>
      </w:r>
      <w:r w:rsidR="163B0E1F">
        <w:t xml:space="preserve"> </w:t>
      </w:r>
      <w:r w:rsidR="0296C335">
        <w:t>majutusteenuste osutaja(d) ei soovi koostööd teha. Teisalt tekitab</w:t>
      </w:r>
      <w:r w:rsidR="24855141">
        <w:t xml:space="preserve"> see märkimisväärset bürokraatiat ja lisakoormust nii sellistele majutusteenuste pakkujatele, nendega seotud korteriühistutele</w:t>
      </w:r>
      <w:r w:rsidR="3603EC6F">
        <w:t xml:space="preserve"> ja </w:t>
      </w:r>
      <w:r w:rsidR="2A96E81F">
        <w:t>naab</w:t>
      </w:r>
      <w:r w:rsidR="5DB543F3">
        <w:t>ritele</w:t>
      </w:r>
      <w:r w:rsidR="24855141">
        <w:t xml:space="preserve">, kohalikele omavalitsustele kui </w:t>
      </w:r>
      <w:r w:rsidR="4AA6D092">
        <w:t xml:space="preserve">ka </w:t>
      </w:r>
      <w:r w:rsidR="24855141">
        <w:t>järelevalveasutustel</w:t>
      </w:r>
      <w:r w:rsidR="3A1BE1E3">
        <w:t>e.</w:t>
      </w:r>
    </w:p>
    <w:p w14:paraId="1447084A" w14:textId="7BB33F73" w:rsidR="0059131B" w:rsidRDefault="61BC265F" w:rsidP="0059131B">
      <w:pPr>
        <w:pStyle w:val="MintBlock"/>
      </w:pPr>
      <w:r>
        <w:lastRenderedPageBreak/>
        <w:t xml:space="preserve">Kokkuvõtvalt saab järeldada, et tänases Eesti õiguses on </w:t>
      </w:r>
      <w:r w:rsidR="0C1A420F" w:rsidRPr="5848DE21">
        <w:rPr>
          <w:b/>
          <w:bCs/>
        </w:rPr>
        <w:t xml:space="preserve">sisuliselt </w:t>
      </w:r>
      <w:r w:rsidRPr="5848DE21">
        <w:rPr>
          <w:b/>
          <w:bCs/>
        </w:rPr>
        <w:t xml:space="preserve">olemas </w:t>
      </w:r>
      <w:r w:rsidR="1C6199DB" w:rsidRPr="5848DE21">
        <w:rPr>
          <w:b/>
          <w:bCs/>
        </w:rPr>
        <w:t>raamistik</w:t>
      </w:r>
      <w:r w:rsidR="1C6199DB">
        <w:t>, milles lühiajalise üüri teenuseid kui majutusteenuseid käsitleda</w:t>
      </w:r>
      <w:r w:rsidR="2C51FB67">
        <w:t>,</w:t>
      </w:r>
      <w:r w:rsidR="1C6199DB">
        <w:t xml:space="preserve"> ning </w:t>
      </w:r>
      <w:r>
        <w:t xml:space="preserve">kõik </w:t>
      </w:r>
      <w:r w:rsidR="1C6199DB">
        <w:t xml:space="preserve">vajalikud </w:t>
      </w:r>
      <w:r>
        <w:t>nõuded ja reeglid</w:t>
      </w:r>
      <w:r w:rsidR="64EFA72A">
        <w:t xml:space="preserve">, millest </w:t>
      </w:r>
      <w:r w:rsidR="1C6199DB">
        <w:t>nende teenuste pakkumisel saab ja peab lähtuma</w:t>
      </w:r>
      <w:r w:rsidR="64EFA72A">
        <w:t>.</w:t>
      </w:r>
    </w:p>
    <w:p w14:paraId="5302FB94" w14:textId="77777777" w:rsidR="0059131B" w:rsidRDefault="0059131B" w:rsidP="0059131B">
      <w:pPr>
        <w:pStyle w:val="MintBlock"/>
      </w:pPr>
    </w:p>
    <w:p w14:paraId="741F86BD" w14:textId="2696244D" w:rsidR="008545ED" w:rsidRPr="00660598" w:rsidRDefault="3386780F" w:rsidP="0059131B">
      <w:pPr>
        <w:pStyle w:val="MintBlock"/>
      </w:pPr>
      <w:r>
        <w:t>Osade</w:t>
      </w:r>
      <w:r w:rsidR="64EFA72A">
        <w:t xml:space="preserve"> </w:t>
      </w:r>
      <w:r w:rsidR="64EFA72A" w:rsidRPr="5848DE21">
        <w:rPr>
          <w:b/>
          <w:bCs/>
        </w:rPr>
        <w:t xml:space="preserve">nõuete täitmine </w:t>
      </w:r>
      <w:r w:rsidR="06331EF6" w:rsidRPr="5848DE21">
        <w:rPr>
          <w:b/>
          <w:bCs/>
        </w:rPr>
        <w:t xml:space="preserve">võib aga </w:t>
      </w:r>
      <w:r w:rsidR="0F208C1A" w:rsidRPr="5848DE21">
        <w:rPr>
          <w:b/>
          <w:bCs/>
        </w:rPr>
        <w:t xml:space="preserve">praktikas </w:t>
      </w:r>
      <w:r w:rsidR="64EFA72A" w:rsidRPr="5848DE21">
        <w:rPr>
          <w:b/>
          <w:bCs/>
        </w:rPr>
        <w:t>osutada keeruliseks</w:t>
      </w:r>
      <w:r w:rsidR="10AEF6C2">
        <w:t xml:space="preserve">, niisamuti on keeruline ja väga palju ressurssi nõudev nende </w:t>
      </w:r>
      <w:r w:rsidRPr="5848DE21">
        <w:rPr>
          <w:b/>
          <w:bCs/>
        </w:rPr>
        <w:t xml:space="preserve">nõuete </w:t>
      </w:r>
      <w:r w:rsidR="10AEF6C2" w:rsidRPr="5848DE21">
        <w:rPr>
          <w:b/>
          <w:bCs/>
        </w:rPr>
        <w:t>täitmise järelevalve</w:t>
      </w:r>
      <w:r w:rsidR="0F208C1A" w:rsidRPr="5848DE21">
        <w:rPr>
          <w:b/>
          <w:bCs/>
        </w:rPr>
        <w:t xml:space="preserve"> teostamine</w:t>
      </w:r>
      <w:r w:rsidR="10AEF6C2">
        <w:t>.</w:t>
      </w:r>
    </w:p>
    <w:p w14:paraId="2754BFA6" w14:textId="77777777" w:rsidR="006D2886" w:rsidRDefault="006D2886" w:rsidP="006D2886"/>
    <w:p w14:paraId="03495921" w14:textId="77777777" w:rsidR="006D2886" w:rsidRDefault="006D2886" w:rsidP="006D2886"/>
    <w:p w14:paraId="75B8A180" w14:textId="77777777" w:rsidR="003A3316" w:rsidRDefault="003A3316" w:rsidP="006D2886"/>
    <w:p w14:paraId="22811E31" w14:textId="77777777" w:rsidR="00BD1691" w:rsidRDefault="00BD1691" w:rsidP="006D2886"/>
    <w:p w14:paraId="3942AE8D" w14:textId="77777777" w:rsidR="00BD1691" w:rsidRDefault="00BD1691" w:rsidP="006D2886"/>
    <w:p w14:paraId="709E1E10" w14:textId="7CF43DED" w:rsidR="00555DFE" w:rsidRDefault="00555DFE">
      <w:pPr>
        <w:spacing w:before="0" w:line="259" w:lineRule="auto"/>
      </w:pPr>
      <w:r>
        <w:br w:type="page"/>
      </w:r>
    </w:p>
    <w:p w14:paraId="0FBDD40D" w14:textId="70D5674B" w:rsidR="00C34CC8" w:rsidRPr="00BD46FD" w:rsidRDefault="001D570B" w:rsidP="005300AA">
      <w:pPr>
        <w:pStyle w:val="Heading1"/>
        <w:rPr>
          <w:rFonts w:hint="eastAsia"/>
          <w:b/>
          <w:bCs/>
        </w:rPr>
      </w:pPr>
      <w:bookmarkStart w:id="87" w:name="_Toc197718065"/>
      <w:r>
        <w:rPr>
          <w:b/>
          <w:bCs/>
        </w:rPr>
        <w:lastRenderedPageBreak/>
        <w:t xml:space="preserve"> </w:t>
      </w:r>
      <w:bookmarkStart w:id="88" w:name="_Toc208991596"/>
      <w:r w:rsidR="4E440EBC" w:rsidRPr="00BD46FD">
        <w:rPr>
          <w:b/>
          <w:bCs/>
        </w:rPr>
        <w:t>Eesti lühiajalise üüri turu maht ja omadused</w:t>
      </w:r>
      <w:bookmarkEnd w:id="87"/>
      <w:bookmarkEnd w:id="88"/>
    </w:p>
    <w:p w14:paraId="3B1B726C" w14:textId="494F87D4" w:rsidR="002D1560" w:rsidRPr="00E14EBC" w:rsidRDefault="00956B26" w:rsidP="002D1560">
      <w:pPr>
        <w:pStyle w:val="MintBlock"/>
        <w:spacing w:before="0" w:after="120"/>
        <w:ind w:left="0"/>
      </w:pPr>
      <w:r>
        <w:t xml:space="preserve">Lühiajalise üüriteenuse pakkumise maht kogu Eestis on meie hinnangul maksimaalselt 50 tuhat voodikohta enam kui kümnes tuhandes majutuskohas, kusjuures majanduslikult aktiivseid majutuskohti oli 2023. aastal ligi 5400. </w:t>
      </w:r>
      <w:r w:rsidRPr="00772186">
        <w:rPr>
          <w:b/>
          <w:bCs/>
        </w:rPr>
        <w:t xml:space="preserve">Lühiajalise üüriteenuse nõudluse maht kogu Eestis oli 2023. aastal </w:t>
      </w:r>
      <w:r w:rsidRPr="00772186">
        <w:rPr>
          <w:b/>
          <w:bCs/>
          <w:i/>
        </w:rPr>
        <w:t>ca</w:t>
      </w:r>
      <w:r w:rsidRPr="00772186">
        <w:rPr>
          <w:b/>
          <w:bCs/>
        </w:rPr>
        <w:t xml:space="preserve"> 1,5 miljonit ööbimist ja veidi üle 600 tuhande majutatu.</w:t>
      </w:r>
    </w:p>
    <w:p w14:paraId="51993FE1" w14:textId="539E4CB9" w:rsidR="00956B26" w:rsidRDefault="00956B26" w:rsidP="00514229">
      <w:pPr>
        <w:pStyle w:val="MintBlock"/>
        <w:spacing w:before="0" w:after="120"/>
        <w:ind w:left="0"/>
      </w:pPr>
    </w:p>
    <w:p w14:paraId="3E4F7B87" w14:textId="183EC515" w:rsidR="0044105B" w:rsidRDefault="0044105B" w:rsidP="00514229">
      <w:pPr>
        <w:pStyle w:val="MintBlock"/>
        <w:spacing w:before="0" w:after="120"/>
        <w:ind w:left="0"/>
      </w:pPr>
      <w:r w:rsidRPr="00E14EBC" w:rsidDel="002D1560">
        <w:t xml:space="preserve">Maakondades, eriti suvituspiirkondades, tõi 2020–2022 hüppeliselt kasvanud Eesti-sisene nõudlus kaasa suhteliselt suure ja kiire lühiajalise üüri pakkumise kasvu. Siseturist on muutunud lühiajalise üüriteenuse pakkujate jaoks väga oluliseks sihtrühmaks, seda eriti madalhooajal. </w:t>
      </w:r>
    </w:p>
    <w:p w14:paraId="621125F0" w14:textId="77777777" w:rsidR="001C6658" w:rsidRPr="00E14EBC" w:rsidDel="002D1560" w:rsidRDefault="001C6658" w:rsidP="00514229">
      <w:pPr>
        <w:pStyle w:val="MintBlock"/>
        <w:spacing w:before="0" w:after="120"/>
        <w:ind w:left="0"/>
      </w:pPr>
    </w:p>
    <w:p w14:paraId="404A30CA" w14:textId="5460542B" w:rsidR="0044105B" w:rsidRPr="00E14EBC" w:rsidRDefault="5C27EA51" w:rsidP="00514229">
      <w:pPr>
        <w:pStyle w:val="MintBlock"/>
        <w:spacing w:before="0" w:after="120"/>
        <w:ind w:left="0"/>
      </w:pPr>
      <w:r w:rsidRPr="00772186">
        <w:rPr>
          <w:b/>
          <w:bCs/>
        </w:rPr>
        <w:t>Harjumaa</w:t>
      </w:r>
      <w:r w:rsidR="291A198A" w:rsidRPr="00772186">
        <w:rPr>
          <w:b/>
          <w:bCs/>
        </w:rPr>
        <w:t xml:space="preserve"> ja Pärnumaa moodustavad ligi poole ning koos Tartumaa ja Saaremaaga umbes 2/3 lühiajalise üüri pakkumisest</w:t>
      </w:r>
      <w:r w:rsidR="3ED277DC">
        <w:t>,</w:t>
      </w:r>
      <w:r w:rsidR="291A198A">
        <w:t xml:space="preserve"> nõudlusest (ööbimiste arvust) aga koguni 84%. </w:t>
      </w:r>
      <w:r w:rsidR="53E9762D" w:rsidRPr="00E14EBC">
        <w:t>Pool lühiajalise üüri teenuse nõudlusest on Tallinnas ning pealinnas asuvad ka kõige tundlikumad</w:t>
      </w:r>
      <w:r w:rsidR="00776B42">
        <w:t xml:space="preserve"> ehk </w:t>
      </w:r>
      <w:r w:rsidR="008E7802">
        <w:t xml:space="preserve">majutuskohtade tihedusest tingitud ulatuslike </w:t>
      </w:r>
      <w:r w:rsidR="00F73270">
        <w:t>negatiivsete mõjudega</w:t>
      </w:r>
      <w:r w:rsidR="53E9762D" w:rsidRPr="00E14EBC">
        <w:t xml:space="preserve"> piirkonnad: Rotermanni kvartal ning </w:t>
      </w:r>
      <w:r w:rsidR="00285AB6">
        <w:t>v</w:t>
      </w:r>
      <w:r w:rsidR="53E9762D" w:rsidRPr="00E14EBC">
        <w:t xml:space="preserve">analinna asum. Tallinna Kesklinna linnaosas (sh </w:t>
      </w:r>
      <w:r w:rsidR="000F3EC3">
        <w:t>v</w:t>
      </w:r>
      <w:r w:rsidR="53E9762D" w:rsidRPr="00E14EBC">
        <w:t xml:space="preserve">analinn) on üle 1500 lühiajalise üüri majutuskoha, mis moodustab umbes poole kogu Tallinna lühiajalise üüri turu pakkumisest. </w:t>
      </w:r>
    </w:p>
    <w:p w14:paraId="5633B221" w14:textId="77777777" w:rsidR="0061529A" w:rsidRDefault="0061529A" w:rsidP="0061529A">
      <w:pPr>
        <w:pStyle w:val="MintBlock"/>
        <w:spacing w:before="0" w:after="120"/>
        <w:ind w:left="0"/>
      </w:pPr>
    </w:p>
    <w:p w14:paraId="43F0B6B7" w14:textId="2965BC28" w:rsidR="00304F9B" w:rsidRPr="00E14EBC" w:rsidRDefault="00E550E9" w:rsidP="00514229">
      <w:pPr>
        <w:pStyle w:val="MintBlock"/>
        <w:spacing w:before="0" w:after="120"/>
        <w:ind w:left="0"/>
        <w:rPr>
          <w:rFonts w:ascii="Arial" w:eastAsia="Arial" w:hAnsi="Arial" w:cs="Arial"/>
          <w:lang w:val="et"/>
        </w:rPr>
      </w:pPr>
      <w:r>
        <w:t xml:space="preserve">Lühiajalise üüri turgu Eestis iseloomustab </w:t>
      </w:r>
      <w:r w:rsidRPr="00772186">
        <w:rPr>
          <w:b/>
          <w:bCs/>
        </w:rPr>
        <w:t>dünaamilisus, hooajalisus ja kontsentreeritus</w:t>
      </w:r>
      <w:r>
        <w:t xml:space="preserve">. Nõudlus peegeldab </w:t>
      </w:r>
      <w:r w:rsidRPr="00772186">
        <w:rPr>
          <w:b/>
          <w:bCs/>
        </w:rPr>
        <w:t>professionaalse äritegevuse suurt kontsentratsiooni</w:t>
      </w:r>
      <w:r>
        <w:t xml:space="preserve">, eeskätt linnadesse, pakkumine kajastab suuresti väikesemahulist ja pigem mittepüsivat majandustegevust. </w:t>
      </w:r>
      <w:r w:rsidR="50C785F7">
        <w:t>Kesk</w:t>
      </w:r>
      <w:r w:rsidR="00D83C0A">
        <w:t>miselt 9</w:t>
      </w:r>
      <w:r w:rsidR="50C785F7">
        <w:t xml:space="preserve">0% juhtudest üüritakse Eestis välja kogu kinnisasi/eluase ehk üheksal juhul kümnest ei ole majutuskoht suure tõenäosusega majutaja peamine/alaline elukoht. </w:t>
      </w:r>
      <w:r w:rsidR="43346418">
        <w:t>Ööbimistest koguni</w:t>
      </w:r>
      <w:r w:rsidR="00304F9B">
        <w:t xml:space="preserve"> </w:t>
      </w:r>
      <w:r w:rsidR="00304F9B" w:rsidRPr="0857B3BE">
        <w:rPr>
          <w:rFonts w:ascii="Arial" w:eastAsia="Arial" w:hAnsi="Arial" w:cs="Arial"/>
          <w:lang w:val="et"/>
        </w:rPr>
        <w:t xml:space="preserve">98% oli 2023. a majutuskohtades, kus üüriti välja kogu elukoht. </w:t>
      </w:r>
      <w:r w:rsidR="50C785F7">
        <w:t xml:space="preserve">Suurte majutajate kätte on koondunud 13% Tallinna </w:t>
      </w:r>
      <w:r w:rsidR="506C6716">
        <w:t>k</w:t>
      </w:r>
      <w:r w:rsidR="50C785F7">
        <w:t xml:space="preserve">esklinna ja 42% Tallinna </w:t>
      </w:r>
      <w:r w:rsidR="47AF77AD">
        <w:t>v</w:t>
      </w:r>
      <w:r w:rsidR="50C785F7">
        <w:t xml:space="preserve">analinna lühiajalise üüri turu voodikohtadest. </w:t>
      </w:r>
      <w:r w:rsidR="005E7941" w:rsidRPr="005E0760">
        <w:t>Domineerivad väikesed ühe magamistoaga (1- ja 2-toalised) majutuskohad, mis moodustavad pea kolmveerandi kogu pakkumisest. 93% ööbimistest olid kuni viie majutuskohaga majutuskohtades</w:t>
      </w:r>
      <w:r w:rsidR="005E7941">
        <w:t>.</w:t>
      </w:r>
      <w:r w:rsidR="005E7941">
        <w:rPr>
          <w:lang w:val="et"/>
        </w:rPr>
        <w:t xml:space="preserve"> </w:t>
      </w:r>
      <w:r w:rsidR="0FA569FD" w:rsidRPr="00772186">
        <w:rPr>
          <w:rFonts w:ascii="Arial" w:eastAsia="Arial" w:hAnsi="Arial" w:cs="Arial"/>
          <w:b/>
          <w:bCs/>
          <w:lang w:val="et"/>
        </w:rPr>
        <w:t>Üle poole lühiajalise üüri majutuskohtadest Eestis on saadaval vähem kui 6 kuud aastas.</w:t>
      </w:r>
    </w:p>
    <w:p w14:paraId="32D35BF0" w14:textId="77777777" w:rsidR="003445D2" w:rsidRDefault="003445D2" w:rsidP="00304F9B">
      <w:pPr>
        <w:pStyle w:val="MintBlock"/>
        <w:spacing w:before="0" w:after="120"/>
        <w:ind w:left="0"/>
      </w:pPr>
    </w:p>
    <w:p w14:paraId="49A01B6E" w14:textId="4E7C71AF" w:rsidR="0FA569FD" w:rsidRDefault="0007171D" w:rsidP="00514229">
      <w:pPr>
        <w:pStyle w:val="MintBlock"/>
        <w:spacing w:before="0" w:after="120"/>
        <w:ind w:left="0"/>
      </w:pPr>
      <w:r w:rsidRPr="00772186">
        <w:rPr>
          <w:b/>
          <w:bCs/>
        </w:rPr>
        <w:t>Lühiajalisest üürimisest teeniti 2023. aastal tulu kokku ligikaudu 32 miljonit eurot.</w:t>
      </w:r>
      <w:r>
        <w:t xml:space="preserve"> </w:t>
      </w:r>
      <w:r w:rsidR="0FA569FD">
        <w:t>Keskmine üüritulu kinnistusüksuse kohta oli 2023. aastal pisut üle 5900 euro ja keskmine üüritulu müüja kohta ligi 9200 euro. Keskmine väljaüüritud ööde arv kinnistusüksuse kohta aastas oli maakondades 33 ja kolmes eraldi analüüsitud linnas (Tallinn, Tartu, Pärnu) 61. Kinnistusüksuse teenitud tulu rendipäeva kohta oli maakondades keskmiselt 95 eurot ja kolmes linnas 84 eurot.</w:t>
      </w:r>
    </w:p>
    <w:p w14:paraId="2D9D610A" w14:textId="77777777" w:rsidR="003445D2" w:rsidRDefault="003445D2" w:rsidP="003445D2">
      <w:pPr>
        <w:pStyle w:val="MintBlock"/>
        <w:spacing w:before="0" w:after="120"/>
        <w:ind w:left="0"/>
      </w:pPr>
    </w:p>
    <w:p w14:paraId="6E76E17B" w14:textId="0D630D1F" w:rsidR="0044105B" w:rsidRPr="00E14EBC" w:rsidRDefault="176EFA16" w:rsidP="00514229">
      <w:pPr>
        <w:pStyle w:val="MintBlock"/>
        <w:spacing w:before="0" w:after="120"/>
        <w:ind w:left="0"/>
        <w:rPr>
          <w:rFonts w:ascii="Arial" w:eastAsia="Arial" w:hAnsi="Arial" w:cs="Arial"/>
          <w:noProof w:val="0"/>
        </w:rPr>
      </w:pPr>
      <w:r w:rsidRPr="5848DE21">
        <w:rPr>
          <w:rFonts w:ascii="Arial" w:eastAsia="Arial" w:hAnsi="Arial" w:cs="Arial"/>
          <w:noProof w:val="0"/>
        </w:rPr>
        <w:t xml:space="preserve">Esmastest (Eurostat, MTA, SA) ja </w:t>
      </w:r>
      <w:r w:rsidR="4455672F" w:rsidRPr="5848DE21">
        <w:rPr>
          <w:rFonts w:ascii="Arial" w:eastAsia="Arial" w:hAnsi="Arial" w:cs="Arial"/>
          <w:noProof w:val="0"/>
        </w:rPr>
        <w:t>teisestest</w:t>
      </w:r>
      <w:r w:rsidRPr="5848DE21">
        <w:rPr>
          <w:rFonts w:ascii="Arial" w:eastAsia="Arial" w:hAnsi="Arial" w:cs="Arial"/>
          <w:noProof w:val="0"/>
        </w:rPr>
        <w:t xml:space="preserve"> (Lighthouse, Air</w:t>
      </w:r>
      <w:r w:rsidR="088EDC26" w:rsidRPr="5848DE21">
        <w:rPr>
          <w:rFonts w:ascii="Arial" w:eastAsia="Arial" w:hAnsi="Arial" w:cs="Arial"/>
          <w:noProof w:val="0"/>
        </w:rPr>
        <w:t>DNA</w:t>
      </w:r>
      <w:r w:rsidRPr="5848DE21">
        <w:rPr>
          <w:rFonts w:ascii="Arial" w:eastAsia="Arial" w:hAnsi="Arial" w:cs="Arial"/>
          <w:noProof w:val="0"/>
        </w:rPr>
        <w:t xml:space="preserve">, jt) allikatest pärinevates andmetes </w:t>
      </w:r>
      <w:r w:rsidR="00601BFC">
        <w:rPr>
          <w:rFonts w:ascii="Arial" w:eastAsia="Arial" w:hAnsi="Arial" w:cs="Arial"/>
          <w:noProof w:val="0"/>
        </w:rPr>
        <w:t>ilmnevad</w:t>
      </w:r>
      <w:r w:rsidRPr="5848DE21">
        <w:rPr>
          <w:rFonts w:ascii="Arial" w:eastAsia="Arial" w:hAnsi="Arial" w:cs="Arial"/>
          <w:noProof w:val="0"/>
        </w:rPr>
        <w:t xml:space="preserve"> märkimisväärsed </w:t>
      </w:r>
      <w:r w:rsidR="00601BFC">
        <w:rPr>
          <w:rFonts w:ascii="Arial" w:eastAsia="Arial" w:hAnsi="Arial" w:cs="Arial"/>
          <w:noProof w:val="0"/>
        </w:rPr>
        <w:t>erinevused</w:t>
      </w:r>
      <w:r w:rsidRPr="5848DE21">
        <w:rPr>
          <w:rFonts w:ascii="Arial" w:eastAsia="Arial" w:hAnsi="Arial" w:cs="Arial"/>
          <w:noProof w:val="0"/>
        </w:rPr>
        <w:t xml:space="preserve">. Andmeanalüütika teenuseid pakkuvate ettevõtete poolt platvormidelt hangitud (kraabitud) </w:t>
      </w:r>
      <w:r w:rsidR="3E0A6467" w:rsidRPr="5848DE21">
        <w:rPr>
          <w:rFonts w:ascii="Arial" w:eastAsia="Arial" w:hAnsi="Arial" w:cs="Arial"/>
          <w:noProof w:val="0"/>
        </w:rPr>
        <w:t>teisesed</w:t>
      </w:r>
      <w:r w:rsidRPr="5848DE21">
        <w:rPr>
          <w:rFonts w:ascii="Arial" w:eastAsia="Arial" w:hAnsi="Arial" w:cs="Arial"/>
          <w:noProof w:val="0"/>
        </w:rPr>
        <w:t xml:space="preserve"> andmed ei ole piisavalt kvaliteetsed, et nendele tuginedes saaks teha ja jõustada sekkumisotsuseid, nt tundlike piirkondade vmt kohta.</w:t>
      </w:r>
      <w:r w:rsidR="00A16157">
        <w:rPr>
          <w:rFonts w:ascii="Arial" w:eastAsia="Arial" w:hAnsi="Arial" w:cs="Arial"/>
          <w:noProof w:val="0"/>
        </w:rPr>
        <w:t xml:space="preserve"> </w:t>
      </w:r>
      <w:r w:rsidR="009B4DF3">
        <w:rPr>
          <w:rFonts w:ascii="Arial" w:eastAsia="Arial" w:hAnsi="Arial" w:cs="Arial"/>
          <w:noProof w:val="0"/>
        </w:rPr>
        <w:t xml:space="preserve">Kõige </w:t>
      </w:r>
      <w:r w:rsidR="009C502B">
        <w:rPr>
          <w:rFonts w:ascii="Arial" w:eastAsia="Arial" w:hAnsi="Arial" w:cs="Arial"/>
          <w:noProof w:val="0"/>
        </w:rPr>
        <w:t>usaldusväärsemateks ja praktikas kasutatavaks hindame Eurostati ek</w:t>
      </w:r>
      <w:r w:rsidR="003548D3">
        <w:rPr>
          <w:rFonts w:ascii="Arial" w:eastAsia="Arial" w:hAnsi="Arial" w:cs="Arial"/>
          <w:noProof w:val="0"/>
        </w:rPr>
        <w:t>s</w:t>
      </w:r>
      <w:r w:rsidR="009C502B">
        <w:rPr>
          <w:rFonts w:ascii="Arial" w:eastAsia="Arial" w:hAnsi="Arial" w:cs="Arial"/>
          <w:noProof w:val="0"/>
        </w:rPr>
        <w:t>perimentaalstatistikat,</w:t>
      </w:r>
      <w:r w:rsidR="00FB2A14">
        <w:rPr>
          <w:rFonts w:ascii="Arial" w:eastAsia="Arial" w:hAnsi="Arial" w:cs="Arial"/>
          <w:noProof w:val="0"/>
        </w:rPr>
        <w:t xml:space="preserve"> mida tuleks detailsema ülevaate saamiseks kombineerid</w:t>
      </w:r>
      <w:r w:rsidR="007D43B4">
        <w:rPr>
          <w:rFonts w:ascii="Arial" w:eastAsia="Arial" w:hAnsi="Arial" w:cs="Arial"/>
          <w:noProof w:val="0"/>
        </w:rPr>
        <w:t>a</w:t>
      </w:r>
      <w:r w:rsidR="00FB2A14">
        <w:rPr>
          <w:rFonts w:ascii="Arial" w:eastAsia="Arial" w:hAnsi="Arial" w:cs="Arial"/>
          <w:noProof w:val="0"/>
        </w:rPr>
        <w:t xml:space="preserve"> teistest allikatest (MTA, analüütikaettevõtted, </w:t>
      </w:r>
      <w:r w:rsidR="003B1593">
        <w:rPr>
          <w:rFonts w:ascii="Arial" w:eastAsia="Arial" w:hAnsi="Arial" w:cs="Arial"/>
          <w:noProof w:val="0"/>
        </w:rPr>
        <w:t xml:space="preserve">platvormid) </w:t>
      </w:r>
      <w:r w:rsidR="00FB2A14">
        <w:rPr>
          <w:rFonts w:ascii="Arial" w:eastAsia="Arial" w:hAnsi="Arial" w:cs="Arial"/>
          <w:noProof w:val="0"/>
        </w:rPr>
        <w:t>kogutud andmetega.</w:t>
      </w:r>
    </w:p>
    <w:p w14:paraId="2B0C5974" w14:textId="048F3864" w:rsidR="00C20615" w:rsidRPr="00C20615" w:rsidRDefault="37DCE860" w:rsidP="5848DE21">
      <w:pPr>
        <w:ind w:left="-72"/>
        <w:jc w:val="both"/>
        <w:rPr>
          <w:rFonts w:eastAsiaTheme="minorEastAsia"/>
        </w:rPr>
      </w:pPr>
      <w:r w:rsidRPr="5848DE21">
        <w:rPr>
          <w:rFonts w:ascii="Arial" w:eastAsia="Arial" w:hAnsi="Arial" w:cs="Arial"/>
        </w:rPr>
        <w:t>Järgnevates alapeatükkides anname hinnangu Eesti lühiajalise üüri turu mahule nii pakkumise kui ka nõudluse vaatest</w:t>
      </w:r>
      <w:r w:rsidR="60BB3C14" w:rsidRPr="5848DE21">
        <w:rPr>
          <w:rFonts w:ascii="Arial" w:eastAsia="Arial" w:hAnsi="Arial" w:cs="Arial"/>
        </w:rPr>
        <w:t>,</w:t>
      </w:r>
      <w:r w:rsidRPr="5848DE21">
        <w:rPr>
          <w:rFonts w:ascii="Arial" w:eastAsia="Arial" w:hAnsi="Arial" w:cs="Arial"/>
        </w:rPr>
        <w:t xml:space="preserve"> tuginedes nii avaliku kui erasektori avaandmetele, päringute teel saadud andmetele kui riiklikule statistikale. Esmaselt </w:t>
      </w:r>
      <w:r w:rsidR="00775A91">
        <w:rPr>
          <w:rFonts w:ascii="Arial" w:eastAsia="Arial" w:hAnsi="Arial" w:cs="Arial"/>
        </w:rPr>
        <w:t xml:space="preserve">kirjeldame </w:t>
      </w:r>
      <w:r w:rsidR="00B15835">
        <w:rPr>
          <w:rFonts w:ascii="Arial" w:eastAsia="Arial" w:hAnsi="Arial" w:cs="Arial"/>
        </w:rPr>
        <w:t xml:space="preserve">turu analüüsimiseks kasutatud </w:t>
      </w:r>
      <w:r w:rsidRPr="5848DE21">
        <w:rPr>
          <w:rFonts w:ascii="Arial" w:eastAsia="Arial" w:hAnsi="Arial" w:cs="Arial"/>
        </w:rPr>
        <w:t>erineva</w:t>
      </w:r>
      <w:r w:rsidR="00B15835">
        <w:rPr>
          <w:rFonts w:ascii="Arial" w:eastAsia="Arial" w:hAnsi="Arial" w:cs="Arial"/>
        </w:rPr>
        <w:t>id</w:t>
      </w:r>
      <w:r w:rsidRPr="5848DE21">
        <w:rPr>
          <w:rFonts w:ascii="Arial" w:eastAsia="Arial" w:hAnsi="Arial" w:cs="Arial"/>
        </w:rPr>
        <w:t xml:space="preserve"> </w:t>
      </w:r>
      <w:r w:rsidRPr="5848DE21">
        <w:rPr>
          <w:rFonts w:ascii="Arial" w:eastAsia="Arial" w:hAnsi="Arial" w:cs="Arial"/>
        </w:rPr>
        <w:lastRenderedPageBreak/>
        <w:t>andmeallika</w:t>
      </w:r>
      <w:r w:rsidR="00B15835">
        <w:rPr>
          <w:rFonts w:ascii="Arial" w:eastAsia="Arial" w:hAnsi="Arial" w:cs="Arial"/>
        </w:rPr>
        <w:t>id</w:t>
      </w:r>
      <w:r w:rsidR="00C12BBA">
        <w:rPr>
          <w:rFonts w:ascii="Arial" w:eastAsia="Arial" w:hAnsi="Arial" w:cs="Arial"/>
        </w:rPr>
        <w:t xml:space="preserve"> ning nende kasutamise võimalusi ja piiranguid.</w:t>
      </w:r>
      <w:r w:rsidR="007336E3">
        <w:rPr>
          <w:rFonts w:eastAsiaTheme="minorEastAsia"/>
        </w:rPr>
        <w:t xml:space="preserve"> Eraldi alapeatükkides pärast turust ülevaate esitamist </w:t>
      </w:r>
      <w:r w:rsidR="006448AB">
        <w:rPr>
          <w:rFonts w:eastAsiaTheme="minorEastAsia"/>
        </w:rPr>
        <w:t>analüüsime</w:t>
      </w:r>
      <w:r w:rsidR="001751A5">
        <w:rPr>
          <w:rFonts w:eastAsiaTheme="minorEastAsia"/>
        </w:rPr>
        <w:t xml:space="preserve"> </w:t>
      </w:r>
      <w:r w:rsidR="00D607A1">
        <w:rPr>
          <w:rFonts w:eastAsiaTheme="minorEastAsia"/>
        </w:rPr>
        <w:t xml:space="preserve">ka </w:t>
      </w:r>
      <w:r w:rsidR="00516FD9">
        <w:rPr>
          <w:rFonts w:eastAsiaTheme="minorEastAsia"/>
        </w:rPr>
        <w:t>SA majutusstatistika</w:t>
      </w:r>
      <w:r w:rsidR="001751A5">
        <w:rPr>
          <w:rFonts w:eastAsiaTheme="minorEastAsia"/>
        </w:rPr>
        <w:t xml:space="preserve"> </w:t>
      </w:r>
      <w:r w:rsidR="00516FD9">
        <w:rPr>
          <w:rFonts w:eastAsiaTheme="minorEastAsia"/>
        </w:rPr>
        <w:t>ja lühiajalise üüri turu statistika kattuvust,</w:t>
      </w:r>
      <w:r w:rsidR="004B1016">
        <w:rPr>
          <w:rFonts w:eastAsiaTheme="minorEastAsia"/>
        </w:rPr>
        <w:t xml:space="preserve"> erinevate </w:t>
      </w:r>
      <w:r w:rsidR="008A4BBE">
        <w:rPr>
          <w:rFonts w:eastAsiaTheme="minorEastAsia"/>
        </w:rPr>
        <w:t xml:space="preserve">andmeallikate sobivust </w:t>
      </w:r>
      <w:r w:rsidR="004B1016">
        <w:rPr>
          <w:rFonts w:eastAsiaTheme="minorEastAsia"/>
        </w:rPr>
        <w:t>turu analüüs</w:t>
      </w:r>
      <w:r w:rsidR="008A4BBE">
        <w:rPr>
          <w:rFonts w:eastAsiaTheme="minorEastAsia"/>
        </w:rPr>
        <w:t>imise</w:t>
      </w:r>
      <w:r w:rsidR="00643DA0">
        <w:rPr>
          <w:rFonts w:eastAsiaTheme="minorEastAsia"/>
        </w:rPr>
        <w:t>l</w:t>
      </w:r>
      <w:r w:rsidR="008A4BBE">
        <w:rPr>
          <w:rFonts w:eastAsiaTheme="minorEastAsia"/>
        </w:rPr>
        <w:t xml:space="preserve"> ning</w:t>
      </w:r>
      <w:r w:rsidR="00643DA0">
        <w:rPr>
          <w:rFonts w:eastAsiaTheme="minorEastAsia"/>
        </w:rPr>
        <w:t xml:space="preserve"> </w:t>
      </w:r>
      <w:r w:rsidR="00AD0E43">
        <w:rPr>
          <w:rFonts w:eastAsiaTheme="minorEastAsia"/>
        </w:rPr>
        <w:t>sünteesime üldised järeldused lühiajalise üüri turu mahu ja omaduste kohta.</w:t>
      </w:r>
      <w:r w:rsidR="008A4BBE">
        <w:rPr>
          <w:rFonts w:eastAsiaTheme="minorEastAsia"/>
        </w:rPr>
        <w:t xml:space="preserve"> </w:t>
      </w:r>
    </w:p>
    <w:p w14:paraId="7F540EA0" w14:textId="131FB428" w:rsidR="00F87477" w:rsidRPr="00953A26" w:rsidRDefault="00C20615" w:rsidP="00514229">
      <w:pPr>
        <w:spacing w:before="0" w:line="257" w:lineRule="auto"/>
        <w:jc w:val="both"/>
        <w:rPr>
          <w:rFonts w:eastAsiaTheme="minorEastAsia"/>
        </w:rPr>
      </w:pPr>
      <w:r w:rsidRPr="00C20615">
        <w:rPr>
          <w:rFonts w:eastAsiaTheme="minorEastAsia"/>
        </w:rPr>
        <w:t>Lühiajalise üüri turgu kirjeldavate kvantitatiivse andmete analüüsimise peamised meetodid on kirjeldav ja võrdlev analüüs. Alapeatükkides 2.5 ja 2.6 esitatud järeldused arvestavad ka intervjuude ja päringute kaudu turuosalistelt kogutud teavet ning valdkonna asjatundjatega peetud konsultatsioonide käigus saadud taustateadmisi.</w:t>
      </w:r>
    </w:p>
    <w:p w14:paraId="49054682" w14:textId="325B35EC" w:rsidR="00D40A04" w:rsidRPr="00E14EBC" w:rsidRDefault="00001B0D" w:rsidP="00001B0D">
      <w:pPr>
        <w:pStyle w:val="Heading2"/>
        <w:numPr>
          <w:ilvl w:val="0"/>
          <w:numId w:val="0"/>
        </w:numPr>
        <w:rPr>
          <w:rFonts w:hint="eastAsia"/>
        </w:rPr>
      </w:pPr>
      <w:bookmarkStart w:id="89" w:name="_Toc197718066"/>
      <w:bookmarkStart w:id="90" w:name="_Toc208991597"/>
      <w:r w:rsidRPr="00E14EBC">
        <w:t xml:space="preserve">2.1. </w:t>
      </w:r>
      <w:r w:rsidR="002E5817" w:rsidRPr="00E14EBC">
        <w:t>Turu analüüsi</w:t>
      </w:r>
      <w:r w:rsidR="00CB4966">
        <w:t>mise</w:t>
      </w:r>
      <w:r w:rsidR="002E5817" w:rsidRPr="00E14EBC">
        <w:t xml:space="preserve"> </w:t>
      </w:r>
      <w:r w:rsidR="00361351">
        <w:t xml:space="preserve">andmed, </w:t>
      </w:r>
      <w:r w:rsidR="002E5817" w:rsidRPr="00E14EBC">
        <w:t>m</w:t>
      </w:r>
      <w:r w:rsidR="4E440EBC" w:rsidRPr="00E14EBC">
        <w:t xml:space="preserve">etoodika ja </w:t>
      </w:r>
      <w:bookmarkEnd w:id="89"/>
      <w:r w:rsidR="002A0B8A">
        <w:t>piirangud</w:t>
      </w:r>
      <w:bookmarkEnd w:id="90"/>
    </w:p>
    <w:p w14:paraId="6D62EF02" w14:textId="77777777" w:rsidR="00036701" w:rsidRPr="00E14EBC" w:rsidRDefault="00036701" w:rsidP="00036701">
      <w:pPr>
        <w:jc w:val="both"/>
      </w:pPr>
      <w:r w:rsidRPr="00E14EBC">
        <w:t xml:space="preserve">Kõige olulisemad </w:t>
      </w:r>
      <w:r>
        <w:t>näitajad</w:t>
      </w:r>
      <w:r w:rsidRPr="00E14EBC">
        <w:t xml:space="preserve"> hindamaks lühiajalise üüri turu mahtu ja omadusi Eestis on:</w:t>
      </w:r>
    </w:p>
    <w:p w14:paraId="077810A6" w14:textId="77777777" w:rsidR="00036701" w:rsidRPr="00E14EBC" w:rsidRDefault="00036701" w:rsidP="00036701">
      <w:pPr>
        <w:pStyle w:val="ListParagraph"/>
        <w:numPr>
          <w:ilvl w:val="0"/>
          <w:numId w:val="64"/>
        </w:numPr>
        <w:tabs>
          <w:tab w:val="left" w:pos="810"/>
        </w:tabs>
        <w:ind w:left="810"/>
        <w:jc w:val="both"/>
      </w:pPr>
      <w:r>
        <w:t>Pakkumine: majutuskohtade arv ja paiknemine, (magamis)tubade arv, majutatavate maksimaalne arv, majutuskoha liik (üksikelamu, paaris- või ridaelamu, kolme ja enama korteriga elamu, suvila, aiamaja), majutuskoha saadavus, keskmine päevahind (ADR).</w:t>
      </w:r>
    </w:p>
    <w:p w14:paraId="24235998" w14:textId="77777777" w:rsidR="00036701" w:rsidRPr="00E14EBC" w:rsidRDefault="00036701" w:rsidP="00036701">
      <w:pPr>
        <w:pStyle w:val="ListParagraph"/>
        <w:numPr>
          <w:ilvl w:val="0"/>
          <w:numId w:val="64"/>
        </w:numPr>
        <w:tabs>
          <w:tab w:val="left" w:pos="810"/>
        </w:tabs>
        <w:ind w:left="810"/>
        <w:jc w:val="both"/>
      </w:pPr>
      <w:r w:rsidRPr="00E14EBC">
        <w:t>Nõudlus: majutatute arv, broneeringute arv, broneeritud ööde arv, ööbimise keskmine kestus, ööbimiste arv, täitumus, müügitulu ja tulu saadaoleva majutuskoha kohta (RevPAR).</w:t>
      </w:r>
    </w:p>
    <w:p w14:paraId="7B30D2EA" w14:textId="77777777" w:rsidR="00036701" w:rsidRPr="00E14EBC" w:rsidRDefault="00036701" w:rsidP="00036701">
      <w:pPr>
        <w:pStyle w:val="ListParagraph"/>
        <w:numPr>
          <w:ilvl w:val="0"/>
          <w:numId w:val="64"/>
        </w:numPr>
        <w:tabs>
          <w:tab w:val="left" w:pos="810"/>
        </w:tabs>
        <w:ind w:left="810"/>
        <w:jc w:val="both"/>
      </w:pPr>
      <w:r w:rsidRPr="00E14EBC">
        <w:t>Majutajad: tüüp, hallatavate majutusüksuste arv, tehingute arv, müügitulu.</w:t>
      </w:r>
    </w:p>
    <w:p w14:paraId="76FF532D" w14:textId="799D3A22" w:rsidR="4E440EBC" w:rsidRPr="00E14EBC" w:rsidRDefault="00842F0B" w:rsidP="00514229">
      <w:pPr>
        <w:jc w:val="both"/>
      </w:pPr>
      <w:r>
        <w:t>Turu analüüsimiseks kogusime andmeid</w:t>
      </w:r>
      <w:r w:rsidR="4E440EBC" w:rsidRPr="00E14EBC">
        <w:t xml:space="preserve"> </w:t>
      </w:r>
      <w:r>
        <w:t xml:space="preserve">järgmistest </w:t>
      </w:r>
      <w:r w:rsidR="4E440EBC" w:rsidRPr="00E14EBC">
        <w:t>allika</w:t>
      </w:r>
      <w:r>
        <w:t>test</w:t>
      </w:r>
      <w:r w:rsidR="4E440EBC" w:rsidRPr="00E14EBC">
        <w:t>:</w:t>
      </w:r>
    </w:p>
    <w:p w14:paraId="7C6BA84B" w14:textId="2CAAF593" w:rsidR="4E440EBC" w:rsidRPr="00E14EBC" w:rsidRDefault="4E440EBC" w:rsidP="007F08F4">
      <w:pPr>
        <w:pStyle w:val="ListParagraph"/>
        <w:numPr>
          <w:ilvl w:val="0"/>
          <w:numId w:val="66"/>
        </w:numPr>
        <w:jc w:val="both"/>
      </w:pPr>
      <w:r w:rsidRPr="00E14EBC">
        <w:t>SA majutusstatistika (sh SA-lt päringuga saadud andmed)</w:t>
      </w:r>
    </w:p>
    <w:p w14:paraId="4E62BA4F" w14:textId="359BD5BB" w:rsidR="4E440EBC" w:rsidRPr="00E14EBC" w:rsidRDefault="4E440EBC" w:rsidP="007F08F4">
      <w:pPr>
        <w:pStyle w:val="ListParagraph"/>
        <w:numPr>
          <w:ilvl w:val="0"/>
          <w:numId w:val="66"/>
        </w:numPr>
        <w:jc w:val="both"/>
      </w:pPr>
      <w:r w:rsidRPr="00E14EBC">
        <w:t>Eurostati eksperimentaalstatistika (sh SA-lt päringuga saadud andmed)</w:t>
      </w:r>
    </w:p>
    <w:p w14:paraId="06A13BD1" w14:textId="444B3126" w:rsidR="4E440EBC" w:rsidRPr="00E14EBC" w:rsidRDefault="4E440EBC" w:rsidP="007F08F4">
      <w:pPr>
        <w:pStyle w:val="ListParagraph"/>
        <w:numPr>
          <w:ilvl w:val="0"/>
          <w:numId w:val="66"/>
        </w:numPr>
        <w:jc w:val="both"/>
      </w:pPr>
      <w:r w:rsidRPr="00E14EBC">
        <w:t>MTA DAC7 alusel platvormidelt saadud andmed (saadud MTA-lt andmepäringuga)</w:t>
      </w:r>
    </w:p>
    <w:p w14:paraId="603EDB9E" w14:textId="6F99EF0A" w:rsidR="4E440EBC" w:rsidRPr="00E14EBC" w:rsidRDefault="4E440EBC" w:rsidP="007F08F4">
      <w:pPr>
        <w:pStyle w:val="ListParagraph"/>
        <w:numPr>
          <w:ilvl w:val="0"/>
          <w:numId w:val="66"/>
        </w:numPr>
        <w:jc w:val="both"/>
      </w:pPr>
      <w:r w:rsidRPr="00E14EBC">
        <w:t>EIS-i lühiajaliste üüripindade töölaud</w:t>
      </w:r>
      <w:r w:rsidRPr="00E14EBC">
        <w:rPr>
          <w:rStyle w:val="FootnoteReference"/>
        </w:rPr>
        <w:footnoteReference w:id="55"/>
      </w:r>
      <w:r w:rsidRPr="00E14EBC">
        <w:t xml:space="preserve">, mis põhineb </w:t>
      </w:r>
      <w:r w:rsidR="00340715">
        <w:t>ettevõtte</w:t>
      </w:r>
      <w:r w:rsidRPr="00E14EBC">
        <w:t xml:space="preserve"> Lighthouse</w:t>
      </w:r>
      <w:r w:rsidR="00F644E2">
        <w:t xml:space="preserve"> (</w:t>
      </w:r>
      <w:r w:rsidR="00F70BB5" w:rsidRPr="00F70BB5">
        <w:t>end</w:t>
      </w:r>
      <w:r w:rsidR="004B1B1A">
        <w:t>ine</w:t>
      </w:r>
      <w:r w:rsidR="00F70BB5" w:rsidRPr="00F70BB5">
        <w:t xml:space="preserve"> Transparent</w:t>
      </w:r>
      <w:r w:rsidR="00F644E2">
        <w:t>)</w:t>
      </w:r>
      <w:r w:rsidRPr="00E14EBC">
        <w:t xml:space="preserve"> andmetel</w:t>
      </w:r>
      <w:r w:rsidR="005F3EFD" w:rsidRPr="005F3EFD">
        <w:t xml:space="preserve"> </w:t>
      </w:r>
      <w:r w:rsidR="005F3EFD">
        <w:t>(</w:t>
      </w:r>
      <w:r w:rsidR="005F3EFD" w:rsidRPr="005F3EFD">
        <w:t>kogub majutusandmeid neljalt platvormilt: Airbnb, Booking, Vrbo, Tripadvisor</w:t>
      </w:r>
      <w:r w:rsidR="005F3EFD">
        <w:t>)</w:t>
      </w:r>
    </w:p>
    <w:p w14:paraId="54AC512F" w14:textId="658E0612" w:rsidR="4E440EBC" w:rsidRPr="00E14EBC" w:rsidRDefault="5DACC9A3" w:rsidP="007F08F4">
      <w:pPr>
        <w:pStyle w:val="ListParagraph"/>
        <w:numPr>
          <w:ilvl w:val="0"/>
          <w:numId w:val="66"/>
        </w:numPr>
        <w:jc w:val="both"/>
      </w:pPr>
      <w:r w:rsidRPr="00E14EBC">
        <w:t>AirDNA (Airbnb ja VRBO platvormide kuulutuste avaandmed)</w:t>
      </w:r>
    </w:p>
    <w:p w14:paraId="3BADD05A" w14:textId="70511BCB" w:rsidR="4E440EBC" w:rsidRPr="00E14EBC" w:rsidRDefault="4E440EBC" w:rsidP="4E440EBC">
      <w:pPr>
        <w:ind w:left="90"/>
        <w:jc w:val="both"/>
      </w:pPr>
      <w:r w:rsidRPr="00E14EBC">
        <w:t xml:space="preserve">Toetavate andmetena </w:t>
      </w:r>
      <w:r w:rsidR="3D607F6F" w:rsidRPr="00E14EBC">
        <w:t>oleme</w:t>
      </w:r>
      <w:r w:rsidRPr="00E14EBC">
        <w:t xml:space="preserve"> kasuta</w:t>
      </w:r>
      <w:r w:rsidR="00CE2D3D">
        <w:t>n</w:t>
      </w:r>
      <w:r w:rsidRPr="00E14EBC">
        <w:t>ud veel</w:t>
      </w:r>
      <w:r w:rsidR="00C86A1E">
        <w:t xml:space="preserve"> </w:t>
      </w:r>
      <w:r w:rsidR="00CE2D3D">
        <w:t>järgmiste</w:t>
      </w:r>
      <w:r w:rsidR="00C86A1E">
        <w:t xml:space="preserve"> lühiajalise üüri turu ülevaateid koostavate ettevõtete </w:t>
      </w:r>
      <w:r w:rsidR="00CE2D3D">
        <w:t>avaldatavaid andmeid</w:t>
      </w:r>
      <w:r w:rsidRPr="00E14EBC">
        <w:t>:</w:t>
      </w:r>
    </w:p>
    <w:p w14:paraId="0F1BAF19" w14:textId="490C35A4" w:rsidR="4E440EBC" w:rsidRPr="00E14EBC" w:rsidRDefault="4E440EBC" w:rsidP="007F08F4">
      <w:pPr>
        <w:pStyle w:val="ListParagraph"/>
        <w:numPr>
          <w:ilvl w:val="0"/>
          <w:numId w:val="65"/>
        </w:numPr>
        <w:tabs>
          <w:tab w:val="left" w:pos="810"/>
        </w:tabs>
        <w:jc w:val="both"/>
        <w:rPr>
          <w:rFonts w:eastAsia="Aptos"/>
        </w:rPr>
      </w:pPr>
      <w:r w:rsidRPr="00E14EBC">
        <w:rPr>
          <w:rFonts w:eastAsia="Aptos"/>
        </w:rPr>
        <w:t xml:space="preserve">Colliers Baltics. </w:t>
      </w:r>
      <w:r w:rsidRPr="00506B50">
        <w:rPr>
          <w:rFonts w:eastAsia="Aptos"/>
          <w:i/>
          <w:iCs/>
        </w:rPr>
        <w:t>Tallinn short-term rental residential market overview</w:t>
      </w:r>
      <w:r w:rsidRPr="00E14EBC">
        <w:rPr>
          <w:rFonts w:eastAsia="Aptos"/>
        </w:rPr>
        <w:t xml:space="preserve"> (mai 2023)</w:t>
      </w:r>
    </w:p>
    <w:p w14:paraId="0DE5A670" w14:textId="77777777" w:rsidR="4E440EBC" w:rsidRPr="00E14EBC" w:rsidRDefault="4E440EBC" w:rsidP="007F08F4">
      <w:pPr>
        <w:pStyle w:val="ListParagraph"/>
        <w:numPr>
          <w:ilvl w:val="0"/>
          <w:numId w:val="65"/>
        </w:numPr>
        <w:tabs>
          <w:tab w:val="left" w:pos="810"/>
        </w:tabs>
        <w:jc w:val="both"/>
        <w:rPr>
          <w:rFonts w:eastAsia="Aptos"/>
        </w:rPr>
      </w:pPr>
      <w:r w:rsidRPr="00E14EBC">
        <w:rPr>
          <w:rFonts w:eastAsia="Aptos"/>
        </w:rPr>
        <w:t>Airbtics (avalik veebileht)</w:t>
      </w:r>
    </w:p>
    <w:p w14:paraId="54118211" w14:textId="77777777" w:rsidR="4E440EBC" w:rsidRPr="00E14EBC" w:rsidRDefault="4E440EBC" w:rsidP="007F08F4">
      <w:pPr>
        <w:pStyle w:val="ListParagraph"/>
        <w:numPr>
          <w:ilvl w:val="0"/>
          <w:numId w:val="65"/>
        </w:numPr>
        <w:tabs>
          <w:tab w:val="left" w:pos="810"/>
        </w:tabs>
        <w:spacing w:before="0" w:after="0"/>
        <w:jc w:val="both"/>
        <w:rPr>
          <w:rFonts w:eastAsia="Aptos"/>
        </w:rPr>
      </w:pPr>
      <w:r w:rsidRPr="00E14EBC">
        <w:rPr>
          <w:rFonts w:eastAsia="Aptos"/>
        </w:rPr>
        <w:t>Insidebnb (avalik veebileht)</w:t>
      </w:r>
    </w:p>
    <w:p w14:paraId="65563D7C" w14:textId="77777777" w:rsidR="4E440EBC" w:rsidRPr="00E14EBC" w:rsidRDefault="4E440EBC" w:rsidP="007F08F4">
      <w:pPr>
        <w:pStyle w:val="ListParagraph"/>
        <w:numPr>
          <w:ilvl w:val="0"/>
          <w:numId w:val="65"/>
        </w:numPr>
        <w:tabs>
          <w:tab w:val="left" w:pos="810"/>
        </w:tabs>
        <w:jc w:val="both"/>
      </w:pPr>
      <w:r w:rsidRPr="00E14EBC">
        <w:t>Doorbll (avalik veebileht)</w:t>
      </w:r>
    </w:p>
    <w:p w14:paraId="164FCAE0" w14:textId="77777777" w:rsidR="00C11593" w:rsidRDefault="4E440EBC" w:rsidP="00C11593">
      <w:pPr>
        <w:pStyle w:val="ListParagraph"/>
        <w:numPr>
          <w:ilvl w:val="0"/>
          <w:numId w:val="65"/>
        </w:numPr>
        <w:tabs>
          <w:tab w:val="left" w:pos="810"/>
        </w:tabs>
        <w:jc w:val="both"/>
      </w:pPr>
      <w:r w:rsidRPr="00E14EBC">
        <w:t>AirROI (avalik veebileht)</w:t>
      </w:r>
    </w:p>
    <w:p w14:paraId="452EA3EB" w14:textId="3B229D7F" w:rsidR="4E440EBC" w:rsidRPr="00E14EBC" w:rsidRDefault="00C11593">
      <w:pPr>
        <w:tabs>
          <w:tab w:val="left" w:pos="810"/>
        </w:tabs>
        <w:jc w:val="both"/>
      </w:pPr>
      <w:r>
        <w:t>Täiendavalt viisime läbi ka</w:t>
      </w:r>
      <w:r w:rsidR="4E440EBC" w:rsidRPr="00E14EBC">
        <w:t xml:space="preserve"> testandmekraapimi</w:t>
      </w:r>
      <w:r>
        <w:t>se</w:t>
      </w:r>
      <w:r w:rsidR="00754F8B">
        <w:t xml:space="preserve"> veebitööriistaga Octoparse (vt täpsemalt Lisa </w:t>
      </w:r>
      <w:r w:rsidR="00AC6033">
        <w:t>5).</w:t>
      </w:r>
    </w:p>
    <w:p w14:paraId="5AEE550E" w14:textId="55FB514F" w:rsidR="4E440EBC" w:rsidRPr="00271422" w:rsidRDefault="6BF7470B" w:rsidP="004F6C57">
      <w:pPr>
        <w:jc w:val="both"/>
        <w:rPr>
          <w:rFonts w:eastAsia="Aptos"/>
        </w:rPr>
      </w:pPr>
      <w:r>
        <w:t>Lühiajalise üüri turu analüüsimiseks on võimalik kasutada nii erinevate eraettevõtete avalikke ja tasulisi andmeid kui ka mitmete avaliku sektori asutuste kogutavaid andmeid</w:t>
      </w:r>
      <w:r w:rsidR="00CA230B">
        <w:t>.</w:t>
      </w:r>
      <w:r w:rsidR="111F2584">
        <w:t xml:space="preserve"> </w:t>
      </w:r>
      <w:r w:rsidR="00CA230B">
        <w:t>V</w:t>
      </w:r>
      <w:r>
        <w:t xml:space="preserve">aatamata andmeallikate mitmekesisusele </w:t>
      </w:r>
      <w:r w:rsidR="00CA230B">
        <w:t xml:space="preserve">esines </w:t>
      </w:r>
      <w:r>
        <w:t xml:space="preserve">usaldusväärse ja kuluefektiivse lühiajalise üüri turu </w:t>
      </w:r>
      <w:r>
        <w:lastRenderedPageBreak/>
        <w:t>analüüsimise ja analüüsimeetodite ning töövahendite väljatöötamise protsessis mitmeid kitsaskohti.</w:t>
      </w:r>
      <w:r w:rsidR="7E699411">
        <w:t xml:space="preserve"> </w:t>
      </w:r>
      <w:r w:rsidR="37F04D9A">
        <w:t>Alates</w:t>
      </w:r>
      <w:r w:rsidR="176EFA16">
        <w:t xml:space="preserve"> 2024. aastast </w:t>
      </w:r>
      <w:r w:rsidR="422C4F29">
        <w:t xml:space="preserve">edastatavad </w:t>
      </w:r>
      <w:r w:rsidR="176EFA16">
        <w:t>EL</w:t>
      </w:r>
      <w:r w:rsidR="34E40FE0">
        <w:t>-</w:t>
      </w:r>
      <w:r w:rsidR="176EFA16">
        <w:t xml:space="preserve">i nn DAC7 direktiivi alusel </w:t>
      </w:r>
      <w:r w:rsidR="37F04D9A">
        <w:t>majutusplatvormid</w:t>
      </w:r>
      <w:r w:rsidR="004C6C15">
        <w:t xml:space="preserve"> oma riigi maksuhalduritele </w:t>
      </w:r>
      <w:r w:rsidR="176EFA16">
        <w:t>andmeid isikute, üüritud kinnisvara, teenitud müügitulu ja tehingute arvu kohta</w:t>
      </w:r>
      <w:r w:rsidR="004C6C15">
        <w:t>. Maksuhaldurid</w:t>
      </w:r>
      <w:r w:rsidR="176EFA16">
        <w:t xml:space="preserve"> omakorda jaga</w:t>
      </w:r>
      <w:r w:rsidR="004C6C15">
        <w:t>vad</w:t>
      </w:r>
      <w:r w:rsidR="176EFA16">
        <w:t xml:space="preserve"> neid asjakohase teise riigi või teiste riikide maksu</w:t>
      </w:r>
      <w:r w:rsidR="0036347F">
        <w:t>halduri</w:t>
      </w:r>
      <w:r w:rsidR="176EFA16">
        <w:t>(te)ga.</w:t>
      </w:r>
      <w:r w:rsidR="0EF927AD">
        <w:t xml:space="preserve"> </w:t>
      </w:r>
      <w:r w:rsidR="176EFA16" w:rsidRPr="1688D34F">
        <w:rPr>
          <w:rFonts w:eastAsia="Aptos"/>
        </w:rPr>
        <w:t>DAC7 direktiiv seab andmekohuslastele ülempiiri (2000 tehingut aastas kinnistusüksuse kohta, s</w:t>
      </w:r>
      <w:r w:rsidR="000A4333">
        <w:rPr>
          <w:rFonts w:eastAsia="Aptos"/>
        </w:rPr>
        <w:t>.</w:t>
      </w:r>
      <w:r w:rsidR="176EFA16" w:rsidRPr="1688D34F">
        <w:rPr>
          <w:rFonts w:eastAsia="Aptos"/>
        </w:rPr>
        <w:t>o u</w:t>
      </w:r>
      <w:r w:rsidR="129D96F2" w:rsidRPr="1688D34F">
        <w:rPr>
          <w:rFonts w:eastAsia="Aptos"/>
        </w:rPr>
        <w:t>mbes</w:t>
      </w:r>
      <w:r w:rsidR="176EFA16" w:rsidRPr="1688D34F">
        <w:rPr>
          <w:rFonts w:eastAsia="Aptos"/>
        </w:rPr>
        <w:t xml:space="preserve"> 5,5 tehingut </w:t>
      </w:r>
      <w:r w:rsidR="00E61EDB" w:rsidRPr="1688D34F">
        <w:rPr>
          <w:rFonts w:eastAsia="Aptos"/>
        </w:rPr>
        <w:t xml:space="preserve">ehk </w:t>
      </w:r>
      <w:r w:rsidR="176EFA16" w:rsidRPr="1688D34F">
        <w:rPr>
          <w:rFonts w:eastAsia="Aptos"/>
        </w:rPr>
        <w:t>broneeringut päevas, ehk nt 50-protsendilise täituvuse puhul üle 10 majutusruumi</w:t>
      </w:r>
      <w:r w:rsidR="0EF927AD" w:rsidRPr="1688D34F">
        <w:rPr>
          <w:rFonts w:eastAsia="Aptos"/>
        </w:rPr>
        <w:t xml:space="preserve"> </w:t>
      </w:r>
      <w:r w:rsidR="176EFA16" w:rsidRPr="1688D34F">
        <w:rPr>
          <w:rFonts w:eastAsia="Aptos"/>
        </w:rPr>
        <w:t xml:space="preserve">majutuskoha kohta). DAC7 alusel esitavad platvormid andmed </w:t>
      </w:r>
      <w:r w:rsidR="00804DCF" w:rsidRPr="1688D34F">
        <w:rPr>
          <w:rFonts w:eastAsia="Aptos"/>
        </w:rPr>
        <w:t xml:space="preserve">üks kord aastas </w:t>
      </w:r>
      <w:r w:rsidR="176EFA16" w:rsidRPr="1688D34F">
        <w:rPr>
          <w:rFonts w:eastAsia="Aptos"/>
        </w:rPr>
        <w:t>vaid nende majutuskohtade (kinnistusüksuste) kohta, mille puhul registreeriti aruandeaastal vähemalt üks üüritehing, s.t edastatavad andmed hõlmavad vaid majanduslikult aktiivseid</w:t>
      </w:r>
      <w:r w:rsidR="0EF927AD" w:rsidRPr="1688D34F">
        <w:rPr>
          <w:rFonts w:eastAsia="Aptos"/>
        </w:rPr>
        <w:t xml:space="preserve"> </w:t>
      </w:r>
      <w:r w:rsidR="176EFA16" w:rsidRPr="1688D34F">
        <w:rPr>
          <w:rFonts w:eastAsia="Aptos"/>
        </w:rPr>
        <w:t xml:space="preserve">majutuskohti ning ei anna ülevaadet turul olevast kogupakkumisest. </w:t>
      </w:r>
      <w:r w:rsidR="176EFA16">
        <w:t>Liikmesriikide pädevad ametiasutused</w:t>
      </w:r>
      <w:r w:rsidR="0EF927AD">
        <w:t xml:space="preserve"> </w:t>
      </w:r>
      <w:r w:rsidR="176EFA16">
        <w:t xml:space="preserve">vahetavad omavahel platvormihalduritelt saadud teavet, samas teiste liikmesriikide maksuhaldurite poolt edastatud andmete </w:t>
      </w:r>
      <w:r w:rsidR="176EFA16" w:rsidRPr="1688D34F">
        <w:rPr>
          <w:rFonts w:eastAsia="Aptos"/>
        </w:rPr>
        <w:t>kasutamine mh poliitikakujundamise eesmärgil eeldab asjassepuutuvate liikmesriikide nõusolekut.</w:t>
      </w:r>
      <w:r w:rsidR="009C1A15" w:rsidRPr="1688D34F">
        <w:rPr>
          <w:rFonts w:eastAsia="Aptos"/>
        </w:rPr>
        <w:t xml:space="preserve"> Ka selles uuringus kasuta</w:t>
      </w:r>
      <w:r w:rsidR="00566741" w:rsidRPr="1688D34F">
        <w:rPr>
          <w:rFonts w:eastAsia="Aptos"/>
        </w:rPr>
        <w:t>sime</w:t>
      </w:r>
      <w:r w:rsidR="009C1A15" w:rsidRPr="1688D34F">
        <w:rPr>
          <w:rFonts w:eastAsia="Aptos"/>
        </w:rPr>
        <w:t xml:space="preserve"> kirjeldatud andmeid</w:t>
      </w:r>
      <w:r w:rsidR="00566741" w:rsidRPr="1688D34F">
        <w:rPr>
          <w:rFonts w:eastAsia="Aptos"/>
        </w:rPr>
        <w:t xml:space="preserve"> eelkõige lühiajalise üüri </w:t>
      </w:r>
      <w:r w:rsidR="00886122" w:rsidRPr="1688D34F">
        <w:rPr>
          <w:rFonts w:eastAsia="Aptos"/>
        </w:rPr>
        <w:t>teenuse osutajate tulude</w:t>
      </w:r>
      <w:r w:rsidR="00626E9B" w:rsidRPr="1688D34F">
        <w:rPr>
          <w:rFonts w:eastAsia="Aptos"/>
        </w:rPr>
        <w:t xml:space="preserve">, tehingute mahtude </w:t>
      </w:r>
      <w:r w:rsidR="003A6684" w:rsidRPr="1688D34F">
        <w:rPr>
          <w:rFonts w:eastAsia="Aptos"/>
        </w:rPr>
        <w:t xml:space="preserve">ja pakkujate </w:t>
      </w:r>
      <w:r w:rsidR="00B223AB" w:rsidRPr="1688D34F">
        <w:rPr>
          <w:rFonts w:eastAsia="Aptos"/>
        </w:rPr>
        <w:t>arvu ning juriidilise vormi lõikes.</w:t>
      </w:r>
      <w:r w:rsidR="00886122" w:rsidRPr="1688D34F">
        <w:rPr>
          <w:rFonts w:eastAsia="Aptos"/>
        </w:rPr>
        <w:t xml:space="preserve"> </w:t>
      </w:r>
    </w:p>
    <w:p w14:paraId="6336F466" w14:textId="74AED14E" w:rsidR="004F6C57" w:rsidRPr="00BE179D" w:rsidRDefault="00B223AB" w:rsidP="00BE179D">
      <w:pPr>
        <w:spacing w:before="0" w:line="259" w:lineRule="auto"/>
        <w:jc w:val="both"/>
        <w:rPr>
          <w:rFonts w:eastAsiaTheme="minorEastAsia"/>
          <w:color w:val="1A1A1A"/>
        </w:rPr>
      </w:pPr>
      <w:r w:rsidRPr="00BE179D">
        <w:rPr>
          <w:rFonts w:eastAsiaTheme="minorEastAsia"/>
          <w:color w:val="1A1A1A"/>
        </w:rPr>
        <w:t>Nende andmete üheks puuduseks on, et p</w:t>
      </w:r>
      <w:r w:rsidR="176EFA16" w:rsidRPr="00BE179D">
        <w:rPr>
          <w:rFonts w:eastAsiaTheme="minorEastAsia"/>
          <w:color w:val="1A1A1A"/>
        </w:rPr>
        <w:t xml:space="preserve">latvormid ei pea MTA-le edastama kõige paremini võrreldavat pakkumise näitajat </w:t>
      </w:r>
      <w:r w:rsidR="176EFA16" w:rsidRPr="00A3172F">
        <w:rPr>
          <w:rFonts w:ascii="Arial" w:eastAsia="Arial" w:hAnsi="Arial" w:cs="Arial"/>
        </w:rPr>
        <w:t>–</w:t>
      </w:r>
      <w:r w:rsidRPr="00A3172F">
        <w:rPr>
          <w:rFonts w:ascii="Arial" w:eastAsia="Arial" w:hAnsi="Arial" w:cs="Arial"/>
        </w:rPr>
        <w:t xml:space="preserve"> </w:t>
      </w:r>
      <w:r w:rsidR="176EFA16" w:rsidRPr="00BE179D">
        <w:rPr>
          <w:rFonts w:eastAsiaTheme="minorEastAsia"/>
          <w:color w:val="1A1A1A"/>
        </w:rPr>
        <w:t>kinnistusüksuse maksimaalset külaliste arvu ehk mahutavust. Samuti ei saa MTA teavet majutuskohtade liikide lõikes (seda edastas 2023.</w:t>
      </w:r>
      <w:r w:rsidR="0D5F92B6" w:rsidRPr="00BE179D">
        <w:rPr>
          <w:rFonts w:eastAsiaTheme="minorEastAsia"/>
          <w:color w:val="1A1A1A"/>
        </w:rPr>
        <w:t xml:space="preserve"> </w:t>
      </w:r>
      <w:r w:rsidR="176EFA16" w:rsidRPr="00BE179D">
        <w:rPr>
          <w:rFonts w:eastAsiaTheme="minorEastAsia"/>
          <w:color w:val="1A1A1A"/>
        </w:rPr>
        <w:t>a</w:t>
      </w:r>
      <w:r w:rsidR="14848ACD" w:rsidRPr="00BE179D">
        <w:rPr>
          <w:rFonts w:eastAsiaTheme="minorEastAsia"/>
          <w:color w:val="1A1A1A"/>
        </w:rPr>
        <w:t>asta kohta</w:t>
      </w:r>
      <w:r w:rsidR="176EFA16" w:rsidRPr="00BE179D">
        <w:rPr>
          <w:rFonts w:eastAsiaTheme="minorEastAsia"/>
          <w:color w:val="1A1A1A"/>
        </w:rPr>
        <w:t xml:space="preserve"> vaid alla viiendiku majutajatest).</w:t>
      </w:r>
      <w:r w:rsidR="001513C0" w:rsidRPr="00BE179D">
        <w:rPr>
          <w:rFonts w:eastAsiaTheme="minorEastAsia"/>
          <w:color w:val="1A1A1A"/>
        </w:rPr>
        <w:t xml:space="preserve"> Samas MTA-le edastavad platvormid selliseid andmeid, mida andmekraapimisel põhineva analüütikaga või muul viisil on keeruline saada, sh:</w:t>
      </w:r>
    </w:p>
    <w:p w14:paraId="7180603B" w14:textId="71A0A315" w:rsidR="4E440EBC" w:rsidRPr="00BE179D" w:rsidRDefault="5DACC9A3" w:rsidP="1688D34F">
      <w:pPr>
        <w:pStyle w:val="ListParagraph"/>
        <w:numPr>
          <w:ilvl w:val="0"/>
          <w:numId w:val="78"/>
        </w:numPr>
        <w:spacing w:before="0" w:line="259" w:lineRule="auto"/>
        <w:jc w:val="both"/>
        <w:rPr>
          <w:rFonts w:eastAsiaTheme="minorEastAsia"/>
          <w:color w:val="1A1A1A"/>
        </w:rPr>
      </w:pPr>
      <w:r w:rsidRPr="1688D34F">
        <w:rPr>
          <w:rFonts w:eastAsiaTheme="minorEastAsia"/>
          <w:color w:val="1A1A1A"/>
        </w:rPr>
        <w:t xml:space="preserve">kõik kinnistusüksused, millega seondus </w:t>
      </w:r>
      <w:r w:rsidR="00460BA9" w:rsidRPr="1688D34F">
        <w:rPr>
          <w:rFonts w:eastAsiaTheme="minorEastAsia"/>
          <w:color w:val="1A1A1A"/>
        </w:rPr>
        <w:t>&lt;</w:t>
      </w:r>
      <w:r w:rsidRPr="1688D34F">
        <w:rPr>
          <w:rFonts w:eastAsiaTheme="minorEastAsia"/>
          <w:color w:val="1A1A1A"/>
        </w:rPr>
        <w:t>2000 lühiajalisele üürile andmise tehingut aastas;</w:t>
      </w:r>
    </w:p>
    <w:p w14:paraId="32EA9F31" w14:textId="1D72399A" w:rsidR="6C6690E2" w:rsidRPr="00E14EBC" w:rsidRDefault="6C6690E2" w:rsidP="1688D34F">
      <w:pPr>
        <w:pStyle w:val="ListParagraph"/>
        <w:numPr>
          <w:ilvl w:val="0"/>
          <w:numId w:val="78"/>
        </w:numPr>
        <w:spacing w:before="0" w:after="0"/>
        <w:jc w:val="both"/>
      </w:pPr>
      <w:r w:rsidRPr="1688D34F">
        <w:rPr>
          <w:rFonts w:eastAsiaTheme="minorEastAsia"/>
          <w:color w:val="1A1A1A"/>
        </w:rPr>
        <w:t>majutajatega seotud andmed</w:t>
      </w:r>
      <w:r w:rsidR="002A46EB">
        <w:rPr>
          <w:rFonts w:eastAsiaTheme="minorEastAsia"/>
          <w:color w:val="1A1A1A"/>
        </w:rPr>
        <w:t xml:space="preserve">, </w:t>
      </w:r>
      <w:r w:rsidRPr="1688D34F">
        <w:rPr>
          <w:rFonts w:eastAsiaTheme="minorEastAsia"/>
          <w:color w:val="1A1A1A"/>
        </w:rPr>
        <w:t>sh füüsiline/juriidiline isik, majutaja hallatavate kinnistusüksuste arv, käibemaksukohuslus, teenitud tulud.</w:t>
      </w:r>
    </w:p>
    <w:p w14:paraId="1FE50395" w14:textId="44E4F94E" w:rsidR="006A36EE" w:rsidRPr="00E14EBC" w:rsidRDefault="00A871A4" w:rsidP="37F04D9A">
      <w:pPr>
        <w:spacing w:before="0" w:after="0"/>
        <w:jc w:val="both"/>
        <w:rPr>
          <w:szCs w:val="24"/>
        </w:rPr>
      </w:pPr>
      <w:r>
        <w:rPr>
          <w:rFonts w:eastAsia="Aptos"/>
        </w:rPr>
        <w:t>Teiseks oluliseks andmeallika</w:t>
      </w:r>
      <w:r w:rsidR="48BE6B13">
        <w:rPr>
          <w:rFonts w:eastAsia="Aptos"/>
        </w:rPr>
        <w:t>ks</w:t>
      </w:r>
      <w:r>
        <w:rPr>
          <w:rFonts w:eastAsia="Aptos"/>
        </w:rPr>
        <w:t xml:space="preserve"> on selles uuringus </w:t>
      </w:r>
      <w:r w:rsidR="176EFA16" w:rsidRPr="00BE179D">
        <w:rPr>
          <w:rFonts w:eastAsia="Aptos"/>
        </w:rPr>
        <w:t>Eurostat</w:t>
      </w:r>
      <w:r>
        <w:rPr>
          <w:rFonts w:eastAsia="Aptos"/>
        </w:rPr>
        <w:t>i</w:t>
      </w:r>
      <w:r w:rsidR="00CD6327">
        <w:rPr>
          <w:rFonts w:eastAsia="Aptos"/>
        </w:rPr>
        <w:t xml:space="preserve"> eksperimentaalstatistika.</w:t>
      </w:r>
      <w:r w:rsidR="006A36EE" w:rsidRPr="006A36EE">
        <w:t xml:space="preserve"> </w:t>
      </w:r>
      <w:r w:rsidR="006A36EE" w:rsidRPr="00E14EBC">
        <w:t>Eurostati metoodika selgituste</w:t>
      </w:r>
      <w:r w:rsidR="006A36EE" w:rsidRPr="00E14EBC">
        <w:rPr>
          <w:rStyle w:val="FootnoteReference"/>
        </w:rPr>
        <w:footnoteReference w:id="56"/>
      </w:r>
      <w:r w:rsidR="006A36EE" w:rsidRPr="00E14EBC">
        <w:t xml:space="preserve"> kohaselt pärinevad andmed neljalt platvormilt: Airbnb, Booking, Expedia, Tripadvisor. </w:t>
      </w:r>
      <w:r w:rsidR="006A36EE">
        <w:t>Dokumendis sedastatakse, et Eurostati ja platvormide vahel lepiti kokku, et edastatavate andmete ulatus piirdub esialgu majutuskohtadega, mis liigituvad NACE 55.2</w:t>
      </w:r>
      <w:r w:rsidR="008524EC">
        <w:t xml:space="preserve"> ehk puhkuse- ja muu lühiajalise</w:t>
      </w:r>
      <w:r w:rsidR="0068247E">
        <w:t xml:space="preserve"> majutuse</w:t>
      </w:r>
      <w:r w:rsidR="006A36EE">
        <w:t xml:space="preserve"> (</w:t>
      </w:r>
      <w:r w:rsidR="0068247E">
        <w:t>ing</w:t>
      </w:r>
      <w:r w:rsidR="00812738">
        <w:t>l</w:t>
      </w:r>
      <w:r w:rsidR="0068247E">
        <w:t xml:space="preserve"> </w:t>
      </w:r>
      <w:r w:rsidR="006A36EE" w:rsidRPr="1688D34F">
        <w:rPr>
          <w:i/>
          <w:iCs/>
        </w:rPr>
        <w:t>holiday and other short-stay accommodation</w:t>
      </w:r>
      <w:r w:rsidR="006A36EE">
        <w:t>) alla, kuna platvormimajanduses tegutsevad ettevõtted esmaselt ja peamiselt just selles majutussegmendis ning Eurostatil on huvi nende andmete vastu, kuna need kajastavad üksusi, mis ei pruugi olla hõivatud tavapärase majutusstatistikaga. Eurostat on andnud platvormidele juhised, millised majutuskohtade liigid aruandest välja jätta, aga neid on SA antud info põhjal täidetud valikuliselt.</w:t>
      </w:r>
    </w:p>
    <w:p w14:paraId="2FC71ED5" w14:textId="2891031A" w:rsidR="006A36EE" w:rsidRPr="00E14EBC" w:rsidRDefault="006A36EE" w:rsidP="006A36EE">
      <w:pPr>
        <w:jc w:val="both"/>
      </w:pPr>
      <w:r w:rsidRPr="00E14EBC">
        <w:t>Dokumendis mööndakse ka, et platvormide kogutavad andmed ei ole mõeldud kasutamiseks ametliku statistikana, mistõttu on lahendamata hulk tehnilisi küsimusi, kuidas need viia kooskõlla turismistatistika ja -kontseptsioonidega.</w:t>
      </w:r>
      <w:r w:rsidR="00391C35">
        <w:t xml:space="preserve"> Näiteks Eurostati </w:t>
      </w:r>
      <w:r w:rsidR="00391C35" w:rsidRPr="00E14EBC">
        <w:rPr>
          <w:rFonts w:eastAsia="Aptos"/>
        </w:rPr>
        <w:t>kogutavad lühiajalise üüri nõudluse andmed piirduvad majutuskohtadega, mis liigituvad koodigruppi NACE 55.2</w:t>
      </w:r>
      <w:r w:rsidR="00391C35" w:rsidRPr="00E14EBC">
        <w:rPr>
          <w:rStyle w:val="FootnoteReference"/>
          <w:rFonts w:eastAsia="Aptos"/>
        </w:rPr>
        <w:footnoteReference w:id="57"/>
      </w:r>
      <w:r w:rsidR="00391C35" w:rsidRPr="00E14EBC">
        <w:rPr>
          <w:rFonts w:eastAsia="Aptos"/>
        </w:rPr>
        <w:t>, st välja on jäänud väiksemad külalistemajad (Eesti puhul vähem kui viis voodikohta</w:t>
      </w:r>
      <w:r w:rsidR="00150E5B">
        <w:rPr>
          <w:rFonts w:eastAsia="Aptos"/>
        </w:rPr>
        <w:t xml:space="preserve">, </w:t>
      </w:r>
      <w:r w:rsidR="003E1DCC">
        <w:rPr>
          <w:rFonts w:eastAsia="Aptos"/>
        </w:rPr>
        <w:t>mida</w:t>
      </w:r>
      <w:r w:rsidR="00203FFF">
        <w:rPr>
          <w:rFonts w:eastAsia="Aptos"/>
        </w:rPr>
        <w:t xml:space="preserve"> väiksuse tõttu ei </w:t>
      </w:r>
      <w:r w:rsidR="00041D89">
        <w:rPr>
          <w:rFonts w:eastAsia="Aptos"/>
        </w:rPr>
        <w:t>ole hõlmatud ka</w:t>
      </w:r>
      <w:r w:rsidR="00203FFF">
        <w:rPr>
          <w:rFonts w:eastAsia="Aptos"/>
        </w:rPr>
        <w:t xml:space="preserve"> 55.1 </w:t>
      </w:r>
      <w:r w:rsidR="00041D89">
        <w:rPr>
          <w:rFonts w:eastAsia="Aptos"/>
        </w:rPr>
        <w:t>koodigrupis</w:t>
      </w:r>
      <w:r w:rsidR="00391C35" w:rsidRPr="00E14EBC">
        <w:rPr>
          <w:rFonts w:eastAsia="Aptos"/>
        </w:rPr>
        <w:t>)</w:t>
      </w:r>
      <w:r w:rsidR="003E1DCC">
        <w:rPr>
          <w:rFonts w:eastAsia="Aptos"/>
        </w:rPr>
        <w:t>,</w:t>
      </w:r>
      <w:r w:rsidR="00391C35" w:rsidRPr="00E14EBC">
        <w:rPr>
          <w:rFonts w:eastAsia="Aptos"/>
        </w:rPr>
        <w:t xml:space="preserve"> milledest arvestatav osa (hinnangul</w:t>
      </w:r>
      <w:r w:rsidR="003E1DCC">
        <w:rPr>
          <w:rFonts w:eastAsia="Aptos"/>
        </w:rPr>
        <w:t>iselt</w:t>
      </w:r>
      <w:r w:rsidR="00391C35" w:rsidRPr="00E14EBC">
        <w:rPr>
          <w:rFonts w:eastAsia="Aptos"/>
        </w:rPr>
        <w:t xml:space="preserve"> u 40%) tegutseb </w:t>
      </w:r>
      <w:r w:rsidR="00391C35" w:rsidRPr="00E14EBC">
        <w:rPr>
          <w:rFonts w:eastAsia="Aptos"/>
        </w:rPr>
        <w:lastRenderedPageBreak/>
        <w:t>üksikelamutes</w:t>
      </w:r>
      <w:r w:rsidR="003E1DCC">
        <w:rPr>
          <w:rFonts w:eastAsia="Aptos"/>
        </w:rPr>
        <w:t xml:space="preserve"> ja seega võivad tegelikult olla lühiajalise üüri turul</w:t>
      </w:r>
      <w:r w:rsidR="00B00E53">
        <w:rPr>
          <w:rFonts w:eastAsia="Aptos"/>
        </w:rPr>
        <w:t>.</w:t>
      </w:r>
      <w:r w:rsidR="00391C35" w:rsidRPr="00E14EBC">
        <w:rPr>
          <w:rFonts w:eastAsia="Aptos"/>
        </w:rPr>
        <w:t xml:space="preserve"> </w:t>
      </w:r>
      <w:r w:rsidR="00B00E53">
        <w:rPr>
          <w:rFonts w:eastAsia="Aptos"/>
        </w:rPr>
        <w:t>S</w:t>
      </w:r>
      <w:r w:rsidR="00391C35" w:rsidRPr="00E14EBC">
        <w:rPr>
          <w:rFonts w:eastAsia="Aptos"/>
        </w:rPr>
        <w:t>amuti sisaldab NACE riigisisesteks vajadusteks kohandatud EMTAK kood 552 lisaks hostelitele, mis ei kuulu ELi määruse 2024/1028 mõistete seletuse kohaselt lühiajalise üüri teenuste hulka, ka puhkekülade ja puhkelaagrite majutusruume</w:t>
      </w:r>
      <w:r w:rsidR="00394071">
        <w:rPr>
          <w:rFonts w:eastAsia="Aptos"/>
        </w:rPr>
        <w:t>.</w:t>
      </w:r>
      <w:r w:rsidR="00391C35" w:rsidRPr="00E14EBC">
        <w:rPr>
          <w:rStyle w:val="FootnoteReference"/>
          <w:rFonts w:eastAsia="Aptos"/>
        </w:rPr>
        <w:footnoteReference w:id="58"/>
      </w:r>
      <w:r w:rsidR="00435D37" w:rsidRPr="00435D37">
        <w:t xml:space="preserve"> </w:t>
      </w:r>
      <w:r w:rsidR="00435D37" w:rsidRPr="00435D37">
        <w:rPr>
          <w:rFonts w:eastAsia="Aptos"/>
        </w:rPr>
        <w:t>Eurostati avaldatavate andmete üheks oluliseks piiranguks on ka see, et</w:t>
      </w:r>
      <w:r w:rsidR="0C895657" w:rsidRPr="00435D37">
        <w:rPr>
          <w:rFonts w:eastAsia="Aptos"/>
        </w:rPr>
        <w:t xml:space="preserve"> </w:t>
      </w:r>
      <w:r w:rsidR="00435D37" w:rsidRPr="00435D37">
        <w:rPr>
          <w:rFonts w:eastAsia="Aptos"/>
        </w:rPr>
        <w:t>need ei hõlma platvormidelt saadud andmetele põhinevat lühiajalise üüri pakkumise (majutajad ja majutuskohad) statistikat, kuna puudub usaldusväärne metoodika kattuvuste välistamiseks, platvormide edastatud andmed ei põhine täielikult ühtsetel liigituste alustel jne.</w:t>
      </w:r>
    </w:p>
    <w:p w14:paraId="04F69199" w14:textId="77777777" w:rsidR="006A36EE" w:rsidRPr="00E14EBC" w:rsidRDefault="006A36EE" w:rsidP="006A36EE">
      <w:pPr>
        <w:jc w:val="both"/>
        <w:rPr>
          <w:i/>
          <w:iCs/>
          <w:highlight w:val="yellow"/>
        </w:rPr>
      </w:pPr>
      <w:r w:rsidRPr="00E14EBC">
        <w:t>Eurostati andmetest (ööbimiste arv, broneeritud ööde arv, majutuste (broneeringute) arv</w:t>
      </w:r>
      <w:r>
        <w:t>)</w:t>
      </w:r>
      <w:r w:rsidRPr="00E14EBC">
        <w:t xml:space="preserve"> oleme arvutanud majutatute (külaliste) arvu järgmiste arvutuste teel:</w:t>
      </w:r>
    </w:p>
    <w:p w14:paraId="023C4140" w14:textId="36FFD1C6" w:rsidR="006A36EE" w:rsidRPr="00E14EBC" w:rsidRDefault="006A36EE" w:rsidP="006A36EE">
      <w:pPr>
        <w:pStyle w:val="ListParagraph"/>
        <w:numPr>
          <w:ilvl w:val="0"/>
          <w:numId w:val="23"/>
        </w:numPr>
        <w:jc w:val="both"/>
      </w:pPr>
      <w:r>
        <w:t xml:space="preserve">Majutatute arv = ööbimiste arv </w:t>
      </w:r>
      <w:r w:rsidR="701BD83E" w:rsidRPr="701BD83E">
        <w:t>÷</w:t>
      </w:r>
      <w:r>
        <w:t xml:space="preserve"> keskmine majutuse kestus</w:t>
      </w:r>
      <w:r w:rsidR="701BD83E">
        <w:t>.</w:t>
      </w:r>
    </w:p>
    <w:p w14:paraId="5C9FDD3C" w14:textId="1BD95D9C" w:rsidR="006A36EE" w:rsidRPr="00E14EBC" w:rsidRDefault="006A36EE" w:rsidP="006A36EE">
      <w:pPr>
        <w:pStyle w:val="ListParagraph"/>
        <w:numPr>
          <w:ilvl w:val="0"/>
          <w:numId w:val="23"/>
        </w:numPr>
        <w:jc w:val="both"/>
      </w:pPr>
      <w:r w:rsidRPr="00E14EBC">
        <w:t xml:space="preserve">Keskmine majutuse kestus = broneeritud ööde arv </w:t>
      </w:r>
      <w:r w:rsidR="37F04D9A" w:rsidRPr="37F04D9A">
        <w:t>÷</w:t>
      </w:r>
      <w:r w:rsidRPr="00E14EBC">
        <w:t xml:space="preserve"> majutuste (broneeringute) arv.</w:t>
      </w:r>
    </w:p>
    <w:p w14:paraId="7BF72E59" w14:textId="77777777" w:rsidR="006A36EE" w:rsidRPr="00E14EBC" w:rsidRDefault="006A36EE" w:rsidP="006A36EE">
      <w:pPr>
        <w:jc w:val="both"/>
      </w:pPr>
      <w:r w:rsidRPr="00E14EBC">
        <w:t>Selguse mõttes:</w:t>
      </w:r>
    </w:p>
    <w:p w14:paraId="54B9FE39" w14:textId="7FCFC2FC" w:rsidR="006A36EE" w:rsidRPr="00E14EBC" w:rsidRDefault="006A36EE" w:rsidP="006A36EE">
      <w:pPr>
        <w:pStyle w:val="ListParagraph"/>
        <w:numPr>
          <w:ilvl w:val="0"/>
          <w:numId w:val="24"/>
        </w:numPr>
        <w:jc w:val="both"/>
      </w:pPr>
      <w:r w:rsidRPr="00E14EBC">
        <w:t>Ööbimiste arv (</w:t>
      </w:r>
      <w:r>
        <w:t xml:space="preserve">ingl </w:t>
      </w:r>
      <w:r w:rsidRPr="00E14EBC">
        <w:rPr>
          <w:i/>
          <w:iCs/>
        </w:rPr>
        <w:t>guest-nights</w:t>
      </w:r>
      <w:r w:rsidRPr="00E14EBC">
        <w:t xml:space="preserve">) = majutatute arv </w:t>
      </w:r>
      <w:r w:rsidR="007A611C" w:rsidRPr="701BD83E">
        <w:t>×</w:t>
      </w:r>
      <w:r w:rsidRPr="00E14EBC">
        <w:t xml:space="preserve"> ühe majutuse keskmine kestus.</w:t>
      </w:r>
    </w:p>
    <w:p w14:paraId="4721E4E5" w14:textId="4F90C5BC" w:rsidR="4E440EBC" w:rsidRPr="00980D0F" w:rsidRDefault="006A36EE" w:rsidP="00BE179D">
      <w:pPr>
        <w:pStyle w:val="ListParagraph"/>
        <w:numPr>
          <w:ilvl w:val="0"/>
          <w:numId w:val="24"/>
        </w:numPr>
        <w:jc w:val="both"/>
      </w:pPr>
      <w:r w:rsidRPr="00E14EBC">
        <w:t>Ühe majutuse keskmine kestus (</w:t>
      </w:r>
      <w:r>
        <w:t xml:space="preserve">ingl </w:t>
      </w:r>
      <w:r w:rsidRPr="00E14EBC">
        <w:rPr>
          <w:i/>
          <w:iCs/>
        </w:rPr>
        <w:t>average length of stay</w:t>
      </w:r>
      <w:r w:rsidRPr="00E14EBC">
        <w:t>, ALOS) päevades = broneeritud ööde arv (</w:t>
      </w:r>
      <w:r>
        <w:t xml:space="preserve">ingl </w:t>
      </w:r>
      <w:r w:rsidRPr="00E95E2F">
        <w:rPr>
          <w:i/>
          <w:iCs/>
        </w:rPr>
        <w:t>nights</w:t>
      </w:r>
      <w:r w:rsidRPr="00E14EBC">
        <w:t xml:space="preserve">) </w:t>
      </w:r>
      <w:r w:rsidR="005D2F4C" w:rsidRPr="37F04D9A" w:rsidDel="00D637F9">
        <w:t>÷</w:t>
      </w:r>
      <w:r w:rsidR="006B10BA" w:rsidRPr="37F04D9A">
        <w:t xml:space="preserve"> </w:t>
      </w:r>
      <w:r w:rsidR="65066ABB">
        <w:t>broneeringute</w:t>
      </w:r>
      <w:r w:rsidRPr="00E14EBC">
        <w:t xml:space="preserve"> arv (</w:t>
      </w:r>
      <w:r>
        <w:t xml:space="preserve">ingl </w:t>
      </w:r>
      <w:r w:rsidRPr="00E14EBC">
        <w:rPr>
          <w:i/>
          <w:iCs/>
        </w:rPr>
        <w:t>stays</w:t>
      </w:r>
      <w:r w:rsidRPr="00E14EBC">
        <w:t>).</w:t>
      </w:r>
    </w:p>
    <w:p w14:paraId="0F07B14C" w14:textId="640B93D3" w:rsidR="001618A7" w:rsidRPr="00663342" w:rsidRDefault="007E7AED" w:rsidP="001618A7">
      <w:pPr>
        <w:spacing w:before="0"/>
        <w:jc w:val="both"/>
        <w:rPr>
          <w:rFonts w:eastAsia="Aptos"/>
        </w:rPr>
      </w:pPr>
      <w:r w:rsidRPr="1688D34F">
        <w:rPr>
          <w:rFonts w:eastAsia="Aptos"/>
        </w:rPr>
        <w:t xml:space="preserve">Korralik andmestik lühiajalise üüri turu kohta on kättesaadav ka </w:t>
      </w:r>
      <w:r w:rsidR="006B14D3" w:rsidRPr="1688D34F">
        <w:rPr>
          <w:rFonts w:eastAsia="Aptos"/>
        </w:rPr>
        <w:t>EIS</w:t>
      </w:r>
      <w:r w:rsidR="00B76AC0">
        <w:rPr>
          <w:rFonts w:eastAsia="Aptos"/>
        </w:rPr>
        <w:t>-</w:t>
      </w:r>
      <w:r w:rsidRPr="1688D34F">
        <w:rPr>
          <w:rFonts w:eastAsia="Aptos"/>
        </w:rPr>
        <w:t>i va</w:t>
      </w:r>
      <w:r w:rsidR="00C32DA1" w:rsidRPr="1688D34F">
        <w:rPr>
          <w:rFonts w:eastAsia="Aptos"/>
        </w:rPr>
        <w:t>h</w:t>
      </w:r>
      <w:r w:rsidRPr="1688D34F">
        <w:rPr>
          <w:rFonts w:eastAsia="Aptos"/>
        </w:rPr>
        <w:t>endusel, kes</w:t>
      </w:r>
      <w:r w:rsidR="006B14D3" w:rsidRPr="1688D34F">
        <w:rPr>
          <w:rFonts w:eastAsia="Aptos"/>
        </w:rPr>
        <w:t xml:space="preserve"> omab ligipääsu andmeanalüüsifirma Lighthouse andmebaasile</w:t>
      </w:r>
      <w:r w:rsidR="00C32DA1" w:rsidRPr="1688D34F">
        <w:rPr>
          <w:rFonts w:eastAsia="Aptos"/>
        </w:rPr>
        <w:t>. Kuigi</w:t>
      </w:r>
      <w:r w:rsidR="006B14D3" w:rsidRPr="1688D34F">
        <w:rPr>
          <w:rFonts w:eastAsia="Aptos"/>
        </w:rPr>
        <w:t xml:space="preserve"> nende andmete võimalik üksikasjalikum jagamine kolmandate osapooltega on lepinguliselt piiratud</w:t>
      </w:r>
      <w:r w:rsidR="00C32DA1" w:rsidRPr="1688D34F">
        <w:rPr>
          <w:rFonts w:eastAsia="Aptos"/>
        </w:rPr>
        <w:t xml:space="preserve">, on EIS avaldanud </w:t>
      </w:r>
      <w:r w:rsidR="00D25186" w:rsidRPr="1688D34F">
        <w:rPr>
          <w:rFonts w:eastAsia="Aptos"/>
        </w:rPr>
        <w:t xml:space="preserve">maakondade ja kuude lõikes </w:t>
      </w:r>
      <w:r w:rsidR="00D42901" w:rsidRPr="1688D34F">
        <w:rPr>
          <w:rFonts w:eastAsia="Aptos"/>
        </w:rPr>
        <w:t>lühiajalise üüri pindade ning broneeringute arv</w:t>
      </w:r>
      <w:r w:rsidR="001618A7" w:rsidRPr="1688D34F">
        <w:rPr>
          <w:rFonts w:eastAsia="Aptos"/>
        </w:rPr>
        <w:t>u</w:t>
      </w:r>
      <w:r w:rsidR="00D42901" w:rsidRPr="1688D34F">
        <w:rPr>
          <w:rFonts w:eastAsia="Aptos"/>
        </w:rPr>
        <w:t>.</w:t>
      </w:r>
      <w:r w:rsidR="001618A7" w:rsidRPr="1688D34F">
        <w:rPr>
          <w:rFonts w:eastAsia="Aptos"/>
        </w:rPr>
        <w:t xml:space="preserve"> Üldiselt DMO-d koguvadki turismiandmeid konkreetsete piirkondade kohta, aga valdavalt hõlmavad need majutusettevõtteid. </w:t>
      </w:r>
      <w:r w:rsidR="00197D09" w:rsidRPr="1688D34F">
        <w:rPr>
          <w:rFonts w:eastAsia="Aptos"/>
        </w:rPr>
        <w:t>Andmete kogumis</w:t>
      </w:r>
      <w:r w:rsidR="1AE3EC67" w:rsidRPr="1688D34F">
        <w:rPr>
          <w:rFonts w:eastAsia="Aptos"/>
        </w:rPr>
        <w:t>e</w:t>
      </w:r>
      <w:r w:rsidR="00197D09" w:rsidRPr="1688D34F">
        <w:rPr>
          <w:rFonts w:eastAsia="Aptos"/>
        </w:rPr>
        <w:t xml:space="preserve"> käigus selgus ka, et m</w:t>
      </w:r>
      <w:r w:rsidR="001618A7" w:rsidRPr="1688D34F">
        <w:rPr>
          <w:rFonts w:eastAsia="Aptos"/>
        </w:rPr>
        <w:t>õned üksikud omavalitsused on tellinud eraldi uuringuid (nt Tallinn kinnisvaranõustajalt Colliers) või andmeid (nt Eesti Panga ja Positium LBS mobiilpositsioneerimise andmed).</w:t>
      </w:r>
    </w:p>
    <w:p w14:paraId="63421A58" w14:textId="50680527" w:rsidR="000C7075" w:rsidRPr="004B6E58" w:rsidRDefault="00385E00" w:rsidP="00C46EF9">
      <w:pPr>
        <w:spacing w:before="0" w:after="0"/>
        <w:jc w:val="both"/>
        <w:rPr>
          <w:rFonts w:eastAsia="Aptos"/>
        </w:rPr>
      </w:pPr>
      <w:r w:rsidRPr="701BD83E">
        <w:rPr>
          <w:rFonts w:eastAsia="Aptos"/>
        </w:rPr>
        <w:t xml:space="preserve">Uuringu raames </w:t>
      </w:r>
      <w:r w:rsidR="00B70BA8" w:rsidRPr="701BD83E">
        <w:rPr>
          <w:rFonts w:eastAsia="Aptos"/>
        </w:rPr>
        <w:t>viisime</w:t>
      </w:r>
      <w:r w:rsidR="000C7075" w:rsidRPr="701BD83E">
        <w:rPr>
          <w:rFonts w:eastAsia="Aptos"/>
        </w:rPr>
        <w:t xml:space="preserve"> </w:t>
      </w:r>
      <w:r w:rsidR="000C7075" w:rsidRPr="1688D34F">
        <w:rPr>
          <w:rFonts w:eastAsia="Aptos"/>
        </w:rPr>
        <w:t>2025. aasta veebruaris läbi testandmekraapimise</w:t>
      </w:r>
      <w:r w:rsidR="00F72F5A" w:rsidRPr="1688D34F">
        <w:rPr>
          <w:rFonts w:eastAsia="Aptos"/>
        </w:rPr>
        <w:t xml:space="preserve"> veebirakendusega Octoparse</w:t>
      </w:r>
      <w:r w:rsidR="00F611D3" w:rsidRPr="1688D34F">
        <w:rPr>
          <w:rFonts w:eastAsia="Aptos"/>
        </w:rPr>
        <w:t xml:space="preserve"> (vt täpsemalt uuringu lisast 5</w:t>
      </w:r>
      <w:r w:rsidR="00F86486" w:rsidRPr="1688D34F">
        <w:rPr>
          <w:rFonts w:eastAsia="Aptos"/>
        </w:rPr>
        <w:t>a p1</w:t>
      </w:r>
      <w:r w:rsidR="00F611D3" w:rsidRPr="1688D34F">
        <w:rPr>
          <w:rFonts w:eastAsia="Aptos"/>
        </w:rPr>
        <w:t>)</w:t>
      </w:r>
      <w:r w:rsidR="00F72F5A" w:rsidRPr="1688D34F">
        <w:rPr>
          <w:rFonts w:eastAsia="Aptos"/>
        </w:rPr>
        <w:t>. Selle käigus</w:t>
      </w:r>
      <w:r w:rsidR="00F611D3" w:rsidRPr="1688D34F">
        <w:rPr>
          <w:rFonts w:eastAsia="Aptos"/>
        </w:rPr>
        <w:t xml:space="preserve"> ilmnes, et</w:t>
      </w:r>
      <w:r w:rsidR="00F72F5A" w:rsidRPr="1688D34F">
        <w:rPr>
          <w:rFonts w:eastAsia="Aptos"/>
        </w:rPr>
        <w:t xml:space="preserve"> </w:t>
      </w:r>
      <w:r w:rsidR="00F611D3" w:rsidRPr="1688D34F">
        <w:rPr>
          <w:rFonts w:eastAsia="Aptos"/>
        </w:rPr>
        <w:t>m</w:t>
      </w:r>
      <w:r w:rsidR="000C7075" w:rsidRPr="1688D34F">
        <w:rPr>
          <w:rFonts w:eastAsia="Aptos"/>
        </w:rPr>
        <w:t>ajutuskohade asukoha määratlus/kirjeldus ei vasta sageli nende tegelikule asukohale, nt paljud Kalamaja ja Rotermanni majutuskohad asuvad kuulutuse järgi Tallinna vanalinnas.</w:t>
      </w:r>
      <w:r w:rsidR="00653E5B" w:rsidRPr="1688D34F">
        <w:rPr>
          <w:rFonts w:eastAsia="Aptos"/>
        </w:rPr>
        <w:t xml:space="preserve"> Lisaks, paljude majutuskohtade nimetus/liigitus lähtub turunduslikest kaalutlustest ning ei sobitu NACE/EMTAK liigitusega.</w:t>
      </w:r>
      <w:r w:rsidR="006D04A7" w:rsidRPr="1688D34F">
        <w:rPr>
          <w:rFonts w:eastAsia="Aptos"/>
        </w:rPr>
        <w:t xml:space="preserve"> Selgus veel mitmeid piiranguid</w:t>
      </w:r>
      <w:r w:rsidR="35163821" w:rsidRPr="1688D34F">
        <w:rPr>
          <w:rFonts w:eastAsia="Aptos"/>
        </w:rPr>
        <w:t>,</w:t>
      </w:r>
      <w:r w:rsidR="006D04A7" w:rsidRPr="1688D34F">
        <w:rPr>
          <w:rFonts w:eastAsia="Aptos"/>
        </w:rPr>
        <w:t xml:space="preserve"> nagu </w:t>
      </w:r>
      <w:r w:rsidR="00AF1976" w:rsidRPr="1688D34F">
        <w:rPr>
          <w:rFonts w:eastAsia="Aptos"/>
        </w:rPr>
        <w:t>piisavalt detailse või võrreldava info</w:t>
      </w:r>
      <w:r w:rsidR="00040330" w:rsidRPr="1688D34F">
        <w:rPr>
          <w:rFonts w:eastAsia="Aptos"/>
        </w:rPr>
        <w:t xml:space="preserve"> puudumine</w:t>
      </w:r>
      <w:r w:rsidR="000C7075" w:rsidRPr="1688D34F">
        <w:rPr>
          <w:rFonts w:eastAsia="Aptos"/>
        </w:rPr>
        <w:t xml:space="preserve"> majutuskoha kogumahutavus</w:t>
      </w:r>
      <w:r w:rsidR="00040330" w:rsidRPr="1688D34F">
        <w:rPr>
          <w:rFonts w:eastAsia="Aptos"/>
        </w:rPr>
        <w:t>e kohta</w:t>
      </w:r>
      <w:r w:rsidR="00797AD3" w:rsidRPr="1688D34F">
        <w:rPr>
          <w:rFonts w:eastAsia="Aptos"/>
        </w:rPr>
        <w:t>, raskused kattuvuste võrdlemisel</w:t>
      </w:r>
      <w:r w:rsidR="000C7075" w:rsidRPr="1688D34F">
        <w:rPr>
          <w:rFonts w:eastAsia="Aptos"/>
        </w:rPr>
        <w:t xml:space="preserve"> (peamiselt Airbnb </w:t>
      </w:r>
      <w:r w:rsidR="000C7075" w:rsidRPr="701BD83E">
        <w:rPr>
          <w:rFonts w:eastAsia="Aptos"/>
          <w:i/>
        </w:rPr>
        <w:t>vs</w:t>
      </w:r>
      <w:r w:rsidR="217599CC" w:rsidRPr="1688D34F">
        <w:rPr>
          <w:rFonts w:eastAsia="Aptos"/>
          <w:i/>
          <w:iCs/>
        </w:rPr>
        <w:t>.</w:t>
      </w:r>
      <w:r w:rsidR="000C7075" w:rsidRPr="1688D34F">
        <w:rPr>
          <w:rFonts w:eastAsia="Aptos"/>
        </w:rPr>
        <w:t xml:space="preserve"> Booking)</w:t>
      </w:r>
      <w:r w:rsidR="002504B7" w:rsidRPr="1688D34F">
        <w:rPr>
          <w:rFonts w:eastAsia="Aptos"/>
        </w:rPr>
        <w:t xml:space="preserve">, </w:t>
      </w:r>
      <w:r w:rsidR="00644638" w:rsidRPr="1688D34F">
        <w:rPr>
          <w:rFonts w:eastAsia="Aptos"/>
        </w:rPr>
        <w:t xml:space="preserve">majutuskohtade kuvamine platvormil piiratud mahus (nt Airbnb </w:t>
      </w:r>
      <w:r w:rsidR="000C7075" w:rsidRPr="1688D34F">
        <w:rPr>
          <w:rFonts w:eastAsia="Aptos"/>
        </w:rPr>
        <w:t>kuni 15 leheküljel, s.o maksimaalselt 270 pakkumist</w:t>
      </w:r>
      <w:r w:rsidR="00644638" w:rsidRPr="1688D34F">
        <w:rPr>
          <w:rFonts w:eastAsia="Aptos"/>
        </w:rPr>
        <w:t>)</w:t>
      </w:r>
      <w:r w:rsidR="000601E9" w:rsidRPr="1688D34F">
        <w:rPr>
          <w:rFonts w:eastAsia="Aptos"/>
        </w:rPr>
        <w:t>, mahukas käsitöö a</w:t>
      </w:r>
      <w:r w:rsidR="000C7075" w:rsidRPr="1688D34F">
        <w:rPr>
          <w:rFonts w:eastAsia="Aptos"/>
        </w:rPr>
        <w:t>ndmefailide puhastami</w:t>
      </w:r>
      <w:r w:rsidR="000601E9" w:rsidRPr="1688D34F">
        <w:rPr>
          <w:rFonts w:eastAsia="Aptos"/>
        </w:rPr>
        <w:t>sel</w:t>
      </w:r>
      <w:r w:rsidR="000C7075" w:rsidRPr="1688D34F">
        <w:rPr>
          <w:rFonts w:eastAsia="Aptos"/>
        </w:rPr>
        <w:t xml:space="preserve"> ja sorteerimi</w:t>
      </w:r>
      <w:r w:rsidR="000601E9" w:rsidRPr="1688D34F">
        <w:rPr>
          <w:rFonts w:eastAsia="Aptos"/>
        </w:rPr>
        <w:t>sel</w:t>
      </w:r>
      <w:r w:rsidR="000C7075" w:rsidRPr="1688D34F">
        <w:rPr>
          <w:rFonts w:eastAsia="Aptos"/>
        </w:rPr>
        <w:t xml:space="preserve"> </w:t>
      </w:r>
      <w:r w:rsidR="008A0910" w:rsidRPr="1688D34F">
        <w:rPr>
          <w:rFonts w:eastAsia="Aptos"/>
        </w:rPr>
        <w:t>ning suur</w:t>
      </w:r>
      <w:r w:rsidR="000C7075" w:rsidRPr="1688D34F">
        <w:rPr>
          <w:rFonts w:eastAsia="Aptos"/>
        </w:rPr>
        <w:t xml:space="preserve"> volatiilsus</w:t>
      </w:r>
      <w:r w:rsidR="008A0910" w:rsidRPr="1688D34F">
        <w:rPr>
          <w:rFonts w:eastAsia="Aptos"/>
        </w:rPr>
        <w:t>, nt</w:t>
      </w:r>
      <w:r w:rsidR="000C7075" w:rsidRPr="1688D34F">
        <w:rPr>
          <w:rFonts w:eastAsia="Aptos"/>
        </w:rPr>
        <w:t xml:space="preserve"> pakkumiste staatus (aktiivne/mitteaktiivne) muutub pidevalt, mistõttu on vajalik andmekraapimise suur sagedus.</w:t>
      </w:r>
    </w:p>
    <w:p w14:paraId="0B014EE5" w14:textId="319F8F4B" w:rsidR="00E75575" w:rsidRPr="00D968F4" w:rsidRDefault="008F74DE" w:rsidP="00C46EF9">
      <w:pPr>
        <w:jc w:val="both"/>
        <w:rPr>
          <w:rFonts w:eastAsia="Aptos"/>
        </w:rPr>
      </w:pPr>
      <w:r>
        <w:rPr>
          <w:rFonts w:eastAsia="Aptos"/>
        </w:rPr>
        <w:t>L</w:t>
      </w:r>
      <w:r w:rsidR="6BF7470B" w:rsidRPr="00D968F4">
        <w:rPr>
          <w:rFonts w:eastAsia="Aptos"/>
        </w:rPr>
        <w:t xml:space="preserve">ühiajalise üüri avaandmete valideerimiseks </w:t>
      </w:r>
      <w:r>
        <w:rPr>
          <w:rFonts w:eastAsia="Aptos"/>
        </w:rPr>
        <w:t xml:space="preserve">leidsime </w:t>
      </w:r>
      <w:r w:rsidR="6BF7470B" w:rsidRPr="00D968F4">
        <w:rPr>
          <w:rFonts w:eastAsia="Aptos"/>
        </w:rPr>
        <w:t>ka ühe professionaalse andmeanalüütika</w:t>
      </w:r>
      <w:r w:rsidR="0708E957" w:rsidRPr="00D968F4">
        <w:rPr>
          <w:rFonts w:eastAsia="Aptos"/>
        </w:rPr>
        <w:t xml:space="preserve"> </w:t>
      </w:r>
      <w:r w:rsidR="6BF7470B" w:rsidRPr="00D968F4">
        <w:rPr>
          <w:rFonts w:eastAsia="Aptos"/>
        </w:rPr>
        <w:t xml:space="preserve">firma </w:t>
      </w:r>
      <w:r w:rsidR="472A8FAC" w:rsidRPr="00D968F4">
        <w:rPr>
          <w:rFonts w:eastAsia="Aptos"/>
        </w:rPr>
        <w:t xml:space="preserve">(Doorbll) </w:t>
      </w:r>
      <w:r w:rsidR="6BF7470B" w:rsidRPr="00D968F4">
        <w:rPr>
          <w:rFonts w:eastAsia="Aptos"/>
        </w:rPr>
        <w:t xml:space="preserve">andmekraapimise teel kogutud ja koostatud </w:t>
      </w:r>
      <w:r w:rsidR="14EE3F81" w:rsidRPr="00D968F4">
        <w:rPr>
          <w:rFonts w:eastAsia="Aptos"/>
        </w:rPr>
        <w:t>andmestiku</w:t>
      </w:r>
      <w:r w:rsidR="4E440EBC" w:rsidRPr="00D968F4">
        <w:rPr>
          <w:rStyle w:val="FootnoteReference"/>
          <w:rFonts w:eastAsia="Aptos"/>
        </w:rPr>
        <w:footnoteReference w:id="59"/>
      </w:r>
      <w:r w:rsidR="6BF7470B" w:rsidRPr="00D968F4">
        <w:rPr>
          <w:rFonts w:eastAsia="Aptos"/>
        </w:rPr>
        <w:t xml:space="preserve"> kolme veebiplatvormi </w:t>
      </w:r>
      <w:r w:rsidR="6BF7470B" w:rsidRPr="00D968F4">
        <w:rPr>
          <w:rFonts w:eastAsia="Aptos"/>
        </w:rPr>
        <w:lastRenderedPageBreak/>
        <w:t>majutuskuulutustega</w:t>
      </w:r>
      <w:r w:rsidR="0EF927AD" w:rsidRPr="00D968F4">
        <w:rPr>
          <w:rFonts w:eastAsia="Aptos"/>
        </w:rPr>
        <w:t xml:space="preserve"> </w:t>
      </w:r>
      <w:r w:rsidR="6BF7470B" w:rsidRPr="00D968F4">
        <w:rPr>
          <w:rFonts w:eastAsia="Aptos"/>
        </w:rPr>
        <w:t>.csv formaadis. Ainsa Eesti linnana olid 2025.</w:t>
      </w:r>
      <w:r w:rsidR="3E40E233" w:rsidRPr="00D968F4">
        <w:rPr>
          <w:rFonts w:eastAsia="Aptos"/>
        </w:rPr>
        <w:t xml:space="preserve"> </w:t>
      </w:r>
      <w:r w:rsidR="6BF7470B" w:rsidRPr="00D968F4">
        <w:rPr>
          <w:rFonts w:eastAsia="Aptos"/>
        </w:rPr>
        <w:t>a</w:t>
      </w:r>
      <w:r w:rsidR="55FA54A0" w:rsidRPr="00D968F4">
        <w:rPr>
          <w:rFonts w:eastAsia="Aptos"/>
        </w:rPr>
        <w:t>asta</w:t>
      </w:r>
      <w:r w:rsidR="6BF7470B" w:rsidRPr="00D968F4">
        <w:rPr>
          <w:rFonts w:eastAsia="Aptos"/>
        </w:rPr>
        <w:t xml:space="preserve"> kevadsuvel saadaval andmed Tallinna kohta.</w:t>
      </w:r>
      <w:r w:rsidR="00E75575" w:rsidRPr="00E75575">
        <w:rPr>
          <w:rFonts w:eastAsia="Aptos"/>
        </w:rPr>
        <w:t xml:space="preserve"> </w:t>
      </w:r>
      <w:r w:rsidR="00E75575" w:rsidRPr="00D968F4">
        <w:rPr>
          <w:rFonts w:eastAsia="Aptos"/>
        </w:rPr>
        <w:t>Doorbll andmestiku koostamise metoodika kirjeldus, andmetöötluse kirjeldus ja tulemuste kokkuvõte on Lisas 5a p 2.</w:t>
      </w:r>
    </w:p>
    <w:p w14:paraId="271DA8F9" w14:textId="24F2AF32" w:rsidR="4E440EBC" w:rsidRPr="00E14EBC" w:rsidRDefault="4E440EBC" w:rsidP="4E440EBC">
      <w:pPr>
        <w:spacing w:before="0" w:after="0"/>
        <w:jc w:val="both"/>
        <w:rPr>
          <w:rFonts w:eastAsia="Aptos"/>
        </w:rPr>
      </w:pPr>
      <w:r w:rsidRPr="00E14EBC">
        <w:rPr>
          <w:rFonts w:eastAsia="Aptos"/>
        </w:rPr>
        <w:t xml:space="preserve">Professionaalse andmekraapimise tulemuste põhjal </w:t>
      </w:r>
      <w:r w:rsidR="00085FD5">
        <w:rPr>
          <w:rFonts w:eastAsia="Aptos"/>
        </w:rPr>
        <w:t>tegime järgmisi</w:t>
      </w:r>
      <w:r w:rsidRPr="00E14EBC">
        <w:rPr>
          <w:rFonts w:eastAsia="Aptos"/>
        </w:rPr>
        <w:t xml:space="preserve"> tähelepaneku</w:t>
      </w:r>
      <w:r w:rsidR="00085FD5">
        <w:rPr>
          <w:rFonts w:eastAsia="Aptos"/>
        </w:rPr>
        <w:t>i</w:t>
      </w:r>
      <w:r w:rsidRPr="00E14EBC">
        <w:rPr>
          <w:rFonts w:eastAsia="Aptos"/>
        </w:rPr>
        <w:t>d:</w:t>
      </w:r>
    </w:p>
    <w:p w14:paraId="35B38927" w14:textId="77777777" w:rsidR="4E440EBC" w:rsidRPr="00E14EBC" w:rsidRDefault="4E440EBC" w:rsidP="007F08F4">
      <w:pPr>
        <w:pStyle w:val="ListParagraph"/>
        <w:numPr>
          <w:ilvl w:val="1"/>
          <w:numId w:val="61"/>
        </w:numPr>
        <w:spacing w:before="0" w:after="0"/>
        <w:ind w:left="720"/>
        <w:jc w:val="both"/>
        <w:rPr>
          <w:rFonts w:eastAsia="Aptos"/>
        </w:rPr>
      </w:pPr>
      <w:r w:rsidRPr="00E14EBC">
        <w:rPr>
          <w:rFonts w:eastAsia="Aptos"/>
        </w:rPr>
        <w:t>Doorbll andmestikud ei erista ettevõtete ja eraisikute kuulutusi (on vaid majutaja eesnimi).</w:t>
      </w:r>
    </w:p>
    <w:p w14:paraId="24D72452" w14:textId="0D37CC49" w:rsidR="4E440EBC" w:rsidRPr="00E14EBC" w:rsidRDefault="4E440EBC" w:rsidP="007F08F4">
      <w:pPr>
        <w:pStyle w:val="ListParagraph"/>
        <w:numPr>
          <w:ilvl w:val="1"/>
          <w:numId w:val="61"/>
        </w:numPr>
        <w:spacing w:before="0" w:after="0"/>
        <w:ind w:left="720"/>
        <w:jc w:val="both"/>
        <w:rPr>
          <w:rFonts w:eastAsia="Aptos"/>
        </w:rPr>
      </w:pPr>
      <w:r w:rsidRPr="00E14EBC">
        <w:rPr>
          <w:rFonts w:eastAsia="Aptos"/>
        </w:rPr>
        <w:t>Maksimaalne külastajate arv kõigi platvormide andmetes on võrreldav voodikohtade arvuga riiklikus majutusettevõtete statistikas.</w:t>
      </w:r>
    </w:p>
    <w:p w14:paraId="705ECC7C" w14:textId="0BE8B649" w:rsidR="4E440EBC" w:rsidRPr="00E14EBC" w:rsidRDefault="4E440EBC" w:rsidP="007F08F4">
      <w:pPr>
        <w:pStyle w:val="ListParagraph"/>
        <w:numPr>
          <w:ilvl w:val="1"/>
          <w:numId w:val="61"/>
        </w:numPr>
        <w:spacing w:before="0" w:after="0"/>
        <w:ind w:left="720"/>
        <w:jc w:val="both"/>
        <w:rPr>
          <w:rFonts w:eastAsia="Aptos"/>
        </w:rPr>
      </w:pPr>
      <w:r w:rsidRPr="00E14EBC">
        <w:rPr>
          <w:rFonts w:eastAsia="Aptos"/>
        </w:rPr>
        <w:t>Vrbo kuulutustes on suurematel pakkujatel alamleh(te)el palju rohkem pakkumisi kui avalehelt paistab ja kraapetulemuste tabelist näha</w:t>
      </w:r>
      <w:r w:rsidR="00932E8D" w:rsidRPr="00E14EBC">
        <w:rPr>
          <w:rFonts w:eastAsia="Aptos"/>
        </w:rPr>
        <w:t xml:space="preserve"> (n</w:t>
      </w:r>
      <w:r w:rsidRPr="00E14EBC">
        <w:rPr>
          <w:rFonts w:eastAsia="Aptos"/>
        </w:rPr>
        <w:t>t Ülemiste City Residences</w:t>
      </w:r>
      <w:r w:rsidR="00932E8D" w:rsidRPr="00E14EBC">
        <w:rPr>
          <w:rFonts w:eastAsia="Aptos"/>
        </w:rPr>
        <w:t>).</w:t>
      </w:r>
    </w:p>
    <w:p w14:paraId="167052AC" w14:textId="0B5CB837" w:rsidR="4E440EBC" w:rsidRPr="00E14EBC" w:rsidRDefault="4E440EBC" w:rsidP="007F08F4">
      <w:pPr>
        <w:pStyle w:val="ListParagraph"/>
        <w:numPr>
          <w:ilvl w:val="1"/>
          <w:numId w:val="61"/>
        </w:numPr>
        <w:spacing w:before="0" w:after="0"/>
        <w:ind w:left="720"/>
        <w:jc w:val="both"/>
        <w:rPr>
          <w:rFonts w:eastAsia="Aptos"/>
        </w:rPr>
      </w:pPr>
      <w:r w:rsidRPr="00E14EBC">
        <w:rPr>
          <w:rFonts w:eastAsia="Aptos"/>
        </w:rPr>
        <w:t xml:space="preserve">Booking kuulutustes on </w:t>
      </w:r>
      <w:r w:rsidR="00285AB6">
        <w:rPr>
          <w:rFonts w:eastAsia="Aptos"/>
        </w:rPr>
        <w:t>Tallinna v</w:t>
      </w:r>
      <w:r w:rsidRPr="00E14EBC">
        <w:rPr>
          <w:rFonts w:eastAsia="Aptos"/>
        </w:rPr>
        <w:t>analinna alla paigutatud nii Rotermanni kvartalis kui Põhja-Tallinna linnaosas (Kalamajas) asuvaid objekte.</w:t>
      </w:r>
    </w:p>
    <w:p w14:paraId="167D3A4F" w14:textId="6760C581" w:rsidR="4E440EBC" w:rsidRPr="00E14EBC" w:rsidRDefault="4E440EBC" w:rsidP="007F08F4">
      <w:pPr>
        <w:pStyle w:val="ListParagraph"/>
        <w:numPr>
          <w:ilvl w:val="1"/>
          <w:numId w:val="61"/>
        </w:numPr>
        <w:spacing w:before="0" w:after="0"/>
        <w:ind w:left="720"/>
        <w:jc w:val="both"/>
        <w:rPr>
          <w:rFonts w:eastAsia="Aptos"/>
          <w:i/>
          <w:iCs/>
        </w:rPr>
      </w:pPr>
      <w:r w:rsidRPr="00E14EBC">
        <w:rPr>
          <w:rFonts w:eastAsia="Aptos"/>
        </w:rPr>
        <w:t>Ilma andmetabeleid põhjalikult puhastamata ei saa Doorbll andmestikke kasutada käesoleva uuringu eesmärgil, sest need kajastavad kõiki veebiplatvormidel pakutavaid majutusvõimalusi, lühiajalise üüri turu andmeanalüüsi üheks ülesandeks on aga vältida/minimeerida dubleeruvust EMTAK 551 ja osade EMTAK 552 majutusettevõtetega.</w:t>
      </w:r>
    </w:p>
    <w:p w14:paraId="7A2BE05C" w14:textId="77777777" w:rsidR="4E440EBC" w:rsidRPr="00E14EBC" w:rsidRDefault="4E440EBC" w:rsidP="4E440EBC">
      <w:pPr>
        <w:spacing w:before="0" w:after="0"/>
        <w:jc w:val="both"/>
        <w:rPr>
          <w:rFonts w:eastAsia="Aptos"/>
        </w:rPr>
      </w:pPr>
    </w:p>
    <w:p w14:paraId="7E69E294" w14:textId="2DA180F2" w:rsidR="00AA1934" w:rsidRDefault="4E440EBC" w:rsidP="008041B4">
      <w:pPr>
        <w:spacing w:before="0" w:after="0"/>
        <w:jc w:val="both"/>
        <w:rPr>
          <w:rFonts w:eastAsia="Aptos"/>
        </w:rPr>
      </w:pPr>
      <w:r w:rsidRPr="00E14EBC">
        <w:rPr>
          <w:rFonts w:eastAsia="Aptos"/>
        </w:rPr>
        <w:t xml:space="preserve">Kriitikale vaatamata andis Doorbll andmekraabe </w:t>
      </w:r>
      <w:r w:rsidR="3D607F6F" w:rsidRPr="00E14EBC">
        <w:rPr>
          <w:rFonts w:eastAsia="Aptos"/>
        </w:rPr>
        <w:t>meile</w:t>
      </w:r>
      <w:r w:rsidRPr="00E14EBC">
        <w:rPr>
          <w:rFonts w:eastAsia="Aptos"/>
        </w:rPr>
        <w:t xml:space="preserve"> seni kõige usaldusväärsema ülevaate lühiajalise üüri majutuskohtade arvust, paiknemisest, mahutavusest ja teenuse pakkujatest Tallinnas.</w:t>
      </w:r>
      <w:r w:rsidR="0025B7EB" w:rsidRPr="0025B7EB">
        <w:rPr>
          <w:rFonts w:eastAsia="Aptos"/>
        </w:rPr>
        <w:t xml:space="preserve"> Paraku on Doorbll 2025. aasta keskel loobunud Booking ja Vrbo</w:t>
      </w:r>
      <w:r w:rsidR="73C48C7F" w:rsidRPr="73C48C7F">
        <w:rPr>
          <w:rFonts w:eastAsia="Aptos"/>
        </w:rPr>
        <w:t xml:space="preserve"> platvormide andmete kuvamisest.</w:t>
      </w:r>
      <w:r w:rsidR="00437C90">
        <w:rPr>
          <w:rFonts w:eastAsia="Aptos"/>
        </w:rPr>
        <w:t xml:space="preserve"> </w:t>
      </w:r>
      <w:r w:rsidR="004D0EE7">
        <w:rPr>
          <w:rFonts w:eastAsia="Aptos"/>
        </w:rPr>
        <w:t xml:space="preserve">Analüütikaettevõtete </w:t>
      </w:r>
      <w:r w:rsidR="000413F6">
        <w:rPr>
          <w:rFonts w:eastAsia="Aptos"/>
        </w:rPr>
        <w:t>(</w:t>
      </w:r>
      <w:r w:rsidR="00437C90">
        <w:rPr>
          <w:rFonts w:eastAsia="Aptos"/>
        </w:rPr>
        <w:t xml:space="preserve">sh </w:t>
      </w:r>
      <w:r w:rsidR="00974A5B">
        <w:rPr>
          <w:rFonts w:eastAsia="Aptos"/>
        </w:rPr>
        <w:t>A</w:t>
      </w:r>
      <w:r w:rsidR="000413F6">
        <w:rPr>
          <w:rFonts w:eastAsia="Aptos"/>
        </w:rPr>
        <w:t>irDNA</w:t>
      </w:r>
      <w:r w:rsidR="00974A5B">
        <w:rPr>
          <w:rFonts w:eastAsia="Aptos"/>
        </w:rPr>
        <w:t>,</w:t>
      </w:r>
      <w:r w:rsidR="000413F6">
        <w:rPr>
          <w:rFonts w:eastAsia="Aptos"/>
        </w:rPr>
        <w:t xml:space="preserve"> Lighth</w:t>
      </w:r>
      <w:r w:rsidR="00CB5090">
        <w:rPr>
          <w:rFonts w:eastAsia="Aptos"/>
        </w:rPr>
        <w:t>ouse jt)</w:t>
      </w:r>
      <w:r w:rsidR="000413F6">
        <w:rPr>
          <w:rFonts w:eastAsia="Aptos"/>
        </w:rPr>
        <w:t xml:space="preserve"> </w:t>
      </w:r>
      <w:r w:rsidR="004D0EE7">
        <w:rPr>
          <w:rFonts w:eastAsia="Aptos"/>
        </w:rPr>
        <w:t>andmetel</w:t>
      </w:r>
      <w:r w:rsidR="6BF7470B" w:rsidRPr="5848DE21">
        <w:rPr>
          <w:rFonts w:eastAsia="Aptos"/>
        </w:rPr>
        <w:t xml:space="preserve"> põhineva</w:t>
      </w:r>
      <w:r w:rsidR="000413F6">
        <w:rPr>
          <w:rFonts w:eastAsia="Aptos"/>
        </w:rPr>
        <w:t>te</w:t>
      </w:r>
      <w:r w:rsidR="6BF7470B" w:rsidRPr="5848DE21">
        <w:rPr>
          <w:rFonts w:eastAsia="Aptos"/>
        </w:rPr>
        <w:t xml:space="preserve"> ülevaa</w:t>
      </w:r>
      <w:r w:rsidR="000413F6">
        <w:rPr>
          <w:rFonts w:eastAsia="Aptos"/>
        </w:rPr>
        <w:t>dete</w:t>
      </w:r>
      <w:r w:rsidR="6BF7470B" w:rsidRPr="5848DE21">
        <w:rPr>
          <w:rFonts w:eastAsia="Aptos"/>
        </w:rPr>
        <w:t xml:space="preserve"> kvaliteet sõltub</w:t>
      </w:r>
      <w:r w:rsidR="00437C90">
        <w:rPr>
          <w:rFonts w:eastAsia="Aptos"/>
        </w:rPr>
        <w:t>ki</w:t>
      </w:r>
      <w:r w:rsidR="6BF7470B" w:rsidRPr="5848DE21">
        <w:rPr>
          <w:rFonts w:eastAsia="Aptos"/>
        </w:rPr>
        <w:t xml:space="preserve"> </w:t>
      </w:r>
      <w:r w:rsidR="6A72ACEB" w:rsidRPr="5848DE21">
        <w:rPr>
          <w:rFonts w:eastAsia="Aptos"/>
        </w:rPr>
        <w:t>mh sellest</w:t>
      </w:r>
      <w:r w:rsidR="6BF7470B" w:rsidRPr="5848DE21">
        <w:rPr>
          <w:rFonts w:eastAsia="Aptos"/>
        </w:rPr>
        <w:t>, kas andmeid saadakse ühelt või mitmelt platvormilt</w:t>
      </w:r>
      <w:r w:rsidR="366EE709" w:rsidRPr="5848DE21">
        <w:rPr>
          <w:rFonts w:eastAsia="Aptos"/>
        </w:rPr>
        <w:t xml:space="preserve">, </w:t>
      </w:r>
      <w:r w:rsidR="71E47FB6" w:rsidRPr="5848DE21">
        <w:rPr>
          <w:rFonts w:eastAsia="Aptos"/>
        </w:rPr>
        <w:t>ja omajagu</w:t>
      </w:r>
      <w:r w:rsidR="6BF7470B" w:rsidRPr="5848DE21">
        <w:rPr>
          <w:rFonts w:eastAsia="Aptos"/>
        </w:rPr>
        <w:t xml:space="preserve"> ka kasutatavatest otsingusõnadest – kas kokku loetakse kuulutused (</w:t>
      </w:r>
      <w:r w:rsidR="6BF7470B" w:rsidRPr="5848DE21">
        <w:rPr>
          <w:rFonts w:eastAsia="Aptos"/>
          <w:i/>
          <w:iCs/>
        </w:rPr>
        <w:t>listings</w:t>
      </w:r>
      <w:r w:rsidR="6BF7470B" w:rsidRPr="5848DE21">
        <w:rPr>
          <w:rFonts w:eastAsia="Aptos"/>
        </w:rPr>
        <w:t>), aktiivsed kuulutused (</w:t>
      </w:r>
      <w:r w:rsidR="6BF7470B" w:rsidRPr="5848DE21">
        <w:rPr>
          <w:rFonts w:eastAsia="Aptos"/>
          <w:i/>
          <w:iCs/>
        </w:rPr>
        <w:t>active listings</w:t>
      </w:r>
      <w:r w:rsidR="6BF7470B" w:rsidRPr="5848DE21">
        <w:rPr>
          <w:rFonts w:eastAsia="Aptos"/>
        </w:rPr>
        <w:t>)</w:t>
      </w:r>
      <w:r w:rsidR="3A251902" w:rsidRPr="5848DE21">
        <w:rPr>
          <w:rFonts w:eastAsia="Aptos"/>
        </w:rPr>
        <w:t xml:space="preserve"> või</w:t>
      </w:r>
      <w:r w:rsidR="6BF7470B" w:rsidRPr="5848DE21">
        <w:rPr>
          <w:rFonts w:eastAsia="Aptos"/>
        </w:rPr>
        <w:t xml:space="preserve"> majutuskohad (</w:t>
      </w:r>
      <w:r w:rsidR="6BF7470B" w:rsidRPr="5848DE21">
        <w:rPr>
          <w:rFonts w:eastAsia="Aptos"/>
          <w:i/>
          <w:iCs/>
        </w:rPr>
        <w:t>properties</w:t>
      </w:r>
      <w:r w:rsidR="6BF7470B" w:rsidRPr="5848DE21">
        <w:rPr>
          <w:rFonts w:eastAsia="Aptos"/>
        </w:rPr>
        <w:t xml:space="preserve">). </w:t>
      </w:r>
    </w:p>
    <w:p w14:paraId="406C4167" w14:textId="39AE917C" w:rsidR="00B30A01" w:rsidRDefault="00E96C82" w:rsidP="00BE179D">
      <w:pPr>
        <w:jc w:val="both"/>
        <w:rPr>
          <w:rFonts w:eastAsia="Aptos"/>
        </w:rPr>
      </w:pPr>
      <w:r w:rsidRPr="1688D34F">
        <w:rPr>
          <w:rFonts w:eastAsia="Aptos"/>
        </w:rPr>
        <w:t xml:space="preserve">Uuringu raames </w:t>
      </w:r>
      <w:r w:rsidR="004F0BA7" w:rsidRPr="1688D34F">
        <w:rPr>
          <w:rFonts w:eastAsia="Aptos"/>
        </w:rPr>
        <w:t xml:space="preserve">hindasime ka lühiajalise üüri turu </w:t>
      </w:r>
      <w:r w:rsidR="5A6C717C" w:rsidRPr="5A6C717C">
        <w:rPr>
          <w:rFonts w:eastAsia="Aptos"/>
        </w:rPr>
        <w:t xml:space="preserve">andmete kättesaadavust neid </w:t>
      </w:r>
      <w:r w:rsidR="00C05D00" w:rsidRPr="1688D34F">
        <w:rPr>
          <w:rFonts w:eastAsia="Aptos"/>
        </w:rPr>
        <w:t>teenusena pakkuvate ettevõtete kaudu</w:t>
      </w:r>
      <w:r w:rsidR="5A6C717C" w:rsidRPr="5A6C717C">
        <w:rPr>
          <w:rFonts w:eastAsia="Aptos"/>
        </w:rPr>
        <w:t>, milledest üks tuntumaid</w:t>
      </w:r>
      <w:r w:rsidR="00C05D00" w:rsidRPr="1688D34F">
        <w:rPr>
          <w:rFonts w:eastAsia="Aptos"/>
        </w:rPr>
        <w:t xml:space="preserve"> on </w:t>
      </w:r>
      <w:r w:rsidR="00B30A01" w:rsidRPr="1688D34F">
        <w:rPr>
          <w:rFonts w:eastAsia="Aptos"/>
        </w:rPr>
        <w:t>AirDNA</w:t>
      </w:r>
      <w:r w:rsidR="5A6C717C" w:rsidRPr="5A6C717C">
        <w:rPr>
          <w:rFonts w:eastAsia="Aptos"/>
        </w:rPr>
        <w:t xml:space="preserve">. Viimase pakutavate andmete </w:t>
      </w:r>
      <w:r w:rsidR="00B30A01" w:rsidRPr="1688D34F">
        <w:rPr>
          <w:rFonts w:eastAsia="Aptos"/>
        </w:rPr>
        <w:t xml:space="preserve">peamiseks puuduseks on piiratud geograafiline </w:t>
      </w:r>
      <w:r w:rsidR="701BD83E" w:rsidRPr="701BD83E">
        <w:rPr>
          <w:rFonts w:eastAsia="Aptos"/>
        </w:rPr>
        <w:t>katvus.</w:t>
      </w:r>
      <w:r w:rsidR="00B30A01" w:rsidRPr="1688D34F">
        <w:rPr>
          <w:rFonts w:eastAsia="Aptos"/>
        </w:rPr>
        <w:t xml:space="preserve"> Eesti osas on nii tasuta kui ka tasulises versioonis esitatud andmed vaid </w:t>
      </w:r>
      <w:r w:rsidR="00CF14E2">
        <w:rPr>
          <w:rFonts w:eastAsia="Aptos"/>
        </w:rPr>
        <w:t>kaheksa</w:t>
      </w:r>
      <w:r w:rsidR="00B30A01" w:rsidRPr="1688D34F">
        <w:rPr>
          <w:rFonts w:eastAsia="Aptos"/>
        </w:rPr>
        <w:t xml:space="preserve"> linna</w:t>
      </w:r>
      <w:r w:rsidR="5A6C717C" w:rsidRPr="5A6C717C">
        <w:rPr>
          <w:rFonts w:eastAsia="Aptos"/>
        </w:rPr>
        <w:t xml:space="preserve"> ning</w:t>
      </w:r>
      <w:r w:rsidR="00B30A01" w:rsidRPr="1688D34F">
        <w:rPr>
          <w:rFonts w:eastAsia="Aptos"/>
        </w:rPr>
        <w:t xml:space="preserve"> kahe maakonna (Tartumaa ja Võrumaa) kohta. Puuduvad täpsemad andmed kogu Eesti kohta, rääkimata </w:t>
      </w:r>
      <w:r w:rsidR="5A6C717C" w:rsidRPr="5A6C717C">
        <w:rPr>
          <w:rFonts w:eastAsia="Aptos"/>
        </w:rPr>
        <w:t xml:space="preserve">enamikest </w:t>
      </w:r>
      <w:r w:rsidR="00B30A01" w:rsidRPr="1688D34F">
        <w:rPr>
          <w:rFonts w:eastAsia="Aptos"/>
        </w:rPr>
        <w:t xml:space="preserve">maakondadest. Üldiselt ongi lühiajalise üüri teenuste kohta </w:t>
      </w:r>
      <w:r w:rsidR="2EE74757" w:rsidRPr="2EE74757">
        <w:rPr>
          <w:rFonts w:eastAsia="Aptos"/>
        </w:rPr>
        <w:t>erasektori</w:t>
      </w:r>
      <w:r w:rsidR="075314E9" w:rsidRPr="075314E9">
        <w:rPr>
          <w:rFonts w:eastAsia="Aptos"/>
        </w:rPr>
        <w:t xml:space="preserve"> </w:t>
      </w:r>
      <w:r w:rsidR="00D90F12">
        <w:rPr>
          <w:rFonts w:eastAsia="Aptos"/>
        </w:rPr>
        <w:t>pakutavad andmed</w:t>
      </w:r>
      <w:r w:rsidR="00D90F12" w:rsidRPr="1688D34F">
        <w:rPr>
          <w:rFonts w:eastAsia="Aptos"/>
        </w:rPr>
        <w:t xml:space="preserve"> </w:t>
      </w:r>
      <w:r w:rsidR="00B30A01" w:rsidRPr="1688D34F">
        <w:rPr>
          <w:rFonts w:eastAsia="Aptos"/>
        </w:rPr>
        <w:t>kergemini kättesaadavad linnade kohta.</w:t>
      </w:r>
      <w:r w:rsidR="000C79AC" w:rsidRPr="1688D34F">
        <w:rPr>
          <w:rFonts w:eastAsia="Aptos"/>
        </w:rPr>
        <w:t xml:space="preserve"> </w:t>
      </w:r>
      <w:r w:rsidR="00B30A01" w:rsidRPr="1688D34F">
        <w:rPr>
          <w:rFonts w:eastAsia="Aptos"/>
        </w:rPr>
        <w:t>Teiseks oluliseks AirDNA puuduseks on Booking.com platvormi puudumine kajastatavate platvormide andmetest.</w:t>
      </w:r>
      <w:r w:rsidR="000C79AC" w:rsidRPr="1688D34F">
        <w:rPr>
          <w:rFonts w:eastAsia="Aptos"/>
        </w:rPr>
        <w:t xml:space="preserve"> Samuti tuvastasime, et andmete</w:t>
      </w:r>
      <w:r w:rsidR="001639E1" w:rsidRPr="1688D34F">
        <w:rPr>
          <w:rFonts w:eastAsia="Aptos"/>
        </w:rPr>
        <w:t xml:space="preserve"> kogumisele ja analüüsimisele</w:t>
      </w:r>
      <w:r w:rsidR="00B30A01" w:rsidRPr="1688D34F">
        <w:rPr>
          <w:rFonts w:eastAsia="Aptos"/>
        </w:rPr>
        <w:t xml:space="preserve"> spetsialiseeruvate ettevõtete (AirDNA, Airbtics, Lighthouse jne) pakutavad hinnangud Eesti lühiajalise üüri teenuste turu mahu ja piirkondade kohta erinevad üksteisest märgatavalt. Samuti</w:t>
      </w:r>
      <w:r w:rsidR="004D68CC" w:rsidRPr="1688D34F">
        <w:rPr>
          <w:rFonts w:eastAsia="Aptos"/>
        </w:rPr>
        <w:t>, nagu allpool esitatud tulemused näitavad,</w:t>
      </w:r>
      <w:r w:rsidR="00B30A01" w:rsidRPr="1688D34F">
        <w:rPr>
          <w:rFonts w:eastAsia="Aptos"/>
        </w:rPr>
        <w:t xml:space="preserve"> </w:t>
      </w:r>
      <w:r w:rsidR="00C67CAB" w:rsidRPr="1688D34F">
        <w:rPr>
          <w:rFonts w:eastAsia="Aptos"/>
        </w:rPr>
        <w:t>ilmnevad</w:t>
      </w:r>
      <w:r w:rsidR="00B30A01" w:rsidRPr="1688D34F">
        <w:rPr>
          <w:rFonts w:eastAsia="Aptos"/>
        </w:rPr>
        <w:t xml:space="preserve"> suured erinevused </w:t>
      </w:r>
      <w:r w:rsidR="001639E1" w:rsidRPr="1688D34F">
        <w:rPr>
          <w:rFonts w:eastAsia="Aptos"/>
        </w:rPr>
        <w:t>nende pakutavate</w:t>
      </w:r>
      <w:r w:rsidR="00B30A01" w:rsidRPr="1688D34F">
        <w:rPr>
          <w:rFonts w:eastAsia="Aptos"/>
        </w:rPr>
        <w:t xml:space="preserve"> andmete ja ametliku statistika vahel.</w:t>
      </w:r>
    </w:p>
    <w:p w14:paraId="1E73AB86" w14:textId="12712DDC" w:rsidR="0067738D" w:rsidRDefault="0067738D" w:rsidP="1688D34F">
      <w:pPr>
        <w:spacing w:line="257" w:lineRule="auto"/>
        <w:ind w:left="-72"/>
        <w:jc w:val="both"/>
        <w:rPr>
          <w:rFonts w:eastAsiaTheme="minorEastAsia"/>
        </w:rPr>
      </w:pPr>
      <w:r w:rsidRPr="1688D34F">
        <w:rPr>
          <w:rFonts w:eastAsiaTheme="minorEastAsia"/>
        </w:rPr>
        <w:t>Turu mahu analüüsimisel oleme ka arvesse võtnud, et</w:t>
      </w:r>
      <w:r w:rsidRPr="1688D34F" w:rsidDel="0067738D">
        <w:rPr>
          <w:rFonts w:eastAsiaTheme="minorEastAsia"/>
        </w:rPr>
        <w:t xml:space="preserve"> </w:t>
      </w:r>
      <w:r w:rsidRPr="1688D34F">
        <w:rPr>
          <w:rFonts w:eastAsiaTheme="minorEastAsia"/>
        </w:rPr>
        <w:t xml:space="preserve">lühiajalise üüri teenust </w:t>
      </w:r>
      <w:r w:rsidR="15128BDE" w:rsidRPr="1688D34F">
        <w:rPr>
          <w:rFonts w:eastAsiaTheme="minorEastAsia"/>
        </w:rPr>
        <w:t xml:space="preserve">osutatakse Eestis </w:t>
      </w:r>
      <w:r w:rsidRPr="1688D34F">
        <w:rPr>
          <w:rFonts w:eastAsiaTheme="minorEastAsia"/>
        </w:rPr>
        <w:t xml:space="preserve">peamiselt spetsialiseeritud </w:t>
      </w:r>
      <w:r w:rsidRPr="1688D34F">
        <w:rPr>
          <w:rFonts w:eastAsiaTheme="minorEastAsia"/>
          <w:b/>
          <w:bCs/>
        </w:rPr>
        <w:t>vahendusplatvormide</w:t>
      </w:r>
      <w:r w:rsidRPr="1688D34F">
        <w:rPr>
          <w:rFonts w:eastAsiaTheme="minorEastAsia"/>
        </w:rPr>
        <w:t xml:space="preserve"> kaudu, millest olulisemad on Airbnb ja Booking.com. Vähesel määral kasutatakse majutuse pakkumiseks ka sotsiaalmeediat. Näiteks Facebookis leidub mitmeid gruppe, mis on loodud kas konkreetsete piirkondade või ürituste (nt </w:t>
      </w:r>
      <w:r w:rsidRPr="1688D34F">
        <w:rPr>
          <w:rFonts w:eastAsiaTheme="minorEastAsia"/>
          <w:i/>
          <w:iCs/>
        </w:rPr>
        <w:t>WRC Rally Estonia Accommodation</w:t>
      </w:r>
      <w:r w:rsidRPr="1688D34F">
        <w:rPr>
          <w:rFonts w:eastAsiaTheme="minorEastAsia"/>
        </w:rPr>
        <w:t xml:space="preserve"> / Majutus; Arvamusfestivali kodumajutus; </w:t>
      </w:r>
      <w:r w:rsidRPr="1688D34F">
        <w:rPr>
          <w:rFonts w:eastAsiaTheme="minorEastAsia"/>
          <w:i/>
          <w:iCs/>
        </w:rPr>
        <w:t>Accommodation in Pärnu</w:t>
      </w:r>
      <w:r w:rsidRPr="1688D34F">
        <w:rPr>
          <w:rFonts w:eastAsiaTheme="minorEastAsia"/>
        </w:rPr>
        <w:t xml:space="preserve"> / Majutus Pärnus; Majutus Saaremaal / </w:t>
      </w:r>
      <w:r w:rsidRPr="1688D34F">
        <w:rPr>
          <w:rFonts w:eastAsiaTheme="minorEastAsia"/>
          <w:i/>
          <w:iCs/>
        </w:rPr>
        <w:t>Accommodation in Saaremaa</w:t>
      </w:r>
      <w:r w:rsidRPr="1688D34F">
        <w:rPr>
          <w:rFonts w:eastAsiaTheme="minorEastAsia"/>
        </w:rPr>
        <w:t xml:space="preserve">) jaoks või katavad kogu Eestit (nt Majutus - pansionid, puhkekohad, kämpingud). Mõnel juhul pakutakse teenuseid </w:t>
      </w:r>
      <w:r w:rsidRPr="1688D34F">
        <w:rPr>
          <w:rFonts w:eastAsiaTheme="minorEastAsia"/>
        </w:rPr>
        <w:lastRenderedPageBreak/>
        <w:t>ka eraldi teenuse pakkuja kasutajakonto alt. Turuosaliste ja ekspertide hinnangul ning meie läbiviidud pistelise analüüsi põhjal on sotsiaalmeedia ja turismiportaalide kaudu pakutavate majutuste arv siiski suhteliselt väike võrreldes peamiste vahendusplatvormidega. Näiteks on Facebooki grupis "Majutus Pärnus" keskmiselt neli ja grupis "Majutus - pansionid, puhkekohad, kämpingud" keskmiselt kuus postitust päevas. Võrdluseks on Pärnu piirkonnas ainuüksi Airbnb platvormil ligikaudu 200 pakkumist ja terves Eestis üle tuhande pakkumise. Täheldasime, et majutuse pakkujad kasutavad sageli oma teenuse turundamiseks samaaegselt nii sotsiaalmeediat kui ka vahendusplatvorme. Piirkondlikel turismi veebilehtedel (nagu nt</w:t>
      </w:r>
      <w:r w:rsidR="00D71416">
        <w:rPr>
          <w:rFonts w:eastAsiaTheme="minorEastAsia"/>
        </w:rPr>
        <w:t xml:space="preserve"> </w:t>
      </w:r>
      <w:hyperlink r:id="rId17" w:history="1">
        <w:r w:rsidR="00D71416" w:rsidRPr="00D71416">
          <w:rPr>
            <w:rStyle w:val="Hyperlink"/>
            <w:rFonts w:eastAsiaTheme="minorEastAsia"/>
          </w:rPr>
          <w:t>visitsaaremaa.com</w:t>
        </w:r>
      </w:hyperlink>
      <w:r w:rsidRPr="1688D34F">
        <w:rPr>
          <w:rFonts w:eastAsiaTheme="minorEastAsia"/>
        </w:rPr>
        <w:t xml:space="preserve"> jne) pakuvad majutusteenuseid pigem hotellid ja sellised üksikud kodumajutused, mis pistelise kontrolli alusel enda teenuseid ka vahendusplatvormidel pakuvad.</w:t>
      </w:r>
    </w:p>
    <w:p w14:paraId="7782E18D" w14:textId="2CDC674C" w:rsidR="00620ACF" w:rsidRPr="00BE179D" w:rsidRDefault="004B6BFC" w:rsidP="00BE179D">
      <w:pPr>
        <w:spacing w:line="257" w:lineRule="auto"/>
        <w:ind w:left="-72"/>
        <w:jc w:val="both"/>
        <w:rPr>
          <w:rFonts w:eastAsiaTheme="minorEastAsia"/>
        </w:rPr>
      </w:pPr>
      <w:r>
        <w:rPr>
          <w:rFonts w:eastAsia="Aptos"/>
        </w:rPr>
        <w:t xml:space="preserve">Kogutud andmete analüüsimisel kasutasime peamiselt kirjeldavat statistikat, et anda erinevate </w:t>
      </w:r>
      <w:r w:rsidR="00480C44">
        <w:rPr>
          <w:rFonts w:eastAsia="Aptos"/>
        </w:rPr>
        <w:t>lühiajalise üüri tur</w:t>
      </w:r>
      <w:r w:rsidR="002C5E11">
        <w:rPr>
          <w:rFonts w:eastAsia="Aptos"/>
        </w:rPr>
        <w:t>g</w:t>
      </w:r>
      <w:r w:rsidR="00480C44">
        <w:rPr>
          <w:rFonts w:eastAsia="Aptos"/>
        </w:rPr>
        <w:t>u</w:t>
      </w:r>
      <w:r w:rsidR="002C5E11">
        <w:rPr>
          <w:rFonts w:eastAsia="Aptos"/>
        </w:rPr>
        <w:t xml:space="preserve"> iseloomustavate</w:t>
      </w:r>
      <w:r w:rsidR="00480C44">
        <w:rPr>
          <w:rFonts w:eastAsia="Aptos"/>
        </w:rPr>
        <w:t xml:space="preserve"> tunnuste</w:t>
      </w:r>
      <w:r>
        <w:rPr>
          <w:rFonts w:eastAsia="Aptos"/>
        </w:rPr>
        <w:t xml:space="preserve"> kirjeldamise kaudu ülevaade nii turu mahust, suundumustest kui ka </w:t>
      </w:r>
      <w:r w:rsidR="00415F8E">
        <w:rPr>
          <w:rFonts w:eastAsia="Aptos"/>
        </w:rPr>
        <w:t xml:space="preserve">andmetes esinevatest lahknevustest. </w:t>
      </w:r>
      <w:r w:rsidR="00D8732B">
        <w:rPr>
          <w:rFonts w:eastAsia="Aptos"/>
        </w:rPr>
        <w:t>Eraldi p</w:t>
      </w:r>
      <w:r w:rsidR="00415F8E">
        <w:rPr>
          <w:rFonts w:eastAsia="Aptos"/>
        </w:rPr>
        <w:t xml:space="preserve">öörasime tähelepanu </w:t>
      </w:r>
      <w:r w:rsidR="00936CF8">
        <w:rPr>
          <w:rFonts w:eastAsia="Aptos"/>
        </w:rPr>
        <w:t>sellele, et tuvastada piirkondi, kus lühiajalise üüri turu levik ehk sisuliselt suur külastuskoormus võib või juba on potentsiaalselt kaasa toonud ulatuslikke negatiivseid mõjusid.</w:t>
      </w:r>
      <w:r w:rsidR="00936CF8" w:rsidRPr="00936CF8">
        <w:rPr>
          <w:rFonts w:ascii="Arial" w:eastAsia="Arial" w:hAnsi="Arial" w:cs="Arial"/>
          <w:szCs w:val="24"/>
        </w:rPr>
        <w:t xml:space="preserve"> </w:t>
      </w:r>
      <w:r w:rsidR="00936CF8" w:rsidRPr="00E14EBC">
        <w:rPr>
          <w:rFonts w:ascii="Arial" w:eastAsia="Arial" w:hAnsi="Arial" w:cs="Arial"/>
          <w:szCs w:val="24"/>
        </w:rPr>
        <w:t>Külastuskoormuse mõõtmiseks kasutasime Deferti indeksit</w:t>
      </w:r>
      <w:r w:rsidR="00936CF8" w:rsidRPr="00E14EBC">
        <w:rPr>
          <w:rStyle w:val="FootnoteReference"/>
          <w:rFonts w:ascii="Arial" w:eastAsia="Arial" w:hAnsi="Arial" w:cs="Arial"/>
          <w:szCs w:val="24"/>
        </w:rPr>
        <w:footnoteReference w:id="60"/>
      </w:r>
      <w:r w:rsidR="00936CF8" w:rsidRPr="00E14EBC">
        <w:rPr>
          <w:rFonts w:ascii="Arial" w:eastAsia="Arial" w:hAnsi="Arial" w:cs="Arial"/>
          <w:szCs w:val="24"/>
        </w:rPr>
        <w:t xml:space="preserve"> ja Malaga Ülikooli teadlaste</w:t>
      </w:r>
      <w:r w:rsidR="00936CF8" w:rsidRPr="00E14EBC">
        <w:rPr>
          <w:rStyle w:val="FootnoteReference"/>
          <w:rFonts w:ascii="Arial" w:eastAsia="Arial" w:hAnsi="Arial" w:cs="Arial"/>
          <w:szCs w:val="24"/>
        </w:rPr>
        <w:footnoteReference w:id="61"/>
      </w:r>
      <w:r w:rsidR="00936CF8" w:rsidRPr="00E14EBC">
        <w:rPr>
          <w:rFonts w:ascii="Arial" w:eastAsia="Arial" w:hAnsi="Arial" w:cs="Arial"/>
          <w:szCs w:val="24"/>
        </w:rPr>
        <w:t xml:space="preserve"> välja töötatud</w:t>
      </w:r>
      <w:r w:rsidR="00FB3F68">
        <w:rPr>
          <w:rFonts w:ascii="Arial" w:eastAsia="Arial" w:hAnsi="Arial" w:cs="Arial"/>
          <w:szCs w:val="24"/>
        </w:rPr>
        <w:t xml:space="preserve"> </w:t>
      </w:r>
      <w:r w:rsidR="00936CF8" w:rsidRPr="00E14EBC">
        <w:rPr>
          <w:rFonts w:ascii="Arial" w:eastAsia="Arial" w:hAnsi="Arial" w:cs="Arial"/>
          <w:szCs w:val="24"/>
        </w:rPr>
        <w:t>skaalat</w:t>
      </w:r>
      <w:r w:rsidR="00FB3F68">
        <w:rPr>
          <w:rFonts w:ascii="Arial" w:eastAsia="Arial" w:hAnsi="Arial" w:cs="Arial"/>
          <w:szCs w:val="24"/>
        </w:rPr>
        <w:t>,</w:t>
      </w:r>
      <w:r w:rsidR="008D69A0">
        <w:rPr>
          <w:rFonts w:ascii="Arial" w:eastAsia="Arial" w:hAnsi="Arial" w:cs="Arial"/>
          <w:szCs w:val="24"/>
        </w:rPr>
        <w:t xml:space="preserve"> mi</w:t>
      </w:r>
      <w:r w:rsidR="007507CD">
        <w:rPr>
          <w:rFonts w:ascii="Arial" w:eastAsia="Arial" w:hAnsi="Arial" w:cs="Arial"/>
          <w:szCs w:val="24"/>
        </w:rPr>
        <w:t>lle kohaselt</w:t>
      </w:r>
      <w:r w:rsidR="00FB3F68">
        <w:rPr>
          <w:rFonts w:ascii="Arial" w:eastAsia="Arial" w:hAnsi="Arial" w:cs="Arial"/>
          <w:szCs w:val="24"/>
        </w:rPr>
        <w:t xml:space="preserve"> liigitatakse </w:t>
      </w:r>
      <w:r w:rsidR="00620ACF">
        <w:rPr>
          <w:rFonts w:ascii="Arial" w:eastAsia="Arial" w:hAnsi="Arial" w:cs="Arial"/>
          <w:szCs w:val="24"/>
        </w:rPr>
        <w:t>turismisurve nelja kategooriasse, lähtuvalt</w:t>
      </w:r>
      <w:r w:rsidR="007507CD">
        <w:rPr>
          <w:rFonts w:ascii="Arial" w:eastAsia="Arial" w:hAnsi="Arial" w:cs="Arial"/>
          <w:szCs w:val="24"/>
        </w:rPr>
        <w:t xml:space="preserve"> </w:t>
      </w:r>
      <w:r w:rsidR="009C6952">
        <w:rPr>
          <w:rFonts w:ascii="Arial" w:eastAsia="Arial" w:hAnsi="Arial" w:cs="Arial"/>
          <w:szCs w:val="24"/>
        </w:rPr>
        <w:t>voodikohtade arvu suh</w:t>
      </w:r>
      <w:r w:rsidR="00620ACF">
        <w:rPr>
          <w:rFonts w:ascii="Arial" w:eastAsia="Arial" w:hAnsi="Arial" w:cs="Arial"/>
          <w:szCs w:val="24"/>
        </w:rPr>
        <w:t>t</w:t>
      </w:r>
      <w:r w:rsidR="009C6952">
        <w:rPr>
          <w:rFonts w:ascii="Arial" w:eastAsia="Arial" w:hAnsi="Arial" w:cs="Arial"/>
          <w:szCs w:val="24"/>
        </w:rPr>
        <w:t>e</w:t>
      </w:r>
      <w:r w:rsidR="00620ACF">
        <w:rPr>
          <w:rFonts w:ascii="Arial" w:eastAsia="Arial" w:hAnsi="Arial" w:cs="Arial"/>
          <w:szCs w:val="24"/>
        </w:rPr>
        <w:t>le</w:t>
      </w:r>
      <w:r w:rsidR="009C6952">
        <w:rPr>
          <w:rFonts w:ascii="Arial" w:eastAsia="Arial" w:hAnsi="Arial" w:cs="Arial"/>
          <w:szCs w:val="24"/>
        </w:rPr>
        <w:t xml:space="preserve"> 100 elaniku kohta</w:t>
      </w:r>
      <w:r w:rsidR="00620ACF">
        <w:rPr>
          <w:rFonts w:ascii="Arial" w:eastAsia="Arial" w:hAnsi="Arial" w:cs="Arial"/>
          <w:szCs w:val="24"/>
        </w:rPr>
        <w:t>:</w:t>
      </w:r>
    </w:p>
    <w:p w14:paraId="72E2D24A" w14:textId="4A6B94B3" w:rsidR="00972CA7" w:rsidRPr="00972CA7" w:rsidRDefault="000468BF" w:rsidP="00620ACF">
      <w:pPr>
        <w:pStyle w:val="ListParagraph"/>
        <w:numPr>
          <w:ilvl w:val="0"/>
          <w:numId w:val="78"/>
        </w:numPr>
        <w:jc w:val="both"/>
      </w:pPr>
      <w:r>
        <w:rPr>
          <w:rFonts w:cstheme="minorHAnsi"/>
        </w:rPr>
        <w:t>≤</w:t>
      </w:r>
      <w:r w:rsidR="00972CA7">
        <w:rPr>
          <w:rFonts w:cstheme="minorHAnsi"/>
        </w:rPr>
        <w:t>10</w:t>
      </w:r>
      <w:r w:rsidR="00A3432F">
        <w:rPr>
          <w:rFonts w:cstheme="minorHAnsi"/>
        </w:rPr>
        <w:t xml:space="preserve"> – turismisurve puudub</w:t>
      </w:r>
    </w:p>
    <w:p w14:paraId="783FBE85" w14:textId="11274A0B" w:rsidR="00A82A70" w:rsidRPr="00A82A70" w:rsidRDefault="00972CA7" w:rsidP="00620ACF">
      <w:pPr>
        <w:pStyle w:val="ListParagraph"/>
        <w:numPr>
          <w:ilvl w:val="0"/>
          <w:numId w:val="78"/>
        </w:numPr>
        <w:jc w:val="both"/>
      </w:pPr>
      <w:r>
        <w:rPr>
          <w:rFonts w:cstheme="minorHAnsi"/>
        </w:rPr>
        <w:t xml:space="preserve">&gt;10 - </w:t>
      </w:r>
      <w:r w:rsidR="00A82A70">
        <w:rPr>
          <w:rFonts w:cstheme="minorHAnsi"/>
        </w:rPr>
        <w:t>≤25</w:t>
      </w:r>
      <w:r w:rsidR="00A3432F">
        <w:rPr>
          <w:rFonts w:cstheme="minorHAnsi"/>
        </w:rPr>
        <w:t xml:space="preserve"> – </w:t>
      </w:r>
      <w:r w:rsidR="00BE7BF5">
        <w:rPr>
          <w:rFonts w:cstheme="minorHAnsi"/>
        </w:rPr>
        <w:t xml:space="preserve">algav </w:t>
      </w:r>
      <w:r w:rsidR="00A3432F">
        <w:rPr>
          <w:rFonts w:cstheme="minorHAnsi"/>
        </w:rPr>
        <w:t xml:space="preserve">turismisurve </w:t>
      </w:r>
    </w:p>
    <w:p w14:paraId="459EA520" w14:textId="6BAE37E4" w:rsidR="00A82A70" w:rsidRPr="00A3432F" w:rsidRDefault="00A82A70" w:rsidP="00A82A70">
      <w:pPr>
        <w:pStyle w:val="ListParagraph"/>
        <w:numPr>
          <w:ilvl w:val="0"/>
          <w:numId w:val="78"/>
        </w:numPr>
        <w:jc w:val="both"/>
      </w:pPr>
      <w:r>
        <w:rPr>
          <w:rFonts w:cstheme="minorHAnsi"/>
        </w:rPr>
        <w:t>&gt;10 - ≤25</w:t>
      </w:r>
      <w:r w:rsidR="00BE7BF5">
        <w:rPr>
          <w:rFonts w:cstheme="minorHAnsi"/>
        </w:rPr>
        <w:t xml:space="preserve"> – mõõdukas turismisurve</w:t>
      </w:r>
    </w:p>
    <w:p w14:paraId="44AAF837" w14:textId="2146B99D" w:rsidR="00A3432F" w:rsidRPr="00A82A70" w:rsidRDefault="00A3432F" w:rsidP="00A82A70">
      <w:pPr>
        <w:pStyle w:val="ListParagraph"/>
        <w:numPr>
          <w:ilvl w:val="0"/>
          <w:numId w:val="78"/>
        </w:numPr>
        <w:jc w:val="both"/>
      </w:pPr>
      <w:r>
        <w:rPr>
          <w:rFonts w:cstheme="minorHAnsi"/>
        </w:rPr>
        <w:t>&gt;50</w:t>
      </w:r>
      <w:r w:rsidR="00BE7BF5">
        <w:rPr>
          <w:rFonts w:cstheme="minorHAnsi"/>
        </w:rPr>
        <w:t xml:space="preserve"> – kõrge turismisurve</w:t>
      </w:r>
    </w:p>
    <w:p w14:paraId="60EEC07F" w14:textId="48055AEA" w:rsidR="4E440EBC" w:rsidRPr="00E14EBC" w:rsidRDefault="0043706A" w:rsidP="4E440EBC">
      <w:pPr>
        <w:spacing w:before="0" w:after="0"/>
        <w:jc w:val="both"/>
      </w:pPr>
      <w:r>
        <w:rPr>
          <w:rFonts w:eastAsia="Aptos"/>
        </w:rPr>
        <w:t xml:space="preserve">Toodud skaalat ei saa loomulikult tõlgendada </w:t>
      </w:r>
      <w:r w:rsidR="000637A8">
        <w:rPr>
          <w:rFonts w:eastAsia="Aptos"/>
        </w:rPr>
        <w:t xml:space="preserve">ilma </w:t>
      </w:r>
      <w:r w:rsidR="00222A3C">
        <w:rPr>
          <w:rFonts w:eastAsia="Aptos"/>
        </w:rPr>
        <w:t>konteksti arvesse võtmata. Näiteks on kirjanduses</w:t>
      </w:r>
      <w:r w:rsidR="00E41100">
        <w:rPr>
          <w:rStyle w:val="FootnoteReference"/>
          <w:rFonts w:eastAsia="Aptos"/>
        </w:rPr>
        <w:footnoteReference w:id="62"/>
      </w:r>
      <w:r w:rsidR="00222A3C">
        <w:rPr>
          <w:rFonts w:eastAsia="Aptos"/>
        </w:rPr>
        <w:t xml:space="preserve"> osutatud, et</w:t>
      </w:r>
      <w:r w:rsidR="00FF3080">
        <w:rPr>
          <w:rFonts w:eastAsia="Aptos"/>
        </w:rPr>
        <w:t xml:space="preserve"> </w:t>
      </w:r>
      <w:r w:rsidR="00D74E33">
        <w:rPr>
          <w:rFonts w:eastAsia="Aptos"/>
        </w:rPr>
        <w:t xml:space="preserve">rahvastikutiheduselt väga erinevate </w:t>
      </w:r>
      <w:r w:rsidR="00FF3080">
        <w:rPr>
          <w:rFonts w:eastAsia="Aptos"/>
        </w:rPr>
        <w:t>piirkondade</w:t>
      </w:r>
      <w:r w:rsidR="00D74E33">
        <w:rPr>
          <w:rFonts w:eastAsia="Aptos"/>
        </w:rPr>
        <w:t xml:space="preserve"> </w:t>
      </w:r>
      <w:r w:rsidR="00FF3080">
        <w:rPr>
          <w:rFonts w:eastAsia="Aptos"/>
        </w:rPr>
        <w:t>võrdlemine Deferti indeksi järgi ei pruugi olla kõige asjakohasem</w:t>
      </w:r>
      <w:r w:rsidR="00A50644">
        <w:rPr>
          <w:rFonts w:eastAsia="Aptos"/>
        </w:rPr>
        <w:t xml:space="preserve">. Nimelt võib Deferti indeks alahinnata </w:t>
      </w:r>
      <w:r w:rsidR="000C33EC">
        <w:rPr>
          <w:rFonts w:eastAsia="Aptos"/>
        </w:rPr>
        <w:t xml:space="preserve">väga </w:t>
      </w:r>
      <w:r w:rsidR="007B3779">
        <w:rPr>
          <w:rFonts w:eastAsia="Aptos"/>
        </w:rPr>
        <w:t>kõrge asustustihedusega</w:t>
      </w:r>
      <w:r w:rsidR="00A50644">
        <w:rPr>
          <w:rFonts w:eastAsia="Aptos"/>
        </w:rPr>
        <w:t xml:space="preserve"> piirkondade turismisurvet</w:t>
      </w:r>
      <w:r w:rsidR="00C77569">
        <w:rPr>
          <w:rFonts w:eastAsia="Aptos"/>
        </w:rPr>
        <w:t xml:space="preserve">. Näiteks Eesti kontekstis, kus ligikaudu kolmandik rahvastikust elab Tallinnas, tuleb </w:t>
      </w:r>
      <w:r w:rsidR="00384C39">
        <w:rPr>
          <w:rFonts w:eastAsia="Aptos"/>
        </w:rPr>
        <w:t xml:space="preserve">indeksi </w:t>
      </w:r>
      <w:r w:rsidR="00C77569">
        <w:rPr>
          <w:rFonts w:eastAsia="Aptos"/>
        </w:rPr>
        <w:t>tõlgendamisel</w:t>
      </w:r>
      <w:r w:rsidR="00384C39">
        <w:rPr>
          <w:rFonts w:eastAsia="Aptos"/>
        </w:rPr>
        <w:t xml:space="preserve"> vältida üks-ühele </w:t>
      </w:r>
      <w:r w:rsidR="0071325D">
        <w:rPr>
          <w:rFonts w:eastAsia="Aptos"/>
        </w:rPr>
        <w:t xml:space="preserve">Tallinna indeksi võrdlemist </w:t>
      </w:r>
      <w:r w:rsidR="00E41100">
        <w:rPr>
          <w:rFonts w:eastAsia="Aptos"/>
        </w:rPr>
        <w:t>hõredama asustusega piirkondadega</w:t>
      </w:r>
      <w:r w:rsidR="00384C39">
        <w:rPr>
          <w:rFonts w:eastAsia="Aptos"/>
        </w:rPr>
        <w:t>.</w:t>
      </w:r>
      <w:r w:rsidR="00C77569">
        <w:rPr>
          <w:rFonts w:eastAsia="Aptos"/>
        </w:rPr>
        <w:t xml:space="preserve"> </w:t>
      </w:r>
    </w:p>
    <w:p w14:paraId="46ED8AE1" w14:textId="560CD52B" w:rsidR="4E440EBC" w:rsidRPr="00E14EBC" w:rsidRDefault="00001B0D" w:rsidP="00001B0D">
      <w:pPr>
        <w:pStyle w:val="Heading2"/>
        <w:numPr>
          <w:ilvl w:val="0"/>
          <w:numId w:val="0"/>
        </w:numPr>
        <w:rPr>
          <w:rFonts w:hint="eastAsia"/>
        </w:rPr>
      </w:pPr>
      <w:bookmarkStart w:id="91" w:name="_Toc208991598"/>
      <w:r w:rsidRPr="00E14EBC">
        <w:t xml:space="preserve">2.2. </w:t>
      </w:r>
      <w:r w:rsidR="0BED246F" w:rsidRPr="00E14EBC">
        <w:t>Pakkumine lühiajalise üüri turul</w:t>
      </w:r>
      <w:bookmarkEnd w:id="91"/>
    </w:p>
    <w:p w14:paraId="7EDB4404" w14:textId="2CBBDC6D" w:rsidR="004E4F14" w:rsidRDefault="004E4F14" w:rsidP="002A6ED5">
      <w:pPr>
        <w:pStyle w:val="Heading3"/>
        <w:numPr>
          <w:ilvl w:val="0"/>
          <w:numId w:val="0"/>
        </w:numPr>
        <w:ind w:left="504" w:hanging="504"/>
        <w:rPr>
          <w:rFonts w:hint="eastAsia"/>
        </w:rPr>
      </w:pPr>
      <w:bookmarkStart w:id="92" w:name="_Toc208991599"/>
      <w:r>
        <w:t xml:space="preserve">2.2.1. </w:t>
      </w:r>
      <w:r w:rsidR="007463C6">
        <w:t>Pakkumise</w:t>
      </w:r>
      <w:r w:rsidR="00A00631">
        <w:t>st üldiselt</w:t>
      </w:r>
      <w:bookmarkEnd w:id="92"/>
    </w:p>
    <w:p w14:paraId="05121A37" w14:textId="2ADC2A88" w:rsidR="00ED0E64" w:rsidRPr="00E14EBC" w:rsidRDefault="60F39C06" w:rsidP="00ED0E64">
      <w:pPr>
        <w:jc w:val="both"/>
        <w:rPr>
          <w:rFonts w:ascii="Arial" w:hAnsi="Arial" w:cs="Arial"/>
        </w:rPr>
      </w:pPr>
      <w:r w:rsidRPr="00E14EBC">
        <w:rPr>
          <w:rFonts w:ascii="Arial" w:eastAsia="Arial" w:hAnsi="Arial" w:cs="Arial"/>
        </w:rPr>
        <w:t xml:space="preserve">2010ndate aastate algusest on lühiajalise üüri pakkumisi koondavad </w:t>
      </w:r>
      <w:r w:rsidR="6BF7470B" w:rsidRPr="00E14EBC">
        <w:rPr>
          <w:rFonts w:ascii="Arial" w:eastAsia="Arial" w:hAnsi="Arial" w:cs="Arial"/>
        </w:rPr>
        <w:t xml:space="preserve">majutusteenuste </w:t>
      </w:r>
      <w:r w:rsidRPr="00E14EBC">
        <w:rPr>
          <w:rFonts w:ascii="Arial" w:eastAsia="Arial" w:hAnsi="Arial" w:cs="Arial"/>
        </w:rPr>
        <w:t>veebiportaalid teinud läbi väga kiire arengu, olles saavutanud ümardatult kümneprotsendilise turuosa majutusteenuste müügikanalina</w:t>
      </w:r>
      <w:r w:rsidR="3C7A889A" w:rsidRPr="00E14EBC">
        <w:rPr>
          <w:rFonts w:ascii="Arial" w:eastAsia="Arial" w:hAnsi="Arial" w:cs="Arial"/>
        </w:rPr>
        <w:t>.</w:t>
      </w:r>
      <w:r w:rsidRPr="00E14EBC">
        <w:t xml:space="preserve"> </w:t>
      </w:r>
      <w:r w:rsidRPr="00E14EBC">
        <w:rPr>
          <w:rFonts w:ascii="Arial" w:hAnsi="Arial" w:cs="Arial"/>
        </w:rPr>
        <w:t>2016. aastal läbi viidud jagamismajanduse teemalise uuringu</w:t>
      </w:r>
      <w:r w:rsidR="00ED0E64" w:rsidRPr="00E14EBC">
        <w:rPr>
          <w:rStyle w:val="FootnoteReference"/>
          <w:rFonts w:ascii="Arial" w:hAnsi="Arial" w:cs="Arial"/>
        </w:rPr>
        <w:footnoteReference w:id="63"/>
      </w:r>
      <w:r w:rsidRPr="00E14EBC">
        <w:rPr>
          <w:rFonts w:ascii="Arial" w:hAnsi="Arial" w:cs="Arial"/>
        </w:rPr>
        <w:t xml:space="preserve"> kohaselt moodustas Eestis jagamismajanduse majutusplatvormide (Booking, Airbnb jt) </w:t>
      </w:r>
      <w:r w:rsidRPr="00E14EBC">
        <w:rPr>
          <w:rFonts w:ascii="Arial" w:hAnsi="Arial" w:cs="Arial"/>
        </w:rPr>
        <w:lastRenderedPageBreak/>
        <w:t>turumaht umbes 8% majutussektorist. 2023. aastal võib oletada, et see oli umbes 11%, arvestades, et sama aasta majutusettevõtete käive oli 296 miljonit eurot,</w:t>
      </w:r>
      <w:r w:rsidR="00ED0E64" w:rsidRPr="00E14EBC">
        <w:rPr>
          <w:rStyle w:val="FootnoteReference"/>
          <w:rFonts w:ascii="Arial" w:hAnsi="Arial" w:cs="Arial"/>
        </w:rPr>
        <w:footnoteReference w:id="64"/>
      </w:r>
      <w:r w:rsidRPr="00E14EBC">
        <w:rPr>
          <w:rFonts w:ascii="Arial" w:hAnsi="Arial" w:cs="Arial"/>
        </w:rPr>
        <w:t xml:space="preserve"> ning platvormidel kinnisvara rendile andmi</w:t>
      </w:r>
      <w:r w:rsidR="008141D5">
        <w:rPr>
          <w:rFonts w:ascii="Arial" w:hAnsi="Arial" w:cs="Arial"/>
        </w:rPr>
        <w:t>sega teenitu tulu</w:t>
      </w:r>
      <w:r w:rsidRPr="00E14EBC">
        <w:rPr>
          <w:rFonts w:ascii="Arial" w:hAnsi="Arial" w:cs="Arial"/>
        </w:rPr>
        <w:t xml:space="preserve"> 32,4 miljonit eurot.</w:t>
      </w:r>
      <w:r w:rsidR="00ED0E64" w:rsidRPr="00E14EBC">
        <w:rPr>
          <w:rStyle w:val="FootnoteReference"/>
          <w:rFonts w:ascii="Arial" w:hAnsi="Arial" w:cs="Arial"/>
        </w:rPr>
        <w:footnoteReference w:id="65"/>
      </w:r>
      <w:r w:rsidRPr="00E14EBC">
        <w:rPr>
          <w:rFonts w:ascii="Arial" w:hAnsi="Arial" w:cs="Arial"/>
        </w:rPr>
        <w:t xml:space="preserve"> 2025. aasta juuni alguse seisuga oli AirDNA veebilehel</w:t>
      </w:r>
      <w:r w:rsidR="00ED0E64" w:rsidRPr="00E14EBC">
        <w:rPr>
          <w:rStyle w:val="FootnoteReference"/>
          <w:rFonts w:ascii="Arial" w:hAnsi="Arial" w:cs="Arial"/>
        </w:rPr>
        <w:footnoteReference w:id="66"/>
      </w:r>
      <w:r w:rsidRPr="00E14EBC">
        <w:rPr>
          <w:rFonts w:ascii="Arial" w:hAnsi="Arial" w:cs="Arial"/>
        </w:rPr>
        <w:t xml:space="preserve"> nähtav, et Eestis o</w:t>
      </w:r>
      <w:r w:rsidR="58D6F514" w:rsidRPr="00E14EBC">
        <w:rPr>
          <w:rFonts w:ascii="Arial" w:hAnsi="Arial" w:cs="Arial"/>
        </w:rPr>
        <w:t>li</w:t>
      </w:r>
      <w:r w:rsidRPr="00E14EBC">
        <w:rPr>
          <w:rFonts w:ascii="Arial" w:hAnsi="Arial" w:cs="Arial"/>
        </w:rPr>
        <w:t xml:space="preserve"> pakkumisel üle 5400 üürikodu</w:t>
      </w:r>
      <w:r w:rsidR="00E34C2A">
        <w:rPr>
          <w:rFonts w:ascii="Arial" w:hAnsi="Arial" w:cs="Arial"/>
        </w:rPr>
        <w:t xml:space="preserve"> ning</w:t>
      </w:r>
      <w:r w:rsidRPr="00E14EBC">
        <w:rPr>
          <w:rFonts w:ascii="Arial" w:hAnsi="Arial" w:cs="Arial"/>
        </w:rPr>
        <w:t xml:space="preserve"> EIS</w:t>
      </w:r>
      <w:r w:rsidR="008141D5">
        <w:rPr>
          <w:rFonts w:ascii="Arial" w:hAnsi="Arial" w:cs="Arial"/>
        </w:rPr>
        <w:t>-i</w:t>
      </w:r>
      <w:r w:rsidRPr="00E14EBC">
        <w:rPr>
          <w:rFonts w:ascii="Arial" w:hAnsi="Arial" w:cs="Arial"/>
        </w:rPr>
        <w:t xml:space="preserve"> hallatava lühiajaliste üüripindade töölaud</w:t>
      </w:r>
      <w:r w:rsidR="00735558">
        <w:rPr>
          <w:rFonts w:ascii="Arial" w:hAnsi="Arial" w:cs="Arial"/>
        </w:rPr>
        <w:t xml:space="preserve"> (Lighthouse andmed)</w:t>
      </w:r>
      <w:r w:rsidRPr="00E14EBC">
        <w:rPr>
          <w:rFonts w:ascii="Arial" w:hAnsi="Arial" w:cs="Arial"/>
        </w:rPr>
        <w:t xml:space="preserve"> näitas mais 2025 Eestis kokku üle 10 000 majutuskoha.</w:t>
      </w:r>
    </w:p>
    <w:p w14:paraId="76727305" w14:textId="69B66EF3" w:rsidR="00ED0E64" w:rsidRPr="00E14EBC" w:rsidRDefault="4EDD54EB" w:rsidP="2D220C79">
      <w:pPr>
        <w:rPr>
          <w:rFonts w:eastAsia="Aptos"/>
        </w:rPr>
      </w:pPr>
      <w:r w:rsidRPr="00E14EBC">
        <w:rPr>
          <w:rFonts w:eastAsia="Aptos"/>
        </w:rPr>
        <w:t xml:space="preserve">Turu iseloomustamiseks </w:t>
      </w:r>
      <w:r w:rsidR="3D607F6F" w:rsidRPr="00E14EBC">
        <w:rPr>
          <w:rFonts w:eastAsia="Aptos"/>
        </w:rPr>
        <w:t>oleme</w:t>
      </w:r>
      <w:r w:rsidRPr="00E14EBC">
        <w:rPr>
          <w:rFonts w:eastAsia="Aptos"/>
        </w:rPr>
        <w:t xml:space="preserve"> kasutatud erasektorist avalikult kättesaadavat teavet</w:t>
      </w:r>
      <w:r w:rsidR="48226A9A" w:rsidRPr="00E14EBC">
        <w:rPr>
          <w:rFonts w:eastAsia="Aptos"/>
        </w:rPr>
        <w:t>:</w:t>
      </w:r>
    </w:p>
    <w:p w14:paraId="1FB38D51" w14:textId="6BC1311A" w:rsidR="00ED0E64" w:rsidRPr="004E5EB3" w:rsidRDefault="00ED0E64" w:rsidP="007F08F4">
      <w:pPr>
        <w:pStyle w:val="ListParagraph"/>
        <w:numPr>
          <w:ilvl w:val="0"/>
          <w:numId w:val="51"/>
        </w:numPr>
        <w:spacing w:before="40" w:after="40"/>
        <w:rPr>
          <w:szCs w:val="24"/>
        </w:rPr>
      </w:pPr>
      <w:r w:rsidRPr="00E14EBC">
        <w:t>Lighthouse (EIS</w:t>
      </w:r>
      <w:r w:rsidR="00150E0B">
        <w:t>-i</w:t>
      </w:r>
      <w:r w:rsidRPr="00E14EBC">
        <w:t xml:space="preserve"> töölaud): lühiajaliste üüripindade arv (Airbnb, Booking, Vrbo, Tripadvisor)</w:t>
      </w:r>
    </w:p>
    <w:p w14:paraId="464111B3" w14:textId="4BAE52A0" w:rsidR="00ED0E64" w:rsidRPr="00E14EBC" w:rsidRDefault="00ED0E64" w:rsidP="007F08F4">
      <w:pPr>
        <w:pStyle w:val="ListParagraph"/>
        <w:numPr>
          <w:ilvl w:val="0"/>
          <w:numId w:val="51"/>
        </w:numPr>
        <w:spacing w:before="40" w:after="40"/>
      </w:pPr>
      <w:r w:rsidRPr="00E14EBC">
        <w:t>Lighthouse (proovikonto): kuulutused ja majutuskohad (Airbnb, Booking, Vrbo, Tripadvisor)</w:t>
      </w:r>
    </w:p>
    <w:p w14:paraId="4950DF7C" w14:textId="79A4AE4C" w:rsidR="00ED0E64" w:rsidRPr="00E14EBC" w:rsidRDefault="00ED0E64" w:rsidP="007F08F4">
      <w:pPr>
        <w:pStyle w:val="ListParagraph"/>
        <w:numPr>
          <w:ilvl w:val="0"/>
          <w:numId w:val="51"/>
        </w:numPr>
        <w:spacing w:before="40" w:after="40"/>
      </w:pPr>
      <w:r w:rsidRPr="00E14EBC">
        <w:t>AirDNA (tasuta konto): kuulutused ja aktiivsed kuulutused (Airbnb, Vrbo)</w:t>
      </w:r>
    </w:p>
    <w:p w14:paraId="3E9A819F" w14:textId="3DBF8236" w:rsidR="00ED0E64" w:rsidRPr="00E14EBC" w:rsidRDefault="00ED0E64" w:rsidP="007F08F4">
      <w:pPr>
        <w:pStyle w:val="ListParagraph"/>
        <w:numPr>
          <w:ilvl w:val="0"/>
          <w:numId w:val="51"/>
        </w:numPr>
        <w:spacing w:before="40" w:after="40"/>
      </w:pPr>
      <w:r w:rsidRPr="00E14EBC">
        <w:t>Airbtics (avalik veebileht): aktiivsed kuulutused (Airbnb)</w:t>
      </w:r>
    </w:p>
    <w:p w14:paraId="486B87FA" w14:textId="76F31AF8" w:rsidR="00ED0E64" w:rsidRPr="00E14EBC" w:rsidRDefault="18C9F0B4" w:rsidP="007F08F4">
      <w:pPr>
        <w:pStyle w:val="ListParagraph"/>
        <w:numPr>
          <w:ilvl w:val="0"/>
          <w:numId w:val="51"/>
        </w:numPr>
        <w:spacing w:before="40" w:after="40"/>
      </w:pPr>
      <w:r w:rsidRPr="00E14EBC">
        <w:t>Insidebnb (avalik veebileht): majutuskohad (Airbnb)</w:t>
      </w:r>
    </w:p>
    <w:p w14:paraId="604C6C24" w14:textId="675E95A0" w:rsidR="00ED0E64" w:rsidRPr="00E14EBC" w:rsidRDefault="00ED0E64" w:rsidP="007F08F4">
      <w:pPr>
        <w:pStyle w:val="ListParagraph"/>
        <w:numPr>
          <w:ilvl w:val="0"/>
          <w:numId w:val="51"/>
        </w:numPr>
        <w:spacing w:before="40" w:after="40"/>
      </w:pPr>
      <w:r w:rsidRPr="00E14EBC">
        <w:t>AirROI (tasuta andmed)</w:t>
      </w:r>
    </w:p>
    <w:p w14:paraId="6EDD979D" w14:textId="329F0CF1" w:rsidR="00ED0E64" w:rsidRPr="00E14EBC" w:rsidRDefault="4EDD54EB" w:rsidP="007F08F4">
      <w:pPr>
        <w:pStyle w:val="ListParagraph"/>
        <w:numPr>
          <w:ilvl w:val="0"/>
          <w:numId w:val="51"/>
        </w:numPr>
        <w:spacing w:before="40" w:after="40"/>
      </w:pPr>
      <w:r w:rsidRPr="00E14EBC">
        <w:t>Doorbll (tasuta andmed)</w:t>
      </w:r>
    </w:p>
    <w:p w14:paraId="460E4983" w14:textId="55769CDF" w:rsidR="00ED0E64" w:rsidRPr="00E14EBC" w:rsidRDefault="749BA66A" w:rsidP="00F57A6A">
      <w:pPr>
        <w:jc w:val="both"/>
      </w:pPr>
      <w:r w:rsidRPr="00E14EBC">
        <w:t xml:space="preserve">Põhjalikumalt </w:t>
      </w:r>
      <w:r w:rsidR="00C97929">
        <w:t>oleme</w:t>
      </w:r>
      <w:r w:rsidRPr="00E14EBC">
        <w:t xml:space="preserve"> keskendu</w:t>
      </w:r>
      <w:r w:rsidR="00C97929">
        <w:t>nud</w:t>
      </w:r>
      <w:r w:rsidRPr="00E14EBC">
        <w:t xml:space="preserve"> perioodile 2019–2024, kuna varasemad andmed on pigem kaudsed ja piirkondade lõikes mitte eriti ülevaatlikud. </w:t>
      </w:r>
      <w:r w:rsidR="00553DC6">
        <w:t xml:space="preserve">Samas on võimalik </w:t>
      </w:r>
      <w:r w:rsidR="00C73A73">
        <w:t xml:space="preserve">avalikult </w:t>
      </w:r>
      <w:r w:rsidR="00F61DC1">
        <w:t xml:space="preserve">kättesaadavate hinnangute alusel </w:t>
      </w:r>
      <w:r w:rsidR="00CD097C">
        <w:t>kirjeldada üldist lühiajalise üür</w:t>
      </w:r>
      <w:r w:rsidR="59C7F315">
        <w:t>i</w:t>
      </w:r>
      <w:r w:rsidR="00CD097C">
        <w:t xml:space="preserve"> turu arengut enne selle uuring</w:t>
      </w:r>
      <w:r w:rsidR="196FF965">
        <w:t>u</w:t>
      </w:r>
      <w:r w:rsidR="00CD097C">
        <w:t xml:space="preserve"> fookuses olevat perioodi. Näiteks </w:t>
      </w:r>
      <w:r w:rsidR="60F39C06" w:rsidRPr="00E14EBC">
        <w:t>2012. aastal üüris Eestis oma elamist Airbnb kaudu välja hinnanguliselt umbes paarsada inimest</w:t>
      </w:r>
      <w:r w:rsidR="00F1236C">
        <w:t>.</w:t>
      </w:r>
      <w:r w:rsidR="00ED0E64" w:rsidRPr="00E14EBC">
        <w:rPr>
          <w:rStyle w:val="FootnoteReference"/>
          <w:rFonts w:eastAsia="Aptos"/>
        </w:rPr>
        <w:footnoteReference w:id="67"/>
      </w:r>
      <w:r w:rsidR="60F39C06" w:rsidRPr="00E14EBC">
        <w:t xml:space="preserve"> 2014. aasta lõpus võis valida rohkem kui 600 Airbnb</w:t>
      </w:r>
      <w:r w:rsidR="00ED0E64" w:rsidRPr="00E14EBC">
        <w:rPr>
          <w:rStyle w:val="FootnoteReference"/>
          <w:rFonts w:eastAsia="Aptos"/>
        </w:rPr>
        <w:footnoteReference w:id="68"/>
      </w:r>
      <w:r w:rsidR="60F39C06" w:rsidRPr="00E14EBC">
        <w:t xml:space="preserve"> </w:t>
      </w:r>
      <w:r w:rsidR="0B2625A9" w:rsidRPr="00E14EBC">
        <w:t xml:space="preserve">pakkumise seast </w:t>
      </w:r>
      <w:r w:rsidR="60F39C06" w:rsidRPr="00E14EBC">
        <w:t xml:space="preserve">ning </w:t>
      </w:r>
      <w:r w:rsidR="7F771F90" w:rsidRPr="00E14EBC">
        <w:t>2016. aastaks oli valdkondlike ekspertide hinnangul Eestis aasta keskmisena pidevalt pakkumises juba 2000</w:t>
      </w:r>
      <w:r w:rsidR="60F39C06" w:rsidRPr="00E14EBC">
        <w:t>–2500 korterit, maja või tuba</w:t>
      </w:r>
      <w:r w:rsidR="00F1236C">
        <w:t>.</w:t>
      </w:r>
      <w:r w:rsidR="00ED0E64" w:rsidRPr="00E14EBC">
        <w:rPr>
          <w:rStyle w:val="FootnoteReference"/>
          <w:rFonts w:eastAsia="Aptos"/>
        </w:rPr>
        <w:footnoteReference w:id="69"/>
      </w:r>
      <w:r w:rsidR="60F39C06" w:rsidRPr="00E14EBC">
        <w:t xml:space="preserve"> Juulis 2019 pakuti Airbnb veebilehel üle Eesti 5333 üüripinda ühtekokku 8270 toaga</w:t>
      </w:r>
      <w:r w:rsidR="00274E0B">
        <w:t>.</w:t>
      </w:r>
      <w:r w:rsidR="00ED0E64" w:rsidRPr="00E14EBC">
        <w:rPr>
          <w:rStyle w:val="FootnoteReference"/>
          <w:rFonts w:eastAsia="Aptos"/>
        </w:rPr>
        <w:footnoteReference w:id="70"/>
      </w:r>
      <w:r w:rsidR="60F39C06" w:rsidRPr="00E14EBC">
        <w:t xml:space="preserve"> Kui lühiajalise üüri teenuse pindade arv neljal peamisel platvormil kokku oli 2019. aasta parimatel kuudel Eestis pisut üle 8200, siis 2024. aasta suvehooajal küündis see juba 10 500 ligi</w:t>
      </w:r>
      <w:r w:rsidR="00274E0B">
        <w:t>.</w:t>
      </w:r>
      <w:r w:rsidR="00ED0E64" w:rsidRPr="00E14EBC">
        <w:rPr>
          <w:rStyle w:val="FootnoteReference"/>
          <w:rFonts w:eastAsia="Aptos"/>
        </w:rPr>
        <w:footnoteReference w:id="71"/>
      </w:r>
    </w:p>
    <w:p w14:paraId="025076B4" w14:textId="4425CD65" w:rsidR="598BB2BE" w:rsidRPr="00E14EBC" w:rsidRDefault="0CF86BE2" w:rsidP="00F57A6A">
      <w:pPr>
        <w:jc w:val="both"/>
      </w:pPr>
      <w:r>
        <w:t>Lühiajalise üüri turul pakutavate majutuskohtade</w:t>
      </w:r>
      <w:r w:rsidR="0053768E">
        <w:t xml:space="preserve"> – puh</w:t>
      </w:r>
      <w:r w:rsidR="00517D61">
        <w:t>k</w:t>
      </w:r>
      <w:r w:rsidR="0053768E">
        <w:t xml:space="preserve">emajad, külaliskorterid, kodumajutus – </w:t>
      </w:r>
      <w:r>
        <w:t xml:space="preserve">arvu ja mahu </w:t>
      </w:r>
      <w:r w:rsidR="00FF6142">
        <w:t>kohta</w:t>
      </w:r>
      <w:r w:rsidR="01B89469">
        <w:t xml:space="preserve"> </w:t>
      </w:r>
      <w:r w:rsidR="00292EF8">
        <w:t xml:space="preserve">on võimalik </w:t>
      </w:r>
      <w:r w:rsidR="00C91623">
        <w:t xml:space="preserve">andmeid koguda kahest allikast: analüütikafirmade ülevaadetest ja MTA kaudu kättesaadavatest </w:t>
      </w:r>
      <w:r w:rsidR="005E6EA9">
        <w:t>platvormihaldurite jagatav</w:t>
      </w:r>
      <w:r w:rsidR="001212C0">
        <w:t>atest andmetest</w:t>
      </w:r>
      <w:r>
        <w:t>.</w:t>
      </w:r>
      <w:r w:rsidR="001212C0">
        <w:t xml:space="preserve"> Traditsioonilise majutussektori </w:t>
      </w:r>
      <w:r w:rsidR="004C4D22">
        <w:t>statistikat koostab regulaarselt SA.</w:t>
      </w:r>
      <w:r>
        <w:t xml:space="preserve"> Igal juhul on ilmne, et võrreldes</w:t>
      </w:r>
      <w:r w:rsidR="00817A75">
        <w:t xml:space="preserve"> SA </w:t>
      </w:r>
      <w:r>
        <w:t xml:space="preserve">majutustegevuse uuringuga hõlmatud </w:t>
      </w:r>
      <w:r w:rsidR="00B45B85">
        <w:t xml:space="preserve">ja peamiselt traditsioonilist majutusteenust osutavate </w:t>
      </w:r>
      <w:r>
        <w:t>majutusettevõtetega</w:t>
      </w:r>
      <w:r w:rsidR="6C1DA576">
        <w:t>,</w:t>
      </w:r>
      <w:r>
        <w:t xml:space="preserve"> on lühiajalise üüri turu majutuskohtade arv ja maht aasta lõikes oluliselt ebastabiilsem</w:t>
      </w:r>
      <w:r w:rsidR="043FBE59">
        <w:t>. P</w:t>
      </w:r>
      <w:r>
        <w:t xml:space="preserve">eamiselt on tegemist hooajalise kõikumisega, aga </w:t>
      </w:r>
      <w:r w:rsidR="6D174230">
        <w:t>mittekutseliste</w:t>
      </w:r>
      <w:r>
        <w:t xml:space="preserve"> majutajate </w:t>
      </w:r>
      <w:r>
        <w:lastRenderedPageBreak/>
        <w:t xml:space="preserve">puhul sageli ka olmeliste põhjustega (omakasutus, majutaja hõivatus muude tegemistega või viibimine reisil jmt). </w:t>
      </w:r>
    </w:p>
    <w:p w14:paraId="02156AC2" w14:textId="2B018908" w:rsidR="598BB2BE" w:rsidRPr="00E14EBC" w:rsidRDefault="7DF6F5A8" w:rsidP="00F57A6A">
      <w:pPr>
        <w:jc w:val="both"/>
        <w:rPr>
          <w:vertAlign w:val="superscript"/>
        </w:rPr>
      </w:pPr>
      <w:r>
        <w:t xml:space="preserve">Lühiajalise üüri </w:t>
      </w:r>
      <w:r w:rsidR="00526C34">
        <w:t xml:space="preserve">turu võrdlemisel traditsioonilise majutusturuga </w:t>
      </w:r>
      <w:r w:rsidR="00534D4C">
        <w:t>tule</w:t>
      </w:r>
      <w:r w:rsidR="005A5EE9">
        <w:t>b</w:t>
      </w:r>
      <w:r w:rsidR="00534D4C">
        <w:t xml:space="preserve"> leida ka sobiv võr</w:t>
      </w:r>
      <w:r w:rsidR="00FF6142">
        <w:t>d</w:t>
      </w:r>
      <w:r w:rsidR="00534D4C">
        <w:t xml:space="preserve">lemise alus. On selge, et </w:t>
      </w:r>
      <w:r>
        <w:t xml:space="preserve">majutuskohtade arvu võrdlemine ei ole </w:t>
      </w:r>
      <w:r w:rsidR="35C93E98">
        <w:t>eriti</w:t>
      </w:r>
      <w:r>
        <w:t xml:space="preserve"> informatiivne ega ka metoodiliselt päris korrektne, sest võrdlusse läheksid ühelt poolt peamiselt külaliskorterid ja väikeelamud, teiselt poolt aga külalistemajad, hostelid ja hotellid. </w:t>
      </w:r>
      <w:r w:rsidR="000E6A96">
        <w:t>S</w:t>
      </w:r>
      <w:r>
        <w:t xml:space="preserve">obivam võrdlusbaas on majutusruumide arv, kuna lühiajalise üüri teenuse pakkumistest kolmveerand on ühe magamistoaga korterid (s.t 1- ja 2-toalised). Kõige sobivam näitaja turumahu kirjeldamiseks on </w:t>
      </w:r>
      <w:r w:rsidR="46BF1704">
        <w:t xml:space="preserve">meie hinnangul </w:t>
      </w:r>
      <w:r>
        <w:t>mahutavus ehk lühiajalise üüri majutuskohtade maksimaalne külaliste arv ja majutusettevõtete statistikas kajastuv voodikohtade arv.</w:t>
      </w:r>
    </w:p>
    <w:p w14:paraId="0D20B9D9" w14:textId="3D2532AC" w:rsidR="598BB2BE" w:rsidRPr="00E14EBC" w:rsidRDefault="168A4D82" w:rsidP="00F57A6A">
      <w:pPr>
        <w:jc w:val="both"/>
      </w:pPr>
      <w:r>
        <w:t>SA majutusstatistika andmeil kasvas voodikohtade arv majutusettevõtetes Eestis kokku perioodil 2012–2023 alla 20% (52 979 → 61 904 voodikohta).</w:t>
      </w:r>
      <w:r w:rsidR="3E187AC4">
        <w:t xml:space="preserve"> Oluline on mainida, et uuritakse vaid selliseid majutuskohti, kus voodikohti on 5 ja enam</w:t>
      </w:r>
      <w:r w:rsidR="1E0D1C7D">
        <w:t xml:space="preserve"> ning siin on arvesse võetud kõik </w:t>
      </w:r>
      <w:r w:rsidR="77E05A62">
        <w:t>majutus-kohtade</w:t>
      </w:r>
      <w:r w:rsidR="1E0D1C7D">
        <w:t xml:space="preserve"> liigid</w:t>
      </w:r>
      <w:r w:rsidR="3E187AC4">
        <w:t>.</w:t>
      </w:r>
      <w:r>
        <w:t xml:space="preserve"> </w:t>
      </w:r>
      <w:r w:rsidR="5FB12AA9">
        <w:t>Ligi 60% voodikohtadest on hotellidele, motellidele või hostelite käsutuses.</w:t>
      </w:r>
    </w:p>
    <w:p w14:paraId="263149E3" w14:textId="152B1D20" w:rsidR="598BB2BE" w:rsidRPr="00E14EBC" w:rsidRDefault="1A190A69" w:rsidP="00F57A6A">
      <w:pPr>
        <w:jc w:val="both"/>
      </w:pPr>
      <w:r>
        <w:t>Lähtudes EIS/VisitEstonia avalikustatud analüüsifirma Lighthouse andmebaasist pärinevatest andmetest</w:t>
      </w:r>
      <w:r w:rsidR="004570E9">
        <w:t>,</w:t>
      </w:r>
      <w:r>
        <w:t xml:space="preserve"> </w:t>
      </w:r>
      <w:r w:rsidR="004570E9">
        <w:t xml:space="preserve">oli </w:t>
      </w:r>
      <w:r>
        <w:t>juulis 2024</w:t>
      </w:r>
      <w:r w:rsidR="004570E9">
        <w:t xml:space="preserve"> lühiajalisel üüri turul ligikaudu</w:t>
      </w:r>
      <w:r>
        <w:t xml:space="preserve"> 10 500 majutuskohta</w:t>
      </w:r>
      <w:r w:rsidR="00862B86">
        <w:t>,</w:t>
      </w:r>
      <w:r>
        <w:t xml:space="preserve"> ühel lühiajalise üüri pinnal pakut</w:t>
      </w:r>
      <w:r w:rsidR="00862B86">
        <w:t>i</w:t>
      </w:r>
      <w:r>
        <w:t xml:space="preserve"> Tallinnas keskmiselt 3,5–4 voodikohta ja väljaspool Tallinna 4,5–5 voodikohta</w:t>
      </w:r>
      <w:r w:rsidR="00862B86">
        <w:t>.</w:t>
      </w:r>
      <w:r>
        <w:t xml:space="preserve"> </w:t>
      </w:r>
      <w:r w:rsidR="00862B86">
        <w:t>K</w:t>
      </w:r>
      <w:r>
        <w:t xml:space="preserve">ombineerides ja valideerides neid teiste andmeallikatega, on Eestis </w:t>
      </w:r>
      <w:r w:rsidR="002C0F01">
        <w:t xml:space="preserve">meie </w:t>
      </w:r>
      <w:r>
        <w:t>hinnangul kokku umbes 48 000 lühiajalise üüriteenuse voodikohta</w:t>
      </w:r>
      <w:r w:rsidR="00747780">
        <w:t xml:space="preserve"> (vt tabel 36 </w:t>
      </w:r>
      <w:r w:rsidR="0077315E">
        <w:t>uuringu lisades)</w:t>
      </w:r>
      <w:r>
        <w:t xml:space="preserve"> ehk </w:t>
      </w:r>
      <w:r w:rsidR="002C0F01">
        <w:t>ligikaudu</w:t>
      </w:r>
      <w:r>
        <w:t xml:space="preserve"> 5700 võrra enam kui</w:t>
      </w:r>
      <w:r w:rsidR="00941203">
        <w:t xml:space="preserve"> traditsioonilises majutussektoris ehk</w:t>
      </w:r>
      <w:r>
        <w:t xml:space="preserve"> hotellides</w:t>
      </w:r>
      <w:r w:rsidR="00EC2BB7">
        <w:t>, motellides, hos</w:t>
      </w:r>
      <w:r w:rsidR="00941203">
        <w:t>t</w:t>
      </w:r>
      <w:r w:rsidR="00EC2BB7">
        <w:t>elites</w:t>
      </w:r>
      <w:r w:rsidR="00A87F31">
        <w:t xml:space="preserve"> ja külalistemajades</w:t>
      </w:r>
      <w:r w:rsidR="00E82153">
        <w:t>. Viimases on meie hinnangul</w:t>
      </w:r>
      <w:r>
        <w:t xml:space="preserve"> 42 316</w:t>
      </w:r>
      <w:r w:rsidR="00E82153">
        <w:t xml:space="preserve"> voodikohta</w:t>
      </w:r>
      <w:r w:rsidR="000D5B2F">
        <w:t>, mis põhineb SA avaldataval majutusstatistikal</w:t>
      </w:r>
      <w:r w:rsidR="007C382C">
        <w:t>, mis ei sisalda 1-</w:t>
      </w:r>
      <w:r w:rsidR="701BD83E">
        <w:t>4</w:t>
      </w:r>
      <w:r w:rsidR="007C382C">
        <w:t xml:space="preserve"> </w:t>
      </w:r>
      <w:r w:rsidR="00AF0073">
        <w:t>voodi</w:t>
      </w:r>
      <w:r w:rsidR="007C382C">
        <w:t>kohaga majutusettevõtete statistikat ning</w:t>
      </w:r>
      <w:r w:rsidR="000D5B2F">
        <w:t xml:space="preserve"> millest on maha lahutatud see osa </w:t>
      </w:r>
      <w:r w:rsidR="32B5C19F">
        <w:t>lühiajalise</w:t>
      </w:r>
      <w:r w:rsidR="000D5B2F">
        <w:t xml:space="preserve"> üüri turu</w:t>
      </w:r>
      <w:r w:rsidR="00DA715C">
        <w:t>l pakutavatest voodikohtadest, mis sisaldub SA statistikas</w:t>
      </w:r>
      <w:r w:rsidR="005379A8">
        <w:t xml:space="preserve"> (arvutused on näidatud tabelis </w:t>
      </w:r>
      <w:r w:rsidR="622A66A9">
        <w:t>36</w:t>
      </w:r>
      <w:r w:rsidR="005379A8">
        <w:t>)</w:t>
      </w:r>
      <w:r>
        <w:t>.</w:t>
      </w:r>
    </w:p>
    <w:p w14:paraId="4CE83CEC" w14:textId="2FCA3E1D" w:rsidR="598BB2BE" w:rsidRPr="00E14EBC" w:rsidRDefault="6FE964B6" w:rsidP="00F57A6A">
      <w:pPr>
        <w:jc w:val="both"/>
      </w:pPr>
      <w:r>
        <w:t xml:space="preserve">Tuginedes MTA platvormidelt kogutud </w:t>
      </w:r>
      <w:r w:rsidR="00E671D0">
        <w:t>lühiajalise üüri turu</w:t>
      </w:r>
      <w:r w:rsidR="00E671D0">
        <w:rPr>
          <w:rStyle w:val="FootnoteReference"/>
        </w:rPr>
        <w:footnoteReference w:id="72"/>
      </w:r>
      <w:r w:rsidR="00E671D0">
        <w:t xml:space="preserve"> </w:t>
      </w:r>
      <w:r>
        <w:t xml:space="preserve">andmetele, mis kajastavad vaid neid majutuskohti (kinnistusüksuseid), millega seondus 2023. aastal vähemalt ühel platvormil vähemalt üks üüritehing, oli </w:t>
      </w:r>
      <w:r w:rsidR="5FCBC3D3">
        <w:t>meie</w:t>
      </w:r>
      <w:r>
        <w:t xml:space="preserve"> hinnangul Eestis 2023. aastal majanduslikult aktiivsetes lühiajalise üüri majutuskohtades umbes 23 000 lühiajalise üüriteenuse voodikohta ehk 55%</w:t>
      </w:r>
      <w:r w:rsidR="00817A75">
        <w:t xml:space="preserve"> SA </w:t>
      </w:r>
      <w:r>
        <w:t>uuringus kajastuvate majutusettevõtete voodikohtadest.</w:t>
      </w:r>
      <w:r w:rsidR="003059A1">
        <w:t xml:space="preserve"> Seega </w:t>
      </w:r>
      <w:r w:rsidR="008C7F88">
        <w:t>platvormide</w:t>
      </w:r>
      <w:r w:rsidR="008D5412">
        <w:t xml:space="preserve"> poolt maksuhalduritele edastatud andmete järgi on voodikohtade arv </w:t>
      </w:r>
      <w:r w:rsidR="006F1776">
        <w:t xml:space="preserve">võrreldes </w:t>
      </w:r>
      <w:r w:rsidR="00E5320B">
        <w:t xml:space="preserve">Lighthouse’i poolt avaldatavaga </w:t>
      </w:r>
      <w:r w:rsidR="008D5412">
        <w:t>ligi kaks korda väiksem</w:t>
      </w:r>
      <w:r w:rsidR="00E5320B">
        <w:t>.</w:t>
      </w:r>
      <w:r w:rsidR="006F1776">
        <w:t xml:space="preserve"> </w:t>
      </w:r>
    </w:p>
    <w:p w14:paraId="518E3EDD" w14:textId="383F6A6E" w:rsidR="598BB2BE" w:rsidRPr="00E14EBC" w:rsidRDefault="5D929238" w:rsidP="00F57A6A">
      <w:pPr>
        <w:jc w:val="both"/>
      </w:pPr>
      <w:r w:rsidRPr="00E14EBC">
        <w:t xml:space="preserve">Tuleb ka arvesse võtta, et kaugelt üle poolte lühiajalise üüri voodikohtadest Eestis on saadaval vaid alla poole aasta. </w:t>
      </w:r>
      <w:r w:rsidR="00577322">
        <w:t xml:space="preserve">Seega </w:t>
      </w:r>
      <w:r w:rsidR="00CB36F0">
        <w:t xml:space="preserve">tegelik lühiajalise üüri teenuse pakkumise maht on mõnevõrra väiksem, kui esitatud hinnangud näitavad. </w:t>
      </w:r>
      <w:r w:rsidRPr="00E14EBC">
        <w:t xml:space="preserve">Oluline on siinjuures </w:t>
      </w:r>
      <w:r w:rsidR="6DC43441" w:rsidRPr="00E14EBC">
        <w:t xml:space="preserve">ka </w:t>
      </w:r>
      <w:r w:rsidRPr="00E14EBC">
        <w:t>esile tuua, et pakkumiste kasv võrreldes pandeemia-</w:t>
      </w:r>
      <w:r w:rsidR="3868429B" w:rsidRPr="00E14EBC">
        <w:t>eelse</w:t>
      </w:r>
      <w:r w:rsidRPr="00E14EBC">
        <w:t xml:space="preserve"> ajaga on toimunud väljaspool pealinna.</w:t>
      </w:r>
    </w:p>
    <w:p w14:paraId="5DC4D0E9" w14:textId="29438866" w:rsidR="00D40A04" w:rsidRPr="00E14EBC" w:rsidRDefault="6BF7470B" w:rsidP="00F57A6A">
      <w:pPr>
        <w:jc w:val="both"/>
      </w:pPr>
      <w:r>
        <w:t>Lisaks</w:t>
      </w:r>
      <w:r w:rsidR="0EF927AD">
        <w:t xml:space="preserve"> </w:t>
      </w:r>
      <w:r>
        <w:t xml:space="preserve">lühiajalise üüri </w:t>
      </w:r>
      <w:r w:rsidR="0DE891BF">
        <w:t>pakkumistele</w:t>
      </w:r>
      <w:r w:rsidR="57C239FB">
        <w:t xml:space="preserve"> veebiplatvormidel</w:t>
      </w:r>
      <w:r>
        <w:t xml:space="preserve"> on majutusturul veel kindlaks tegemata arv majutuskohti, mida ei </w:t>
      </w:r>
      <w:r w:rsidR="6BDA6285">
        <w:t>turundata</w:t>
      </w:r>
      <w:r>
        <w:t xml:space="preserve"> veebiplatvormide vahendusel, vaid kas kinnisvaraportaalides (nt </w:t>
      </w:r>
      <w:r>
        <w:lastRenderedPageBreak/>
        <w:t>kv.ee, kinnisvara24.ee)</w:t>
      </w:r>
      <w:r w:rsidR="6EBED0FB">
        <w:t>,</w:t>
      </w:r>
      <w:r>
        <w:t xml:space="preserve"> ühismeedia avatud ja suletud gruppides (piirkondlikud või kogukondlikud infovahetus- ja kinnisvara ostu-müügi-üüri grupid, mobiilsete erialade grupid jne)</w:t>
      </w:r>
      <w:r w:rsidR="2A9CEE8B">
        <w:t>,</w:t>
      </w:r>
      <w:r>
        <w:t xml:space="preserve"> majutaja enda kodulehel</w:t>
      </w:r>
      <w:r w:rsidR="36883900">
        <w:t>,</w:t>
      </w:r>
      <w:r>
        <w:t xml:space="preserve"> riigi ja/või piirkonna turismiveebis (nt visitestonia.com, visitsaaremaa.ee) või siis lihtsalt sõprade-tuttavate kaudu jne.</w:t>
      </w:r>
    </w:p>
    <w:p w14:paraId="628F5C20" w14:textId="4B9A0AD8" w:rsidR="00D40A04" w:rsidRPr="007463C6" w:rsidRDefault="003D6461" w:rsidP="00BE179D">
      <w:pPr>
        <w:pStyle w:val="Heading3"/>
        <w:numPr>
          <w:ilvl w:val="0"/>
          <w:numId w:val="0"/>
        </w:numPr>
        <w:ind w:left="504" w:hanging="504"/>
        <w:rPr>
          <w:rStyle w:val="PurpleText"/>
          <w:rFonts w:asciiTheme="minorHAnsi" w:eastAsiaTheme="minorHAnsi" w:hAnsiTheme="minorHAnsi" w:cstheme="minorBidi"/>
          <w:color w:val="auto"/>
          <w:szCs w:val="22"/>
        </w:rPr>
      </w:pPr>
      <w:bookmarkStart w:id="93" w:name="_Toc208991600"/>
      <w:r>
        <w:rPr>
          <w:rStyle w:val="PurpleText"/>
          <w:color w:val="auto"/>
        </w:rPr>
        <w:t xml:space="preserve">2.2.2. </w:t>
      </w:r>
      <w:r w:rsidR="00D40A04" w:rsidRPr="007463C6">
        <w:rPr>
          <w:rStyle w:val="PurpleText"/>
          <w:color w:val="auto"/>
        </w:rPr>
        <w:t>Regionaalne vaade</w:t>
      </w:r>
      <w:bookmarkEnd w:id="93"/>
    </w:p>
    <w:p w14:paraId="711BDAFF" w14:textId="5CDECD2B" w:rsidR="598BB2BE" w:rsidRPr="00E14EBC" w:rsidRDefault="6FE964B6" w:rsidP="00BE179D">
      <w:pPr>
        <w:ind w:left="-90"/>
        <w:jc w:val="both"/>
        <w:rPr>
          <w:rFonts w:eastAsia="Aptos"/>
        </w:rPr>
      </w:pPr>
      <w:r w:rsidRPr="1688D34F">
        <w:rPr>
          <w:rFonts w:eastAsia="Aptos"/>
        </w:rPr>
        <w:t xml:space="preserve">Lühiajalise üüri majutuskohad jaotuvad üle Eesti väga ebaühtlaselt. Nii AirDNA kui Lighthouse andmed kinnitavad, et Tallinn/Harjumaa koos Pärnumaaga moodustavad ligi poole Eesti lühiajalise üüri majutuskohtade pakkumisest; neile kahele veel Tartumaa ja Saaremaa </w:t>
      </w:r>
      <w:r w:rsidR="3BBD1070" w:rsidRPr="1688D34F">
        <w:rPr>
          <w:rFonts w:eastAsia="Aptos"/>
        </w:rPr>
        <w:t xml:space="preserve">lisamisel </w:t>
      </w:r>
      <w:r w:rsidRPr="1688D34F">
        <w:rPr>
          <w:rFonts w:eastAsia="Aptos"/>
        </w:rPr>
        <w:t>saab kokku umbes 2/3 lühiajalise üüri kogupakkumisest Eestis.</w:t>
      </w:r>
      <w:r w:rsidR="22EA25F2" w:rsidRPr="1688D34F">
        <w:rPr>
          <w:rFonts w:eastAsia="Aptos"/>
        </w:rPr>
        <w:t xml:space="preserve"> </w:t>
      </w:r>
      <w:r w:rsidR="40A94FF6" w:rsidRPr="1688D34F">
        <w:rPr>
          <w:rFonts w:eastAsia="Aptos"/>
        </w:rPr>
        <w:t xml:space="preserve">MTA tehingupõhistel </w:t>
      </w:r>
      <w:r w:rsidR="25DC837D" w:rsidRPr="25DC837D">
        <w:rPr>
          <w:rFonts w:eastAsia="Aptos"/>
        </w:rPr>
        <w:t>andmetel läheb</w:t>
      </w:r>
      <w:r w:rsidR="7A71B5F3" w:rsidRPr="1688D34F">
        <w:rPr>
          <w:rFonts w:eastAsia="Aptos"/>
        </w:rPr>
        <w:t xml:space="preserve"> ne</w:t>
      </w:r>
      <w:r w:rsidR="483C0F11" w:rsidRPr="1688D34F">
        <w:rPr>
          <w:rFonts w:eastAsia="Aptos"/>
        </w:rPr>
        <w:t>nde</w:t>
      </w:r>
      <w:r w:rsidR="7A71B5F3" w:rsidRPr="1688D34F">
        <w:rPr>
          <w:rFonts w:eastAsia="Aptos"/>
        </w:rPr>
        <w:t xml:space="preserve"> </w:t>
      </w:r>
      <w:r w:rsidR="5F136DA7" w:rsidRPr="1688D34F">
        <w:rPr>
          <w:rFonts w:eastAsia="Aptos"/>
        </w:rPr>
        <w:t xml:space="preserve">arvele </w:t>
      </w:r>
      <w:r w:rsidR="40A94FF6" w:rsidRPr="1688D34F">
        <w:rPr>
          <w:rFonts w:eastAsia="Aptos"/>
        </w:rPr>
        <w:t xml:space="preserve">koguni </w:t>
      </w:r>
      <w:r w:rsidR="18417860" w:rsidRPr="18417860">
        <w:rPr>
          <w:rFonts w:eastAsia="Aptos"/>
        </w:rPr>
        <w:t>81</w:t>
      </w:r>
      <w:r w:rsidR="1A19658E" w:rsidRPr="1A19658E">
        <w:rPr>
          <w:rFonts w:eastAsia="Aptos"/>
        </w:rPr>
        <w:t>% tuludest.</w:t>
      </w:r>
      <w:r w:rsidR="26C929CA" w:rsidRPr="1688D34F">
        <w:rPr>
          <w:rFonts w:eastAsia="Aptos"/>
        </w:rPr>
        <w:t xml:space="preserve"> </w:t>
      </w:r>
      <w:r w:rsidR="6BF7470B">
        <w:t xml:space="preserve">Majutuskohtade arvu põhjal (Lisa 5, Joonis </w:t>
      </w:r>
      <w:r w:rsidR="3F61C9B9">
        <w:t>6</w:t>
      </w:r>
      <w:r w:rsidR="6BF7470B">
        <w:t xml:space="preserve"> ja Tabel 1</w:t>
      </w:r>
      <w:r w:rsidR="39B7EC2B">
        <w:t>8</w:t>
      </w:r>
      <w:r w:rsidR="6BF7470B">
        <w:t xml:space="preserve">) on kolm suurema lühiajalise üüri pakkumiste mahuga piirkonda Tallinn/Harjumaa, Lääne-Eesti, ja Lõuna-Eesti, samas Kesk-Eesti ja Ida-Eesti on selgelt väiksema lühiajalise üüri majutuskohtade arvuga. Väärib märkimist, et kui </w:t>
      </w:r>
      <w:r w:rsidR="625B0B76">
        <w:t xml:space="preserve">pakkumisest, s.o </w:t>
      </w:r>
      <w:r w:rsidR="6BF7470B">
        <w:t>majutuskohtade arvust moodustab Tallinn vaid 28</w:t>
      </w:r>
      <w:r w:rsidR="101AC511">
        <w:t xml:space="preserve">% </w:t>
      </w:r>
      <w:r w:rsidR="65A55145">
        <w:t>ja voodikohtadest 22%,</w:t>
      </w:r>
      <w:r w:rsidR="6BF7470B">
        <w:t xml:space="preserve"> siis </w:t>
      </w:r>
      <w:r w:rsidR="29F84DA8">
        <w:t xml:space="preserve">nõudlusest ehk </w:t>
      </w:r>
      <w:r w:rsidR="6BF7470B">
        <w:t>kõigist lühiajalise üüri ööbimistest hõlmab Tallinn poole. Põhjuseid tuleb otsida eeskätt suuremast täitumusest (selle ühe võimaliku tegurina professionaalsete pakkujate suuremast osakaalust) ja saadavusest ehk hooajalisuse väiksemast mõjust.</w:t>
      </w:r>
      <w:r w:rsidR="1A19658E">
        <w:t xml:space="preserve"> </w:t>
      </w:r>
      <w:r w:rsidR="4E440EBC" w:rsidRPr="1688D34F">
        <w:rPr>
          <w:rFonts w:eastAsia="Aptos"/>
        </w:rPr>
        <w:t xml:space="preserve">Kui võrrelda lühiajalise üüri majutuskohtade arvu muutust perioodil 2020–2024 (Lisa 5, Tabel </w:t>
      </w:r>
      <w:r w:rsidR="2642BA00" w:rsidRPr="1688D34F">
        <w:rPr>
          <w:rFonts w:eastAsia="Aptos"/>
        </w:rPr>
        <w:t>1</w:t>
      </w:r>
      <w:r w:rsidR="004D1BCD" w:rsidRPr="1688D34F">
        <w:rPr>
          <w:rFonts w:eastAsia="Aptos"/>
        </w:rPr>
        <w:t>8</w:t>
      </w:r>
      <w:r w:rsidR="2642BA00" w:rsidRPr="1688D34F">
        <w:rPr>
          <w:rFonts w:eastAsia="Aptos"/>
        </w:rPr>
        <w:t xml:space="preserve"> ja Tabel </w:t>
      </w:r>
      <w:r w:rsidR="004D1BCD" w:rsidRPr="1688D34F">
        <w:rPr>
          <w:rFonts w:eastAsia="Aptos"/>
        </w:rPr>
        <w:t>19</w:t>
      </w:r>
      <w:r w:rsidR="4E440EBC" w:rsidRPr="1688D34F">
        <w:rPr>
          <w:rFonts w:eastAsia="Aptos"/>
        </w:rPr>
        <w:t>), võib üldistusena väita, et suuremad kasvuprotsendid iseloomustavad pigem väiksemaid (alla 300 majutuskohaga) maakondi.</w:t>
      </w:r>
    </w:p>
    <w:p w14:paraId="0A1678B3" w14:textId="50ADD913" w:rsidR="598BB2BE" w:rsidRDefault="598BB2BE" w:rsidP="00BE179D">
      <w:pPr>
        <w:ind w:left="-90"/>
        <w:jc w:val="both"/>
        <w:rPr>
          <w:rFonts w:eastAsia="Aptos"/>
        </w:rPr>
      </w:pPr>
      <w:r w:rsidRPr="00E14EBC">
        <w:rPr>
          <w:rFonts w:eastAsia="Aptos"/>
        </w:rPr>
        <w:t xml:space="preserve">Majutusettevõtetes on tubade arv Tallinnas erinevalt enamikust maakondadest pandeemiaeelse ajaga (2019) võrreldes veidi kasvanud, mis tähendab, et arengud on lühiajalise üüri majutus-kohtadega võrreldes vastupidised. Tubade arv majutusettevõtetes on võrdluses 2019. aastaga maakondades pigem kahanenud (kusjuures voodikohtade arv veelgi enam), samas on enamasti täheldatav selge seos majutusettevõtete tubade arvu vähenemisel ja lühiajalise üüri majutuskohtade arvu suurenemisel. Lisaks on oluline mainida, et Tallinna </w:t>
      </w:r>
      <w:r w:rsidR="18C9F0B4" w:rsidRPr="00E14EBC">
        <w:rPr>
          <w:rFonts w:eastAsia="Aptos"/>
        </w:rPr>
        <w:t xml:space="preserve">majutusettevõtetes on </w:t>
      </w:r>
      <w:r w:rsidRPr="00E14EBC">
        <w:rPr>
          <w:rFonts w:eastAsia="Aptos"/>
        </w:rPr>
        <w:t>lähiaastail (2025–2027) turule tulemas veel sadu hotellitubasid</w:t>
      </w:r>
      <w:r w:rsidRPr="00E14EBC">
        <w:rPr>
          <w:rStyle w:val="FootnoteReference"/>
          <w:rFonts w:eastAsia="Aptos"/>
        </w:rPr>
        <w:footnoteReference w:id="73"/>
      </w:r>
      <w:r w:rsidR="4EDD54EB" w:rsidRPr="00E14EBC">
        <w:rPr>
          <w:rFonts w:eastAsia="Aptos"/>
        </w:rPr>
        <w:t>.</w:t>
      </w:r>
    </w:p>
    <w:p w14:paraId="5F56D74D" w14:textId="77777777" w:rsidR="598BB2BE" w:rsidRPr="00E14EBC" w:rsidRDefault="598BB2BE" w:rsidP="00BE179D">
      <w:pPr>
        <w:ind w:left="-90"/>
        <w:jc w:val="both"/>
      </w:pPr>
      <w:r w:rsidRPr="00E14EBC">
        <w:t xml:space="preserve">Eeltoodu põhjal saab teha järgmiseid oletusi: </w:t>
      </w:r>
    </w:p>
    <w:p w14:paraId="2A02E135" w14:textId="569B979B" w:rsidR="598BB2BE" w:rsidRPr="00E14EBC" w:rsidRDefault="4165B1B6" w:rsidP="007F08F4">
      <w:pPr>
        <w:pStyle w:val="ListParagraph"/>
        <w:numPr>
          <w:ilvl w:val="0"/>
          <w:numId w:val="52"/>
        </w:numPr>
        <w:jc w:val="both"/>
      </w:pPr>
      <w:r w:rsidRPr="00E14EBC">
        <w:t>Tallinnas oli pandeemia puhkedes ja reisipiirangute rakendudes suurem eluasemete pikaajalise üüri turg võrreldes väiksemate linnadega, maapiirkondadest rääkimata</w:t>
      </w:r>
      <w:r w:rsidR="598BB2BE" w:rsidRPr="00E14EBC">
        <w:rPr>
          <w:rStyle w:val="FootnoteReference"/>
        </w:rPr>
        <w:footnoteReference w:id="74"/>
      </w:r>
      <w:r w:rsidRPr="00E14EBC">
        <w:t xml:space="preserve">, mis võimaldas suunata majutusteenuseks kasutatavad eluruumid kiiresti pikaajalise üüri turule (2020 kevadel lisandus mõne kuuga kv.ee portaali Tallinnas u 1200 korterit); samal ajal koroonaga kasvas EIS/Startup Estonia andmetel hüppeliselt iduettevõtete sektori hõive (vt </w:t>
      </w:r>
      <w:r w:rsidRPr="008E568B">
        <w:t xml:space="preserve">Lisa 5, Tabel </w:t>
      </w:r>
      <w:r w:rsidR="04CDB017" w:rsidRPr="008E568B">
        <w:t>20</w:t>
      </w:r>
      <w:r w:rsidRPr="008E568B">
        <w:t>)</w:t>
      </w:r>
      <w:r w:rsidRPr="00E14EBC">
        <w:t>, mis tõi kaasa suurenenud nõudluse eluasemete pikaajalise üüri turul.</w:t>
      </w:r>
    </w:p>
    <w:p w14:paraId="5F8223BA" w14:textId="30A35C6F" w:rsidR="598BB2BE" w:rsidRPr="00E14EBC" w:rsidRDefault="4E440EBC" w:rsidP="007F08F4">
      <w:pPr>
        <w:pStyle w:val="ListParagraph"/>
        <w:numPr>
          <w:ilvl w:val="0"/>
          <w:numId w:val="52"/>
        </w:numPr>
        <w:jc w:val="both"/>
      </w:pPr>
      <w:r w:rsidRPr="00E14EBC">
        <w:t xml:space="preserve">Tallinnas oli teistest enam mõne korteriga opereerivaid majutajaid, keda võis mõjutada loobuma veebiplatvormide ja MTA infovahetus. Samuti võis just sellistel väiksematel majutajatel tekkida nõudluse vähenedes probleeme korterite ostuks võetud </w:t>
      </w:r>
      <w:r w:rsidRPr="00E14EBC">
        <w:lastRenderedPageBreak/>
        <w:t>laenukohustuste teenindamisega ning mingi osa investeeringuna soetatud kortereid pandi müüki.</w:t>
      </w:r>
    </w:p>
    <w:p w14:paraId="6F70548D" w14:textId="623AF723" w:rsidR="598BB2BE" w:rsidRPr="00F57A6A" w:rsidRDefault="18C9F0B4" w:rsidP="007F08F4">
      <w:pPr>
        <w:pStyle w:val="ListParagraph"/>
        <w:numPr>
          <w:ilvl w:val="0"/>
          <w:numId w:val="52"/>
        </w:numPr>
        <w:jc w:val="both"/>
      </w:pPr>
      <w:r w:rsidRPr="00F57A6A">
        <w:t>Välisreiside asemele tekkis suur sisenõudlus just 2020. ja 2021. aasta suvedel Eesti maapiirkondades, turu reaktsioon sellele avaldus suurenenud pakkumises järgnevatel aastatel.</w:t>
      </w:r>
    </w:p>
    <w:p w14:paraId="77D487CE" w14:textId="45F37671" w:rsidR="598BB2BE" w:rsidRPr="00F57A6A" w:rsidRDefault="4165B1B6" w:rsidP="007F08F4">
      <w:pPr>
        <w:pStyle w:val="ListParagraph"/>
        <w:numPr>
          <w:ilvl w:val="0"/>
          <w:numId w:val="52"/>
        </w:numPr>
        <w:jc w:val="both"/>
      </w:pPr>
      <w:r w:rsidRPr="00F57A6A">
        <w:t xml:space="preserve">Lühiajalise üüri turg sõltub hotellisektoris toimuvast (ja mitte vastupidi) </w:t>
      </w:r>
      <w:r w:rsidRPr="00F57A6A">
        <w:rPr>
          <w:rFonts w:eastAsia="Aptos"/>
        </w:rPr>
        <w:t>–</w:t>
      </w:r>
      <w:r w:rsidRPr="00F57A6A">
        <w:t xml:space="preserve"> Tallinna hotellisektoris on aga viimastel aastatel toimunud </w:t>
      </w:r>
      <w:r w:rsidR="1DCEBB76" w:rsidRPr="00F57A6A">
        <w:t>“</w:t>
      </w:r>
      <w:r w:rsidRPr="00F57A6A">
        <w:t>võidurelvastumine</w:t>
      </w:r>
      <w:r w:rsidR="33BA76B8" w:rsidRPr="00F57A6A">
        <w:t>”</w:t>
      </w:r>
      <w:r w:rsidRPr="00F57A6A">
        <w:t xml:space="preserve"> ja sellega on kaasnenud ka hinnasõda</w:t>
      </w:r>
      <w:r w:rsidR="598BB2BE" w:rsidRPr="00F57A6A">
        <w:rPr>
          <w:rStyle w:val="FootnoteReference"/>
        </w:rPr>
        <w:footnoteReference w:id="75"/>
      </w:r>
      <w:r w:rsidR="0049541D" w:rsidRPr="00B54A22">
        <w:rPr>
          <w:vertAlign w:val="superscript"/>
        </w:rPr>
        <w:t>,</w:t>
      </w:r>
      <w:r w:rsidR="00B900EA">
        <w:rPr>
          <w:rStyle w:val="FootnoteReference"/>
        </w:rPr>
        <w:footnoteReference w:id="76"/>
      </w:r>
      <w:r w:rsidRPr="00F57A6A">
        <w:t>.</w:t>
      </w:r>
    </w:p>
    <w:p w14:paraId="55F8624E" w14:textId="13CAA56F" w:rsidR="598BB2BE" w:rsidRPr="008E568B" w:rsidRDefault="4E440EBC" w:rsidP="598BB2BE">
      <w:pPr>
        <w:jc w:val="both"/>
        <w:rPr>
          <w:rFonts w:eastAsia="Aptos"/>
        </w:rPr>
      </w:pPr>
      <w:r w:rsidRPr="00E14EBC">
        <w:rPr>
          <w:rFonts w:eastAsia="Aptos"/>
        </w:rPr>
        <w:t>Kui kõrvutada tubade arvu muutust majutusettevõtetes (SA majutusstatistika) ja lühiajalise üüri majutuskohtade arvu muutust (EIS/Lighthouse) aastatel 2019–2023 (</w:t>
      </w:r>
      <w:r w:rsidRPr="008E568B">
        <w:rPr>
          <w:rFonts w:eastAsia="Aptos"/>
        </w:rPr>
        <w:t xml:space="preserve">Lisa 5, Tabel </w:t>
      </w:r>
      <w:r w:rsidR="005F198C" w:rsidRPr="008E568B">
        <w:rPr>
          <w:rFonts w:eastAsia="Aptos"/>
        </w:rPr>
        <w:t>1</w:t>
      </w:r>
      <w:r w:rsidR="006C503E">
        <w:rPr>
          <w:rFonts w:eastAsia="Aptos"/>
        </w:rPr>
        <w:t>8</w:t>
      </w:r>
      <w:r w:rsidR="1F0D0E8C" w:rsidRPr="008E568B">
        <w:rPr>
          <w:rFonts w:eastAsia="Aptos"/>
        </w:rPr>
        <w:t xml:space="preserve"> ja Tabel </w:t>
      </w:r>
      <w:r w:rsidR="61E293C1" w:rsidRPr="61E293C1">
        <w:rPr>
          <w:rFonts w:eastAsia="Aptos"/>
        </w:rPr>
        <w:t>19</w:t>
      </w:r>
      <w:r w:rsidRPr="00E14EBC">
        <w:rPr>
          <w:rFonts w:eastAsia="Aptos"/>
        </w:rPr>
        <w:t>, eristub Harjumaa pea kõigist teistest Eesti maakondadest, kuna lühiajalise üüri majutuskohtade arv perioodil 2019–2023 kahanes 13% (ning Järvamaal</w:t>
      </w:r>
      <w:r w:rsidR="00B7799E" w:rsidRPr="00E14EBC">
        <w:rPr>
          <w:rFonts w:eastAsia="Aptos"/>
        </w:rPr>
        <w:t xml:space="preserve"> </w:t>
      </w:r>
      <w:r w:rsidRPr="00E14EBC">
        <w:rPr>
          <w:rFonts w:eastAsia="Aptos"/>
        </w:rPr>
        <w:t xml:space="preserve">6%). </w:t>
      </w:r>
      <w:r w:rsidR="00B97B81">
        <w:rPr>
          <w:rFonts w:eastAsia="Aptos"/>
        </w:rPr>
        <w:t>N</w:t>
      </w:r>
      <w:r w:rsidRPr="00E14EBC">
        <w:rPr>
          <w:rFonts w:eastAsia="Aptos"/>
        </w:rPr>
        <w:t>äe</w:t>
      </w:r>
      <w:r w:rsidR="00B97B81">
        <w:rPr>
          <w:rFonts w:eastAsia="Aptos"/>
        </w:rPr>
        <w:t>me</w:t>
      </w:r>
      <w:r w:rsidRPr="00E14EBC">
        <w:rPr>
          <w:rFonts w:eastAsia="Aptos"/>
        </w:rPr>
        <w:t xml:space="preserve"> siin nii pandeemia kui Ukrainas vallandunud </w:t>
      </w:r>
      <w:r w:rsidR="44C79D5B" w:rsidRPr="00E14EBC">
        <w:rPr>
          <w:rFonts w:eastAsia="Aptos"/>
        </w:rPr>
        <w:t>täiemahulise sõja mõjusid.</w:t>
      </w:r>
      <w:r w:rsidRPr="00E14EBC">
        <w:rPr>
          <w:rFonts w:eastAsia="Aptos"/>
        </w:rPr>
        <w:t xml:space="preserve"> Suurimad protsentuaalsed kasvud on olnud Raplamaal (58%), Võrumaal (58%), Hiiumaal (55%) ja Põlvamaal (53</w:t>
      </w:r>
      <w:r w:rsidR="691B7353" w:rsidRPr="00E14EBC">
        <w:rPr>
          <w:rFonts w:eastAsia="Aptos"/>
        </w:rPr>
        <w:t xml:space="preserve">%), mis aga </w:t>
      </w:r>
      <w:r w:rsidR="6BA17A19" w:rsidRPr="00E14EBC">
        <w:rPr>
          <w:rFonts w:eastAsia="Aptos"/>
        </w:rPr>
        <w:t xml:space="preserve">pakkumise </w:t>
      </w:r>
      <w:r w:rsidR="691B7353" w:rsidRPr="00E14EBC">
        <w:rPr>
          <w:rFonts w:eastAsia="Aptos"/>
        </w:rPr>
        <w:t xml:space="preserve">mahtude poolest </w:t>
      </w:r>
      <w:r w:rsidR="5376E593" w:rsidRPr="00E14EBC">
        <w:rPr>
          <w:rFonts w:eastAsia="Aptos"/>
        </w:rPr>
        <w:t xml:space="preserve">on </w:t>
      </w:r>
      <w:r w:rsidR="6BA17A19" w:rsidRPr="00E14EBC">
        <w:rPr>
          <w:rFonts w:eastAsia="Aptos"/>
        </w:rPr>
        <w:t xml:space="preserve">suhteliselt </w:t>
      </w:r>
      <w:r w:rsidR="3D607F6F" w:rsidRPr="00E14EBC">
        <w:rPr>
          <w:rFonts w:eastAsia="Aptos"/>
        </w:rPr>
        <w:t>tagasihoidlikud</w:t>
      </w:r>
      <w:r w:rsidR="691B7353" w:rsidRPr="00E14EBC">
        <w:rPr>
          <w:rFonts w:eastAsia="Aptos"/>
        </w:rPr>
        <w:t xml:space="preserve">. </w:t>
      </w:r>
    </w:p>
    <w:p w14:paraId="6E4F9F14" w14:textId="55E93750" w:rsidR="00D40A04" w:rsidRPr="00E14EBC" w:rsidRDefault="379E794D" w:rsidP="4EDD54EB">
      <w:pPr>
        <w:jc w:val="both"/>
        <w:rPr>
          <w:rFonts w:eastAsia="Aptos"/>
          <w:b/>
          <w:bCs/>
        </w:rPr>
      </w:pPr>
      <w:r w:rsidRPr="5848DE21">
        <w:rPr>
          <w:rFonts w:eastAsia="Aptos"/>
        </w:rPr>
        <w:t>Lühiajalise</w:t>
      </w:r>
      <w:r w:rsidR="6BF7470B" w:rsidRPr="5848DE21">
        <w:rPr>
          <w:rFonts w:eastAsia="Aptos"/>
        </w:rPr>
        <w:t xml:space="preserve"> üüri majutuskohtade arvu suhe</w:t>
      </w:r>
      <w:r w:rsidR="00817A75">
        <w:rPr>
          <w:rFonts w:eastAsia="Aptos"/>
        </w:rPr>
        <w:t xml:space="preserve"> SA </w:t>
      </w:r>
      <w:r w:rsidR="6BF7470B" w:rsidRPr="5848DE21">
        <w:rPr>
          <w:rFonts w:eastAsia="Aptos"/>
        </w:rPr>
        <w:t>statistikas kajastuvate majutusettevõtete</w:t>
      </w:r>
      <w:r w:rsidR="00ED6382">
        <w:rPr>
          <w:rFonts w:eastAsia="Aptos"/>
        </w:rPr>
        <w:t xml:space="preserve"> (arvestamata kattuvust)</w:t>
      </w:r>
      <w:r w:rsidR="6BF7470B" w:rsidRPr="5848DE21">
        <w:rPr>
          <w:rFonts w:eastAsia="Aptos"/>
        </w:rPr>
        <w:t xml:space="preserve"> tubade arvu erineb maakonniti viiendikust (Järvamaa) kolmveerandini (Hiiumaa). Kõrgem on see lisaks Hiiumaale ka Läänemaal, Pärnumaal ja Tartumaal (Lisa 5, Tabel </w:t>
      </w:r>
      <w:r w:rsidR="09047B64" w:rsidRPr="5848DE21">
        <w:rPr>
          <w:rFonts w:eastAsia="Aptos"/>
        </w:rPr>
        <w:t>21</w:t>
      </w:r>
      <w:r w:rsidR="6BF7470B" w:rsidRPr="5848DE21">
        <w:rPr>
          <w:rFonts w:eastAsia="Aptos"/>
        </w:rPr>
        <w:t>). Kolm esimest on tugeva hooajalisuse teguriga puhkepiirkonnad. Väikseim on see suhe Järvamaal, Lääne- ja Ida-Virumaal, Valgamaal, Raplamaal ja Jõgevamaal. Kui Virumaad välja jätta, on tegemist pigem vähemaktiivsete turismipiirkondadega.</w:t>
      </w:r>
    </w:p>
    <w:p w14:paraId="5BB74BC3" w14:textId="2813AFA8" w:rsidR="00D40A04" w:rsidRPr="00E14EBC" w:rsidRDefault="6BF7470B" w:rsidP="00D40A04">
      <w:pPr>
        <w:jc w:val="both"/>
        <w:rPr>
          <w:rFonts w:eastAsia="Aptos"/>
        </w:rPr>
      </w:pPr>
      <w:r w:rsidRPr="5848DE21">
        <w:rPr>
          <w:rFonts w:eastAsia="Aptos"/>
        </w:rPr>
        <w:t xml:space="preserve">Erinevate rahvusvaheliste uuringute ja ülevaadete andmekoosseisud pärinevad valdavalt analüüsifirmalt AirDNA. Lisa 5 </w:t>
      </w:r>
      <w:r w:rsidR="008C66D5">
        <w:rPr>
          <w:rFonts w:eastAsia="Aptos"/>
        </w:rPr>
        <w:t>t</w:t>
      </w:r>
      <w:r w:rsidRPr="5848DE21">
        <w:rPr>
          <w:rFonts w:eastAsia="Aptos"/>
        </w:rPr>
        <w:t xml:space="preserve">abelisse </w:t>
      </w:r>
      <w:r w:rsidR="09047B64" w:rsidRPr="5848DE21">
        <w:rPr>
          <w:rFonts w:eastAsia="Aptos"/>
        </w:rPr>
        <w:t>22</w:t>
      </w:r>
      <w:r w:rsidRPr="5848DE21">
        <w:rPr>
          <w:rFonts w:eastAsia="Aptos"/>
        </w:rPr>
        <w:t xml:space="preserve"> on koondatud 2025. a</w:t>
      </w:r>
      <w:r w:rsidR="264E740E" w:rsidRPr="5848DE21">
        <w:rPr>
          <w:rFonts w:eastAsia="Aptos"/>
        </w:rPr>
        <w:t>asta</w:t>
      </w:r>
      <w:r w:rsidRPr="5848DE21">
        <w:rPr>
          <w:rFonts w:eastAsia="Aptos"/>
        </w:rPr>
        <w:t xml:space="preserve"> veebruaris tehtud väljavõttest Airbnb ja Vrbo platvormidelt </w:t>
      </w:r>
      <w:r w:rsidR="281C716A" w:rsidRPr="5848DE21">
        <w:rPr>
          <w:rFonts w:eastAsia="Aptos"/>
        </w:rPr>
        <w:t xml:space="preserve">Eesti linnade </w:t>
      </w:r>
      <w:r w:rsidRPr="5848DE21">
        <w:rPr>
          <w:rFonts w:eastAsia="Aptos"/>
        </w:rPr>
        <w:t>olulisemad lühiajalise üüri kuulutuste parameetrid (eelneva 12 kuu keskmine) – kuulutuste arv, magamistubade arv, majutuskoha saadavus, majutuskoha tüüp.</w:t>
      </w:r>
    </w:p>
    <w:p w14:paraId="21E25008" w14:textId="67B636DC" w:rsidR="00D40A04" w:rsidRPr="00E14EBC" w:rsidRDefault="00D40A04" w:rsidP="00D40A04">
      <w:pPr>
        <w:spacing w:after="0"/>
        <w:jc w:val="both"/>
        <w:rPr>
          <w:rFonts w:eastAsia="Aptos"/>
        </w:rPr>
      </w:pPr>
      <w:r w:rsidRPr="00E14EBC">
        <w:rPr>
          <w:rFonts w:eastAsia="Aptos"/>
        </w:rPr>
        <w:t xml:space="preserve">Lühikokkuvõte AirDNA poolt avaldatud Eesti linnade lühiajalise üüri turu </w:t>
      </w:r>
      <w:r w:rsidR="065A65D1" w:rsidRPr="00E14EBC">
        <w:rPr>
          <w:rFonts w:eastAsia="Aptos"/>
        </w:rPr>
        <w:t>andmetest</w:t>
      </w:r>
      <w:r w:rsidRPr="00E14EBC">
        <w:rPr>
          <w:rFonts w:eastAsia="Aptos"/>
        </w:rPr>
        <w:t xml:space="preserve">: </w:t>
      </w:r>
    </w:p>
    <w:p w14:paraId="022514BB" w14:textId="77777777" w:rsidR="00D40A04" w:rsidRPr="00E14EBC" w:rsidRDefault="18C9F0B4" w:rsidP="007F08F4">
      <w:pPr>
        <w:pStyle w:val="ListParagraph"/>
        <w:numPr>
          <w:ilvl w:val="0"/>
          <w:numId w:val="53"/>
        </w:numPr>
        <w:spacing w:before="0" w:after="0"/>
        <w:jc w:val="both"/>
        <w:rPr>
          <w:rFonts w:eastAsia="Aptos"/>
        </w:rPr>
      </w:pPr>
      <w:r w:rsidRPr="00E14EBC">
        <w:rPr>
          <w:rFonts w:eastAsia="Aptos"/>
        </w:rPr>
        <w:t>Tallinn domineerib majutuskohtade arvu poolest, aga see on proportsioonis elanikkonna suhtarvuga.</w:t>
      </w:r>
    </w:p>
    <w:p w14:paraId="63990AE5" w14:textId="0F19E4CC" w:rsidR="00D40A04" w:rsidRPr="00E14EBC" w:rsidRDefault="18C9F0B4" w:rsidP="007F08F4">
      <w:pPr>
        <w:pStyle w:val="ListParagraph"/>
        <w:numPr>
          <w:ilvl w:val="0"/>
          <w:numId w:val="53"/>
        </w:numPr>
        <w:spacing w:before="0" w:after="0"/>
        <w:jc w:val="both"/>
        <w:rPr>
          <w:rFonts w:eastAsia="Aptos"/>
        </w:rPr>
      </w:pPr>
      <w:r w:rsidRPr="00E14EBC">
        <w:rPr>
          <w:rFonts w:eastAsia="Aptos"/>
        </w:rPr>
        <w:t>Ühe magamistoaga (s.o 1- ja 2-toalised) majutuskohad moodustavad valdavalt üle 70%, Narvas koguni 90% kõigist pakkumistest.</w:t>
      </w:r>
    </w:p>
    <w:p w14:paraId="11D8636A" w14:textId="22500BB3" w:rsidR="00ED0E64" w:rsidRPr="00E14EBC" w:rsidRDefault="4F2C68D7" w:rsidP="1688D34F">
      <w:pPr>
        <w:pStyle w:val="ListParagraph"/>
        <w:numPr>
          <w:ilvl w:val="0"/>
          <w:numId w:val="53"/>
        </w:numPr>
        <w:spacing w:before="0" w:after="0"/>
        <w:jc w:val="both"/>
        <w:rPr>
          <w:rFonts w:eastAsia="Aptos"/>
        </w:rPr>
      </w:pPr>
      <w:r w:rsidRPr="1688D34F">
        <w:rPr>
          <w:rFonts w:eastAsia="Aptos"/>
        </w:rPr>
        <w:t xml:space="preserve">45% Tallinna ja Tartu majutuskohtadest on saadaval/pakkumisel </w:t>
      </w:r>
      <w:r w:rsidR="1A4FFB53" w:rsidRPr="1A4FFB53">
        <w:rPr>
          <w:rFonts w:eastAsia="Aptos"/>
        </w:rPr>
        <w:t xml:space="preserve">üle </w:t>
      </w:r>
      <w:r w:rsidR="701BD83E" w:rsidRPr="701BD83E">
        <w:rPr>
          <w:rFonts w:eastAsia="Aptos"/>
        </w:rPr>
        <w:t>180</w:t>
      </w:r>
      <w:r w:rsidRPr="1688D34F">
        <w:rPr>
          <w:rFonts w:eastAsia="Aptos"/>
        </w:rPr>
        <w:t xml:space="preserve"> päeva aastas. </w:t>
      </w:r>
      <w:r w:rsidR="1E160514" w:rsidRPr="1688D34F">
        <w:rPr>
          <w:rFonts w:eastAsia="Aptos"/>
        </w:rPr>
        <w:t xml:space="preserve">Selle </w:t>
      </w:r>
      <w:r w:rsidR="30FDDFB9" w:rsidRPr="1688D34F">
        <w:rPr>
          <w:rFonts w:eastAsia="Aptos"/>
        </w:rPr>
        <w:t>p</w:t>
      </w:r>
      <w:r w:rsidRPr="1688D34F">
        <w:rPr>
          <w:rFonts w:eastAsia="Aptos"/>
        </w:rPr>
        <w:t>õhjus</w:t>
      </w:r>
      <w:r w:rsidR="000D7C89" w:rsidRPr="1688D34F">
        <w:rPr>
          <w:rFonts w:eastAsia="Aptos"/>
        </w:rPr>
        <w:t>tena näeme</w:t>
      </w:r>
      <w:r w:rsidRPr="1688D34F">
        <w:rPr>
          <w:rFonts w:eastAsia="Aptos"/>
        </w:rPr>
        <w:t xml:space="preserve"> ülikool</w:t>
      </w:r>
      <w:r w:rsidR="000D7C89" w:rsidRPr="1688D34F">
        <w:rPr>
          <w:rFonts w:eastAsia="Aptos"/>
        </w:rPr>
        <w:t>e</w:t>
      </w:r>
      <w:r w:rsidRPr="1688D34F">
        <w:rPr>
          <w:rFonts w:eastAsia="Aptos"/>
        </w:rPr>
        <w:t>, riigiasutus</w:t>
      </w:r>
      <w:r w:rsidR="000D7C89" w:rsidRPr="1688D34F">
        <w:rPr>
          <w:rFonts w:eastAsia="Aptos"/>
        </w:rPr>
        <w:t>i</w:t>
      </w:r>
      <w:r w:rsidRPr="1688D34F">
        <w:rPr>
          <w:rFonts w:eastAsia="Aptos"/>
        </w:rPr>
        <w:t>, kaugtöö</w:t>
      </w:r>
      <w:r w:rsidR="000D7C89" w:rsidRPr="1688D34F">
        <w:rPr>
          <w:rFonts w:eastAsia="Aptos"/>
        </w:rPr>
        <w:t>d</w:t>
      </w:r>
      <w:r w:rsidRPr="1688D34F">
        <w:rPr>
          <w:rFonts w:eastAsia="Aptos"/>
        </w:rPr>
        <w:t xml:space="preserve"> (siseturism – tööreisid), aga ka rahvusvahelis</w:t>
      </w:r>
      <w:r w:rsidR="000D7C89" w:rsidRPr="1688D34F">
        <w:rPr>
          <w:rFonts w:eastAsia="Aptos"/>
        </w:rPr>
        <w:t>i</w:t>
      </w:r>
      <w:r w:rsidRPr="1688D34F">
        <w:rPr>
          <w:rFonts w:eastAsia="Aptos"/>
        </w:rPr>
        <w:t xml:space="preserve"> (idu)ettevõtte</w:t>
      </w:r>
      <w:r w:rsidR="000D7C89" w:rsidRPr="1688D34F">
        <w:rPr>
          <w:rFonts w:eastAsia="Aptos"/>
        </w:rPr>
        <w:t>i</w:t>
      </w:r>
      <w:r w:rsidRPr="1688D34F">
        <w:rPr>
          <w:rFonts w:eastAsia="Aptos"/>
        </w:rPr>
        <w:t>d.</w:t>
      </w:r>
    </w:p>
    <w:p w14:paraId="356A9813" w14:textId="2F625F20" w:rsidR="00ED0E64" w:rsidRPr="00E14EBC" w:rsidRDefault="4F2C68D7" w:rsidP="007F08F4">
      <w:pPr>
        <w:pStyle w:val="ListParagraph"/>
        <w:numPr>
          <w:ilvl w:val="0"/>
          <w:numId w:val="53"/>
        </w:numPr>
        <w:spacing w:before="0" w:after="0"/>
        <w:jc w:val="both"/>
        <w:rPr>
          <w:rFonts w:eastAsia="Aptos"/>
        </w:rPr>
      </w:pPr>
      <w:r w:rsidRPr="5848DE21">
        <w:rPr>
          <w:rFonts w:eastAsia="Aptos"/>
        </w:rPr>
        <w:t>Pärnu majutuskohtadest ¾</w:t>
      </w:r>
      <w:r w:rsidR="0EF927AD" w:rsidRPr="5848DE21">
        <w:rPr>
          <w:rFonts w:eastAsia="Aptos"/>
        </w:rPr>
        <w:t xml:space="preserve"> </w:t>
      </w:r>
      <w:r w:rsidRPr="5848DE21">
        <w:rPr>
          <w:rFonts w:eastAsia="Aptos"/>
        </w:rPr>
        <w:t>on saadaval/pakkumisel kuni 180 päeva aastas</w:t>
      </w:r>
      <w:r w:rsidR="660E997A" w:rsidRPr="660E997A">
        <w:rPr>
          <w:rFonts w:eastAsia="Aptos"/>
        </w:rPr>
        <w:t xml:space="preserve"> </w:t>
      </w:r>
      <w:r w:rsidR="35EEA5BD" w:rsidRPr="35EEA5BD">
        <w:rPr>
          <w:rFonts w:eastAsia="Aptos"/>
        </w:rPr>
        <w:t>ning 47% vaid kuni 90 päeva aastas.</w:t>
      </w:r>
      <w:r w:rsidRPr="5848DE21">
        <w:rPr>
          <w:rFonts w:eastAsia="Aptos"/>
        </w:rPr>
        <w:t xml:space="preserve"> </w:t>
      </w:r>
      <w:r w:rsidR="09FB4A8F" w:rsidRPr="5848DE21">
        <w:rPr>
          <w:rFonts w:eastAsia="Aptos"/>
        </w:rPr>
        <w:t>Peapõhjusteks</w:t>
      </w:r>
      <w:r w:rsidRPr="5848DE21">
        <w:rPr>
          <w:rFonts w:eastAsia="Aptos"/>
        </w:rPr>
        <w:t xml:space="preserve"> </w:t>
      </w:r>
      <w:r w:rsidR="76DD71F6" w:rsidRPr="5848DE21">
        <w:rPr>
          <w:rFonts w:eastAsia="Aptos"/>
        </w:rPr>
        <w:t xml:space="preserve">on </w:t>
      </w:r>
      <w:r w:rsidR="000D7C89">
        <w:rPr>
          <w:rFonts w:eastAsia="Aptos"/>
        </w:rPr>
        <w:t>meie</w:t>
      </w:r>
      <w:r w:rsidR="000D7C89" w:rsidRPr="5848DE21">
        <w:rPr>
          <w:rFonts w:eastAsia="Aptos"/>
        </w:rPr>
        <w:t xml:space="preserve"> </w:t>
      </w:r>
      <w:r w:rsidRPr="5848DE21">
        <w:rPr>
          <w:rFonts w:eastAsia="Aptos"/>
        </w:rPr>
        <w:t xml:space="preserve">hinnangul vähene üliõpilaste arv ja hooajaväliste suursündmuste arv; samuti asjaolu, et kui paljudes puhkepiirkondades </w:t>
      </w:r>
      <w:r w:rsidRPr="5848DE21">
        <w:rPr>
          <w:rFonts w:eastAsia="Aptos"/>
        </w:rPr>
        <w:lastRenderedPageBreak/>
        <w:t>suletakse osa hotelle talveks täielikult, siis Pärnu spaad on talvel avatud ja võtavad kliendid endale.</w:t>
      </w:r>
    </w:p>
    <w:p w14:paraId="5558DE14" w14:textId="6F8C99DB" w:rsidR="00ED0E64" w:rsidRPr="00E14EBC" w:rsidRDefault="60F39C06" w:rsidP="5848DE21">
      <w:pPr>
        <w:pStyle w:val="ListParagraph"/>
        <w:numPr>
          <w:ilvl w:val="0"/>
          <w:numId w:val="53"/>
        </w:numPr>
        <w:spacing w:before="0" w:after="0"/>
        <w:jc w:val="both"/>
        <w:rPr>
          <w:rFonts w:eastAsia="Aptos"/>
        </w:rPr>
      </w:pPr>
      <w:r w:rsidRPr="5848DE21">
        <w:rPr>
          <w:rFonts w:eastAsia="Aptos"/>
        </w:rPr>
        <w:t>Kuni 180 päeva aastas on saadaval Võrus 71%, Haapsalus 67%, Narvas 65%, Kuressaares 62%, Viljandis 60% majutuskohtadest.</w:t>
      </w:r>
    </w:p>
    <w:p w14:paraId="4D4C828D" w14:textId="7CC77D24" w:rsidR="00ED0E64" w:rsidRPr="00E14EBC" w:rsidRDefault="00ED0E64" w:rsidP="007F08F4">
      <w:pPr>
        <w:pStyle w:val="ListParagraph"/>
        <w:numPr>
          <w:ilvl w:val="0"/>
          <w:numId w:val="53"/>
        </w:numPr>
        <w:spacing w:before="0" w:after="0"/>
        <w:jc w:val="both"/>
        <w:rPr>
          <w:rFonts w:eastAsia="Aptos" w:cstheme="minorHAnsi"/>
          <w:szCs w:val="24"/>
        </w:rPr>
      </w:pPr>
      <w:r w:rsidRPr="00E14EBC">
        <w:rPr>
          <w:rFonts w:eastAsia="Aptos" w:cstheme="minorHAnsi"/>
          <w:szCs w:val="24"/>
        </w:rPr>
        <w:t>Välja üüritakse kogu eluase (</w:t>
      </w:r>
      <w:r w:rsidRPr="00E14EBC">
        <w:rPr>
          <w:rFonts w:eastAsia="Aptos" w:cstheme="minorHAnsi"/>
          <w:i/>
          <w:szCs w:val="24"/>
        </w:rPr>
        <w:t>vs</w:t>
      </w:r>
      <w:r w:rsidR="00B77C36" w:rsidRPr="00E14EBC">
        <w:rPr>
          <w:rFonts w:eastAsia="Aptos" w:cstheme="minorHAnsi"/>
          <w:i/>
          <w:szCs w:val="24"/>
        </w:rPr>
        <w:t>.</w:t>
      </w:r>
      <w:r w:rsidRPr="00E14EBC">
        <w:rPr>
          <w:rFonts w:eastAsia="Aptos" w:cstheme="minorHAnsi"/>
          <w:szCs w:val="24"/>
        </w:rPr>
        <w:t xml:space="preserve"> eraldi tuba suuremas eluruumis): Tallinn, Tartu, Pärnu, Haapsalu veidi üle 90%; Kuressaare, Viljandi, Võru veidi alla 90%.</w:t>
      </w:r>
    </w:p>
    <w:p w14:paraId="2CB2A3B7" w14:textId="02E48852" w:rsidR="00ED0E64" w:rsidRPr="0090651B" w:rsidRDefault="008740FF" w:rsidP="009F2FDA">
      <w:pPr>
        <w:spacing w:after="0"/>
        <w:jc w:val="both"/>
        <w:rPr>
          <w:rFonts w:eastAsia="Aptos"/>
        </w:rPr>
      </w:pPr>
      <w:r>
        <w:rPr>
          <w:rFonts w:eastAsia="Aptos" w:cstheme="minorHAnsi"/>
        </w:rPr>
        <w:t xml:space="preserve">Nende andmete põhjal saab üldistada, et </w:t>
      </w:r>
      <w:r w:rsidR="00DF2BA2">
        <w:rPr>
          <w:rFonts w:eastAsia="Aptos" w:cstheme="minorHAnsi"/>
        </w:rPr>
        <w:t>ü</w:t>
      </w:r>
      <w:r w:rsidR="00ED0E64" w:rsidRPr="0090651B">
        <w:rPr>
          <w:rFonts w:eastAsia="Aptos"/>
        </w:rPr>
        <w:t xml:space="preserve">heksa lühiajalise üüri majutuskohta kümnest ei ole </w:t>
      </w:r>
      <w:r w:rsidR="6BA17A19" w:rsidRPr="0090651B">
        <w:rPr>
          <w:rFonts w:eastAsia="Aptos"/>
        </w:rPr>
        <w:t xml:space="preserve">ilmselt </w:t>
      </w:r>
      <w:r w:rsidR="00ED0E64" w:rsidRPr="0090651B">
        <w:rPr>
          <w:rFonts w:eastAsia="Aptos"/>
        </w:rPr>
        <w:t>majutaja peamine</w:t>
      </w:r>
      <w:r w:rsidR="6BA17A19" w:rsidRPr="0090651B">
        <w:rPr>
          <w:rFonts w:eastAsia="Aptos"/>
        </w:rPr>
        <w:t>/alaline</w:t>
      </w:r>
      <w:r w:rsidR="00ED0E64" w:rsidRPr="0090651B">
        <w:rPr>
          <w:rFonts w:eastAsia="Aptos"/>
        </w:rPr>
        <w:t xml:space="preserve"> elukoht</w:t>
      </w:r>
      <w:r w:rsidR="00DF2BA2">
        <w:rPr>
          <w:rFonts w:eastAsia="Aptos"/>
        </w:rPr>
        <w:t xml:space="preserve"> ning k</w:t>
      </w:r>
      <w:r w:rsidR="00ED0E64" w:rsidRPr="0090651B">
        <w:rPr>
          <w:rFonts w:eastAsia="Aptos"/>
        </w:rPr>
        <w:t xml:space="preserve">olmveerand lühiajalise üüri majutuskohtadest on väikesed 1- ja 2-toalised korterid. </w:t>
      </w:r>
      <w:r w:rsidR="00DF2BA2">
        <w:rPr>
          <w:rFonts w:eastAsia="Aptos"/>
        </w:rPr>
        <w:t>Lisaks, ü</w:t>
      </w:r>
      <w:r w:rsidR="00ED0E64" w:rsidRPr="009F2FDA">
        <w:rPr>
          <w:rFonts w:eastAsia="Aptos"/>
        </w:rPr>
        <w:t>le</w:t>
      </w:r>
      <w:r w:rsidR="00ED0E64" w:rsidRPr="0090651B">
        <w:rPr>
          <w:rFonts w:eastAsia="Aptos"/>
        </w:rPr>
        <w:t xml:space="preserve"> poole lühiajalise üüri majutuskohtadest on saadaval vähem kui 6 kuud aastas.</w:t>
      </w:r>
    </w:p>
    <w:p w14:paraId="208517BD" w14:textId="4CFB08F4" w:rsidR="00D40A04" w:rsidRPr="00E14EBC" w:rsidRDefault="72E47210" w:rsidP="72E47210">
      <w:pPr>
        <w:jc w:val="both"/>
        <w:rPr>
          <w:rFonts w:eastAsia="Aptos"/>
        </w:rPr>
      </w:pPr>
      <w:r w:rsidRPr="00E14EBC">
        <w:rPr>
          <w:rFonts w:eastAsia="Aptos"/>
        </w:rPr>
        <w:t>Analüütikafirmade tasuta kättesaadavate andmete valideerimiseks katsetasi</w:t>
      </w:r>
      <w:r w:rsidR="00B97B81">
        <w:rPr>
          <w:rFonts w:eastAsia="Aptos"/>
        </w:rPr>
        <w:t>me</w:t>
      </w:r>
      <w:r w:rsidRPr="00E14EBC">
        <w:rPr>
          <w:rFonts w:eastAsia="Aptos"/>
        </w:rPr>
        <w:t xml:space="preserve"> ise andmekraapimist, mille metoodika kirjeldus ja tulemuste kokkuvõte on </w:t>
      </w:r>
      <w:r w:rsidRPr="008E568B">
        <w:rPr>
          <w:rFonts w:eastAsia="Aptos"/>
        </w:rPr>
        <w:t>Lisas 5a p 1</w:t>
      </w:r>
      <w:r w:rsidRPr="00E14EBC">
        <w:rPr>
          <w:rFonts w:eastAsia="Aptos"/>
        </w:rPr>
        <w:t>.</w:t>
      </w:r>
    </w:p>
    <w:p w14:paraId="39C4AFB8" w14:textId="77777777" w:rsidR="00ED0E64" w:rsidRPr="00E14EBC" w:rsidRDefault="00ED0E64" w:rsidP="00ED0E64">
      <w:pPr>
        <w:spacing w:before="0" w:after="0"/>
        <w:jc w:val="both"/>
      </w:pPr>
      <w:r w:rsidRPr="00E14EBC">
        <w:t>Väärib tähelepanu, et:</w:t>
      </w:r>
    </w:p>
    <w:p w14:paraId="4995EF20" w14:textId="7D8E3D6C" w:rsidR="00ED0E64" w:rsidRPr="00E14EBC" w:rsidRDefault="4EDD54EB" w:rsidP="007F08F4">
      <w:pPr>
        <w:pStyle w:val="ListParagraph"/>
        <w:numPr>
          <w:ilvl w:val="0"/>
          <w:numId w:val="55"/>
        </w:numPr>
        <w:spacing w:before="0" w:after="0"/>
        <w:jc w:val="both"/>
      </w:pPr>
      <w:r w:rsidRPr="00E14EBC">
        <w:t xml:space="preserve">maakondade pakkumiste hulgas on enam-vähem </w:t>
      </w:r>
      <w:r w:rsidR="6BA17A19" w:rsidRPr="00E14EBC">
        <w:t>sarnases proportsioonis üksikelamud</w:t>
      </w:r>
      <w:r w:rsidRPr="00E14EBC">
        <w:t xml:space="preserve"> ja </w:t>
      </w:r>
      <w:r w:rsidR="6BA17A19" w:rsidRPr="00E14EBC">
        <w:t>korterid-toad</w:t>
      </w:r>
      <w:r w:rsidRPr="00E14EBC">
        <w:t>;</w:t>
      </w:r>
    </w:p>
    <w:p w14:paraId="451B8A14" w14:textId="50A38EBD" w:rsidR="00D40A04" w:rsidRPr="00E14EBC" w:rsidRDefault="529B60BD" w:rsidP="007F08F4">
      <w:pPr>
        <w:pStyle w:val="ListParagraph"/>
        <w:numPr>
          <w:ilvl w:val="0"/>
          <w:numId w:val="55"/>
        </w:numPr>
        <w:spacing w:before="0" w:after="0"/>
        <w:jc w:val="both"/>
      </w:pPr>
      <w:r>
        <w:t>maakondade pakkumiste keskmine mahutavus on üsna ühtlane, s</w:t>
      </w:r>
      <w:r w:rsidR="0124BCF5">
        <w:t>.</w:t>
      </w:r>
      <w:r>
        <w:t>o keskmine külaliste maksimaalne arv oli kõigil juhtudel 5 ja 6 vahel;</w:t>
      </w:r>
    </w:p>
    <w:p w14:paraId="56261670" w14:textId="37B0E1D2" w:rsidR="00ED0E64" w:rsidRPr="00E14EBC" w:rsidRDefault="4EDD54EB" w:rsidP="007F08F4">
      <w:pPr>
        <w:pStyle w:val="ListParagraph"/>
        <w:numPr>
          <w:ilvl w:val="0"/>
          <w:numId w:val="55"/>
        </w:numPr>
        <w:spacing w:before="0" w:after="0"/>
        <w:jc w:val="both"/>
      </w:pPr>
      <w:r w:rsidRPr="00E14EBC">
        <w:t xml:space="preserve">Tallinna </w:t>
      </w:r>
      <w:r w:rsidR="00285AB6">
        <w:t>v</w:t>
      </w:r>
      <w:r w:rsidRPr="00E14EBC">
        <w:t>analinnas on korterite mahutavus Tallinna keskmisest tunduvalt suurem;</w:t>
      </w:r>
    </w:p>
    <w:p w14:paraId="0E37B536" w14:textId="3F5FE6EB" w:rsidR="00ED0E64" w:rsidRPr="00E14EBC" w:rsidRDefault="4EDD54EB" w:rsidP="007F08F4">
      <w:pPr>
        <w:pStyle w:val="ListParagraph"/>
        <w:numPr>
          <w:ilvl w:val="0"/>
          <w:numId w:val="55"/>
        </w:numPr>
        <w:spacing w:before="0" w:after="0"/>
        <w:jc w:val="both"/>
      </w:pPr>
      <w:r w:rsidRPr="00E14EBC">
        <w:t>lühiajalise üüri</w:t>
      </w:r>
      <w:r w:rsidR="00B7799E" w:rsidRPr="00E14EBC">
        <w:t xml:space="preserve"> </w:t>
      </w:r>
      <w:r w:rsidRPr="00E14EBC">
        <w:t xml:space="preserve">majutuskohtade ja eluruumide </w:t>
      </w:r>
      <w:r w:rsidR="794AA26D">
        <w:t xml:space="preserve">kõrge </w:t>
      </w:r>
      <w:r w:rsidR="5A6C717C">
        <w:t>suhte</w:t>
      </w:r>
      <w:r w:rsidRPr="00E14EBC">
        <w:t xml:space="preserve"> poolest</w:t>
      </w:r>
      <w:r w:rsidR="00A32A1B">
        <w:t xml:space="preserve"> (</w:t>
      </w:r>
      <w:r w:rsidR="00273888" w:rsidRPr="794AA26D">
        <w:t>~</w:t>
      </w:r>
      <w:r w:rsidR="00A32A1B">
        <w:t>0,4)</w:t>
      </w:r>
      <w:r w:rsidRPr="00E14EBC">
        <w:t xml:space="preserve"> torkab enim silma Rotermanni kvartal.</w:t>
      </w:r>
    </w:p>
    <w:p w14:paraId="2AA2832F" w14:textId="6A8CF6C1" w:rsidR="00D40A04" w:rsidRPr="00E14EBC" w:rsidRDefault="18C9F0B4" w:rsidP="00D811EE">
      <w:pPr>
        <w:spacing w:before="0" w:after="0"/>
        <w:jc w:val="both"/>
        <w:rPr>
          <w:rFonts w:eastAsia="Aptos"/>
        </w:rPr>
      </w:pPr>
      <w:r w:rsidRPr="00E14EBC">
        <w:rPr>
          <w:rFonts w:eastAsia="Aptos"/>
        </w:rPr>
        <w:t xml:space="preserve">Hilisemad võrdlused ja valideerimised näitavad, et testkraapimisega õnnestus </w:t>
      </w:r>
      <w:r w:rsidR="3D607F6F" w:rsidRPr="00E14EBC">
        <w:rPr>
          <w:rFonts w:eastAsia="Aptos"/>
        </w:rPr>
        <w:t>meil</w:t>
      </w:r>
      <w:r w:rsidRPr="00E14EBC">
        <w:rPr>
          <w:rFonts w:eastAsia="Aptos"/>
        </w:rPr>
        <w:t xml:space="preserve"> saada kätte valitud andmed umbes poolte lühiajalise üüri majutuskohtade kohta. </w:t>
      </w:r>
    </w:p>
    <w:p w14:paraId="14F0C46F" w14:textId="77777777" w:rsidR="00D40A04" w:rsidRPr="005660C4" w:rsidRDefault="00D40A04" w:rsidP="005660C4">
      <w:pPr>
        <w:rPr>
          <w:rStyle w:val="PurpleText"/>
        </w:rPr>
      </w:pPr>
      <w:r w:rsidRPr="005660C4">
        <w:rPr>
          <w:rStyle w:val="PurpleText"/>
        </w:rPr>
        <w:t>Hooajalisus</w:t>
      </w:r>
    </w:p>
    <w:p w14:paraId="73AC9F74" w14:textId="04210ACE" w:rsidR="00D40A04" w:rsidRPr="00E14EBC" w:rsidRDefault="5B7523CC" w:rsidP="00B900EA">
      <w:pPr>
        <w:jc w:val="both"/>
      </w:pPr>
      <w:r w:rsidRPr="00E14EBC">
        <w:t>Lühiajalise</w:t>
      </w:r>
      <w:r w:rsidR="4E440EBC" w:rsidRPr="00E14EBC">
        <w:t xml:space="preserve"> üüri majutuskohtade saadavus (</w:t>
      </w:r>
      <w:r w:rsidR="00652710">
        <w:t xml:space="preserve">ingl </w:t>
      </w:r>
      <w:r w:rsidR="4E440EBC" w:rsidRPr="00E14EBC">
        <w:rPr>
          <w:i/>
          <w:iCs/>
        </w:rPr>
        <w:t>availability</w:t>
      </w:r>
      <w:r w:rsidR="4E440EBC" w:rsidRPr="00E14EBC">
        <w:t>) Eestis AirDNA ja Lighthouse’i andmete põhjal hinnates väga suures ulatuses ei kõigu (2024. aastal alla 30%), küll aga on märgatavad käärid madal- ja kõrghooaja täitumuste ja hindade (= müügitulude) vahel. Sisuliselt on kõrghooaeg</w:t>
      </w:r>
      <w:r w:rsidR="41F7F302">
        <w:t xml:space="preserve"> suures osas</w:t>
      </w:r>
      <w:r w:rsidR="4E440EBC" w:rsidRPr="00E14EBC">
        <w:t xml:space="preserve"> Eestis lühiajalise üüri pakkumisi ja täitumusi vaadates vaid juulikuu, külgnevad juuni ja august on juba pisut kehvemate tulemustega ning ülejäänud kuud (v.a detsember ja enne vene turistide kadumist ka jaanuar) on madalhooaeg.</w:t>
      </w:r>
    </w:p>
    <w:p w14:paraId="44384E33" w14:textId="77ACAA8B" w:rsidR="00ED0E64" w:rsidRPr="00E14EBC" w:rsidRDefault="5D929238" w:rsidP="00B900EA">
      <w:pPr>
        <w:jc w:val="both"/>
      </w:pPr>
      <w:r w:rsidRPr="00E14EBC">
        <w:t xml:space="preserve">Aasta lõikes on saadavuse poolest teistest märgatavalt stabiilsemad vaid Tallinna ja Tartu lühiajalise üüri turud, kus on palju tööalast turismi, ülikoolid, idu- ja </w:t>
      </w:r>
      <w:r w:rsidR="6BA17A19" w:rsidRPr="00E14EBC">
        <w:t>tehnoloogiaettevõtted</w:t>
      </w:r>
      <w:r w:rsidRPr="00E14EBC">
        <w:t>, arvukalt kultuuri jm sündmuseid.</w:t>
      </w:r>
    </w:p>
    <w:p w14:paraId="428A3F3C" w14:textId="189C6139" w:rsidR="58A6FF9C" w:rsidRPr="00E14EBC" w:rsidRDefault="58A6FF9C" w:rsidP="00B900EA">
      <w:pPr>
        <w:jc w:val="both"/>
        <w:rPr>
          <w:rFonts w:eastAsiaTheme="minorEastAsia"/>
        </w:rPr>
      </w:pPr>
      <w:r w:rsidRPr="00E14EBC">
        <w:t>Suurim hooajalisuse mõju lühiajalise üüri turule</w:t>
      </w:r>
      <w:r w:rsidR="00B7799E" w:rsidRPr="00E14EBC">
        <w:t xml:space="preserve"> </w:t>
      </w:r>
      <w:r w:rsidRPr="00E14EBC">
        <w:t>on täheldatav peamistes kuurortlinnades – Pärnus ja Haapsalus on vaid 24% Airbnb majutuskohtadest saadaval üle poole aasta, Kuressaares 31%.</w:t>
      </w:r>
    </w:p>
    <w:p w14:paraId="2A86CA7F" w14:textId="55935FD1" w:rsidR="58A6FF9C" w:rsidRPr="00E14EBC" w:rsidRDefault="58A6FF9C" w:rsidP="00B900EA">
      <w:pPr>
        <w:jc w:val="both"/>
        <w:rPr>
          <w:rFonts w:eastAsiaTheme="minorEastAsia"/>
        </w:rPr>
      </w:pPr>
      <w:r w:rsidRPr="00E14EBC">
        <w:rPr>
          <w:rFonts w:eastAsiaTheme="minorEastAsia"/>
        </w:rPr>
        <w:t xml:space="preserve">Pärnu on kolmest Eesti suuremast linnast ainus, kus ei toimi aastaringne pikaajaline üüriturg, st eluruumide üüriturg toimib katkestustega (turutõrge) </w:t>
      </w:r>
      <w:r w:rsidRPr="00E14EBC">
        <w:t>–</w:t>
      </w:r>
      <w:r w:rsidRPr="00E14EBC">
        <w:rPr>
          <w:rFonts w:eastAsiaTheme="minorEastAsia"/>
        </w:rPr>
        <w:t xml:space="preserve"> peamiselt kinnisvarainvesteeringuna ostetud kortereid kasutatakse suvekuudel kas omatarbeks ja/või pakutakse lühiajaliseks </w:t>
      </w:r>
      <w:r w:rsidRPr="00E14EBC">
        <w:rPr>
          <w:rFonts w:eastAsiaTheme="minorEastAsia"/>
        </w:rPr>
        <w:lastRenderedPageBreak/>
        <w:t>majutuseks; muul ajal seisavad need tühjalt või on eluruumina välja üüritud. Sarnast turutõrget võib mingil määral täheldada veel Haapsalus</w:t>
      </w:r>
      <w:r w:rsidRPr="00E14EBC">
        <w:rPr>
          <w:rStyle w:val="FootnoteReference"/>
          <w:rFonts w:eastAsiaTheme="minorEastAsia"/>
        </w:rPr>
        <w:footnoteReference w:id="77"/>
      </w:r>
      <w:r w:rsidRPr="00E14EBC">
        <w:rPr>
          <w:rFonts w:eastAsiaTheme="minorEastAsia"/>
        </w:rPr>
        <w:t>.</w:t>
      </w:r>
    </w:p>
    <w:p w14:paraId="7E707041" w14:textId="77777777" w:rsidR="00ED0E64" w:rsidRPr="00E14EBC" w:rsidRDefault="00ED0E64" w:rsidP="00ED0E64">
      <w:pPr>
        <w:pStyle w:val="TableTitle"/>
        <w:rPr>
          <w:rStyle w:val="PurpleText"/>
        </w:rPr>
      </w:pPr>
      <w:r w:rsidRPr="00E14EBC">
        <w:rPr>
          <w:rStyle w:val="PurpleText"/>
        </w:rPr>
        <w:t xml:space="preserve">Tallinn </w:t>
      </w:r>
    </w:p>
    <w:p w14:paraId="3A8F6187" w14:textId="24EEB419" w:rsidR="00ED0E64" w:rsidRPr="00E14EBC" w:rsidRDefault="60F39C06" w:rsidP="598BB2BE">
      <w:pPr>
        <w:jc w:val="both"/>
      </w:pPr>
      <w:r w:rsidRPr="00E14EBC">
        <w:t>2025. aasta mais vabavara keskkonna Doorbll-i HTML ja API põhise</w:t>
      </w:r>
      <w:r w:rsidR="00951288">
        <w:t xml:space="preserve"> </w:t>
      </w:r>
      <w:r w:rsidRPr="00E14EBC">
        <w:t>kombineeritud kraapimismeetodil tehtud andmekorje</w:t>
      </w:r>
      <w:r w:rsidR="00ED0E64" w:rsidRPr="00E14EBC">
        <w:rPr>
          <w:rStyle w:val="FootnoteReference"/>
        </w:rPr>
        <w:footnoteReference w:id="78"/>
      </w:r>
      <w:r w:rsidR="0EF927AD" w:rsidRPr="00E14EBC">
        <w:t xml:space="preserve"> </w:t>
      </w:r>
      <w:r w:rsidRPr="00E14EBC">
        <w:t xml:space="preserve">kohaselt oli 31. mai </w:t>
      </w:r>
      <w:r w:rsidR="544D9A10" w:rsidRPr="00E14EBC">
        <w:t xml:space="preserve">2025 </w:t>
      </w:r>
      <w:r w:rsidRPr="00E14EBC">
        <w:t xml:space="preserve">seisuga Tallinnas 2399 kuulutust kõigi nelja keskkonna peale kokku. Neist 1019 pakkumist </w:t>
      </w:r>
      <w:r w:rsidR="3FBB4C1F" w:rsidRPr="00E14EBC">
        <w:t xml:space="preserve">oli </w:t>
      </w:r>
      <w:r w:rsidR="506C6716">
        <w:t>Tallinna k</w:t>
      </w:r>
      <w:r w:rsidRPr="00E14EBC">
        <w:t xml:space="preserve">esklinnas, 546 </w:t>
      </w:r>
      <w:r w:rsidR="506C6716">
        <w:t>v</w:t>
      </w:r>
      <w:r w:rsidRPr="00E14EBC">
        <w:t>analinnas ja 282 Kalamajas. 12,5% pakkujatest oli rohkem kui üks kuulutus. Enim oli ühel pakkujal (Dream Stay) üleval 106 kuulutust. Talle järgneval (Tallinn City Apartments) 84, pärast mida langes pakkumiste arv ühe pakkuja kohta järsult 30-le ja allapoole.</w:t>
      </w:r>
      <w:r w:rsidR="00ED0E64" w:rsidRPr="00E14EBC">
        <w:rPr>
          <w:rStyle w:val="FootnoteReference"/>
        </w:rPr>
        <w:footnoteReference w:id="79"/>
      </w:r>
      <w:r w:rsidR="0EF927AD" w:rsidRPr="00E14EBC">
        <w:t xml:space="preserve"> </w:t>
      </w:r>
      <w:r w:rsidR="143614A9">
        <w:t>(</w:t>
      </w:r>
      <w:r w:rsidR="7F771F90" w:rsidRPr="008E568B">
        <w:t xml:space="preserve">vt Lisa 5, Tabel </w:t>
      </w:r>
      <w:r w:rsidR="143614A9">
        <w:t>23)</w:t>
      </w:r>
    </w:p>
    <w:p w14:paraId="3D9BD598" w14:textId="747FE1CB" w:rsidR="00D40A04" w:rsidRPr="00E14EBC" w:rsidRDefault="749BA66A" w:rsidP="72E47210">
      <w:pPr>
        <w:jc w:val="both"/>
        <w:rPr>
          <w:rFonts w:ascii="Arial" w:eastAsia="Arial" w:hAnsi="Arial" w:cs="Arial"/>
        </w:rPr>
      </w:pPr>
      <w:r w:rsidRPr="5848DE21">
        <w:rPr>
          <w:rFonts w:ascii="Arial" w:eastAsia="Arial" w:hAnsi="Arial" w:cs="Arial"/>
        </w:rPr>
        <w:t xml:space="preserve">Erinevatelt analüütikaettevõtetelt ja ekspertidelt pärinevate andmete põhjal (vt </w:t>
      </w:r>
      <w:r w:rsidR="143614A9" w:rsidRPr="5848DE21">
        <w:rPr>
          <w:rFonts w:ascii="Arial" w:eastAsia="Arial" w:hAnsi="Arial" w:cs="Arial"/>
        </w:rPr>
        <w:t xml:space="preserve">Lisa 5 </w:t>
      </w:r>
      <w:r w:rsidRPr="5848DE21">
        <w:rPr>
          <w:rFonts w:ascii="Arial" w:eastAsia="Arial" w:hAnsi="Arial" w:cs="Arial"/>
        </w:rPr>
        <w:t xml:space="preserve">Tabel </w:t>
      </w:r>
      <w:r w:rsidR="143614A9" w:rsidRPr="5848DE21">
        <w:rPr>
          <w:rFonts w:ascii="Arial" w:eastAsia="Arial" w:hAnsi="Arial" w:cs="Arial"/>
        </w:rPr>
        <w:t>24</w:t>
      </w:r>
      <w:r w:rsidRPr="5848DE21">
        <w:rPr>
          <w:rFonts w:ascii="Arial" w:eastAsia="Arial" w:hAnsi="Arial" w:cs="Arial"/>
        </w:rPr>
        <w:t>) o</w:t>
      </w:r>
      <w:r w:rsidR="31A8A77B" w:rsidRPr="5848DE21">
        <w:rPr>
          <w:rFonts w:ascii="Arial" w:eastAsia="Arial" w:hAnsi="Arial" w:cs="Arial"/>
        </w:rPr>
        <w:t>lid</w:t>
      </w:r>
      <w:r w:rsidRPr="5848DE21">
        <w:rPr>
          <w:rFonts w:ascii="Arial" w:eastAsia="Arial" w:hAnsi="Arial" w:cs="Arial"/>
        </w:rPr>
        <w:t xml:space="preserve"> Tallinna lühiajalise üüri teenuse pakkumise peamised näitajad 2023/2024 järgmised:</w:t>
      </w:r>
    </w:p>
    <w:p w14:paraId="3A022F42" w14:textId="615019ED" w:rsidR="00D40A04" w:rsidRPr="00E14EBC" w:rsidRDefault="18C9F0B4" w:rsidP="00A50359">
      <w:pPr>
        <w:pStyle w:val="ListParagraph"/>
        <w:numPr>
          <w:ilvl w:val="0"/>
          <w:numId w:val="3"/>
        </w:numPr>
        <w:spacing w:before="0" w:after="0"/>
        <w:jc w:val="both"/>
        <w:rPr>
          <w:rFonts w:ascii="Arial" w:eastAsia="Arial" w:hAnsi="Arial" w:cs="Arial"/>
          <w:szCs w:val="24"/>
        </w:rPr>
      </w:pPr>
      <w:r w:rsidRPr="00E14EBC">
        <w:rPr>
          <w:rFonts w:ascii="Arial" w:eastAsia="Arial" w:hAnsi="Arial" w:cs="Arial"/>
          <w:szCs w:val="24"/>
        </w:rPr>
        <w:t>kuulutusi kokku u 3100, neist aktiivseid 50–60%;</w:t>
      </w:r>
    </w:p>
    <w:p w14:paraId="5059A66E" w14:textId="0FCE5D5E" w:rsidR="00D40A04" w:rsidRPr="00E14EBC" w:rsidRDefault="18C9F0B4" w:rsidP="00A50359">
      <w:pPr>
        <w:pStyle w:val="ListParagraph"/>
        <w:numPr>
          <w:ilvl w:val="0"/>
          <w:numId w:val="3"/>
        </w:numPr>
        <w:spacing w:before="0" w:after="0"/>
        <w:jc w:val="both"/>
        <w:rPr>
          <w:rFonts w:ascii="Arial" w:eastAsia="Arial" w:hAnsi="Arial" w:cs="Arial"/>
          <w:szCs w:val="24"/>
        </w:rPr>
      </w:pPr>
      <w:r w:rsidRPr="00E14EBC">
        <w:rPr>
          <w:rFonts w:ascii="Arial" w:eastAsia="Arial" w:hAnsi="Arial" w:cs="Arial"/>
          <w:szCs w:val="24"/>
        </w:rPr>
        <w:t>aktiivsete kuulutuste arv Tallinnas on pärast pandeemiat kiiresti kasvanud: enne pandeemiat oli Airbnb’s u 3500 pakkumist; pakkumise madalpunkt oli aprillis 2021, kui Airbnb’s oli vaid 806 pakkumist; pakkumisi juulis 2021 – 1380, juulis 2022 – 1900, juulis 2023 – 2295;</w:t>
      </w:r>
    </w:p>
    <w:p w14:paraId="50C09C24" w14:textId="2C8EA1C1" w:rsidR="00D40A04" w:rsidRPr="00E14EBC" w:rsidRDefault="529B60BD" w:rsidP="00A50359">
      <w:pPr>
        <w:pStyle w:val="ListParagraph"/>
        <w:numPr>
          <w:ilvl w:val="0"/>
          <w:numId w:val="3"/>
        </w:numPr>
        <w:spacing w:before="0" w:after="0"/>
        <w:jc w:val="both"/>
        <w:rPr>
          <w:rFonts w:ascii="Arial" w:eastAsia="Arial" w:hAnsi="Arial" w:cs="Arial"/>
        </w:rPr>
      </w:pPr>
      <w:r w:rsidRPr="5848DE21">
        <w:rPr>
          <w:rFonts w:ascii="Arial" w:eastAsia="Arial" w:hAnsi="Arial" w:cs="Arial"/>
        </w:rPr>
        <w:t xml:space="preserve">Kesklinn moodustab 50% (s.h </w:t>
      </w:r>
      <w:r w:rsidR="00830D28">
        <w:rPr>
          <w:rFonts w:ascii="Arial" w:eastAsia="Arial" w:hAnsi="Arial" w:cs="Arial"/>
        </w:rPr>
        <w:t>v</w:t>
      </w:r>
      <w:r w:rsidRPr="5848DE21">
        <w:rPr>
          <w:rFonts w:ascii="Arial" w:eastAsia="Arial" w:hAnsi="Arial" w:cs="Arial"/>
        </w:rPr>
        <w:t>analinn 14%) ja Kalamaja 13% Tallinna kuulutustest;</w:t>
      </w:r>
    </w:p>
    <w:p w14:paraId="449BD3D4" w14:textId="640303AC" w:rsidR="00D40A04" w:rsidRPr="00E14EBC" w:rsidRDefault="18C9F0B4" w:rsidP="00A50359">
      <w:pPr>
        <w:numPr>
          <w:ilvl w:val="0"/>
          <w:numId w:val="3"/>
        </w:numPr>
        <w:spacing w:before="0" w:after="0"/>
        <w:jc w:val="both"/>
        <w:rPr>
          <w:rFonts w:ascii="Arial" w:eastAsia="Arial" w:hAnsi="Arial" w:cs="Arial"/>
          <w:szCs w:val="24"/>
        </w:rPr>
      </w:pPr>
      <w:r w:rsidRPr="00E14EBC">
        <w:rPr>
          <w:rFonts w:ascii="Arial" w:eastAsia="Arial" w:hAnsi="Arial" w:cs="Arial"/>
          <w:szCs w:val="24"/>
        </w:rPr>
        <w:t>kogu eluase üüritakse välja 91% juhtudest;</w:t>
      </w:r>
    </w:p>
    <w:p w14:paraId="221CD0F0" w14:textId="21B9AA43" w:rsidR="00D40A04" w:rsidRPr="00E14EBC" w:rsidRDefault="18C9F0B4" w:rsidP="00A50359">
      <w:pPr>
        <w:pStyle w:val="ListParagraph"/>
        <w:numPr>
          <w:ilvl w:val="0"/>
          <w:numId w:val="3"/>
        </w:numPr>
        <w:spacing w:before="0" w:after="0"/>
        <w:jc w:val="both"/>
        <w:rPr>
          <w:rFonts w:ascii="Arial" w:eastAsia="Arial" w:hAnsi="Arial" w:cs="Arial"/>
          <w:szCs w:val="24"/>
        </w:rPr>
      </w:pPr>
      <w:r w:rsidRPr="00E14EBC">
        <w:rPr>
          <w:rFonts w:ascii="Arial" w:eastAsia="Arial" w:hAnsi="Arial" w:cs="Arial"/>
        </w:rPr>
        <w:t>majutuskohtadest ¾ on ühe magamistoaga, 1/5 kahe magamistoaga;</w:t>
      </w:r>
    </w:p>
    <w:p w14:paraId="3904708B" w14:textId="76E022CE" w:rsidR="00D40A04" w:rsidRPr="00E14EBC" w:rsidRDefault="529B60BD" w:rsidP="00A50359">
      <w:pPr>
        <w:pStyle w:val="ListParagraph"/>
        <w:numPr>
          <w:ilvl w:val="0"/>
          <w:numId w:val="3"/>
        </w:numPr>
        <w:spacing w:before="0" w:after="0"/>
        <w:jc w:val="both"/>
        <w:rPr>
          <w:rFonts w:ascii="Arial" w:eastAsia="Arial" w:hAnsi="Arial" w:cs="Arial"/>
        </w:rPr>
      </w:pPr>
      <w:r w:rsidRPr="5848DE21">
        <w:rPr>
          <w:rFonts w:ascii="Arial" w:eastAsia="Arial" w:hAnsi="Arial" w:cs="Arial"/>
        </w:rPr>
        <w:t>keskmises majutuskoha kuulutuses</w:t>
      </w:r>
      <w:r w:rsidR="024788D3" w:rsidRPr="5848DE21">
        <w:rPr>
          <w:rFonts w:ascii="Arial" w:eastAsia="Arial" w:hAnsi="Arial" w:cs="Arial"/>
        </w:rPr>
        <w:t xml:space="preserve"> oli</w:t>
      </w:r>
      <w:r w:rsidRPr="5848DE21">
        <w:rPr>
          <w:rFonts w:ascii="Arial" w:eastAsia="Arial" w:hAnsi="Arial" w:cs="Arial"/>
        </w:rPr>
        <w:t xml:space="preserve"> 1,4 magamistuba, maksimaalne külaliste arv 3,5;</w:t>
      </w:r>
    </w:p>
    <w:p w14:paraId="77406519" w14:textId="089D6534" w:rsidR="00D40A04" w:rsidRPr="00E14EBC" w:rsidRDefault="527547CC" w:rsidP="64F64B3A">
      <w:pPr>
        <w:pStyle w:val="ListParagraph"/>
        <w:numPr>
          <w:ilvl w:val="0"/>
          <w:numId w:val="3"/>
        </w:numPr>
        <w:spacing w:before="0" w:after="0"/>
        <w:jc w:val="both"/>
        <w:rPr>
          <w:rFonts w:ascii="Arial" w:eastAsia="Arial" w:hAnsi="Arial" w:cs="Arial"/>
        </w:rPr>
      </w:pPr>
      <w:r w:rsidRPr="64F64B3A">
        <w:rPr>
          <w:rFonts w:ascii="Arial" w:eastAsia="Arial" w:hAnsi="Arial" w:cs="Arial"/>
        </w:rPr>
        <w:t>kolm suuremat operaatorit/haldajat moodustavad 12% kogu pakkumiste turust;</w:t>
      </w:r>
    </w:p>
    <w:p w14:paraId="57414678" w14:textId="393B8100" w:rsidR="00D40A04" w:rsidRPr="00A96BA9" w:rsidRDefault="18C9F0B4" w:rsidP="00A96BA9">
      <w:pPr>
        <w:numPr>
          <w:ilvl w:val="0"/>
          <w:numId w:val="3"/>
        </w:numPr>
        <w:spacing w:before="0" w:after="0"/>
        <w:jc w:val="both"/>
        <w:rPr>
          <w:rFonts w:ascii="Arial" w:eastAsia="Arial" w:hAnsi="Arial" w:cs="Arial"/>
          <w:szCs w:val="24"/>
        </w:rPr>
      </w:pPr>
      <w:r w:rsidRPr="00E14EBC">
        <w:rPr>
          <w:rFonts w:ascii="Arial" w:eastAsia="Arial" w:hAnsi="Arial" w:cs="Arial"/>
          <w:szCs w:val="24"/>
        </w:rPr>
        <w:t xml:space="preserve">keskmine müügitulu majutuskoha kohta aastas 13 300 – 15 600 </w:t>
      </w:r>
      <w:r w:rsidR="00A96BA9">
        <w:rPr>
          <w:rFonts w:ascii="Arial" w:eastAsia="Arial" w:hAnsi="Arial" w:cs="Arial"/>
          <w:szCs w:val="24"/>
        </w:rPr>
        <w:t>eurot</w:t>
      </w:r>
      <w:r w:rsidRPr="00E14EBC">
        <w:rPr>
          <w:rFonts w:ascii="Arial" w:eastAsia="Arial" w:hAnsi="Arial" w:cs="Arial"/>
          <w:szCs w:val="24"/>
        </w:rPr>
        <w:t xml:space="preserve">; keskmine aastane müügitulu Kesklinnas (v.a </w:t>
      </w:r>
      <w:r w:rsidR="008A4ED2">
        <w:rPr>
          <w:rFonts w:ascii="Arial" w:eastAsia="Arial" w:hAnsi="Arial" w:cs="Arial"/>
          <w:szCs w:val="24"/>
        </w:rPr>
        <w:t>v</w:t>
      </w:r>
      <w:r w:rsidRPr="00E14EBC">
        <w:rPr>
          <w:rFonts w:ascii="Arial" w:eastAsia="Arial" w:hAnsi="Arial" w:cs="Arial"/>
          <w:szCs w:val="24"/>
        </w:rPr>
        <w:t xml:space="preserve">analinn) 15 575 </w:t>
      </w:r>
      <w:r w:rsidR="00A96BA9">
        <w:rPr>
          <w:rFonts w:ascii="Arial" w:eastAsia="Arial" w:hAnsi="Arial" w:cs="Arial"/>
          <w:szCs w:val="24"/>
        </w:rPr>
        <w:t>eurot</w:t>
      </w:r>
      <w:r w:rsidRPr="00A96BA9">
        <w:rPr>
          <w:rFonts w:ascii="Arial" w:eastAsia="Arial" w:hAnsi="Arial" w:cs="Arial"/>
          <w:szCs w:val="24"/>
        </w:rPr>
        <w:t xml:space="preserve">, </w:t>
      </w:r>
      <w:r w:rsidR="008A4ED2" w:rsidRPr="00A96BA9">
        <w:rPr>
          <w:rFonts w:ascii="Arial" w:eastAsia="Arial" w:hAnsi="Arial" w:cs="Arial"/>
          <w:szCs w:val="24"/>
        </w:rPr>
        <w:t>v</w:t>
      </w:r>
      <w:r w:rsidRPr="00A96BA9">
        <w:rPr>
          <w:rFonts w:ascii="Arial" w:eastAsia="Arial" w:hAnsi="Arial" w:cs="Arial"/>
          <w:szCs w:val="24"/>
        </w:rPr>
        <w:t xml:space="preserve">analinnas 20 200 </w:t>
      </w:r>
      <w:r w:rsidR="00A96BA9">
        <w:rPr>
          <w:rFonts w:ascii="Arial" w:eastAsia="Arial" w:hAnsi="Arial" w:cs="Arial"/>
          <w:szCs w:val="24"/>
        </w:rPr>
        <w:t>eurot</w:t>
      </w:r>
      <w:r w:rsidRPr="00A96BA9">
        <w:rPr>
          <w:rFonts w:ascii="Arial" w:eastAsia="Arial" w:hAnsi="Arial" w:cs="Arial"/>
          <w:szCs w:val="24"/>
        </w:rPr>
        <w:t>;</w:t>
      </w:r>
      <w:r w:rsidRPr="00A96BA9">
        <w:rPr>
          <w:rFonts w:ascii="Arial" w:eastAsia="Arial" w:hAnsi="Arial" w:cs="Arial"/>
        </w:rPr>
        <w:t xml:space="preserve"> </w:t>
      </w:r>
    </w:p>
    <w:p w14:paraId="2B780D04" w14:textId="2626CD02" w:rsidR="00D40A04" w:rsidRPr="00E14EBC" w:rsidRDefault="529B60BD" w:rsidP="00A50359">
      <w:pPr>
        <w:pStyle w:val="ListParagraph"/>
        <w:numPr>
          <w:ilvl w:val="0"/>
          <w:numId w:val="3"/>
        </w:numPr>
        <w:spacing w:before="0" w:after="120"/>
        <w:jc w:val="both"/>
        <w:rPr>
          <w:rFonts w:ascii="Arial" w:eastAsia="Arial" w:hAnsi="Arial" w:cs="Arial"/>
        </w:rPr>
      </w:pPr>
      <w:r w:rsidRPr="1688D34F">
        <w:rPr>
          <w:rFonts w:ascii="Arial" w:eastAsia="Arial" w:hAnsi="Arial" w:cs="Arial"/>
        </w:rPr>
        <w:t xml:space="preserve">keskmine </w:t>
      </w:r>
      <w:r w:rsidR="09FB4A8F" w:rsidRPr="1688D34F">
        <w:rPr>
          <w:rFonts w:ascii="Arial" w:eastAsia="Arial" w:hAnsi="Arial" w:cs="Arial"/>
        </w:rPr>
        <w:t>müügitulu</w:t>
      </w:r>
      <w:r w:rsidRPr="1688D34F">
        <w:rPr>
          <w:rFonts w:ascii="Arial" w:eastAsia="Arial" w:hAnsi="Arial" w:cs="Arial"/>
        </w:rPr>
        <w:t xml:space="preserve"> juulis </w:t>
      </w:r>
      <w:r w:rsidR="00CB1D92" w:rsidRPr="1688D34F">
        <w:rPr>
          <w:rFonts w:ascii="Arial" w:eastAsia="Arial" w:hAnsi="Arial" w:cs="Arial"/>
        </w:rPr>
        <w:t xml:space="preserve">on </w:t>
      </w:r>
      <w:r w:rsidRPr="1688D34F">
        <w:rPr>
          <w:rFonts w:ascii="Arial" w:eastAsia="Arial" w:hAnsi="Arial" w:cs="Arial"/>
        </w:rPr>
        <w:t xml:space="preserve">1600 </w:t>
      </w:r>
      <w:r w:rsidR="0000613F">
        <w:rPr>
          <w:rFonts w:ascii="Arial" w:eastAsia="Arial" w:hAnsi="Arial" w:cs="Arial"/>
        </w:rPr>
        <w:t>eurot</w:t>
      </w:r>
      <w:r w:rsidR="005D1A31" w:rsidRPr="1688D34F">
        <w:rPr>
          <w:rFonts w:ascii="Arial" w:eastAsia="Arial" w:hAnsi="Arial" w:cs="Arial"/>
        </w:rPr>
        <w:t>,</w:t>
      </w:r>
      <w:r w:rsidR="53147728" w:rsidRPr="1688D34F">
        <w:rPr>
          <w:rFonts w:ascii="Arial" w:eastAsia="Arial" w:hAnsi="Arial" w:cs="Arial"/>
        </w:rPr>
        <w:t xml:space="preserve"> </w:t>
      </w:r>
      <w:r w:rsidRPr="1688D34F">
        <w:rPr>
          <w:rFonts w:ascii="Arial" w:eastAsia="Arial" w:hAnsi="Arial" w:cs="Arial"/>
        </w:rPr>
        <w:t xml:space="preserve">oktoobris, novembris, jaanuaris, veebruaris ja märtsis jääb tulu suurusjärku 1000 </w:t>
      </w:r>
      <w:r w:rsidR="0000613F">
        <w:rPr>
          <w:rFonts w:ascii="Arial" w:eastAsia="Arial" w:hAnsi="Arial" w:cs="Arial"/>
        </w:rPr>
        <w:t>eurot</w:t>
      </w:r>
      <w:r w:rsidR="002F5AF8">
        <w:rPr>
          <w:rFonts w:ascii="Arial" w:eastAsia="Arial" w:hAnsi="Arial" w:cs="Arial"/>
        </w:rPr>
        <w:t xml:space="preserve"> </w:t>
      </w:r>
      <w:r w:rsidRPr="1688D34F">
        <w:rPr>
          <w:rFonts w:ascii="Arial" w:eastAsia="Arial" w:hAnsi="Arial" w:cs="Arial"/>
        </w:rPr>
        <w:t>k</w:t>
      </w:r>
      <w:r w:rsidR="002F5AF8">
        <w:rPr>
          <w:rFonts w:ascii="Arial" w:eastAsia="Arial" w:hAnsi="Arial" w:cs="Arial"/>
        </w:rPr>
        <w:t>uus</w:t>
      </w:r>
      <w:r w:rsidR="003C6F9D" w:rsidRPr="1688D34F">
        <w:rPr>
          <w:rFonts w:ascii="Arial" w:eastAsia="Arial" w:hAnsi="Arial" w:cs="Arial"/>
        </w:rPr>
        <w:t>;</w:t>
      </w:r>
      <w:r w:rsidRPr="1688D34F">
        <w:rPr>
          <w:rFonts w:ascii="Arial" w:eastAsia="Arial" w:hAnsi="Arial" w:cs="Arial"/>
        </w:rPr>
        <w:t xml:space="preserve"> </w:t>
      </w:r>
      <w:r w:rsidR="003C6F9D" w:rsidRPr="1688D34F">
        <w:rPr>
          <w:rFonts w:ascii="Arial" w:eastAsia="Arial" w:hAnsi="Arial" w:cs="Arial"/>
        </w:rPr>
        <w:t>k</w:t>
      </w:r>
      <w:r w:rsidR="00043E78" w:rsidRPr="1688D34F">
        <w:rPr>
          <w:rFonts w:ascii="Arial" w:eastAsia="Arial" w:hAnsi="Arial" w:cs="Arial"/>
        </w:rPr>
        <w:t xml:space="preserve">ui arvestada ka </w:t>
      </w:r>
      <w:r w:rsidRPr="1688D34F">
        <w:rPr>
          <w:rFonts w:ascii="Arial" w:eastAsia="Arial" w:hAnsi="Arial" w:cs="Arial"/>
        </w:rPr>
        <w:t>kommunaalkulu</w:t>
      </w:r>
      <w:r w:rsidR="0054060E" w:rsidRPr="1688D34F">
        <w:rPr>
          <w:rFonts w:ascii="Arial" w:eastAsia="Arial" w:hAnsi="Arial" w:cs="Arial"/>
        </w:rPr>
        <w:t>si</w:t>
      </w:r>
      <w:r w:rsidRPr="1688D34F">
        <w:rPr>
          <w:rFonts w:ascii="Arial" w:eastAsia="Arial" w:hAnsi="Arial" w:cs="Arial"/>
        </w:rPr>
        <w:t>d</w:t>
      </w:r>
      <w:r w:rsidR="002C7455" w:rsidRPr="1688D34F">
        <w:rPr>
          <w:rFonts w:ascii="Arial" w:eastAsia="Arial" w:hAnsi="Arial" w:cs="Arial"/>
        </w:rPr>
        <w:t>, mis suvekuudel on väiksemad, on tootlikkus</w:t>
      </w:r>
      <w:r w:rsidR="00043E78" w:rsidRPr="1688D34F">
        <w:rPr>
          <w:rFonts w:ascii="Arial" w:eastAsia="Arial" w:hAnsi="Arial" w:cs="Arial"/>
        </w:rPr>
        <w:t>e erinevus</w:t>
      </w:r>
      <w:r w:rsidR="003C6F9D" w:rsidRPr="1688D34F">
        <w:rPr>
          <w:rFonts w:ascii="Arial" w:eastAsia="Arial" w:hAnsi="Arial" w:cs="Arial"/>
        </w:rPr>
        <w:t xml:space="preserve"> erinevatel perioodidel</w:t>
      </w:r>
      <w:r w:rsidR="00043E78" w:rsidRPr="1688D34F">
        <w:rPr>
          <w:rFonts w:ascii="Arial" w:eastAsia="Arial" w:hAnsi="Arial" w:cs="Arial"/>
        </w:rPr>
        <w:t xml:space="preserve"> </w:t>
      </w:r>
      <w:r w:rsidR="003C6F9D" w:rsidRPr="1688D34F">
        <w:rPr>
          <w:rFonts w:ascii="Arial" w:eastAsia="Arial" w:hAnsi="Arial" w:cs="Arial"/>
        </w:rPr>
        <w:t>märkimisväärne</w:t>
      </w:r>
      <w:r w:rsidRPr="1688D34F" w:rsidDel="529B60BD">
        <w:rPr>
          <w:rFonts w:ascii="Arial" w:eastAsia="Arial" w:hAnsi="Arial" w:cs="Arial"/>
        </w:rPr>
        <w:t>;</w:t>
      </w:r>
    </w:p>
    <w:p w14:paraId="6B18A477" w14:textId="124668EA" w:rsidR="00D40A04" w:rsidRPr="00E14EBC" w:rsidRDefault="4F2C68D7" w:rsidP="5848DE21">
      <w:pPr>
        <w:pStyle w:val="ListParagraph"/>
        <w:numPr>
          <w:ilvl w:val="0"/>
          <w:numId w:val="3"/>
        </w:numPr>
        <w:spacing w:before="0" w:after="0"/>
        <w:jc w:val="both"/>
        <w:rPr>
          <w:rFonts w:ascii="Arial" w:eastAsia="Arial" w:hAnsi="Arial" w:cs="Arial"/>
        </w:rPr>
      </w:pPr>
      <w:r w:rsidRPr="1688D34F">
        <w:rPr>
          <w:rFonts w:ascii="Arial" w:eastAsia="Arial" w:hAnsi="Arial" w:cs="Arial"/>
        </w:rPr>
        <w:t xml:space="preserve">keskmine päevahind 80–90 </w:t>
      </w:r>
      <w:r w:rsidR="00A96BA9">
        <w:rPr>
          <w:rFonts w:ascii="Arial" w:eastAsia="Arial" w:hAnsi="Arial" w:cs="Arial"/>
        </w:rPr>
        <w:t>eurot</w:t>
      </w:r>
      <w:r w:rsidRPr="1688D34F">
        <w:rPr>
          <w:rFonts w:ascii="Arial" w:eastAsia="Arial" w:hAnsi="Arial" w:cs="Arial"/>
        </w:rPr>
        <w:t xml:space="preserve">; </w:t>
      </w:r>
      <w:r w:rsidR="00C46DED" w:rsidRPr="1688D34F">
        <w:rPr>
          <w:rFonts w:ascii="Arial" w:eastAsia="Arial" w:hAnsi="Arial" w:cs="Arial"/>
        </w:rPr>
        <w:t>tulu</w:t>
      </w:r>
      <w:r w:rsidRPr="1688D34F">
        <w:rPr>
          <w:rFonts w:ascii="Arial" w:eastAsia="Arial" w:hAnsi="Arial" w:cs="Arial"/>
        </w:rPr>
        <w:t xml:space="preserve"> saadaoleva majutuskoha kohta </w:t>
      </w:r>
      <w:r w:rsidR="17E4D63A" w:rsidRPr="17E4D63A">
        <w:rPr>
          <w:rFonts w:ascii="Arial" w:eastAsia="Arial" w:hAnsi="Arial" w:cs="Arial"/>
        </w:rPr>
        <w:t xml:space="preserve">päevas </w:t>
      </w:r>
      <w:r w:rsidRPr="1688D34F">
        <w:rPr>
          <w:rFonts w:ascii="Arial" w:eastAsia="Arial" w:hAnsi="Arial" w:cs="Arial"/>
        </w:rPr>
        <w:t xml:space="preserve">43–49 </w:t>
      </w:r>
      <w:r w:rsidR="00A96BA9">
        <w:rPr>
          <w:rFonts w:ascii="Arial" w:eastAsia="Arial" w:hAnsi="Arial" w:cs="Arial"/>
        </w:rPr>
        <w:t>eurot</w:t>
      </w:r>
      <w:r w:rsidRPr="1688D34F">
        <w:rPr>
          <w:rFonts w:ascii="Arial" w:eastAsia="Arial" w:hAnsi="Arial" w:cs="Arial"/>
        </w:rPr>
        <w:t>; nädalavahetuse (R-L) hinnad on 15–25% kõrgemad kui muudel nädalapäevadel;</w:t>
      </w:r>
    </w:p>
    <w:p w14:paraId="427C86ED" w14:textId="1E03601F" w:rsidR="00D40A04" w:rsidRPr="00E14EBC" w:rsidRDefault="18C9F0B4" w:rsidP="00A50359">
      <w:pPr>
        <w:numPr>
          <w:ilvl w:val="0"/>
          <w:numId w:val="3"/>
        </w:numPr>
        <w:spacing w:before="0" w:after="0"/>
        <w:jc w:val="both"/>
        <w:rPr>
          <w:rFonts w:ascii="Arial" w:eastAsia="Arial" w:hAnsi="Arial" w:cs="Arial"/>
          <w:szCs w:val="24"/>
        </w:rPr>
      </w:pPr>
      <w:r w:rsidRPr="00E14EBC">
        <w:rPr>
          <w:rFonts w:ascii="Arial" w:eastAsia="Arial" w:hAnsi="Arial" w:cs="Arial"/>
          <w:szCs w:val="24"/>
        </w:rPr>
        <w:t>keskmine majutuse kestus 3 päeva; majutuskohtade täitumus 47–55%;</w:t>
      </w:r>
    </w:p>
    <w:p w14:paraId="5A045A13" w14:textId="69D9E868" w:rsidR="00980D0F" w:rsidRPr="00E14EBC" w:rsidRDefault="4EDD54EB" w:rsidP="00A50359">
      <w:pPr>
        <w:pStyle w:val="ListParagraph"/>
        <w:numPr>
          <w:ilvl w:val="0"/>
          <w:numId w:val="3"/>
        </w:numPr>
        <w:spacing w:before="0" w:after="0"/>
        <w:jc w:val="both"/>
        <w:rPr>
          <w:rFonts w:ascii="Arial" w:eastAsia="Arial" w:hAnsi="Arial" w:cs="Arial"/>
        </w:rPr>
      </w:pPr>
      <w:r w:rsidRPr="00E14EBC">
        <w:rPr>
          <w:rFonts w:ascii="Arial" w:eastAsia="Arial" w:hAnsi="Arial" w:cs="Arial"/>
        </w:rPr>
        <w:t>majutuskohtadest 30–40% on saadaval alla 3 kuu aastas, veidi üle 20% on saadaval 3–6 kuud, üle poole aasta on saadaval 38–46% Tallinna majutuskohtadest;</w:t>
      </w:r>
    </w:p>
    <w:p w14:paraId="0FD11BEA" w14:textId="362A5F26" w:rsidR="00D40A04" w:rsidRPr="00980D0F" w:rsidRDefault="72E47210" w:rsidP="00BE179D">
      <w:pPr>
        <w:pStyle w:val="ListParagraph"/>
        <w:numPr>
          <w:ilvl w:val="0"/>
          <w:numId w:val="3"/>
        </w:numPr>
        <w:spacing w:before="0" w:after="0"/>
        <w:jc w:val="both"/>
        <w:rPr>
          <w:rFonts w:ascii="Arial" w:eastAsia="Arial" w:hAnsi="Arial" w:cs="Arial"/>
        </w:rPr>
      </w:pPr>
      <w:r w:rsidRPr="00980D0F">
        <w:rPr>
          <w:rFonts w:ascii="Arial" w:eastAsia="Arial" w:hAnsi="Arial" w:cs="Arial"/>
        </w:rPr>
        <w:t xml:space="preserve">lühiajalise üüri turu majutuskohtade ja majutusettevõtete hinnad (nii ADR kui RevPAR) on liikunud 2020–2023 praktiliselt samas taktis (vt Lisa 5, Joonis </w:t>
      </w:r>
      <w:r w:rsidR="002772E7" w:rsidRPr="00980D0F">
        <w:rPr>
          <w:rFonts w:ascii="Arial" w:eastAsia="Arial" w:hAnsi="Arial" w:cs="Arial"/>
        </w:rPr>
        <w:t>7</w:t>
      </w:r>
      <w:r w:rsidRPr="00980D0F">
        <w:rPr>
          <w:rFonts w:ascii="Arial" w:eastAsia="Arial" w:hAnsi="Arial" w:cs="Arial"/>
        </w:rPr>
        <w:t xml:space="preserve"> ja </w:t>
      </w:r>
      <w:r w:rsidR="002772E7" w:rsidRPr="00980D0F">
        <w:rPr>
          <w:rFonts w:ascii="Arial" w:eastAsia="Arial" w:hAnsi="Arial" w:cs="Arial"/>
        </w:rPr>
        <w:t>8</w:t>
      </w:r>
      <w:r w:rsidRPr="00980D0F">
        <w:rPr>
          <w:rFonts w:ascii="Arial" w:eastAsia="Arial" w:hAnsi="Arial" w:cs="Arial"/>
        </w:rPr>
        <w:t>). Lühiajalise üüri teenuste hinnad liikusid enamasti pisut kõrgemal tasemel.</w:t>
      </w:r>
    </w:p>
    <w:p w14:paraId="3390367E" w14:textId="62A5CB92" w:rsidR="00D40A04" w:rsidRPr="00E14EBC" w:rsidRDefault="06A8EC58" w:rsidP="00BE179D">
      <w:pPr>
        <w:spacing w:after="0"/>
        <w:jc w:val="both"/>
        <w:rPr>
          <w:rFonts w:eastAsia="Aptos"/>
        </w:rPr>
      </w:pPr>
      <w:r w:rsidRPr="5848DE21">
        <w:rPr>
          <w:rStyle w:val="PurpleText"/>
          <w:color w:val="auto"/>
        </w:rPr>
        <w:t>Professionaalse andmekraape (D</w:t>
      </w:r>
      <w:r w:rsidRPr="5848DE21">
        <w:rPr>
          <w:rFonts w:eastAsia="Aptos"/>
        </w:rPr>
        <w:t>oorbll avaandmed) töötlemise tulemusena tuvastasi</w:t>
      </w:r>
      <w:r w:rsidR="003C6B54">
        <w:rPr>
          <w:rFonts w:eastAsia="Aptos"/>
        </w:rPr>
        <w:t>me</w:t>
      </w:r>
      <w:r w:rsidRPr="5848DE21">
        <w:rPr>
          <w:rFonts w:eastAsia="Aptos"/>
        </w:rPr>
        <w:t xml:space="preserve"> </w:t>
      </w:r>
      <w:r w:rsidRPr="5848DE21">
        <w:rPr>
          <w:rFonts w:eastAsia="Aptos"/>
          <w:b/>
          <w:bCs/>
        </w:rPr>
        <w:t>Tallinnas 2025.</w:t>
      </w:r>
      <w:r w:rsidR="0965A180" w:rsidRPr="5848DE21">
        <w:rPr>
          <w:rFonts w:eastAsia="Aptos"/>
          <w:b/>
          <w:bCs/>
        </w:rPr>
        <w:t xml:space="preserve"> </w:t>
      </w:r>
      <w:r w:rsidRPr="5848DE21">
        <w:rPr>
          <w:rFonts w:eastAsia="Aptos"/>
          <w:b/>
          <w:bCs/>
        </w:rPr>
        <w:t>a</w:t>
      </w:r>
      <w:r w:rsidR="2D64B5E0" w:rsidRPr="5848DE21">
        <w:rPr>
          <w:rFonts w:eastAsia="Aptos"/>
          <w:b/>
          <w:bCs/>
        </w:rPr>
        <w:t>asta</w:t>
      </w:r>
      <w:r w:rsidRPr="5848DE21">
        <w:rPr>
          <w:rFonts w:eastAsia="Aptos"/>
          <w:b/>
          <w:bCs/>
        </w:rPr>
        <w:t xml:space="preserve"> kevad</w:t>
      </w:r>
      <w:r w:rsidR="3067553E" w:rsidRPr="5848DE21">
        <w:rPr>
          <w:rFonts w:eastAsia="Aptos"/>
          <w:b/>
          <w:bCs/>
        </w:rPr>
        <w:t>suvel</w:t>
      </w:r>
      <w:r w:rsidRPr="5848DE21">
        <w:rPr>
          <w:rFonts w:eastAsia="Aptos"/>
          <w:b/>
          <w:bCs/>
        </w:rPr>
        <w:t xml:space="preserve"> kokku 2730 majutuskohta</w:t>
      </w:r>
      <w:r w:rsidRPr="5848DE21">
        <w:rPr>
          <w:rFonts w:eastAsia="Aptos"/>
        </w:rPr>
        <w:t>.</w:t>
      </w:r>
      <w:r w:rsidR="008F05CD">
        <w:rPr>
          <w:rFonts w:eastAsia="Aptos"/>
        </w:rPr>
        <w:t xml:space="preserve"> </w:t>
      </w:r>
      <w:r w:rsidR="5D929238" w:rsidRPr="00E14EBC">
        <w:rPr>
          <w:rFonts w:eastAsia="Aptos"/>
        </w:rPr>
        <w:t xml:space="preserve">Maksimaalne lühiajalise üüri külaliste arv Tallinnas kolmel platvormil oli 10 294. </w:t>
      </w:r>
    </w:p>
    <w:p w14:paraId="0B273F7C" w14:textId="6FDDAE1D" w:rsidR="005C6F14" w:rsidRPr="00E14EBC" w:rsidRDefault="06A8EC58" w:rsidP="005C6F14">
      <w:pPr>
        <w:spacing w:before="0" w:after="0"/>
        <w:jc w:val="both"/>
        <w:rPr>
          <w:rFonts w:eastAsia="Aptos"/>
        </w:rPr>
      </w:pPr>
      <w:r w:rsidRPr="5848DE21">
        <w:rPr>
          <w:rFonts w:eastAsia="Aptos"/>
        </w:rPr>
        <w:lastRenderedPageBreak/>
        <w:t>Võrdluseks: Tallinna 113 registreeritud majutusettevõtetes oli 2025.</w:t>
      </w:r>
      <w:r w:rsidR="37CAB5CB" w:rsidRPr="5848DE21">
        <w:rPr>
          <w:rFonts w:eastAsia="Aptos"/>
        </w:rPr>
        <w:t xml:space="preserve"> </w:t>
      </w:r>
      <w:r w:rsidRPr="5848DE21">
        <w:rPr>
          <w:rFonts w:eastAsia="Aptos"/>
        </w:rPr>
        <w:t>a</w:t>
      </w:r>
      <w:r w:rsidR="68E00935" w:rsidRPr="5848DE21">
        <w:rPr>
          <w:rFonts w:eastAsia="Aptos"/>
        </w:rPr>
        <w:t>asta</w:t>
      </w:r>
      <w:r w:rsidRPr="5848DE21">
        <w:rPr>
          <w:rFonts w:eastAsia="Aptos"/>
        </w:rPr>
        <w:t xml:space="preserve"> aprillis 20 390 voodikohta.</w:t>
      </w:r>
      <w:r w:rsidR="005C6F14" w:rsidRPr="005C6F14">
        <w:rPr>
          <w:rFonts w:eastAsia="Aptos"/>
        </w:rPr>
        <w:t xml:space="preserve"> </w:t>
      </w:r>
      <w:r w:rsidR="005C6F14" w:rsidRPr="00E14EBC">
        <w:rPr>
          <w:rFonts w:eastAsia="Aptos"/>
        </w:rPr>
        <w:t xml:space="preserve">MTA platvormidelt kogutud andmed näitavad, et </w:t>
      </w:r>
      <w:r w:rsidR="005C6F14" w:rsidRPr="00E14EBC">
        <w:rPr>
          <w:rFonts w:eastAsia="Aptos"/>
          <w:b/>
          <w:bCs/>
        </w:rPr>
        <w:t xml:space="preserve">2023. aastal oli majanduslikult aktiivseid (vähemalt üks üüritehing) </w:t>
      </w:r>
      <w:r w:rsidR="00290730">
        <w:rPr>
          <w:rFonts w:eastAsia="Aptos"/>
          <w:b/>
          <w:bCs/>
        </w:rPr>
        <w:t xml:space="preserve">lühiajalise üüri </w:t>
      </w:r>
      <w:r w:rsidR="005C6F14" w:rsidRPr="00E14EBC">
        <w:rPr>
          <w:rFonts w:eastAsia="Aptos"/>
          <w:b/>
          <w:bCs/>
        </w:rPr>
        <w:t>majutuskohti Tallinnas 2517</w:t>
      </w:r>
      <w:r w:rsidR="005C6F14">
        <w:rPr>
          <w:rFonts w:eastAsia="Aptos"/>
        </w:rPr>
        <w:t>,</w:t>
      </w:r>
      <w:r w:rsidR="00492EF8" w:rsidRPr="00492EF8">
        <w:rPr>
          <w:rFonts w:eastAsia="Aptos"/>
        </w:rPr>
        <w:t xml:space="preserve"> </w:t>
      </w:r>
      <w:r w:rsidR="00492EF8">
        <w:rPr>
          <w:rFonts w:eastAsia="Aptos"/>
        </w:rPr>
        <w:t xml:space="preserve">mis jääb </w:t>
      </w:r>
      <w:r w:rsidR="00290730">
        <w:rPr>
          <w:rFonts w:eastAsia="Aptos"/>
        </w:rPr>
        <w:t xml:space="preserve">andmekraape põhiste tulemustega samasse suurusjärku. </w:t>
      </w:r>
    </w:p>
    <w:p w14:paraId="5B2054CA" w14:textId="3D631E88" w:rsidR="00D40A04" w:rsidRPr="00B900EA" w:rsidRDefault="72E47210" w:rsidP="00B900EA">
      <w:pPr>
        <w:jc w:val="both"/>
        <w:rPr>
          <w:rFonts w:eastAsia="Aptos"/>
        </w:rPr>
      </w:pPr>
      <w:r w:rsidRPr="1688D34F">
        <w:rPr>
          <w:rFonts w:eastAsia="Aptos"/>
        </w:rPr>
        <w:t>Tallinna majutusettevõtete tubade täitumus oli</w:t>
      </w:r>
      <w:r w:rsidR="00817A75" w:rsidRPr="1688D34F">
        <w:rPr>
          <w:rFonts w:eastAsia="Aptos"/>
        </w:rPr>
        <w:t xml:space="preserve"> SA </w:t>
      </w:r>
      <w:r w:rsidRPr="1688D34F">
        <w:rPr>
          <w:rFonts w:eastAsia="Aptos"/>
        </w:rPr>
        <w:t xml:space="preserve">majutusstatistika andmeil 2023. aastal 61% ja </w:t>
      </w:r>
      <w:r w:rsidR="00715FA4" w:rsidRPr="1688D34F">
        <w:rPr>
          <w:rFonts w:eastAsia="Aptos"/>
        </w:rPr>
        <w:t>ööpäeva maksumus ühe inimese kohta</w:t>
      </w:r>
      <w:r w:rsidRPr="1688D34F">
        <w:rPr>
          <w:rFonts w:eastAsia="Aptos"/>
        </w:rPr>
        <w:t xml:space="preserve"> keskmiselt 51 </w:t>
      </w:r>
      <w:r w:rsidR="00A96BA9">
        <w:rPr>
          <w:rFonts w:eastAsia="Aptos"/>
        </w:rPr>
        <w:t>eurot</w:t>
      </w:r>
      <w:r w:rsidRPr="1688D34F">
        <w:rPr>
          <w:rFonts w:eastAsia="Aptos"/>
        </w:rPr>
        <w:t xml:space="preserve"> (2023). Lühiajalise üüri majutuskohtade keskmine täitumus Tallinnas oli 2023/2024 eri hinnanguil 47–55 protsenti ja ADR 84–90 </w:t>
      </w:r>
      <w:r w:rsidR="00A96BA9">
        <w:rPr>
          <w:rFonts w:eastAsia="Aptos"/>
        </w:rPr>
        <w:t>eurot</w:t>
      </w:r>
      <w:r w:rsidRPr="1688D34F">
        <w:rPr>
          <w:rFonts w:eastAsia="Aptos"/>
        </w:rPr>
        <w:t xml:space="preserve"> (MTA andmetele tuginedes </w:t>
      </w:r>
      <w:r w:rsidR="5A6C717C" w:rsidRPr="5A6C717C">
        <w:rPr>
          <w:rFonts w:eastAsia="Aptos"/>
        </w:rPr>
        <w:t>87</w:t>
      </w:r>
      <w:r w:rsidRPr="1688D34F">
        <w:rPr>
          <w:rFonts w:eastAsia="Aptos"/>
        </w:rPr>
        <w:t xml:space="preserve"> </w:t>
      </w:r>
      <w:r w:rsidR="00A96BA9">
        <w:rPr>
          <w:rFonts w:eastAsia="Aptos"/>
        </w:rPr>
        <w:t>eurot</w:t>
      </w:r>
      <w:r w:rsidRPr="1688D34F">
        <w:rPr>
          <w:rFonts w:eastAsia="Aptos"/>
        </w:rPr>
        <w:t>), seega ületavad lühiajalise üüri majutuskohtade päevahinnad majutusettevõtete omi tuntavalt</w:t>
      </w:r>
      <w:r w:rsidR="00B76F2E" w:rsidRPr="1688D34F">
        <w:rPr>
          <w:rFonts w:eastAsia="Aptos"/>
        </w:rPr>
        <w:t>.</w:t>
      </w:r>
      <w:r w:rsidRPr="1688D34F">
        <w:rPr>
          <w:rFonts w:eastAsia="Aptos"/>
        </w:rPr>
        <w:t xml:space="preserve"> Samas tuleb silmas pidada, et lühiajalise üüri puhul on hind kogu majutusüksuse kohta, </w:t>
      </w:r>
      <w:r w:rsidR="5A6C717C" w:rsidRPr="5A6C717C">
        <w:rPr>
          <w:rFonts w:eastAsia="Aptos"/>
        </w:rPr>
        <w:t xml:space="preserve">viimastes on aga enamasti voodikohtade arv suurem kui hotellitoas, </w:t>
      </w:r>
      <w:r w:rsidRPr="1688D34F">
        <w:rPr>
          <w:rFonts w:eastAsia="Aptos"/>
        </w:rPr>
        <w:t>mis tähendab, et ühe majutatu kohta tuleb lühiajalise üüri teenuse hind enamasti soodsam.</w:t>
      </w:r>
    </w:p>
    <w:p w14:paraId="6DC608A0" w14:textId="7C689B7E" w:rsidR="00ED0E64" w:rsidRPr="00E14EBC" w:rsidRDefault="4E440EBC" w:rsidP="00ED0E64">
      <w:pPr>
        <w:pStyle w:val="MintBlock"/>
      </w:pPr>
      <w:r w:rsidRPr="00E14EBC">
        <w:rPr>
          <w:b/>
          <w:bCs/>
        </w:rPr>
        <w:t>Kõrvutades erinevaid andmeid, ekspertarvamusi ja statistikaid, hinda</w:t>
      </w:r>
      <w:r w:rsidR="00B900EA">
        <w:rPr>
          <w:b/>
          <w:bCs/>
        </w:rPr>
        <w:t xml:space="preserve">me </w:t>
      </w:r>
      <w:r w:rsidRPr="00E14EBC">
        <w:rPr>
          <w:b/>
          <w:bCs/>
        </w:rPr>
        <w:t>Tallinna lühiajalise üüri majutuskohtade koguarvuks 2500-3000</w:t>
      </w:r>
      <w:r w:rsidR="003D45BD">
        <w:rPr>
          <w:b/>
          <w:bCs/>
        </w:rPr>
        <w:t xml:space="preserve"> ja voodikohtade </w:t>
      </w:r>
      <w:r w:rsidR="00BE00F9">
        <w:rPr>
          <w:b/>
          <w:bCs/>
        </w:rPr>
        <w:t>koguarvuks ligikaudu 10</w:t>
      </w:r>
      <w:r w:rsidR="00102E79">
        <w:rPr>
          <w:b/>
          <w:bCs/>
        </w:rPr>
        <w:t xml:space="preserve"> </w:t>
      </w:r>
      <w:r w:rsidR="00BE00F9">
        <w:rPr>
          <w:b/>
          <w:bCs/>
        </w:rPr>
        <w:t>300</w:t>
      </w:r>
      <w:r w:rsidRPr="00E14EBC">
        <w:t xml:space="preserve">, neist veidi üle poole on saadaval vaid (suve)hooajal. </w:t>
      </w:r>
    </w:p>
    <w:p w14:paraId="2729F48F" w14:textId="628A2799" w:rsidR="00ED0E64" w:rsidRPr="00B900EA" w:rsidRDefault="18C9F0B4" w:rsidP="00B900EA">
      <w:pPr>
        <w:rPr>
          <w:rStyle w:val="PurpleText"/>
        </w:rPr>
      </w:pPr>
      <w:r w:rsidRPr="00B900EA">
        <w:rPr>
          <w:rStyle w:val="PurpleText"/>
        </w:rPr>
        <w:t>Tartu</w:t>
      </w:r>
    </w:p>
    <w:p w14:paraId="04C7550F" w14:textId="60E2A6BE" w:rsidR="00ED0E64" w:rsidRPr="00E14EBC" w:rsidRDefault="749BA66A" w:rsidP="00514229">
      <w:pPr>
        <w:jc w:val="both"/>
        <w:rPr>
          <w:rFonts w:ascii="Arial" w:eastAsia="Arial" w:hAnsi="Arial" w:cs="Arial"/>
        </w:rPr>
      </w:pPr>
      <w:r w:rsidRPr="5848DE21">
        <w:rPr>
          <w:rFonts w:ascii="Arial" w:eastAsia="Arial" w:hAnsi="Arial" w:cs="Arial"/>
        </w:rPr>
        <w:t xml:space="preserve">Erinevatelt analüütikaettevõtetelt ja ekspertidelt pärinevate andmete põhjal (vt </w:t>
      </w:r>
      <w:r w:rsidR="6F678E61" w:rsidRPr="5848DE21">
        <w:rPr>
          <w:rFonts w:ascii="Arial" w:eastAsia="Arial" w:hAnsi="Arial" w:cs="Arial"/>
        </w:rPr>
        <w:t xml:space="preserve">Lisa 5 </w:t>
      </w:r>
      <w:r w:rsidRPr="5848DE21">
        <w:rPr>
          <w:rFonts w:ascii="Arial" w:eastAsia="Arial" w:hAnsi="Arial" w:cs="Arial"/>
        </w:rPr>
        <w:t xml:space="preserve">Tabel </w:t>
      </w:r>
      <w:r w:rsidR="30A1A908" w:rsidRPr="5848DE21">
        <w:rPr>
          <w:rFonts w:ascii="Arial" w:eastAsia="Arial" w:hAnsi="Arial" w:cs="Arial"/>
        </w:rPr>
        <w:t>25</w:t>
      </w:r>
      <w:r w:rsidRPr="5848DE21">
        <w:rPr>
          <w:rFonts w:ascii="Arial" w:eastAsia="Arial" w:hAnsi="Arial" w:cs="Arial"/>
        </w:rPr>
        <w:t>) o</w:t>
      </w:r>
      <w:r w:rsidR="550815A7" w:rsidRPr="5848DE21">
        <w:rPr>
          <w:rFonts w:ascii="Arial" w:eastAsia="Arial" w:hAnsi="Arial" w:cs="Arial"/>
        </w:rPr>
        <w:t>lid</w:t>
      </w:r>
      <w:r w:rsidRPr="5848DE21">
        <w:rPr>
          <w:rFonts w:ascii="Arial" w:eastAsia="Arial" w:hAnsi="Arial" w:cs="Arial"/>
        </w:rPr>
        <w:t xml:space="preserve"> Tartu lühiajalise üüri teenuse pakkumise peamised näitajad 2023/2024 järgmised:</w:t>
      </w:r>
    </w:p>
    <w:p w14:paraId="7C0CDE67" w14:textId="2475DBA7" w:rsidR="00ED0E64" w:rsidRPr="00E14EBC" w:rsidRDefault="4EDD54EB" w:rsidP="00A50359">
      <w:pPr>
        <w:pStyle w:val="ListParagraph"/>
        <w:numPr>
          <w:ilvl w:val="0"/>
          <w:numId w:val="2"/>
        </w:numPr>
        <w:spacing w:before="0"/>
        <w:jc w:val="both"/>
        <w:rPr>
          <w:rFonts w:ascii="Arial" w:eastAsia="Arial" w:hAnsi="Arial" w:cs="Arial"/>
        </w:rPr>
      </w:pPr>
      <w:r w:rsidRPr="00E14EBC">
        <w:rPr>
          <w:rFonts w:ascii="Arial" w:eastAsia="Arial" w:hAnsi="Arial" w:cs="Arial"/>
        </w:rPr>
        <w:t>kuulutusi kokku u 700–800, neist aktiivseid veidi üle 50%; aktiivsete pakkumiste kasv aastases võrdluses 2023–2024 oli koguni 22% (Tartu oli 2024 Euroopa kultuuripealinn, mis A.</w:t>
      </w:r>
      <w:r w:rsidR="002E2847">
        <w:rPr>
          <w:rFonts w:ascii="Arial" w:eastAsia="Arial" w:hAnsi="Arial" w:cs="Arial"/>
        </w:rPr>
        <w:t xml:space="preserve"> </w:t>
      </w:r>
      <w:r w:rsidRPr="00E14EBC">
        <w:rPr>
          <w:rFonts w:ascii="Arial" w:eastAsia="Arial" w:hAnsi="Arial" w:cs="Arial"/>
        </w:rPr>
        <w:t xml:space="preserve">Liblik’u </w:t>
      </w:r>
      <w:r w:rsidR="6BA17A19" w:rsidRPr="00E14EBC">
        <w:rPr>
          <w:rFonts w:ascii="Arial" w:eastAsia="Arial" w:hAnsi="Arial" w:cs="Arial"/>
        </w:rPr>
        <w:t xml:space="preserve">taskuhäälingus antud </w:t>
      </w:r>
      <w:r w:rsidRPr="00E14EBC">
        <w:rPr>
          <w:rFonts w:ascii="Arial" w:eastAsia="Arial" w:hAnsi="Arial" w:cs="Arial"/>
        </w:rPr>
        <w:t>hinnangul suurendas pakkumist);</w:t>
      </w:r>
    </w:p>
    <w:p w14:paraId="5D4AAA5E" w14:textId="3F96ABC6" w:rsidR="00ED0E64" w:rsidRPr="00E14EBC" w:rsidRDefault="4EDD54EB" w:rsidP="00A50359">
      <w:pPr>
        <w:pStyle w:val="ListParagraph"/>
        <w:numPr>
          <w:ilvl w:val="0"/>
          <w:numId w:val="2"/>
        </w:numPr>
        <w:spacing w:before="0"/>
        <w:jc w:val="both"/>
        <w:rPr>
          <w:rFonts w:ascii="Arial" w:eastAsia="Arial" w:hAnsi="Arial" w:cs="Arial"/>
        </w:rPr>
      </w:pPr>
      <w:r w:rsidRPr="1688D34F">
        <w:rPr>
          <w:rFonts w:ascii="Arial" w:eastAsia="Arial" w:hAnsi="Arial" w:cs="Arial"/>
        </w:rPr>
        <w:t xml:space="preserve">aktiivsete pakkumiste arv on pärast pandeemiat kiiresti kasvanud: aprillis 2021 – 200 pakkumist, suvel 2023 – üle 500, 2024 </w:t>
      </w:r>
      <w:r w:rsidR="701BD83E" w:rsidRPr="701BD83E">
        <w:rPr>
          <w:rFonts w:ascii="Arial" w:eastAsia="Arial" w:hAnsi="Arial" w:cs="Arial"/>
        </w:rPr>
        <w:t>suvel</w:t>
      </w:r>
      <w:r w:rsidRPr="1688D34F">
        <w:rPr>
          <w:rFonts w:ascii="Arial" w:eastAsia="Arial" w:hAnsi="Arial" w:cs="Arial"/>
        </w:rPr>
        <w:t xml:space="preserve"> – üle 600;</w:t>
      </w:r>
    </w:p>
    <w:p w14:paraId="6D11F649" w14:textId="4E5E77E7" w:rsidR="00ED0E64" w:rsidRPr="00E14EBC" w:rsidRDefault="4EDD54EB" w:rsidP="00A50359">
      <w:pPr>
        <w:pStyle w:val="ListParagraph"/>
        <w:numPr>
          <w:ilvl w:val="0"/>
          <w:numId w:val="2"/>
        </w:numPr>
        <w:spacing w:before="0"/>
        <w:jc w:val="both"/>
        <w:rPr>
          <w:rFonts w:ascii="Arial" w:eastAsia="Arial" w:hAnsi="Arial" w:cs="Arial"/>
        </w:rPr>
      </w:pPr>
      <w:r w:rsidRPr="00E14EBC">
        <w:rPr>
          <w:rFonts w:ascii="Arial" w:eastAsia="Arial" w:hAnsi="Arial" w:cs="Arial"/>
        </w:rPr>
        <w:t xml:space="preserve">keskmine müügitulu majutuskoha kohta aastas 8400 – 10 300 </w:t>
      </w:r>
      <w:r w:rsidR="00A96BA9">
        <w:rPr>
          <w:rFonts w:ascii="Arial" w:eastAsia="Arial" w:hAnsi="Arial" w:cs="Arial"/>
        </w:rPr>
        <w:t>eurot</w:t>
      </w:r>
      <w:r w:rsidRPr="00E14EBC">
        <w:rPr>
          <w:rFonts w:ascii="Arial" w:eastAsia="Arial" w:hAnsi="Arial" w:cs="Arial"/>
        </w:rPr>
        <w:t xml:space="preserve">; </w:t>
      </w:r>
    </w:p>
    <w:p w14:paraId="30ED45AE" w14:textId="31A2DE23" w:rsidR="00ED0E64" w:rsidRPr="00E14EBC" w:rsidRDefault="4EDD54EB" w:rsidP="00A50359">
      <w:pPr>
        <w:pStyle w:val="ListParagraph"/>
        <w:numPr>
          <w:ilvl w:val="0"/>
          <w:numId w:val="2"/>
        </w:numPr>
        <w:spacing w:before="0"/>
        <w:jc w:val="both"/>
        <w:rPr>
          <w:rFonts w:ascii="Arial" w:eastAsia="Arial" w:hAnsi="Arial" w:cs="Arial"/>
        </w:rPr>
      </w:pPr>
      <w:r w:rsidRPr="00E14EBC">
        <w:rPr>
          <w:rFonts w:ascii="Arial" w:eastAsia="Arial" w:hAnsi="Arial" w:cs="Arial"/>
        </w:rPr>
        <w:t xml:space="preserve">keskmine aastakäive majadel 12 700 </w:t>
      </w:r>
      <w:r w:rsidR="00A96BA9">
        <w:rPr>
          <w:rFonts w:ascii="Arial" w:eastAsia="Arial" w:hAnsi="Arial" w:cs="Arial"/>
        </w:rPr>
        <w:t>eurot</w:t>
      </w:r>
      <w:r w:rsidRPr="00E14EBC">
        <w:rPr>
          <w:rFonts w:ascii="Arial" w:eastAsia="Arial" w:hAnsi="Arial" w:cs="Arial"/>
        </w:rPr>
        <w:t xml:space="preserve">, korteritel 9300 </w:t>
      </w:r>
      <w:r w:rsidR="00A96BA9">
        <w:rPr>
          <w:rFonts w:ascii="Arial" w:eastAsia="Arial" w:hAnsi="Arial" w:cs="Arial"/>
        </w:rPr>
        <w:t>eurot</w:t>
      </w:r>
      <w:r w:rsidRPr="00E14EBC">
        <w:rPr>
          <w:rFonts w:ascii="Arial" w:eastAsia="Arial" w:hAnsi="Arial" w:cs="Arial"/>
        </w:rPr>
        <w:t>;</w:t>
      </w:r>
    </w:p>
    <w:p w14:paraId="6D7562C2" w14:textId="799CAE5F" w:rsidR="00ED0E64" w:rsidRPr="00E14EBC" w:rsidRDefault="529B60BD" w:rsidP="00A50359">
      <w:pPr>
        <w:pStyle w:val="ListParagraph"/>
        <w:numPr>
          <w:ilvl w:val="0"/>
          <w:numId w:val="2"/>
        </w:numPr>
        <w:spacing w:before="0"/>
        <w:jc w:val="both"/>
        <w:rPr>
          <w:rFonts w:ascii="Arial" w:eastAsia="Arial" w:hAnsi="Arial" w:cs="Arial"/>
        </w:rPr>
      </w:pPr>
      <w:r w:rsidRPr="5848DE21">
        <w:rPr>
          <w:rFonts w:ascii="Arial" w:eastAsia="Arial" w:hAnsi="Arial" w:cs="Arial"/>
        </w:rPr>
        <w:t xml:space="preserve">keskmine päevahind 80–90 </w:t>
      </w:r>
      <w:r w:rsidR="0000613F">
        <w:rPr>
          <w:rFonts w:ascii="Arial" w:eastAsia="Arial" w:hAnsi="Arial" w:cs="Arial"/>
        </w:rPr>
        <w:t>eurot</w:t>
      </w:r>
      <w:r w:rsidRPr="5848DE21">
        <w:rPr>
          <w:rFonts w:ascii="Arial" w:eastAsia="Arial" w:hAnsi="Arial" w:cs="Arial"/>
        </w:rPr>
        <w:t xml:space="preserve">; </w:t>
      </w:r>
      <w:r w:rsidR="09FB4A8F" w:rsidRPr="5848DE21">
        <w:rPr>
          <w:rFonts w:ascii="Arial" w:eastAsia="Arial" w:hAnsi="Arial" w:cs="Arial"/>
        </w:rPr>
        <w:t>müügitulu</w:t>
      </w:r>
      <w:r w:rsidRPr="5848DE21">
        <w:rPr>
          <w:rFonts w:ascii="Arial" w:eastAsia="Arial" w:hAnsi="Arial" w:cs="Arial"/>
        </w:rPr>
        <w:t xml:space="preserve"> saadaoleva majutuskoha kohta 32 </w:t>
      </w:r>
      <w:r w:rsidR="00A96BA9">
        <w:rPr>
          <w:rFonts w:ascii="Arial" w:eastAsia="Arial" w:hAnsi="Arial" w:cs="Arial"/>
        </w:rPr>
        <w:t>eurot</w:t>
      </w:r>
      <w:r w:rsidR="0EE6E366" w:rsidRPr="5848DE21">
        <w:rPr>
          <w:rFonts w:ascii="Arial" w:eastAsia="Arial" w:hAnsi="Arial" w:cs="Arial"/>
        </w:rPr>
        <w:t xml:space="preserve"> päevas</w:t>
      </w:r>
      <w:r w:rsidRPr="5848DE21">
        <w:rPr>
          <w:rFonts w:ascii="Arial" w:eastAsia="Arial" w:hAnsi="Arial" w:cs="Arial"/>
        </w:rPr>
        <w:t>;</w:t>
      </w:r>
    </w:p>
    <w:p w14:paraId="4E1DF7A8" w14:textId="04366E58" w:rsidR="00ED0E64" w:rsidRPr="00E14EBC" w:rsidRDefault="4EDD54EB" w:rsidP="00A50359">
      <w:pPr>
        <w:pStyle w:val="ListParagraph"/>
        <w:numPr>
          <w:ilvl w:val="0"/>
          <w:numId w:val="2"/>
        </w:numPr>
        <w:spacing w:before="0"/>
        <w:jc w:val="both"/>
        <w:rPr>
          <w:rFonts w:ascii="Arial" w:eastAsia="Arial" w:hAnsi="Arial" w:cs="Arial"/>
        </w:rPr>
      </w:pPr>
      <w:r w:rsidRPr="00E14EBC">
        <w:rPr>
          <w:rFonts w:ascii="Arial" w:eastAsia="Arial" w:hAnsi="Arial" w:cs="Arial"/>
        </w:rPr>
        <w:t>kogu eluase üüritakse välja 92% juhtudest;</w:t>
      </w:r>
    </w:p>
    <w:p w14:paraId="03F8CAC4" w14:textId="62D07349" w:rsidR="00ED0E64" w:rsidRPr="00E14EBC" w:rsidRDefault="18C9F0B4" w:rsidP="00A50359">
      <w:pPr>
        <w:pStyle w:val="ListParagraph"/>
        <w:numPr>
          <w:ilvl w:val="0"/>
          <w:numId w:val="2"/>
        </w:numPr>
        <w:spacing w:before="0"/>
        <w:jc w:val="both"/>
        <w:rPr>
          <w:rFonts w:ascii="Arial" w:eastAsia="Arial" w:hAnsi="Arial" w:cs="Arial"/>
          <w:szCs w:val="24"/>
        </w:rPr>
      </w:pPr>
      <w:r w:rsidRPr="00E14EBC">
        <w:rPr>
          <w:rFonts w:ascii="Arial" w:eastAsia="Arial" w:hAnsi="Arial" w:cs="Arial"/>
          <w:szCs w:val="24"/>
        </w:rPr>
        <w:t>majutuskohtadest ¾ on ühe magamistoaga, ligi 1/5 kahe magamistoaga;</w:t>
      </w:r>
    </w:p>
    <w:p w14:paraId="63A147CE" w14:textId="3DA5F37D" w:rsidR="00ED0E64" w:rsidRPr="00E14EBC" w:rsidRDefault="4EDD54EB" w:rsidP="00A50359">
      <w:pPr>
        <w:pStyle w:val="ListParagraph"/>
        <w:numPr>
          <w:ilvl w:val="0"/>
          <w:numId w:val="2"/>
        </w:numPr>
        <w:spacing w:before="0"/>
        <w:jc w:val="both"/>
        <w:rPr>
          <w:rFonts w:ascii="Arial" w:eastAsia="Arial" w:hAnsi="Arial" w:cs="Arial"/>
        </w:rPr>
      </w:pPr>
      <w:r w:rsidRPr="00E14EBC">
        <w:rPr>
          <w:rFonts w:ascii="Arial" w:eastAsia="Arial" w:hAnsi="Arial" w:cs="Arial"/>
        </w:rPr>
        <w:t>u 1/3 majutuskohtadest on saadaval alla 3 kuu aastas, 1/5 on saadaval 3–6 kuud, üle poole aasta on saadaval u 45% Tartu majutuskohtadest;</w:t>
      </w:r>
    </w:p>
    <w:p w14:paraId="32776DD4" w14:textId="7892249D" w:rsidR="00ED0E64" w:rsidRPr="00E14EBC" w:rsidRDefault="4EDD54EB" w:rsidP="00A50359">
      <w:pPr>
        <w:pStyle w:val="ListParagraph"/>
        <w:numPr>
          <w:ilvl w:val="0"/>
          <w:numId w:val="2"/>
        </w:numPr>
        <w:spacing w:before="0"/>
        <w:jc w:val="both"/>
        <w:rPr>
          <w:rFonts w:ascii="Arial" w:eastAsia="Arial" w:hAnsi="Arial" w:cs="Arial"/>
        </w:rPr>
      </w:pPr>
      <w:r w:rsidRPr="00E14EBC">
        <w:rPr>
          <w:rFonts w:ascii="Arial" w:eastAsia="Arial" w:hAnsi="Arial" w:cs="Arial"/>
        </w:rPr>
        <w:t xml:space="preserve">keskmine majutuse kestus 2 päeva; täitumus 39–44%; </w:t>
      </w:r>
    </w:p>
    <w:p w14:paraId="01705860" w14:textId="5E8E8DEB" w:rsidR="00ED0E64" w:rsidRPr="00E14EBC" w:rsidRDefault="4EDD54EB" w:rsidP="00A50359">
      <w:pPr>
        <w:pStyle w:val="ListParagraph"/>
        <w:numPr>
          <w:ilvl w:val="0"/>
          <w:numId w:val="2"/>
        </w:numPr>
        <w:spacing w:before="0"/>
        <w:jc w:val="both"/>
        <w:rPr>
          <w:rFonts w:ascii="Arial" w:eastAsia="Arial" w:hAnsi="Arial" w:cs="Arial"/>
        </w:rPr>
      </w:pPr>
      <w:r w:rsidRPr="00E14EBC">
        <w:rPr>
          <w:rFonts w:ascii="Arial" w:eastAsia="Arial" w:hAnsi="Arial" w:cs="Arial"/>
        </w:rPr>
        <w:t>üldiselt on Tartus stabiilne täitumus aastaringselt.</w:t>
      </w:r>
    </w:p>
    <w:p w14:paraId="7FFA812A" w14:textId="4C0EE3F2" w:rsidR="00ED0E64" w:rsidRPr="00E14EBC" w:rsidRDefault="6BF7470B" w:rsidP="18C9F0B4">
      <w:pPr>
        <w:rPr>
          <w:rFonts w:eastAsia="Aptos"/>
          <w:b/>
          <w:bCs/>
        </w:rPr>
      </w:pPr>
      <w:r w:rsidRPr="5848DE21">
        <w:rPr>
          <w:rFonts w:eastAsia="Aptos"/>
          <w:b/>
          <w:bCs/>
        </w:rPr>
        <w:t>Kõrvutades andmeanalüüsi ettevõtete avaandmeid ja ekspertide hinnanguid</w:t>
      </w:r>
      <w:r w:rsidR="047B49CB" w:rsidRPr="5848DE21">
        <w:rPr>
          <w:rFonts w:eastAsia="Aptos"/>
          <w:b/>
          <w:bCs/>
        </w:rPr>
        <w:t>,</w:t>
      </w:r>
      <w:r w:rsidRPr="5848DE21">
        <w:rPr>
          <w:rFonts w:eastAsia="Aptos"/>
          <w:b/>
          <w:bCs/>
        </w:rPr>
        <w:t xml:space="preserve"> järelda</w:t>
      </w:r>
      <w:r w:rsidR="49F1A2F3" w:rsidRPr="5848DE21">
        <w:rPr>
          <w:rFonts w:eastAsia="Aptos"/>
          <w:b/>
          <w:bCs/>
        </w:rPr>
        <w:t>me</w:t>
      </w:r>
      <w:r w:rsidRPr="5848DE21">
        <w:rPr>
          <w:rFonts w:eastAsia="Aptos"/>
          <w:b/>
          <w:bCs/>
        </w:rPr>
        <w:t>, et Tartus on 600–700 lühiajalise üüri majutuskohta.</w:t>
      </w:r>
    </w:p>
    <w:p w14:paraId="33F23AEA" w14:textId="2BF34559" w:rsidR="00D40A04" w:rsidRPr="00E14EBC" w:rsidRDefault="008015D1" w:rsidP="008015D1">
      <w:pPr>
        <w:jc w:val="both"/>
        <w:rPr>
          <w:rFonts w:eastAsia="Aptos"/>
        </w:rPr>
      </w:pPr>
      <w:r w:rsidRPr="008015D1">
        <w:rPr>
          <w:rFonts w:eastAsia="Aptos"/>
        </w:rPr>
        <w:t xml:space="preserve">Tartu majutusettevõtete tubade täitumus oli 2023. aastal SA majutusstatistika andmeil 57% ja ööpäeva maksumus ühe inimese kohta 48 eurot. Lühiajalise üüri majutuskohtade keskmine </w:t>
      </w:r>
      <w:r w:rsidRPr="008015D1">
        <w:rPr>
          <w:rFonts w:eastAsia="Aptos"/>
        </w:rPr>
        <w:lastRenderedPageBreak/>
        <w:t>täitumus Tartus oli 2023/2024 eri hinnanguil 39–44 protsenti ja ADR 78–89 USD (72–82 eurot</w:t>
      </w:r>
      <w:r w:rsidRPr="008015D1">
        <w:rPr>
          <w:rFonts w:eastAsia="Aptos"/>
          <w:vertAlign w:val="superscript"/>
        </w:rPr>
        <w:t>79</w:t>
      </w:r>
      <w:r w:rsidRPr="008015D1">
        <w:rPr>
          <w:rFonts w:eastAsia="Aptos"/>
        </w:rPr>
        <w:t>), MTA andmetele tuginedes 70 eurot, seega ületab Tartu hotellisektori täitumus lühiajalise üüri majutuskohti enam kui kolmandiku võrra, samas ületavad lühiajalise üüri majutuskohad majutusettevõtteid hinna poolest umbes sama palju.</w:t>
      </w:r>
      <w:r>
        <w:rPr>
          <w:rFonts w:eastAsia="Aptos"/>
        </w:rPr>
        <w:t xml:space="preserve"> </w:t>
      </w:r>
      <w:r w:rsidR="00B93A43">
        <w:rPr>
          <w:rFonts w:eastAsia="Aptos"/>
        </w:rPr>
        <w:t xml:space="preserve">Hindade sellist erinevust põhjustab ka tõsiasi, et lühiajalise üüri pinnad mahutavad rohkem inimesi. </w:t>
      </w:r>
    </w:p>
    <w:p w14:paraId="7B5E8D7E" w14:textId="77777777" w:rsidR="00ED0E64" w:rsidRPr="00E14EBC" w:rsidRDefault="18C9F0B4" w:rsidP="00B27EB1">
      <w:pPr>
        <w:pStyle w:val="TableTitle"/>
      </w:pPr>
      <w:r w:rsidRPr="00E14EBC">
        <w:t>Pärnu</w:t>
      </w:r>
    </w:p>
    <w:p w14:paraId="3C413FE5" w14:textId="2374D802" w:rsidR="00D40A04" w:rsidRPr="00E14EBC" w:rsidRDefault="749BA66A" w:rsidP="72E47210">
      <w:pPr>
        <w:jc w:val="both"/>
        <w:rPr>
          <w:rFonts w:ascii="Arial" w:eastAsia="Arial" w:hAnsi="Arial" w:cs="Arial"/>
        </w:rPr>
      </w:pPr>
      <w:r w:rsidRPr="5848DE21">
        <w:rPr>
          <w:rFonts w:ascii="Arial" w:eastAsia="Arial" w:hAnsi="Arial" w:cs="Arial"/>
        </w:rPr>
        <w:t xml:space="preserve">Erinevatelt analüütikaettevõtetelt ja ekspertidelt pärinevate andmete põhjal (vt </w:t>
      </w:r>
      <w:r w:rsidR="30A1A908" w:rsidRPr="5848DE21">
        <w:rPr>
          <w:rFonts w:ascii="Arial" w:eastAsia="Arial" w:hAnsi="Arial" w:cs="Arial"/>
        </w:rPr>
        <w:t xml:space="preserve">Lisa 5 </w:t>
      </w:r>
      <w:r w:rsidRPr="5848DE21">
        <w:rPr>
          <w:rFonts w:ascii="Arial" w:eastAsia="Arial" w:hAnsi="Arial" w:cs="Arial"/>
        </w:rPr>
        <w:t xml:space="preserve">Tabel </w:t>
      </w:r>
      <w:r w:rsidR="30A1A908" w:rsidRPr="5848DE21">
        <w:rPr>
          <w:rFonts w:ascii="Arial" w:eastAsia="Arial" w:hAnsi="Arial" w:cs="Arial"/>
        </w:rPr>
        <w:t>26</w:t>
      </w:r>
      <w:r w:rsidRPr="5848DE21">
        <w:rPr>
          <w:rFonts w:ascii="Arial" w:eastAsia="Arial" w:hAnsi="Arial" w:cs="Arial"/>
        </w:rPr>
        <w:t>) o</w:t>
      </w:r>
      <w:r w:rsidR="7F348143" w:rsidRPr="5848DE21">
        <w:rPr>
          <w:rFonts w:ascii="Arial" w:eastAsia="Arial" w:hAnsi="Arial" w:cs="Arial"/>
        </w:rPr>
        <w:t>lid</w:t>
      </w:r>
      <w:r w:rsidRPr="5848DE21">
        <w:rPr>
          <w:rFonts w:ascii="Arial" w:eastAsia="Arial" w:hAnsi="Arial" w:cs="Arial"/>
        </w:rPr>
        <w:t xml:space="preserve"> Pärnu lühiajalise üüri teenuse pakkumise peamised näitajad 2023/2024 järgmised:</w:t>
      </w:r>
    </w:p>
    <w:p w14:paraId="04E29F3B" w14:textId="53CA135A" w:rsidR="00D40A04" w:rsidRDefault="4E440EBC" w:rsidP="00A50359">
      <w:pPr>
        <w:pStyle w:val="ListParagraph"/>
        <w:numPr>
          <w:ilvl w:val="0"/>
          <w:numId w:val="1"/>
        </w:numPr>
        <w:jc w:val="both"/>
        <w:rPr>
          <w:rFonts w:ascii="Arial" w:eastAsia="Arial" w:hAnsi="Arial" w:cs="Arial"/>
        </w:rPr>
      </w:pPr>
      <w:r w:rsidRPr="00E14EBC">
        <w:rPr>
          <w:rFonts w:ascii="Arial" w:eastAsia="Arial" w:hAnsi="Arial" w:cs="Arial"/>
        </w:rPr>
        <w:t>kuulutusi kokku 700–800, neist aktiivseid veidi üle 50%;</w:t>
      </w:r>
      <w:r w:rsidR="00B7799E" w:rsidRPr="00E14EBC">
        <w:rPr>
          <w:rFonts w:ascii="Arial" w:eastAsia="Arial" w:hAnsi="Arial" w:cs="Arial"/>
        </w:rPr>
        <w:t xml:space="preserve"> </w:t>
      </w:r>
    </w:p>
    <w:p w14:paraId="1D83D20C" w14:textId="6810735A" w:rsidR="00F839F2" w:rsidRPr="00E14EBC" w:rsidRDefault="00F839F2" w:rsidP="00A50359">
      <w:pPr>
        <w:pStyle w:val="ListParagraph"/>
        <w:numPr>
          <w:ilvl w:val="0"/>
          <w:numId w:val="1"/>
        </w:numPr>
        <w:jc w:val="both"/>
        <w:rPr>
          <w:rFonts w:ascii="Arial" w:eastAsia="Arial" w:hAnsi="Arial" w:cs="Arial"/>
        </w:rPr>
      </w:pPr>
      <w:r w:rsidRPr="1688D34F">
        <w:rPr>
          <w:rFonts w:ascii="Arial" w:eastAsia="Arial" w:hAnsi="Arial" w:cs="Arial"/>
        </w:rPr>
        <w:t xml:space="preserve">kesklinn </w:t>
      </w:r>
      <w:r w:rsidR="00F8459F" w:rsidRPr="1688D34F">
        <w:rPr>
          <w:rFonts w:ascii="Arial" w:eastAsia="Arial" w:hAnsi="Arial" w:cs="Arial"/>
        </w:rPr>
        <w:t xml:space="preserve">moodustab </w:t>
      </w:r>
      <w:r w:rsidRPr="1688D34F">
        <w:rPr>
          <w:rFonts w:ascii="Arial" w:eastAsia="Arial" w:hAnsi="Arial" w:cs="Arial"/>
        </w:rPr>
        <w:t xml:space="preserve">sarnaselt Tallinnaga umbes poole majutuskohtade kogupakkumisest </w:t>
      </w:r>
      <w:r w:rsidR="00F8459F" w:rsidRPr="1688D34F">
        <w:rPr>
          <w:rFonts w:ascii="Arial" w:eastAsia="Arial" w:hAnsi="Arial" w:cs="Arial"/>
        </w:rPr>
        <w:t xml:space="preserve">(nt </w:t>
      </w:r>
      <w:r w:rsidRPr="1688D34F">
        <w:rPr>
          <w:rFonts w:ascii="Arial" w:eastAsia="Arial" w:hAnsi="Arial" w:cs="Arial"/>
        </w:rPr>
        <w:t>Tartus on majutuskohtade paiknemine pisut hajutatum</w:t>
      </w:r>
      <w:r w:rsidR="00F8459F" w:rsidRPr="1688D34F">
        <w:rPr>
          <w:rFonts w:ascii="Arial" w:eastAsia="Arial" w:hAnsi="Arial" w:cs="Arial"/>
        </w:rPr>
        <w:t>);</w:t>
      </w:r>
    </w:p>
    <w:p w14:paraId="6C9972CD" w14:textId="3A987641" w:rsidR="00D40A04" w:rsidRPr="00E14EBC" w:rsidRDefault="18C9F0B4" w:rsidP="00A50359">
      <w:pPr>
        <w:pStyle w:val="ListParagraph"/>
        <w:numPr>
          <w:ilvl w:val="0"/>
          <w:numId w:val="1"/>
        </w:numPr>
        <w:jc w:val="both"/>
        <w:rPr>
          <w:rFonts w:ascii="Arial" w:eastAsia="Arial" w:hAnsi="Arial" w:cs="Arial"/>
        </w:rPr>
      </w:pPr>
      <w:r w:rsidRPr="00E14EBC">
        <w:rPr>
          <w:rFonts w:ascii="Arial" w:eastAsia="Arial" w:hAnsi="Arial" w:cs="Arial"/>
        </w:rPr>
        <w:t>aktiivsete pakkumiste arv on pärast pandeemiat kiiresti kasvanud: aprillis 2021 – 140 pakkumist, suvel 2021 – 400, suvel 2022 – 500, suvel 2023 – 600;</w:t>
      </w:r>
    </w:p>
    <w:p w14:paraId="4886A3EC" w14:textId="544BAF67" w:rsidR="00D40A04" w:rsidRPr="00E14EBC" w:rsidRDefault="4EDD54EB" w:rsidP="00A50359">
      <w:pPr>
        <w:pStyle w:val="ListParagraph"/>
        <w:numPr>
          <w:ilvl w:val="0"/>
          <w:numId w:val="1"/>
        </w:numPr>
        <w:jc w:val="both"/>
        <w:rPr>
          <w:rFonts w:ascii="Arial" w:eastAsia="Arial" w:hAnsi="Arial" w:cs="Arial"/>
        </w:rPr>
      </w:pPr>
      <w:r w:rsidRPr="00E14EBC">
        <w:rPr>
          <w:rFonts w:ascii="Arial" w:eastAsia="Arial" w:hAnsi="Arial" w:cs="Arial"/>
        </w:rPr>
        <w:t>2023/2024 oli Pärnu lühiajalise üüri turul samuti suur pakkumiste kasv: 739 pakkumist Airbnb’s 12 kuu jooksul on enam-vähem sama palju kui Tartus, mis on Pärnust üle kahe korra suurem linn; samas on kukkunud nii käive (-16%) kui täitumus (-21%);</w:t>
      </w:r>
    </w:p>
    <w:p w14:paraId="5DBE8959" w14:textId="5BED431B" w:rsidR="00D40A04" w:rsidRPr="00E14EBC" w:rsidRDefault="18C9F0B4" w:rsidP="00A50359">
      <w:pPr>
        <w:pStyle w:val="ListParagraph"/>
        <w:numPr>
          <w:ilvl w:val="0"/>
          <w:numId w:val="1"/>
        </w:numPr>
        <w:jc w:val="both"/>
        <w:rPr>
          <w:rFonts w:ascii="Arial" w:eastAsia="Arial" w:hAnsi="Arial" w:cs="Arial"/>
        </w:rPr>
      </w:pPr>
      <w:r w:rsidRPr="00E14EBC">
        <w:rPr>
          <w:rFonts w:ascii="Arial" w:eastAsia="Arial" w:hAnsi="Arial" w:cs="Arial"/>
        </w:rPr>
        <w:t xml:space="preserve">kogu eluase üüritakse välja 95% juhtudest; </w:t>
      </w:r>
    </w:p>
    <w:p w14:paraId="21C576BD" w14:textId="548F804B" w:rsidR="00D40A04" w:rsidRPr="00E14EBC" w:rsidRDefault="4F2C68D7" w:rsidP="00A50359">
      <w:pPr>
        <w:pStyle w:val="ListParagraph"/>
        <w:numPr>
          <w:ilvl w:val="0"/>
          <w:numId w:val="1"/>
        </w:numPr>
        <w:jc w:val="both"/>
        <w:rPr>
          <w:rFonts w:ascii="Arial" w:eastAsia="Arial" w:hAnsi="Arial" w:cs="Arial"/>
        </w:rPr>
      </w:pPr>
      <w:r w:rsidRPr="5848DE21">
        <w:rPr>
          <w:rFonts w:ascii="Arial" w:eastAsia="Arial" w:hAnsi="Arial" w:cs="Arial"/>
        </w:rPr>
        <w:t>70% majutuskohtadest on ühe magamistoaga, u 1/5 kahe magamistoaga; Pärnu eripärana moodustavad majad üle 13% pakkumistest, Tartus nt vaid üle 3 protsendi;</w:t>
      </w:r>
    </w:p>
    <w:p w14:paraId="48CD693F" w14:textId="2039A699" w:rsidR="00D40A04" w:rsidRPr="00E14EBC" w:rsidRDefault="4F2C68D7" w:rsidP="5848DE21">
      <w:pPr>
        <w:pStyle w:val="ListParagraph"/>
        <w:numPr>
          <w:ilvl w:val="0"/>
          <w:numId w:val="1"/>
        </w:numPr>
        <w:jc w:val="both"/>
        <w:rPr>
          <w:rFonts w:ascii="Arial" w:eastAsia="Arial" w:hAnsi="Arial" w:cs="Arial"/>
        </w:rPr>
      </w:pPr>
      <w:r w:rsidRPr="5848DE21">
        <w:rPr>
          <w:rFonts w:ascii="Arial" w:eastAsia="Arial" w:hAnsi="Arial" w:cs="Arial"/>
        </w:rPr>
        <w:t>ligi pool (47%) majutuskohtadest on saadaval alla 3 kuu aastas, 30% on saadaval 3–6 kuud ehk üle poole aasta on saadaval alla veerandi Pärnu majutuskohtadest.</w:t>
      </w:r>
    </w:p>
    <w:p w14:paraId="170A9907" w14:textId="066554E2" w:rsidR="00D40A04" w:rsidRPr="00E14EBC" w:rsidRDefault="4F2C68D7" w:rsidP="5848DE21">
      <w:pPr>
        <w:pStyle w:val="ListParagraph"/>
        <w:numPr>
          <w:ilvl w:val="0"/>
          <w:numId w:val="1"/>
        </w:numPr>
        <w:jc w:val="both"/>
        <w:rPr>
          <w:rFonts w:ascii="Arial" w:eastAsia="Arial" w:hAnsi="Arial" w:cs="Arial"/>
        </w:rPr>
      </w:pPr>
      <w:r w:rsidRPr="5848DE21">
        <w:rPr>
          <w:rFonts w:ascii="Arial" w:eastAsia="Arial" w:hAnsi="Arial" w:cs="Arial"/>
        </w:rPr>
        <w:t>keskmine majut</w:t>
      </w:r>
      <w:r w:rsidR="077B0930" w:rsidRPr="5848DE21">
        <w:rPr>
          <w:rFonts w:ascii="Arial" w:eastAsia="Arial" w:hAnsi="Arial" w:cs="Arial"/>
        </w:rPr>
        <w:t>u</w:t>
      </w:r>
      <w:r w:rsidRPr="5848DE21">
        <w:rPr>
          <w:rFonts w:ascii="Arial" w:eastAsia="Arial" w:hAnsi="Arial" w:cs="Arial"/>
        </w:rPr>
        <w:t xml:space="preserve">se kestus 3 päeva; keskmine müügitulu majutuskoha kohta aastas 9700 – 10 400 </w:t>
      </w:r>
      <w:r w:rsidR="00A96BA9">
        <w:rPr>
          <w:rFonts w:ascii="Arial" w:eastAsia="Arial" w:hAnsi="Arial" w:cs="Arial"/>
        </w:rPr>
        <w:t>eurot</w:t>
      </w:r>
      <w:r w:rsidRPr="5848DE21">
        <w:rPr>
          <w:rFonts w:ascii="Arial" w:eastAsia="Arial" w:hAnsi="Arial" w:cs="Arial"/>
        </w:rPr>
        <w:t xml:space="preserve">; keskmine päevahind 103 </w:t>
      </w:r>
      <w:r w:rsidR="00A96BA9">
        <w:rPr>
          <w:rFonts w:ascii="Arial" w:eastAsia="Arial" w:hAnsi="Arial" w:cs="Arial"/>
        </w:rPr>
        <w:t>eurot</w:t>
      </w:r>
      <w:r w:rsidRPr="5848DE21">
        <w:rPr>
          <w:rFonts w:ascii="Arial" w:eastAsia="Arial" w:hAnsi="Arial" w:cs="Arial"/>
        </w:rPr>
        <w:t xml:space="preserve">; </w:t>
      </w:r>
      <w:r w:rsidR="00AE74F5">
        <w:rPr>
          <w:rFonts w:ascii="Arial" w:eastAsia="Arial" w:hAnsi="Arial" w:cs="Arial"/>
        </w:rPr>
        <w:t>tulu</w:t>
      </w:r>
      <w:r w:rsidRPr="5848DE21">
        <w:rPr>
          <w:rFonts w:ascii="Arial" w:eastAsia="Arial" w:hAnsi="Arial" w:cs="Arial"/>
        </w:rPr>
        <w:t xml:space="preserve"> saadaoleva majutuskoha kohta 45 </w:t>
      </w:r>
      <w:r w:rsidR="00A96BA9">
        <w:rPr>
          <w:rFonts w:ascii="Arial" w:eastAsia="Arial" w:hAnsi="Arial" w:cs="Arial"/>
        </w:rPr>
        <w:t>eurot</w:t>
      </w:r>
      <w:r w:rsidRPr="5848DE21">
        <w:rPr>
          <w:rFonts w:ascii="Arial" w:eastAsia="Arial" w:hAnsi="Arial" w:cs="Arial"/>
        </w:rPr>
        <w:t>.</w:t>
      </w:r>
    </w:p>
    <w:p w14:paraId="690D6361" w14:textId="6126B47E" w:rsidR="00D40A04" w:rsidRPr="00E14EBC" w:rsidRDefault="18C9F0B4" w:rsidP="00A50359">
      <w:pPr>
        <w:pStyle w:val="ListParagraph"/>
        <w:numPr>
          <w:ilvl w:val="0"/>
          <w:numId w:val="1"/>
        </w:numPr>
        <w:jc w:val="both"/>
        <w:rPr>
          <w:rFonts w:ascii="Arial" w:eastAsia="Arial" w:hAnsi="Arial" w:cs="Arial"/>
          <w:szCs w:val="24"/>
        </w:rPr>
      </w:pPr>
      <w:r w:rsidRPr="00E14EBC">
        <w:rPr>
          <w:rFonts w:ascii="Arial" w:eastAsia="Arial" w:hAnsi="Arial" w:cs="Arial"/>
          <w:szCs w:val="24"/>
        </w:rPr>
        <w:t xml:space="preserve">Pärnu lühiajalise üüri turgu iseloomustab kõrg- ja madalhooaja vaheline väga suur lainetus – talvel on Pärnus nõudlus pea olematu, isegi nt 2024 mai keskel oli Airbnb’s vaid 219 pakkumist; </w:t>
      </w:r>
    </w:p>
    <w:p w14:paraId="5C20482F" w14:textId="74F0A71D" w:rsidR="00D40A04" w:rsidRPr="00E14EBC" w:rsidRDefault="529B60BD" w:rsidP="5848DE21">
      <w:pPr>
        <w:pStyle w:val="ListParagraph"/>
        <w:numPr>
          <w:ilvl w:val="0"/>
          <w:numId w:val="1"/>
        </w:numPr>
        <w:jc w:val="both"/>
        <w:rPr>
          <w:rFonts w:ascii="Arial" w:eastAsia="Arial" w:hAnsi="Arial" w:cs="Arial"/>
          <w:szCs w:val="24"/>
        </w:rPr>
      </w:pPr>
      <w:r w:rsidRPr="5848DE21">
        <w:rPr>
          <w:rFonts w:ascii="Arial" w:eastAsia="Arial" w:hAnsi="Arial" w:cs="Arial"/>
        </w:rPr>
        <w:t xml:space="preserve">keskmine täitumus 44%; täitumus juulis 73%, juunis 56%, mais 40%, augustis 36%, ülejäänud kuudel 25–30%, kusjuures Pärnu lühiajalise üüri turg </w:t>
      </w:r>
      <w:r w:rsidR="4FD4EAB2" w:rsidRPr="5848DE21">
        <w:rPr>
          <w:rFonts w:ascii="Arial" w:eastAsia="Arial" w:hAnsi="Arial" w:cs="Arial"/>
        </w:rPr>
        <w:t xml:space="preserve">sõltub </w:t>
      </w:r>
      <w:r w:rsidR="5C806A45" w:rsidRPr="5848DE21">
        <w:rPr>
          <w:rFonts w:ascii="Arial" w:eastAsia="Arial" w:hAnsi="Arial" w:cs="Arial"/>
        </w:rPr>
        <w:t xml:space="preserve">üldiselt kõrge nõudlusega </w:t>
      </w:r>
      <w:r w:rsidRPr="5848DE21">
        <w:rPr>
          <w:rFonts w:ascii="Arial" w:eastAsia="Arial" w:hAnsi="Arial" w:cs="Arial"/>
        </w:rPr>
        <w:t>puhkusekuudel väga palju ilmast</w:t>
      </w:r>
      <w:r w:rsidR="00F947F4">
        <w:rPr>
          <w:rFonts w:ascii="Arial" w:eastAsia="Arial" w:hAnsi="Arial" w:cs="Arial"/>
        </w:rPr>
        <w:t>.</w:t>
      </w:r>
    </w:p>
    <w:p w14:paraId="5C3AF600" w14:textId="18593CCE" w:rsidR="00D40A04" w:rsidRPr="00E14EBC" w:rsidRDefault="529B60BD" w:rsidP="18C9F0B4">
      <w:pPr>
        <w:jc w:val="both"/>
        <w:rPr>
          <w:rFonts w:eastAsia="Aptos"/>
        </w:rPr>
      </w:pPr>
      <w:r>
        <w:t>Kõrvutades andmeanalüüsi ettevõtete avaandmeid ja ekspertide hinnanguid</w:t>
      </w:r>
      <w:r w:rsidR="1E17B9B8">
        <w:t>,</w:t>
      </w:r>
      <w:r>
        <w:t xml:space="preserve"> järelda</w:t>
      </w:r>
      <w:r w:rsidR="6A8916B0">
        <w:t>me</w:t>
      </w:r>
      <w:r>
        <w:t>, et Pärnus on hinnanguliselt 700</w:t>
      </w:r>
      <w:r w:rsidR="003D5094" w:rsidRPr="5848DE21">
        <w:rPr>
          <w:rFonts w:ascii="Arial" w:eastAsia="Arial" w:hAnsi="Arial" w:cs="Arial"/>
        </w:rPr>
        <w:t>–</w:t>
      </w:r>
      <w:r>
        <w:t>800 lühiajalise üüri majutuskohta.</w:t>
      </w:r>
      <w:r w:rsidR="00DF2BA2">
        <w:rPr>
          <w:rFonts w:eastAsia="Aptos"/>
        </w:rPr>
        <w:t xml:space="preserve"> </w:t>
      </w:r>
      <w:r w:rsidR="00D40A04" w:rsidRPr="00E14EBC">
        <w:rPr>
          <w:rFonts w:eastAsia="Aptos"/>
        </w:rPr>
        <w:t>Pärnu majutusettevõtete tubade täitumus</w:t>
      </w:r>
      <w:r w:rsidR="00817A75">
        <w:rPr>
          <w:rFonts w:eastAsia="Aptos"/>
        </w:rPr>
        <w:t xml:space="preserve"> SA </w:t>
      </w:r>
      <w:r w:rsidR="00D40A04" w:rsidRPr="00E14EBC">
        <w:rPr>
          <w:rFonts w:eastAsia="Aptos"/>
        </w:rPr>
        <w:t xml:space="preserve">majutusstatistika andmeil oli 54% ja </w:t>
      </w:r>
      <w:r w:rsidR="003D5094" w:rsidRPr="00ED553B">
        <w:rPr>
          <w:rFonts w:eastAsia="Aptos"/>
        </w:rPr>
        <w:t>ööpäeva maksumus ühe inimese kohta</w:t>
      </w:r>
      <w:r w:rsidR="003D5094" w:rsidRPr="00E14EBC" w:rsidDel="003D5094">
        <w:rPr>
          <w:rFonts w:eastAsia="Aptos"/>
        </w:rPr>
        <w:t xml:space="preserve"> </w:t>
      </w:r>
      <w:r w:rsidR="00D40A04" w:rsidRPr="00E14EBC">
        <w:rPr>
          <w:rFonts w:eastAsia="Aptos"/>
        </w:rPr>
        <w:t xml:space="preserve">47 </w:t>
      </w:r>
      <w:r w:rsidR="00A96BA9">
        <w:rPr>
          <w:rFonts w:ascii="Arial" w:eastAsia="Arial" w:hAnsi="Arial" w:cs="Arial"/>
        </w:rPr>
        <w:t>eurot</w:t>
      </w:r>
      <w:r w:rsidR="00D40A04" w:rsidRPr="00E14EBC">
        <w:rPr>
          <w:rFonts w:eastAsia="Aptos"/>
        </w:rPr>
        <w:t xml:space="preserve"> (2023). Lühiajalise üüri majutuskohtade täitumus 2023/2024 oli erinevail hinnanguil 37–44%, mis jäi kümnekonna protsendipunktiga majutusettevõtetele alla. </w:t>
      </w:r>
      <w:r w:rsidR="000E5F18" w:rsidRPr="00E14EBC">
        <w:rPr>
          <w:rFonts w:eastAsia="Aptos"/>
        </w:rPr>
        <w:t>Lühi</w:t>
      </w:r>
      <w:r w:rsidR="00A975CD" w:rsidRPr="00E14EBC">
        <w:rPr>
          <w:rFonts w:eastAsia="Aptos"/>
        </w:rPr>
        <w:t>a</w:t>
      </w:r>
      <w:r w:rsidR="000E5F18" w:rsidRPr="00E14EBC">
        <w:rPr>
          <w:rFonts w:eastAsia="Aptos"/>
        </w:rPr>
        <w:t>jalise üüri</w:t>
      </w:r>
      <w:r w:rsidR="00D40A04" w:rsidRPr="00E14EBC">
        <w:rPr>
          <w:rFonts w:eastAsia="Aptos"/>
        </w:rPr>
        <w:t xml:space="preserve"> majutuskoha ADR oli 2023/2024 Pärnus aga</w:t>
      </w:r>
      <w:r w:rsidR="00D40A04" w:rsidRPr="00E14EBC">
        <w:rPr>
          <w:rStyle w:val="FootnoteReference"/>
          <w:rFonts w:eastAsia="Aptos"/>
        </w:rPr>
        <w:footnoteReference w:id="80"/>
      </w:r>
      <w:r w:rsidR="00A96BA9">
        <w:rPr>
          <w:rFonts w:eastAsia="Aptos"/>
        </w:rPr>
        <w:t xml:space="preserve"> </w:t>
      </w:r>
      <w:r w:rsidR="00D40A04" w:rsidRPr="00E14EBC">
        <w:rPr>
          <w:rFonts w:eastAsia="Aptos"/>
        </w:rPr>
        <w:t xml:space="preserve">(106 </w:t>
      </w:r>
      <w:r w:rsidR="00A96BA9">
        <w:rPr>
          <w:rFonts w:ascii="Arial" w:eastAsia="Arial" w:hAnsi="Arial" w:cs="Arial"/>
        </w:rPr>
        <w:t>eurot</w:t>
      </w:r>
      <w:r w:rsidR="00D40A04" w:rsidRPr="00E14EBC">
        <w:rPr>
          <w:rFonts w:eastAsia="Aptos"/>
        </w:rPr>
        <w:t xml:space="preserve">), MTA andmetele tuginedes 94 </w:t>
      </w:r>
      <w:r w:rsidR="00A96BA9">
        <w:rPr>
          <w:rFonts w:ascii="Arial" w:eastAsia="Arial" w:hAnsi="Arial" w:cs="Arial"/>
        </w:rPr>
        <w:t>eurot</w:t>
      </w:r>
      <w:r w:rsidR="00D40A04" w:rsidRPr="00E14EBC">
        <w:rPr>
          <w:rFonts w:eastAsia="Aptos"/>
        </w:rPr>
        <w:t xml:space="preserve">, mis ületab Pärnu hotellisektori keskmist hinda enam kui kahekordselt. Ehk Pärnu lühiajalise üüri turg kokkuvõttes </w:t>
      </w:r>
      <w:r w:rsidR="50F5B5A4" w:rsidRPr="00E14EBC">
        <w:rPr>
          <w:rFonts w:eastAsia="Aptos"/>
        </w:rPr>
        <w:t>–</w:t>
      </w:r>
      <w:r w:rsidR="00D40A04" w:rsidRPr="00E14EBC">
        <w:rPr>
          <w:rFonts w:eastAsia="Aptos"/>
        </w:rPr>
        <w:t xml:space="preserve"> </w:t>
      </w:r>
      <w:r w:rsidR="50F5B5A4" w:rsidRPr="00E14EBC">
        <w:rPr>
          <w:rFonts w:eastAsia="Aptos"/>
        </w:rPr>
        <w:t>lühike hooaeg ja kõrged hinnad.</w:t>
      </w:r>
    </w:p>
    <w:p w14:paraId="473568DC" w14:textId="0A483F3E" w:rsidR="4EDD54EB" w:rsidRPr="00E14EBC" w:rsidRDefault="529B60BD" w:rsidP="4EDD54EB">
      <w:pPr>
        <w:jc w:val="both"/>
        <w:rPr>
          <w:rFonts w:eastAsia="Aptos"/>
        </w:rPr>
      </w:pPr>
      <w:r w:rsidRPr="00E14EBC">
        <w:rPr>
          <w:rFonts w:eastAsia="Aptos"/>
        </w:rPr>
        <w:lastRenderedPageBreak/>
        <w:t>Kuigi Pärnu lühiajalise üürituru eripäraks on eriti tuntav hooajalisus, võib asjatundjate sõnul</w:t>
      </w:r>
      <w:r w:rsidR="001920D8">
        <w:rPr>
          <w:rFonts w:eastAsia="Aptos"/>
        </w:rPr>
        <w:t xml:space="preserve"> </w:t>
      </w:r>
      <w:r w:rsidR="001920D8" w:rsidRPr="001920D8">
        <w:rPr>
          <w:rFonts w:eastAsia="Aptos"/>
        </w:rPr>
        <w:t>juulikuuga teenida terve aasta pika</w:t>
      </w:r>
      <w:r w:rsidR="00B14112">
        <w:rPr>
          <w:rFonts w:eastAsia="Aptos"/>
        </w:rPr>
        <w:t>ajalise</w:t>
      </w:r>
      <w:r w:rsidR="001920D8" w:rsidRPr="001920D8">
        <w:rPr>
          <w:rFonts w:eastAsia="Aptos"/>
        </w:rPr>
        <w:t xml:space="preserve"> üüri tulu </w:t>
      </w:r>
      <w:r w:rsidR="00B14112">
        <w:rPr>
          <w:rFonts w:eastAsia="Aptos"/>
        </w:rPr>
        <w:t>ning</w:t>
      </w:r>
      <w:r w:rsidR="001920D8" w:rsidRPr="001920D8">
        <w:rPr>
          <w:rFonts w:eastAsia="Aptos"/>
        </w:rPr>
        <w:t xml:space="preserve"> juuni</w:t>
      </w:r>
      <w:r w:rsidR="00B14112">
        <w:rPr>
          <w:rFonts w:eastAsia="Aptos"/>
        </w:rPr>
        <w:t xml:space="preserve">s ja </w:t>
      </w:r>
      <w:r w:rsidR="001920D8" w:rsidRPr="001920D8">
        <w:rPr>
          <w:rFonts w:eastAsia="Aptos"/>
        </w:rPr>
        <w:t>august</w:t>
      </w:r>
      <w:r w:rsidR="00B14112">
        <w:rPr>
          <w:rFonts w:eastAsia="Aptos"/>
        </w:rPr>
        <w:t>is</w:t>
      </w:r>
      <w:r w:rsidR="001920D8" w:rsidRPr="001920D8">
        <w:rPr>
          <w:rFonts w:eastAsia="Aptos"/>
        </w:rPr>
        <w:t xml:space="preserve"> teist sama palju. Vähemalt üks asjaosaline on väitnud, et lühiajaliselt välja üürides kulub korter</w:t>
      </w:r>
      <w:r w:rsidR="00AE74F5">
        <w:rPr>
          <w:rFonts w:eastAsia="Aptos"/>
        </w:rPr>
        <w:t xml:space="preserve"> ka</w:t>
      </w:r>
      <w:r w:rsidR="001920D8" w:rsidRPr="001920D8">
        <w:rPr>
          <w:rFonts w:eastAsia="Aptos"/>
        </w:rPr>
        <w:t xml:space="preserve"> vähem</w:t>
      </w:r>
      <w:r w:rsidR="4EDD54EB" w:rsidRPr="00E14EBC">
        <w:rPr>
          <w:rStyle w:val="FootnoteReference"/>
          <w:rFonts w:eastAsia="Aptos"/>
        </w:rPr>
        <w:footnoteReference w:id="81"/>
      </w:r>
      <w:r w:rsidR="00D66D12" w:rsidRPr="00BE179D">
        <w:rPr>
          <w:vertAlign w:val="superscript"/>
        </w:rPr>
        <w:t>,</w:t>
      </w:r>
      <w:r w:rsidR="4EDD54EB" w:rsidRPr="00E14EBC">
        <w:rPr>
          <w:rStyle w:val="FootnoteReference"/>
          <w:rFonts w:eastAsia="Aptos"/>
        </w:rPr>
        <w:footnoteReference w:id="82"/>
      </w:r>
      <w:r w:rsidR="437BA064" w:rsidRPr="00E14EBC">
        <w:rPr>
          <w:rFonts w:eastAsia="Aptos"/>
        </w:rPr>
        <w:t>.</w:t>
      </w:r>
    </w:p>
    <w:p w14:paraId="5718D52F" w14:textId="77777777" w:rsidR="00D40A04" w:rsidRPr="00E14EBC" w:rsidRDefault="00D40A04" w:rsidP="00D40A04">
      <w:pPr>
        <w:spacing w:before="0" w:line="259" w:lineRule="auto"/>
        <w:rPr>
          <w:rStyle w:val="PurpleText"/>
        </w:rPr>
      </w:pPr>
      <w:r w:rsidRPr="00E14EBC">
        <w:rPr>
          <w:rStyle w:val="PurpleText"/>
        </w:rPr>
        <w:t>Tallinn, Tartu, Pärnu</w:t>
      </w:r>
    </w:p>
    <w:p w14:paraId="725A6514" w14:textId="2DE91CA6" w:rsidR="00D40A04" w:rsidRPr="00E14EBC" w:rsidRDefault="00D40A04" w:rsidP="00D40A04">
      <w:pPr>
        <w:jc w:val="both"/>
        <w:rPr>
          <w:rFonts w:eastAsia="Aptos"/>
        </w:rPr>
      </w:pPr>
      <w:r w:rsidRPr="00E14EBC">
        <w:rPr>
          <w:rFonts w:eastAsia="Aptos"/>
        </w:rPr>
        <w:t>Peamised järeldused kolme linna kohta erinevatest allikatest kogutud andmeid võrreldes</w:t>
      </w:r>
      <w:r w:rsidR="00371F8C">
        <w:rPr>
          <w:rFonts w:eastAsia="Aptos"/>
        </w:rPr>
        <w:t xml:space="preserve"> on </w:t>
      </w:r>
      <w:r w:rsidR="00371F8C" w:rsidRPr="00BA017C">
        <w:rPr>
          <w:rFonts w:eastAsia="Aptos"/>
        </w:rPr>
        <w:t>jär</w:t>
      </w:r>
      <w:r w:rsidR="201442B5" w:rsidRPr="00BA017C">
        <w:rPr>
          <w:rFonts w:eastAsia="Aptos"/>
        </w:rPr>
        <w:t>g</w:t>
      </w:r>
      <w:r w:rsidR="00371F8C" w:rsidRPr="00BA017C">
        <w:rPr>
          <w:rFonts w:eastAsia="Aptos"/>
        </w:rPr>
        <w:t>mised</w:t>
      </w:r>
      <w:r w:rsidRPr="00BA017C">
        <w:rPr>
          <w:rFonts w:eastAsia="Aptos"/>
        </w:rPr>
        <w:t>.</w:t>
      </w:r>
      <w:r w:rsidR="00371F8C">
        <w:rPr>
          <w:rFonts w:eastAsia="Aptos"/>
        </w:rPr>
        <w:t xml:space="preserve"> </w:t>
      </w:r>
      <w:r w:rsidR="72E47210" w:rsidRPr="00E14EBC">
        <w:rPr>
          <w:rFonts w:eastAsia="Aptos"/>
        </w:rPr>
        <w:t xml:space="preserve">Keskmine aastane müügitulu majutusruumi kohta on Tallinnas umbes poole kõrgem kui Tartus ja Pärnus. Osalt tuleneb see kümmekond protsendipunkti kõrgemast täitumusest, aga </w:t>
      </w:r>
      <w:r w:rsidR="3D607F6F" w:rsidRPr="00E14EBC">
        <w:rPr>
          <w:rFonts w:eastAsia="Aptos"/>
        </w:rPr>
        <w:t>meie</w:t>
      </w:r>
      <w:r w:rsidR="72E47210" w:rsidRPr="00E14EBC">
        <w:rPr>
          <w:rFonts w:eastAsia="Aptos"/>
        </w:rPr>
        <w:t xml:space="preserve"> hinnangul võib selle taga olla ka suurem professionaalsete pakkujate osakaal; osaliselt ka </w:t>
      </w:r>
      <w:r w:rsidR="3D607F6F" w:rsidRPr="00E14EBC">
        <w:rPr>
          <w:rFonts w:eastAsia="Aptos"/>
        </w:rPr>
        <w:t>ühtlasem täitumus</w:t>
      </w:r>
      <w:r w:rsidR="72E47210" w:rsidRPr="00E14EBC">
        <w:rPr>
          <w:rFonts w:eastAsia="Aptos"/>
        </w:rPr>
        <w:t xml:space="preserve"> ehk hooajalisuse </w:t>
      </w:r>
      <w:r w:rsidR="3D607F6F" w:rsidRPr="00E14EBC">
        <w:rPr>
          <w:rFonts w:eastAsia="Aptos"/>
        </w:rPr>
        <w:t>väiksem mõju</w:t>
      </w:r>
      <w:r w:rsidR="72E47210" w:rsidRPr="00E14EBC">
        <w:rPr>
          <w:rFonts w:eastAsia="Aptos"/>
        </w:rPr>
        <w:t>.</w:t>
      </w:r>
      <w:r w:rsidR="00371F8C">
        <w:rPr>
          <w:rFonts w:eastAsia="Aptos"/>
        </w:rPr>
        <w:t xml:space="preserve"> </w:t>
      </w:r>
      <w:r w:rsidR="000B74C7">
        <w:rPr>
          <w:rFonts w:eastAsia="Aptos"/>
        </w:rPr>
        <w:t>Ilmneb</w:t>
      </w:r>
      <w:r w:rsidR="4EDD54EB" w:rsidRPr="00E14EBC">
        <w:rPr>
          <w:rFonts w:eastAsia="Aptos"/>
        </w:rPr>
        <w:t xml:space="preserve"> suurem siseturistide osakaal Tartu puhul</w:t>
      </w:r>
      <w:r w:rsidR="000B74C7">
        <w:rPr>
          <w:rFonts w:eastAsia="Aptos"/>
        </w:rPr>
        <w:t>, samas kui</w:t>
      </w:r>
      <w:r w:rsidR="4EDD54EB" w:rsidRPr="00E14EBC">
        <w:rPr>
          <w:rFonts w:eastAsia="Aptos"/>
        </w:rPr>
        <w:t xml:space="preserve"> Pärnut külastab rohkem välisturiste.</w:t>
      </w:r>
      <w:r w:rsidR="000B74C7">
        <w:rPr>
          <w:rFonts w:eastAsia="Aptos"/>
        </w:rPr>
        <w:t xml:space="preserve"> </w:t>
      </w:r>
      <w:r w:rsidR="72E47210" w:rsidRPr="00E14EBC">
        <w:rPr>
          <w:rFonts w:eastAsia="Aptos"/>
        </w:rPr>
        <w:t>Märkimist väärib ka majade osakaal pakkumises: Pärnu puhul on see kümmekond protsendipunkti kõrgem kui Tartus ja Tallinnas - märk sellest, et kuurortlinna oodatakse enam peresid ja suuremaid seltskondi.</w:t>
      </w:r>
    </w:p>
    <w:p w14:paraId="3DEB6D61" w14:textId="26DDCEE4" w:rsidR="02F5670D" w:rsidRPr="00780B99" w:rsidRDefault="003D6461" w:rsidP="00B202B0">
      <w:pPr>
        <w:pStyle w:val="Heading3"/>
        <w:numPr>
          <w:ilvl w:val="0"/>
          <w:numId w:val="0"/>
        </w:numPr>
        <w:rPr>
          <w:rStyle w:val="PurpleText"/>
          <w:rFonts w:asciiTheme="minorHAnsi" w:eastAsiaTheme="minorHAnsi" w:hAnsiTheme="minorHAnsi" w:cstheme="minorBidi"/>
          <w:color w:val="auto"/>
          <w:szCs w:val="22"/>
        </w:rPr>
      </w:pPr>
      <w:bookmarkStart w:id="94" w:name="_Toc208991601"/>
      <w:r>
        <w:rPr>
          <w:rStyle w:val="PurpleText"/>
          <w:color w:val="auto"/>
        </w:rPr>
        <w:t xml:space="preserve">2.2.3. </w:t>
      </w:r>
      <w:r w:rsidR="181C9876" w:rsidRPr="00780B99">
        <w:rPr>
          <w:rStyle w:val="PurpleText"/>
          <w:color w:val="auto"/>
        </w:rPr>
        <w:t>Sensitiivsed piirkonnad</w:t>
      </w:r>
      <w:bookmarkEnd w:id="94"/>
    </w:p>
    <w:p w14:paraId="5001A96A" w14:textId="0E750C18" w:rsidR="181C9876" w:rsidRPr="00E14EBC" w:rsidRDefault="3F5BF323" w:rsidP="181C9876">
      <w:pPr>
        <w:jc w:val="both"/>
      </w:pPr>
      <w:r w:rsidRPr="64F64B3A">
        <w:rPr>
          <w:rFonts w:ascii="Arial" w:eastAsia="Arial" w:hAnsi="Arial" w:cs="Arial"/>
        </w:rPr>
        <w:t>Liigse külastuskoormuse ehk ületurismi mõjusid on uuritud juba aastakümneid, lühiajalise üüri ülekoormuse mõjude kohta leidub uuringuid ja analüüse palju vähem. Käesolevas uuringus käsitleme sensitiivsetena piirkondi, kus lühiajalise üüri majutuskohtade liigse tiheduse ja/või mahutavusega kaasnevad ebasoovitavad mõjud elukeskkonnale (nii avatud kui suletud ruum), püsielanikkonnale, äriettevõtetele jne. Liiga suurt külastuskoormus</w:t>
      </w:r>
      <w:r w:rsidR="489D54A6" w:rsidRPr="64F64B3A">
        <w:rPr>
          <w:rFonts w:ascii="Arial" w:eastAsia="Arial" w:hAnsi="Arial" w:cs="Arial"/>
        </w:rPr>
        <w:t>t</w:t>
      </w:r>
      <w:r w:rsidRPr="64F64B3A">
        <w:rPr>
          <w:rFonts w:ascii="Arial" w:eastAsia="Arial" w:hAnsi="Arial" w:cs="Arial"/>
        </w:rPr>
        <w:t xml:space="preserve"> täheldatakse enamasti ajaloolistes linnakeskustes ja atraktiivsemates turismikvartalites. Eesti kontekstis võiks lisada ka miljööväärtuslikud asumid. Külastuskoormuse kriitilise taseme ületamine võib viia piirkondliku identiteedi hägustumiseni, eluasemete kallinemiseni ning nende kättesaadavuse vähenemiseni (klassikaline gentrifikatsioon), kaubanduse-teeninduse profiili muutusteni (ettevõtluskeskkonna gentrifikatsioon). </w:t>
      </w:r>
    </w:p>
    <w:p w14:paraId="0114D237" w14:textId="3461B6EF" w:rsidR="181C9876" w:rsidRPr="00E14EBC" w:rsidRDefault="3F5BF323" w:rsidP="181C9876">
      <w:pPr>
        <w:jc w:val="both"/>
      </w:pPr>
      <w:r w:rsidRPr="64F64B3A">
        <w:rPr>
          <w:rFonts w:ascii="Arial" w:eastAsia="Arial" w:hAnsi="Arial" w:cs="Arial"/>
        </w:rPr>
        <w:t xml:space="preserve">Tallinnas hindame kõige kriitilisemaks olukorra </w:t>
      </w:r>
      <w:r w:rsidR="008A4ED2">
        <w:rPr>
          <w:rFonts w:ascii="Arial" w:eastAsia="Arial" w:hAnsi="Arial" w:cs="Arial"/>
        </w:rPr>
        <w:t>v</w:t>
      </w:r>
      <w:r w:rsidRPr="64F64B3A">
        <w:rPr>
          <w:rFonts w:ascii="Arial" w:eastAsia="Arial" w:hAnsi="Arial" w:cs="Arial"/>
        </w:rPr>
        <w:t xml:space="preserve">analinna asumis, kus Deferti indeksi väärtus on 139, mida loeme väga kõrge intensiivsustaseme näitajaks. Vanalinnas on ebaproportsionaalselt kõrge nii lühiajalise üüri majutuskohtade arv </w:t>
      </w:r>
      <w:r w:rsidR="2E5F8FF2" w:rsidRPr="2E5F8FF2">
        <w:rPr>
          <w:rFonts w:ascii="Arial" w:eastAsia="Arial" w:hAnsi="Arial" w:cs="Arial"/>
        </w:rPr>
        <w:t>(</w:t>
      </w:r>
      <w:r w:rsidR="3BAE1CCE" w:rsidRPr="3BAE1CCE">
        <w:rPr>
          <w:rFonts w:ascii="Arial" w:eastAsia="Arial" w:hAnsi="Arial" w:cs="Arial"/>
        </w:rPr>
        <w:t xml:space="preserve">667) </w:t>
      </w:r>
      <w:r w:rsidRPr="64F64B3A">
        <w:rPr>
          <w:rFonts w:ascii="Arial" w:eastAsia="Arial" w:hAnsi="Arial" w:cs="Arial"/>
        </w:rPr>
        <w:t xml:space="preserve">kui mahutavus - maksimaalne majutatavate arv majutuskoha kohta </w:t>
      </w:r>
      <w:r w:rsidR="65579C99" w:rsidRPr="64F64B3A">
        <w:rPr>
          <w:rFonts w:ascii="Arial" w:eastAsia="Arial" w:hAnsi="Arial" w:cs="Arial"/>
        </w:rPr>
        <w:t xml:space="preserve">on </w:t>
      </w:r>
      <w:r w:rsidRPr="64F64B3A">
        <w:rPr>
          <w:rFonts w:ascii="Arial" w:eastAsia="Arial" w:hAnsi="Arial" w:cs="Arial"/>
        </w:rPr>
        <w:t>keskmiselt 4,7 ning üle 200 külaliskorteri (u kolmandik kõigist) mahutavad rohkem kui 5 külalist.</w:t>
      </w:r>
    </w:p>
    <w:p w14:paraId="3E26C807" w14:textId="4FFB4459" w:rsidR="181C9876" w:rsidRPr="00E14EBC" w:rsidRDefault="36F2CADD" w:rsidP="181C9876">
      <w:pPr>
        <w:jc w:val="both"/>
      </w:pPr>
      <w:r w:rsidRPr="5848DE21">
        <w:rPr>
          <w:rFonts w:ascii="Arial" w:eastAsia="Arial" w:hAnsi="Arial" w:cs="Arial"/>
        </w:rPr>
        <w:t>Indeksi järgi on tõenäoliselt veelgi kõrgem külastuskoormuse intensiivsuse näitaja Rotermanni kvartalis, aga oleme seisukohal, et selle kvartali arendusloogika tõttu (Rotermanni ei ole esmaselt elu-</w:t>
      </w:r>
      <w:r w:rsidR="47AE78D6" w:rsidRPr="5848DE21">
        <w:rPr>
          <w:rFonts w:ascii="Arial" w:eastAsia="Arial" w:hAnsi="Arial" w:cs="Arial"/>
        </w:rPr>
        <w:t>,</w:t>
      </w:r>
      <w:r w:rsidRPr="5848DE21">
        <w:rPr>
          <w:rFonts w:ascii="Arial" w:eastAsia="Arial" w:hAnsi="Arial" w:cs="Arial"/>
        </w:rPr>
        <w:t xml:space="preserve"> vaid äripiirkond) ei ole seal eelpool loetletud ebasoovitavad mõjud vanalinnaga võrreldavad.</w:t>
      </w:r>
    </w:p>
    <w:p w14:paraId="26E33FE7" w14:textId="69FAE8B7" w:rsidR="181C9876" w:rsidRPr="00E14EBC" w:rsidRDefault="181C9876" w:rsidP="181C9876">
      <w:pPr>
        <w:jc w:val="both"/>
      </w:pPr>
      <w:r w:rsidRPr="00E14EBC">
        <w:rPr>
          <w:rFonts w:ascii="Arial" w:eastAsia="Arial" w:hAnsi="Arial" w:cs="Arial"/>
          <w:szCs w:val="24"/>
        </w:rPr>
        <w:t>Miljööväärtuslikes asumites on Deferti indeks tärkava turististumise piirimail Tallinnas Kalamajas (8) ja Tartus Supilinnas (7,5), Kadriorus on näitaja veidi madalam (5).</w:t>
      </w:r>
    </w:p>
    <w:p w14:paraId="3010A03E" w14:textId="45C30AE1" w:rsidR="00ED0E64" w:rsidRPr="00434501" w:rsidRDefault="003D6461" w:rsidP="00B92E7F">
      <w:pPr>
        <w:pStyle w:val="Heading3"/>
        <w:numPr>
          <w:ilvl w:val="0"/>
          <w:numId w:val="0"/>
        </w:numPr>
        <w:rPr>
          <w:rStyle w:val="PurpleText"/>
          <w:rFonts w:asciiTheme="minorHAnsi" w:eastAsiaTheme="minorHAnsi" w:hAnsiTheme="minorHAnsi" w:cstheme="minorBidi"/>
          <w:color w:val="auto"/>
          <w:szCs w:val="22"/>
        </w:rPr>
      </w:pPr>
      <w:bookmarkStart w:id="95" w:name="_Toc208991602"/>
      <w:r>
        <w:rPr>
          <w:rStyle w:val="PurpleText"/>
          <w:color w:val="auto"/>
        </w:rPr>
        <w:t xml:space="preserve">2.2.4. </w:t>
      </w:r>
      <w:r w:rsidR="18C9F0B4" w:rsidRPr="00434501">
        <w:rPr>
          <w:rStyle w:val="PurpleText"/>
          <w:color w:val="auto"/>
        </w:rPr>
        <w:t>Majutajad</w:t>
      </w:r>
      <w:bookmarkEnd w:id="95"/>
    </w:p>
    <w:p w14:paraId="13558DB3" w14:textId="77777777" w:rsidR="00ED0E64" w:rsidRPr="00E14EBC" w:rsidRDefault="18C9F0B4" w:rsidP="00ED0E64">
      <w:pPr>
        <w:jc w:val="both"/>
      </w:pPr>
      <w:r w:rsidRPr="00E14EBC">
        <w:t xml:space="preserve">Peamiselt veebiplatvormide vahendatavad lühiajalise üüriteenuse pakkujad võib jaotada kolmeks: </w:t>
      </w:r>
    </w:p>
    <w:p w14:paraId="2DF21CE4" w14:textId="77777777" w:rsidR="00ED0E64" w:rsidRPr="00E14EBC" w:rsidRDefault="18C9F0B4" w:rsidP="007F08F4">
      <w:pPr>
        <w:pStyle w:val="ListParagraph"/>
        <w:numPr>
          <w:ilvl w:val="0"/>
          <w:numId w:val="56"/>
        </w:numPr>
        <w:jc w:val="both"/>
      </w:pPr>
      <w:r w:rsidRPr="00E14EBC">
        <w:lastRenderedPageBreak/>
        <w:t xml:space="preserve">kutseline/professionaalne majutusettevõtja (üürib välja kogu kinnistusüksust – tervet korterit, puhke- või külalistemaja, mis ei ole majutaja peamine/teisene elukoht, enamasti haldab rohkem kui ühte majutuskohta); </w:t>
      </w:r>
    </w:p>
    <w:p w14:paraId="0D2BFE6B" w14:textId="77777777" w:rsidR="00ED0E64" w:rsidRPr="00E14EBC" w:rsidRDefault="18C9F0B4" w:rsidP="007F08F4">
      <w:pPr>
        <w:pStyle w:val="ListParagraph"/>
        <w:numPr>
          <w:ilvl w:val="0"/>
          <w:numId w:val="56"/>
        </w:numPr>
        <w:jc w:val="both"/>
      </w:pPr>
      <w:r w:rsidRPr="00E14EBC">
        <w:t>peamise või teisese elukoha välja üürija (üürib välja kogu kinnistusüksust – korter, üksikelamu või suvila ajal, kui seda ise ei kasuta);</w:t>
      </w:r>
    </w:p>
    <w:p w14:paraId="4329246F" w14:textId="77777777" w:rsidR="00ED0E64" w:rsidRPr="00E14EBC" w:rsidRDefault="18C9F0B4" w:rsidP="007F08F4">
      <w:pPr>
        <w:pStyle w:val="ListParagraph"/>
        <w:numPr>
          <w:ilvl w:val="0"/>
          <w:numId w:val="56"/>
        </w:numPr>
        <w:jc w:val="both"/>
      </w:pPr>
      <w:r w:rsidRPr="00E14EBC">
        <w:t>peamise/teisese elukoha osa välja üürija (üürib tuba/tube, majaosa, aiamaja ajal, kui ise on kohal).</w:t>
      </w:r>
    </w:p>
    <w:p w14:paraId="73976A06" w14:textId="5238F754" w:rsidR="4EDD54EB" w:rsidRPr="00E14EBC" w:rsidRDefault="60F39C06" w:rsidP="4EDD54EB">
      <w:pPr>
        <w:jc w:val="both"/>
        <w:rPr>
          <w:rFonts w:eastAsia="Aptos"/>
        </w:rPr>
      </w:pPr>
      <w:r w:rsidRPr="00E14EBC">
        <w:rPr>
          <w:rFonts w:eastAsia="Aptos"/>
        </w:rPr>
        <w:t>2023.</w:t>
      </w:r>
      <w:r w:rsidR="16D82CEB" w:rsidRPr="00E14EBC">
        <w:rPr>
          <w:rFonts w:eastAsia="Aptos"/>
        </w:rPr>
        <w:t xml:space="preserve"> </w:t>
      </w:r>
      <w:r w:rsidR="74ADB82A" w:rsidRPr="00E14EBC">
        <w:rPr>
          <w:rFonts w:eastAsia="Aptos"/>
        </w:rPr>
        <w:t>aastal</w:t>
      </w:r>
      <w:r w:rsidR="7F771F90" w:rsidRPr="00E14EBC">
        <w:rPr>
          <w:rFonts w:eastAsia="Aptos"/>
        </w:rPr>
        <w:t xml:space="preserve"> moodustasid Eestis keskmiselt 74% üüripindadest sellised, mille pakkujale kuulus vähemalt 2 üüripinda ehk EIS</w:t>
      </w:r>
      <w:r w:rsidR="00F17D05">
        <w:rPr>
          <w:rFonts w:eastAsia="Aptos"/>
        </w:rPr>
        <w:t>-i</w:t>
      </w:r>
      <w:r w:rsidR="7F771F90" w:rsidRPr="00E14EBC">
        <w:rPr>
          <w:rFonts w:eastAsia="Aptos"/>
        </w:rPr>
        <w:t xml:space="preserve"> hinnangul professionaalsed pakkujad</w:t>
      </w:r>
      <w:r w:rsidR="0086079B">
        <w:rPr>
          <w:rFonts w:eastAsia="Aptos"/>
        </w:rPr>
        <w:t>.</w:t>
      </w:r>
      <w:r w:rsidR="00ED0E64" w:rsidRPr="00E14EBC">
        <w:rPr>
          <w:rStyle w:val="FootnoteReference"/>
          <w:rFonts w:eastAsia="Aptos"/>
        </w:rPr>
        <w:footnoteReference w:id="83"/>
      </w:r>
      <w:r w:rsidR="0086079B">
        <w:rPr>
          <w:rFonts w:eastAsia="Aptos"/>
        </w:rPr>
        <w:t xml:space="preserve"> </w:t>
      </w:r>
      <w:r w:rsidR="168A4D82" w:rsidRPr="00E14EBC">
        <w:rPr>
          <w:rFonts w:eastAsia="Aptos"/>
        </w:rPr>
        <w:t>Suurimad lühiajalise üüriteenuse pakkujad leiab Tallinnast: AirDNA andmeil on kolm suuremat Dream Stay (132 kuulutust), Tallinn City Apartments (93 kuulutust) ja EasyRentals (33 kuulutust). Pärnus on suurim külaliskorterite pakkuja Reldor (31 majutuskohta)</w:t>
      </w:r>
      <w:r w:rsidR="4EDD54EB" w:rsidRPr="00E14EBC">
        <w:rPr>
          <w:rStyle w:val="FootnoteReference"/>
          <w:rFonts w:eastAsia="Aptos"/>
        </w:rPr>
        <w:footnoteReference w:id="84"/>
      </w:r>
      <w:r w:rsidR="168A4D82" w:rsidRPr="00E14EBC">
        <w:rPr>
          <w:rFonts w:eastAsia="Aptos"/>
        </w:rPr>
        <w:t>. Tartus on</w:t>
      </w:r>
      <w:r w:rsidR="6C19D7CA" w:rsidRPr="00E14EBC">
        <w:rPr>
          <w:rFonts w:eastAsia="Aptos"/>
        </w:rPr>
        <w:t xml:space="preserve"> </w:t>
      </w:r>
      <w:r w:rsidR="168A4D82" w:rsidRPr="00E14EBC">
        <w:rPr>
          <w:rFonts w:eastAsia="Aptos"/>
        </w:rPr>
        <w:t>AirDNA andmeil suurim EasyRentals (13 kuulutust).</w:t>
      </w:r>
    </w:p>
    <w:p w14:paraId="467696CF" w14:textId="3364CBFD" w:rsidR="008B0AD1" w:rsidRDefault="008B0AD1" w:rsidP="008B0AD1">
      <w:pPr>
        <w:jc w:val="both"/>
        <w:rPr>
          <w:rFonts w:eastAsiaTheme="minorEastAsia"/>
          <w:color w:val="000000"/>
          <w:szCs w:val="24"/>
        </w:rPr>
      </w:pPr>
      <w:r w:rsidRPr="008B0AD1">
        <w:rPr>
          <w:rFonts w:eastAsiaTheme="minorEastAsia"/>
          <w:szCs w:val="24"/>
        </w:rPr>
        <w:t xml:space="preserve">MTA andmeil oli 2023. aastal veebiplavormidel lühiajalise üüri majutusteenuse pakkujate seas arvuliselt juriidilisi ja füüsilisi isikuid enam-vähem pooleks: füüsilisi isikuid 1684 ja juriidilisi isikuid 1700, viimastest pisut enam kui pooled (52%) olid käibemaksukohuslased. Maakondadest on majutajate seas ülekaalukalt enim Harjumaa residente (53% juriidilistest ja 55% füüsilistest isikutest); järgnevad üsna võrdselt Tartumaa ja Pärnumaa (10–11 protsenti). Kõige vähem on majutajaid Järvamaal, Jõgevamaal ja Raplamaal (0,5–1%). </w:t>
      </w:r>
    </w:p>
    <w:p w14:paraId="02047E95" w14:textId="654C3BD0" w:rsidR="00F5468D" w:rsidRPr="00E14EBC" w:rsidRDefault="72E47210" w:rsidP="00514229">
      <w:pPr>
        <w:jc w:val="both"/>
      </w:pPr>
      <w:r w:rsidRPr="620C78A1">
        <w:rPr>
          <w:rFonts w:eastAsiaTheme="minorEastAsia"/>
          <w:szCs w:val="24"/>
        </w:rPr>
        <w:t>MTA esindajatega läbiviidud intervjuu põhjal deklareerib füüsilise isiku tuludeklaratsiooni (FIDEK) and</w:t>
      </w:r>
      <w:r w:rsidRPr="00E14EBC">
        <w:t>metel üüritulu umbes 28 000 inimest, mis on ühest küljest väga suur erinevus võrreldes DAC7 andmetega, aga teisalt seal peab arvestama, et FIDEK-i andmete hulgas domineerib pikaajaline üürimine.</w:t>
      </w:r>
      <w:r w:rsidR="00A121A1">
        <w:t xml:space="preserve"> </w:t>
      </w:r>
      <w:r w:rsidR="7F1ACD41">
        <w:t>MTA tehingupõhistel andmetel oli 2023.</w:t>
      </w:r>
      <w:r w:rsidRPr="00E14EBC">
        <w:t xml:space="preserve"> aastal 15 maakonnast kümnes</w:t>
      </w:r>
      <w:r w:rsidR="47570290">
        <w:t xml:space="preserve"> ühe müüja</w:t>
      </w:r>
      <w:r w:rsidRPr="00E14EBC">
        <w:t xml:space="preserve"> maksimaalne platvormidel välja üüritavate kinnistusüksuste arv 3. Tallinnas oli maksimaalne arv 80, Tartus 13 ja Pärnus 12.</w:t>
      </w:r>
    </w:p>
    <w:p w14:paraId="35BC6C41" w14:textId="127C1A11" w:rsidR="3298E9EC" w:rsidRDefault="3298E9EC" w:rsidP="3298E9EC">
      <w:pPr>
        <w:jc w:val="both"/>
        <w:rPr>
          <w:rFonts w:eastAsiaTheme="minorEastAsia"/>
          <w:color w:val="000000"/>
          <w:szCs w:val="24"/>
        </w:rPr>
      </w:pPr>
      <w:r w:rsidRPr="3298E9EC">
        <w:rPr>
          <w:rFonts w:eastAsiaTheme="minorEastAsia"/>
          <w:szCs w:val="24"/>
        </w:rPr>
        <w:t>MTA andmeile tuginedes majandab u</w:t>
      </w:r>
      <w:r w:rsidRPr="3298E9EC">
        <w:rPr>
          <w:rFonts w:eastAsiaTheme="minorEastAsia"/>
          <w:color w:val="000000"/>
          <w:szCs w:val="24"/>
        </w:rPr>
        <w:t>mbes 3/4 kõigist aktiivsetest müüjatest ühe majutuskohaga (kinnistusüksusega) - juriidilistest isikutest 70% ja füüsilistest isikutest 85% (MTA).</w:t>
      </w:r>
    </w:p>
    <w:p w14:paraId="344F064F" w14:textId="58D68198" w:rsidR="4EDD54EB" w:rsidRPr="00E14EBC" w:rsidRDefault="1A190A69" w:rsidP="00514229">
      <w:pPr>
        <w:pStyle w:val="ListParagraph"/>
        <w:spacing w:after="120"/>
        <w:ind w:left="0"/>
        <w:jc w:val="both"/>
        <w:rPr>
          <w:b/>
          <w:bCs/>
        </w:rPr>
      </w:pPr>
      <w:r>
        <w:t xml:space="preserve">AirDNA tasulise konto andmetel oli viimase 12 kuu jooksul (juuni 2024 kuni mai 2025) ühe majutuskohaga majutajate aktiivseid kuulutusi Tallinnas 484, Tartus 169 ja Pärnus 140; 2–5 majutuskohaga majutajate kuulutusi oli vastavalt 609, 143 ja 133; 6–20 majutuskohaga majutajatel 441, 92 ja 62 ning 21 ja enama majutuskohaga majutajatel 469, 99 ja 7. AirDNA klassifitseeris professionaalseks majutajaks Tallinnas 249, Tartus 12 ja Pärnus </w:t>
      </w:r>
      <w:r w:rsidR="5C95189C">
        <w:t xml:space="preserve">vaid </w:t>
      </w:r>
      <w:r>
        <w:t>1 majutaja. Kokku oli aktiivseid kuulutusi Tallinnas 2003, Tartus 342 ja Pärnus 503.</w:t>
      </w:r>
    </w:p>
    <w:p w14:paraId="60954F2E" w14:textId="7645B609" w:rsidR="00D40A04" w:rsidRPr="00E14EBC" w:rsidRDefault="00B97B81" w:rsidP="00D40A04">
      <w:pPr>
        <w:jc w:val="both"/>
        <w:rPr>
          <w:rFonts w:eastAsia="Aptos"/>
        </w:rPr>
      </w:pPr>
      <w:r w:rsidRPr="1688D34F">
        <w:rPr>
          <w:rFonts w:eastAsia="Aptos"/>
        </w:rPr>
        <w:t>V</w:t>
      </w:r>
      <w:r w:rsidR="18C9F0B4" w:rsidRPr="1688D34F">
        <w:rPr>
          <w:rFonts w:eastAsia="Aptos"/>
        </w:rPr>
        <w:t>iisi</w:t>
      </w:r>
      <w:r w:rsidRPr="1688D34F">
        <w:rPr>
          <w:rFonts w:eastAsia="Aptos"/>
        </w:rPr>
        <w:t>me</w:t>
      </w:r>
      <w:r w:rsidR="18C9F0B4" w:rsidRPr="1688D34F">
        <w:rPr>
          <w:rFonts w:eastAsia="Aptos"/>
        </w:rPr>
        <w:t xml:space="preserve"> läbi ka juhuvalikuga (maksimaalselt 180 esimest vastust) testimise - 18.03.2025 </w:t>
      </w:r>
      <w:r w:rsidR="3D607F6F" w:rsidRPr="1688D34F">
        <w:rPr>
          <w:rFonts w:eastAsia="Aptos"/>
        </w:rPr>
        <w:t>tegime</w:t>
      </w:r>
      <w:r w:rsidR="18C9F0B4" w:rsidRPr="1688D34F">
        <w:rPr>
          <w:rFonts w:eastAsia="Aptos"/>
        </w:rPr>
        <w:t xml:space="preserve"> Airbnb’s </w:t>
      </w:r>
      <w:r w:rsidR="3D607F6F" w:rsidRPr="1688D34F">
        <w:rPr>
          <w:rFonts w:eastAsia="Aptos"/>
        </w:rPr>
        <w:t xml:space="preserve">seitse veebipäringut </w:t>
      </w:r>
      <w:r w:rsidR="701BD83E" w:rsidRPr="701BD83E">
        <w:rPr>
          <w:rFonts w:eastAsia="Aptos"/>
        </w:rPr>
        <w:t>(</w:t>
      </w:r>
      <w:r w:rsidR="3D607F6F" w:rsidRPr="1688D34F">
        <w:rPr>
          <w:rFonts w:eastAsia="Aptos"/>
        </w:rPr>
        <w:t>aprill</w:t>
      </w:r>
      <w:r w:rsidR="18C9F0B4" w:rsidRPr="1688D34F">
        <w:rPr>
          <w:rFonts w:eastAsia="Aptos"/>
        </w:rPr>
        <w:t xml:space="preserve">, nädala keskel, 2 </w:t>
      </w:r>
      <w:r w:rsidR="3D607F6F" w:rsidRPr="1688D34F">
        <w:rPr>
          <w:rFonts w:eastAsia="Aptos"/>
        </w:rPr>
        <w:t>inimest</w:t>
      </w:r>
      <w:r w:rsidR="4299EAD0" w:rsidRPr="4299EAD0">
        <w:rPr>
          <w:rFonts w:eastAsia="Aptos"/>
        </w:rPr>
        <w:t>).</w:t>
      </w:r>
      <w:r w:rsidR="18C9F0B4" w:rsidRPr="1688D34F">
        <w:rPr>
          <w:rFonts w:eastAsia="Aptos"/>
        </w:rPr>
        <w:t xml:space="preserve"> Tulemused </w:t>
      </w:r>
      <w:r w:rsidR="005B5718">
        <w:rPr>
          <w:rFonts w:eastAsia="Aptos"/>
        </w:rPr>
        <w:t xml:space="preserve">näitasid, et </w:t>
      </w:r>
      <w:r w:rsidR="00130380">
        <w:rPr>
          <w:rFonts w:eastAsia="Aptos"/>
        </w:rPr>
        <w:t xml:space="preserve">kõikides vaadeldud </w:t>
      </w:r>
      <w:r w:rsidR="005B5718">
        <w:rPr>
          <w:rFonts w:eastAsia="Aptos"/>
        </w:rPr>
        <w:t xml:space="preserve">Eesti piirkondades </w:t>
      </w:r>
      <w:r w:rsidR="00130380">
        <w:rPr>
          <w:rFonts w:eastAsia="Aptos"/>
        </w:rPr>
        <w:t xml:space="preserve">rohkem kui pooled teenuse pakkujad teevad seda ettevõtte kaudu. Täpsemalt Tallinna </w:t>
      </w:r>
      <w:r w:rsidR="00130380" w:rsidRPr="28A6C26E">
        <w:rPr>
          <w:rFonts w:eastAsia="Aptos"/>
        </w:rPr>
        <w:t>kesklinna</w:t>
      </w:r>
      <w:r w:rsidR="2D4C3FC0" w:rsidRPr="28A6C26E">
        <w:rPr>
          <w:rFonts w:eastAsia="Aptos"/>
        </w:rPr>
        <w:t>s</w:t>
      </w:r>
      <w:r w:rsidR="00130380">
        <w:rPr>
          <w:rFonts w:eastAsia="Aptos"/>
        </w:rPr>
        <w:t xml:space="preserve"> oli see osakaal 87% (180st kuulutusest 156), Tartus 63% (</w:t>
      </w:r>
      <w:r w:rsidR="00501E8F">
        <w:rPr>
          <w:rFonts w:eastAsia="Aptos"/>
        </w:rPr>
        <w:t xml:space="preserve">180st </w:t>
      </w:r>
      <w:r w:rsidR="00501E8F">
        <w:rPr>
          <w:rFonts w:eastAsia="Aptos"/>
        </w:rPr>
        <w:lastRenderedPageBreak/>
        <w:t>114), Pärnus 61% (180st 109), Võrumaal 59%</w:t>
      </w:r>
      <w:r w:rsidR="0069727A">
        <w:rPr>
          <w:rFonts w:eastAsia="Aptos"/>
        </w:rPr>
        <w:t xml:space="preserve"> (180st 106), Lääne-Virumaal 64% (165st 105), Hiiumaal ja Viljandimaal 57% (vastavalt 102st 58 ja </w:t>
      </w:r>
      <w:r w:rsidR="00A82E0A">
        <w:rPr>
          <w:rFonts w:eastAsia="Aptos"/>
        </w:rPr>
        <w:t>175st 100).</w:t>
      </w:r>
    </w:p>
    <w:p w14:paraId="092C4D49" w14:textId="686EA969" w:rsidR="00D40A04" w:rsidRPr="00E14EBC" w:rsidRDefault="18C9F0B4" w:rsidP="00E70FC8">
      <w:pPr>
        <w:jc w:val="both"/>
      </w:pPr>
      <w:r w:rsidRPr="00E14EBC">
        <w:t xml:space="preserve">Ülaltoodud ettevõtjatest majutajate arvud on vaid need, mis olid kuulutuses vastava märkega tähistatud, aga praktikast on teada, et ka eraisikust majutaja nime taga on osadel juhtudel ettevõte. Aga ka pelgalt vastavalt märgistatud majutuskohti arvestades on kõigis pistelise testimise piirkondades rohkem kui pooltel juhtudel tegemist </w:t>
      </w:r>
      <w:r w:rsidR="21A7CBF2" w:rsidRPr="00E14EBC">
        <w:t>ettevõtlusega</w:t>
      </w:r>
      <w:r w:rsidR="50C9E6AB" w:rsidRPr="00E14EBC">
        <w:t xml:space="preserve"> </w:t>
      </w:r>
      <w:r w:rsidR="5BDC247E" w:rsidRPr="00E14EBC">
        <w:t xml:space="preserve">ehk </w:t>
      </w:r>
      <w:r w:rsidR="17317540" w:rsidRPr="00E14EBC">
        <w:t>püsiva</w:t>
      </w:r>
      <w:r w:rsidR="5BDC247E" w:rsidRPr="00E14EBC">
        <w:t xml:space="preserve"> majandustegevusega</w:t>
      </w:r>
      <w:r w:rsidRPr="00E14EBC">
        <w:t xml:space="preserve">, Tallinna Kesklinnas koguni 87 </w:t>
      </w:r>
      <w:r w:rsidR="6709C550" w:rsidRPr="00E14EBC">
        <w:t xml:space="preserve">protsendil testitud </w:t>
      </w:r>
      <w:r w:rsidRPr="00E14EBC">
        <w:t xml:space="preserve">juhtudest, mujal jääb </w:t>
      </w:r>
      <w:r w:rsidR="17317540" w:rsidRPr="00E14EBC">
        <w:t>püsiv</w:t>
      </w:r>
      <w:r w:rsidR="3277C439" w:rsidRPr="00E14EBC">
        <w:t xml:space="preserve"> majandustegevus</w:t>
      </w:r>
      <w:r w:rsidRPr="00E14EBC">
        <w:t xml:space="preserve"> 57% ja 63% vahele.</w:t>
      </w:r>
    </w:p>
    <w:p w14:paraId="1A22B13E" w14:textId="0CF6B7DA" w:rsidR="598BB2BE" w:rsidRPr="00E14EBC" w:rsidRDefault="749BA66A" w:rsidP="00E70FC8">
      <w:pPr>
        <w:jc w:val="both"/>
      </w:pPr>
      <w:r>
        <w:t>Kõigist Eestis majutajate 2023. aastal teenitud tuludest (kokku u 32 miljonit eurot) oli Tallinna residentide osakaal 63%, ülejäänud Harjumaa 10%</w:t>
      </w:r>
      <w:r w:rsidR="72939ADB">
        <w:t>,</w:t>
      </w:r>
      <w:r>
        <w:t xml:space="preserve"> Tartumaa 8% ja Pärnumaa 6%. Kokku moodustasid need kolm maakonda 87% kõigist lühiajaliste majutajate 2023. aasta tuludest. Ehk taaskord: välja paistab suurem professionaalsus, väiksem hooajalisus (Tallinn ja Tartu), aga ka lühem hooaeg, kuid kõrgemad hinnad (Pärnu).</w:t>
      </w:r>
    </w:p>
    <w:p w14:paraId="1CE21706" w14:textId="0B6F3A35" w:rsidR="00ED0E64" w:rsidRDefault="009E373E" w:rsidP="009E373E">
      <w:pPr>
        <w:pStyle w:val="Heading2"/>
        <w:numPr>
          <w:ilvl w:val="0"/>
          <w:numId w:val="0"/>
        </w:numPr>
        <w:rPr>
          <w:rFonts w:hint="eastAsia"/>
        </w:rPr>
      </w:pPr>
      <w:bookmarkStart w:id="96" w:name="_Toc197718069"/>
      <w:bookmarkStart w:id="97" w:name="_Toc208991603"/>
      <w:r w:rsidRPr="00E14EBC">
        <w:t xml:space="preserve">2.3. </w:t>
      </w:r>
      <w:r w:rsidR="4AAA33E3" w:rsidRPr="00E14EBC">
        <w:t>Nõudlus lühiajalise üüri turul</w:t>
      </w:r>
      <w:bookmarkEnd w:id="96"/>
      <w:bookmarkEnd w:id="97"/>
    </w:p>
    <w:p w14:paraId="1AEDC562" w14:textId="1A3F23FB" w:rsidR="0088266E" w:rsidRPr="00230042" w:rsidRDefault="0088266E" w:rsidP="00230042">
      <w:pPr>
        <w:pStyle w:val="Heading3"/>
        <w:numPr>
          <w:ilvl w:val="0"/>
          <w:numId w:val="0"/>
        </w:numPr>
        <w:ind w:left="504" w:hanging="504"/>
        <w:rPr>
          <w:rFonts w:hint="eastAsia"/>
        </w:rPr>
      </w:pPr>
      <w:bookmarkStart w:id="98" w:name="_Toc208991604"/>
      <w:r>
        <w:t>2.3.1. Nõudluse</w:t>
      </w:r>
      <w:r w:rsidR="00A00631">
        <w:t>st üldiselt</w:t>
      </w:r>
      <w:bookmarkEnd w:id="98"/>
    </w:p>
    <w:p w14:paraId="358DBFBB" w14:textId="2A79F050" w:rsidR="00ED0E64" w:rsidRPr="00E14EBC" w:rsidRDefault="529B60BD" w:rsidP="00230042">
      <w:pPr>
        <w:jc w:val="both"/>
      </w:pPr>
      <w:r>
        <w:t>Nõudluse arvnäitajaid ja nende variatsioone, aga ka andmeallikaid on märksa vähem kui pakkumise omi. Nõudluse peamised näitajad on majutatute arv ehk ööbinud külaliste arv</w:t>
      </w:r>
      <w:r w:rsidR="00E85E6E">
        <w:t>, broneeringute arv</w:t>
      </w:r>
      <w:r w:rsidR="78677A5C">
        <w:t>,</w:t>
      </w:r>
      <w:r w:rsidR="00E85E6E">
        <w:t xml:space="preserve"> </w:t>
      </w:r>
      <w:r w:rsidR="00CD03BF">
        <w:t>majutuskoha väljaüüritud kordade arv</w:t>
      </w:r>
      <w:r>
        <w:t xml:space="preserve"> ja ööbimiste arv, aga olulisteks parameetriteks on ka täitumus, müügitulu saada oleva majutuskoha kohta (RevPAR</w:t>
      </w:r>
      <w:r w:rsidR="6311F349">
        <w:t>) ja müügitulu kokku.</w:t>
      </w:r>
      <w:r>
        <w:t xml:space="preserve"> Ehk arvuline, ajaline ja rahaline mõõde.</w:t>
      </w:r>
    </w:p>
    <w:p w14:paraId="1A013045" w14:textId="12A88A2F" w:rsidR="00ED0E64" w:rsidRPr="00E14EBC" w:rsidRDefault="00ED0E64" w:rsidP="008E2B69">
      <w:r w:rsidRPr="00E14EBC">
        <w:t>Andme</w:t>
      </w:r>
      <w:r w:rsidR="008A1C64">
        <w:t>id kogusime kolmest allikast:</w:t>
      </w:r>
    </w:p>
    <w:p w14:paraId="790A9E75" w14:textId="4B94D289" w:rsidR="00D40A04" w:rsidRPr="00E14EBC" w:rsidRDefault="4F2C68D7" w:rsidP="007F08F4">
      <w:pPr>
        <w:pStyle w:val="ListParagraph"/>
        <w:numPr>
          <w:ilvl w:val="1"/>
          <w:numId w:val="57"/>
        </w:numPr>
        <w:spacing w:before="0" w:line="278" w:lineRule="auto"/>
        <w:jc w:val="both"/>
      </w:pPr>
      <w:r>
        <w:t>Eurostat</w:t>
      </w:r>
      <w:r w:rsidR="11D813E2">
        <w:t>i</w:t>
      </w:r>
      <w:r>
        <w:t xml:space="preserve"> eksperimentaalstatistika</w:t>
      </w:r>
      <w:r w:rsidR="008A1C64">
        <w:t>, mis</w:t>
      </w:r>
      <w:r>
        <w:t xml:space="preserve"> hõlmab majutuste arvu (</w:t>
      </w:r>
      <w:r w:rsidR="00FA4589">
        <w:t>broneeringute</w:t>
      </w:r>
      <w:r>
        <w:t xml:space="preserve"> arvu e</w:t>
      </w:r>
      <w:r w:rsidR="7F460E96">
        <w:t>hk</w:t>
      </w:r>
      <w:r>
        <w:t xml:space="preserve"> kui mitu korda oli majutuskoht mingis ajaühikus välja üüritud), broneeritud ööde arvu (kui mitu ööd oli majutuskoht mingis ajaühikus välja üüritud)</w:t>
      </w:r>
      <w:r w:rsidR="0EF927AD">
        <w:t xml:space="preserve"> </w:t>
      </w:r>
      <w:r>
        <w:t>ja ööbimiste arvu (külaliste arv korda ööde arv).</w:t>
      </w:r>
    </w:p>
    <w:p w14:paraId="78E7FD56" w14:textId="6EC4A665" w:rsidR="00ED0E64" w:rsidRPr="00E14EBC" w:rsidRDefault="72E47210" w:rsidP="007F08F4">
      <w:pPr>
        <w:pStyle w:val="ListParagraph"/>
        <w:numPr>
          <w:ilvl w:val="1"/>
          <w:numId w:val="57"/>
        </w:numPr>
        <w:spacing w:before="0" w:line="278" w:lineRule="auto"/>
        <w:jc w:val="both"/>
      </w:pPr>
      <w:r w:rsidRPr="00E14EBC">
        <w:t>Lighthouse’i EISi töölaud</w:t>
      </w:r>
      <w:r w:rsidR="008A1C64">
        <w:t>, mis</w:t>
      </w:r>
      <w:r w:rsidRPr="00E14EBC">
        <w:t xml:space="preserve"> kajastab vaid broneeritud ööde arvu, aga mitte majutuste ega ööbimiste arvu.</w:t>
      </w:r>
    </w:p>
    <w:p w14:paraId="47C36874" w14:textId="7AEDEC91" w:rsidR="72E47210" w:rsidRPr="00E14EBC" w:rsidRDefault="6BF7470B" w:rsidP="007F08F4">
      <w:pPr>
        <w:pStyle w:val="ListParagraph"/>
        <w:numPr>
          <w:ilvl w:val="1"/>
          <w:numId w:val="57"/>
        </w:numPr>
        <w:spacing w:before="0" w:line="278" w:lineRule="auto"/>
        <w:jc w:val="both"/>
      </w:pPr>
      <w:r>
        <w:t>MTAle platvormide poolt DAC7 alusel edastatud andmed</w:t>
      </w:r>
      <w:r w:rsidR="00A018D1">
        <w:t>, mis sisaldab lühiajalise üüri teenuse osutajate tulude kogusummat ja tehingute arvu</w:t>
      </w:r>
      <w:r>
        <w:t xml:space="preserve"> </w:t>
      </w:r>
      <w:r w:rsidR="1A1186E5">
        <w:t>(</w:t>
      </w:r>
      <w:r>
        <w:t>saadud andmepäringuga</w:t>
      </w:r>
      <w:r w:rsidR="0F96F1F8">
        <w:t>)</w:t>
      </w:r>
      <w:r w:rsidR="349B1763">
        <w:t>.</w:t>
      </w:r>
    </w:p>
    <w:p w14:paraId="1B7FDF95" w14:textId="77777777" w:rsidR="00ED0E64" w:rsidRPr="00E14EBC" w:rsidRDefault="00ED0E64" w:rsidP="00ED0E64">
      <w:pPr>
        <w:jc w:val="both"/>
      </w:pPr>
      <w:r w:rsidRPr="00E14EBC">
        <w:t>Varasemad kui 2018 andmed on platvormide infosüsteemide muutuste ja turuinfo kogujate tegevuse algusjärgu tõttu episoodilised ja ebaülevaatlikud.</w:t>
      </w:r>
    </w:p>
    <w:p w14:paraId="77DC3FD4" w14:textId="015BA79F" w:rsidR="598BB2BE" w:rsidRPr="00E14EBC" w:rsidRDefault="6BF7470B" w:rsidP="4E440EBC">
      <w:pPr>
        <w:jc w:val="both"/>
      </w:pPr>
      <w:r>
        <w:t xml:space="preserve">Kõige väiksemate mööndustega on võrreldavad majutusettevõtete ja lühiajalise üüri teenuse andmed ööbimiste arvu kohta (Lisa 5, Tabel </w:t>
      </w:r>
      <w:r w:rsidR="4E25C82E">
        <w:t>27</w:t>
      </w:r>
      <w:r>
        <w:t xml:space="preserve">). </w:t>
      </w:r>
      <w:r w:rsidR="2669B0FC">
        <w:t xml:space="preserve">Võrreldes </w:t>
      </w:r>
      <w:r w:rsidR="1F2B153D">
        <w:t>mahutavusega</w:t>
      </w:r>
      <w:r w:rsidR="3BEE6AE2">
        <w:t>, mis lühiajalise üüri</w:t>
      </w:r>
      <w:r w:rsidR="44D77DD4">
        <w:t xml:space="preserve"> </w:t>
      </w:r>
      <w:r w:rsidR="2BA2D667">
        <w:t>maksimaalse külaliste arvu</w:t>
      </w:r>
      <w:r w:rsidR="7529EAB9">
        <w:t xml:space="preserve"> </w:t>
      </w:r>
      <w:r w:rsidR="44D77DD4">
        <w:t xml:space="preserve">osas </w:t>
      </w:r>
      <w:r w:rsidR="0F261AE8">
        <w:t xml:space="preserve">isegi </w:t>
      </w:r>
      <w:r w:rsidR="44D77DD4">
        <w:t xml:space="preserve">ületas majutusettevõtete voodikohtade </w:t>
      </w:r>
      <w:r w:rsidR="7529EAB9">
        <w:t>arvu</w:t>
      </w:r>
      <w:r w:rsidR="2BA2D667">
        <w:t>, on</w:t>
      </w:r>
      <w:r w:rsidR="45097876">
        <w:t xml:space="preserve"> </w:t>
      </w:r>
      <w:r w:rsidR="4A620FCE">
        <w:t xml:space="preserve">majutusettevõtete </w:t>
      </w:r>
      <w:r w:rsidR="7547FCDF">
        <w:t>nõudlus ehk ööbimiste</w:t>
      </w:r>
      <w:r w:rsidR="4A620FCE">
        <w:t xml:space="preserve"> </w:t>
      </w:r>
      <w:r w:rsidR="5CC3D76E">
        <w:t xml:space="preserve">maht </w:t>
      </w:r>
      <w:r w:rsidR="7BC7FD4B">
        <w:t>lühiajalise üüri omast 4</w:t>
      </w:r>
      <w:r w:rsidR="5CC3D76E">
        <w:t>,5 korda suurem</w:t>
      </w:r>
      <w:r w:rsidR="7547FCDF">
        <w:t>.</w:t>
      </w:r>
      <w:r w:rsidR="2AEC30FB">
        <w:t xml:space="preserve"> </w:t>
      </w:r>
    </w:p>
    <w:p w14:paraId="4A9FFD74" w14:textId="343A30BD" w:rsidR="598BB2BE" w:rsidRPr="00E14EBC" w:rsidRDefault="03D90E51" w:rsidP="4E440EBC">
      <w:pPr>
        <w:jc w:val="both"/>
      </w:pPr>
      <w:r>
        <w:t>Väärib</w:t>
      </w:r>
      <w:r w:rsidR="7547FCDF">
        <w:t xml:space="preserve"> omaette</w:t>
      </w:r>
      <w:r>
        <w:t xml:space="preserve"> tähelepanu, </w:t>
      </w:r>
      <w:r w:rsidR="6BF7470B">
        <w:t>et Eurostat</w:t>
      </w:r>
      <w:r w:rsidR="50906F6D">
        <w:t>i</w:t>
      </w:r>
      <w:r w:rsidR="6BF7470B">
        <w:t xml:space="preserve"> avaldatud ööde arv on keskmiselt 40% väiksem kui Lighthouse andmetes. </w:t>
      </w:r>
      <w:r w:rsidR="437BA064">
        <w:t>Meie</w:t>
      </w:r>
      <w:r w:rsidR="6BF7470B">
        <w:t xml:space="preserve"> hinnangul on kõige loogilisem selgitus, et Eurostat saab platvormidelt tegeliku ööbinud inimeste arvu ja nende majutuskohas veedetud ööde arvu; Lighthouse saab </w:t>
      </w:r>
      <w:r w:rsidR="6BF7470B">
        <w:lastRenderedPageBreak/>
        <w:t>andmekraape tulemusel teada vaid päevade arvu, mil majutuskoht ei olnud saadaval või oli broneeritud ja teab majutuskoha mahutavust (maksimaalset külaliste arvu</w:t>
      </w:r>
      <w:r w:rsidR="2DE75A05">
        <w:t>,</w:t>
      </w:r>
      <w:r w:rsidR="6BF7470B">
        <w:t xml:space="preserve"> voodikohtade arvu), mistõttu võib olla, et arvestused tehakse maksimaalse mahutavuse järgi, aga tegelik majutatute arv oli väiksem.</w:t>
      </w:r>
    </w:p>
    <w:p w14:paraId="0D36084D" w14:textId="4A0660B9" w:rsidR="598BB2BE" w:rsidRPr="00080661" w:rsidRDefault="0088266E" w:rsidP="007C7A65">
      <w:pPr>
        <w:pStyle w:val="Heading3"/>
        <w:numPr>
          <w:ilvl w:val="0"/>
          <w:numId w:val="0"/>
        </w:numPr>
        <w:rPr>
          <w:rStyle w:val="PurpleText"/>
          <w:rFonts w:asciiTheme="minorHAnsi" w:eastAsiaTheme="minorHAnsi" w:hAnsiTheme="minorHAnsi" w:cstheme="minorBidi"/>
          <w:color w:val="auto"/>
          <w:szCs w:val="22"/>
        </w:rPr>
      </w:pPr>
      <w:bookmarkStart w:id="99" w:name="_Toc208991605"/>
      <w:r>
        <w:rPr>
          <w:rStyle w:val="PurpleText"/>
          <w:color w:val="auto"/>
        </w:rPr>
        <w:t xml:space="preserve">2.3.2. </w:t>
      </w:r>
      <w:r w:rsidR="18C9F0B4" w:rsidRPr="00080661">
        <w:rPr>
          <w:rStyle w:val="PurpleText"/>
          <w:color w:val="auto"/>
        </w:rPr>
        <w:t>Regionaalne vaade</w:t>
      </w:r>
      <w:bookmarkEnd w:id="99"/>
    </w:p>
    <w:p w14:paraId="547BDCE7" w14:textId="4D477E80" w:rsidR="00ED0E64" w:rsidRPr="00E14EBC" w:rsidRDefault="6BF7470B" w:rsidP="4EDD54EB">
      <w:pPr>
        <w:jc w:val="both"/>
      </w:pPr>
      <w:r>
        <w:t xml:space="preserve">Koroonaeelse tippajaga võrreldes </w:t>
      </w:r>
      <w:r w:rsidR="40E206FC">
        <w:t>oli</w:t>
      </w:r>
      <w:r>
        <w:t xml:space="preserve"> sarnaselt lühiajalise üüri pakkumisega ööbimiste arv </w:t>
      </w:r>
      <w:r w:rsidR="40E206FC">
        <w:t xml:space="preserve">2023. aastaks </w:t>
      </w:r>
      <w:r>
        <w:t xml:space="preserve">üldiselt maakondades taastunud ja enamasti 2019. aasta mahud ka ületanud. Erandi </w:t>
      </w:r>
      <w:r w:rsidR="40E206FC">
        <w:t>moodustasid</w:t>
      </w:r>
      <w:r>
        <w:t xml:space="preserve"> Harjumaa (peamiselt Tallinn) ja Ida-Virumaa, kusjuures mõlema puhul on oluline tegur </w:t>
      </w:r>
      <w:r w:rsidR="2AEC30FB">
        <w:t>vene</w:t>
      </w:r>
      <w:r>
        <w:t xml:space="preserve"> turistide arvu drastiline langus tulenevalt Venemaale täiemahulise sõja tõttu rakendatud sanktsioonidest. Harjumaa suurt miinust ei tasanda ka juurdekasv 13 maakonnas, mis on kohati olnud suhteliselt suur, ulatudes isegi 250 protsendini.</w:t>
      </w:r>
      <w:r w:rsidR="00F45F10">
        <w:t xml:space="preserve"> </w:t>
      </w:r>
      <w:r w:rsidR="749BA66A">
        <w:t xml:space="preserve">Vaadeldes NUTS3 regioone (Lisa 5, Tabel </w:t>
      </w:r>
      <w:r w:rsidR="4E25C82E">
        <w:t>28</w:t>
      </w:r>
      <w:r w:rsidR="749BA66A">
        <w:t>)</w:t>
      </w:r>
      <w:r w:rsidR="1E30A9E8">
        <w:t>,</w:t>
      </w:r>
      <w:r w:rsidR="749BA66A">
        <w:t xml:space="preserve"> eristuvad suurema nõudluse poolest teistest selgelt kolm: Harjumaa (=Tallinn), Läänemaa </w:t>
      </w:r>
      <w:r w:rsidR="00D87A91">
        <w:t>koos</w:t>
      </w:r>
      <w:r w:rsidR="749BA66A">
        <w:t xml:space="preserve"> suursaar</w:t>
      </w:r>
      <w:r w:rsidR="00D87A91">
        <w:t>tega</w:t>
      </w:r>
      <w:r w:rsidR="749BA66A">
        <w:t xml:space="preserve"> (sh Pärnu) ja Lõuna-Eesti (sh Tartu). Kesk-Eesti ja Kirde-Eesti (=Ida-Virumaa) nõudlus on märgatavalt väiksem.</w:t>
      </w:r>
    </w:p>
    <w:p w14:paraId="2ED67524" w14:textId="279C78BE" w:rsidR="00ED0E64" w:rsidRPr="00E14EBC" w:rsidRDefault="72E47210" w:rsidP="00ED0E64">
      <w:pPr>
        <w:jc w:val="both"/>
      </w:pPr>
      <w:r w:rsidRPr="00E14EBC">
        <w:t xml:space="preserve">Olulised näitajad on </w:t>
      </w:r>
      <w:r w:rsidR="23C25069" w:rsidRPr="00E14EBC">
        <w:t xml:space="preserve">ka </w:t>
      </w:r>
      <w:r w:rsidRPr="00E14EBC">
        <w:t>välis- ja siseturistide ööbimiste maht ja osakaalud</w:t>
      </w:r>
      <w:r w:rsidR="64D5E749" w:rsidRPr="005D12AF">
        <w:t xml:space="preserve"> (Lisa 5, Tabel </w:t>
      </w:r>
      <w:r w:rsidR="00A31D5B" w:rsidRPr="005D12AF">
        <w:t>29</w:t>
      </w:r>
      <w:r w:rsidR="23C25069" w:rsidRPr="005D12AF">
        <w:t>)</w:t>
      </w:r>
      <w:r w:rsidR="23C25069" w:rsidRPr="00E14EBC">
        <w:t>.</w:t>
      </w:r>
      <w:r w:rsidR="00B7799E" w:rsidRPr="00E14EBC">
        <w:t xml:space="preserve"> </w:t>
      </w:r>
      <w:r w:rsidRPr="00E14EBC">
        <w:t xml:space="preserve">Eesti elanike ööbimised moodustasid 2023. aastal kõigist lühiajalise üüri teenuse ööbimistest Eestis 35%. Proportsionaalselt kõige vähem oli siseturistide ööbimisi Põhja-Eestis (18%), enim Kesk-Eestis (60%), Ida-Virumaal (59%) ja Lõuna-Eestis (58%). Lääne-Eestis moodustasid Eesti elanike ööbimised </w:t>
      </w:r>
      <w:r w:rsidR="469DBBA9" w:rsidRPr="00E14EBC">
        <w:t>umbes poole</w:t>
      </w:r>
      <w:r w:rsidRPr="00E14EBC">
        <w:t xml:space="preserve"> kõigist ööbimistest (49%).</w:t>
      </w:r>
    </w:p>
    <w:p w14:paraId="7458BD24" w14:textId="18A70724" w:rsidR="00ED0E64" w:rsidRPr="00E14EBC" w:rsidRDefault="18C9F0B4" w:rsidP="00ED0E64">
      <w:pPr>
        <w:jc w:val="both"/>
      </w:pPr>
      <w:r w:rsidRPr="00E14EBC">
        <w:t>Perioodi 2019–2023 jääb Covid-19 pandeemia, mille mõjud olid nii ühekordsed kui kestvamad. Ühekordsed suurendasid hüppeliselt siseturistide nõudlust majutuskohtade järele Eesti peamistes puhkepiirkondades, kusjuures pakkumine tuli nõudluse kasvule kiiresti järele just väikeste ja paindlike lühiajalise üüri majutuskohtade näol</w:t>
      </w:r>
      <w:r w:rsidR="009713DD">
        <w:t>.</w:t>
      </w:r>
      <w:r w:rsidR="00ED0E64" w:rsidRPr="00E14EBC">
        <w:rPr>
          <w:rStyle w:val="FootnoteReference"/>
        </w:rPr>
        <w:footnoteReference w:id="85"/>
      </w:r>
    </w:p>
    <w:p w14:paraId="0B5D10D5" w14:textId="7E36876D" w:rsidR="00ED0E64" w:rsidRPr="00E14EBC" w:rsidRDefault="749BA66A" w:rsidP="00ED0E64">
      <w:pPr>
        <w:jc w:val="both"/>
      </w:pPr>
      <w:r>
        <w:t>Tähelepanu tasub pöörata ka 2022. ja 2023. aasta madalhooaegadele</w:t>
      </w:r>
      <w:r w:rsidR="08E04F2D">
        <w:t>.</w:t>
      </w:r>
      <w:r w:rsidR="0EF927AD">
        <w:t xml:space="preserve"> </w:t>
      </w:r>
      <w:r w:rsidR="0444294C">
        <w:t>2022.</w:t>
      </w:r>
      <w:r>
        <w:t xml:space="preserve"> a</w:t>
      </w:r>
      <w:r w:rsidR="765CEB5F">
        <w:t>astal</w:t>
      </w:r>
      <w:r>
        <w:t xml:space="preserve"> moodustasid siseturistid aasta esimestel kuudel poole kõigist ööbimistest, alates maikuust aga alla 40%; 2023 madalhooajal üle 40%, aprillist detsembrini aga alla 40%, juulis vaid 29%. Ehk pärast koroonapandeemiat on siseturistid lühiajalise üüri teenuse pakkujate jaoks muutunud vägagi oluliseks sihtrühmaks ja seda eriti talvekuudel (sama suundumus kajastub ka</w:t>
      </w:r>
      <w:r w:rsidR="00817A75">
        <w:t xml:space="preserve"> SA </w:t>
      </w:r>
      <w:r>
        <w:t>majutusstatistikas). Kasvanud ei ole mitte ainult proportsioon</w:t>
      </w:r>
      <w:r w:rsidR="0FDA8489">
        <w:t>,</w:t>
      </w:r>
      <w:r>
        <w:t xml:space="preserve"> vaid ka absoluutnumbrid. Võimalikud põhjused: paljudesse välisriikidesse neil aastail reisima veel ei pääsenud (võib-olla ka ei söandatud), kaugtöö võimaldas veeta linnas kontoris vaid päeva või paar ning ülejäänud aja töötada </w:t>
      </w:r>
      <w:r w:rsidR="00DE714B">
        <w:t>teis</w:t>
      </w:r>
      <w:r w:rsidR="00331F5F">
        <w:t>es asukohas</w:t>
      </w:r>
      <w:r>
        <w:t xml:space="preserve">. Tõsi, vähenenud on ka välisturistide arv lühiajalise üüri majutuskohtades, aga olukord on taastunud hästi (v.a jaanuar, mis on tavapäraselt olnud just </w:t>
      </w:r>
      <w:r w:rsidR="6BE106E6">
        <w:t>vene</w:t>
      </w:r>
      <w:r>
        <w:t xml:space="preserve"> turistide üks külastusterohkemaid kuid).</w:t>
      </w:r>
    </w:p>
    <w:p w14:paraId="4782C8A0" w14:textId="5ED7062D" w:rsidR="00D40A04" w:rsidRPr="00D45792" w:rsidRDefault="749BA66A" w:rsidP="72E47210">
      <w:pPr>
        <w:jc w:val="both"/>
      </w:pPr>
      <w:r>
        <w:t xml:space="preserve">Analüüsides majutatute ja ööbimiste arvu nii majutusettevõtetes kui lühiajalise üüri majutuskohtades (Lisa 5, Tabelid </w:t>
      </w:r>
      <w:r w:rsidR="130E0562">
        <w:t>30</w:t>
      </w:r>
      <w:r>
        <w:t xml:space="preserve"> ja </w:t>
      </w:r>
      <w:r w:rsidR="130E0562">
        <w:t>31</w:t>
      </w:r>
      <w:r>
        <w:t>)</w:t>
      </w:r>
      <w:r w:rsidR="31C23ED5">
        <w:t>,</w:t>
      </w:r>
      <w:r>
        <w:t xml:space="preserve"> näeme taas, et ainsana maakondadest on 2019–2023 langenud nii lühiajalise üüri majutatute arv kui ööbimiste arv Harjumaal ja Ida-Virumaal (vastavalt -</w:t>
      </w:r>
      <w:r w:rsidR="013F8390">
        <w:t>30</w:t>
      </w:r>
      <w:r>
        <w:t>% ja -</w:t>
      </w:r>
      <w:r w:rsidR="013F8390">
        <w:t>27</w:t>
      </w:r>
      <w:r>
        <w:t>% ning -</w:t>
      </w:r>
      <w:r w:rsidR="013F8390">
        <w:t>21</w:t>
      </w:r>
      <w:r>
        <w:t xml:space="preserve">% ja -9%). Suurim kasv on toimunud väikese lühiajalise üüri mahuga </w:t>
      </w:r>
      <w:r>
        <w:lastRenderedPageBreak/>
        <w:t>maakondades (ööbimised Järvamaal +250%, Põlvamaal +200%, Raplamaal +181%). Võrreldes samu näitajaid majutusettevõtetes, on kasv olnud vaid Hiiumaal, Järvamaal ja Raplamaal.</w:t>
      </w:r>
    </w:p>
    <w:p w14:paraId="7F5773DE" w14:textId="1F03D2E4" w:rsidR="00D40A04" w:rsidRPr="00D45792" w:rsidRDefault="000E19F1" w:rsidP="00D40A04">
      <w:pPr>
        <w:jc w:val="both"/>
      </w:pPr>
      <w:r>
        <w:rPr>
          <w:color w:val="600074" w:themeColor="accent6" w:themeShade="BF"/>
        </w:rPr>
        <w:t>T</w:t>
      </w:r>
      <w:r w:rsidR="00BD24A7">
        <w:rPr>
          <w:color w:val="600074" w:themeColor="accent6" w:themeShade="BF"/>
        </w:rPr>
        <w:t>allinn, Tartu, Pärnu</w:t>
      </w:r>
    </w:p>
    <w:p w14:paraId="5905125E" w14:textId="70BE2D9F" w:rsidR="00D40A04" w:rsidRPr="00E22BB9" w:rsidRDefault="000E19F1" w:rsidP="00514229">
      <w:pPr>
        <w:tabs>
          <w:tab w:val="left" w:pos="1080"/>
        </w:tabs>
        <w:jc w:val="both"/>
      </w:pPr>
      <w:r>
        <w:t>Võrreldes kolme suurt linna omavahel, siis a</w:t>
      </w:r>
      <w:r w:rsidR="72E47210" w:rsidRPr="00E22BB9">
        <w:t xml:space="preserve">insana on vaatlusalusel perioodil (2019–2023) lühiajalise üüri teenuse pakkujate juures nii ööbimiste kui majutatute arv langenud Tallinnas (vastavalt -23% ja -33%), kasvanud aga nii Tartus (+37% ja +44%) kui Pärnus (+21% ja +18%). Kusjuures majutusettevõtetes on samal perioodil olnud langus mõlema näitaja osas kõigis kolmes linnas. Tasub meenutada, et samal perioodil oli </w:t>
      </w:r>
      <w:r w:rsidR="114BF6EF" w:rsidRPr="00E22BB9">
        <w:t xml:space="preserve">Tallinna </w:t>
      </w:r>
      <w:r w:rsidR="3D607F6F" w:rsidRPr="00E22BB9">
        <w:t>majutusettevõtetes</w:t>
      </w:r>
      <w:r w:rsidR="72E47210" w:rsidRPr="00E22BB9">
        <w:t xml:space="preserve"> suhteliselt suur pakkumise kasv (+5%).</w:t>
      </w:r>
    </w:p>
    <w:p w14:paraId="7CB2DC47" w14:textId="07617F5E" w:rsidR="00D40A04" w:rsidRPr="00E22BB9" w:rsidRDefault="72E47210" w:rsidP="00514229">
      <w:pPr>
        <w:tabs>
          <w:tab w:val="left" w:pos="1080"/>
        </w:tabs>
        <w:jc w:val="both"/>
      </w:pPr>
      <w:r w:rsidRPr="00E22BB9">
        <w:t xml:space="preserve">Lühiajalise üüri teenuse kasutajatest päritoluriikide kaupa olid Tallinnas suurimad langejad Venemaa (-76 599 inimest), Ühendkuningriik (-13 523) ja Saksamaa (-6263); suurima majutatute kasvuga riigid olid Leedu (+3730) ja Läti (+2447); siseturistide kasv oli +5384. </w:t>
      </w:r>
      <w:r w:rsidRPr="003D2F3D">
        <w:rPr>
          <w:b/>
          <w:bCs/>
        </w:rPr>
        <w:t xml:space="preserve">Kokku </w:t>
      </w:r>
      <w:r w:rsidR="009B7AD2" w:rsidRPr="003D2F3D">
        <w:rPr>
          <w:b/>
          <w:bCs/>
        </w:rPr>
        <w:t xml:space="preserve">langes </w:t>
      </w:r>
      <w:r w:rsidRPr="003D2F3D">
        <w:rPr>
          <w:b/>
          <w:bCs/>
        </w:rPr>
        <w:t>lühiajalis</w:t>
      </w:r>
      <w:r w:rsidR="00365DEC" w:rsidRPr="003D2F3D">
        <w:rPr>
          <w:b/>
          <w:bCs/>
        </w:rPr>
        <w:t>t</w:t>
      </w:r>
      <w:r w:rsidRPr="003D2F3D">
        <w:rPr>
          <w:b/>
          <w:bCs/>
        </w:rPr>
        <w:t>e</w:t>
      </w:r>
      <w:r w:rsidR="00365DEC" w:rsidRPr="003D2F3D">
        <w:rPr>
          <w:b/>
          <w:bCs/>
        </w:rPr>
        <w:t>l</w:t>
      </w:r>
      <w:r w:rsidRPr="003D2F3D">
        <w:rPr>
          <w:b/>
          <w:bCs/>
        </w:rPr>
        <w:t xml:space="preserve"> üüri</w:t>
      </w:r>
      <w:r w:rsidR="00365DEC" w:rsidRPr="003D2F3D">
        <w:rPr>
          <w:b/>
          <w:bCs/>
        </w:rPr>
        <w:t>pindadel</w:t>
      </w:r>
      <w:r w:rsidRPr="003D2F3D">
        <w:rPr>
          <w:b/>
          <w:bCs/>
        </w:rPr>
        <w:t xml:space="preserve"> majutatu</w:t>
      </w:r>
      <w:r w:rsidR="009B7AD2" w:rsidRPr="003D2F3D">
        <w:rPr>
          <w:b/>
          <w:bCs/>
        </w:rPr>
        <w:t>te</w:t>
      </w:r>
      <w:r w:rsidRPr="003D2F3D">
        <w:rPr>
          <w:b/>
          <w:bCs/>
        </w:rPr>
        <w:t xml:space="preserve"> </w:t>
      </w:r>
      <w:r w:rsidR="009B7AD2" w:rsidRPr="003D2F3D">
        <w:rPr>
          <w:b/>
          <w:bCs/>
        </w:rPr>
        <w:t xml:space="preserve">arv </w:t>
      </w:r>
      <w:r w:rsidRPr="003D2F3D">
        <w:rPr>
          <w:b/>
          <w:bCs/>
        </w:rPr>
        <w:t>2019–2023 Tallinnas 115 479 inimese võrra</w:t>
      </w:r>
      <w:r w:rsidR="001C7B80">
        <w:rPr>
          <w:b/>
          <w:bCs/>
        </w:rPr>
        <w:t>.</w:t>
      </w:r>
      <w:r w:rsidR="00CC0EF0">
        <w:t xml:space="preserve"> </w:t>
      </w:r>
      <w:r w:rsidRPr="00E22BB9">
        <w:t>Majutatute päritoluriikidest oli Tartus suurim langeja Venemaa (-6082)</w:t>
      </w:r>
      <w:r w:rsidR="001C7B80">
        <w:t>,</w:t>
      </w:r>
      <w:r w:rsidRPr="00E22BB9">
        <w:t xml:space="preserve"> suurima majutatute arvu kasvuga riik oli Läti (+4613)</w:t>
      </w:r>
      <w:r w:rsidR="001C7B80">
        <w:t xml:space="preserve"> ja</w:t>
      </w:r>
      <w:r w:rsidRPr="00E22BB9">
        <w:t xml:space="preserve"> siseturistide kasv oli +23 431. </w:t>
      </w:r>
      <w:r w:rsidRPr="003D2F3D">
        <w:rPr>
          <w:b/>
          <w:bCs/>
        </w:rPr>
        <w:t xml:space="preserve">Kokku </w:t>
      </w:r>
      <w:r w:rsidR="005C543E" w:rsidRPr="003D2F3D">
        <w:rPr>
          <w:b/>
          <w:bCs/>
        </w:rPr>
        <w:t xml:space="preserve">langes </w:t>
      </w:r>
      <w:r w:rsidRPr="003D2F3D">
        <w:rPr>
          <w:b/>
          <w:bCs/>
        </w:rPr>
        <w:t>lühiajalis</w:t>
      </w:r>
      <w:r w:rsidR="00365DEC" w:rsidRPr="003D2F3D">
        <w:rPr>
          <w:b/>
          <w:bCs/>
        </w:rPr>
        <w:t>t</w:t>
      </w:r>
      <w:r w:rsidRPr="003D2F3D">
        <w:rPr>
          <w:b/>
          <w:bCs/>
        </w:rPr>
        <w:t>e</w:t>
      </w:r>
      <w:r w:rsidR="00365DEC" w:rsidRPr="003D2F3D">
        <w:rPr>
          <w:b/>
          <w:bCs/>
        </w:rPr>
        <w:t>l</w:t>
      </w:r>
      <w:r w:rsidRPr="003D2F3D">
        <w:rPr>
          <w:b/>
          <w:bCs/>
        </w:rPr>
        <w:t xml:space="preserve"> üüri</w:t>
      </w:r>
      <w:r w:rsidR="00365DEC" w:rsidRPr="003D2F3D">
        <w:rPr>
          <w:b/>
          <w:bCs/>
        </w:rPr>
        <w:t>pindadel</w:t>
      </w:r>
      <w:r w:rsidRPr="003D2F3D">
        <w:rPr>
          <w:b/>
          <w:bCs/>
        </w:rPr>
        <w:t xml:space="preserve"> majutatu</w:t>
      </w:r>
      <w:r w:rsidR="005C543E" w:rsidRPr="003D2F3D">
        <w:rPr>
          <w:b/>
          <w:bCs/>
        </w:rPr>
        <w:t>te arv</w:t>
      </w:r>
      <w:r w:rsidRPr="003D2F3D">
        <w:rPr>
          <w:b/>
          <w:bCs/>
        </w:rPr>
        <w:t xml:space="preserve"> vaatlusalusel perioodil Tartus 25 265 võrra</w:t>
      </w:r>
      <w:r w:rsidR="00CC0EF0">
        <w:t xml:space="preserve">. </w:t>
      </w:r>
      <w:r w:rsidRPr="00E22BB9">
        <w:t xml:space="preserve">Pärnus </w:t>
      </w:r>
      <w:r w:rsidR="00CC0EF0" w:rsidRPr="00E22BB9">
        <w:t xml:space="preserve">oli </w:t>
      </w:r>
      <w:r w:rsidRPr="00E22BB9">
        <w:t>suurim langeja samuti Venemaa (-3741)</w:t>
      </w:r>
      <w:r w:rsidR="00D07E51">
        <w:t>,</w:t>
      </w:r>
      <w:r w:rsidRPr="00E22BB9">
        <w:t xml:space="preserve"> suurima majutatute arvu kasvuga riigid olid Läti (+2491) ja Leedu (+1508)</w:t>
      </w:r>
      <w:r w:rsidR="00D07E51">
        <w:t xml:space="preserve"> ning</w:t>
      </w:r>
      <w:r w:rsidRPr="00E22BB9">
        <w:t xml:space="preserve"> siseturistide kasv oli +15 191. </w:t>
      </w:r>
      <w:r w:rsidRPr="003D2F3D">
        <w:rPr>
          <w:b/>
          <w:bCs/>
        </w:rPr>
        <w:t xml:space="preserve">Kokku </w:t>
      </w:r>
      <w:r w:rsidR="005C543E" w:rsidRPr="003D2F3D">
        <w:rPr>
          <w:b/>
          <w:bCs/>
        </w:rPr>
        <w:t>langes</w:t>
      </w:r>
      <w:r w:rsidRPr="003D2F3D">
        <w:rPr>
          <w:b/>
          <w:bCs/>
        </w:rPr>
        <w:t xml:space="preserve"> lühiajalis</w:t>
      </w:r>
      <w:r w:rsidR="005C543E" w:rsidRPr="003D2F3D">
        <w:rPr>
          <w:b/>
          <w:bCs/>
        </w:rPr>
        <w:t>t</w:t>
      </w:r>
      <w:r w:rsidRPr="003D2F3D">
        <w:rPr>
          <w:b/>
          <w:bCs/>
        </w:rPr>
        <w:t>e</w:t>
      </w:r>
      <w:r w:rsidR="005C543E" w:rsidRPr="003D2F3D">
        <w:rPr>
          <w:b/>
          <w:bCs/>
        </w:rPr>
        <w:t>l</w:t>
      </w:r>
      <w:r w:rsidRPr="003D2F3D">
        <w:rPr>
          <w:b/>
          <w:bCs/>
        </w:rPr>
        <w:t xml:space="preserve"> üüri</w:t>
      </w:r>
      <w:r w:rsidR="005C543E" w:rsidRPr="003D2F3D">
        <w:rPr>
          <w:b/>
          <w:bCs/>
        </w:rPr>
        <w:t>pindadel</w:t>
      </w:r>
      <w:r w:rsidRPr="003D2F3D">
        <w:rPr>
          <w:b/>
          <w:bCs/>
        </w:rPr>
        <w:t xml:space="preserve"> majutatu</w:t>
      </w:r>
      <w:r w:rsidR="005C543E" w:rsidRPr="003D2F3D">
        <w:rPr>
          <w:b/>
          <w:bCs/>
        </w:rPr>
        <w:t>te arv</w:t>
      </w:r>
      <w:r w:rsidRPr="003D2F3D">
        <w:rPr>
          <w:b/>
          <w:bCs/>
        </w:rPr>
        <w:t xml:space="preserve"> vaatlusalusel perioodil Pärnus 14 342 võrra</w:t>
      </w:r>
      <w:r w:rsidR="00D07E51">
        <w:rPr>
          <w:b/>
          <w:bCs/>
        </w:rPr>
        <w:t>.</w:t>
      </w:r>
    </w:p>
    <w:p w14:paraId="74B9832E" w14:textId="0174F200" w:rsidR="00D40A04" w:rsidRPr="005D12AF" w:rsidRDefault="72E47210" w:rsidP="18C9F0B4">
      <w:pPr>
        <w:jc w:val="both"/>
      </w:pPr>
      <w:r w:rsidRPr="00E14EBC">
        <w:t>Ööbimise keskmine pikkus ühe majutuskorra kohta (</w:t>
      </w:r>
      <w:r w:rsidRPr="005D12AF">
        <w:t xml:space="preserve">Lisa 5, Tabel </w:t>
      </w:r>
      <w:r w:rsidR="00254F98" w:rsidRPr="005D12AF">
        <w:t>32</w:t>
      </w:r>
      <w:r w:rsidRPr="005D12AF">
        <w:t>)</w:t>
      </w:r>
      <w:r w:rsidRPr="00E14EBC">
        <w:t xml:space="preserve"> oli 2023. aastal ainsana üle kolme päeva Harjumaa lühiajalise üüri teenuse pakkujate juures, seda tänu Tallinnale (3,11 p). Lühemad majutuskorrad olid Raplamaal (1,59), Viljandimaal (1,61), Põlvamaal (1,63) ja Valgamaal (1,64). Samas </w:t>
      </w:r>
      <w:r w:rsidR="6A381137" w:rsidRPr="00E14EBC">
        <w:t>ületab</w:t>
      </w:r>
      <w:r w:rsidRPr="00E14EBC">
        <w:t xml:space="preserve"> Järvamaa (2,57</w:t>
      </w:r>
      <w:r w:rsidR="6A381137" w:rsidRPr="00E14EBC">
        <w:t>)</w:t>
      </w:r>
      <w:r w:rsidRPr="00E14EBC">
        <w:t xml:space="preserve"> nii Pärnut (2,18) kui Saaremaad (2,31).</w:t>
      </w:r>
    </w:p>
    <w:p w14:paraId="4E0BB1C1" w14:textId="35AEF7A6" w:rsidR="00ED0E64" w:rsidRPr="00E14EBC" w:rsidRDefault="72E47210" w:rsidP="00ED0E64">
      <w:pPr>
        <w:pStyle w:val="ListParagraph"/>
        <w:ind w:left="0"/>
        <w:jc w:val="both"/>
      </w:pPr>
      <w:r w:rsidRPr="00E14EBC">
        <w:t>Kui kõrvutada lühiajalise üüri ja majutusettevõtete ööbimiste arvu ühe broneeringu kohta (</w:t>
      </w:r>
      <w:r w:rsidRPr="005D12AF">
        <w:t xml:space="preserve">Lisa 5, Tabel </w:t>
      </w:r>
      <w:r w:rsidR="00804AAB">
        <w:t>33</w:t>
      </w:r>
      <w:r w:rsidRPr="00E14EBC">
        <w:t xml:space="preserve">), mis sõltub nii ööbivate inimeste arvust kui ööde arvust, eristuvad teistest Tallinna kõrval just Lääne-Eesti piirkondade (Pärnu ja Pärnumaa, Saaremaa ning Hiiumaa) lühiajalise üüri majutuskohad. Vahe majutusettevõtetega näitab, et märgatavalt suuremad peavad olema </w:t>
      </w:r>
      <w:r w:rsidR="02EBEB43" w:rsidRPr="00E14EBC">
        <w:t>lühiajalise üüri puhul nii</w:t>
      </w:r>
      <w:r w:rsidRPr="00E14EBC">
        <w:t xml:space="preserve"> külaliste </w:t>
      </w:r>
      <w:r w:rsidR="7DA7EADC" w:rsidRPr="00E14EBC">
        <w:t xml:space="preserve">arv </w:t>
      </w:r>
      <w:r w:rsidRPr="00E14EBC">
        <w:t>kui majutuskohas veedetud ööde arv broneeringu kohta.</w:t>
      </w:r>
    </w:p>
    <w:p w14:paraId="19338CE3" w14:textId="5094FC75" w:rsidR="18C9F0B4" w:rsidRPr="00E22BB9" w:rsidRDefault="749BA66A" w:rsidP="00E22BB9">
      <w:pPr>
        <w:jc w:val="both"/>
        <w:rPr>
          <w:rStyle w:val="PurpleText"/>
          <w:b/>
          <w:bCs/>
          <w:color w:val="auto"/>
        </w:rPr>
      </w:pPr>
      <w:r>
        <w:t xml:space="preserve">Olulisi tähelepanekuid Eurostati kogutud lühiajalise üüri teenuste pakkujate juures ööbimiste eksperimentaalstatistikast saab teha ka majutuskoha tüübi ja suuruse järgi. </w:t>
      </w:r>
      <w:r w:rsidR="2FF92CD8">
        <w:t>Lisa 5 t</w:t>
      </w:r>
      <w:r>
        <w:t xml:space="preserve">abelitest </w:t>
      </w:r>
      <w:r w:rsidR="2FF92CD8">
        <w:t>34</w:t>
      </w:r>
      <w:r>
        <w:t xml:space="preserve"> ja </w:t>
      </w:r>
      <w:r w:rsidR="2FF92CD8">
        <w:t>35</w:t>
      </w:r>
      <w:r>
        <w:t xml:space="preserve"> </w:t>
      </w:r>
      <w:r w:rsidR="2755BDC4">
        <w:t>võib järeldada</w:t>
      </w:r>
      <w:r>
        <w:t xml:space="preserve">, et </w:t>
      </w:r>
      <w:r w:rsidR="1FABE6D8" w:rsidRPr="1FABE6D8">
        <w:rPr>
          <w:b/>
          <w:bCs/>
        </w:rPr>
        <w:t>suure osa lühiajalise</w:t>
      </w:r>
      <w:r w:rsidRPr="1688D34F">
        <w:rPr>
          <w:b/>
          <w:bCs/>
        </w:rPr>
        <w:t xml:space="preserve"> üüri </w:t>
      </w:r>
      <w:r w:rsidR="1FABE6D8" w:rsidRPr="1FABE6D8">
        <w:rPr>
          <w:b/>
          <w:bCs/>
        </w:rPr>
        <w:t xml:space="preserve">majutuskohtade </w:t>
      </w:r>
      <w:r w:rsidRPr="1688D34F">
        <w:rPr>
          <w:b/>
          <w:bCs/>
        </w:rPr>
        <w:t>puhul ei ole tegemist jagamismajandusega</w:t>
      </w:r>
      <w:r>
        <w:t>, s</w:t>
      </w:r>
      <w:r w:rsidR="002E7679">
        <w:t>est</w:t>
      </w:r>
      <w:r>
        <w:t xml:space="preserve"> </w:t>
      </w:r>
      <w:r w:rsidRPr="1688D34F">
        <w:rPr>
          <w:b/>
          <w:bCs/>
        </w:rPr>
        <w:t>98% ööbimistest oli 2023. aastal majutuskohtades, kus üüriti välja kogu elukoht</w:t>
      </w:r>
      <w:r w:rsidR="00F0461C">
        <w:t>,</w:t>
      </w:r>
      <w:r w:rsidR="00D682F3">
        <w:t xml:space="preserve"> </w:t>
      </w:r>
      <w:r>
        <w:t>mis ei saa sel juhul olla majutaja peamine</w:t>
      </w:r>
      <w:r w:rsidR="7C570D0C">
        <w:t>/alaline</w:t>
      </w:r>
      <w:r>
        <w:t xml:space="preserve"> elukoht</w:t>
      </w:r>
      <w:r w:rsidR="00F0461C">
        <w:t>.</w:t>
      </w:r>
      <w:r w:rsidR="4C3D11A7">
        <w:t xml:space="preserve"> </w:t>
      </w:r>
      <w:r w:rsidR="00F0461C">
        <w:t>S</w:t>
      </w:r>
      <w:r w:rsidR="0BD0D663">
        <w:t xml:space="preserve">amas on vähemalt </w:t>
      </w:r>
      <w:r w:rsidR="2A7232F8">
        <w:t xml:space="preserve">poolte majutuskohtade saadavus alla poole aasta, </w:t>
      </w:r>
      <w:r w:rsidR="5A6C717C">
        <w:t>mistõttu</w:t>
      </w:r>
      <w:r w:rsidR="2A7232F8">
        <w:t xml:space="preserve"> ei </w:t>
      </w:r>
      <w:r w:rsidR="5A6C717C">
        <w:t>saa välistada</w:t>
      </w:r>
      <w:r w:rsidR="1EB18478">
        <w:t xml:space="preserve">, et </w:t>
      </w:r>
      <w:r w:rsidR="00F0461C">
        <w:t xml:space="preserve">paljud </w:t>
      </w:r>
      <w:r w:rsidR="1EB18478">
        <w:t>majutaja</w:t>
      </w:r>
      <w:r w:rsidR="00F0461C">
        <w:t>d</w:t>
      </w:r>
      <w:r w:rsidR="1EB18478">
        <w:t xml:space="preserve"> mingi osa aastast </w:t>
      </w:r>
      <w:r w:rsidR="3C1DDC27">
        <w:t>seal ise ela</w:t>
      </w:r>
      <w:r w:rsidR="00F0461C">
        <w:t>vad</w:t>
      </w:r>
      <w:r w:rsidR="77CDDFB0">
        <w:t>.</w:t>
      </w:r>
      <w:r w:rsidR="00F0461C">
        <w:t xml:space="preserve"> Statistika viitab ka sellele, et</w:t>
      </w:r>
      <w:r w:rsidR="21854EB3">
        <w:t xml:space="preserve"> </w:t>
      </w:r>
      <w:r>
        <w:t xml:space="preserve">ööbimistest 93% </w:t>
      </w:r>
      <w:r w:rsidR="00823F34">
        <w:t>toimus</w:t>
      </w:r>
      <w:r>
        <w:t xml:space="preserve"> kuni </w:t>
      </w:r>
      <w:r w:rsidR="00823F34">
        <w:t>kümne</w:t>
      </w:r>
      <w:r>
        <w:t xml:space="preserve"> </w:t>
      </w:r>
      <w:r w:rsidR="00911337">
        <w:t xml:space="preserve">voodikohaga </w:t>
      </w:r>
      <w:r>
        <w:t>majutuskohtades.</w:t>
      </w:r>
      <w:r w:rsidR="00823F34">
        <w:t xml:space="preserve"> </w:t>
      </w:r>
      <w:r w:rsidR="0022630C">
        <w:t>Seega</w:t>
      </w:r>
      <w:r w:rsidR="00AD15E6">
        <w:t xml:space="preserve"> </w:t>
      </w:r>
      <w:r w:rsidR="00FF77C4">
        <w:t>on alust arvata</w:t>
      </w:r>
      <w:r w:rsidR="00AD15E6">
        <w:t xml:space="preserve">, et väga suur osa nendest </w:t>
      </w:r>
      <w:r w:rsidR="006D1A8B">
        <w:t xml:space="preserve">jääb välja statistikaameti </w:t>
      </w:r>
      <w:r w:rsidR="5A6C717C">
        <w:t xml:space="preserve">SA </w:t>
      </w:r>
      <w:r w:rsidR="006D1A8B">
        <w:t xml:space="preserve">majutusstatistikast (mis hõlmab </w:t>
      </w:r>
      <w:r w:rsidR="009A04C7">
        <w:t xml:space="preserve">5 </w:t>
      </w:r>
      <w:r w:rsidR="5A6C717C">
        <w:t xml:space="preserve">või enama </w:t>
      </w:r>
      <w:r w:rsidR="009A04C7">
        <w:t>voodikohaga majutuskohti)</w:t>
      </w:r>
      <w:r w:rsidR="00993675">
        <w:t>.</w:t>
      </w:r>
    </w:p>
    <w:p w14:paraId="2AFAB3A4" w14:textId="0D8B93E1" w:rsidR="00ED0E64" w:rsidRPr="00E14EBC" w:rsidRDefault="00931EA7" w:rsidP="2258C97D">
      <w:pPr>
        <w:spacing w:before="0" w:line="259" w:lineRule="auto"/>
        <w:jc w:val="both"/>
        <w:rPr>
          <w:color w:val="82009B" w:themeColor="accent6"/>
        </w:rPr>
      </w:pPr>
      <w:r>
        <w:t>T</w:t>
      </w:r>
      <w:r w:rsidR="4EDD54EB" w:rsidRPr="00E14EBC">
        <w:t>allinnas on 10 aastaga kasvanud üüripindadel ööbimiste osakaal</w:t>
      </w:r>
      <w:r w:rsidR="670D83F1" w:rsidRPr="00E14EBC">
        <w:t xml:space="preserve"> (</w:t>
      </w:r>
      <w:r w:rsidR="670D83F1" w:rsidRPr="005D12AF">
        <w:t>Lisa</w:t>
      </w:r>
      <w:r w:rsidR="31278AF5" w:rsidRPr="005D12AF">
        <w:t xml:space="preserve"> 5, Joonis </w:t>
      </w:r>
      <w:r w:rsidR="00455FC0">
        <w:t>9</w:t>
      </w:r>
      <w:r w:rsidR="31278AF5" w:rsidRPr="00E14EBC">
        <w:t xml:space="preserve">). </w:t>
      </w:r>
      <w:r w:rsidR="3548E3D6" w:rsidRPr="00E14EBC">
        <w:t xml:space="preserve">Kui 2014. </w:t>
      </w:r>
      <w:r w:rsidR="5307AC2D" w:rsidRPr="00E14EBC">
        <w:t>aastal</w:t>
      </w:r>
      <w:r w:rsidR="3548E3D6" w:rsidRPr="00E14EBC">
        <w:t xml:space="preserve"> ööbis majutusettevõttes </w:t>
      </w:r>
      <w:r w:rsidR="3E774FD8" w:rsidRPr="00E14EBC">
        <w:t xml:space="preserve">81% ööbinutest ja üüritud </w:t>
      </w:r>
      <w:r w:rsidR="28E9D985" w:rsidRPr="00E14EBC">
        <w:t xml:space="preserve">korteris, majas või toas 3%, siis 2023. </w:t>
      </w:r>
      <w:r w:rsidR="4110B301" w:rsidRPr="00E14EBC">
        <w:t xml:space="preserve">aastal vastavalt 72% ja </w:t>
      </w:r>
      <w:r w:rsidR="45BDED02" w:rsidRPr="00E14EBC">
        <w:t xml:space="preserve">16%, ehk lühiajalise üüri osakaal kasvas üle </w:t>
      </w:r>
      <w:r w:rsidR="243C41DB" w:rsidRPr="00E14EBC">
        <w:t>nelja korra. Samas</w:t>
      </w:r>
      <w:r w:rsidR="4EDD54EB" w:rsidRPr="00E14EBC">
        <w:t xml:space="preserve"> Tallinna </w:t>
      </w:r>
      <w:r w:rsidR="4EDD54EB" w:rsidRPr="00E14EBC">
        <w:lastRenderedPageBreak/>
        <w:t xml:space="preserve">Strateegiakeskuse </w:t>
      </w:r>
      <w:r w:rsidR="006627D4">
        <w:t>esindaja</w:t>
      </w:r>
      <w:r w:rsidR="006627D4" w:rsidRPr="00E14EBC">
        <w:t xml:space="preserve"> </w:t>
      </w:r>
      <w:r w:rsidR="4EDD54EB" w:rsidRPr="00E14EBC">
        <w:t xml:space="preserve">hinnangul võitsid hotellid 2024. aastal oma turuosa veidi tagasi. </w:t>
      </w:r>
      <w:r w:rsidR="00C8579A">
        <w:t>Kuna turul valitseb tihe</w:t>
      </w:r>
      <w:r w:rsidR="00B7799E" w:rsidRPr="00E14EBC">
        <w:t xml:space="preserve"> </w:t>
      </w:r>
      <w:r w:rsidR="4EDD54EB" w:rsidRPr="00E14EBC">
        <w:t>hinnakonkurents, s</w:t>
      </w:r>
      <w:r w:rsidR="00C8579A">
        <w:t>iis</w:t>
      </w:r>
      <w:r w:rsidR="4EDD54EB" w:rsidRPr="00E14EBC">
        <w:t xml:space="preserve"> võideti turuosa tagasi tõenäoliselt kasumlikkuse arvelt.</w:t>
      </w:r>
    </w:p>
    <w:p w14:paraId="66C732CC" w14:textId="605EE579" w:rsidR="00D40A04" w:rsidRPr="00E14EBC" w:rsidRDefault="749BA66A" w:rsidP="00D40A04">
      <w:pPr>
        <w:spacing w:before="0" w:line="278" w:lineRule="auto"/>
        <w:jc w:val="both"/>
      </w:pPr>
      <w:r>
        <w:t>Tallinna, Tartu ega Pärnu majutusettevõtetes ei olnud</w:t>
      </w:r>
      <w:r w:rsidR="008D3BD8">
        <w:t xml:space="preserve"> SA andmetel</w:t>
      </w:r>
      <w:r>
        <w:t xml:space="preserve"> 2023. aastaks taastunud 2019. aasta majutatute ega ööbimiste mahud. Lühiajalise üüri majutuskohad Tartus ja Pärnus on jõudnud mõlema näitajaga plussi. Nagu eespool juba väidetud, </w:t>
      </w:r>
      <w:r w:rsidR="29468249">
        <w:t xml:space="preserve">on </w:t>
      </w:r>
      <w:r>
        <w:t xml:space="preserve">lühiajalise üüri turg </w:t>
      </w:r>
      <w:r w:rsidR="00EA285B">
        <w:t xml:space="preserve">oluliselt </w:t>
      </w:r>
      <w:r>
        <w:t xml:space="preserve">mõjutatud </w:t>
      </w:r>
      <w:r w:rsidR="00EA285B">
        <w:t xml:space="preserve">ka </w:t>
      </w:r>
      <w:r>
        <w:t xml:space="preserve">hotellituru arengutest. Seepärast on põhjust täpsemalt vaadata majutusettevõtete nõudluse ja pakkumise muutuseid 2019–2023 (Lisa 5, Tabel </w:t>
      </w:r>
      <w:r w:rsidR="58C5C03F">
        <w:t>27</w:t>
      </w:r>
      <w:r>
        <w:t xml:space="preserve"> ja Tabel </w:t>
      </w:r>
      <w:r w:rsidR="58C5C03F">
        <w:t>19</w:t>
      </w:r>
      <w:r w:rsidR="00AD7A69">
        <w:t>, SA andmete põhjal</w:t>
      </w:r>
      <w:r>
        <w:t>):</w:t>
      </w:r>
    </w:p>
    <w:p w14:paraId="02F49DAC" w14:textId="7E483C9F" w:rsidR="00D40A04" w:rsidRPr="00E14EBC" w:rsidRDefault="749BA66A" w:rsidP="007F08F4">
      <w:pPr>
        <w:pStyle w:val="ListParagraph"/>
        <w:numPr>
          <w:ilvl w:val="0"/>
          <w:numId w:val="59"/>
        </w:numPr>
        <w:spacing w:before="0" w:line="259" w:lineRule="auto"/>
        <w:jc w:val="both"/>
      </w:pPr>
      <w:r>
        <w:t xml:space="preserve">Tallinnas </w:t>
      </w:r>
      <w:r w:rsidR="0C1572C2">
        <w:t xml:space="preserve">oli </w:t>
      </w:r>
      <w:r>
        <w:t xml:space="preserve">12 majutusettevõtet vähem, aga nii tubade kui voodikohtade arv 5% suurem. </w:t>
      </w:r>
      <w:r w:rsidR="118371B9">
        <w:t xml:space="preserve">Langesid nii </w:t>
      </w:r>
      <w:r w:rsidR="6D1D6627">
        <w:t>tubade</w:t>
      </w:r>
      <w:r>
        <w:t xml:space="preserve"> täitumus </w:t>
      </w:r>
      <w:r w:rsidR="118371B9">
        <w:t>(-</w:t>
      </w:r>
      <w:r>
        <w:t>6</w:t>
      </w:r>
      <w:r w:rsidR="118371B9">
        <w:t xml:space="preserve">%) </w:t>
      </w:r>
      <w:r w:rsidR="6D1D6627">
        <w:t>kui</w:t>
      </w:r>
      <w:r>
        <w:t xml:space="preserve"> voodikohtade täitumus </w:t>
      </w:r>
      <w:r w:rsidR="118371B9">
        <w:t>(-</w:t>
      </w:r>
      <w:r>
        <w:t>12</w:t>
      </w:r>
      <w:r w:rsidR="118371B9">
        <w:t>%).</w:t>
      </w:r>
      <w:r>
        <w:t xml:space="preserve"> Hotellitoa keskmine hind </w:t>
      </w:r>
      <w:r w:rsidR="6D1D6627">
        <w:t xml:space="preserve">oli </w:t>
      </w:r>
      <w:r>
        <w:t xml:space="preserve">vaid 3 </w:t>
      </w:r>
      <w:r w:rsidR="00A96BA9">
        <w:t>euro</w:t>
      </w:r>
      <w:r>
        <w:t xml:space="preserve"> võrra (+6%) kõrgem, samas </w:t>
      </w:r>
      <w:r w:rsidR="2461C173">
        <w:t>oli tarbijahinnaindeksi (THI) kasv antud perioodil koguni 39%.</w:t>
      </w:r>
    </w:p>
    <w:p w14:paraId="7D516FA0" w14:textId="0465D0BD" w:rsidR="00D40A04" w:rsidRPr="00E14EBC" w:rsidRDefault="749BA66A" w:rsidP="007F08F4">
      <w:pPr>
        <w:pStyle w:val="ListParagraph"/>
        <w:numPr>
          <w:ilvl w:val="0"/>
          <w:numId w:val="59"/>
        </w:numPr>
        <w:spacing w:before="0" w:line="259" w:lineRule="auto"/>
        <w:jc w:val="both"/>
      </w:pPr>
      <w:r>
        <w:t>Pärnus</w:t>
      </w:r>
      <w:r w:rsidR="009828DE">
        <w:t xml:space="preserve"> oli</w:t>
      </w:r>
      <w:r>
        <w:t xml:space="preserve"> 9 majutusettevõtet vähem, aga tubade arv 2% ja voodikohtade arv 6% suurem. Tubade täitumus</w:t>
      </w:r>
      <w:r w:rsidR="002E599F">
        <w:t xml:space="preserve"> langes</w:t>
      </w:r>
      <w:r>
        <w:t xml:space="preserve"> 5% ja voodikohtade täitumus 4%. Hotellitoa keskmine hind</w:t>
      </w:r>
      <w:r w:rsidR="002E599F">
        <w:t xml:space="preserve"> kasvas</w:t>
      </w:r>
      <w:r>
        <w:t xml:space="preserve"> 11 </w:t>
      </w:r>
      <w:r w:rsidR="0025685E">
        <w:t>euro</w:t>
      </w:r>
      <w:r>
        <w:t xml:space="preserve"> võrra (+31%) ehk</w:t>
      </w:r>
      <w:r w:rsidR="002E599F">
        <w:t xml:space="preserve"> oli</w:t>
      </w:r>
      <w:r>
        <w:t xml:space="preserve"> palju lähemal antud perioodi THI kasvule</w:t>
      </w:r>
      <w:r w:rsidR="01A8CCD9">
        <w:t xml:space="preserve"> (</w:t>
      </w:r>
      <w:r w:rsidR="002E599F">
        <w:t>39</w:t>
      </w:r>
      <w:r w:rsidR="01A8CCD9">
        <w:t>%).</w:t>
      </w:r>
      <w:r>
        <w:t xml:space="preserve"> </w:t>
      </w:r>
    </w:p>
    <w:p w14:paraId="38344A69" w14:textId="4CA5183E" w:rsidR="00D40A04" w:rsidRPr="00E14EBC" w:rsidRDefault="749BA66A" w:rsidP="007F08F4">
      <w:pPr>
        <w:pStyle w:val="ListParagraph"/>
        <w:numPr>
          <w:ilvl w:val="0"/>
          <w:numId w:val="59"/>
        </w:numPr>
        <w:spacing w:before="0" w:line="259" w:lineRule="auto"/>
        <w:jc w:val="both"/>
      </w:pPr>
      <w:r>
        <w:t xml:space="preserve">Tartus </w:t>
      </w:r>
      <w:r w:rsidR="002E599F">
        <w:t xml:space="preserve">oli </w:t>
      </w:r>
      <w:r>
        <w:t xml:space="preserve">10 majutusettevõtet vähem ja nii tubade kui voodikohtade arv </w:t>
      </w:r>
      <w:r w:rsidR="002E599F">
        <w:t xml:space="preserve">langes </w:t>
      </w:r>
      <w:r>
        <w:t xml:space="preserve">14% võrra. Tubade täitumus </w:t>
      </w:r>
      <w:r w:rsidR="002E599F">
        <w:t xml:space="preserve">langes </w:t>
      </w:r>
      <w:r>
        <w:t xml:space="preserve">5% ja voodikohtade täitumus 8% madalam. Hotellitoa keskmine hind oli 9 </w:t>
      </w:r>
      <w:r w:rsidR="0025685E">
        <w:t>euro</w:t>
      </w:r>
      <w:r>
        <w:t xml:space="preserve"> võrra (+23%) kõrgem, jäädes siiski tublisti alla THI 39% kasvule.</w:t>
      </w:r>
    </w:p>
    <w:p w14:paraId="462715DB" w14:textId="58FEC93C" w:rsidR="00ED0E64" w:rsidRPr="00E14EBC" w:rsidRDefault="0034563D" w:rsidP="00ED0E64">
      <w:pPr>
        <w:spacing w:before="0" w:line="259" w:lineRule="auto"/>
        <w:jc w:val="both"/>
      </w:pPr>
      <w:r>
        <w:t xml:space="preserve">Neid arve võib tõlgendada nii, et </w:t>
      </w:r>
      <w:r w:rsidR="7CFFBD85">
        <w:t>Tallinnas</w:t>
      </w:r>
      <w:r w:rsidR="6BF7470B">
        <w:t xml:space="preserve"> eelpool </w:t>
      </w:r>
      <w:r w:rsidR="7171C0EC">
        <w:t>“</w:t>
      </w:r>
      <w:r w:rsidR="6BF7470B">
        <w:t>võidurelvastumiseks</w:t>
      </w:r>
      <w:r w:rsidR="1405D48A">
        <w:t>”</w:t>
      </w:r>
      <w:r w:rsidR="6BF7470B">
        <w:t xml:space="preserve"> nimetatud </w:t>
      </w:r>
      <w:r w:rsidR="14938D6F">
        <w:t xml:space="preserve">uute </w:t>
      </w:r>
      <w:r w:rsidR="6BF7470B">
        <w:t xml:space="preserve">hotellide </w:t>
      </w:r>
      <w:r w:rsidR="14938D6F">
        <w:t xml:space="preserve">ja hotellitubade </w:t>
      </w:r>
      <w:r w:rsidR="6BF7470B">
        <w:t>turule</w:t>
      </w:r>
      <w:r w:rsidR="1ECE4679">
        <w:t xml:space="preserve"> </w:t>
      </w:r>
      <w:r w:rsidR="14938D6F">
        <w:t>tuleku</w:t>
      </w:r>
      <w:r w:rsidR="6BF7470B">
        <w:t xml:space="preserve"> loogiline tagajärg on olnud hillitsetud hindade kasv koroonaaegsest madalseisust väljudes (kasv võrrelduna 2020. </w:t>
      </w:r>
      <w:r w:rsidR="5687910A">
        <w:t>j</w:t>
      </w:r>
      <w:r w:rsidR="6BF7470B">
        <w:t>a 2021. aastaga on tuntav, aga üldise hinnatõusu taustal jäänud ikkagi väga tagasihoidlikuks). Ja nagu</w:t>
      </w:r>
      <w:r w:rsidR="7CFFBD85">
        <w:t xml:space="preserve"> ka juba</w:t>
      </w:r>
      <w:r w:rsidR="6BF7470B">
        <w:t xml:space="preserve"> varasemalt mainitud, uute tubade lisandumine Tallinna hotelliturule jätkub. Kui turuosa võitmiseks annavad hotellide omanikud ka edaspidi järele investeeringu tootlikkuses, siis </w:t>
      </w:r>
      <w:r w:rsidR="00556A39">
        <w:t xml:space="preserve">jääb </w:t>
      </w:r>
      <w:r w:rsidR="7CFFBD85">
        <w:t xml:space="preserve">pealinna </w:t>
      </w:r>
      <w:r w:rsidR="00556A39">
        <w:t>majutusturul püsima t</w:t>
      </w:r>
      <w:r w:rsidR="00C93FB0">
        <w:t>ihe</w:t>
      </w:r>
      <w:r w:rsidR="00556A39">
        <w:t xml:space="preserve"> </w:t>
      </w:r>
      <w:r w:rsidR="5A6C717C">
        <w:t xml:space="preserve">hinnakonkurents, mida võib </w:t>
      </w:r>
      <w:r w:rsidR="7E18F3AD">
        <w:t>Tallinna</w:t>
      </w:r>
      <w:r w:rsidR="5A6C717C">
        <w:t xml:space="preserve"> külaliskorterite vaates</w:t>
      </w:r>
      <w:r w:rsidR="00C93FB0">
        <w:t xml:space="preserve"> leevendada</w:t>
      </w:r>
      <w:r w:rsidR="00556A39">
        <w:t xml:space="preserve"> </w:t>
      </w:r>
      <w:r w:rsidR="7E18F3AD">
        <w:t xml:space="preserve">vaid </w:t>
      </w:r>
      <w:r w:rsidR="6BF7470B">
        <w:t>sõjategevuse püsiv lõppemi</w:t>
      </w:r>
      <w:r w:rsidR="00C93FB0">
        <w:t>ne</w:t>
      </w:r>
      <w:r w:rsidR="6BF7470B">
        <w:t xml:space="preserve"> Ukrainas (s.o ärituristide ja konverentsituristide naasmine ning vene sissetuleva turismisuuna taasavanemine koos kunagiste mahtude taastumisega suurusjärgus 80 tuhat </w:t>
      </w:r>
      <w:r w:rsidR="5A6C717C">
        <w:t xml:space="preserve">lühiajalise üüri </w:t>
      </w:r>
      <w:r w:rsidR="4D39A643">
        <w:t>majutatut</w:t>
      </w:r>
      <w:r w:rsidR="6BF7470B">
        <w:t xml:space="preserve"> aastas).</w:t>
      </w:r>
    </w:p>
    <w:p w14:paraId="78EAC56C" w14:textId="57B4DE6A" w:rsidR="72E47210" w:rsidRPr="00E14EBC" w:rsidRDefault="6BF7470B" w:rsidP="72E47210">
      <w:pPr>
        <w:spacing w:before="0" w:line="259" w:lineRule="auto"/>
        <w:jc w:val="both"/>
      </w:pPr>
      <w:r>
        <w:t>Pärnus on kasvanud lühiajalise üüri majutuskohtade konkurents kiiremini kui hotellisektoris. Kui ilm soosib rannapuhkust ja suursündmuseid, saavad ka lühiajalise üüri pakkujad küsida tippajal kõrgeid hindu ning seeläbi teenida paari kuuga sama tulu, mis nt Tartus aastaga. Keskmine kinnistusüksuse välja üüritud päevade arv</w:t>
      </w:r>
      <w:r w:rsidR="06242DC6">
        <w:t xml:space="preserve"> aastas oli</w:t>
      </w:r>
      <w:r>
        <w:t xml:space="preserve"> MTA andmeil Pärnus 38 ja Tartus 64.</w:t>
      </w:r>
    </w:p>
    <w:p w14:paraId="59F22FA2" w14:textId="7A98C428" w:rsidR="72E47210" w:rsidRPr="00E14EBC" w:rsidRDefault="72E47210" w:rsidP="72E47210">
      <w:pPr>
        <w:spacing w:before="0" w:line="259" w:lineRule="auto"/>
        <w:jc w:val="both"/>
      </w:pPr>
      <w:r w:rsidRPr="00E14EBC">
        <w:t xml:space="preserve">Tartu hotellisektoris on vähenenud </w:t>
      </w:r>
      <w:r w:rsidR="48D8D742" w:rsidRPr="00E14EBC">
        <w:t>nii majutusettevõtete</w:t>
      </w:r>
      <w:r w:rsidRPr="00E14EBC">
        <w:t xml:space="preserve"> arv</w:t>
      </w:r>
      <w:r w:rsidR="4B17AB1C" w:rsidRPr="00E14EBC">
        <w:t xml:space="preserve"> </w:t>
      </w:r>
      <w:r w:rsidR="0358CDA6" w:rsidRPr="00E14EBC">
        <w:t xml:space="preserve">kui </w:t>
      </w:r>
      <w:r w:rsidR="5551D6B1" w:rsidRPr="00E14EBC">
        <w:t>nende mahutavus</w:t>
      </w:r>
      <w:r w:rsidR="329C7566" w:rsidRPr="00E14EBC">
        <w:t>.</w:t>
      </w:r>
      <w:r w:rsidRPr="00E14EBC">
        <w:t xml:space="preserve"> </w:t>
      </w:r>
      <w:r w:rsidR="1A8D3EB9" w:rsidRPr="00E14EBC">
        <w:t>Rööbiti vähenenud</w:t>
      </w:r>
      <w:r w:rsidR="08368C1B" w:rsidRPr="00E14EBC">
        <w:t xml:space="preserve"> </w:t>
      </w:r>
      <w:r w:rsidR="62BD03AC" w:rsidRPr="00E14EBC">
        <w:t>pakkumisega</w:t>
      </w:r>
      <w:r w:rsidR="08368C1B" w:rsidRPr="00E14EBC">
        <w:t xml:space="preserve"> </w:t>
      </w:r>
      <w:r w:rsidR="207D23C7" w:rsidRPr="00E14EBC">
        <w:t xml:space="preserve">hotelliturul </w:t>
      </w:r>
      <w:r w:rsidR="1A8D3EB9" w:rsidRPr="00E14EBC">
        <w:t xml:space="preserve">on lühiajalise üüri turul </w:t>
      </w:r>
      <w:r w:rsidR="1AAFE9DC" w:rsidRPr="00E14EBC">
        <w:t>toimunud</w:t>
      </w:r>
      <w:r w:rsidR="207D23C7" w:rsidRPr="00E14EBC">
        <w:t xml:space="preserve"> 58 protsendiline </w:t>
      </w:r>
      <w:r w:rsidR="2A354764" w:rsidRPr="00E14EBC">
        <w:t>nõudluse kasv</w:t>
      </w:r>
      <w:r w:rsidR="207D23C7" w:rsidRPr="00E14EBC">
        <w:t xml:space="preserve"> </w:t>
      </w:r>
      <w:r w:rsidR="1AAFE9DC" w:rsidRPr="00E14EBC">
        <w:t>ja</w:t>
      </w:r>
      <w:r w:rsidR="632108F7" w:rsidRPr="00E14EBC">
        <w:t xml:space="preserve"> </w:t>
      </w:r>
      <w:r w:rsidR="0A0AACE4" w:rsidRPr="00E14EBC">
        <w:t>sellest</w:t>
      </w:r>
      <w:r w:rsidR="3505D801" w:rsidRPr="00E14EBC">
        <w:t xml:space="preserve"> umbes</w:t>
      </w:r>
      <w:r w:rsidR="632108F7" w:rsidRPr="00E14EBC">
        <w:t xml:space="preserve"> poole </w:t>
      </w:r>
      <w:r w:rsidR="760A33A8" w:rsidRPr="00E14EBC">
        <w:t>väiksem</w:t>
      </w:r>
      <w:r w:rsidR="2D4B889F" w:rsidRPr="00E14EBC">
        <w:t xml:space="preserve"> </w:t>
      </w:r>
      <w:r w:rsidR="5644C7D8" w:rsidRPr="00E14EBC">
        <w:t>pakkumise</w:t>
      </w:r>
      <w:r w:rsidR="2D4B889F" w:rsidRPr="00E14EBC">
        <w:t xml:space="preserve"> </w:t>
      </w:r>
      <w:r w:rsidR="7B8232B8" w:rsidRPr="00E14EBC">
        <w:t>kasv</w:t>
      </w:r>
      <w:r w:rsidR="03E5EC1B" w:rsidRPr="00E14EBC">
        <w:t>.</w:t>
      </w:r>
    </w:p>
    <w:p w14:paraId="69AF869F" w14:textId="229957E2" w:rsidR="00ED0E64" w:rsidRPr="00E14EBC" w:rsidRDefault="00035BB9" w:rsidP="00497A19">
      <w:pPr>
        <w:pStyle w:val="Heading3"/>
        <w:numPr>
          <w:ilvl w:val="0"/>
          <w:numId w:val="0"/>
        </w:numPr>
        <w:ind w:left="504" w:hanging="504"/>
        <w:rPr>
          <w:rFonts w:hint="eastAsia"/>
        </w:rPr>
      </w:pPr>
      <w:bookmarkStart w:id="100" w:name="_Toc208991606"/>
      <w:r>
        <w:t xml:space="preserve">2.3.3. </w:t>
      </w:r>
      <w:r w:rsidR="00ED0E64" w:rsidRPr="00E14EBC">
        <w:t>Täitumus</w:t>
      </w:r>
      <w:r w:rsidR="7E981DDE" w:rsidRPr="00E14EBC">
        <w:t xml:space="preserve"> </w:t>
      </w:r>
      <w:r w:rsidR="121E0C52" w:rsidRPr="00E14EBC">
        <w:t>ja müügitulu</w:t>
      </w:r>
      <w:bookmarkEnd w:id="100"/>
    </w:p>
    <w:p w14:paraId="0DCC6379" w14:textId="3D47D8CB" w:rsidR="00ED0E64" w:rsidRPr="00E14EBC" w:rsidRDefault="4EDD54EB" w:rsidP="00ED0E64">
      <w:pPr>
        <w:jc w:val="both"/>
      </w:pPr>
      <w:r w:rsidRPr="00E14EBC">
        <w:t>Täitumuse võrdlemisel ja analüüsimisel peab arvestama, et suuremates linnades on hotellitubade saadavus enamasti aastaringne, samas kui üle poole lühiajalise üüri majutuskohtadest on pakkumises vaid kuni 6 kuud aastas.</w:t>
      </w:r>
      <w:r w:rsidR="00433E30">
        <w:t xml:space="preserve"> </w:t>
      </w:r>
      <w:r w:rsidR="4E440EBC" w:rsidRPr="00E14EBC">
        <w:t xml:space="preserve">Eraldi metoodika teema on ka voodikohtade täitumuse arvestus </w:t>
      </w:r>
      <w:r w:rsidR="464F658A" w:rsidRPr="00E14EBC">
        <w:t>–</w:t>
      </w:r>
      <w:r w:rsidR="4E440EBC" w:rsidRPr="00E14EBC">
        <w:t xml:space="preserve"> majutusettevõtete puhul on andmed pärit esmaallikast ja nende usaldusväärsus on kõrge. Samas lühiajalise üüri turu analüütikafirmad näevad vaid majutuskoha kalendrit, </w:t>
      </w:r>
      <w:r w:rsidR="4E440EBC" w:rsidRPr="00E14EBC">
        <w:lastRenderedPageBreak/>
        <w:t>broneeritud (sageli ka blokeeritud) päevi, teavad külaliste maksimaalset arvu, aga ei tea külaliste tegelikku arvu. Eurostat saab</w:t>
      </w:r>
      <w:r w:rsidR="00B7799E" w:rsidRPr="00E14EBC">
        <w:t xml:space="preserve"> </w:t>
      </w:r>
      <w:r w:rsidR="4E440EBC" w:rsidRPr="00E14EBC">
        <w:t xml:space="preserve">platvormidelt andmed, mis sisaldavad ka külaliste arvu, </w:t>
      </w:r>
      <w:r w:rsidR="00BF5E83">
        <w:t>aga</w:t>
      </w:r>
      <w:r w:rsidR="4E440EBC" w:rsidRPr="00E14EBC">
        <w:t xml:space="preserve"> Eurostat ei koosta teadaolevalt </w:t>
      </w:r>
      <w:r w:rsidR="4E440EBC">
        <w:t>lühi</w:t>
      </w:r>
      <w:r w:rsidR="75D88BB0">
        <w:t>a</w:t>
      </w:r>
      <w:r w:rsidR="4E440EBC">
        <w:t>jalise</w:t>
      </w:r>
      <w:r w:rsidR="4E440EBC" w:rsidRPr="00E14EBC">
        <w:t xml:space="preserve"> üüri pindade täitumuse statistikat.</w:t>
      </w:r>
    </w:p>
    <w:p w14:paraId="26ECE268" w14:textId="770DE761" w:rsidR="72E47210" w:rsidRPr="00E14EBC" w:rsidRDefault="72E47210" w:rsidP="72E47210">
      <w:pPr>
        <w:jc w:val="both"/>
      </w:pPr>
      <w:r>
        <w:t xml:space="preserve">Lisaks eelnevale tuleb täitumust vaadata ka hinna ehk teenitava </w:t>
      </w:r>
      <w:r w:rsidR="1E8794FF">
        <w:t>müügitulu</w:t>
      </w:r>
      <w:r>
        <w:t xml:space="preserve"> kontekstis</w:t>
      </w:r>
      <w:r w:rsidR="005A6EF6">
        <w:t xml:space="preserve">, mida saame teha MTA andmete põhjal. </w:t>
      </w:r>
      <w:r w:rsidR="5A6C717C">
        <w:t>Kaalutud</w:t>
      </w:r>
      <w:r w:rsidR="58A6FF9C">
        <w:t xml:space="preserve"> keskmine müügitulu kinnistusüksuse kohta 2023. aastal </w:t>
      </w:r>
      <w:r w:rsidR="5A6C717C">
        <w:t>oli maakondades 3150</w:t>
      </w:r>
      <w:r w:rsidR="7E18F3AD">
        <w:t xml:space="preserve"> </w:t>
      </w:r>
      <w:r w:rsidR="0025685E">
        <w:rPr>
          <w:rFonts w:ascii="Arial" w:eastAsia="Arial" w:hAnsi="Arial" w:cs="Arial"/>
        </w:rPr>
        <w:t>eurot</w:t>
      </w:r>
      <w:r w:rsidR="5A6C717C">
        <w:t>; kolmes linnas 6330</w:t>
      </w:r>
      <w:r w:rsidR="0025685E">
        <w:t xml:space="preserve"> </w:t>
      </w:r>
      <w:r w:rsidR="0025685E">
        <w:rPr>
          <w:rFonts w:ascii="Arial" w:eastAsia="Arial" w:hAnsi="Arial" w:cs="Arial"/>
        </w:rPr>
        <w:t>eurot</w:t>
      </w:r>
      <w:r w:rsidR="5A6C717C">
        <w:t>. Suurim aastatulu kinnistusüksuse kohta oligi Tallinnas (üle 7500</w:t>
      </w:r>
      <w:r w:rsidR="7E18F3AD">
        <w:t xml:space="preserve"> </w:t>
      </w:r>
      <w:r w:rsidR="0025685E">
        <w:t>euro</w:t>
      </w:r>
      <w:r w:rsidR="5A6C717C">
        <w:t>), maakondade keskmised jäid 1300 ja 5500 euro vahemikku.</w:t>
      </w:r>
      <w:r w:rsidR="58A6FF9C">
        <w:t xml:space="preserve"> </w:t>
      </w:r>
      <w:r w:rsidR="58A6FF9C" w:rsidRPr="1C92C443">
        <w:rPr>
          <w:b/>
          <w:bCs/>
        </w:rPr>
        <w:t xml:space="preserve">Keskmine Eesti majanduslikult aktiivne kinnistusüksus teenis 2023. aastal müügitulu veidi üle </w:t>
      </w:r>
      <w:r w:rsidR="5A6C717C" w:rsidRPr="5A6C717C">
        <w:rPr>
          <w:b/>
          <w:bCs/>
        </w:rPr>
        <w:t>59</w:t>
      </w:r>
      <w:r w:rsidR="58A6FF9C" w:rsidRPr="1C92C443">
        <w:rPr>
          <w:b/>
          <w:bCs/>
        </w:rPr>
        <w:t>00 euro aastas</w:t>
      </w:r>
      <w:r w:rsidR="58A6FF9C">
        <w:t xml:space="preserve">. </w:t>
      </w:r>
      <w:r w:rsidR="4AEAC2AA">
        <w:t>MTA-le edastatud reaalsed</w:t>
      </w:r>
      <w:r w:rsidR="6EE51CFF">
        <w:t xml:space="preserve"> kinnistusüksuste keskmised</w:t>
      </w:r>
      <w:r w:rsidR="4AEAC2AA">
        <w:t xml:space="preserve"> </w:t>
      </w:r>
      <w:r w:rsidR="093A662A">
        <w:t xml:space="preserve">müügitulu </w:t>
      </w:r>
      <w:r w:rsidR="3DBDAE80">
        <w:t xml:space="preserve">andmed </w:t>
      </w:r>
      <w:r w:rsidR="3E578D4E">
        <w:t xml:space="preserve">on </w:t>
      </w:r>
      <w:r w:rsidR="7BEEF98C">
        <w:t xml:space="preserve">umbes kaks korda </w:t>
      </w:r>
      <w:r w:rsidR="7480D69E">
        <w:t xml:space="preserve">väiksemad kui </w:t>
      </w:r>
      <w:r w:rsidR="71369A17">
        <w:t xml:space="preserve">nt </w:t>
      </w:r>
      <w:r w:rsidR="701BD83E">
        <w:t>AirDNA</w:t>
      </w:r>
      <w:r w:rsidR="5E83BDC1">
        <w:t xml:space="preserve"> </w:t>
      </w:r>
      <w:r w:rsidR="1D3C8EEF">
        <w:t xml:space="preserve">avaldatud </w:t>
      </w:r>
      <w:r w:rsidR="23CFF102">
        <w:t>keskmise müügitulu numbrid</w:t>
      </w:r>
      <w:r w:rsidR="18656475">
        <w:t>.</w:t>
      </w:r>
      <w:r w:rsidR="00323AE6">
        <w:t xml:space="preserve"> </w:t>
      </w:r>
      <w:r w:rsidR="000628CE">
        <w:t>S</w:t>
      </w:r>
      <w:r w:rsidR="005A4639">
        <w:t>elle põhjuseks</w:t>
      </w:r>
      <w:r w:rsidR="000628CE">
        <w:t xml:space="preserve"> võib olla nii</w:t>
      </w:r>
      <w:r w:rsidR="005A4639">
        <w:t xml:space="preserve"> </w:t>
      </w:r>
      <w:r w:rsidR="701BD83E">
        <w:t>AirDNA</w:t>
      </w:r>
      <w:r w:rsidR="005D041A">
        <w:t xml:space="preserve"> </w:t>
      </w:r>
      <w:r w:rsidR="005260D9">
        <w:t xml:space="preserve">andmete alusel </w:t>
      </w:r>
      <w:r w:rsidR="00501A68">
        <w:t>turumahu ülehindamine (nt probleemid dubleerimisega erinevatelt platvormidelt andmete kogumisel), kuid teatud ulatuses võ</w:t>
      </w:r>
      <w:r w:rsidR="00854A9A">
        <w:t>ivad MTA andmed turumahtu ka alahinnata</w:t>
      </w:r>
      <w:r w:rsidR="006F2F0A">
        <w:t xml:space="preserve"> (nt kõiki teenusepakkujaid see ei hõlma seatud ülempiiri tõttu).</w:t>
      </w:r>
      <w:r w:rsidR="5122D0CD">
        <w:t xml:space="preserve"> </w:t>
      </w:r>
      <w:r w:rsidR="5A38ADBC">
        <w:t xml:space="preserve">Kolme </w:t>
      </w:r>
      <w:r w:rsidR="67F06E12">
        <w:t>linna</w:t>
      </w:r>
      <w:r w:rsidR="5A38ADBC">
        <w:t xml:space="preserve"> – Tallinna</w:t>
      </w:r>
      <w:r w:rsidR="58A6FF9C">
        <w:t xml:space="preserve">, Tartu ja Pärnu </w:t>
      </w:r>
      <w:r w:rsidR="02352328">
        <w:t xml:space="preserve">– </w:t>
      </w:r>
      <w:r w:rsidR="58A6FF9C">
        <w:t>kinnistusüksus</w:t>
      </w:r>
      <w:r w:rsidR="004550E0">
        <w:t>te lühiajalisest üürimisest</w:t>
      </w:r>
      <w:r w:rsidR="58A6FF9C">
        <w:t xml:space="preserve"> teeni</w:t>
      </w:r>
      <w:r w:rsidR="00AB651E">
        <w:t>ti</w:t>
      </w:r>
      <w:r w:rsidR="58A6FF9C">
        <w:t xml:space="preserve"> 2023. aastal </w:t>
      </w:r>
      <w:r w:rsidR="5A6C717C">
        <w:t>23,3</w:t>
      </w:r>
      <w:r w:rsidR="00C5494A">
        <w:t xml:space="preserve"> miljonit eurot</w:t>
      </w:r>
      <w:r w:rsidR="5A6C717C">
        <w:t xml:space="preserve">, mis </w:t>
      </w:r>
      <w:r w:rsidR="5047AEA0">
        <w:t>moodusta</w:t>
      </w:r>
      <w:r w:rsidR="0E9C7619">
        <w:t>s</w:t>
      </w:r>
      <w:r w:rsidR="5A6C717C">
        <w:t xml:space="preserve"> ligi kolmveerandi kogu lühiajalise üüri tulust</w:t>
      </w:r>
      <w:r w:rsidR="58A6FF9C">
        <w:t>.</w:t>
      </w:r>
    </w:p>
    <w:p w14:paraId="55879CD3" w14:textId="6C6408D9" w:rsidR="72E47210" w:rsidRPr="00BF5E83" w:rsidRDefault="00035BB9" w:rsidP="00E91C85">
      <w:pPr>
        <w:pStyle w:val="Heading3"/>
        <w:numPr>
          <w:ilvl w:val="0"/>
          <w:numId w:val="0"/>
        </w:numPr>
        <w:ind w:left="504" w:hanging="504"/>
        <w:rPr>
          <w:rStyle w:val="PurpleText"/>
          <w:rFonts w:asciiTheme="minorHAnsi" w:eastAsiaTheme="minorHAnsi" w:hAnsiTheme="minorHAnsi" w:cstheme="minorBidi"/>
          <w:color w:val="auto"/>
          <w:szCs w:val="22"/>
        </w:rPr>
      </w:pPr>
      <w:bookmarkStart w:id="101" w:name="_Toc208991607"/>
      <w:r>
        <w:rPr>
          <w:rStyle w:val="PurpleText"/>
          <w:color w:val="auto"/>
        </w:rPr>
        <w:t xml:space="preserve">2.3.4. </w:t>
      </w:r>
      <w:r w:rsidR="72E47210" w:rsidRPr="00BF5E83">
        <w:rPr>
          <w:rStyle w:val="PurpleText"/>
          <w:color w:val="auto"/>
        </w:rPr>
        <w:t>Hooajalisus</w:t>
      </w:r>
      <w:bookmarkEnd w:id="101"/>
    </w:p>
    <w:p w14:paraId="5A428DC1" w14:textId="70E43E86" w:rsidR="72E47210" w:rsidRPr="00E14EBC" w:rsidRDefault="749BA66A" w:rsidP="72E47210">
      <w:pPr>
        <w:spacing w:before="0" w:after="0"/>
        <w:jc w:val="both"/>
        <w:rPr>
          <w:rFonts w:eastAsia="Aptos"/>
        </w:rPr>
      </w:pPr>
      <w:r w:rsidRPr="5848DE21">
        <w:rPr>
          <w:rFonts w:eastAsia="Aptos"/>
        </w:rPr>
        <w:t xml:space="preserve">Nõudlus ehk lühiajalise üüri turu majutuskohtade ööbimiste arv, majutatute arv, täitumus ja müügitulu Eestis </w:t>
      </w:r>
      <w:r w:rsidR="4F551C9D" w:rsidRPr="5848DE21">
        <w:rPr>
          <w:rFonts w:eastAsia="Aptos"/>
        </w:rPr>
        <w:t xml:space="preserve">kõigub </w:t>
      </w:r>
      <w:r w:rsidRPr="5848DE21">
        <w:rPr>
          <w:rFonts w:eastAsia="Aptos"/>
        </w:rPr>
        <w:t>Lighthouse’i, Eurostati ja MTA andmete põhjal hinnates aasta kestel märgatavalt enam kui pakkumise näitajad ehk majutuskohtade saadavus.</w:t>
      </w:r>
      <w:r w:rsidR="00323AE6">
        <w:rPr>
          <w:rFonts w:eastAsia="Aptos"/>
        </w:rPr>
        <w:t xml:space="preserve"> </w:t>
      </w:r>
      <w:r w:rsidR="72E47210" w:rsidRPr="00E14EBC">
        <w:rPr>
          <w:rFonts w:eastAsia="Aptos"/>
        </w:rPr>
        <w:t>Eurostati andmed ööbimiste arvu kohta kuude lõikes näitavad, et Eestis moodustas juuli kõigist 2023. aasta ööbimistest 20% ja kolm suvekuud kokku 47% (</w:t>
      </w:r>
      <w:r w:rsidR="72E47210" w:rsidRPr="00455FC0">
        <w:rPr>
          <w:rFonts w:eastAsia="Aptos"/>
        </w:rPr>
        <w:t xml:space="preserve">Lisa 5, Tabel </w:t>
      </w:r>
      <w:r w:rsidR="00455FC0" w:rsidRPr="00455FC0">
        <w:rPr>
          <w:rFonts w:eastAsia="Aptos"/>
        </w:rPr>
        <w:t>29</w:t>
      </w:r>
      <w:r w:rsidR="72E47210" w:rsidRPr="00E14EBC">
        <w:rPr>
          <w:rFonts w:eastAsia="Aptos"/>
        </w:rPr>
        <w:t>).</w:t>
      </w:r>
    </w:p>
    <w:p w14:paraId="2F1BD180" w14:textId="6B7270FE" w:rsidR="72E47210" w:rsidRPr="00E14EBC" w:rsidRDefault="4E440EBC" w:rsidP="72E47210">
      <w:pPr>
        <w:jc w:val="both"/>
      </w:pPr>
      <w:r w:rsidRPr="00E14EBC">
        <w:t xml:space="preserve">Kõige kõnekamaks hooajalisuse näitajaks on </w:t>
      </w:r>
      <w:r w:rsidR="3D607F6F" w:rsidRPr="00E14EBC">
        <w:t>meie</w:t>
      </w:r>
      <w:r w:rsidRPr="00E14EBC">
        <w:t xml:space="preserve"> hinnangul kinnistusüksustelt teenitud tulude kvartaalne erinevus, mis platvormidelt MTAle esitatud andmetel oli Pärnu linnas 2023. aasta I ja III kvartali vahel </w:t>
      </w:r>
      <w:r w:rsidR="5A6C717C">
        <w:t>ligi kahekümnekordne (17x),</w:t>
      </w:r>
      <w:r w:rsidRPr="00E14EBC">
        <w:t xml:space="preserve"> Tartus ja Tallinnas </w:t>
      </w:r>
      <w:r w:rsidR="5A6C717C">
        <w:t xml:space="preserve">enam kui </w:t>
      </w:r>
      <w:r w:rsidRPr="00E14EBC">
        <w:t xml:space="preserve">kolmekordne ja Eestis tervikuna pea neljakordne. Üle kümne korra oli erinevus veel </w:t>
      </w:r>
      <w:r w:rsidR="5A6C717C">
        <w:t>Võrumaal ja Pärnumaal, ning eriti tõusid esile Hiiumaa ja Saaremaa (vastavalt 28x ja 24x)</w:t>
      </w:r>
      <w:r w:rsidRPr="00E14EBC">
        <w:t>.</w:t>
      </w:r>
    </w:p>
    <w:p w14:paraId="2B8C9E27" w14:textId="439BFF13" w:rsidR="4E440EBC" w:rsidRPr="00E14EBC" w:rsidRDefault="6F5945C9" w:rsidP="5848DE21">
      <w:pPr>
        <w:spacing w:before="0" w:line="257" w:lineRule="auto"/>
        <w:jc w:val="both"/>
        <w:rPr>
          <w:rFonts w:eastAsiaTheme="minorEastAsia"/>
        </w:rPr>
      </w:pPr>
      <w:r>
        <w:t>Sobiv hooajalisuse indikaator on ka päevade arv, mil majutuskoht oli välja üüritud. MTA andmetel oli 2023. aastal keskmine väljaüüritud päevade arv Tallinnas 86, Tartus 64 ja Pärnus 38. Maakondadest Võrumaal nt vaid 22, Jõgevamaal 23; üle 40 rendipäeva aastas oli keskmine tulemus vaid kolmes maakonnas (Harju, Ida-Viru ja Lääne-</w:t>
      </w:r>
      <w:r w:rsidRPr="5848DE21">
        <w:rPr>
          <w:rFonts w:eastAsiaTheme="minorEastAsia"/>
        </w:rPr>
        <w:t xml:space="preserve">Viru). Kõigi Eesti maakondade (v.a Tallinn, Tartu, Pärnu) keskmine väljaüüritud päevade arv oli 2023. aastal 33 ehk veebiplatvormidel pakutavas lühiajalise üüriteenuse majutuskohas väljaspool suuremaid linnu oli külalisi keskmiselt ühe kuu jagu aastas. Lisades arvestusse ka eelnimetatud kolm linna, oli keskmine rendipäevade arv aastas 61 ehk kaks kuud. </w:t>
      </w:r>
    </w:p>
    <w:p w14:paraId="65D0F388" w14:textId="77777777" w:rsidR="005B0B51" w:rsidRPr="005B0B51" w:rsidRDefault="005B0B51" w:rsidP="005B0B51">
      <w:pPr>
        <w:pStyle w:val="MintBlock"/>
      </w:pPr>
      <w:r w:rsidRPr="005B0B51">
        <w:rPr>
          <w:b/>
          <w:bCs/>
        </w:rPr>
        <w:t>Kokkuvõtvalt</w:t>
      </w:r>
      <w:r w:rsidRPr="005B0B51">
        <w:t>:</w:t>
      </w:r>
    </w:p>
    <w:p w14:paraId="5DAB48DE" w14:textId="2F86A378" w:rsidR="00D40A04" w:rsidRPr="005B0B51" w:rsidRDefault="002109C0" w:rsidP="005B0B51">
      <w:pPr>
        <w:pStyle w:val="MintBlock"/>
      </w:pPr>
      <w:r>
        <w:t xml:space="preserve"> - </w:t>
      </w:r>
      <w:r w:rsidR="4E440EBC" w:rsidRPr="005B0B51">
        <w:t>Kui majutusettevõtete statistikas moodustas Tallinn kõigist ööbimistest 2023. aastal 48%, siis lühiajalise üüri teenuse ööbimistest täpselt poole. Lühiajalise üüri majutatute arvult on Tartu linn Pärnust üle, aga ööbimiste arvult on Pärnu teisel ja Tartu kolmandal kohal, mis näitab külastuste olemust – Tartus on pigem tööreisijad ja Pärnus puhkajad, s.t ühe broneeringu kohta on Pärnus külalisi veidi rohkem ja majutuspäevi veidi enam.</w:t>
      </w:r>
    </w:p>
    <w:p w14:paraId="21FC1F89" w14:textId="58B91DBA" w:rsidR="00ED0E64" w:rsidRPr="005B0B51" w:rsidRDefault="002109C0" w:rsidP="005B0B51">
      <w:pPr>
        <w:pStyle w:val="MintBlock"/>
      </w:pPr>
      <w:r>
        <w:lastRenderedPageBreak/>
        <w:t xml:space="preserve">- </w:t>
      </w:r>
      <w:r w:rsidR="58A6FF9C" w:rsidRPr="005B0B51">
        <w:t>Pea ainsana ei ole COVID19 pandeemiaeelset ööbimiste ja majutatute mahtude taset saavutanud lühiajalise üüri turg Tallinnas, mille peamiseks põhjuseks on vene turistide kadumine.</w:t>
      </w:r>
    </w:p>
    <w:p w14:paraId="60528AE8" w14:textId="27622215" w:rsidR="00ED0E64" w:rsidRPr="005B0B51" w:rsidRDefault="00CC645B" w:rsidP="005B0B51">
      <w:pPr>
        <w:pStyle w:val="MintBlock"/>
      </w:pPr>
      <w:r>
        <w:t xml:space="preserve">- </w:t>
      </w:r>
      <w:r w:rsidR="00ED0E64" w:rsidRPr="005B0B51">
        <w:t>Nõudluse poolest on Tallinn ja Tartu pea ainsad, kus madalhooajal säilib lühiajalise üüri turul üle 30% täitumus.</w:t>
      </w:r>
    </w:p>
    <w:p w14:paraId="2406E67E" w14:textId="7E54A2D3" w:rsidR="00ED0E64" w:rsidRPr="005B0B51" w:rsidRDefault="002109C0" w:rsidP="005B0B51">
      <w:pPr>
        <w:pStyle w:val="MintBlock"/>
      </w:pPr>
      <w:r>
        <w:t xml:space="preserve">- </w:t>
      </w:r>
      <w:r w:rsidR="58A6FF9C" w:rsidRPr="005B0B51">
        <w:t>Oluline on olnud Eesti-sisese turismi kasv lühiajalise üüri majutuskohtades, eriti madalhooajal. Muidugi ka koroonapandeemia ajal suvekuudel.</w:t>
      </w:r>
    </w:p>
    <w:p w14:paraId="498DC648" w14:textId="6D5D8110" w:rsidR="598BB2BE" w:rsidRPr="005B0B51" w:rsidRDefault="002109C0" w:rsidP="005B0B51">
      <w:pPr>
        <w:pStyle w:val="MintBlock"/>
      </w:pPr>
      <w:r>
        <w:t xml:space="preserve">- </w:t>
      </w:r>
      <w:r w:rsidR="72E47210" w:rsidRPr="005B0B51">
        <w:t>Mitmete nõudluse poole näitajate puhul (eriti keskmine hind ja keskmine täitumus) peab arvestama, et väga paljud lühiajalise üüri majutuskohad ei ole avatud aastaringselt, st madalhooaeg veab</w:t>
      </w:r>
      <w:r w:rsidR="00817A75">
        <w:t xml:space="preserve"> SA </w:t>
      </w:r>
      <w:r w:rsidR="72E47210" w:rsidRPr="005B0B51">
        <w:t>majutusstatistikas kajastuvate majutuskohtade näitajat allapoole.</w:t>
      </w:r>
    </w:p>
    <w:p w14:paraId="424665E0" w14:textId="35E421DF" w:rsidR="00ED0E64" w:rsidRPr="00E14EBC" w:rsidRDefault="009E373E" w:rsidP="009E373E">
      <w:pPr>
        <w:pStyle w:val="Heading2"/>
        <w:numPr>
          <w:ilvl w:val="0"/>
          <w:numId w:val="0"/>
        </w:numPr>
        <w:rPr>
          <w:rStyle w:val="PurpleText"/>
          <w:rFonts w:hint="eastAsia"/>
          <w:color w:val="1A1A1A"/>
        </w:rPr>
      </w:pPr>
      <w:bookmarkStart w:id="102" w:name="_Toc197718070"/>
      <w:bookmarkStart w:id="103" w:name="_Toc208991608"/>
      <w:r w:rsidRPr="00E14EBC">
        <w:t xml:space="preserve">2.4. </w:t>
      </w:r>
      <w:r w:rsidR="526E82E2" w:rsidRPr="00E14EBC">
        <w:t>Ametliku majutusstatistika ja lühiajalise üüri turu andmete kattuvus</w:t>
      </w:r>
      <w:bookmarkEnd w:id="102"/>
      <w:bookmarkEnd w:id="103"/>
    </w:p>
    <w:p w14:paraId="33D213FE" w14:textId="283E66F3" w:rsidR="598BB2BE" w:rsidRPr="00E14EBC" w:rsidRDefault="4DFE54A4" w:rsidP="18C9F0B4">
      <w:pPr>
        <w:pStyle w:val="TableTitle"/>
        <w:jc w:val="both"/>
        <w:rPr>
          <w:rStyle w:val="PurpleText"/>
          <w:color w:val="auto"/>
        </w:rPr>
      </w:pPr>
      <w:r w:rsidRPr="288A3578">
        <w:rPr>
          <w:rStyle w:val="PurpleText"/>
          <w:color w:val="auto"/>
        </w:rPr>
        <w:t>Antud uurimisküsimusele ühese ja metoodiliselt korrektse vastuse leidmise teeb keeruliseks õigusalaste, statistiliste ja turunduslike määratluste põimumine ning ühtse majutusteenuste pakkujate registri puudumine. Olulises osas kattuvad TurS kohaldumisalas olevad majutusettevõtted</w:t>
      </w:r>
      <w:r w:rsidR="00817A75">
        <w:rPr>
          <w:rStyle w:val="PurpleText"/>
          <w:color w:val="auto"/>
        </w:rPr>
        <w:t xml:space="preserve"> SA </w:t>
      </w:r>
      <w:r w:rsidRPr="288A3578">
        <w:rPr>
          <w:rStyle w:val="PurpleText"/>
          <w:color w:val="auto"/>
        </w:rPr>
        <w:t>majutusstatistika uuringute valimiga; samas on eelnimetatud majutusettevõtetel mõningane kattuvus ka</w:t>
      </w:r>
      <w:r w:rsidR="35AA02AC" w:rsidRPr="288A3578">
        <w:rPr>
          <w:rStyle w:val="PurpleText"/>
          <w:color w:val="auto"/>
        </w:rPr>
        <w:t xml:space="preserve"> </w:t>
      </w:r>
      <w:r w:rsidRPr="288A3578">
        <w:rPr>
          <w:rStyle w:val="PurpleText"/>
          <w:color w:val="auto"/>
        </w:rPr>
        <w:t>EL määruse 2024/1028 järgi lühiajaliseks üüriteenuseks liigituvate majutuskohtadega.</w:t>
      </w:r>
      <w:r w:rsidR="00817A75">
        <w:rPr>
          <w:rStyle w:val="PurpleText"/>
          <w:color w:val="auto"/>
        </w:rPr>
        <w:t xml:space="preserve"> SA </w:t>
      </w:r>
      <w:r w:rsidRPr="288A3578">
        <w:rPr>
          <w:rStyle w:val="PurpleText"/>
          <w:color w:val="auto"/>
        </w:rPr>
        <w:t xml:space="preserve">statistika kogumise eesmärgil koostatud ja kohandatud andmekogu sisaldab </w:t>
      </w:r>
      <w:r w:rsidR="43D12F90" w:rsidRPr="288A3578">
        <w:rPr>
          <w:rStyle w:val="PurpleText"/>
          <w:color w:val="auto"/>
        </w:rPr>
        <w:t>(</w:t>
      </w:r>
      <w:r w:rsidRPr="288A3578">
        <w:rPr>
          <w:rStyle w:val="PurpleText"/>
          <w:color w:val="auto"/>
        </w:rPr>
        <w:t>SA</w:t>
      </w:r>
      <w:r w:rsidR="43D12F90" w:rsidRPr="288A3578">
        <w:rPr>
          <w:rStyle w:val="PurpleText"/>
          <w:color w:val="auto"/>
        </w:rPr>
        <w:t>-</w:t>
      </w:r>
      <w:r w:rsidRPr="288A3578">
        <w:rPr>
          <w:rStyle w:val="PurpleText"/>
          <w:color w:val="auto"/>
        </w:rPr>
        <w:t>le teadaolevaid</w:t>
      </w:r>
      <w:r w:rsidR="43D12F90" w:rsidRPr="288A3578">
        <w:rPr>
          <w:rStyle w:val="PurpleText"/>
          <w:color w:val="auto"/>
        </w:rPr>
        <w:t>)</w:t>
      </w:r>
      <w:r w:rsidRPr="288A3578">
        <w:rPr>
          <w:rStyle w:val="PurpleText"/>
          <w:color w:val="auto"/>
        </w:rPr>
        <w:t xml:space="preserve"> äriühingute hallatavaid majutusettevõtteid;</w:t>
      </w:r>
      <w:r w:rsidR="35AA02AC" w:rsidRPr="288A3578">
        <w:rPr>
          <w:rStyle w:val="PurpleText"/>
          <w:color w:val="auto"/>
        </w:rPr>
        <w:t xml:space="preserve"> </w:t>
      </w:r>
      <w:r w:rsidRPr="288A3578">
        <w:rPr>
          <w:rStyle w:val="PurpleText"/>
          <w:color w:val="auto"/>
        </w:rPr>
        <w:t>lühiajalise üürituru andmete kogumise ja töötlemisega raha teenivad andmefirmad hangivad oma sisendi aga müügi ja turundusmaterjalina kasutatavatelt veebilehtedelt, kust on mh ainult osaliselt võimalik tuvastada ning eristada füüsilisest ja juriidilisest isikust majutajaid</w:t>
      </w:r>
      <w:r w:rsidR="7BCF8F83" w:rsidRPr="288A3578">
        <w:rPr>
          <w:rStyle w:val="PurpleText"/>
          <w:color w:val="auto"/>
        </w:rPr>
        <w:t>.</w:t>
      </w:r>
      <w:r w:rsidRPr="288A3578">
        <w:rPr>
          <w:rStyle w:val="PurpleText"/>
          <w:color w:val="auto"/>
        </w:rPr>
        <w:t xml:space="preserve"> </w:t>
      </w:r>
      <w:r w:rsidR="389610BB" w:rsidRPr="288A3578">
        <w:rPr>
          <w:rStyle w:val="PurpleText"/>
          <w:color w:val="auto"/>
        </w:rPr>
        <w:t>N</w:t>
      </w:r>
      <w:r w:rsidRPr="288A3578">
        <w:rPr>
          <w:rStyle w:val="PurpleText"/>
          <w:color w:val="auto"/>
        </w:rPr>
        <w:t xml:space="preserve">iisamuti saab Eurostat andmeid veebiplatvormidelt, milledest igaühel on teistest mõnevõrra erinev majutuskohtade nimetuste ja liigituste tüpoloogia, seda vaatamata Eurostati ühtsele juhisele. </w:t>
      </w:r>
    </w:p>
    <w:p w14:paraId="3954568E" w14:textId="154B5A4A" w:rsidR="00ED0E64" w:rsidRPr="00E14EBC" w:rsidRDefault="598BB2BE" w:rsidP="000C194A">
      <w:pPr>
        <w:pStyle w:val="TableTitle"/>
        <w:rPr>
          <w:rStyle w:val="PurpleText"/>
        </w:rPr>
      </w:pPr>
      <w:r w:rsidRPr="00E14EBC">
        <w:rPr>
          <w:rStyle w:val="PurpleText"/>
        </w:rPr>
        <w:t>Pakkumine</w:t>
      </w:r>
      <w:r w:rsidR="007460E5">
        <w:rPr>
          <w:rStyle w:val="PurpleText"/>
        </w:rPr>
        <w:t xml:space="preserve"> - m</w:t>
      </w:r>
      <w:r w:rsidRPr="00E14EBC">
        <w:rPr>
          <w:rStyle w:val="PurpleText"/>
        </w:rPr>
        <w:t>ajutusüksuste kaks põhirühma ja nendevaheline ülekate</w:t>
      </w:r>
    </w:p>
    <w:p w14:paraId="0609B180" w14:textId="55FC7070" w:rsidR="00ED0E64" w:rsidRPr="00E14EBC" w:rsidRDefault="00E61B9D" w:rsidP="00BE179D">
      <w:pPr>
        <w:jc w:val="both"/>
      </w:pPr>
      <w:r w:rsidRPr="1C92C443">
        <w:rPr>
          <w:rFonts w:eastAsia="Aptos"/>
        </w:rPr>
        <w:t xml:space="preserve">Antud uuringu üheks sihiks on tuvastada lühiajalise üüri turu </w:t>
      </w:r>
      <w:r w:rsidR="005E345A" w:rsidRPr="1C92C443">
        <w:rPr>
          <w:rFonts w:eastAsia="Aptos"/>
        </w:rPr>
        <w:t xml:space="preserve">osa </w:t>
      </w:r>
      <w:r w:rsidRPr="1C92C443">
        <w:rPr>
          <w:rFonts w:eastAsia="Aptos"/>
        </w:rPr>
        <w:t>SA turismiuuringute</w:t>
      </w:r>
      <w:r w:rsidR="00A2744F" w:rsidRPr="1C92C443">
        <w:rPr>
          <w:rFonts w:eastAsia="Aptos"/>
        </w:rPr>
        <w:t xml:space="preserve">ga mõõdetavas </w:t>
      </w:r>
      <w:r w:rsidR="005E345A" w:rsidRPr="1C92C443">
        <w:rPr>
          <w:rFonts w:eastAsia="Aptos"/>
        </w:rPr>
        <w:t>majutusturu mahus</w:t>
      </w:r>
      <w:r w:rsidRPr="1C92C443">
        <w:rPr>
          <w:rFonts w:eastAsia="Aptos"/>
        </w:rPr>
        <w:t>.</w:t>
      </w:r>
      <w:r w:rsidR="005E345A" w:rsidRPr="1C92C443">
        <w:rPr>
          <w:rFonts w:eastAsia="Aptos"/>
        </w:rPr>
        <w:t xml:space="preserve"> </w:t>
      </w:r>
      <w:r w:rsidR="009649A4" w:rsidRPr="1C92C443">
        <w:rPr>
          <w:rFonts w:eastAsia="Aptos"/>
        </w:rPr>
        <w:t xml:space="preserve">Selle saavutamiseks </w:t>
      </w:r>
      <w:r w:rsidR="00C75F59" w:rsidRPr="1C92C443">
        <w:rPr>
          <w:rFonts w:eastAsia="Aptos"/>
        </w:rPr>
        <w:t>uurime</w:t>
      </w:r>
      <w:r w:rsidR="008C6350" w:rsidRPr="1C92C443">
        <w:rPr>
          <w:rFonts w:eastAsia="Aptos"/>
        </w:rPr>
        <w:t xml:space="preserve"> järgnevalt</w:t>
      </w:r>
      <w:r w:rsidR="00442079" w:rsidRPr="1C92C443">
        <w:rPr>
          <w:rFonts w:eastAsia="Aptos"/>
        </w:rPr>
        <w:t>, millist majutusteg</w:t>
      </w:r>
      <w:r w:rsidR="00D10723" w:rsidRPr="1C92C443">
        <w:rPr>
          <w:rFonts w:eastAsia="Aptos"/>
        </w:rPr>
        <w:t>e</w:t>
      </w:r>
      <w:r w:rsidR="00442079" w:rsidRPr="1C92C443">
        <w:rPr>
          <w:rFonts w:eastAsia="Aptos"/>
        </w:rPr>
        <w:t xml:space="preserve">vust </w:t>
      </w:r>
      <w:r w:rsidR="77CDDFB0" w:rsidRPr="77CDDFB0">
        <w:rPr>
          <w:rFonts w:eastAsia="Aptos"/>
        </w:rPr>
        <w:t>SA</w:t>
      </w:r>
      <w:r w:rsidR="00442079" w:rsidRPr="1C92C443">
        <w:rPr>
          <w:rFonts w:eastAsia="Aptos"/>
        </w:rPr>
        <w:t xml:space="preserve"> uuringud täpsemalt hõlmavad ning milline osa nendest </w:t>
      </w:r>
      <w:r w:rsidR="002948F4" w:rsidRPr="1C92C443">
        <w:rPr>
          <w:rFonts w:eastAsia="Aptos"/>
        </w:rPr>
        <w:t>vastab lühiajalise üürimise tunnustele.</w:t>
      </w:r>
      <w:r w:rsidR="00412A9D" w:rsidRPr="1C92C443">
        <w:rPr>
          <w:rFonts w:eastAsia="Aptos"/>
        </w:rPr>
        <w:t xml:space="preserve"> </w:t>
      </w:r>
      <w:r w:rsidR="598BB2BE">
        <w:t>Lühiajalise ööbimisvõimaluse pakkumise</w:t>
      </w:r>
      <w:r w:rsidR="00412A9D">
        <w:t xml:space="preserve">, mis hõlmab nii </w:t>
      </w:r>
      <w:r w:rsidR="77CDDFB0">
        <w:t>lühiajalise</w:t>
      </w:r>
      <w:r w:rsidR="00412A9D">
        <w:t xml:space="preserve"> üü</w:t>
      </w:r>
      <w:r w:rsidR="276235EA">
        <w:t>ri</w:t>
      </w:r>
      <w:r w:rsidR="00412A9D">
        <w:t xml:space="preserve"> kui </w:t>
      </w:r>
      <w:r w:rsidR="77CDDFB0">
        <w:t>traditsioonilise</w:t>
      </w:r>
      <w:r w:rsidR="00412A9D">
        <w:t xml:space="preserve"> majutuse teenuseid,</w:t>
      </w:r>
      <w:r w:rsidR="598BB2BE">
        <w:t xml:space="preserve"> saab jagada kaheks suuremaks rühmaks: </w:t>
      </w:r>
    </w:p>
    <w:p w14:paraId="293E31CA" w14:textId="2065AAC0" w:rsidR="00ED0E64" w:rsidRPr="00E14EBC" w:rsidRDefault="39025985" w:rsidP="007F08F4">
      <w:pPr>
        <w:pStyle w:val="ListParagraph"/>
        <w:numPr>
          <w:ilvl w:val="0"/>
          <w:numId w:val="25"/>
        </w:numPr>
        <w:spacing w:before="0" w:after="0"/>
        <w:jc w:val="both"/>
        <w:rPr>
          <w:rFonts w:eastAsia="Aptos"/>
        </w:rPr>
      </w:pPr>
      <w:r w:rsidRPr="288A3578">
        <w:rPr>
          <w:rStyle w:val="PurpleText"/>
          <w:color w:val="auto"/>
        </w:rPr>
        <w:t xml:space="preserve">majutusettevõtted </w:t>
      </w:r>
      <w:r w:rsidRPr="288A3578">
        <w:rPr>
          <w:rFonts w:eastAsia="Aptos"/>
        </w:rPr>
        <w:t>(</w:t>
      </w:r>
      <w:r w:rsidRPr="5CBDD60A">
        <w:rPr>
          <w:rFonts w:eastAsia="Aptos"/>
        </w:rPr>
        <w:t>varasemalt</w:t>
      </w:r>
      <w:r w:rsidRPr="288A3578">
        <w:rPr>
          <w:rFonts w:eastAsia="Aptos"/>
        </w:rPr>
        <w:t xml:space="preserve"> on kasutatud ka terminit kollektiivmajutus)</w:t>
      </w:r>
      <w:r w:rsidR="00B226EA">
        <w:rPr>
          <w:rFonts w:eastAsia="Aptos"/>
        </w:rPr>
        <w:t>;</w:t>
      </w:r>
    </w:p>
    <w:p w14:paraId="2A933A29" w14:textId="5081E18E" w:rsidR="00ED0E64" w:rsidRPr="00E14EBC" w:rsidRDefault="598BB2BE" w:rsidP="007F08F4">
      <w:pPr>
        <w:pStyle w:val="ListParagraph"/>
        <w:numPr>
          <w:ilvl w:val="0"/>
          <w:numId w:val="25"/>
        </w:numPr>
        <w:spacing w:before="0" w:after="0"/>
        <w:jc w:val="both"/>
        <w:rPr>
          <w:rFonts w:eastAsia="Aptos"/>
        </w:rPr>
      </w:pPr>
      <w:r w:rsidRPr="00E14EBC">
        <w:rPr>
          <w:rStyle w:val="PurpleText"/>
          <w:color w:val="auto"/>
        </w:rPr>
        <w:t>majutuskohad</w:t>
      </w:r>
      <w:r w:rsidRPr="00E14EBC">
        <w:rPr>
          <w:rFonts w:eastAsia="Aptos"/>
        </w:rPr>
        <w:t xml:space="preserve"> (sh mitte-üüritud ehk eramajutus või eraviisiline majutus). </w:t>
      </w:r>
    </w:p>
    <w:p w14:paraId="387022FB" w14:textId="25774A5C" w:rsidR="00ED0E64" w:rsidRPr="00E14EBC" w:rsidRDefault="008B0903" w:rsidP="00BE179D">
      <w:pPr>
        <w:jc w:val="both"/>
      </w:pPr>
      <w:r w:rsidRPr="1C92C443">
        <w:rPr>
          <w:rFonts w:eastAsia="Aptos"/>
        </w:rPr>
        <w:t>Alustades majutusettevõtete</w:t>
      </w:r>
      <w:r w:rsidR="00765447" w:rsidRPr="1C92C443">
        <w:rPr>
          <w:rFonts w:eastAsia="Aptos"/>
        </w:rPr>
        <w:t>st, siis s</w:t>
      </w:r>
      <w:r w:rsidR="00762177" w:rsidRPr="1C92C443">
        <w:rPr>
          <w:rFonts w:eastAsia="Aptos"/>
        </w:rPr>
        <w:t xml:space="preserve">uur osa </w:t>
      </w:r>
      <w:r w:rsidR="00765447" w:rsidRPr="1C92C443">
        <w:rPr>
          <w:rFonts w:eastAsia="Aptos"/>
        </w:rPr>
        <w:t>nendest</w:t>
      </w:r>
      <w:r w:rsidR="00762177" w:rsidRPr="1C92C443">
        <w:rPr>
          <w:rFonts w:eastAsia="Aptos"/>
        </w:rPr>
        <w:t xml:space="preserve"> </w:t>
      </w:r>
      <w:r w:rsidR="701BD83E" w:rsidRPr="701BD83E">
        <w:rPr>
          <w:rFonts w:eastAsia="Aptos"/>
        </w:rPr>
        <w:t>moodustab</w:t>
      </w:r>
      <w:r w:rsidR="00817A75" w:rsidRPr="1C92C443">
        <w:rPr>
          <w:rFonts w:eastAsia="Aptos"/>
        </w:rPr>
        <w:t xml:space="preserve"> SA </w:t>
      </w:r>
      <w:r w:rsidR="18C9F0B4" w:rsidRPr="1C92C443">
        <w:rPr>
          <w:rFonts w:eastAsia="Aptos"/>
        </w:rPr>
        <w:t xml:space="preserve">majutustegevuse uuringu üldkogumi (u 1400), kusjuures kogumisse kuuluv majutusettevõte on piiratud kolme tunnusega: </w:t>
      </w:r>
    </w:p>
    <w:p w14:paraId="55235B64" w14:textId="77543F92" w:rsidR="00ED0E64" w:rsidRPr="00E14EBC" w:rsidRDefault="4DFE54A4" w:rsidP="007F08F4">
      <w:pPr>
        <w:pStyle w:val="ListParagraph"/>
        <w:numPr>
          <w:ilvl w:val="0"/>
          <w:numId w:val="26"/>
        </w:numPr>
        <w:spacing w:before="0" w:after="0"/>
        <w:jc w:val="both"/>
        <w:rPr>
          <w:rFonts w:eastAsia="Aptos"/>
        </w:rPr>
      </w:pPr>
      <w:r w:rsidRPr="288A3578">
        <w:rPr>
          <w:rFonts w:eastAsia="Aptos"/>
        </w:rPr>
        <w:t>majutusettevõtte haldaja on ettevõtja (FIE, OÜ, AS, UÜ vmt)</w:t>
      </w:r>
      <w:r w:rsidR="008055BF">
        <w:rPr>
          <w:rFonts w:eastAsia="Aptos"/>
        </w:rPr>
        <w:t>;</w:t>
      </w:r>
      <w:r w:rsidRPr="288A3578">
        <w:rPr>
          <w:rFonts w:eastAsia="Aptos"/>
        </w:rPr>
        <w:t xml:space="preserve"> </w:t>
      </w:r>
    </w:p>
    <w:p w14:paraId="0D00E3E1" w14:textId="7617AA3D" w:rsidR="00ED0E64" w:rsidRPr="00E14EBC" w:rsidRDefault="4DFE54A4" w:rsidP="007F08F4">
      <w:pPr>
        <w:pStyle w:val="ListParagraph"/>
        <w:numPr>
          <w:ilvl w:val="0"/>
          <w:numId w:val="26"/>
        </w:numPr>
        <w:spacing w:before="0" w:after="0"/>
        <w:jc w:val="both"/>
        <w:rPr>
          <w:rFonts w:eastAsia="Aptos"/>
        </w:rPr>
      </w:pPr>
      <w:r w:rsidRPr="288A3578">
        <w:rPr>
          <w:rFonts w:eastAsia="Aptos"/>
        </w:rPr>
        <w:t>mille põhi- või kõrvaltegevusala on majutus (EMTAK 551, 552, 553);</w:t>
      </w:r>
    </w:p>
    <w:p w14:paraId="09FEC0A3" w14:textId="04EADD13" w:rsidR="00ED0E64" w:rsidRPr="00E14EBC" w:rsidRDefault="527547CC" w:rsidP="007F08F4">
      <w:pPr>
        <w:pStyle w:val="ListParagraph"/>
        <w:numPr>
          <w:ilvl w:val="0"/>
          <w:numId w:val="26"/>
        </w:numPr>
        <w:spacing w:before="0" w:after="0"/>
        <w:jc w:val="both"/>
        <w:rPr>
          <w:rFonts w:eastAsia="Aptos"/>
        </w:rPr>
      </w:pPr>
      <w:r w:rsidRPr="64F64B3A">
        <w:rPr>
          <w:rFonts w:eastAsia="Aptos"/>
        </w:rPr>
        <w:t xml:space="preserve">voodikohtade arv majutusettevõttes on vähemalt </w:t>
      </w:r>
      <w:r w:rsidR="008055BF">
        <w:rPr>
          <w:rFonts w:eastAsia="Aptos"/>
        </w:rPr>
        <w:t>viie</w:t>
      </w:r>
      <w:r w:rsidR="714D7374" w:rsidRPr="64F64B3A">
        <w:rPr>
          <w:rFonts w:eastAsia="Aptos"/>
        </w:rPr>
        <w:t xml:space="preserve"> </w:t>
      </w:r>
      <w:r w:rsidR="6223A6B5" w:rsidRPr="64F64B3A">
        <w:rPr>
          <w:rFonts w:eastAsia="Aptos"/>
        </w:rPr>
        <w:t xml:space="preserve">(valimist </w:t>
      </w:r>
      <w:r w:rsidR="009913DA">
        <w:rPr>
          <w:rFonts w:eastAsia="Aptos"/>
        </w:rPr>
        <w:t xml:space="preserve">võivad </w:t>
      </w:r>
      <w:r w:rsidR="6223A6B5" w:rsidRPr="64F64B3A">
        <w:rPr>
          <w:rFonts w:eastAsia="Aptos"/>
        </w:rPr>
        <w:t>välja jääda üksused, mille voodikohtade arv on teadmata</w:t>
      </w:r>
      <w:r w:rsidR="5560782F" w:rsidRPr="4168966F">
        <w:rPr>
          <w:rFonts w:eastAsia="Aptos"/>
        </w:rPr>
        <w:t>).</w:t>
      </w:r>
    </w:p>
    <w:p w14:paraId="45DB8A9F" w14:textId="412FDF92" w:rsidR="00D40A04" w:rsidRPr="00E14EBC" w:rsidRDefault="02D80A35" w:rsidP="00BE179D">
      <w:pPr>
        <w:jc w:val="both"/>
        <w:rPr>
          <w:rFonts w:eastAsia="Aptos"/>
        </w:rPr>
      </w:pPr>
      <w:r w:rsidRPr="00E14EBC">
        <w:t xml:space="preserve">2023. aastal oli selliseid </w:t>
      </w:r>
      <w:r w:rsidR="004404ED">
        <w:t>ettevõtjaid</w:t>
      </w:r>
      <w:r w:rsidR="35AA02AC" w:rsidRPr="00E14EBC">
        <w:t xml:space="preserve"> </w:t>
      </w:r>
      <w:r w:rsidRPr="00E14EBC">
        <w:t>kokku 1307, sh Tallinnas 130, Pärnus 83 ja Tartus 37. Mitmete</w:t>
      </w:r>
      <w:r w:rsidR="219B5122" w:rsidRPr="00E14EBC">
        <w:t>s</w:t>
      </w:r>
      <w:r w:rsidRPr="00E14EBC">
        <w:t xml:space="preserve"> välisriikide turismisektori uuringutes ja ülevaadetes kasutatakse eelkirjeldatud grupi puhul </w:t>
      </w:r>
      <w:r w:rsidRPr="00E14EBC">
        <w:lastRenderedPageBreak/>
        <w:t>koondnimetust registreeritud majutusettevõtted.</w:t>
      </w:r>
      <w:r w:rsidR="00817A75">
        <w:t xml:space="preserve"> SA </w:t>
      </w:r>
      <w:r w:rsidR="30CE3FD7" w:rsidRPr="00E14EBC">
        <w:t>on kasutanud</w:t>
      </w:r>
      <w:r w:rsidRPr="00E14EBC">
        <w:t xml:space="preserve"> ka terminit kollektiivmajutus</w:t>
      </w:r>
      <w:r w:rsidR="00ED0E64" w:rsidRPr="00E14EBC">
        <w:rPr>
          <w:rStyle w:val="FootnoteReference"/>
        </w:rPr>
        <w:footnoteReference w:id="86"/>
      </w:r>
      <w:r w:rsidRPr="00E14EBC">
        <w:t>.</w:t>
      </w:r>
      <w:r w:rsidR="00D7195F">
        <w:t xml:space="preserve"> </w:t>
      </w:r>
      <w:r w:rsidR="18C9F0B4" w:rsidRPr="00E14EBC">
        <w:t xml:space="preserve">Muud </w:t>
      </w:r>
      <w:r w:rsidR="009768D3">
        <w:t xml:space="preserve">ajutise </w:t>
      </w:r>
      <w:r w:rsidR="00F33891">
        <w:t>ööbimis</w:t>
      </w:r>
      <w:r w:rsidR="009768D3">
        <w:t xml:space="preserve">e </w:t>
      </w:r>
      <w:r w:rsidR="00F33891">
        <w:t>võimaluse</w:t>
      </w:r>
      <w:r w:rsidR="003637C3">
        <w:t xml:space="preserve"> pakkujad</w:t>
      </w:r>
      <w:r w:rsidR="00F33891">
        <w:t xml:space="preserve"> </w:t>
      </w:r>
      <w:r w:rsidR="18C9F0B4" w:rsidRPr="00E14EBC">
        <w:t>(hinnanguliselt 10</w:t>
      </w:r>
      <w:r w:rsidR="008A3D05" w:rsidRPr="00E14EBC">
        <w:t>–</w:t>
      </w:r>
      <w:r w:rsidR="00861350">
        <w:t>15 tuhat</w:t>
      </w:r>
      <w:r w:rsidR="18C9F0B4" w:rsidRPr="00E14EBC">
        <w:t xml:space="preserve"> majutusüksus</w:t>
      </w:r>
      <w:r w:rsidR="00861350">
        <w:t>t</w:t>
      </w:r>
      <w:r w:rsidR="18C9F0B4" w:rsidRPr="00E14EBC">
        <w:t xml:space="preserve">) </w:t>
      </w:r>
      <w:r w:rsidR="00B55704">
        <w:t>SA statistikas ei kajastu</w:t>
      </w:r>
      <w:r w:rsidR="003F6904">
        <w:t xml:space="preserve">, kuna ei vasta mõnele eespool toodud </w:t>
      </w:r>
      <w:r w:rsidR="006D61AF">
        <w:t xml:space="preserve">kolmele </w:t>
      </w:r>
      <w:r w:rsidR="003F6904">
        <w:t>tunnusele.</w:t>
      </w:r>
      <w:r w:rsidR="00F755D7">
        <w:t xml:space="preserve"> </w:t>
      </w:r>
      <w:r w:rsidR="00CA52FA">
        <w:t>Paljud SA statistikaga mittehõlmatud majutusteenuse osutaja</w:t>
      </w:r>
      <w:r w:rsidR="00A11F2F">
        <w:t>d jäävad</w:t>
      </w:r>
      <w:r w:rsidR="00CA52FA">
        <w:t xml:space="preserve"> sellele vaatamata TurS</w:t>
      </w:r>
      <w:r w:rsidR="00B45FAF">
        <w:t>-i</w:t>
      </w:r>
      <w:r w:rsidR="00A11F2F">
        <w:t xml:space="preserve"> reguleerimisalasse</w:t>
      </w:r>
      <w:r w:rsidR="0054571B">
        <w:t>, peamiselt 1</w:t>
      </w:r>
      <w:r w:rsidR="003566B9" w:rsidRPr="00E14EBC">
        <w:t>–</w:t>
      </w:r>
      <w:r w:rsidR="0054571B">
        <w:t>4 voodikohaga majutusettevõtted</w:t>
      </w:r>
      <w:r w:rsidR="00AC4B9C">
        <w:t>.</w:t>
      </w:r>
      <w:r w:rsidR="0046547E">
        <w:t xml:space="preserve"> </w:t>
      </w:r>
      <w:r w:rsidR="00D16DE2">
        <w:t>Samas</w:t>
      </w:r>
      <w:r w:rsidR="00E07866">
        <w:t xml:space="preserve">, lähtudes </w:t>
      </w:r>
      <w:r w:rsidR="007E363C">
        <w:t>lühiajalise turu mõistest, mida kirjeldasime alapeatükis 1.4.,</w:t>
      </w:r>
      <w:r w:rsidR="00E4760C">
        <w:t xml:space="preserve"> jääb SA statistikaga hõlmamata ka neid, kelle tegevust </w:t>
      </w:r>
      <w:r w:rsidR="00EF74AD">
        <w:t>ei reguleerita</w:t>
      </w:r>
      <w:r w:rsidR="00A41308">
        <w:t xml:space="preserve"> </w:t>
      </w:r>
      <w:r w:rsidR="00275430">
        <w:t>TurS-ga</w:t>
      </w:r>
      <w:r w:rsidR="00E4760C">
        <w:t>. Põhjuseks on</w:t>
      </w:r>
      <w:r w:rsidR="00CD5462">
        <w:t xml:space="preserve"> nende tegevus</w:t>
      </w:r>
      <w:r w:rsidR="00E4760C">
        <w:t>e</w:t>
      </w:r>
      <w:r w:rsidR="00025051">
        <w:t xml:space="preserve"> ebaregulaarsus</w:t>
      </w:r>
      <w:r w:rsidR="00CD5462">
        <w:t xml:space="preserve"> majutusteenuse pakku</w:t>
      </w:r>
      <w:r w:rsidR="00BE38D2">
        <w:t>jana</w:t>
      </w:r>
      <w:r w:rsidR="00B07F02">
        <w:t xml:space="preserve"> ehk seda ei saa määratleda püsiva majandustegevusena</w:t>
      </w:r>
      <w:r w:rsidR="00BE38D2">
        <w:t xml:space="preserve">. </w:t>
      </w:r>
    </w:p>
    <w:p w14:paraId="791F9642" w14:textId="02B2F42B" w:rsidR="00D40A04" w:rsidRPr="00E14EBC" w:rsidRDefault="006D6185" w:rsidP="00BE179D">
      <w:pPr>
        <w:spacing w:after="60"/>
        <w:jc w:val="both"/>
      </w:pPr>
      <w:r>
        <w:t xml:space="preserve">Majutuskoha mõistet saab </w:t>
      </w:r>
      <w:r w:rsidR="003F5EDD">
        <w:t>määratleda majutusstatistika</w:t>
      </w:r>
      <w:r w:rsidR="00CF7D6D">
        <w:t xml:space="preserve"> tegemiseks kasutat</w:t>
      </w:r>
      <w:r w:rsidR="00E66BD1">
        <w:t>avate</w:t>
      </w:r>
      <w:r w:rsidR="00CF7D6D">
        <w:t xml:space="preserve"> klassifikaator</w:t>
      </w:r>
      <w:r w:rsidR="00D22FD3">
        <w:t>ite kaudu</w:t>
      </w:r>
      <w:r w:rsidR="003F5EDD">
        <w:t>. Näiteks</w:t>
      </w:r>
      <w:r w:rsidR="009240E5">
        <w:t xml:space="preserve"> </w:t>
      </w:r>
      <w:r w:rsidR="39025985">
        <w:t>EL</w:t>
      </w:r>
      <w:r w:rsidR="00636FFE">
        <w:t>-</w:t>
      </w:r>
      <w:r w:rsidR="003F5EDD">
        <w:t>i</w:t>
      </w:r>
      <w:r w:rsidR="39025985">
        <w:t xml:space="preserve"> määrus</w:t>
      </w:r>
      <w:r w:rsidR="00CA3C5F">
        <w:t>es</w:t>
      </w:r>
      <w:r w:rsidR="39025985">
        <w:t xml:space="preserve"> 2024/1028 </w:t>
      </w:r>
      <w:r w:rsidR="00CA3C5F">
        <w:t xml:space="preserve">lühiajalise üürimise andmete kogumise kohta </w:t>
      </w:r>
      <w:r w:rsidR="39025985">
        <w:t>defineeri</w:t>
      </w:r>
      <w:r w:rsidR="00CA3C5F">
        <w:t>takse</w:t>
      </w:r>
      <w:r w:rsidR="39025985">
        <w:t xml:space="preserve">, et „majutuskoht“ on liidus asuv möbleeritud eluruum, mis ei hõlma: </w:t>
      </w:r>
      <w:r w:rsidR="007856B1">
        <w:t>(</w:t>
      </w:r>
      <w:r w:rsidR="00C852C9">
        <w:t>i</w:t>
      </w:r>
      <w:r w:rsidR="39025985">
        <w:t xml:space="preserve">) NACE grupis 55.1 („hotellid jm sarnane majutus“) kirjeldatud hotelle ega sarnast majutust, sh kuurordi- ja sviit- või korterhotelle, ja motelle ega NACE grupis 55.2 („puhkuse- jm lühiajaline majutus“) kirjeldatud hosteleid; </w:t>
      </w:r>
      <w:r w:rsidR="007856B1">
        <w:t>(</w:t>
      </w:r>
      <w:r w:rsidR="00C852C9">
        <w:t>ii</w:t>
      </w:r>
      <w:r w:rsidR="39025985">
        <w:t xml:space="preserve">) majutuse pakkumist laagriplatsidel, vagunelamute ja haagissuvilate parkimisplatsidel, nagu on kirjeldatud NACE grupis 55.3. </w:t>
      </w:r>
      <w:r w:rsidR="598BB2BE" w:rsidRPr="00E14EBC">
        <w:t xml:space="preserve">EMTAK koodi 551 alla liigituvad hotellid, motellid ja külalistemajad; tegevusala koodiga 552 moodustavad hostelid, puhkekülad, puhkemajad, külaliskorterid ja kodumajutused. Ettevõtted EMTAK koodiga 553 (laagriplatsid ja haagissuvilate parklad) ja koodiga 559 (muu majutus) ei ole käesoleva uuringu seisukohast asjakohased. </w:t>
      </w:r>
    </w:p>
    <w:p w14:paraId="6A553B3E" w14:textId="264DCA13" w:rsidR="00865104" w:rsidRDefault="39025985" w:rsidP="00865104">
      <w:pPr>
        <w:jc w:val="both"/>
      </w:pPr>
      <w:r w:rsidRPr="00E14EBC">
        <w:t>TurS</w:t>
      </w:r>
      <w:r w:rsidR="00636FFE">
        <w:t>-</w:t>
      </w:r>
      <w:r w:rsidRPr="00E14EBC">
        <w:t>i kohaselt peaksid kõik Eestis tegutsevad hotellid ja motellid teoreetiliselt kuuluma</w:t>
      </w:r>
      <w:r w:rsidR="00817A75">
        <w:t xml:space="preserve"> SA </w:t>
      </w:r>
      <w:r w:rsidRPr="00E14EBC">
        <w:t>majutusuuringu üldkogumisse</w:t>
      </w:r>
      <w:r w:rsidR="00DF290D">
        <w:t>.</w:t>
      </w:r>
      <w:r w:rsidR="00D40A04" w:rsidRPr="00E14EBC">
        <w:rPr>
          <w:rStyle w:val="FootnoteReference"/>
        </w:rPr>
        <w:footnoteReference w:id="87"/>
      </w:r>
      <w:r w:rsidRPr="00E14EBC">
        <w:t xml:space="preserve"> </w:t>
      </w:r>
      <w:r w:rsidR="00911B3E">
        <w:t>Nagu eespool juba viidatud, siis ü</w:t>
      </w:r>
      <w:r w:rsidRPr="00E14EBC">
        <w:t xml:space="preserve">ldkogumist </w:t>
      </w:r>
      <w:r w:rsidR="30CE3FD7" w:rsidRPr="00E14EBC">
        <w:t xml:space="preserve">jäävad välja tasu eest ajutist ööbimisvõimalust pakkuvad 1–4 voodikohaga külalistemajad, hostelid, </w:t>
      </w:r>
      <w:r w:rsidR="00D11392">
        <w:t>puhk</w:t>
      </w:r>
      <w:r w:rsidR="004C66D4">
        <w:t>emajad</w:t>
      </w:r>
      <w:r w:rsidR="00D46D81">
        <w:t>, puhkekülad, külaliskorterid ja kodumajutused</w:t>
      </w:r>
      <w:r w:rsidR="00D53671">
        <w:t>,</w:t>
      </w:r>
      <w:r w:rsidR="00AA42BF">
        <w:t xml:space="preserve"> lisaks ka</w:t>
      </w:r>
      <w:r w:rsidR="203A3664" w:rsidRPr="00E14EBC">
        <w:t xml:space="preserve"> </w:t>
      </w:r>
      <w:r w:rsidR="30CE3FD7" w:rsidRPr="00E14EBC">
        <w:t>koodigrupp 682</w:t>
      </w:r>
      <w:r w:rsidR="00D40A04" w:rsidRPr="00E14EBC">
        <w:rPr>
          <w:rStyle w:val="FootnoteReference"/>
        </w:rPr>
        <w:footnoteReference w:id="88"/>
      </w:r>
      <w:r w:rsidRPr="00E14EBC">
        <w:t xml:space="preserve"> (mis peaks küll teoorias hõlmama vaid eluruumide pikaajalist üüri)</w:t>
      </w:r>
      <w:r w:rsidR="00EF6C7E">
        <w:t>.</w:t>
      </w:r>
    </w:p>
    <w:p w14:paraId="0EFE41D8" w14:textId="5F5F3A0B" w:rsidR="00ED0E64" w:rsidRPr="00E14EBC" w:rsidRDefault="4DFE54A4" w:rsidP="1C0D874C">
      <w:pPr>
        <w:jc w:val="both"/>
        <w:rPr>
          <w:rStyle w:val="PurpleText"/>
          <w:color w:val="auto"/>
        </w:rPr>
      </w:pPr>
      <w:r w:rsidRPr="288A3578">
        <w:rPr>
          <w:rStyle w:val="PurpleText"/>
          <w:color w:val="auto"/>
        </w:rPr>
        <w:t>Välistades hostelid</w:t>
      </w:r>
      <w:r w:rsidR="00B029B8">
        <w:rPr>
          <w:rStyle w:val="PurpleText"/>
          <w:color w:val="auto"/>
        </w:rPr>
        <w:t xml:space="preserve"> ja</w:t>
      </w:r>
      <w:r w:rsidRPr="288A3578">
        <w:rPr>
          <w:rStyle w:val="PurpleText"/>
          <w:color w:val="auto"/>
        </w:rPr>
        <w:t xml:space="preserve"> puhkekülad, peaks teoreetiliselt käesoleva uuringu fookuses olevast lühiajalise üüri turust </w:t>
      </w:r>
      <w:r w:rsidR="00A44901" w:rsidRPr="288A3578">
        <w:rPr>
          <w:rStyle w:val="PurpleText"/>
          <w:color w:val="auto"/>
        </w:rPr>
        <w:t xml:space="preserve">moodustama </w:t>
      </w:r>
      <w:r w:rsidR="00C770B3">
        <w:rPr>
          <w:rStyle w:val="PurpleText"/>
          <w:color w:val="auto"/>
        </w:rPr>
        <w:t>peamise</w:t>
      </w:r>
      <w:r w:rsidR="00A44901" w:rsidRPr="288A3578">
        <w:rPr>
          <w:rStyle w:val="PurpleText"/>
          <w:color w:val="auto"/>
        </w:rPr>
        <w:t xml:space="preserve"> osa </w:t>
      </w:r>
      <w:r w:rsidRPr="288A3578">
        <w:rPr>
          <w:rStyle w:val="PurpleText"/>
          <w:color w:val="auto"/>
        </w:rPr>
        <w:t>väiksemad külalistemajad</w:t>
      </w:r>
      <w:r w:rsidR="00A12A22">
        <w:rPr>
          <w:rStyle w:val="FootnoteReference"/>
        </w:rPr>
        <w:footnoteReference w:id="89"/>
      </w:r>
      <w:r w:rsidRPr="288A3578">
        <w:rPr>
          <w:rStyle w:val="PurpleText"/>
          <w:color w:val="auto"/>
        </w:rPr>
        <w:t>, puhkemajad, külaliskorterid ja kodumajutused</w:t>
      </w:r>
      <w:r w:rsidR="00BE4A9E">
        <w:rPr>
          <w:rStyle w:val="PurpleText"/>
          <w:color w:val="auto"/>
        </w:rPr>
        <w:t>.</w:t>
      </w:r>
      <w:r w:rsidRPr="288A3578">
        <w:rPr>
          <w:rStyle w:val="PurpleText"/>
          <w:color w:val="auto"/>
        </w:rPr>
        <w:t xml:space="preserve"> </w:t>
      </w:r>
      <w:r w:rsidR="00BE4A9E">
        <w:rPr>
          <w:rStyle w:val="PurpleText"/>
          <w:color w:val="auto"/>
        </w:rPr>
        <w:t>Nende hulka kuuluvad</w:t>
      </w:r>
      <w:r w:rsidRPr="288A3578">
        <w:rPr>
          <w:rStyle w:val="PurpleText"/>
          <w:color w:val="auto"/>
        </w:rPr>
        <w:t xml:space="preserve"> nii füüsiliste kui juriidiliste isikute hallatavad majutusüksused (= majutuskohad ja -ruumid) sõltumata sellest, kas haldajad ise </w:t>
      </w:r>
      <w:r w:rsidR="00C53DDB">
        <w:rPr>
          <w:rStyle w:val="PurpleText"/>
          <w:color w:val="auto"/>
        </w:rPr>
        <w:t xml:space="preserve">neid </w:t>
      </w:r>
      <w:r w:rsidRPr="288A3578">
        <w:rPr>
          <w:rStyle w:val="PurpleText"/>
          <w:color w:val="auto"/>
        </w:rPr>
        <w:t xml:space="preserve">ettevõteteks peavad või </w:t>
      </w:r>
      <w:r w:rsidR="1664C3CA" w:rsidRPr="288A3578">
        <w:rPr>
          <w:rStyle w:val="PurpleText"/>
          <w:color w:val="auto"/>
        </w:rPr>
        <w:t xml:space="preserve">on </w:t>
      </w:r>
      <w:r w:rsidRPr="288A3578">
        <w:rPr>
          <w:rStyle w:val="PurpleText"/>
          <w:color w:val="auto"/>
        </w:rPr>
        <w:t>oma tegevuse ettevõtlusena vormistanud (end ettevõtjaks registreerinud)</w:t>
      </w:r>
    </w:p>
    <w:p w14:paraId="003AFD51" w14:textId="7EE2FD36" w:rsidR="00ED0E64" w:rsidRPr="00E14EBC" w:rsidRDefault="1C0D874C" w:rsidP="1C0D874C">
      <w:pPr>
        <w:spacing w:after="0"/>
        <w:jc w:val="both"/>
        <w:rPr>
          <w:szCs w:val="24"/>
        </w:rPr>
      </w:pPr>
      <w:r w:rsidRPr="1C0D874C">
        <w:rPr>
          <w:rFonts w:eastAsia="Aptos"/>
        </w:rPr>
        <w:t xml:space="preserve">Et leida ammendav vastus küsimusele lühiajalise üüri turust SA majutusstatistikas, </w:t>
      </w:r>
      <w:r>
        <w:t xml:space="preserve">tuleb eespool esitatud loogikale tuginedes andmeid analüüsides saada vastus kahele järgmisele küsimusele: </w:t>
      </w:r>
    </w:p>
    <w:p w14:paraId="752B3121" w14:textId="76995E15" w:rsidR="00ED0E64" w:rsidRPr="00E14EBC" w:rsidRDefault="39025985" w:rsidP="007F08F4">
      <w:pPr>
        <w:pStyle w:val="ListParagraph"/>
        <w:numPr>
          <w:ilvl w:val="0"/>
          <w:numId w:val="30"/>
        </w:numPr>
        <w:jc w:val="both"/>
      </w:pPr>
      <w:r>
        <w:lastRenderedPageBreak/>
        <w:t>Milline osa</w:t>
      </w:r>
      <w:r w:rsidR="00817A75">
        <w:t xml:space="preserve"> SA </w:t>
      </w:r>
      <w:r>
        <w:t>majutusstatistikas kajastuvast liigituks ka lühiajalise üüri teenuseks? Ehk kui palju on</w:t>
      </w:r>
      <w:r w:rsidR="00817A75">
        <w:t xml:space="preserve"> SA </w:t>
      </w:r>
      <w:r>
        <w:t xml:space="preserve">majutustegevuse uuringu üldkogumis lühiajalise üüri teenuse tunnustele vastavaid majutuskohti? Nt vähemalt </w:t>
      </w:r>
      <w:r w:rsidR="00DF290D">
        <w:t>viie</w:t>
      </w:r>
      <w:r>
        <w:t xml:space="preserve"> voodikohaga (külalis)kortereid, mis asuvad elamutes/eluruumides? Nt vähemalt </w:t>
      </w:r>
      <w:r w:rsidR="00DF290D">
        <w:t>viie</w:t>
      </w:r>
      <w:r>
        <w:t xml:space="preserve"> voodikohaga 100% elamumaal asuvaid külaliste- ja puhkemaju (üksikelamuid, suvilaid, aiamaju jmt)? </w:t>
      </w:r>
    </w:p>
    <w:p w14:paraId="1508B993" w14:textId="74BB3C05" w:rsidR="00ED0E64" w:rsidRPr="00E14EBC" w:rsidRDefault="18C9F0B4" w:rsidP="007F08F4">
      <w:pPr>
        <w:pStyle w:val="ListParagraph"/>
        <w:numPr>
          <w:ilvl w:val="0"/>
          <w:numId w:val="30"/>
        </w:numPr>
        <w:jc w:val="both"/>
      </w:pPr>
      <w:r w:rsidRPr="00E14EBC">
        <w:t>Kui palju on selliseid lühiajalise üüri teenust pakkuvaid majutusüksuseid, mida ajutise ööbimisvõimalusena välja üüritakse ning mille haldajad peaksid, aga ei ole vormistanud oma tegevust majutusettevõtjana (kindlasti EMTAK 551</w:t>
      </w:r>
      <w:r w:rsidR="7E18F3AD">
        <w:t xml:space="preserve"> või </w:t>
      </w:r>
      <w:r w:rsidRPr="00E14EBC">
        <w:t>552 koodiga)</w:t>
      </w:r>
      <w:r w:rsidR="00CA3B52">
        <w:t>.</w:t>
      </w:r>
      <w:r w:rsidRPr="00E14EBC">
        <w:t xml:space="preserve"> Nt veebiplatvormidel pakutavad </w:t>
      </w:r>
      <w:r w:rsidR="00055FC0">
        <w:t>viis</w:t>
      </w:r>
      <w:r w:rsidRPr="00E14EBC">
        <w:t xml:space="preserve"> või rohkem külalist mahutavaid majutuskohad.</w:t>
      </w:r>
    </w:p>
    <w:p w14:paraId="16F08CB5" w14:textId="4F668475" w:rsidR="00D40A04" w:rsidRPr="00E14EBC" w:rsidRDefault="2AA1E0A9" w:rsidP="00D40A04">
      <w:pPr>
        <w:jc w:val="both"/>
      </w:pPr>
      <w:r>
        <w:t>SA andmeil o</w:t>
      </w:r>
      <w:r w:rsidR="48C34769">
        <w:t xml:space="preserve">li </w:t>
      </w:r>
      <w:r w:rsidR="17A499EC">
        <w:t>2023</w:t>
      </w:r>
      <w:r w:rsidR="48C34769">
        <w:t>. aastal</w:t>
      </w:r>
      <w:r>
        <w:t xml:space="preserve"> EMTAK2008 551 koodiga majutusettevõtteid Eestis kokku 429 ja koodiga 552 majutusettevõtteid kokku 869. Küsimus on siis selles, milline osa</w:t>
      </w:r>
      <w:r w:rsidR="00817A75">
        <w:t xml:space="preserve"> SA </w:t>
      </w:r>
      <w:r>
        <w:t xml:space="preserve">statistikas kajastatavaid külalistemaju ja puhkemaju </w:t>
      </w:r>
      <w:r w:rsidR="006B5987">
        <w:t xml:space="preserve">saab </w:t>
      </w:r>
      <w:r>
        <w:t>liigit</w:t>
      </w:r>
      <w:r w:rsidR="00915D96">
        <w:t>ada</w:t>
      </w:r>
      <w:r>
        <w:t xml:space="preserve"> lühiajalise üüriteenuse majutuskohaks. Kuna majutuskohtade ja -ettevõtete suurus on väga erinev, siis on mõistlik kasutada maksimaalset külaliste arvu ja voodikohtade arvu.</w:t>
      </w:r>
    </w:p>
    <w:p w14:paraId="2552B646" w14:textId="59830052" w:rsidR="00D40A04" w:rsidRPr="00E14EBC" w:rsidRDefault="2AA1E0A9" w:rsidP="00D40A04">
      <w:pPr>
        <w:jc w:val="both"/>
      </w:pPr>
      <w:r>
        <w:t>Rahandusministeeriumi dokumendiregistrist leitud</w:t>
      </w:r>
      <w:r w:rsidR="00817A75">
        <w:t xml:space="preserve"> SA </w:t>
      </w:r>
      <w:r>
        <w:t>majutusettevõtete 2025. aasta uuringu valimist</w:t>
      </w:r>
      <w:r w:rsidR="35AA02AC">
        <w:t xml:space="preserve"> </w:t>
      </w:r>
      <w:r>
        <w:t>tehtud juhuvalikusse sattunud 50 külalistemajast (kokku oli valimis 224 külalistemaja tunnustele vastavat majutusüksust) tegutseb eluhoonetes 20: üksikelamus (kood 11101) 17 ja korterelamus (11222) 3; majutushoonetes 25: hotell, külalistemaja (12111) 19, pansionaat (12114) 2, muu lühiajalise majutuse hoone (12129) 4 ja muud tüüpi ärihoonetes 5. Ehk 40% külalistemajadest antud juhuvalimis tegutseb eluruumides. Samas ei ole eelkirjeldatud viisil kuidagi võimalik kindlaks teha mahutavust ehk majutatavate külaliste maksimaalset arvu just selle konkreetse 40% puhul.</w:t>
      </w:r>
    </w:p>
    <w:p w14:paraId="5D57BC57" w14:textId="11B03BFC" w:rsidR="598BB2BE" w:rsidRPr="00E14EBC" w:rsidRDefault="5F4685AC" w:rsidP="288A3578">
      <w:pPr>
        <w:spacing w:before="0" w:line="257" w:lineRule="auto"/>
        <w:jc w:val="both"/>
        <w:rPr>
          <w:rFonts w:eastAsiaTheme="minorEastAsia"/>
        </w:rPr>
      </w:pPr>
      <w:r>
        <w:t xml:space="preserve">Lisa 5 Tabelis </w:t>
      </w:r>
      <w:r w:rsidR="607BD82B">
        <w:t>36</w:t>
      </w:r>
      <w:r>
        <w:t xml:space="preserve"> on esitatud arvestused, millest järeldub, et l</w:t>
      </w:r>
      <w:r w:rsidRPr="288A3578">
        <w:rPr>
          <w:rFonts w:eastAsiaTheme="minorEastAsia"/>
        </w:rPr>
        <w:t xml:space="preserve">ühiajalise üüri kogupakkumisest (s.o voodikohtade arv Eestis </w:t>
      </w:r>
      <w:r w:rsidRPr="288A3578">
        <w:rPr>
          <w:rFonts w:ascii="Arial" w:eastAsia="Arial" w:hAnsi="Arial" w:cs="Arial"/>
        </w:rPr>
        <w:t>∼</w:t>
      </w:r>
      <w:r w:rsidRPr="288A3578">
        <w:rPr>
          <w:rFonts w:eastAsiaTheme="minorEastAsia"/>
        </w:rPr>
        <w:t xml:space="preserve">48 000, Tallinnas </w:t>
      </w:r>
      <w:r w:rsidRPr="288A3578">
        <w:rPr>
          <w:rFonts w:ascii="Arial" w:eastAsia="Arial" w:hAnsi="Arial" w:cs="Arial"/>
        </w:rPr>
        <w:t>∼</w:t>
      </w:r>
      <w:r w:rsidRPr="288A3578">
        <w:rPr>
          <w:rFonts w:eastAsiaTheme="minorEastAsia"/>
        </w:rPr>
        <w:t xml:space="preserve">10 500, Tartus </w:t>
      </w:r>
      <w:r w:rsidRPr="288A3578">
        <w:rPr>
          <w:rFonts w:ascii="Arial" w:eastAsia="Arial" w:hAnsi="Arial" w:cs="Arial"/>
        </w:rPr>
        <w:t>∼</w:t>
      </w:r>
      <w:r w:rsidRPr="288A3578">
        <w:rPr>
          <w:rFonts w:eastAsiaTheme="minorEastAsia"/>
        </w:rPr>
        <w:t xml:space="preserve">2400, Pärnus </w:t>
      </w:r>
      <w:r w:rsidRPr="288A3578">
        <w:rPr>
          <w:rFonts w:ascii="Arial" w:eastAsia="Arial" w:hAnsi="Arial" w:cs="Arial"/>
        </w:rPr>
        <w:t>∼</w:t>
      </w:r>
      <w:r w:rsidRPr="288A3578">
        <w:rPr>
          <w:rFonts w:eastAsiaTheme="minorEastAsia"/>
        </w:rPr>
        <w:t>5400) kajastus</w:t>
      </w:r>
      <w:r w:rsidR="00817A75">
        <w:rPr>
          <w:rFonts w:eastAsiaTheme="minorEastAsia"/>
        </w:rPr>
        <w:t xml:space="preserve"> SA </w:t>
      </w:r>
      <w:r w:rsidRPr="288A3578">
        <w:rPr>
          <w:rFonts w:eastAsiaTheme="minorEastAsia"/>
        </w:rPr>
        <w:t>2023/24 majutusstatistikas uurijate arvestuste ja hinnangute kohaselt Eestis 26% (</w:t>
      </w:r>
      <w:r w:rsidRPr="288A3578">
        <w:rPr>
          <w:rFonts w:ascii="Arial" w:eastAsia="Arial" w:hAnsi="Arial" w:cs="Arial"/>
        </w:rPr>
        <w:t>∼</w:t>
      </w:r>
      <w:r w:rsidRPr="288A3578">
        <w:rPr>
          <w:rFonts w:eastAsiaTheme="minorEastAsia"/>
        </w:rPr>
        <w:t>12 500) ja Tallinnas 14% (</w:t>
      </w:r>
      <w:r w:rsidRPr="288A3578">
        <w:rPr>
          <w:rFonts w:ascii="Arial" w:eastAsia="Arial" w:hAnsi="Arial" w:cs="Arial"/>
        </w:rPr>
        <w:t>∼1400)</w:t>
      </w:r>
      <w:r w:rsidR="6C544466" w:rsidRPr="288A3578">
        <w:rPr>
          <w:rFonts w:ascii="Arial" w:eastAsia="Arial" w:hAnsi="Arial" w:cs="Arial"/>
        </w:rPr>
        <w:t>,</w:t>
      </w:r>
      <w:r w:rsidRPr="288A3578">
        <w:rPr>
          <w:rFonts w:eastAsiaTheme="minorEastAsia"/>
        </w:rPr>
        <w:t xml:space="preserve"> Pärnus 10% ja Tartus 12%.</w:t>
      </w:r>
    </w:p>
    <w:p w14:paraId="285DB0CC" w14:textId="7000C750" w:rsidR="598BB2BE" w:rsidRPr="00E14EBC" w:rsidRDefault="2AA1E0A9" w:rsidP="598BB2BE">
      <w:pPr>
        <w:jc w:val="both"/>
      </w:pPr>
      <w:r w:rsidRPr="288A3578">
        <w:rPr>
          <w:b/>
          <w:bCs/>
        </w:rPr>
        <w:t xml:space="preserve">Väljaspool ametlikku majutusstatistikat </w:t>
      </w:r>
      <w:r>
        <w:t xml:space="preserve">on </w:t>
      </w:r>
      <w:r w:rsidR="00C8579A">
        <w:t xml:space="preserve">meie </w:t>
      </w:r>
      <w:r>
        <w:t xml:space="preserve">arvestuste kohaselt </w:t>
      </w:r>
      <w:r w:rsidR="07969CFC">
        <w:t>(</w:t>
      </w:r>
      <w:r>
        <w:t>tuginedes Lighthouse/EI</w:t>
      </w:r>
      <w:r w:rsidR="009A1859">
        <w:t>S</w:t>
      </w:r>
      <w:r>
        <w:t xml:space="preserve"> andmetele</w:t>
      </w:r>
      <w:r w:rsidR="3613A954">
        <w:t>)</w:t>
      </w:r>
      <w:r>
        <w:t xml:space="preserve"> </w:t>
      </w:r>
      <w:r w:rsidRPr="288A3578">
        <w:rPr>
          <w:b/>
          <w:bCs/>
        </w:rPr>
        <w:t>enam kui 35 tuhat voodikohta lühiajalist üüriteenust pakkuvates majutuskohtades</w:t>
      </w:r>
      <w:r>
        <w:t xml:space="preserve"> ning </w:t>
      </w:r>
      <w:r w:rsidR="1EFB7413">
        <w:t>lühiajalise üüri</w:t>
      </w:r>
      <w:r>
        <w:t xml:space="preserve"> voodikohtade arv ületab majutusettevõtete oma u 5700 voodikohaga. Kui aga võtta aluseks MTA platvormidelt kogutud </w:t>
      </w:r>
      <w:r w:rsidR="7E18F3AD">
        <w:t xml:space="preserve">tehingupõhised </w:t>
      </w:r>
      <w:r>
        <w:t xml:space="preserve">andmed, siis on </w:t>
      </w:r>
      <w:r w:rsidR="2E4F88FF">
        <w:t xml:space="preserve">majanduslikult </w:t>
      </w:r>
      <w:r w:rsidR="57E34FCC">
        <w:t xml:space="preserve">aktiivsete </w:t>
      </w:r>
      <w:r w:rsidR="0401C071">
        <w:t>lühiajalise üüri</w:t>
      </w:r>
      <w:r>
        <w:t xml:space="preserve"> voodikohtade osakaal vaid 55% majutusettevõtete omast.</w:t>
      </w:r>
    </w:p>
    <w:p w14:paraId="68C17CDA" w14:textId="288511EB" w:rsidR="3D607F6F" w:rsidRPr="00E14EBC" w:rsidRDefault="5F4685AC" w:rsidP="3D607F6F">
      <w:pPr>
        <w:jc w:val="both"/>
        <w:rPr>
          <w:rFonts w:ascii="Arial" w:eastAsia="Arial" w:hAnsi="Arial" w:cs="Arial"/>
        </w:rPr>
      </w:pPr>
      <w:r>
        <w:t>Otsides Airbnb veebilehelt 5</w:t>
      </w:r>
      <w:r w:rsidR="7E18F3AD">
        <w:t xml:space="preserve"> ja enam</w:t>
      </w:r>
      <w:r>
        <w:t xml:space="preserve"> külalist mahutavaid majutuskohti</w:t>
      </w:r>
      <w:r w:rsidR="4AA4B16C">
        <w:t>,</w:t>
      </w:r>
      <w:r>
        <w:t xml:space="preserve"> leidsi</w:t>
      </w:r>
      <w:r w:rsidR="000D7C89">
        <w:t>me</w:t>
      </w:r>
      <w:r w:rsidR="0C6FA605">
        <w:t xml:space="preserve"> </w:t>
      </w:r>
      <w:r>
        <w:t>veebruaris 2025 terve Eesti peale kokku üle 1000 majutuspakkumise, sh nt Tallinnas 491 (võrdluseks,</w:t>
      </w:r>
      <w:r w:rsidR="00817A75">
        <w:t xml:space="preserve"> SA </w:t>
      </w:r>
      <w:r>
        <w:t xml:space="preserve">2023 statistika kohaselt oli Tallinnas 130 majutusettevõtet), Tartus 95 (37), Pärnus 161 (83), Hiiumaal 66 (60) jne. Siinjuures tuleb silmas pidada, et Airbnb veebiplatvormil ei ole üldjuhul hotellide (EMTAK 551) kuulutusi/pakkumisi. </w:t>
      </w:r>
      <w:r w:rsidRPr="1C92C443">
        <w:rPr>
          <w:b/>
          <w:bCs/>
        </w:rPr>
        <w:t>Eelnevast saab järeldada, et suuremates linnades on</w:t>
      </w:r>
      <w:r w:rsidR="00817A75" w:rsidRPr="1C92C443">
        <w:rPr>
          <w:b/>
          <w:bCs/>
        </w:rPr>
        <w:t xml:space="preserve"> SA </w:t>
      </w:r>
      <w:r w:rsidRPr="1C92C443">
        <w:rPr>
          <w:b/>
          <w:bCs/>
        </w:rPr>
        <w:t>majutusettevõtte mahutavuse kriteeriumile vastavaid majutuskohti vähemalt kaks korda rohkem kui ametlikus majutusstatistikas kajastuvaid majutusettevõtteid</w:t>
      </w:r>
      <w:r w:rsidR="4CFD9356">
        <w:t>.</w:t>
      </w:r>
      <w:r w:rsidR="47A0AB12">
        <w:t xml:space="preserve"> </w:t>
      </w:r>
      <w:r w:rsidR="0AF34967">
        <w:t>T</w:t>
      </w:r>
      <w:r w:rsidR="547DD776">
        <w:t>e</w:t>
      </w:r>
      <w:r w:rsidR="0AF34967">
        <w:t>adaolevalt võib see erinevus olla põhjustatud</w:t>
      </w:r>
      <w:r w:rsidR="47A0AB12">
        <w:t xml:space="preserve"> sellest, et</w:t>
      </w:r>
      <w:r w:rsidR="00817A75">
        <w:t xml:space="preserve"> SA </w:t>
      </w:r>
      <w:r w:rsidR="47A0AB12">
        <w:t>statistikas käsitletakse näiteks mitut külaliskorterit omavat majutuskohta ühe majutusettevõttena.</w:t>
      </w:r>
    </w:p>
    <w:p w14:paraId="3A933224" w14:textId="140D3718" w:rsidR="00ED0E64" w:rsidRPr="006F0232" w:rsidRDefault="02D80A35" w:rsidP="00ED0E64">
      <w:pPr>
        <w:jc w:val="both"/>
        <w:rPr>
          <w:rStyle w:val="PurpleText"/>
        </w:rPr>
      </w:pPr>
      <w:r w:rsidRPr="006F0232">
        <w:rPr>
          <w:rStyle w:val="PurpleText"/>
        </w:rPr>
        <w:t>Nõudlus</w:t>
      </w:r>
    </w:p>
    <w:p w14:paraId="03A0627B" w14:textId="4DFA7757" w:rsidR="00ED0E64" w:rsidRPr="00CE4A4D" w:rsidRDefault="30CE3FD7" w:rsidP="00CE4A4D">
      <w:pPr>
        <w:jc w:val="both"/>
      </w:pPr>
      <w:r w:rsidRPr="00AE581C">
        <w:lastRenderedPageBreak/>
        <w:t>Nõudluse näitajad (majutatute arv, broneeringute arv, broneeritud ööde arv ja ööbimiste arv) on lühiajalise üüri eksperimentaalstatistika koostamise eesmärgil Eurostatile edastatud platvormide poolt majutuskohtade osas, mida platvormid määratlevad tegevusala koodiga NACE 55.2</w:t>
      </w:r>
      <w:r w:rsidR="00D40A04" w:rsidRPr="00AE581C">
        <w:footnoteReference w:id="90"/>
      </w:r>
      <w:r w:rsidRPr="00AE581C">
        <w:t xml:space="preserve">. </w:t>
      </w:r>
      <w:r w:rsidR="5F4685AC" w:rsidRPr="00AE581C">
        <w:t xml:space="preserve">Lisa 5 </w:t>
      </w:r>
      <w:r w:rsidR="002A3986" w:rsidRPr="00AE581C">
        <w:t>t</w:t>
      </w:r>
      <w:r w:rsidR="5F4685AC" w:rsidRPr="00AE581C">
        <w:t xml:space="preserve">abelis </w:t>
      </w:r>
      <w:r w:rsidR="607BD82B" w:rsidRPr="00AE581C">
        <w:t>37</w:t>
      </w:r>
      <w:r w:rsidR="5F4685AC" w:rsidRPr="00AE581C">
        <w:t xml:space="preserve"> on esitatud arvestused, millest järeldub, et lühiajalise üüri kogunõudlusest</w:t>
      </w:r>
      <w:r w:rsidR="5A6C717C" w:rsidRPr="00AE581C">
        <w:t>,</w:t>
      </w:r>
      <w:r w:rsidR="00536285" w:rsidRPr="00F41A32">
        <w:t xml:space="preserve"> </w:t>
      </w:r>
      <w:r w:rsidR="5F4685AC" w:rsidRPr="00AE581C">
        <w:t xml:space="preserve">s.o </w:t>
      </w:r>
      <w:r w:rsidR="5A6C717C" w:rsidRPr="00AE581C">
        <w:t xml:space="preserve">Eurostat avaldatud </w:t>
      </w:r>
      <w:r w:rsidR="5F4685AC" w:rsidRPr="00AE581C">
        <w:t xml:space="preserve">ööbimiste </w:t>
      </w:r>
      <w:r w:rsidR="5A6C717C" w:rsidRPr="00AE581C">
        <w:t>arvust (</w:t>
      </w:r>
      <w:r w:rsidR="5F4685AC" w:rsidRPr="00AE581C">
        <w:t xml:space="preserve">Eestis </w:t>
      </w:r>
      <w:r w:rsidR="5F4685AC" w:rsidRPr="00AE581C">
        <w:rPr>
          <w:rFonts w:ascii="Cambria Math" w:hAnsi="Cambria Math" w:cs="Cambria Math"/>
        </w:rPr>
        <w:t>∼</w:t>
      </w:r>
      <w:r w:rsidR="5F4685AC" w:rsidRPr="00CE4A4D">
        <w:t xml:space="preserve">1,5 mln, Tallinnas </w:t>
      </w:r>
      <w:r w:rsidR="5F4685AC" w:rsidRPr="00CE4A4D">
        <w:rPr>
          <w:rFonts w:ascii="Cambria Math" w:hAnsi="Cambria Math" w:cs="Cambria Math"/>
        </w:rPr>
        <w:t>∼</w:t>
      </w:r>
      <w:r w:rsidR="5F4685AC" w:rsidRPr="00CE4A4D">
        <w:t>748 000) kajastus</w:t>
      </w:r>
      <w:r w:rsidR="00817A75" w:rsidRPr="00CE4A4D">
        <w:t xml:space="preserve"> SA </w:t>
      </w:r>
      <w:r w:rsidR="5F4685AC" w:rsidRPr="00CE4A4D">
        <w:t xml:space="preserve">2023 majutusstatistikas </w:t>
      </w:r>
      <w:r w:rsidR="5A6C717C" w:rsidRPr="00CE4A4D">
        <w:t xml:space="preserve">(puhkemajad, külaliskorterid, kodumajutus) </w:t>
      </w:r>
      <w:r w:rsidR="004E3C0F" w:rsidRPr="00CE4A4D">
        <w:t xml:space="preserve">meie </w:t>
      </w:r>
      <w:r w:rsidR="5F4685AC" w:rsidRPr="00CE4A4D">
        <w:t xml:space="preserve">arvestuste ja hinnangute kohaselt Eestis umbes </w:t>
      </w:r>
      <w:r w:rsidR="009A1C96" w:rsidRPr="00CE4A4D">
        <w:t>~</w:t>
      </w:r>
      <w:r w:rsidR="5F4685AC" w:rsidRPr="00CE4A4D">
        <w:t>40% (</w:t>
      </w:r>
      <w:r w:rsidR="5F4685AC" w:rsidRPr="00CE4A4D">
        <w:rPr>
          <w:rFonts w:ascii="Cambria Math" w:hAnsi="Cambria Math" w:cs="Cambria Math"/>
        </w:rPr>
        <w:t>∼</w:t>
      </w:r>
      <w:r w:rsidR="5F4685AC" w:rsidRPr="00CE4A4D">
        <w:t>585 000)</w:t>
      </w:r>
      <w:r w:rsidR="5D1EB5F2" w:rsidRPr="00CE4A4D">
        <w:t>,</w:t>
      </w:r>
      <w:r w:rsidR="5F4685AC" w:rsidRPr="00CE4A4D">
        <w:t xml:space="preserve"> Tallinnas 23% (</w:t>
      </w:r>
      <w:r w:rsidR="5F4685AC" w:rsidRPr="00CE4A4D">
        <w:rPr>
          <w:rFonts w:ascii="Cambria Math" w:hAnsi="Cambria Math" w:cs="Cambria Math"/>
        </w:rPr>
        <w:t>∼</w:t>
      </w:r>
      <w:r w:rsidR="5F4685AC" w:rsidRPr="00CE4A4D">
        <w:t>173 000) ja mujal Eestis</w:t>
      </w:r>
      <w:r w:rsidR="008F29DE" w:rsidRPr="00CE4A4D">
        <w:t xml:space="preserve"> 412 000</w:t>
      </w:r>
      <w:r w:rsidR="5F4685AC" w:rsidRPr="00CE4A4D">
        <w:t xml:space="preserve"> </w:t>
      </w:r>
      <w:r w:rsidR="008F29DE" w:rsidRPr="00CE4A4D">
        <w:t>(</w:t>
      </w:r>
      <w:r w:rsidR="008F29DE" w:rsidRPr="00CE4A4D">
        <w:rPr>
          <w:rFonts w:ascii="Cambria Math" w:hAnsi="Cambria Math" w:cs="Cambria Math"/>
        </w:rPr>
        <w:t>∼</w:t>
      </w:r>
      <w:r w:rsidR="5F4685AC" w:rsidRPr="00CE4A4D">
        <w:t>56%</w:t>
      </w:r>
      <w:r w:rsidR="008F29DE" w:rsidRPr="00CE4A4D">
        <w:t>)</w:t>
      </w:r>
      <w:r w:rsidR="5F4685AC" w:rsidRPr="00CE4A4D">
        <w:t>.</w:t>
      </w:r>
    </w:p>
    <w:p w14:paraId="22D74B4C" w14:textId="1CC11142" w:rsidR="51B86624" w:rsidRPr="00484C97" w:rsidRDefault="2AA1E0A9" w:rsidP="00484C97">
      <w:pPr>
        <w:jc w:val="both"/>
        <w:rPr>
          <w:rFonts w:eastAsiaTheme="minorEastAsia"/>
        </w:rPr>
      </w:pPr>
      <w:r w:rsidRPr="1C92C443">
        <w:rPr>
          <w:b/>
          <w:bCs/>
        </w:rPr>
        <w:t>Väljaspool ametlikku majutusstatistikat</w:t>
      </w:r>
      <w:r>
        <w:t xml:space="preserve"> o</w:t>
      </w:r>
      <w:r w:rsidR="002133C0">
        <w:t>li</w:t>
      </w:r>
      <w:r>
        <w:t xml:space="preserve"> </w:t>
      </w:r>
      <w:r w:rsidR="001642A9">
        <w:t xml:space="preserve">meie </w:t>
      </w:r>
      <w:r w:rsidR="7E18F3AD">
        <w:t>hinnangul</w:t>
      </w:r>
      <w:r>
        <w:t xml:space="preserve"> </w:t>
      </w:r>
      <w:r w:rsidR="35E6E534">
        <w:t>(</w:t>
      </w:r>
      <w:r>
        <w:t>tuginedes Eurostat</w:t>
      </w:r>
      <w:r w:rsidR="45D2A66D">
        <w:t>i</w:t>
      </w:r>
      <w:r>
        <w:t xml:space="preserve"> eksperimentaalstatistika </w:t>
      </w:r>
      <w:r w:rsidR="5A6C717C">
        <w:t>andmete võrdlusele SA majutusstatistikaga) 2023.</w:t>
      </w:r>
      <w:r w:rsidR="2E931D8B">
        <w:t xml:space="preserve"> </w:t>
      </w:r>
      <w:r w:rsidR="00A9597E">
        <w:t>a</w:t>
      </w:r>
      <w:r w:rsidR="6E70B4C8">
        <w:t>astal</w:t>
      </w:r>
      <w:r w:rsidR="00A9597E">
        <w:t xml:space="preserve"> </w:t>
      </w:r>
      <w:r w:rsidRPr="1C92C443">
        <w:rPr>
          <w:b/>
          <w:bCs/>
        </w:rPr>
        <w:t>enam kui 900 tuhat ööbimist lühiajalist üüriteenust pakkuvates majutuskohtades</w:t>
      </w:r>
      <w:r>
        <w:t>.</w:t>
      </w:r>
      <w:r w:rsidR="00811241">
        <w:t xml:space="preserve"> Tallinna ja ülejäänud Eesti vahel jaotub see vastavalt </w:t>
      </w:r>
      <w:r w:rsidR="00DD5262">
        <w:t>575 </w:t>
      </w:r>
      <w:r w:rsidR="00EA6ADD">
        <w:t>tuhat</w:t>
      </w:r>
      <w:r w:rsidR="00DD5262">
        <w:t xml:space="preserve"> ja </w:t>
      </w:r>
      <w:r w:rsidR="00EA6ADD">
        <w:t>325 tuhat ööbimist.</w:t>
      </w:r>
      <w:r w:rsidR="5A6C717C">
        <w:t xml:space="preserve"> Samas kui nt lugeda lühiajaliste ööbimiste hulka ka proportsionaalne osa ööbimistest külalistemajades (40%), jääks väljapoole </w:t>
      </w:r>
      <w:r w:rsidR="5A6C717C" w:rsidRPr="00357E78">
        <w:rPr>
          <w:rFonts w:eastAsiaTheme="minorEastAsia"/>
        </w:rPr>
        <w:t>SA majutusstatistikat u 800 tuhat ööbimist.</w:t>
      </w:r>
    </w:p>
    <w:p w14:paraId="455AD3ED" w14:textId="73C34B74" w:rsidR="5A6C717C" w:rsidRPr="00357E78" w:rsidRDefault="5A6C717C" w:rsidP="5A6C717C">
      <w:pPr>
        <w:jc w:val="both"/>
        <w:rPr>
          <w:rFonts w:eastAsiaTheme="minorEastAsia"/>
          <w:b/>
          <w:lang w:val="et"/>
        </w:rPr>
      </w:pPr>
      <w:r w:rsidRPr="00357E78">
        <w:rPr>
          <w:rFonts w:eastAsiaTheme="minorEastAsia"/>
          <w:lang w:val="et"/>
        </w:rPr>
        <w:t xml:space="preserve">2023. aastal oli </w:t>
      </w:r>
      <w:r w:rsidRPr="7E18F3AD">
        <w:rPr>
          <w:rFonts w:eastAsiaTheme="minorEastAsia"/>
          <w:lang w:val="et"/>
        </w:rPr>
        <w:t>SA</w:t>
      </w:r>
      <w:r w:rsidRPr="00357E78">
        <w:rPr>
          <w:rFonts w:eastAsiaTheme="minorEastAsia"/>
          <w:lang w:val="et"/>
        </w:rPr>
        <w:t xml:space="preserve"> majutusstatistika järgi kokku ööbimisi üle 6,3 miljoni, millest hotellides, motellides, hostelites, puhkekülades ja puhkelaagrites 5,5 miljonit. Muude majutuskohtade arvele jääb s</w:t>
      </w:r>
      <w:r w:rsidRPr="7E18F3AD">
        <w:rPr>
          <w:rFonts w:eastAsiaTheme="minorEastAsia"/>
          <w:lang w:val="et"/>
        </w:rPr>
        <w:t>eega</w:t>
      </w:r>
      <w:r w:rsidRPr="00357E78">
        <w:rPr>
          <w:rFonts w:eastAsiaTheme="minorEastAsia"/>
          <w:lang w:val="et"/>
        </w:rPr>
        <w:t xml:space="preserve"> 0,8 miljonit ööbimist. Eurostati majutusplatvormide statistika järgi oli ööbimisi LÜT majutuskohtades (ehk teoreetiliselt neis muudes majutuskohtades) u 1,5 miljonit, ehk siis selliselt arvutades on vahe </w:t>
      </w:r>
      <w:r w:rsidR="7E18F3AD" w:rsidRPr="7E18F3AD">
        <w:rPr>
          <w:rFonts w:eastAsiaTheme="minorEastAsia"/>
          <w:lang w:val="et"/>
        </w:rPr>
        <w:t>700 tuhat</w:t>
      </w:r>
      <w:r w:rsidRPr="00357E78">
        <w:rPr>
          <w:rFonts w:eastAsiaTheme="minorEastAsia"/>
          <w:lang w:val="et"/>
        </w:rPr>
        <w:t xml:space="preserve"> ööbimist.</w:t>
      </w:r>
      <w:r w:rsidR="007E7548">
        <w:rPr>
          <w:rFonts w:eastAsiaTheme="minorEastAsia"/>
          <w:b/>
          <w:lang w:val="et"/>
        </w:rPr>
        <w:t xml:space="preserve"> Seega k</w:t>
      </w:r>
      <w:r w:rsidRPr="00357E78">
        <w:rPr>
          <w:rFonts w:eastAsiaTheme="minorEastAsia"/>
          <w:b/>
          <w:lang w:val="et"/>
        </w:rPr>
        <w:t>okkuvõt</w:t>
      </w:r>
      <w:r w:rsidR="008C6695">
        <w:rPr>
          <w:rFonts w:eastAsiaTheme="minorEastAsia"/>
          <w:b/>
          <w:lang w:val="et"/>
        </w:rPr>
        <w:t>valt hindame, et</w:t>
      </w:r>
      <w:r w:rsidRPr="00357E78">
        <w:rPr>
          <w:rFonts w:eastAsiaTheme="minorEastAsia"/>
          <w:b/>
          <w:lang w:val="et"/>
        </w:rPr>
        <w:t xml:space="preserve"> </w:t>
      </w:r>
      <w:r w:rsidR="7E18F3AD" w:rsidRPr="7E18F3AD">
        <w:rPr>
          <w:rFonts w:eastAsiaTheme="minorEastAsia"/>
          <w:b/>
          <w:bCs/>
          <w:lang w:val="et"/>
        </w:rPr>
        <w:t xml:space="preserve"> majutusstatistikas</w:t>
      </w:r>
      <w:r w:rsidRPr="00357E78">
        <w:rPr>
          <w:rFonts w:eastAsiaTheme="minorEastAsia"/>
          <w:b/>
          <w:lang w:val="et"/>
        </w:rPr>
        <w:t xml:space="preserve"> </w:t>
      </w:r>
      <w:r w:rsidR="00EC54B7">
        <w:rPr>
          <w:rFonts w:eastAsiaTheme="minorEastAsia"/>
          <w:b/>
          <w:lang w:val="et"/>
        </w:rPr>
        <w:t xml:space="preserve">ei kajastu </w:t>
      </w:r>
      <w:r w:rsidRPr="7E18F3AD">
        <w:rPr>
          <w:rFonts w:eastAsiaTheme="minorEastAsia"/>
          <w:b/>
          <w:lang w:val="et"/>
        </w:rPr>
        <w:t>7</w:t>
      </w:r>
      <w:r w:rsidRPr="00357E78">
        <w:rPr>
          <w:rFonts w:eastAsiaTheme="minorEastAsia"/>
          <w:b/>
          <w:lang w:val="et"/>
        </w:rPr>
        <w:t>00</w:t>
      </w:r>
      <w:r w:rsidR="00064A9E">
        <w:rPr>
          <w:rFonts w:eastAsiaTheme="minorEastAsia"/>
          <w:b/>
          <w:lang w:val="et"/>
        </w:rPr>
        <w:t>–</w:t>
      </w:r>
      <w:r w:rsidRPr="00357E78">
        <w:rPr>
          <w:rFonts w:eastAsiaTheme="minorEastAsia"/>
          <w:b/>
          <w:lang w:val="et"/>
        </w:rPr>
        <w:t>900 tuh</w:t>
      </w:r>
      <w:r w:rsidRPr="7E18F3AD">
        <w:rPr>
          <w:rFonts w:eastAsiaTheme="minorEastAsia"/>
          <w:b/>
          <w:lang w:val="et"/>
        </w:rPr>
        <w:t>at</w:t>
      </w:r>
      <w:r w:rsidRPr="00357E78">
        <w:rPr>
          <w:rFonts w:eastAsiaTheme="minorEastAsia"/>
          <w:b/>
          <w:lang w:val="et"/>
        </w:rPr>
        <w:t xml:space="preserve"> ööbimist</w:t>
      </w:r>
      <w:r w:rsidR="7E18F3AD" w:rsidRPr="7E18F3AD">
        <w:rPr>
          <w:rFonts w:eastAsiaTheme="minorEastAsia"/>
          <w:b/>
          <w:bCs/>
          <w:lang w:val="et"/>
        </w:rPr>
        <w:t>.</w:t>
      </w:r>
    </w:p>
    <w:p w14:paraId="37B0ED87" w14:textId="32616C3A" w:rsidR="51B86624" w:rsidRPr="00E14EBC" w:rsidRDefault="001D4993" w:rsidP="001D4993">
      <w:pPr>
        <w:pStyle w:val="Heading2"/>
        <w:numPr>
          <w:ilvl w:val="0"/>
          <w:numId w:val="0"/>
        </w:numPr>
        <w:rPr>
          <w:rFonts w:hint="eastAsia"/>
        </w:rPr>
      </w:pPr>
      <w:bookmarkStart w:id="104" w:name="_Toc208991609"/>
      <w:r w:rsidRPr="00E14EBC">
        <w:t xml:space="preserve">2.5. </w:t>
      </w:r>
      <w:r w:rsidR="702773E4" w:rsidRPr="00E14EBC">
        <w:t>Järeldused</w:t>
      </w:r>
      <w:r w:rsidR="00BF0A41">
        <w:t xml:space="preserve"> </w:t>
      </w:r>
      <w:r w:rsidR="004E205C">
        <w:t>turu analüüsiks sobivate andmete ja an</w:t>
      </w:r>
      <w:r w:rsidR="00C06546">
        <w:t>d</w:t>
      </w:r>
      <w:r w:rsidR="004E205C">
        <w:t>meallikate kohta</w:t>
      </w:r>
      <w:bookmarkEnd w:id="104"/>
      <w:r w:rsidR="002511F4">
        <w:t xml:space="preserve"> </w:t>
      </w:r>
    </w:p>
    <w:p w14:paraId="55CB68A3" w14:textId="4B9DF087" w:rsidR="6C8925FD" w:rsidRPr="00E14EBC" w:rsidRDefault="6B68F418" w:rsidP="288A3578">
      <w:pPr>
        <w:spacing w:before="0" w:line="257" w:lineRule="auto"/>
        <w:jc w:val="both"/>
        <w:rPr>
          <w:rFonts w:eastAsiaTheme="minorEastAsia"/>
        </w:rPr>
      </w:pPr>
      <w:r w:rsidRPr="288A3578">
        <w:rPr>
          <w:rFonts w:eastAsiaTheme="minorEastAsia"/>
        </w:rPr>
        <w:t xml:space="preserve">Turu omaduste ja mahu analüüsiks vajalike </w:t>
      </w:r>
      <w:r w:rsidRPr="288A3578">
        <w:rPr>
          <w:rFonts w:eastAsiaTheme="minorEastAsia"/>
          <w:b/>
          <w:bCs/>
        </w:rPr>
        <w:t>andmete koosseis tuleneb otseselt analüüsi järelduste kasutamise eesmärkidest</w:t>
      </w:r>
      <w:r w:rsidRPr="288A3578">
        <w:rPr>
          <w:rFonts w:eastAsiaTheme="minorEastAsia"/>
        </w:rPr>
        <w:t xml:space="preserve">, mis on seatud tulenevalt tuvastatud probleemidest ning nende põhjustest. Käesolev uuring keskendub riigivõimu erinevate tasandite sekkumisvajadustele ja -võimalustele eeskätt seoses ebasoovitavate mõjudega eluasemeturule, elukeskkonnale ja majutusturule ning sellest vaatest </w:t>
      </w:r>
      <w:r w:rsidR="000D7C89">
        <w:rPr>
          <w:rFonts w:eastAsiaTheme="minorEastAsia"/>
        </w:rPr>
        <w:t>oleme andnud</w:t>
      </w:r>
      <w:r w:rsidRPr="288A3578">
        <w:rPr>
          <w:rFonts w:eastAsiaTheme="minorEastAsia"/>
        </w:rPr>
        <w:t xml:space="preserve"> hinnangud erinevatele andmeallikatele.</w:t>
      </w:r>
    </w:p>
    <w:p w14:paraId="538E074F" w14:textId="63CD7E82" w:rsidR="6C8925FD" w:rsidRPr="00E14EBC" w:rsidRDefault="6C8925FD" w:rsidP="6C8925FD">
      <w:pPr>
        <w:spacing w:before="0" w:line="257" w:lineRule="auto"/>
        <w:jc w:val="both"/>
        <w:rPr>
          <w:rFonts w:eastAsiaTheme="minorEastAsia"/>
        </w:rPr>
      </w:pPr>
      <w:r w:rsidRPr="00E14EBC">
        <w:rPr>
          <w:rFonts w:eastAsiaTheme="minorEastAsia"/>
          <w:b/>
          <w:bCs/>
        </w:rPr>
        <w:t>Parimad võimalikud andmed turu kohta on esmastest algallikatest pärinevad andmed</w:t>
      </w:r>
      <w:r w:rsidRPr="00E14EBC">
        <w:rPr>
          <w:rFonts w:eastAsiaTheme="minorEastAsia"/>
        </w:rPr>
        <w:t xml:space="preserve">. Esmasteks algallikateks on majutusteenust vahendavad veebiplatvormid, millede haldurid edastavad kogutud andmeid a) </w:t>
      </w:r>
      <w:r w:rsidR="1A6A56F7" w:rsidRPr="00E14EBC">
        <w:rPr>
          <w:rFonts w:eastAsiaTheme="minorEastAsia"/>
        </w:rPr>
        <w:t>EL</w:t>
      </w:r>
      <w:r w:rsidR="006F68F4">
        <w:rPr>
          <w:rFonts w:eastAsiaTheme="minorEastAsia"/>
        </w:rPr>
        <w:t>-</w:t>
      </w:r>
      <w:r w:rsidR="1A6A56F7" w:rsidRPr="00E14EBC">
        <w:rPr>
          <w:rFonts w:eastAsiaTheme="minorEastAsia"/>
        </w:rPr>
        <w:t>i</w:t>
      </w:r>
      <w:r w:rsidRPr="00E14EBC">
        <w:rPr>
          <w:rFonts w:eastAsiaTheme="minorEastAsia"/>
        </w:rPr>
        <w:t xml:space="preserve"> direktiivi (DAC7) alusel asjaomaste liikmesriikide pädevatele asutustele (Eestis on selleks MTA); b) kokkuleppe alusel Euroopa Komisjoni statistikaametile (Eurostat). </w:t>
      </w:r>
    </w:p>
    <w:p w14:paraId="53626123" w14:textId="57D97003" w:rsidR="6C8925FD" w:rsidRPr="00E14EBC" w:rsidRDefault="6C8925FD" w:rsidP="288A3578">
      <w:pPr>
        <w:spacing w:before="0" w:line="257" w:lineRule="auto"/>
        <w:jc w:val="both"/>
        <w:rPr>
          <w:rFonts w:eastAsiaTheme="minorEastAsia"/>
          <w:color w:val="FF0000"/>
        </w:rPr>
      </w:pPr>
      <w:r w:rsidRPr="00E14EBC">
        <w:rPr>
          <w:rFonts w:eastAsiaTheme="minorEastAsia"/>
        </w:rPr>
        <w:t>Esmaseks algallikaks võib EL määruse 2024/1028 Eestis kohaldamise korral olla selleks loodud registreerimissüsteem, kuhu lühiajalise majutuse üüriteenuse pakkujad sisestavad oma tegevuse ja tegevuskoha andmed.</w:t>
      </w:r>
      <w:r w:rsidR="00D4251A">
        <w:rPr>
          <w:rFonts w:eastAsiaTheme="minorEastAsia"/>
        </w:rPr>
        <w:t xml:space="preserve"> </w:t>
      </w:r>
      <w:r w:rsidR="6B68F418" w:rsidRPr="288A3578">
        <w:rPr>
          <w:rFonts w:eastAsiaTheme="minorEastAsia"/>
        </w:rPr>
        <w:t xml:space="preserve">Alternatiivselt võiks esmaseks algallikaks olla Eesti siseriikliku õigusakti alusel loodud lühiajalise üüriteenuse </w:t>
      </w:r>
      <w:r w:rsidR="18876FBC" w:rsidRPr="288A3578">
        <w:rPr>
          <w:rFonts w:eastAsiaTheme="minorEastAsia"/>
        </w:rPr>
        <w:t xml:space="preserve">majutuskohtade keskne </w:t>
      </w:r>
      <w:r w:rsidR="6B68F418" w:rsidRPr="288A3578">
        <w:rPr>
          <w:rFonts w:eastAsiaTheme="minorEastAsia"/>
        </w:rPr>
        <w:t xml:space="preserve">register või </w:t>
      </w:r>
      <w:r w:rsidR="76ECB704" w:rsidRPr="288A3578">
        <w:rPr>
          <w:rFonts w:eastAsiaTheme="minorEastAsia"/>
        </w:rPr>
        <w:t xml:space="preserve">ka </w:t>
      </w:r>
      <w:r w:rsidR="6B68F418" w:rsidRPr="288A3578">
        <w:rPr>
          <w:rFonts w:eastAsiaTheme="minorEastAsia"/>
        </w:rPr>
        <w:t xml:space="preserve">kohalike </w:t>
      </w:r>
      <w:r w:rsidR="18876FBC" w:rsidRPr="288A3578">
        <w:rPr>
          <w:rFonts w:eastAsiaTheme="minorEastAsia"/>
        </w:rPr>
        <w:t>omavalitsuste hallatavad</w:t>
      </w:r>
      <w:r w:rsidR="6B68F418" w:rsidRPr="288A3578">
        <w:rPr>
          <w:rFonts w:eastAsiaTheme="minorEastAsia"/>
        </w:rPr>
        <w:t xml:space="preserve"> majutusteenuse osutajate </w:t>
      </w:r>
      <w:r w:rsidR="18876FBC" w:rsidRPr="288A3578">
        <w:rPr>
          <w:rFonts w:eastAsiaTheme="minorEastAsia"/>
        </w:rPr>
        <w:t>andmebaasid.</w:t>
      </w:r>
    </w:p>
    <w:p w14:paraId="4FC81DD6" w14:textId="4DB10BC6" w:rsidR="6C8925FD" w:rsidRPr="00E14EBC" w:rsidRDefault="6B68F418" w:rsidP="288A3578">
      <w:pPr>
        <w:spacing w:before="0" w:line="257" w:lineRule="auto"/>
        <w:jc w:val="both"/>
        <w:rPr>
          <w:rFonts w:eastAsiaTheme="minorEastAsia"/>
        </w:rPr>
      </w:pPr>
      <w:r w:rsidRPr="001C3919">
        <w:rPr>
          <w:rFonts w:eastAsiaTheme="minorEastAsia"/>
          <w:b/>
        </w:rPr>
        <w:t>Teis</w:t>
      </w:r>
      <w:r w:rsidR="00944467" w:rsidRPr="001C3919">
        <w:rPr>
          <w:rFonts w:eastAsiaTheme="minorEastAsia"/>
          <w:b/>
        </w:rPr>
        <w:t>e</w:t>
      </w:r>
      <w:r w:rsidRPr="001C3919">
        <w:rPr>
          <w:rFonts w:eastAsiaTheme="minorEastAsia"/>
          <w:b/>
        </w:rPr>
        <w:t>steks andmeallikateks</w:t>
      </w:r>
      <w:r w:rsidRPr="288A3578">
        <w:rPr>
          <w:rFonts w:eastAsiaTheme="minorEastAsia"/>
        </w:rPr>
        <w:t xml:space="preserve"> </w:t>
      </w:r>
      <w:r w:rsidR="5F4685AC" w:rsidRPr="288A3578">
        <w:rPr>
          <w:rFonts w:eastAsiaTheme="minorEastAsia"/>
        </w:rPr>
        <w:t>loeme</w:t>
      </w:r>
      <w:r w:rsidRPr="288A3578">
        <w:rPr>
          <w:rFonts w:eastAsiaTheme="minorEastAsia"/>
        </w:rPr>
        <w:t xml:space="preserve"> valdavalt andmeanalüütika teenuseid pakkuvate eraettevõtete andmekogud, milledest mõnedele on kõigil vaba juurdepääs</w:t>
      </w:r>
      <w:r w:rsidR="5AD7FA83" w:rsidRPr="288A3578">
        <w:rPr>
          <w:rFonts w:eastAsiaTheme="minorEastAsia"/>
        </w:rPr>
        <w:t>.</w:t>
      </w:r>
      <w:r w:rsidRPr="288A3578">
        <w:rPr>
          <w:rFonts w:eastAsiaTheme="minorEastAsia"/>
        </w:rPr>
        <w:t xml:space="preserve"> </w:t>
      </w:r>
      <w:r w:rsidR="4AFFECA5" w:rsidRPr="288A3578">
        <w:rPr>
          <w:rFonts w:eastAsiaTheme="minorEastAsia"/>
        </w:rPr>
        <w:t>E</w:t>
      </w:r>
      <w:r w:rsidRPr="288A3578">
        <w:rPr>
          <w:rFonts w:eastAsiaTheme="minorEastAsia"/>
        </w:rPr>
        <w:t xml:space="preserve">namik ettevõtteid pakub andmeid </w:t>
      </w:r>
      <w:r w:rsidR="666565B9" w:rsidRPr="288A3578">
        <w:rPr>
          <w:rFonts w:eastAsiaTheme="minorEastAsia"/>
        </w:rPr>
        <w:t xml:space="preserve">siiski </w:t>
      </w:r>
      <w:r w:rsidRPr="288A3578">
        <w:rPr>
          <w:rFonts w:eastAsiaTheme="minorEastAsia"/>
        </w:rPr>
        <w:t xml:space="preserve">tasu eest ning vaid piiratud koguses tasuta infot. </w:t>
      </w:r>
      <w:r w:rsidR="666565B9" w:rsidRPr="288A3578">
        <w:rPr>
          <w:rFonts w:eastAsiaTheme="minorEastAsia"/>
        </w:rPr>
        <w:t>Selliste ettevõtete</w:t>
      </w:r>
      <w:r w:rsidRPr="288A3578">
        <w:rPr>
          <w:rFonts w:eastAsiaTheme="minorEastAsia"/>
        </w:rPr>
        <w:t xml:space="preserve"> </w:t>
      </w:r>
      <w:r w:rsidR="20522D81" w:rsidRPr="288A3578">
        <w:rPr>
          <w:rFonts w:eastAsiaTheme="minorEastAsia"/>
        </w:rPr>
        <w:lastRenderedPageBreak/>
        <w:t>pakutavad andmed</w:t>
      </w:r>
      <w:r w:rsidRPr="288A3578">
        <w:rPr>
          <w:rFonts w:eastAsiaTheme="minorEastAsia"/>
        </w:rPr>
        <w:t xml:space="preserve"> on kogutud andmekraapimise meetodil veebiportaalide majutuskuulutustest ehk sisuliselt majutajate turundus- ja müügimaterjalidest. Kuna andmeanalüütika ettevõtete esmane sihtrühm on lühiajalise üüriteenuse pakkuja, on andmed kogutud, töödeldud ning esitatud just turuosalise äri edendavatest huvidest ja vajadustest lähtuvalt. </w:t>
      </w:r>
    </w:p>
    <w:p w14:paraId="6C4FF55A" w14:textId="3647DCFD" w:rsidR="6C8925FD" w:rsidRPr="00E14EBC" w:rsidRDefault="6B68F418" w:rsidP="288A3578">
      <w:pPr>
        <w:spacing w:before="0" w:line="257" w:lineRule="auto"/>
        <w:jc w:val="both"/>
        <w:rPr>
          <w:rFonts w:eastAsiaTheme="minorEastAsia"/>
        </w:rPr>
      </w:pPr>
      <w:r w:rsidRPr="288A3578">
        <w:rPr>
          <w:rFonts w:eastAsiaTheme="minorEastAsia"/>
          <w:b/>
          <w:bCs/>
        </w:rPr>
        <w:t>Andmete</w:t>
      </w:r>
      <w:r w:rsidRPr="288A3578">
        <w:rPr>
          <w:rFonts w:eastAsiaTheme="minorEastAsia"/>
        </w:rPr>
        <w:t xml:space="preserve"> puhul on oluline </w:t>
      </w:r>
      <w:r w:rsidRPr="288A3578">
        <w:rPr>
          <w:rFonts w:eastAsiaTheme="minorEastAsia"/>
          <w:b/>
          <w:bCs/>
        </w:rPr>
        <w:t>täpsus</w:t>
      </w:r>
      <w:r w:rsidRPr="288A3578">
        <w:rPr>
          <w:rFonts w:eastAsiaTheme="minorEastAsia"/>
        </w:rPr>
        <w:t xml:space="preserve"> ja </w:t>
      </w:r>
      <w:r w:rsidRPr="288A3578">
        <w:rPr>
          <w:rFonts w:eastAsiaTheme="minorEastAsia"/>
          <w:b/>
          <w:bCs/>
        </w:rPr>
        <w:t>usaldusväärsus</w:t>
      </w:r>
      <w:r w:rsidRPr="288A3578">
        <w:rPr>
          <w:rFonts w:eastAsiaTheme="minorEastAsia"/>
        </w:rPr>
        <w:t xml:space="preserve">. Eraettevõtete jagatavad ja müüdavad lühiajalise </w:t>
      </w:r>
      <w:r w:rsidR="2310A77D" w:rsidRPr="288A3578">
        <w:rPr>
          <w:rFonts w:eastAsiaTheme="minorEastAsia"/>
        </w:rPr>
        <w:t>üüriteenuse</w:t>
      </w:r>
      <w:r w:rsidRPr="288A3578">
        <w:rPr>
          <w:rFonts w:eastAsiaTheme="minorEastAsia"/>
        </w:rPr>
        <w:t xml:space="preserve"> pakkumise andmed on saadud üldjuhul andmekraapimise meetodil, millel on </w:t>
      </w:r>
      <w:r w:rsidR="1103942C" w:rsidRPr="288A3578">
        <w:rPr>
          <w:rFonts w:eastAsiaTheme="minorEastAsia"/>
        </w:rPr>
        <w:t>mitmed puudused</w:t>
      </w:r>
      <w:r w:rsidR="7317BA49" w:rsidRPr="288A3578">
        <w:rPr>
          <w:rFonts w:eastAsiaTheme="minorEastAsia"/>
        </w:rPr>
        <w:t>: nt</w:t>
      </w:r>
      <w:r w:rsidRPr="288A3578">
        <w:rPr>
          <w:rFonts w:eastAsiaTheme="minorEastAsia"/>
        </w:rPr>
        <w:t xml:space="preserve"> Airbnb puhul on majutuskoha asukoht sihilikult nihutatud</w:t>
      </w:r>
      <w:r w:rsidR="7317BA49" w:rsidRPr="288A3578">
        <w:rPr>
          <w:rFonts w:eastAsiaTheme="minorEastAsia"/>
        </w:rPr>
        <w:t>; erinevad</w:t>
      </w:r>
      <w:r w:rsidRPr="288A3578">
        <w:rPr>
          <w:rFonts w:eastAsiaTheme="minorEastAsia"/>
        </w:rPr>
        <w:t xml:space="preserve"> ettevõtted katavad erineval arvul platvorme, mõned vaid Airbnb, osadel lisandub Vrbo, </w:t>
      </w:r>
      <w:r w:rsidR="2310A77D" w:rsidRPr="288A3578">
        <w:rPr>
          <w:rFonts w:eastAsiaTheme="minorEastAsia"/>
        </w:rPr>
        <w:t>osadel</w:t>
      </w:r>
      <w:r w:rsidRPr="288A3578">
        <w:rPr>
          <w:rFonts w:eastAsiaTheme="minorEastAsia"/>
        </w:rPr>
        <w:t xml:space="preserve"> kas Booking ja/või Tripadvisor jne</w:t>
      </w:r>
      <w:r w:rsidR="748C1E29" w:rsidRPr="288A3578">
        <w:rPr>
          <w:rFonts w:eastAsiaTheme="minorEastAsia"/>
        </w:rPr>
        <w:t>; erinevatel</w:t>
      </w:r>
      <w:r w:rsidRPr="288A3578">
        <w:rPr>
          <w:rFonts w:eastAsiaTheme="minorEastAsia"/>
        </w:rPr>
        <w:t xml:space="preserve"> platvormidel on erinevad andmeväljad</w:t>
      </w:r>
      <w:r w:rsidR="1DE8078C" w:rsidRPr="288A3578">
        <w:rPr>
          <w:rFonts w:eastAsiaTheme="minorEastAsia"/>
        </w:rPr>
        <w:t>, majutuskoha liigitused jne.</w:t>
      </w:r>
      <w:r w:rsidRPr="288A3578">
        <w:rPr>
          <w:rFonts w:eastAsiaTheme="minorEastAsia"/>
        </w:rPr>
        <w:t xml:space="preserve"> </w:t>
      </w:r>
      <w:r w:rsidR="1E3E95F6" w:rsidRPr="288A3578">
        <w:rPr>
          <w:rFonts w:eastAsiaTheme="minorEastAsia"/>
        </w:rPr>
        <w:t xml:space="preserve">Analüütikafirmad </w:t>
      </w:r>
      <w:r w:rsidR="00775E36">
        <w:rPr>
          <w:rFonts w:eastAsiaTheme="minorEastAsia"/>
        </w:rPr>
        <w:t>kirjeldavad oma teenust tutvustavates materjalides</w:t>
      </w:r>
      <w:r w:rsidR="1E3E95F6" w:rsidRPr="288A3578">
        <w:rPr>
          <w:rFonts w:eastAsiaTheme="minorEastAsia"/>
        </w:rPr>
        <w:t xml:space="preserve">, </w:t>
      </w:r>
      <w:r w:rsidR="50CF8A93" w:rsidRPr="288A3578">
        <w:rPr>
          <w:rFonts w:eastAsiaTheme="minorEastAsia"/>
        </w:rPr>
        <w:t>et</w:t>
      </w:r>
      <w:r w:rsidRPr="288A3578">
        <w:rPr>
          <w:rFonts w:eastAsiaTheme="minorEastAsia"/>
        </w:rPr>
        <w:t xml:space="preserve"> suudavad välistada dubleeruvused (sama majutuskoht korraga mitmel platvormil) ning eristada majutuskohtade kalendrites kuupäevade blokeeringu põhjuseid (kliendi broneering, broneering mõnel muul platvormil, omakasutus, ajutiselt mittesaadav jne). Võrreldes analüütikafirmade andmeid platvormide poolt </w:t>
      </w:r>
      <w:r w:rsidR="7912A5FA" w:rsidRPr="288A3578">
        <w:rPr>
          <w:rFonts w:eastAsiaTheme="minorEastAsia"/>
        </w:rPr>
        <w:t>Eurostatile</w:t>
      </w:r>
      <w:r w:rsidRPr="288A3578">
        <w:rPr>
          <w:rFonts w:eastAsiaTheme="minorEastAsia"/>
        </w:rPr>
        <w:t xml:space="preserve"> ja </w:t>
      </w:r>
      <w:r w:rsidR="289D7596" w:rsidRPr="288A3578">
        <w:rPr>
          <w:rFonts w:eastAsiaTheme="minorEastAsia"/>
        </w:rPr>
        <w:t>MTA-le</w:t>
      </w:r>
      <w:r w:rsidR="7912A5FA" w:rsidRPr="288A3578">
        <w:rPr>
          <w:rFonts w:eastAsiaTheme="minorEastAsia"/>
        </w:rPr>
        <w:t xml:space="preserve"> edastatud</w:t>
      </w:r>
      <w:r w:rsidRPr="288A3578">
        <w:rPr>
          <w:rFonts w:eastAsiaTheme="minorEastAsia"/>
        </w:rPr>
        <w:t xml:space="preserve"> andmetega</w:t>
      </w:r>
      <w:r w:rsidR="00C8579A">
        <w:rPr>
          <w:rFonts w:eastAsiaTheme="minorEastAsia"/>
        </w:rPr>
        <w:t>, ilmnevad</w:t>
      </w:r>
      <w:r w:rsidR="00C2772D">
        <w:rPr>
          <w:rFonts w:eastAsiaTheme="minorEastAsia"/>
        </w:rPr>
        <w:t xml:space="preserve"> </w:t>
      </w:r>
      <w:r w:rsidR="00B26230">
        <w:rPr>
          <w:rFonts w:eastAsiaTheme="minorEastAsia"/>
        </w:rPr>
        <w:t>nendes</w:t>
      </w:r>
      <w:r w:rsidR="00C2772D">
        <w:rPr>
          <w:rFonts w:eastAsiaTheme="minorEastAsia"/>
        </w:rPr>
        <w:t xml:space="preserve"> suur</w:t>
      </w:r>
      <w:r w:rsidR="00C8579A">
        <w:rPr>
          <w:rFonts w:eastAsiaTheme="minorEastAsia"/>
        </w:rPr>
        <w:t>ed</w:t>
      </w:r>
      <w:r w:rsidR="00C2772D">
        <w:rPr>
          <w:rFonts w:eastAsiaTheme="minorEastAsia"/>
        </w:rPr>
        <w:t xml:space="preserve"> erinevus</w:t>
      </w:r>
      <w:r w:rsidR="00C8579A">
        <w:rPr>
          <w:rFonts w:eastAsiaTheme="minorEastAsia"/>
        </w:rPr>
        <w:t>ed</w:t>
      </w:r>
      <w:r w:rsidR="00B26230">
        <w:rPr>
          <w:rFonts w:eastAsiaTheme="minorEastAsia"/>
        </w:rPr>
        <w:t xml:space="preserve"> (lahknevus ligikaudu 40%)</w:t>
      </w:r>
      <w:r w:rsidR="0A02A3C7" w:rsidRPr="288A3578">
        <w:rPr>
          <w:rFonts w:eastAsiaTheme="minorEastAsia"/>
        </w:rPr>
        <w:t>,</w:t>
      </w:r>
      <w:r w:rsidRPr="288A3578">
        <w:rPr>
          <w:rFonts w:eastAsiaTheme="minorEastAsia"/>
        </w:rPr>
        <w:t xml:space="preserve"> </w:t>
      </w:r>
      <w:r w:rsidR="00C8579A">
        <w:rPr>
          <w:rFonts w:eastAsiaTheme="minorEastAsia"/>
        </w:rPr>
        <w:t>mis seab</w:t>
      </w:r>
      <w:r w:rsidRPr="288A3578">
        <w:rPr>
          <w:rFonts w:eastAsiaTheme="minorEastAsia"/>
        </w:rPr>
        <w:t xml:space="preserve"> sellis</w:t>
      </w:r>
      <w:r w:rsidR="00C8579A">
        <w:rPr>
          <w:rFonts w:eastAsiaTheme="minorEastAsia"/>
        </w:rPr>
        <w:t>ed</w:t>
      </w:r>
      <w:r w:rsidRPr="288A3578">
        <w:rPr>
          <w:rFonts w:eastAsiaTheme="minorEastAsia"/>
        </w:rPr>
        <w:t xml:space="preserve"> väi</w:t>
      </w:r>
      <w:r w:rsidR="00C8579A">
        <w:rPr>
          <w:rFonts w:eastAsiaTheme="minorEastAsia"/>
        </w:rPr>
        <w:t>ted siiski kahtluse alla</w:t>
      </w:r>
      <w:r w:rsidRPr="288A3578">
        <w:rPr>
          <w:rFonts w:eastAsiaTheme="minorEastAsia"/>
        </w:rPr>
        <w:t>.</w:t>
      </w:r>
    </w:p>
    <w:p w14:paraId="76C1DD7A" w14:textId="3E4F4C3D" w:rsidR="003A6F10" w:rsidRPr="00E14EBC" w:rsidRDefault="6C8925FD" w:rsidP="003A6F10">
      <w:pPr>
        <w:spacing w:before="0" w:line="257" w:lineRule="auto"/>
        <w:jc w:val="both"/>
        <w:rPr>
          <w:rFonts w:eastAsiaTheme="minorEastAsia"/>
        </w:rPr>
      </w:pPr>
      <w:r w:rsidRPr="00E14EBC">
        <w:rPr>
          <w:rFonts w:eastAsiaTheme="minorEastAsia"/>
          <w:b/>
          <w:bCs/>
        </w:rPr>
        <w:t>Andmete</w:t>
      </w:r>
      <w:r w:rsidRPr="00E14EBC">
        <w:rPr>
          <w:rFonts w:eastAsiaTheme="minorEastAsia"/>
        </w:rPr>
        <w:t xml:space="preserve"> puhul on oluline ka </w:t>
      </w:r>
      <w:r w:rsidRPr="00E14EBC">
        <w:rPr>
          <w:rFonts w:eastAsiaTheme="minorEastAsia"/>
          <w:b/>
          <w:bCs/>
        </w:rPr>
        <w:t>operatiivsus</w:t>
      </w:r>
      <w:r w:rsidRPr="00E14EBC">
        <w:rPr>
          <w:rFonts w:eastAsiaTheme="minorEastAsia"/>
        </w:rPr>
        <w:t xml:space="preserve">, kuna turg on väga dünaamiline ja hooajaline, </w:t>
      </w:r>
      <w:r w:rsidR="003A6F10">
        <w:rPr>
          <w:rFonts w:eastAsiaTheme="minorEastAsia"/>
        </w:rPr>
        <w:t>ning</w:t>
      </w:r>
      <w:r w:rsidRPr="00E14EBC">
        <w:rPr>
          <w:rFonts w:eastAsiaTheme="minorEastAsia"/>
        </w:rPr>
        <w:t xml:space="preserve"> </w:t>
      </w:r>
      <w:r w:rsidRPr="00E14EBC">
        <w:rPr>
          <w:rFonts w:eastAsiaTheme="minorEastAsia"/>
          <w:b/>
          <w:bCs/>
        </w:rPr>
        <w:t>lokaalsus</w:t>
      </w:r>
      <w:r w:rsidRPr="00E14EBC">
        <w:rPr>
          <w:rFonts w:eastAsiaTheme="minorEastAsia"/>
        </w:rPr>
        <w:t xml:space="preserve">, kuna probleemid (mõjud) </w:t>
      </w:r>
      <w:r w:rsidR="00493B7A">
        <w:rPr>
          <w:rFonts w:eastAsiaTheme="minorEastAsia"/>
        </w:rPr>
        <w:t xml:space="preserve">võivad </w:t>
      </w:r>
      <w:r w:rsidRPr="00E14EBC">
        <w:rPr>
          <w:rFonts w:eastAsiaTheme="minorEastAsia"/>
        </w:rPr>
        <w:t>avaldu</w:t>
      </w:r>
      <w:r w:rsidR="00493B7A">
        <w:rPr>
          <w:rFonts w:eastAsiaTheme="minorEastAsia"/>
        </w:rPr>
        <w:t>da</w:t>
      </w:r>
      <w:r w:rsidRPr="00E14EBC">
        <w:rPr>
          <w:rFonts w:eastAsiaTheme="minorEastAsia"/>
        </w:rPr>
        <w:t xml:space="preserve"> väga väikesel territooriumil, s.o asumi, sageli aga isegi kvartali või tänava(lõigu) ulatuses.</w:t>
      </w:r>
      <w:r w:rsidR="003A6F10">
        <w:rPr>
          <w:rFonts w:eastAsiaTheme="minorEastAsia"/>
        </w:rPr>
        <w:t xml:space="preserve"> Ideaalis võiksid </w:t>
      </w:r>
      <w:r w:rsidR="006F3DD7">
        <w:rPr>
          <w:rFonts w:eastAsiaTheme="minorEastAsia"/>
        </w:rPr>
        <w:t>a</w:t>
      </w:r>
      <w:r w:rsidR="006F3DD7" w:rsidRPr="288A3578">
        <w:rPr>
          <w:rFonts w:eastAsiaTheme="minorEastAsia"/>
        </w:rPr>
        <w:t xml:space="preserve">ndmed </w:t>
      </w:r>
      <w:r w:rsidR="003A6F10" w:rsidRPr="288A3578">
        <w:rPr>
          <w:rFonts w:eastAsiaTheme="minorEastAsia"/>
        </w:rPr>
        <w:t>turu kohta hõlma</w:t>
      </w:r>
      <w:r w:rsidR="006F3DD7">
        <w:rPr>
          <w:rFonts w:eastAsiaTheme="minorEastAsia"/>
        </w:rPr>
        <w:t>t</w:t>
      </w:r>
      <w:r w:rsidR="003A6F10" w:rsidRPr="288A3578">
        <w:rPr>
          <w:rFonts w:eastAsiaTheme="minorEastAsia"/>
        </w:rPr>
        <w:t xml:space="preserve">a nii </w:t>
      </w:r>
      <w:r w:rsidR="003A6F10" w:rsidRPr="00514229">
        <w:rPr>
          <w:rFonts w:eastAsiaTheme="minorEastAsia"/>
          <w:b/>
          <w:bCs/>
        </w:rPr>
        <w:t>pakkumist</w:t>
      </w:r>
      <w:r w:rsidR="003A6F10" w:rsidRPr="288A3578">
        <w:rPr>
          <w:rFonts w:eastAsiaTheme="minorEastAsia"/>
        </w:rPr>
        <w:t xml:space="preserve"> kui ka </w:t>
      </w:r>
      <w:r w:rsidR="003A6F10" w:rsidRPr="00514229">
        <w:rPr>
          <w:rFonts w:eastAsiaTheme="minorEastAsia"/>
          <w:b/>
          <w:bCs/>
        </w:rPr>
        <w:t xml:space="preserve">nõudlust </w:t>
      </w:r>
      <w:r w:rsidR="003A6F10" w:rsidRPr="288A3578">
        <w:rPr>
          <w:rFonts w:eastAsiaTheme="minorEastAsia"/>
        </w:rPr>
        <w:t xml:space="preserve">iseloomustavaid </w:t>
      </w:r>
      <w:r w:rsidR="007A248D">
        <w:rPr>
          <w:rFonts w:eastAsiaTheme="minorEastAsia"/>
        </w:rPr>
        <w:t>tunnuseid</w:t>
      </w:r>
      <w:r w:rsidR="003A6F10" w:rsidRPr="288A3578">
        <w:rPr>
          <w:rFonts w:eastAsiaTheme="minorEastAsia"/>
        </w:rPr>
        <w:t>, samuti andmeid majutusteenuse pakkujate (füüsilised ja juriidilised isikud) ning üüritehingute kohta.</w:t>
      </w:r>
    </w:p>
    <w:p w14:paraId="03C02788" w14:textId="7749D951" w:rsidR="6C8925FD" w:rsidRPr="006F0232" w:rsidRDefault="257365C4" w:rsidP="6C8925FD">
      <w:pPr>
        <w:spacing w:before="0" w:line="257" w:lineRule="auto"/>
        <w:jc w:val="both"/>
        <w:rPr>
          <w:rStyle w:val="PurpleText"/>
        </w:rPr>
      </w:pPr>
      <w:r w:rsidRPr="006F0232">
        <w:rPr>
          <w:rStyle w:val="PurpleText"/>
        </w:rPr>
        <w:t xml:space="preserve">Andmed </w:t>
      </w:r>
      <w:r w:rsidR="5365B3DC" w:rsidRPr="006F0232">
        <w:rPr>
          <w:rStyle w:val="PurpleText"/>
        </w:rPr>
        <w:t>maakondade</w:t>
      </w:r>
      <w:r w:rsidR="6C8925FD" w:rsidRPr="006F0232">
        <w:rPr>
          <w:rStyle w:val="PurpleText"/>
        </w:rPr>
        <w:t xml:space="preserve"> ja kohalike omavalitsuste lõikes</w:t>
      </w:r>
    </w:p>
    <w:p w14:paraId="219E344F" w14:textId="630D0F3A" w:rsidR="6C8925FD" w:rsidRPr="00E14EBC" w:rsidRDefault="6B68F418" w:rsidP="1C92C443">
      <w:pPr>
        <w:spacing w:before="0" w:line="257" w:lineRule="auto"/>
        <w:jc w:val="both"/>
        <w:rPr>
          <w:rFonts w:eastAsiaTheme="minorEastAsia"/>
        </w:rPr>
      </w:pPr>
      <w:r w:rsidRPr="1C92C443">
        <w:rPr>
          <w:rFonts w:eastAsiaTheme="minorEastAsia"/>
        </w:rPr>
        <w:t>Kogu Eesti kohta ja maakondade lõikes on turu analüüsimiseks võimalik kasutada a) MTA andmeid majanduslikult aktiivsete majutuskohtade ja nende haldajate kohta (ligipääs ja kasutamine piiratud, kuid võimalikud avaliku sektori andmepäringud); b) Eurostat</w:t>
      </w:r>
      <w:r w:rsidR="3034F0F1" w:rsidRPr="1C92C443">
        <w:rPr>
          <w:rFonts w:eastAsiaTheme="minorEastAsia"/>
        </w:rPr>
        <w:t>i</w:t>
      </w:r>
      <w:r w:rsidRPr="1C92C443">
        <w:rPr>
          <w:rFonts w:eastAsiaTheme="minorEastAsia"/>
        </w:rPr>
        <w:t xml:space="preserve"> eksperimentaalstatistikat broneeringute arvu, broneeritud ööde arvu ja ööbimiste arvu kohta, s.o ainult nõudluse </w:t>
      </w:r>
      <w:r w:rsidR="065CD306" w:rsidRPr="1C92C443">
        <w:rPr>
          <w:rFonts w:eastAsiaTheme="minorEastAsia"/>
        </w:rPr>
        <w:t>andmeid</w:t>
      </w:r>
      <w:r w:rsidRPr="1C92C443">
        <w:rPr>
          <w:rFonts w:eastAsiaTheme="minorEastAsia"/>
        </w:rPr>
        <w:t xml:space="preserve"> (maakonna tasandi andmed kättesaadavad kõigile tasulise päringuga); c) Lighthouse andmekogu (ligipääs ja kasutamine kõrge hinnalävendiga, kasutajale seatud andmete jagamise piirangud</w:t>
      </w:r>
      <w:r w:rsidR="006D3CD3" w:rsidRPr="1C92C443">
        <w:rPr>
          <w:rFonts w:eastAsiaTheme="minorEastAsia"/>
        </w:rPr>
        <w:t>, lisaks suurema veapiiri</w:t>
      </w:r>
      <w:r w:rsidR="677E9DFC" w:rsidRPr="1C92C443">
        <w:rPr>
          <w:rFonts w:eastAsiaTheme="minorEastAsia"/>
        </w:rPr>
        <w:t>g</w:t>
      </w:r>
      <w:r w:rsidR="006D3CD3" w:rsidRPr="1C92C443">
        <w:rPr>
          <w:rFonts w:eastAsiaTheme="minorEastAsia"/>
        </w:rPr>
        <w:t>a</w:t>
      </w:r>
      <w:r w:rsidRPr="1C92C443">
        <w:rPr>
          <w:rFonts w:eastAsiaTheme="minorEastAsia"/>
        </w:rPr>
        <w:t>)</w:t>
      </w:r>
      <w:r w:rsidR="51ABC166" w:rsidRPr="1C92C443">
        <w:rPr>
          <w:rFonts w:eastAsiaTheme="minorEastAsia"/>
        </w:rPr>
        <w:t>.</w:t>
      </w:r>
    </w:p>
    <w:p w14:paraId="3560B0F8" w14:textId="2148AC21" w:rsidR="6C8925FD" w:rsidRPr="00E14EBC" w:rsidRDefault="6B68F418" w:rsidP="288A3578">
      <w:pPr>
        <w:spacing w:before="0" w:line="257" w:lineRule="auto"/>
        <w:jc w:val="both"/>
        <w:rPr>
          <w:rFonts w:eastAsiaTheme="minorEastAsia"/>
        </w:rPr>
      </w:pPr>
      <w:r w:rsidRPr="288A3578">
        <w:rPr>
          <w:rFonts w:eastAsiaTheme="minorEastAsia"/>
        </w:rPr>
        <w:t xml:space="preserve">Turul olevast pakkumisest ülevaate saamiseks piisab enamike Eesti omavalitsuste puhul kahelt suuremalt veebiplatvormilt (nt </w:t>
      </w:r>
      <w:r w:rsidR="4719282F" w:rsidRPr="288A3578">
        <w:rPr>
          <w:rFonts w:eastAsiaTheme="minorEastAsia"/>
        </w:rPr>
        <w:t>lihtsama kopeerimise või professionaalsema</w:t>
      </w:r>
      <w:r w:rsidRPr="288A3578">
        <w:rPr>
          <w:rFonts w:eastAsiaTheme="minorEastAsia"/>
        </w:rPr>
        <w:t xml:space="preserve"> kraapimise teel) hangitud majutuskohtade kuulutustes sisalduvate andmete kirjeldavast analüüsist – 2023.</w:t>
      </w:r>
      <w:r w:rsidR="19F4846C" w:rsidRPr="288A3578">
        <w:rPr>
          <w:rFonts w:eastAsiaTheme="minorEastAsia"/>
        </w:rPr>
        <w:t xml:space="preserve"> </w:t>
      </w:r>
      <w:r w:rsidRPr="288A3578">
        <w:rPr>
          <w:rFonts w:eastAsiaTheme="minorEastAsia"/>
        </w:rPr>
        <w:t>a</w:t>
      </w:r>
      <w:r w:rsidR="099B456D" w:rsidRPr="288A3578">
        <w:rPr>
          <w:rFonts w:eastAsiaTheme="minorEastAsia"/>
        </w:rPr>
        <w:t>astal</w:t>
      </w:r>
      <w:r w:rsidRPr="288A3578">
        <w:rPr>
          <w:rFonts w:eastAsiaTheme="minorEastAsia"/>
        </w:rPr>
        <w:t xml:space="preserve"> oli alla 150</w:t>
      </w:r>
      <w:r w:rsidR="5FABC436" w:rsidRPr="288A3578">
        <w:rPr>
          <w:rFonts w:eastAsiaTheme="minorEastAsia"/>
        </w:rPr>
        <w:t xml:space="preserve"> majanduslikult</w:t>
      </w:r>
      <w:r w:rsidRPr="288A3578">
        <w:rPr>
          <w:rFonts w:eastAsiaTheme="minorEastAsia"/>
        </w:rPr>
        <w:t xml:space="preserve"> aktiivse kinnistusüksusega maakondi Eestis 12</w:t>
      </w:r>
      <w:r w:rsidR="1CF8F47E" w:rsidRPr="288A3578">
        <w:rPr>
          <w:rFonts w:eastAsiaTheme="minorEastAsia"/>
        </w:rPr>
        <w:t>;</w:t>
      </w:r>
      <w:r w:rsidRPr="288A3578">
        <w:rPr>
          <w:rFonts w:eastAsiaTheme="minorEastAsia"/>
        </w:rPr>
        <w:t xml:space="preserve"> 2025.</w:t>
      </w:r>
      <w:r w:rsidR="76D9C74E" w:rsidRPr="288A3578">
        <w:rPr>
          <w:rFonts w:eastAsiaTheme="minorEastAsia"/>
        </w:rPr>
        <w:t xml:space="preserve"> </w:t>
      </w:r>
      <w:r w:rsidRPr="288A3578">
        <w:rPr>
          <w:rFonts w:eastAsiaTheme="minorEastAsia"/>
        </w:rPr>
        <w:t>a</w:t>
      </w:r>
      <w:r w:rsidR="7B5DF48B" w:rsidRPr="288A3578">
        <w:rPr>
          <w:rFonts w:eastAsiaTheme="minorEastAsia"/>
        </w:rPr>
        <w:t>asta</w:t>
      </w:r>
      <w:r w:rsidRPr="288A3578">
        <w:rPr>
          <w:rFonts w:eastAsiaTheme="minorEastAsia"/>
        </w:rPr>
        <w:t xml:space="preserve"> mais oli alla 500 lühiajalise üüripinna pakkumisega maakondi 10. </w:t>
      </w:r>
      <w:r w:rsidR="7A48DA99" w:rsidRPr="288A3578">
        <w:rPr>
          <w:rFonts w:eastAsiaTheme="minorEastAsia"/>
        </w:rPr>
        <w:t>Omavalitsustel</w:t>
      </w:r>
      <w:r w:rsidRPr="288A3578">
        <w:rPr>
          <w:rFonts w:eastAsiaTheme="minorEastAsia"/>
        </w:rPr>
        <w:t xml:space="preserve"> on </w:t>
      </w:r>
      <w:r w:rsidR="7A48DA99" w:rsidRPr="288A3578">
        <w:rPr>
          <w:rFonts w:eastAsiaTheme="minorEastAsia"/>
        </w:rPr>
        <w:t xml:space="preserve">põhimõtteliselt </w:t>
      </w:r>
      <w:r w:rsidRPr="288A3578">
        <w:rPr>
          <w:rFonts w:eastAsiaTheme="minorEastAsia"/>
        </w:rPr>
        <w:t xml:space="preserve">võimalik saada andmeid </w:t>
      </w:r>
      <w:r w:rsidR="00F36AFC">
        <w:rPr>
          <w:rFonts w:eastAsiaTheme="minorEastAsia"/>
        </w:rPr>
        <w:t xml:space="preserve">infopäringu vormis </w:t>
      </w:r>
      <w:r w:rsidRPr="288A3578">
        <w:rPr>
          <w:rFonts w:eastAsiaTheme="minorEastAsia"/>
        </w:rPr>
        <w:t xml:space="preserve">ka </w:t>
      </w:r>
      <w:r w:rsidR="4E611196" w:rsidRPr="288A3578">
        <w:rPr>
          <w:rFonts w:eastAsiaTheme="minorEastAsia"/>
        </w:rPr>
        <w:t>MTA-lt</w:t>
      </w:r>
      <w:r w:rsidRPr="288A3578">
        <w:rPr>
          <w:rFonts w:eastAsiaTheme="minorEastAsia"/>
        </w:rPr>
        <w:t xml:space="preserve">, aga nende andmete </w:t>
      </w:r>
      <w:r w:rsidR="7A48DA99" w:rsidRPr="288A3578">
        <w:rPr>
          <w:rFonts w:eastAsiaTheme="minorEastAsia"/>
        </w:rPr>
        <w:t xml:space="preserve">kättesaadavus on piiratud liikmesriikide nõusolekute ja MTA päringute töötlemise jõudlusega ning andmete </w:t>
      </w:r>
      <w:r w:rsidRPr="288A3578">
        <w:rPr>
          <w:rFonts w:eastAsiaTheme="minorEastAsia"/>
        </w:rPr>
        <w:t>koosseis on mõnede puudustega (nt ei ole võimalik teada saada maksimaalset majutatavate arvu ehk mahutavust).</w:t>
      </w:r>
    </w:p>
    <w:p w14:paraId="5604B847" w14:textId="78AEF245" w:rsidR="6C8925FD" w:rsidRPr="00E14EBC" w:rsidRDefault="6B68F418" w:rsidP="288A3578">
      <w:pPr>
        <w:spacing w:before="0" w:line="257" w:lineRule="auto"/>
        <w:jc w:val="both"/>
        <w:rPr>
          <w:rFonts w:eastAsiaTheme="minorEastAsia"/>
        </w:rPr>
      </w:pPr>
      <w:r w:rsidRPr="288A3578">
        <w:rPr>
          <w:rFonts w:eastAsiaTheme="minorEastAsia"/>
        </w:rPr>
        <w:t xml:space="preserve">Omavalitsuste lõikes on pakkumise andmed saadaval </w:t>
      </w:r>
      <w:r w:rsidR="7E18F3AD" w:rsidRPr="7E18F3AD">
        <w:rPr>
          <w:rFonts w:eastAsiaTheme="minorEastAsia"/>
        </w:rPr>
        <w:t>8</w:t>
      </w:r>
      <w:r w:rsidRPr="288A3578">
        <w:rPr>
          <w:rFonts w:eastAsiaTheme="minorEastAsia"/>
        </w:rPr>
        <w:t xml:space="preserve"> linna</w:t>
      </w:r>
      <w:r w:rsidR="00C27029">
        <w:rPr>
          <w:rFonts w:eastAsiaTheme="minorEastAsia"/>
        </w:rPr>
        <w:t xml:space="preserve"> ja kahe maakonna</w:t>
      </w:r>
      <w:r w:rsidRPr="288A3578">
        <w:rPr>
          <w:rFonts w:eastAsiaTheme="minorEastAsia"/>
        </w:rPr>
        <w:t xml:space="preserve"> kohta (AirDNA), ning andmekoosseis on piiratud. Air</w:t>
      </w:r>
      <w:r w:rsidR="59A5C9A7" w:rsidRPr="288A3578">
        <w:rPr>
          <w:rFonts w:eastAsiaTheme="minorEastAsia"/>
        </w:rPr>
        <w:t>DNA</w:t>
      </w:r>
      <w:r w:rsidRPr="288A3578">
        <w:rPr>
          <w:rFonts w:eastAsiaTheme="minorEastAsia"/>
        </w:rPr>
        <w:t xml:space="preserve"> väitel saab tellida detailset infot erinevatele sihtrühmadele, aga selliste tellimustööde </w:t>
      </w:r>
      <w:r w:rsidR="61CA17DA" w:rsidRPr="288A3578">
        <w:rPr>
          <w:rFonts w:eastAsiaTheme="minorEastAsia"/>
        </w:rPr>
        <w:t xml:space="preserve">hinnakujunduse kohta </w:t>
      </w:r>
      <w:r w:rsidRPr="288A3578">
        <w:rPr>
          <w:rFonts w:eastAsiaTheme="minorEastAsia"/>
        </w:rPr>
        <w:t xml:space="preserve">ei </w:t>
      </w:r>
      <w:r w:rsidR="61CA17DA" w:rsidRPr="288A3578">
        <w:rPr>
          <w:rFonts w:eastAsiaTheme="minorEastAsia"/>
        </w:rPr>
        <w:t xml:space="preserve">õnnestunud </w:t>
      </w:r>
      <w:r w:rsidR="5F4685AC" w:rsidRPr="288A3578">
        <w:rPr>
          <w:rFonts w:eastAsiaTheme="minorEastAsia"/>
        </w:rPr>
        <w:t>meil</w:t>
      </w:r>
      <w:r w:rsidR="61CA17DA" w:rsidRPr="288A3578">
        <w:rPr>
          <w:rFonts w:eastAsiaTheme="minorEastAsia"/>
        </w:rPr>
        <w:t xml:space="preserve"> infot </w:t>
      </w:r>
      <w:r w:rsidR="00EB9B11" w:rsidRPr="288A3578">
        <w:rPr>
          <w:rFonts w:eastAsiaTheme="minorEastAsia"/>
        </w:rPr>
        <w:t>leida.</w:t>
      </w:r>
      <w:r w:rsidRPr="288A3578">
        <w:rPr>
          <w:rFonts w:eastAsiaTheme="minorEastAsia"/>
        </w:rPr>
        <w:t xml:space="preserve"> Tallinna kohta o</w:t>
      </w:r>
      <w:r w:rsidR="4ED8732A" w:rsidRPr="288A3578">
        <w:rPr>
          <w:rFonts w:eastAsiaTheme="minorEastAsia"/>
        </w:rPr>
        <w:t>li</w:t>
      </w:r>
      <w:r w:rsidRPr="288A3578">
        <w:rPr>
          <w:rFonts w:eastAsiaTheme="minorEastAsia"/>
        </w:rPr>
        <w:t xml:space="preserve"> uuringu koostamise ajal vabalt ja tasuta allalaaditav </w:t>
      </w:r>
      <w:r w:rsidR="66E7C5E6" w:rsidRPr="288A3578">
        <w:rPr>
          <w:rFonts w:eastAsiaTheme="minorEastAsia"/>
        </w:rPr>
        <w:t xml:space="preserve">üks </w:t>
      </w:r>
      <w:r w:rsidRPr="288A3578">
        <w:rPr>
          <w:rFonts w:eastAsiaTheme="minorEastAsia"/>
        </w:rPr>
        <w:t>ülevaatlik ja üksikasjalik andmestik (doorbll.com</w:t>
      </w:r>
      <w:r w:rsidR="7E18F3AD" w:rsidRPr="7E18F3AD">
        <w:rPr>
          <w:rFonts w:eastAsiaTheme="minorEastAsia"/>
        </w:rPr>
        <w:t>), mille katvus paraku uuringu läbiviimise ajal vähenes kolmelt platvormilt ühele.</w:t>
      </w:r>
      <w:r w:rsidRPr="288A3578">
        <w:rPr>
          <w:rFonts w:eastAsiaTheme="minorEastAsia"/>
        </w:rPr>
        <w:t xml:space="preserve"> Omavalitsuste kohta on võimalik teha väljavõtteid Lighthouse andmekogust, millele on EIS</w:t>
      </w:r>
      <w:r w:rsidR="797BD961" w:rsidRPr="288A3578">
        <w:rPr>
          <w:rFonts w:eastAsiaTheme="minorEastAsia"/>
        </w:rPr>
        <w:t>-</w:t>
      </w:r>
      <w:r w:rsidRPr="288A3578">
        <w:rPr>
          <w:rFonts w:eastAsiaTheme="minorEastAsia"/>
        </w:rPr>
        <w:lastRenderedPageBreak/>
        <w:t xml:space="preserve">il olemas tasuline ligipääs, kuid teenuselepingus sätestatud piirangute </w:t>
      </w:r>
      <w:r w:rsidR="0421A1FE" w:rsidRPr="288A3578">
        <w:rPr>
          <w:rFonts w:eastAsiaTheme="minorEastAsia"/>
        </w:rPr>
        <w:t xml:space="preserve">ja täiendava käsitöö </w:t>
      </w:r>
      <w:r w:rsidRPr="288A3578">
        <w:rPr>
          <w:rFonts w:eastAsiaTheme="minorEastAsia"/>
        </w:rPr>
        <w:t>tõttu ei ole see praktikas lihtsasti realiseeritav.</w:t>
      </w:r>
    </w:p>
    <w:p w14:paraId="5DE145D4" w14:textId="5A0ECB6F" w:rsidR="6C8925FD" w:rsidRPr="00E14EBC" w:rsidRDefault="00157A6D" w:rsidP="288A3578">
      <w:pPr>
        <w:spacing w:before="0" w:line="257" w:lineRule="auto"/>
        <w:jc w:val="both"/>
        <w:rPr>
          <w:rFonts w:eastAsiaTheme="minorEastAsia"/>
        </w:rPr>
      </w:pPr>
      <w:r>
        <w:rPr>
          <w:rFonts w:eastAsiaTheme="minorEastAsia"/>
        </w:rPr>
        <w:t>Lühiajalise üüri t</w:t>
      </w:r>
      <w:r w:rsidR="6B68F418" w:rsidRPr="288A3578">
        <w:rPr>
          <w:rFonts w:eastAsiaTheme="minorEastAsia"/>
        </w:rPr>
        <w:t>uru</w:t>
      </w:r>
      <w:r>
        <w:rPr>
          <w:rFonts w:eastAsiaTheme="minorEastAsia"/>
        </w:rPr>
        <w:t xml:space="preserve"> </w:t>
      </w:r>
      <w:r w:rsidR="6B68F418" w:rsidRPr="288A3578">
        <w:rPr>
          <w:rFonts w:eastAsiaTheme="minorEastAsia"/>
        </w:rPr>
        <w:t>nõudluse andmed omavalitsuste tasandil üldjuhul kättesaadavad ei ole, erandiks on neli suuremat linna (Tallinn, Tartu, Pärnu, Narva) ja Hiiumaa vald, mis on Hiiu maakonna ainus omavalitsus. Teoreetiliselt võib olla võimalik saada</w:t>
      </w:r>
      <w:r w:rsidR="003C4622">
        <w:rPr>
          <w:rFonts w:eastAsiaTheme="minorEastAsia"/>
        </w:rPr>
        <w:t xml:space="preserve"> Statistikaameti kaudu</w:t>
      </w:r>
      <w:r w:rsidR="6B68F418" w:rsidRPr="288A3578">
        <w:rPr>
          <w:rFonts w:eastAsiaTheme="minorEastAsia"/>
        </w:rPr>
        <w:t xml:space="preserve"> </w:t>
      </w:r>
      <w:r w:rsidR="003C4622">
        <w:rPr>
          <w:rFonts w:eastAsiaTheme="minorEastAsia"/>
        </w:rPr>
        <w:t xml:space="preserve">lühiajalise üürimise </w:t>
      </w:r>
      <w:r w:rsidR="6B68F418" w:rsidRPr="288A3578">
        <w:rPr>
          <w:rFonts w:eastAsiaTheme="minorEastAsia"/>
        </w:rPr>
        <w:t>statistilisi andmeid omavalitsuse tasandil andmepäringuga, aga seejuures kerkib ilmselt takistuseks konfidentsiaalsus</w:t>
      </w:r>
      <w:r w:rsidR="4540C74B" w:rsidRPr="288A3578">
        <w:rPr>
          <w:rFonts w:eastAsiaTheme="minorEastAsia"/>
        </w:rPr>
        <w:t xml:space="preserve"> </w:t>
      </w:r>
      <w:r w:rsidR="168C5799" w:rsidRPr="288A3578">
        <w:rPr>
          <w:rFonts w:eastAsiaTheme="minorEastAsia"/>
        </w:rPr>
        <w:t>(alla viie üksuse),</w:t>
      </w:r>
      <w:r w:rsidR="6B68F418" w:rsidRPr="288A3578">
        <w:rPr>
          <w:rFonts w:eastAsiaTheme="minorEastAsia"/>
        </w:rPr>
        <w:t xml:space="preserve"> mistõttu arvestatavat osa andmetest ei saa</w:t>
      </w:r>
      <w:r w:rsidR="00817A75">
        <w:rPr>
          <w:rFonts w:eastAsiaTheme="minorEastAsia"/>
        </w:rPr>
        <w:t xml:space="preserve"> SA </w:t>
      </w:r>
      <w:r w:rsidR="6B68F418" w:rsidRPr="288A3578">
        <w:rPr>
          <w:rFonts w:eastAsiaTheme="minorEastAsia"/>
        </w:rPr>
        <w:t>avalikustada.</w:t>
      </w:r>
    </w:p>
    <w:p w14:paraId="5201C3BA" w14:textId="65C72DBB" w:rsidR="6C8925FD" w:rsidRPr="006F0232" w:rsidRDefault="5D0DE4CB" w:rsidP="6C8925FD">
      <w:pPr>
        <w:spacing w:before="0" w:line="257" w:lineRule="auto"/>
        <w:jc w:val="both"/>
        <w:rPr>
          <w:rStyle w:val="PurpleText"/>
        </w:rPr>
      </w:pPr>
      <w:r w:rsidRPr="006F0232">
        <w:rPr>
          <w:rStyle w:val="PurpleText"/>
        </w:rPr>
        <w:t>Andmestike</w:t>
      </w:r>
      <w:r w:rsidR="136EC086" w:rsidRPr="006F0232">
        <w:rPr>
          <w:rStyle w:val="PurpleText"/>
        </w:rPr>
        <w:t xml:space="preserve"> ja metoodikate eelistused</w:t>
      </w:r>
    </w:p>
    <w:p w14:paraId="60F3E617" w14:textId="7969B299" w:rsidR="005F2250" w:rsidRDefault="009B7541" w:rsidP="009B7541">
      <w:pPr>
        <w:tabs>
          <w:tab w:val="left" w:pos="720"/>
        </w:tabs>
        <w:jc w:val="both"/>
      </w:pPr>
      <w:r>
        <w:t xml:space="preserve">Kokkuvõtlikult </w:t>
      </w:r>
      <w:r w:rsidR="005F2250">
        <w:t>näeme</w:t>
      </w:r>
      <w:r>
        <w:t xml:space="preserve"> l</w:t>
      </w:r>
      <w:r w:rsidRPr="00E14EBC">
        <w:t>ühiajalise üüri turu analüüsimise</w:t>
      </w:r>
      <w:r w:rsidR="005F2250">
        <w:t xml:space="preserve">ks vajalike andmete kogumisel järgmisi </w:t>
      </w:r>
      <w:r w:rsidRPr="00E14EBC">
        <w:t>peamis</w:t>
      </w:r>
      <w:r w:rsidR="005F2250">
        <w:t>i lähenemisi</w:t>
      </w:r>
      <w:r w:rsidRPr="00E14EBC">
        <w:t>:</w:t>
      </w:r>
    </w:p>
    <w:p w14:paraId="23159244" w14:textId="1F0ADA66" w:rsidR="009B7541" w:rsidRPr="00E14EBC" w:rsidRDefault="009B7541" w:rsidP="009B7541">
      <w:pPr>
        <w:tabs>
          <w:tab w:val="left" w:pos="720"/>
        </w:tabs>
        <w:jc w:val="both"/>
      </w:pPr>
      <w:r w:rsidRPr="64F64B3A">
        <w:rPr>
          <w:b/>
          <w:bCs/>
        </w:rPr>
        <w:t>Riigi või kohaliku omavalitsuse hallatava registri või andmekogu põhine lähenemine |</w:t>
      </w:r>
      <w:r>
        <w:t xml:space="preserve"> Välja arendatav vastavalt vajadustele, väldib kattuvust, andmed pärinevad esmasest algallikast. </w:t>
      </w:r>
      <w:r w:rsidRPr="64F64B3A">
        <w:rPr>
          <w:rFonts w:ascii="Arial" w:eastAsia="Arial" w:hAnsi="Arial" w:cs="Arial"/>
        </w:rPr>
        <w:t xml:space="preserve">Ainus viis usaldusväärselt teada saada majutusüksuse mahutavust (maksimaalset külaliste arvu, voodikohtade arvu). Koostajate tähelepanekute kohaselt on kasvamas selliste majutuskohtade arv, mis ei müü end veebiplatvormidel, vaid ühismeedia gruppides, oma kodulehel, piirkondlikes turismiedenduse kanalites jmt. Samas on selline andmebaas kulukas arendada ja hallata ning eeldada võib ka õiguslikke ja tehnilisi probleeme. </w:t>
      </w:r>
      <w:r>
        <w:rPr>
          <w:rFonts w:ascii="Arial" w:eastAsia="Arial" w:hAnsi="Arial" w:cs="Arial"/>
        </w:rPr>
        <w:t xml:space="preserve">Näiteks kaasneb </w:t>
      </w:r>
      <w:r w:rsidRPr="00764509">
        <w:rPr>
          <w:rFonts w:ascii="Arial" w:eastAsia="Arial" w:hAnsi="Arial" w:cs="Arial"/>
        </w:rPr>
        <w:t>andmebaasi loomisega kohustus luua ja hallata EL määrusele 2024/1028 vastav</w:t>
      </w:r>
      <w:r>
        <w:rPr>
          <w:rFonts w:ascii="Arial" w:eastAsia="Arial" w:hAnsi="Arial" w:cs="Arial"/>
        </w:rPr>
        <w:t>at</w:t>
      </w:r>
      <w:r w:rsidRPr="00764509">
        <w:rPr>
          <w:rFonts w:ascii="Arial" w:eastAsia="Arial" w:hAnsi="Arial" w:cs="Arial"/>
        </w:rPr>
        <w:t xml:space="preserve"> digitaal</w:t>
      </w:r>
      <w:r>
        <w:rPr>
          <w:rFonts w:ascii="Arial" w:eastAsia="Arial" w:hAnsi="Arial" w:cs="Arial"/>
        </w:rPr>
        <w:t>s</w:t>
      </w:r>
      <w:r w:rsidRPr="00764509">
        <w:rPr>
          <w:rFonts w:ascii="Arial" w:eastAsia="Arial" w:hAnsi="Arial" w:cs="Arial"/>
        </w:rPr>
        <w:t>e</w:t>
      </w:r>
      <w:r>
        <w:rPr>
          <w:rFonts w:ascii="Arial" w:eastAsia="Arial" w:hAnsi="Arial" w:cs="Arial"/>
        </w:rPr>
        <w:t>t</w:t>
      </w:r>
      <w:r w:rsidRPr="00764509">
        <w:rPr>
          <w:rFonts w:ascii="Arial" w:eastAsia="Arial" w:hAnsi="Arial" w:cs="Arial"/>
        </w:rPr>
        <w:t xml:space="preserve"> juurdepääsupunkt</w:t>
      </w:r>
      <w:r>
        <w:rPr>
          <w:rFonts w:ascii="Arial" w:eastAsia="Arial" w:hAnsi="Arial" w:cs="Arial"/>
        </w:rPr>
        <w:t>i</w:t>
      </w:r>
      <w:r w:rsidRPr="00764509">
        <w:rPr>
          <w:rFonts w:ascii="Arial" w:eastAsia="Arial" w:hAnsi="Arial" w:cs="Arial"/>
        </w:rPr>
        <w:t xml:space="preserve"> kogu andmevahetuse korraldamiseks andmebaasi, platvormide ja pädevate asutuste vahel</w:t>
      </w:r>
      <w:r>
        <w:rPr>
          <w:rFonts w:ascii="Arial" w:eastAsia="Arial" w:hAnsi="Arial" w:cs="Arial"/>
        </w:rPr>
        <w:t xml:space="preserve">. </w:t>
      </w:r>
      <w:r w:rsidRPr="64F64B3A">
        <w:rPr>
          <w:rFonts w:ascii="Arial" w:eastAsia="Arial" w:hAnsi="Arial" w:cs="Arial"/>
        </w:rPr>
        <w:t>Eeldada võib majutajate rahulolematust suureneva halduskoormuse tõttu. Järelevalveasutustel ei pruugi olla ressurssi tõhusaks kontrolliks. Kui andmekogu ei ole kooskõlas EL määrusega 2024/1028, on selle jõustamine problemaatiline (nt puudub võimalus vältida registrinumbrita majutuskoha kuulutuse ülespanekut platvormile).</w:t>
      </w:r>
    </w:p>
    <w:p w14:paraId="0D990C14" w14:textId="6AFF5AE4" w:rsidR="009B7541" w:rsidRPr="00F479C8" w:rsidRDefault="009B7541" w:rsidP="009B7541">
      <w:pPr>
        <w:tabs>
          <w:tab w:val="left" w:pos="720"/>
        </w:tabs>
        <w:jc w:val="both"/>
        <w:rPr>
          <w:rFonts w:ascii="Arial" w:eastAsia="Arial" w:hAnsi="Arial" w:cs="Arial"/>
        </w:rPr>
      </w:pPr>
      <w:r w:rsidRPr="1C92C443">
        <w:rPr>
          <w:b/>
          <w:bCs/>
        </w:rPr>
        <w:t>Riikliku statistika ja riigiasutuste andmete põhine lähenemine |</w:t>
      </w:r>
      <w:r w:rsidRPr="1C92C443">
        <w:rPr>
          <w:rFonts w:ascii="Arial" w:eastAsia="Arial" w:hAnsi="Arial" w:cs="Arial"/>
        </w:rPr>
        <w:t xml:space="preserve"> Tugevusteks on usaldusväärsus ja võimalus võrrelda SA andmeid MTA-le platvormide poolt edastatavate andmetega. Nõrkuseks lisakoormus nii MTA-le kui SA-le; eeldab asjassepuutuvate liikmesriikide nõusolekut (kusjuures riikide koosseis v</w:t>
      </w:r>
      <w:r w:rsidRPr="1C92C443">
        <w:rPr>
          <w:rFonts w:eastAsiaTheme="minorEastAsia"/>
        </w:rPr>
        <w:t xml:space="preserve">õib sõltuvalt platvormide </w:t>
      </w:r>
      <w:r w:rsidR="701BD83E" w:rsidRPr="701BD83E">
        <w:rPr>
          <w:rFonts w:eastAsiaTheme="minorEastAsia"/>
        </w:rPr>
        <w:t>lisandumisest</w:t>
      </w:r>
      <w:r w:rsidRPr="1C92C443">
        <w:rPr>
          <w:rFonts w:eastAsiaTheme="minorEastAsia"/>
        </w:rPr>
        <w:t xml:space="preserve"> muutuda). DAC7 alusel MTA-le edastatavate andmete puhul peab ennekõike arvestama, et need hõlmavad vaid majanduslikult aktiivseid kinnistusüksuseid</w:t>
      </w:r>
      <w:r w:rsidR="0048230F" w:rsidRPr="1C92C443">
        <w:rPr>
          <w:rFonts w:eastAsiaTheme="minorEastAsia"/>
        </w:rPr>
        <w:t xml:space="preserve"> ning</w:t>
      </w:r>
      <w:r w:rsidR="0048230F" w:rsidRPr="1C92C443">
        <w:rPr>
          <w:rFonts w:ascii="Arial" w:eastAsia="Arial" w:hAnsi="Arial" w:cs="Arial"/>
        </w:rPr>
        <w:t xml:space="preserve"> ei </w:t>
      </w:r>
      <w:r w:rsidR="00202D04" w:rsidRPr="1C92C443">
        <w:rPr>
          <w:rFonts w:ascii="Arial" w:eastAsia="Arial" w:hAnsi="Arial" w:cs="Arial"/>
        </w:rPr>
        <w:t>sisalda</w:t>
      </w:r>
      <w:r w:rsidR="0048230F" w:rsidRPr="1C92C443">
        <w:rPr>
          <w:rFonts w:ascii="Arial" w:eastAsia="Arial" w:hAnsi="Arial" w:cs="Arial"/>
        </w:rPr>
        <w:t xml:space="preserve"> andmeid majutusüksuste mahutavuse kohta. Küll saab suure täpsusega andmed majutusüksuse asukoha ja tehingute (broneerimiste) arvu kohta.</w:t>
      </w:r>
      <w:r w:rsidRPr="1C92C443">
        <w:rPr>
          <w:rFonts w:eastAsiaTheme="minorEastAsia"/>
        </w:rPr>
        <w:t xml:space="preserve"> Lisaks</w:t>
      </w:r>
      <w:r w:rsidRPr="1C92C443">
        <w:rPr>
          <w:rFonts w:ascii="Arial" w:eastAsia="Arial" w:hAnsi="Arial" w:cs="Arial"/>
        </w:rPr>
        <w:t xml:space="preserve"> on MTA-le esitatavate andmete koosseis oluliste puudustega (vaid viiendiku kinnistusüksuste puhul on teada majutuskoha liik, puuduvad või ebaõiged tegevusala koodid, kusjuures eraisikutel ei ole neid üldse; majutuskoha nimetus ei vasta tihti TurS</w:t>
      </w:r>
      <w:r w:rsidR="00B45FAF">
        <w:rPr>
          <w:rFonts w:ascii="Arial" w:eastAsia="Arial" w:hAnsi="Arial" w:cs="Arial"/>
        </w:rPr>
        <w:t>-</w:t>
      </w:r>
      <w:r w:rsidRPr="1C92C443">
        <w:rPr>
          <w:rFonts w:ascii="Arial" w:eastAsia="Arial" w:hAnsi="Arial" w:cs="Arial"/>
        </w:rPr>
        <w:t xml:space="preserve">is toodud peamistele liikidele, mida saaks seostada EMTAK koodidega 551–553). Eurostati eksperimentaalstatistika sihtrühm on koodigrupp NACE 55.2, kust puuduvad (vähemalt Eesti puhul) osad (väiksemad eramutes tegutsevad) külalistemajad. </w:t>
      </w:r>
      <w:r w:rsidR="00DB2E1B" w:rsidRPr="1C92C443">
        <w:rPr>
          <w:rFonts w:ascii="Arial" w:eastAsia="Arial" w:hAnsi="Arial" w:cs="Arial"/>
        </w:rPr>
        <w:t>Lisaks</w:t>
      </w:r>
      <w:r w:rsidR="002F7FC5" w:rsidRPr="1C92C443">
        <w:rPr>
          <w:rFonts w:ascii="Arial" w:eastAsia="Arial" w:hAnsi="Arial" w:cs="Arial"/>
        </w:rPr>
        <w:t xml:space="preserve">, kuna Eurostat saab andmed platvormidelt, </w:t>
      </w:r>
      <w:r w:rsidR="006425DB" w:rsidRPr="1C92C443">
        <w:rPr>
          <w:rFonts w:ascii="Arial" w:eastAsia="Arial" w:hAnsi="Arial" w:cs="Arial"/>
        </w:rPr>
        <w:t xml:space="preserve">kes ei </w:t>
      </w:r>
      <w:r w:rsidR="005F2105" w:rsidRPr="1C92C443">
        <w:rPr>
          <w:rFonts w:ascii="Arial" w:eastAsia="Arial" w:hAnsi="Arial" w:cs="Arial"/>
        </w:rPr>
        <w:t xml:space="preserve">kogu andmeid statistilistel eesmärkidel, </w:t>
      </w:r>
      <w:r w:rsidR="002F7FC5" w:rsidRPr="1C92C443">
        <w:rPr>
          <w:rFonts w:ascii="Arial" w:eastAsia="Arial" w:hAnsi="Arial" w:cs="Arial"/>
        </w:rPr>
        <w:t xml:space="preserve">siis </w:t>
      </w:r>
      <w:r w:rsidR="00EE1043" w:rsidRPr="1C92C443">
        <w:rPr>
          <w:rFonts w:ascii="Arial" w:eastAsia="Arial" w:hAnsi="Arial" w:cs="Arial"/>
        </w:rPr>
        <w:t xml:space="preserve">sõltub andmekvaliteet ka sellest, </w:t>
      </w:r>
      <w:r w:rsidR="005F2105" w:rsidRPr="1C92C443">
        <w:rPr>
          <w:rFonts w:ascii="Arial" w:eastAsia="Arial" w:hAnsi="Arial" w:cs="Arial"/>
        </w:rPr>
        <w:t>kui</w:t>
      </w:r>
      <w:r w:rsidR="00A54F37" w:rsidRPr="1C92C443">
        <w:rPr>
          <w:rFonts w:ascii="Arial" w:eastAsia="Arial" w:hAnsi="Arial" w:cs="Arial"/>
        </w:rPr>
        <w:t xml:space="preserve"> hästi vastavad esitatavad andmed Eurostati poolt küsitule</w:t>
      </w:r>
      <w:r w:rsidR="00EE1043" w:rsidRPr="1C92C443">
        <w:rPr>
          <w:rFonts w:ascii="Arial" w:eastAsia="Arial" w:hAnsi="Arial" w:cs="Arial"/>
        </w:rPr>
        <w:t>.</w:t>
      </w:r>
    </w:p>
    <w:p w14:paraId="437118C8" w14:textId="1104ACD9" w:rsidR="009B7541" w:rsidRPr="00E14EBC" w:rsidRDefault="009B7541" w:rsidP="009B7541">
      <w:pPr>
        <w:tabs>
          <w:tab w:val="left" w:pos="720"/>
        </w:tabs>
        <w:jc w:val="both"/>
      </w:pPr>
      <w:r w:rsidRPr="64F64B3A">
        <w:rPr>
          <w:b/>
          <w:bCs/>
        </w:rPr>
        <w:t>Erasektori andmeanalüütika põhine lähenemine</w:t>
      </w:r>
      <w:r>
        <w:t xml:space="preserve"> | Selle lähenemise nõrkuseks on, et andmed ei pärine esmasest algallikast, vaid on saadud veebiotsinguga (kraapimisega), mille tulemused </w:t>
      </w:r>
      <w:r>
        <w:lastRenderedPageBreak/>
        <w:t xml:space="preserve">võivad aastate lõikes olla võrreldamatud; mitmed andmekategooriad on arvutus- ja/või tuletuspõhised; puudub usaldusväärne nõudluse andmestik; nõuab väga mahukat käsitööd; ei haaku riikliku statistikaga. Lisaks tuleb arvestada muid riske, nagu nt kolmanda osapoole tulevikukindlus ehk kas ettevõttelt saab andmeid ka siis, kui turuolukord peaks tulevikus muutuma. Tugevuseks on see, et tegemist on hetkel sisuliselt ainsa võimalusega koguda </w:t>
      </w:r>
      <w:r w:rsidR="7E18F3AD">
        <w:t xml:space="preserve">mingeidki andmeid </w:t>
      </w:r>
      <w:r>
        <w:t xml:space="preserve">turu pakkumise poole kohta. </w:t>
      </w:r>
    </w:p>
    <w:p w14:paraId="64D08F5D" w14:textId="77777777" w:rsidR="009B7541" w:rsidRPr="00E14EBC" w:rsidRDefault="009B7541" w:rsidP="009B7541">
      <w:pPr>
        <w:tabs>
          <w:tab w:val="left" w:pos="720"/>
        </w:tabs>
        <w:jc w:val="both"/>
      </w:pPr>
      <w:r w:rsidRPr="64F64B3A">
        <w:rPr>
          <w:b/>
          <w:bCs/>
        </w:rPr>
        <w:t>Kombineeritud variantide kasutamine, sh andmekraapimine tellimustööna |</w:t>
      </w:r>
      <w:r>
        <w:t xml:space="preserve"> Arvestades lühiajalise üüri turu andmete võimalikke kasutajaid ning nende vajadusi ja võimekusi, võib see olla eelistatuim lähenemine nii kuluefektiivsuse kui eesmärgipärasuse vaates. Võrdlev ja kirjeldav analüüs hõlmaks ja kombineeriks SA majutusuuringu andmeid, Eurostati eksperimentaalstatistikat, DAC7 alusel MTA-le edastatavaid andmeid ja sõltuvalt linnast nt Doorbll või InsideAirbnb individuaaltellimuse andmeid. Andmestike kombineerimine on praktikas realistlik üksnes agregeeritult, mikrotasandi andmed pole töötlemiseks ja kõrvutamiseks kättesaadavad. </w:t>
      </w:r>
    </w:p>
    <w:p w14:paraId="3018D367" w14:textId="77777777" w:rsidR="009B7541" w:rsidRPr="00E14EBC" w:rsidRDefault="009B7541" w:rsidP="009B7541">
      <w:pPr>
        <w:tabs>
          <w:tab w:val="left" w:pos="720"/>
        </w:tabs>
        <w:jc w:val="both"/>
      </w:pPr>
      <w:r w:rsidRPr="00F479C8">
        <w:rPr>
          <w:b/>
          <w:bCs/>
        </w:rPr>
        <w:t>Lähtuda poliitikakujundamisel ainult kahe suurema platvormi andmestikust |</w:t>
      </w:r>
      <w:r w:rsidRPr="00E14EBC">
        <w:t xml:space="preserve"> Samas veebiplatvormid pidevalt ka ise arenevad ja muutuvad. Näiteks on täheldatav, et aina enam lühiajalise üüri teenuse pakkujaid kasutab lisaks Airbnb’le ka teisi platvorme, sh sotsiaalmeediat. Teisalt on Airbnb jätkuvalt väga populaarne, teiste seas erinevate professionaalsete majutusettevõtete hulgas</w:t>
      </w:r>
      <w:r w:rsidRPr="00E14EBC">
        <w:rPr>
          <w:rStyle w:val="FootnoteReference"/>
        </w:rPr>
        <w:footnoteReference w:id="91"/>
      </w:r>
      <w:r w:rsidRPr="00E14EBC">
        <w:t>. Samuti oleme töö käigus täheldanud kasvavat suundumust turundada majutuskohti väljaspool veebiplatvorme</w:t>
      </w:r>
      <w:r>
        <w:t>. Näiteks tuvastasime mitmeid Eestis tegutsevaid puhkemaju, mida platvormide vahendusel polnud võimalik leida</w:t>
      </w:r>
      <w:r w:rsidRPr="00E14EBC">
        <w:t>.</w:t>
      </w:r>
    </w:p>
    <w:p w14:paraId="294F5C91" w14:textId="73B67554" w:rsidR="6C8925FD" w:rsidRPr="00E14EBC" w:rsidRDefault="6C8925FD" w:rsidP="1C92C443">
      <w:pPr>
        <w:spacing w:before="0" w:line="257" w:lineRule="auto"/>
        <w:jc w:val="both"/>
        <w:rPr>
          <w:rFonts w:eastAsiaTheme="minorEastAsia"/>
        </w:rPr>
      </w:pPr>
      <w:r w:rsidRPr="1C92C443">
        <w:rPr>
          <w:rFonts w:eastAsiaTheme="minorEastAsia"/>
        </w:rPr>
        <w:t xml:space="preserve">Turu analüüsimise alternatiivsed meetodid sõltuvad probleemiasetusest ja eesmärgist: </w:t>
      </w:r>
      <w:r w:rsidR="007856B1">
        <w:rPr>
          <w:rFonts w:eastAsiaTheme="minorEastAsia"/>
        </w:rPr>
        <w:t>(i</w:t>
      </w:r>
      <w:r w:rsidRPr="1C92C443">
        <w:rPr>
          <w:rFonts w:eastAsiaTheme="minorEastAsia"/>
        </w:rPr>
        <w:t xml:space="preserve">) eluasemeturu probleemide leevendamine </w:t>
      </w:r>
      <w:r w:rsidR="0B5CADAE" w:rsidRPr="1C92C443">
        <w:rPr>
          <w:rFonts w:eastAsiaTheme="minorEastAsia"/>
        </w:rPr>
        <w:t>ja/või</w:t>
      </w:r>
      <w:r w:rsidRPr="1C92C443">
        <w:rPr>
          <w:rFonts w:eastAsiaTheme="minorEastAsia"/>
        </w:rPr>
        <w:t xml:space="preserve"> põhjuste kõrvaldamine; </w:t>
      </w:r>
      <w:r w:rsidR="007856B1">
        <w:rPr>
          <w:rFonts w:eastAsiaTheme="minorEastAsia"/>
        </w:rPr>
        <w:t>(ii</w:t>
      </w:r>
      <w:r w:rsidRPr="1C92C443">
        <w:rPr>
          <w:rFonts w:eastAsiaTheme="minorEastAsia"/>
        </w:rPr>
        <w:t xml:space="preserve">) püsielanikkonna vähenemise peatamine </w:t>
      </w:r>
      <w:r w:rsidR="0B5CADAE" w:rsidRPr="1C92C443">
        <w:rPr>
          <w:rFonts w:eastAsiaTheme="minorEastAsia"/>
        </w:rPr>
        <w:t>ja</w:t>
      </w:r>
      <w:r w:rsidRPr="1C92C443">
        <w:rPr>
          <w:rFonts w:eastAsiaTheme="minorEastAsia"/>
        </w:rPr>
        <w:t>/</w:t>
      </w:r>
      <w:r w:rsidR="0E69BCDE" w:rsidRPr="1C92C443">
        <w:rPr>
          <w:rFonts w:eastAsiaTheme="minorEastAsia"/>
        </w:rPr>
        <w:t>või</w:t>
      </w:r>
      <w:r w:rsidRPr="1C92C443">
        <w:rPr>
          <w:rFonts w:eastAsiaTheme="minorEastAsia"/>
        </w:rPr>
        <w:t xml:space="preserve"> kasvu toetamine; </w:t>
      </w:r>
      <w:r w:rsidR="007856B1">
        <w:rPr>
          <w:rFonts w:eastAsiaTheme="minorEastAsia"/>
        </w:rPr>
        <w:t>(iii</w:t>
      </w:r>
      <w:r w:rsidRPr="1C92C443">
        <w:rPr>
          <w:rFonts w:eastAsiaTheme="minorEastAsia"/>
        </w:rPr>
        <w:t>) majutusturu konkurentsiolukorra</w:t>
      </w:r>
      <w:r w:rsidR="00D53450" w:rsidRPr="1C92C443">
        <w:rPr>
          <w:rFonts w:eastAsiaTheme="minorEastAsia"/>
        </w:rPr>
        <w:t xml:space="preserve"> ja dünaamika hindamine</w:t>
      </w:r>
      <w:r w:rsidRPr="1C92C443">
        <w:rPr>
          <w:rFonts w:eastAsiaTheme="minorEastAsia"/>
        </w:rPr>
        <w:t>.</w:t>
      </w:r>
      <w:r w:rsidR="6BE0D143" w:rsidRPr="1C92C443">
        <w:rPr>
          <w:rFonts w:eastAsiaTheme="minorEastAsia"/>
        </w:rPr>
        <w:t xml:space="preserve"> </w:t>
      </w:r>
      <w:r w:rsidRPr="1C92C443">
        <w:rPr>
          <w:rFonts w:eastAsiaTheme="minorEastAsia"/>
        </w:rPr>
        <w:t xml:space="preserve">Eluasemeturu fookuse puhul on kõige olulisem kindlaks teha lühiajalise majutuse üüriteenuse majutuskohtade arv ja tavaeluruumide arv mingis konkreetses piirkonnas. Nt Portugalis on seadustatud omavalitsuse õigus piirata lühiajalise majutuse üüriteenuse majutuskohtade </w:t>
      </w:r>
      <w:r w:rsidR="0A3FBB51" w:rsidRPr="1C92C443">
        <w:rPr>
          <w:rFonts w:eastAsiaTheme="minorEastAsia"/>
        </w:rPr>
        <w:t>litsentside arvu</w:t>
      </w:r>
      <w:r w:rsidRPr="1C92C443">
        <w:rPr>
          <w:rFonts w:eastAsiaTheme="minorEastAsia"/>
        </w:rPr>
        <w:t>, kui majutuskohtade/tavaeluruumide suhe mingis piirkonnas ületab 10% (suhteline liigtihedus) või 20% (absoluutne liigtihedus).</w:t>
      </w:r>
    </w:p>
    <w:p w14:paraId="0ECA2DD2" w14:textId="33B77B31" w:rsidR="6C8925FD" w:rsidRPr="00E14EBC" w:rsidRDefault="6B68F418" w:rsidP="1C92C443">
      <w:pPr>
        <w:spacing w:before="0" w:line="257" w:lineRule="auto"/>
        <w:jc w:val="both"/>
        <w:rPr>
          <w:rFonts w:eastAsiaTheme="minorEastAsia"/>
        </w:rPr>
      </w:pPr>
      <w:r w:rsidRPr="1C92C443">
        <w:rPr>
          <w:rFonts w:eastAsiaTheme="minorEastAsia"/>
        </w:rPr>
        <w:t xml:space="preserve">Elukeskkonna fookuse puhul </w:t>
      </w:r>
      <w:r w:rsidR="00596A74" w:rsidRPr="1C92C443">
        <w:rPr>
          <w:rFonts w:eastAsiaTheme="minorEastAsia"/>
        </w:rPr>
        <w:t>saab</w:t>
      </w:r>
      <w:r w:rsidRPr="1C92C443">
        <w:rPr>
          <w:rFonts w:eastAsiaTheme="minorEastAsia"/>
        </w:rPr>
        <w:t xml:space="preserve"> arvutada välja piirkonna Defert'i indeks</w:t>
      </w:r>
      <w:r w:rsidR="00596A74" w:rsidRPr="1C92C443">
        <w:rPr>
          <w:rFonts w:eastAsiaTheme="minorEastAsia"/>
        </w:rPr>
        <w:t>i</w:t>
      </w:r>
      <w:r w:rsidR="39E3A555" w:rsidRPr="1C92C443">
        <w:rPr>
          <w:rFonts w:eastAsiaTheme="minorEastAsia"/>
        </w:rPr>
        <w:t>,</w:t>
      </w:r>
      <w:r w:rsidRPr="1C92C443">
        <w:rPr>
          <w:rFonts w:eastAsiaTheme="minorEastAsia"/>
        </w:rPr>
        <w:t xml:space="preserve"> </w:t>
      </w:r>
      <w:r w:rsidR="00596A74" w:rsidRPr="1C92C443">
        <w:rPr>
          <w:rFonts w:eastAsiaTheme="minorEastAsia"/>
        </w:rPr>
        <w:t xml:space="preserve">mis näitab </w:t>
      </w:r>
      <w:r w:rsidRPr="1C92C443">
        <w:rPr>
          <w:rFonts w:eastAsiaTheme="minorEastAsia"/>
        </w:rPr>
        <w:t xml:space="preserve">lühiajalise üüriteenuse </w:t>
      </w:r>
      <w:r w:rsidR="701BD83E" w:rsidRPr="701BD83E">
        <w:rPr>
          <w:rFonts w:eastAsiaTheme="minorEastAsia"/>
        </w:rPr>
        <w:t>voodikohtade</w:t>
      </w:r>
      <w:r w:rsidRPr="1C92C443">
        <w:rPr>
          <w:rFonts w:eastAsiaTheme="minorEastAsia"/>
        </w:rPr>
        <w:t xml:space="preserve"> </w:t>
      </w:r>
      <w:r w:rsidR="002349CE" w:rsidRPr="1C92C443">
        <w:rPr>
          <w:rFonts w:eastAsiaTheme="minorEastAsia"/>
        </w:rPr>
        <w:t>arv</w:t>
      </w:r>
      <w:r w:rsidR="00596A74" w:rsidRPr="1C92C443">
        <w:rPr>
          <w:rFonts w:eastAsiaTheme="minorEastAsia"/>
        </w:rPr>
        <w:t>u suhet</w:t>
      </w:r>
      <w:r w:rsidR="002349CE" w:rsidRPr="1C92C443">
        <w:rPr>
          <w:rFonts w:eastAsiaTheme="minorEastAsia"/>
        </w:rPr>
        <w:t xml:space="preserve"> püsielanike </w:t>
      </w:r>
      <w:r w:rsidRPr="1C92C443">
        <w:rPr>
          <w:rFonts w:eastAsiaTheme="minorEastAsia"/>
        </w:rPr>
        <w:t>arvu</w:t>
      </w:r>
      <w:r w:rsidR="701BD83E" w:rsidRPr="701BD83E">
        <w:rPr>
          <w:rFonts w:eastAsiaTheme="minorEastAsia"/>
        </w:rPr>
        <w:t>.</w:t>
      </w:r>
      <w:r w:rsidR="471387C4" w:rsidRPr="1C92C443">
        <w:rPr>
          <w:rFonts w:eastAsiaTheme="minorEastAsia"/>
        </w:rPr>
        <w:t xml:space="preserve"> </w:t>
      </w:r>
      <w:r w:rsidR="618EC191" w:rsidRPr="1C92C443">
        <w:rPr>
          <w:rFonts w:eastAsiaTheme="minorEastAsia"/>
        </w:rPr>
        <w:t xml:space="preserve">Nt Tallinna </w:t>
      </w:r>
      <w:r w:rsidR="008A4ED2" w:rsidRPr="1C92C443">
        <w:rPr>
          <w:rFonts w:eastAsiaTheme="minorEastAsia"/>
        </w:rPr>
        <w:t>v</w:t>
      </w:r>
      <w:r w:rsidR="618EC191" w:rsidRPr="1C92C443">
        <w:rPr>
          <w:rFonts w:eastAsiaTheme="minorEastAsia"/>
        </w:rPr>
        <w:t xml:space="preserve">analinna puhul on tegemist Deferti indeksi </w:t>
      </w:r>
      <w:r w:rsidR="5818146C" w:rsidRPr="1C92C443">
        <w:rPr>
          <w:rFonts w:eastAsiaTheme="minorEastAsia"/>
        </w:rPr>
        <w:t xml:space="preserve">väärtusega </w:t>
      </w:r>
      <w:r w:rsidR="2E4CC84F" w:rsidRPr="1C92C443">
        <w:rPr>
          <w:rFonts w:eastAsiaTheme="minorEastAsia"/>
        </w:rPr>
        <w:t xml:space="preserve">139, mis tähendab väga </w:t>
      </w:r>
      <w:r w:rsidR="5C2115AA" w:rsidRPr="1C92C443">
        <w:rPr>
          <w:rFonts w:eastAsiaTheme="minorEastAsia"/>
        </w:rPr>
        <w:t xml:space="preserve">kõrget </w:t>
      </w:r>
      <w:r w:rsidR="02B21A66" w:rsidRPr="1C92C443">
        <w:rPr>
          <w:rFonts w:eastAsiaTheme="minorEastAsia"/>
        </w:rPr>
        <w:t>lühiajalise üüriteenuse intensiivsusastet.</w:t>
      </w:r>
    </w:p>
    <w:p w14:paraId="0B364D9F" w14:textId="5B1CC244" w:rsidR="6C8925FD" w:rsidRPr="00E14EBC" w:rsidRDefault="6B68F418" w:rsidP="288A3578">
      <w:pPr>
        <w:spacing w:before="0" w:line="257" w:lineRule="auto"/>
        <w:jc w:val="both"/>
        <w:rPr>
          <w:rFonts w:eastAsiaTheme="minorEastAsia"/>
        </w:rPr>
      </w:pPr>
      <w:r w:rsidRPr="288A3578">
        <w:rPr>
          <w:rFonts w:eastAsiaTheme="minorEastAsia"/>
        </w:rPr>
        <w:t xml:space="preserve">Majutusturu fookuse puhul </w:t>
      </w:r>
      <w:r w:rsidR="008638CB">
        <w:rPr>
          <w:rFonts w:eastAsiaTheme="minorEastAsia"/>
        </w:rPr>
        <w:t>võiks</w:t>
      </w:r>
      <w:r w:rsidR="008638CB" w:rsidRPr="288A3578">
        <w:rPr>
          <w:rFonts w:eastAsiaTheme="minorEastAsia"/>
        </w:rPr>
        <w:t xml:space="preserve"> </w:t>
      </w:r>
      <w:r w:rsidRPr="288A3578">
        <w:rPr>
          <w:rFonts w:eastAsiaTheme="minorEastAsia"/>
        </w:rPr>
        <w:t xml:space="preserve">ennekõike </w:t>
      </w:r>
      <w:r w:rsidR="008638CB" w:rsidRPr="288A3578">
        <w:rPr>
          <w:rFonts w:eastAsiaTheme="minorEastAsia"/>
        </w:rPr>
        <w:t>võr</w:t>
      </w:r>
      <w:r w:rsidR="008638CB">
        <w:rPr>
          <w:rFonts w:eastAsiaTheme="minorEastAsia"/>
        </w:rPr>
        <w:t>relda</w:t>
      </w:r>
      <w:r w:rsidR="008638CB" w:rsidRPr="288A3578">
        <w:rPr>
          <w:rFonts w:eastAsiaTheme="minorEastAsia"/>
        </w:rPr>
        <w:t xml:space="preserve"> </w:t>
      </w:r>
      <w:r w:rsidRPr="288A3578">
        <w:rPr>
          <w:rFonts w:eastAsiaTheme="minorEastAsia"/>
        </w:rPr>
        <w:t>lühiajalise üüriteenuste majutuskohtade mahutavus</w:t>
      </w:r>
      <w:r w:rsidR="00D75224">
        <w:rPr>
          <w:rFonts w:eastAsiaTheme="minorEastAsia"/>
        </w:rPr>
        <w:t xml:space="preserve">e suhet </w:t>
      </w:r>
      <w:r w:rsidR="00BC3CF6">
        <w:rPr>
          <w:rFonts w:eastAsiaTheme="minorEastAsia"/>
        </w:rPr>
        <w:t>traditsioonilise majutusteenuse mahutavusse.</w:t>
      </w:r>
      <w:r w:rsidRPr="288A3578">
        <w:rPr>
          <w:rFonts w:eastAsiaTheme="minorEastAsia"/>
        </w:rPr>
        <w:t xml:space="preserve"> </w:t>
      </w:r>
      <w:r w:rsidR="00B46022">
        <w:rPr>
          <w:rFonts w:eastAsiaTheme="minorEastAsia"/>
        </w:rPr>
        <w:t xml:space="preserve">See </w:t>
      </w:r>
      <w:r w:rsidR="00DA270E">
        <w:rPr>
          <w:rFonts w:eastAsiaTheme="minorEastAsia"/>
        </w:rPr>
        <w:t xml:space="preserve">võimaldaks seirata lühiajalise üürimise levikut </w:t>
      </w:r>
      <w:r w:rsidR="00C919D4">
        <w:rPr>
          <w:rFonts w:eastAsiaTheme="minorEastAsia"/>
        </w:rPr>
        <w:t xml:space="preserve">kogu majutusturuga võrreldes. </w:t>
      </w:r>
    </w:p>
    <w:p w14:paraId="0E45D365" w14:textId="7AF2DCDB" w:rsidR="6C8925FD" w:rsidRDefault="00C75A9B" w:rsidP="6C8925FD">
      <w:pPr>
        <w:spacing w:before="0" w:line="257" w:lineRule="auto"/>
        <w:jc w:val="both"/>
        <w:rPr>
          <w:rFonts w:eastAsiaTheme="minorEastAsia"/>
        </w:rPr>
      </w:pPr>
      <w:r>
        <w:rPr>
          <w:rFonts w:eastAsiaTheme="minorEastAsia"/>
          <w:b/>
          <w:bCs/>
        </w:rPr>
        <w:t>Parima lahendusena soovitame</w:t>
      </w:r>
      <w:r w:rsidR="6C8925FD" w:rsidRPr="00E14EBC">
        <w:rPr>
          <w:rFonts w:eastAsiaTheme="minorEastAsia"/>
          <w:b/>
          <w:bCs/>
        </w:rPr>
        <w:t xml:space="preserve"> avaliku ja erasektori kogutavate andmete kombineerimist vastavalt fookusele ja arvestades andmete hankimise kulusid</w:t>
      </w:r>
      <w:r w:rsidR="6C8925FD" w:rsidRPr="00E14EBC">
        <w:rPr>
          <w:rFonts w:eastAsiaTheme="minorEastAsia"/>
        </w:rPr>
        <w:t xml:space="preserve">. Avaliku sektori kogutud nõudluse andmed on </w:t>
      </w:r>
      <w:r w:rsidR="47F9BD1E" w:rsidRPr="00E14EBC">
        <w:rPr>
          <w:rFonts w:eastAsiaTheme="minorEastAsia"/>
        </w:rPr>
        <w:t xml:space="preserve">nii andmekoosseisu kui </w:t>
      </w:r>
      <w:r w:rsidR="0BC90D05" w:rsidRPr="00E14EBC">
        <w:rPr>
          <w:rFonts w:eastAsiaTheme="minorEastAsia"/>
        </w:rPr>
        <w:t>kulude poolest kättesaadavad</w:t>
      </w:r>
      <w:r w:rsidR="6C8925FD" w:rsidRPr="00E14EBC">
        <w:rPr>
          <w:rFonts w:eastAsiaTheme="minorEastAsia"/>
        </w:rPr>
        <w:t xml:space="preserve"> andmepäringutega</w:t>
      </w:r>
      <w:r w:rsidR="0055425E">
        <w:rPr>
          <w:rFonts w:eastAsiaTheme="minorEastAsia"/>
        </w:rPr>
        <w:t xml:space="preserve"> ning meie hinnangul ka kõige usaldusväärsemad</w:t>
      </w:r>
      <w:r w:rsidR="6C8925FD" w:rsidRPr="00E14EBC">
        <w:rPr>
          <w:rFonts w:eastAsiaTheme="minorEastAsia"/>
        </w:rPr>
        <w:t xml:space="preserve">. </w:t>
      </w:r>
      <w:r w:rsidR="007B03C0">
        <w:rPr>
          <w:rFonts w:eastAsiaTheme="minorEastAsia"/>
        </w:rPr>
        <w:t>Samas teatud ulatuses saab p</w:t>
      </w:r>
      <w:r w:rsidR="6C8925FD" w:rsidRPr="00E14EBC">
        <w:rPr>
          <w:rFonts w:eastAsiaTheme="minorEastAsia"/>
        </w:rPr>
        <w:t>akkumise andmeid ja analüüse (juhul, kui ei looda mingis vormis majutusteenuste registrit</w:t>
      </w:r>
      <w:r w:rsidR="6E81FB8D" w:rsidRPr="00E14EBC">
        <w:rPr>
          <w:rFonts w:eastAsiaTheme="minorEastAsia"/>
        </w:rPr>
        <w:t xml:space="preserve"> </w:t>
      </w:r>
      <w:r w:rsidR="072C0821" w:rsidRPr="00E14EBC">
        <w:rPr>
          <w:rFonts w:eastAsiaTheme="minorEastAsia"/>
        </w:rPr>
        <w:t>või andmekogu</w:t>
      </w:r>
      <w:r w:rsidR="6C8925FD" w:rsidRPr="00E14EBC">
        <w:rPr>
          <w:rFonts w:eastAsiaTheme="minorEastAsia"/>
        </w:rPr>
        <w:t xml:space="preserve">) </w:t>
      </w:r>
      <w:r w:rsidR="007B03C0">
        <w:rPr>
          <w:rFonts w:eastAsiaTheme="minorEastAsia"/>
        </w:rPr>
        <w:lastRenderedPageBreak/>
        <w:t xml:space="preserve">suhteliselt </w:t>
      </w:r>
      <w:r w:rsidR="6C8925FD" w:rsidRPr="00E14EBC">
        <w:rPr>
          <w:rFonts w:eastAsiaTheme="minorEastAsia"/>
        </w:rPr>
        <w:t>kuluefektiivselt tellida eraettevõtetelt.</w:t>
      </w:r>
      <w:r w:rsidR="006A62D8">
        <w:rPr>
          <w:rFonts w:eastAsiaTheme="minorEastAsia"/>
        </w:rPr>
        <w:t xml:space="preserve"> Lühiajalise üüri turu analüüsimiseks soovitame </w:t>
      </w:r>
      <w:r w:rsidR="00ED2D7B">
        <w:rPr>
          <w:rFonts w:eastAsiaTheme="minorEastAsia"/>
        </w:rPr>
        <w:t>kasutada uuringu käigus välja töötatud digitaalse tööriista kontseptsiooni.</w:t>
      </w:r>
    </w:p>
    <w:p w14:paraId="1D7999E4" w14:textId="5F31E59E" w:rsidR="6C8925FD" w:rsidRPr="006F0232" w:rsidRDefault="6D725D02" w:rsidP="6C8925FD">
      <w:pPr>
        <w:spacing w:before="0" w:line="257" w:lineRule="auto"/>
        <w:jc w:val="both"/>
        <w:rPr>
          <w:rStyle w:val="PurpleText"/>
        </w:rPr>
      </w:pPr>
      <w:r w:rsidRPr="006F0232">
        <w:rPr>
          <w:rStyle w:val="PurpleText"/>
        </w:rPr>
        <w:t>Andmevaldkonna võimalikud arengud</w:t>
      </w:r>
    </w:p>
    <w:p w14:paraId="2CCFA002" w14:textId="12ABF037" w:rsidR="6C8925FD" w:rsidRPr="00E14EBC" w:rsidRDefault="00852B76" w:rsidP="6C8925FD">
      <w:pPr>
        <w:spacing w:before="0" w:line="257" w:lineRule="auto"/>
        <w:jc w:val="both"/>
        <w:rPr>
          <w:rFonts w:eastAsiaTheme="minorEastAsia"/>
        </w:rPr>
      </w:pPr>
      <w:r>
        <w:rPr>
          <w:rFonts w:eastAsiaTheme="minorEastAsia"/>
        </w:rPr>
        <w:t>Üsna realistlik on oodata, et</w:t>
      </w:r>
      <w:r w:rsidR="6C8925FD" w:rsidRPr="00E14EBC">
        <w:rPr>
          <w:rFonts w:eastAsiaTheme="minorEastAsia"/>
        </w:rPr>
        <w:t xml:space="preserve"> Eurostat hakkab lähiaastatel</w:t>
      </w:r>
      <w:r>
        <w:rPr>
          <w:rFonts w:eastAsiaTheme="minorEastAsia"/>
        </w:rPr>
        <w:t xml:space="preserve"> sarnaselt nõudluse andmetele</w:t>
      </w:r>
      <w:r w:rsidR="6C8925FD" w:rsidRPr="00E14EBC">
        <w:rPr>
          <w:rFonts w:eastAsiaTheme="minorEastAsia"/>
        </w:rPr>
        <w:t xml:space="preserve"> avaldama andmeid ka pakkumise kohta</w:t>
      </w:r>
      <w:r w:rsidR="2E141439" w:rsidRPr="00E14EBC">
        <w:rPr>
          <w:rFonts w:eastAsiaTheme="minorEastAsia"/>
        </w:rPr>
        <w:t xml:space="preserve">, mis on seni kõige </w:t>
      </w:r>
      <w:r w:rsidR="582701D4" w:rsidRPr="00E14EBC">
        <w:rPr>
          <w:rFonts w:eastAsiaTheme="minorEastAsia"/>
        </w:rPr>
        <w:t xml:space="preserve">väiksema usaldusväärsusega </w:t>
      </w:r>
      <w:r w:rsidR="50914AFA" w:rsidRPr="00E14EBC">
        <w:rPr>
          <w:rFonts w:eastAsiaTheme="minorEastAsia"/>
        </w:rPr>
        <w:t>andmevaldkond</w:t>
      </w:r>
      <w:r w:rsidR="2E141439" w:rsidRPr="00E14EBC">
        <w:rPr>
          <w:rFonts w:eastAsiaTheme="minorEastAsia"/>
        </w:rPr>
        <w:t>.</w:t>
      </w:r>
      <w:r>
        <w:rPr>
          <w:rFonts w:eastAsiaTheme="minorEastAsia"/>
        </w:rPr>
        <w:t xml:space="preserve"> </w:t>
      </w:r>
      <w:r w:rsidR="004874D3">
        <w:rPr>
          <w:rFonts w:eastAsiaTheme="minorEastAsia"/>
        </w:rPr>
        <w:t xml:space="preserve">Arvestades tehisintellekti </w:t>
      </w:r>
      <w:r w:rsidR="002D38B9">
        <w:rPr>
          <w:rFonts w:eastAsiaTheme="minorEastAsia"/>
        </w:rPr>
        <w:t xml:space="preserve">hüppelist </w:t>
      </w:r>
      <w:r w:rsidR="004874D3">
        <w:rPr>
          <w:rFonts w:eastAsiaTheme="minorEastAsia"/>
        </w:rPr>
        <w:t xml:space="preserve">arengut </w:t>
      </w:r>
      <w:r w:rsidR="002D38B9">
        <w:rPr>
          <w:rFonts w:eastAsiaTheme="minorEastAsia"/>
        </w:rPr>
        <w:t>ja selle lai</w:t>
      </w:r>
      <w:r w:rsidR="004E2BE4">
        <w:rPr>
          <w:rFonts w:eastAsiaTheme="minorEastAsia"/>
        </w:rPr>
        <w:t xml:space="preserve">aldast ligipääsetavust </w:t>
      </w:r>
      <w:r w:rsidR="002D38B9">
        <w:rPr>
          <w:rFonts w:eastAsiaTheme="minorEastAsia"/>
        </w:rPr>
        <w:t>viimastel aastatel</w:t>
      </w:r>
      <w:r w:rsidR="004E2BE4">
        <w:rPr>
          <w:rFonts w:eastAsiaTheme="minorEastAsia"/>
        </w:rPr>
        <w:t>, siis e</w:t>
      </w:r>
      <w:r w:rsidR="3D607F6F" w:rsidRPr="00E14EBC">
        <w:rPr>
          <w:rFonts w:eastAsiaTheme="minorEastAsia"/>
        </w:rPr>
        <w:t xml:space="preserve">eldame, et </w:t>
      </w:r>
      <w:r w:rsidR="003D4C65">
        <w:rPr>
          <w:rFonts w:eastAsiaTheme="minorEastAsia"/>
        </w:rPr>
        <w:t xml:space="preserve">ka </w:t>
      </w:r>
      <w:r w:rsidR="3D607F6F" w:rsidRPr="00E14EBC">
        <w:rPr>
          <w:rFonts w:eastAsiaTheme="minorEastAsia"/>
        </w:rPr>
        <w:t>andmekraapimise</w:t>
      </w:r>
      <w:r w:rsidR="6C8925FD" w:rsidRPr="00E14EBC">
        <w:rPr>
          <w:rFonts w:eastAsiaTheme="minorEastAsia"/>
        </w:rPr>
        <w:t xml:space="preserve"> tööriistad muutuvad lihtsamaks ja kättesaadavamaks (samas võivad ka platvormid leida </w:t>
      </w:r>
      <w:r w:rsidR="1647A5CD" w:rsidRPr="00E14EBC">
        <w:rPr>
          <w:rFonts w:eastAsiaTheme="minorEastAsia"/>
        </w:rPr>
        <w:t>uusi võimalusi</w:t>
      </w:r>
      <w:r w:rsidR="6C8925FD" w:rsidRPr="00E14EBC">
        <w:rPr>
          <w:rFonts w:eastAsiaTheme="minorEastAsia"/>
        </w:rPr>
        <w:t xml:space="preserve"> andmekraapimise raskendamiseks või vältimiseks).</w:t>
      </w:r>
    </w:p>
    <w:p w14:paraId="04C8D15C" w14:textId="1BA22377" w:rsidR="6C8925FD" w:rsidRPr="00E14EBC" w:rsidRDefault="003D4C65" w:rsidP="6C8925FD">
      <w:pPr>
        <w:spacing w:before="0" w:line="257" w:lineRule="auto"/>
        <w:jc w:val="both"/>
        <w:rPr>
          <w:rFonts w:eastAsiaTheme="minorEastAsia"/>
        </w:rPr>
      </w:pPr>
      <w:r>
        <w:rPr>
          <w:rFonts w:eastAsiaTheme="minorEastAsia"/>
        </w:rPr>
        <w:t>Samamoodi</w:t>
      </w:r>
      <w:r w:rsidR="003C6470">
        <w:rPr>
          <w:rFonts w:eastAsiaTheme="minorEastAsia"/>
        </w:rPr>
        <w:t xml:space="preserve"> võib paraneda selliste</w:t>
      </w:r>
      <w:r w:rsidR="6C8925FD" w:rsidRPr="00E14EBC">
        <w:rPr>
          <w:rFonts w:eastAsiaTheme="minorEastAsia"/>
        </w:rPr>
        <w:t xml:space="preserve"> </w:t>
      </w:r>
      <w:r w:rsidR="003C6470">
        <w:rPr>
          <w:rFonts w:eastAsiaTheme="minorEastAsia"/>
        </w:rPr>
        <w:t xml:space="preserve">digitaalsete </w:t>
      </w:r>
      <w:r w:rsidR="6C8925FD" w:rsidRPr="00E14EBC">
        <w:rPr>
          <w:rFonts w:eastAsiaTheme="minorEastAsia"/>
        </w:rPr>
        <w:t>tööriistad</w:t>
      </w:r>
      <w:r w:rsidR="003C6470">
        <w:rPr>
          <w:rFonts w:eastAsiaTheme="minorEastAsia"/>
        </w:rPr>
        <w:t>e</w:t>
      </w:r>
      <w:r w:rsidR="6C8925FD" w:rsidRPr="00E14EBC">
        <w:rPr>
          <w:rFonts w:eastAsiaTheme="minorEastAsia"/>
        </w:rPr>
        <w:t xml:space="preserve"> kättesaadav</w:t>
      </w:r>
      <w:r w:rsidR="003C6470">
        <w:rPr>
          <w:rFonts w:eastAsiaTheme="minorEastAsia"/>
        </w:rPr>
        <w:t>us</w:t>
      </w:r>
      <w:r w:rsidR="6C8925FD" w:rsidRPr="00E14EBC">
        <w:rPr>
          <w:rFonts w:eastAsiaTheme="minorEastAsia"/>
        </w:rPr>
        <w:t xml:space="preserve">, mille abil </w:t>
      </w:r>
      <w:r w:rsidR="003C6470">
        <w:rPr>
          <w:rFonts w:eastAsiaTheme="minorEastAsia"/>
        </w:rPr>
        <w:t xml:space="preserve">saab </w:t>
      </w:r>
      <w:r w:rsidR="6C8925FD" w:rsidRPr="00E14EBC">
        <w:rPr>
          <w:rFonts w:eastAsiaTheme="minorEastAsia"/>
        </w:rPr>
        <w:t>otsida ja broneerida sobivaid majutuskohti, mis ei pruugi olla üleval veebiplatvormidel.</w:t>
      </w:r>
      <w:r w:rsidR="00E727FF">
        <w:rPr>
          <w:rFonts w:eastAsiaTheme="minorEastAsia"/>
        </w:rPr>
        <w:t xml:space="preserve"> Samamoodi võib see muuta lihtsamaks KOV-del ja teistel järelevalveasutustel andmete kogumise </w:t>
      </w:r>
      <w:r w:rsidR="701BD83E" w:rsidRPr="701BD83E">
        <w:rPr>
          <w:rFonts w:eastAsiaTheme="minorEastAsia"/>
        </w:rPr>
        <w:t>lühiajalise</w:t>
      </w:r>
      <w:r w:rsidR="00E727FF">
        <w:rPr>
          <w:rFonts w:eastAsiaTheme="minorEastAsia"/>
        </w:rPr>
        <w:t xml:space="preserve"> teenuse pakkujate kohta.</w:t>
      </w:r>
    </w:p>
    <w:p w14:paraId="6C020D01" w14:textId="1732D86D" w:rsidR="615E8789" w:rsidRPr="00E14EBC" w:rsidRDefault="5F4685AC" w:rsidP="1C92C443">
      <w:pPr>
        <w:spacing w:before="0" w:line="257" w:lineRule="auto"/>
        <w:jc w:val="both"/>
        <w:rPr>
          <w:rFonts w:eastAsiaTheme="minorEastAsia"/>
        </w:rPr>
      </w:pPr>
      <w:r w:rsidRPr="1C92C443">
        <w:rPr>
          <w:rFonts w:eastAsiaTheme="minorEastAsia"/>
        </w:rPr>
        <w:t>Tajume, et range</w:t>
      </w:r>
      <w:r w:rsidR="4F14DD47" w:rsidRPr="1C92C443">
        <w:rPr>
          <w:rFonts w:eastAsiaTheme="minorEastAsia"/>
        </w:rPr>
        <w:t xml:space="preserve"> reguleerimise korral on </w:t>
      </w:r>
      <w:r w:rsidRPr="1C92C443">
        <w:rPr>
          <w:rFonts w:eastAsiaTheme="minorEastAsia"/>
        </w:rPr>
        <w:t xml:space="preserve">tõsine </w:t>
      </w:r>
      <w:r w:rsidR="4F14DD47" w:rsidRPr="1C92C443">
        <w:rPr>
          <w:rFonts w:eastAsiaTheme="minorEastAsia"/>
        </w:rPr>
        <w:t xml:space="preserve">oht, et majutuskohad liiguvad platvormidelt muudesse (mitte küll ehk sama mugavatesse) kanalitesse (ühismeedia grupid, oma koduleht), mille tagajärjel väheneb oluliselt platvormidelt saadavate andmete ülevaatlikkus. Väiksema pakkumise mahuga piirkondades </w:t>
      </w:r>
      <w:r w:rsidRPr="1C92C443">
        <w:rPr>
          <w:rFonts w:eastAsiaTheme="minorEastAsia"/>
        </w:rPr>
        <w:t>oleme</w:t>
      </w:r>
      <w:r w:rsidR="001B4FAF" w:rsidRPr="1C92C443">
        <w:rPr>
          <w:rFonts w:eastAsiaTheme="minorEastAsia"/>
        </w:rPr>
        <w:t xml:space="preserve"> platvormide </w:t>
      </w:r>
      <w:r w:rsidR="00A1100F" w:rsidRPr="1C92C443">
        <w:rPr>
          <w:rFonts w:eastAsiaTheme="minorEastAsia"/>
        </w:rPr>
        <w:t>andmeid analüüsides mõningaid</w:t>
      </w:r>
      <w:r w:rsidRPr="1C92C443">
        <w:rPr>
          <w:rFonts w:eastAsiaTheme="minorEastAsia"/>
        </w:rPr>
        <w:t xml:space="preserve"> </w:t>
      </w:r>
      <w:r w:rsidR="0064597B" w:rsidRPr="1C92C443">
        <w:rPr>
          <w:rFonts w:eastAsiaTheme="minorEastAsia"/>
        </w:rPr>
        <w:t xml:space="preserve">märke </w:t>
      </w:r>
      <w:r w:rsidRPr="1C92C443">
        <w:rPr>
          <w:rFonts w:eastAsiaTheme="minorEastAsia"/>
        </w:rPr>
        <w:t>sellis</w:t>
      </w:r>
      <w:r w:rsidR="0064597B" w:rsidRPr="1C92C443">
        <w:rPr>
          <w:rFonts w:eastAsiaTheme="minorEastAsia"/>
        </w:rPr>
        <w:t>es</w:t>
      </w:r>
      <w:r w:rsidRPr="1C92C443">
        <w:rPr>
          <w:rFonts w:eastAsiaTheme="minorEastAsia"/>
        </w:rPr>
        <w:t>t suundumus</w:t>
      </w:r>
      <w:r w:rsidR="0064597B" w:rsidRPr="1C92C443">
        <w:rPr>
          <w:rFonts w:eastAsiaTheme="minorEastAsia"/>
        </w:rPr>
        <w:t>es</w:t>
      </w:r>
      <w:r w:rsidRPr="1C92C443">
        <w:rPr>
          <w:rFonts w:eastAsiaTheme="minorEastAsia"/>
        </w:rPr>
        <w:t>t ka</w:t>
      </w:r>
      <w:r w:rsidR="4F14DD47" w:rsidRPr="1C92C443">
        <w:rPr>
          <w:rFonts w:eastAsiaTheme="minorEastAsia"/>
        </w:rPr>
        <w:t xml:space="preserve"> Eestis juba </w:t>
      </w:r>
      <w:r w:rsidRPr="1C92C443">
        <w:rPr>
          <w:rFonts w:eastAsiaTheme="minorEastAsia"/>
        </w:rPr>
        <w:t>märganud</w:t>
      </w:r>
      <w:r w:rsidR="4F14DD47" w:rsidRPr="1C92C443">
        <w:rPr>
          <w:rFonts w:eastAsiaTheme="minorEastAsia"/>
        </w:rPr>
        <w:t>.</w:t>
      </w:r>
      <w:r w:rsidR="0021761C" w:rsidRPr="1C92C443">
        <w:rPr>
          <w:rFonts w:eastAsiaTheme="minorEastAsia"/>
        </w:rPr>
        <w:t xml:space="preserve"> </w:t>
      </w:r>
      <w:r w:rsidR="008E0D69" w:rsidRPr="1C92C443">
        <w:rPr>
          <w:rFonts w:eastAsiaTheme="minorEastAsia"/>
        </w:rPr>
        <w:t xml:space="preserve">Siin võib spekuleerida erinevate põhjuste üle. Näiteks kui teenuse pakkujad tajuvad, et </w:t>
      </w:r>
      <w:r w:rsidR="000534AC" w:rsidRPr="1C92C443">
        <w:rPr>
          <w:rFonts w:eastAsiaTheme="minorEastAsia"/>
        </w:rPr>
        <w:t xml:space="preserve">paljud </w:t>
      </w:r>
      <w:r w:rsidR="008E0D69" w:rsidRPr="1C92C443">
        <w:rPr>
          <w:rFonts w:eastAsiaTheme="minorEastAsia"/>
        </w:rPr>
        <w:t>kliendid ei ole leidnud neid platvormide</w:t>
      </w:r>
      <w:r w:rsidR="003415E1" w:rsidRPr="1C92C443">
        <w:rPr>
          <w:rFonts w:eastAsiaTheme="minorEastAsia"/>
        </w:rPr>
        <w:t xml:space="preserve"> kaudu, võivad nad nende kasutamisest loobuda kulude kokkuhoidmis</w:t>
      </w:r>
      <w:r w:rsidR="00FF60E6" w:rsidRPr="1C92C443">
        <w:rPr>
          <w:rFonts w:eastAsiaTheme="minorEastAsia"/>
        </w:rPr>
        <w:t>e või tulude varjamise</w:t>
      </w:r>
      <w:r w:rsidR="0CF7ADF4" w:rsidRPr="1C92C443">
        <w:rPr>
          <w:rFonts w:eastAsiaTheme="minorEastAsia"/>
        </w:rPr>
        <w:t xml:space="preserve"> eesmärgil</w:t>
      </w:r>
      <w:r w:rsidR="003415E1" w:rsidRPr="1C92C443">
        <w:rPr>
          <w:rFonts w:eastAsiaTheme="minorEastAsia"/>
        </w:rPr>
        <w:t>.</w:t>
      </w:r>
      <w:r w:rsidR="008E0D69" w:rsidRPr="1C92C443">
        <w:rPr>
          <w:rFonts w:eastAsiaTheme="minorEastAsia"/>
        </w:rPr>
        <w:t xml:space="preserve"> </w:t>
      </w:r>
      <w:r w:rsidR="003415E1" w:rsidRPr="1C92C443">
        <w:rPr>
          <w:rFonts w:eastAsiaTheme="minorEastAsia"/>
        </w:rPr>
        <w:t>Lisaks, k</w:t>
      </w:r>
      <w:r w:rsidR="00C72C95" w:rsidRPr="1C92C443">
        <w:rPr>
          <w:rFonts w:eastAsiaTheme="minorEastAsia"/>
        </w:rPr>
        <w:t>una väiksemates kohtades o</w:t>
      </w:r>
      <w:r w:rsidR="00B95819" w:rsidRPr="1C92C443">
        <w:rPr>
          <w:rFonts w:eastAsiaTheme="minorEastAsia"/>
        </w:rPr>
        <w:t xml:space="preserve">n valikuvõimalus majutuskoha leidmiseks </w:t>
      </w:r>
      <w:r w:rsidR="000534AC" w:rsidRPr="1C92C443">
        <w:rPr>
          <w:rFonts w:eastAsiaTheme="minorEastAsia"/>
        </w:rPr>
        <w:t>samuti</w:t>
      </w:r>
      <w:r w:rsidR="00B95819" w:rsidRPr="1C92C443">
        <w:rPr>
          <w:rFonts w:eastAsiaTheme="minorEastAsia"/>
        </w:rPr>
        <w:t xml:space="preserve"> väiksem, </w:t>
      </w:r>
      <w:r w:rsidR="000534AC" w:rsidRPr="1C92C443">
        <w:rPr>
          <w:rFonts w:eastAsiaTheme="minorEastAsia"/>
        </w:rPr>
        <w:t xml:space="preserve">on </w:t>
      </w:r>
      <w:r w:rsidR="008E0D69" w:rsidRPr="1C92C443">
        <w:rPr>
          <w:rFonts w:eastAsiaTheme="minorEastAsia"/>
        </w:rPr>
        <w:t xml:space="preserve">nende nähtavus ka ilma platvormi abita </w:t>
      </w:r>
      <w:r w:rsidR="000534AC" w:rsidRPr="1C92C443">
        <w:rPr>
          <w:rFonts w:eastAsiaTheme="minorEastAsia"/>
        </w:rPr>
        <w:t>piisav</w:t>
      </w:r>
      <w:r w:rsidR="008E0D69" w:rsidRPr="1C92C443">
        <w:rPr>
          <w:rFonts w:eastAsiaTheme="minorEastAsia"/>
        </w:rPr>
        <w:t>.</w:t>
      </w:r>
      <w:r w:rsidR="00B95819" w:rsidRPr="1C92C443">
        <w:rPr>
          <w:rFonts w:eastAsiaTheme="minorEastAsia"/>
        </w:rPr>
        <w:t xml:space="preserve"> </w:t>
      </w:r>
      <w:r w:rsidR="0021761C" w:rsidRPr="1C92C443">
        <w:rPr>
          <w:rFonts w:eastAsiaTheme="minorEastAsia"/>
        </w:rPr>
        <w:t xml:space="preserve">Samas </w:t>
      </w:r>
      <w:r w:rsidR="00024E71" w:rsidRPr="1C92C443">
        <w:rPr>
          <w:rFonts w:eastAsiaTheme="minorEastAsia"/>
        </w:rPr>
        <w:t>andmekogumise ja -töötluse kiire võimekuse kasv, nt tehisintellekti abiga</w:t>
      </w:r>
      <w:r w:rsidR="00FD345E" w:rsidRPr="1C92C443">
        <w:rPr>
          <w:rFonts w:eastAsiaTheme="minorEastAsia"/>
        </w:rPr>
        <w:t>,</w:t>
      </w:r>
      <w:r w:rsidR="00024E71" w:rsidRPr="1C92C443">
        <w:rPr>
          <w:rFonts w:eastAsiaTheme="minorEastAsia"/>
        </w:rPr>
        <w:t xml:space="preserve"> võimalda</w:t>
      </w:r>
      <w:r w:rsidR="00FD345E" w:rsidRPr="1C92C443">
        <w:rPr>
          <w:rFonts w:eastAsiaTheme="minorEastAsia"/>
        </w:rPr>
        <w:t>ks teenuse pakkujate teistesse platvormivälistesse keskkondadesse liikumisega kaasnevaid</w:t>
      </w:r>
      <w:r w:rsidR="00024E71" w:rsidRPr="1C92C443">
        <w:rPr>
          <w:rFonts w:eastAsiaTheme="minorEastAsia"/>
        </w:rPr>
        <w:t xml:space="preserve"> probleem</w:t>
      </w:r>
      <w:r w:rsidR="00FD345E" w:rsidRPr="1C92C443">
        <w:rPr>
          <w:rFonts w:eastAsiaTheme="minorEastAsia"/>
        </w:rPr>
        <w:t>e edukalt</w:t>
      </w:r>
      <w:r w:rsidR="00024E71" w:rsidRPr="1C92C443">
        <w:rPr>
          <w:rFonts w:eastAsiaTheme="minorEastAsia"/>
        </w:rPr>
        <w:t xml:space="preserve"> ületada</w:t>
      </w:r>
      <w:r w:rsidR="00556E85" w:rsidRPr="1C92C443">
        <w:rPr>
          <w:rFonts w:eastAsiaTheme="minorEastAsia"/>
        </w:rPr>
        <w:t>.</w:t>
      </w:r>
    </w:p>
    <w:p w14:paraId="3DF4EF09" w14:textId="461F4580" w:rsidR="6C8925FD" w:rsidRPr="006F0232" w:rsidRDefault="6C8925FD" w:rsidP="6C8925FD">
      <w:pPr>
        <w:spacing w:before="0" w:line="257" w:lineRule="auto"/>
        <w:jc w:val="both"/>
        <w:rPr>
          <w:rStyle w:val="PurpleText"/>
        </w:rPr>
      </w:pPr>
      <w:r w:rsidRPr="006F0232">
        <w:rPr>
          <w:rStyle w:val="PurpleText"/>
        </w:rPr>
        <w:t>DAC7</w:t>
      </w:r>
      <w:r w:rsidR="06D67D0E" w:rsidRPr="006F0232">
        <w:rPr>
          <w:rStyle w:val="PurpleText"/>
        </w:rPr>
        <w:t xml:space="preserve">, </w:t>
      </w:r>
      <w:r w:rsidR="1F772035" w:rsidRPr="006F0232">
        <w:rPr>
          <w:rStyle w:val="PurpleText"/>
        </w:rPr>
        <w:t>EL määrus 2024/1028</w:t>
      </w:r>
      <w:r w:rsidRPr="006F0232">
        <w:rPr>
          <w:rStyle w:val="PurpleText"/>
        </w:rPr>
        <w:t xml:space="preserve"> ja Eurostati eksperimentaalstatistika</w:t>
      </w:r>
    </w:p>
    <w:p w14:paraId="43CB4090" w14:textId="1C675D05" w:rsidR="6C8925FD" w:rsidRPr="00E14EBC" w:rsidRDefault="6C8925FD" w:rsidP="1C92C443">
      <w:pPr>
        <w:spacing w:before="0" w:line="257" w:lineRule="auto"/>
        <w:jc w:val="both"/>
        <w:rPr>
          <w:rFonts w:eastAsiaTheme="minorEastAsia"/>
        </w:rPr>
      </w:pPr>
      <w:r w:rsidRPr="1C92C443">
        <w:rPr>
          <w:rFonts w:eastAsiaTheme="minorEastAsia"/>
        </w:rPr>
        <w:t>DAC7 alusel</w:t>
      </w:r>
      <w:r w:rsidR="5AC34D21" w:rsidRPr="1C92C443">
        <w:rPr>
          <w:rFonts w:eastAsiaTheme="minorEastAsia"/>
        </w:rPr>
        <w:t xml:space="preserve"> platvormide poolt</w:t>
      </w:r>
      <w:r w:rsidRPr="1C92C443">
        <w:rPr>
          <w:rFonts w:eastAsiaTheme="minorEastAsia"/>
        </w:rPr>
        <w:t xml:space="preserve"> </w:t>
      </w:r>
      <w:r w:rsidR="2DD20E81" w:rsidRPr="1C92C443">
        <w:rPr>
          <w:rFonts w:eastAsiaTheme="minorEastAsia"/>
        </w:rPr>
        <w:t>MTA-le</w:t>
      </w:r>
      <w:r w:rsidRPr="1C92C443">
        <w:rPr>
          <w:rFonts w:eastAsiaTheme="minorEastAsia"/>
        </w:rPr>
        <w:t xml:space="preserve"> edastatavate andmete puhul peab ennekõike arvestama, et need hõlmavad vaid </w:t>
      </w:r>
      <w:r w:rsidRPr="1C92C443">
        <w:rPr>
          <w:rFonts w:eastAsiaTheme="minorEastAsia"/>
          <w:b/>
          <w:bCs/>
        </w:rPr>
        <w:t>majanduslikult aktiivseid kinnistusüksuseid</w:t>
      </w:r>
      <w:r w:rsidRPr="1C92C443">
        <w:rPr>
          <w:rFonts w:eastAsiaTheme="minorEastAsia"/>
        </w:rPr>
        <w:t xml:space="preserve">. </w:t>
      </w:r>
      <w:r w:rsidR="00F77739" w:rsidRPr="1C92C443">
        <w:rPr>
          <w:rFonts w:eastAsiaTheme="minorEastAsia"/>
        </w:rPr>
        <w:t xml:space="preserve">Ühelt poolt näitabki see täpsemini tegelikku </w:t>
      </w:r>
      <w:r w:rsidR="00BE396D" w:rsidRPr="1C92C443">
        <w:rPr>
          <w:rFonts w:eastAsiaTheme="minorEastAsia"/>
        </w:rPr>
        <w:t>majandustegevust sellel turul, kuid ei kajasta turu potentsiaali. Arvestades turu paindlik</w:t>
      </w:r>
      <w:r w:rsidR="580E8777" w:rsidRPr="1C92C443">
        <w:rPr>
          <w:rFonts w:eastAsiaTheme="minorEastAsia"/>
        </w:rPr>
        <w:t>k</w:t>
      </w:r>
      <w:r w:rsidR="00BE396D" w:rsidRPr="1C92C443">
        <w:rPr>
          <w:rFonts w:eastAsiaTheme="minorEastAsia"/>
        </w:rPr>
        <w:t xml:space="preserve">ust ja majanduskeskkonnaga kohanemist, mida näitas pandeemia järgne turu kiire taastumine, võib see turu seiramiseks ja </w:t>
      </w:r>
      <w:r w:rsidR="00DA11A5" w:rsidRPr="1C92C443">
        <w:rPr>
          <w:rFonts w:eastAsiaTheme="minorEastAsia"/>
        </w:rPr>
        <w:t xml:space="preserve">võimalike </w:t>
      </w:r>
      <w:r w:rsidR="00BE396D" w:rsidRPr="1C92C443">
        <w:rPr>
          <w:rFonts w:eastAsiaTheme="minorEastAsia"/>
        </w:rPr>
        <w:t xml:space="preserve">mõjude hindamiseks </w:t>
      </w:r>
      <w:r w:rsidR="00DA11A5" w:rsidRPr="1C92C443">
        <w:rPr>
          <w:rFonts w:eastAsiaTheme="minorEastAsia"/>
        </w:rPr>
        <w:t xml:space="preserve">eriti tuleviku perspektiivis </w:t>
      </w:r>
      <w:r w:rsidR="00BE396D" w:rsidRPr="1C92C443">
        <w:rPr>
          <w:rFonts w:eastAsiaTheme="minorEastAsia"/>
        </w:rPr>
        <w:t>olla samuti oluline.</w:t>
      </w:r>
      <w:r w:rsidR="00F77739" w:rsidRPr="1C92C443">
        <w:rPr>
          <w:rFonts w:eastAsiaTheme="minorEastAsia"/>
        </w:rPr>
        <w:t xml:space="preserve"> </w:t>
      </w:r>
      <w:r w:rsidRPr="1C92C443">
        <w:rPr>
          <w:rFonts w:eastAsiaTheme="minorEastAsia"/>
        </w:rPr>
        <w:t xml:space="preserve">Samuti peab arvestama </w:t>
      </w:r>
      <w:r w:rsidR="6EFE9C5B" w:rsidRPr="1C92C443">
        <w:rPr>
          <w:rFonts w:eastAsiaTheme="minorEastAsia"/>
        </w:rPr>
        <w:t>andmete piiratud jagamisvõimaluste ehk</w:t>
      </w:r>
      <w:r w:rsidRPr="1C92C443">
        <w:rPr>
          <w:rFonts w:eastAsiaTheme="minorEastAsia"/>
        </w:rPr>
        <w:t xml:space="preserve"> </w:t>
      </w:r>
      <w:r w:rsidR="1626C917" w:rsidRPr="1C92C443">
        <w:rPr>
          <w:rFonts w:eastAsiaTheme="minorEastAsia"/>
        </w:rPr>
        <w:t xml:space="preserve">väikese </w:t>
      </w:r>
      <w:r w:rsidR="52A71667" w:rsidRPr="1C92C443">
        <w:rPr>
          <w:rFonts w:eastAsiaTheme="minorEastAsia"/>
        </w:rPr>
        <w:t>arvu kasutajate</w:t>
      </w:r>
      <w:r w:rsidRPr="1C92C443">
        <w:rPr>
          <w:rFonts w:eastAsiaTheme="minorEastAsia"/>
        </w:rPr>
        <w:t xml:space="preserve"> ja kasutusotstarvetega.</w:t>
      </w:r>
    </w:p>
    <w:p w14:paraId="62178E15" w14:textId="69C8825B" w:rsidR="6C8925FD" w:rsidRPr="00E14EBC" w:rsidRDefault="6C8925FD" w:rsidP="6C8925FD">
      <w:pPr>
        <w:spacing w:before="0" w:line="257" w:lineRule="auto"/>
        <w:jc w:val="both"/>
        <w:rPr>
          <w:rFonts w:eastAsiaTheme="minorEastAsia"/>
          <w:highlight w:val="yellow"/>
        </w:rPr>
      </w:pPr>
      <w:r w:rsidRPr="00E14EBC">
        <w:rPr>
          <w:rFonts w:eastAsiaTheme="minorEastAsia"/>
        </w:rPr>
        <w:t xml:space="preserve">Eurostati </w:t>
      </w:r>
      <w:r w:rsidRPr="00E14EBC">
        <w:rPr>
          <w:rFonts w:eastAsiaTheme="minorEastAsia"/>
          <w:b/>
          <w:bCs/>
        </w:rPr>
        <w:t>eksperimentaalstatistika andmed on hetkel saadaval vaid lühiajalise üüriteenuse nõudluse kohta</w:t>
      </w:r>
      <w:r w:rsidRPr="00E14EBC">
        <w:rPr>
          <w:rFonts w:eastAsiaTheme="minorEastAsia"/>
        </w:rPr>
        <w:t xml:space="preserve"> (ja siingi esineb veel nt liigituse </w:t>
      </w:r>
      <w:r w:rsidR="7EEEBDB7" w:rsidRPr="00E14EBC">
        <w:rPr>
          <w:rFonts w:eastAsiaTheme="minorEastAsia"/>
        </w:rPr>
        <w:t xml:space="preserve">jm metoodilisi </w:t>
      </w:r>
      <w:r w:rsidRPr="00E14EBC">
        <w:rPr>
          <w:rFonts w:eastAsiaTheme="minorEastAsia"/>
        </w:rPr>
        <w:t>probleeme). Pakkumise andmestiku töötlemise metoodikat veel täiustatakse</w:t>
      </w:r>
      <w:r w:rsidR="002257B4">
        <w:rPr>
          <w:rFonts w:eastAsiaTheme="minorEastAsia"/>
        </w:rPr>
        <w:t xml:space="preserve"> ja </w:t>
      </w:r>
      <w:r w:rsidR="004F2C2A">
        <w:rPr>
          <w:rFonts w:eastAsiaTheme="minorEastAsia"/>
        </w:rPr>
        <w:t>kui Eurostat jõuab nende avaldamiseni, saab ka neid kasutama hakata.</w:t>
      </w:r>
    </w:p>
    <w:p w14:paraId="3A2A685C" w14:textId="35A8C0AC" w:rsidR="6C8925FD" w:rsidRPr="00E14EBC" w:rsidRDefault="6C8925FD" w:rsidP="288A3578">
      <w:pPr>
        <w:spacing w:before="0" w:line="257" w:lineRule="auto"/>
        <w:jc w:val="both"/>
        <w:rPr>
          <w:rFonts w:eastAsiaTheme="minorEastAsia"/>
        </w:rPr>
      </w:pPr>
      <w:r w:rsidRPr="00E14EBC">
        <w:rPr>
          <w:rFonts w:eastAsiaTheme="minorEastAsia"/>
        </w:rPr>
        <w:t>EL määruse alusel potentsiaalselt loodav lühiajalise majutusteenuse majutuskohtade register</w:t>
      </w:r>
      <w:r w:rsidR="00A838A3">
        <w:rPr>
          <w:rFonts w:eastAsiaTheme="minorEastAsia"/>
        </w:rPr>
        <w:t xml:space="preserve"> (või registrid, kui neid haldavad KOV-d)</w:t>
      </w:r>
      <w:r w:rsidRPr="00E14EBC">
        <w:rPr>
          <w:rFonts w:eastAsiaTheme="minorEastAsia"/>
        </w:rPr>
        <w:t xml:space="preserve"> </w:t>
      </w:r>
      <w:r w:rsidR="00F3399B">
        <w:rPr>
          <w:rFonts w:eastAsiaTheme="minorEastAsia"/>
        </w:rPr>
        <w:t>võiks olla üheks</w:t>
      </w:r>
      <w:r w:rsidRPr="00E14EBC">
        <w:rPr>
          <w:rFonts w:eastAsiaTheme="minorEastAsia"/>
        </w:rPr>
        <w:t xml:space="preserve"> algallika</w:t>
      </w:r>
      <w:r w:rsidR="00F3399B">
        <w:rPr>
          <w:rFonts w:eastAsiaTheme="minorEastAsia"/>
        </w:rPr>
        <w:t>k</w:t>
      </w:r>
      <w:r w:rsidRPr="00E14EBC">
        <w:rPr>
          <w:rFonts w:eastAsiaTheme="minorEastAsia"/>
        </w:rPr>
        <w:t xml:space="preserve">s, mis annaks </w:t>
      </w:r>
      <w:r w:rsidR="25628F05" w:rsidRPr="00E14EBC">
        <w:rPr>
          <w:rFonts w:eastAsiaTheme="minorEastAsia"/>
        </w:rPr>
        <w:t>usaldusväärset</w:t>
      </w:r>
      <w:r w:rsidR="000A2DB1">
        <w:rPr>
          <w:rFonts w:eastAsiaTheme="minorEastAsia"/>
        </w:rPr>
        <w:t>, kuigi mitte</w:t>
      </w:r>
      <w:r w:rsidR="00407879">
        <w:rPr>
          <w:rFonts w:eastAsiaTheme="minorEastAsia"/>
        </w:rPr>
        <w:t xml:space="preserve"> kõike </w:t>
      </w:r>
      <w:r w:rsidR="000A2DB1">
        <w:rPr>
          <w:rFonts w:eastAsiaTheme="minorEastAsia"/>
        </w:rPr>
        <w:t>hõlmavat,</w:t>
      </w:r>
      <w:r w:rsidRPr="00E14EBC">
        <w:rPr>
          <w:rFonts w:eastAsiaTheme="minorEastAsia"/>
        </w:rPr>
        <w:t xml:space="preserve"> infot pakkumisel olevate lühiajalise majutuse üüriteenuse majutuskohtade täpse asukoha ja mahutavuse (maksimaalne majutatavate külaliste arv, voodikohtade arv) kohta. Siinjuures tuleb</w:t>
      </w:r>
      <w:r w:rsidR="18656475" w:rsidRPr="00E14EBC">
        <w:rPr>
          <w:rFonts w:eastAsiaTheme="minorEastAsia"/>
        </w:rPr>
        <w:t xml:space="preserve"> aga</w:t>
      </w:r>
      <w:r w:rsidRPr="00E14EBC">
        <w:rPr>
          <w:rFonts w:eastAsiaTheme="minorEastAsia"/>
        </w:rPr>
        <w:t xml:space="preserve"> arvestada, et registrisse peavad end kandma määruse lühiajalise majutuse üüriteenuse definitsioonile vastavad majutajad, kes tegutsevad veebiplatvormidel. </w:t>
      </w:r>
      <w:r w:rsidR="18656475" w:rsidRPr="00E14EBC">
        <w:rPr>
          <w:rFonts w:eastAsiaTheme="minorEastAsia"/>
        </w:rPr>
        <w:t xml:space="preserve">Seega ei hõlma </w:t>
      </w:r>
      <w:r w:rsidR="3DBB8591" w:rsidRPr="00E14EBC">
        <w:rPr>
          <w:rFonts w:eastAsiaTheme="minorEastAsia"/>
        </w:rPr>
        <w:t>EL</w:t>
      </w:r>
      <w:r w:rsidR="003B7FE7">
        <w:rPr>
          <w:rFonts w:eastAsiaTheme="minorEastAsia"/>
        </w:rPr>
        <w:t>-</w:t>
      </w:r>
      <w:r w:rsidR="3DBB8591" w:rsidRPr="00E14EBC">
        <w:rPr>
          <w:rFonts w:eastAsiaTheme="minorEastAsia"/>
        </w:rPr>
        <w:t>i määruse kohane</w:t>
      </w:r>
      <w:r w:rsidR="18656475" w:rsidRPr="00E14EBC">
        <w:rPr>
          <w:rFonts w:eastAsiaTheme="minorEastAsia"/>
        </w:rPr>
        <w:t xml:space="preserve"> register kõiki eluruume/eluhooneid, kus osutatakse majutusteenust </w:t>
      </w:r>
      <w:r w:rsidR="18656475" w:rsidRPr="00E14EBC">
        <w:rPr>
          <w:rFonts w:eastAsiaTheme="minorEastAsia"/>
        </w:rPr>
        <w:lastRenderedPageBreak/>
        <w:t xml:space="preserve">puhkemaja, külaliskorteri või kodumajutuse vormis. Väiksema pakkumiste mahuga piirkondades end väljaspool platvorme </w:t>
      </w:r>
      <w:r w:rsidR="00EA8C00" w:rsidRPr="00E14EBC">
        <w:rPr>
          <w:rFonts w:eastAsiaTheme="minorEastAsia"/>
        </w:rPr>
        <w:t xml:space="preserve">turundavate majutuskohtade arv </w:t>
      </w:r>
      <w:r w:rsidR="1B8F6B94" w:rsidRPr="00E14EBC">
        <w:rPr>
          <w:rFonts w:eastAsiaTheme="minorEastAsia"/>
        </w:rPr>
        <w:t xml:space="preserve">kasvab ja </w:t>
      </w:r>
      <w:r w:rsidR="3F62A29C" w:rsidRPr="00E14EBC">
        <w:rPr>
          <w:rFonts w:eastAsiaTheme="minorEastAsia"/>
        </w:rPr>
        <w:t xml:space="preserve">registreerimiskohustus võib seda suundumust veelgi </w:t>
      </w:r>
      <w:r w:rsidR="3DE25BE3" w:rsidRPr="00E14EBC">
        <w:rPr>
          <w:rFonts w:eastAsiaTheme="minorEastAsia"/>
        </w:rPr>
        <w:t>võimendada. Eriti kui eeldada</w:t>
      </w:r>
      <w:r w:rsidRPr="00E14EBC">
        <w:rPr>
          <w:rFonts w:eastAsiaTheme="minorEastAsia"/>
        </w:rPr>
        <w:t xml:space="preserve">, et tehnoloogia lubab tulevikus kasutajal </w:t>
      </w:r>
      <w:r w:rsidR="6FD709D1" w:rsidRPr="00E14EBC">
        <w:rPr>
          <w:rFonts w:eastAsiaTheme="minorEastAsia"/>
        </w:rPr>
        <w:t xml:space="preserve">majutusvõimalusi </w:t>
      </w:r>
      <w:r w:rsidRPr="00E14EBC">
        <w:rPr>
          <w:rFonts w:eastAsiaTheme="minorEastAsia"/>
        </w:rPr>
        <w:t>kergemalt leida ka ilma platvormidel kuulutamata</w:t>
      </w:r>
      <w:r w:rsidR="3D607F6F" w:rsidRPr="00E14EBC">
        <w:rPr>
          <w:rFonts w:eastAsiaTheme="minorEastAsia"/>
        </w:rPr>
        <w:t>.</w:t>
      </w:r>
      <w:r w:rsidR="00A838A3">
        <w:rPr>
          <w:rFonts w:eastAsiaTheme="minorEastAsia"/>
        </w:rPr>
        <w:t xml:space="preserve"> </w:t>
      </w:r>
      <w:r w:rsidR="6B68F418" w:rsidRPr="288A3578">
        <w:rPr>
          <w:rFonts w:eastAsiaTheme="minorEastAsia"/>
        </w:rPr>
        <w:t xml:space="preserve">Probleemiks võivad kujuneda ka </w:t>
      </w:r>
      <w:r w:rsidR="6D15D875" w:rsidRPr="288A3578">
        <w:rPr>
          <w:rFonts w:eastAsiaTheme="minorEastAsia"/>
        </w:rPr>
        <w:t>EL määruse</w:t>
      </w:r>
      <w:r w:rsidR="6B68F418" w:rsidRPr="288A3578">
        <w:rPr>
          <w:rFonts w:eastAsiaTheme="minorEastAsia"/>
        </w:rPr>
        <w:t xml:space="preserve"> nõuetele vastava</w:t>
      </w:r>
      <w:r w:rsidR="00A235F7">
        <w:rPr>
          <w:rFonts w:eastAsiaTheme="minorEastAsia"/>
        </w:rPr>
        <w:t>te</w:t>
      </w:r>
      <w:r w:rsidR="6B68F418" w:rsidRPr="288A3578">
        <w:rPr>
          <w:rFonts w:eastAsiaTheme="minorEastAsia"/>
        </w:rPr>
        <w:t xml:space="preserve"> registri</w:t>
      </w:r>
      <w:r w:rsidR="00A235F7">
        <w:rPr>
          <w:rFonts w:eastAsiaTheme="minorEastAsia"/>
        </w:rPr>
        <w:t>te</w:t>
      </w:r>
      <w:r w:rsidR="6B68F418" w:rsidRPr="288A3578">
        <w:rPr>
          <w:rFonts w:eastAsiaTheme="minorEastAsia"/>
        </w:rPr>
        <w:t>ga seotud arendus- ja haldamiskulud ning võimalik lisakoormus ettevõtjatele. N</w:t>
      </w:r>
      <w:r w:rsidR="668567B4" w:rsidRPr="288A3578">
        <w:rPr>
          <w:rFonts w:eastAsiaTheme="minorEastAsia"/>
        </w:rPr>
        <w:t xml:space="preserve">äiteks </w:t>
      </w:r>
      <w:r w:rsidR="6B68F418" w:rsidRPr="288A3578">
        <w:rPr>
          <w:rFonts w:eastAsiaTheme="minorEastAsia"/>
        </w:rPr>
        <w:t xml:space="preserve">Tšehhis loodava eTurista registreerimissüsteemi arenduste ja viie aasta haldamise maksumuseks kavandatakse 3,7 mln </w:t>
      </w:r>
      <w:r w:rsidR="335A5B84" w:rsidRPr="288A3578">
        <w:rPr>
          <w:rFonts w:eastAsiaTheme="minorEastAsia"/>
        </w:rPr>
        <w:t>eurot</w:t>
      </w:r>
      <w:r w:rsidR="6B68F418" w:rsidRPr="288A3578">
        <w:rPr>
          <w:rFonts w:eastAsiaTheme="minorEastAsia"/>
        </w:rPr>
        <w:t xml:space="preserve">. </w:t>
      </w:r>
    </w:p>
    <w:p w14:paraId="4577D939" w14:textId="25F46738" w:rsidR="6C8925FD" w:rsidRPr="00CA3981" w:rsidRDefault="00F308C5" w:rsidP="00CA3981">
      <w:pPr>
        <w:pStyle w:val="Heading2"/>
        <w:numPr>
          <w:ilvl w:val="0"/>
          <w:numId w:val="0"/>
        </w:numPr>
        <w:rPr>
          <w:rFonts w:hint="eastAsia"/>
        </w:rPr>
      </w:pPr>
      <w:bookmarkStart w:id="105" w:name="_Toc208991610"/>
      <w:r>
        <w:t xml:space="preserve">2.6. </w:t>
      </w:r>
      <w:r w:rsidR="004E205C">
        <w:t xml:space="preserve">Järeldused </w:t>
      </w:r>
      <w:r w:rsidR="6C8925FD" w:rsidRPr="00E14EBC">
        <w:t>Eesti lühiajalise üüri turu mah</w:t>
      </w:r>
      <w:r w:rsidR="004E205C">
        <w:t xml:space="preserve">u </w:t>
      </w:r>
      <w:r w:rsidR="6C8925FD" w:rsidRPr="00E14EBC">
        <w:t>ja omadus</w:t>
      </w:r>
      <w:r w:rsidR="004E205C">
        <w:t>te kohta olemasolevate andmete põhjal</w:t>
      </w:r>
      <w:bookmarkEnd w:id="105"/>
    </w:p>
    <w:p w14:paraId="3395A279" w14:textId="725525AF" w:rsidR="6C8925FD" w:rsidRPr="00E14EBC" w:rsidRDefault="6C8925FD" w:rsidP="6C8925FD">
      <w:pPr>
        <w:spacing w:before="0" w:line="257" w:lineRule="auto"/>
        <w:jc w:val="both"/>
        <w:rPr>
          <w:rFonts w:eastAsiaTheme="minorEastAsia"/>
        </w:rPr>
      </w:pPr>
      <w:r w:rsidRPr="00E14EBC">
        <w:rPr>
          <w:rFonts w:eastAsiaTheme="minorEastAsia"/>
          <w:b/>
          <w:bCs/>
        </w:rPr>
        <w:t xml:space="preserve">Lühiajalise üüriteenuse pakkumise maht kogu Eestis on </w:t>
      </w:r>
      <w:r w:rsidR="3D607F6F" w:rsidRPr="00E14EBC">
        <w:rPr>
          <w:rFonts w:eastAsiaTheme="minorEastAsia"/>
          <w:b/>
          <w:bCs/>
        </w:rPr>
        <w:t xml:space="preserve">meie hinnangul </w:t>
      </w:r>
      <w:r w:rsidRPr="00E14EBC">
        <w:rPr>
          <w:rFonts w:eastAsiaTheme="minorEastAsia"/>
          <w:b/>
          <w:bCs/>
        </w:rPr>
        <w:t>maksimaalselt 50 tuhat voodikohta</w:t>
      </w:r>
      <w:r w:rsidRPr="00E14EBC">
        <w:rPr>
          <w:rFonts w:eastAsiaTheme="minorEastAsia"/>
        </w:rPr>
        <w:t xml:space="preserve"> enam kui kümnes tuhandes majutuskohas, kusjuures majanduslikult aktiivseid majutuskohti oli 2023. aastal ligi 5400.</w:t>
      </w:r>
      <w:r w:rsidR="001F799C">
        <w:rPr>
          <w:rFonts w:eastAsiaTheme="minorEastAsia"/>
        </w:rPr>
        <w:t xml:space="preserve"> </w:t>
      </w:r>
      <w:r w:rsidR="6B68F418" w:rsidRPr="288A3578">
        <w:rPr>
          <w:rFonts w:eastAsiaTheme="minorEastAsia"/>
        </w:rPr>
        <w:t>Tallinna osakaal o</w:t>
      </w:r>
      <w:r w:rsidR="1912C146" w:rsidRPr="288A3578">
        <w:rPr>
          <w:rFonts w:eastAsiaTheme="minorEastAsia"/>
        </w:rPr>
        <w:t>li</w:t>
      </w:r>
      <w:r w:rsidR="6B68F418" w:rsidRPr="288A3578">
        <w:rPr>
          <w:rFonts w:eastAsiaTheme="minorEastAsia"/>
        </w:rPr>
        <w:t xml:space="preserve"> umbes viiendik (</w:t>
      </w:r>
      <w:r w:rsidR="779BF418" w:rsidRPr="288A3578">
        <w:rPr>
          <w:rFonts w:eastAsiaTheme="minorEastAsia"/>
        </w:rPr>
        <w:t xml:space="preserve">u </w:t>
      </w:r>
      <w:r w:rsidR="6B68F418" w:rsidRPr="288A3578">
        <w:rPr>
          <w:rFonts w:eastAsiaTheme="minorEastAsia"/>
        </w:rPr>
        <w:t>10 500 voodikohta) kogupakkumisest Eestis, samas majanduslikult aktiivsetest majutuskohtadest moodustasid Tallinnas asuvad pea poole (2517 ehk 48%).</w:t>
      </w:r>
      <w:r w:rsidR="001F799C">
        <w:rPr>
          <w:rFonts w:eastAsiaTheme="minorEastAsia"/>
        </w:rPr>
        <w:t xml:space="preserve"> </w:t>
      </w:r>
      <w:r w:rsidR="6B68F418" w:rsidRPr="288A3578">
        <w:rPr>
          <w:rFonts w:eastAsiaTheme="minorEastAsia"/>
        </w:rPr>
        <w:t xml:space="preserve">Majutuskohtade arvu põhjal on </w:t>
      </w:r>
      <w:r w:rsidR="6B68F418" w:rsidRPr="288A3578">
        <w:rPr>
          <w:rFonts w:eastAsiaTheme="minorEastAsia"/>
          <w:b/>
          <w:bCs/>
        </w:rPr>
        <w:t>kolm suurema lühiajalise üüri pakkumiste mahuga piirkonda Tallinn/Harjumaa, Lääne-Eesti ja Lõuna-Eesti</w:t>
      </w:r>
      <w:r w:rsidR="6B68F418" w:rsidRPr="288A3578">
        <w:rPr>
          <w:rFonts w:eastAsiaTheme="minorEastAsia"/>
        </w:rPr>
        <w:t xml:space="preserve"> (s.o Eesti peamised turismipiirkonnad), samas Kesk-Eesti ja Ida-Eesti on selgelt väiksema lühiajalise majutuskohtade arvuga.</w:t>
      </w:r>
      <w:r w:rsidR="001F799C">
        <w:rPr>
          <w:rFonts w:eastAsiaTheme="minorEastAsia"/>
        </w:rPr>
        <w:t xml:space="preserve"> </w:t>
      </w:r>
      <w:r w:rsidR="0C8B27F9" w:rsidRPr="288A3578">
        <w:rPr>
          <w:rFonts w:eastAsiaTheme="minorEastAsia"/>
          <w:b/>
          <w:bCs/>
        </w:rPr>
        <w:t xml:space="preserve">Lühiajalise üüriteenuse nõudluse maht kogu Eestis oli 2023. aastal </w:t>
      </w:r>
      <w:r w:rsidR="0C8B27F9" w:rsidRPr="00F53614">
        <w:rPr>
          <w:rFonts w:eastAsiaTheme="minorEastAsia"/>
          <w:b/>
          <w:bCs/>
          <w:i/>
          <w:iCs/>
        </w:rPr>
        <w:t>ca</w:t>
      </w:r>
      <w:r w:rsidR="0C8B27F9" w:rsidRPr="288A3578">
        <w:rPr>
          <w:rFonts w:eastAsiaTheme="minorEastAsia"/>
          <w:b/>
          <w:bCs/>
        </w:rPr>
        <w:t xml:space="preserve"> 1,5 miljonit ööbimist</w:t>
      </w:r>
      <w:r w:rsidR="0C8B27F9" w:rsidRPr="288A3578">
        <w:rPr>
          <w:rFonts w:eastAsiaTheme="minorEastAsia"/>
        </w:rPr>
        <w:t xml:space="preserve"> </w:t>
      </w:r>
      <w:r w:rsidR="0C8B27F9" w:rsidRPr="288A3578">
        <w:rPr>
          <w:rFonts w:eastAsiaTheme="minorEastAsia"/>
          <w:b/>
          <w:bCs/>
        </w:rPr>
        <w:t>ja veidi üle 600 tuhande majutatu</w:t>
      </w:r>
      <w:r w:rsidR="0C8B27F9" w:rsidRPr="288A3578">
        <w:rPr>
          <w:rFonts w:eastAsiaTheme="minorEastAsia"/>
        </w:rPr>
        <w:t>. Tallinna osakaal kõigist ööbimistest</w:t>
      </w:r>
      <w:r w:rsidR="009B1D5A">
        <w:rPr>
          <w:rFonts w:eastAsiaTheme="minorEastAsia"/>
        </w:rPr>
        <w:t xml:space="preserve"> lühiajalise üüri turul</w:t>
      </w:r>
      <w:r w:rsidR="0C8B27F9" w:rsidRPr="288A3578">
        <w:rPr>
          <w:rFonts w:eastAsiaTheme="minorEastAsia"/>
        </w:rPr>
        <w:t xml:space="preserve"> Eestis oli 50% ja majutatutest 40%.</w:t>
      </w:r>
      <w:r w:rsidR="001F799C">
        <w:rPr>
          <w:rFonts w:eastAsiaTheme="minorEastAsia"/>
        </w:rPr>
        <w:t xml:space="preserve"> </w:t>
      </w:r>
      <w:r w:rsidRPr="00E14EBC">
        <w:rPr>
          <w:rFonts w:eastAsiaTheme="minorEastAsia"/>
        </w:rPr>
        <w:t xml:space="preserve">Lühiajalise </w:t>
      </w:r>
      <w:r w:rsidR="32402192" w:rsidRPr="00E14EBC">
        <w:rPr>
          <w:rFonts w:eastAsiaTheme="minorEastAsia"/>
        </w:rPr>
        <w:t>üüri</w:t>
      </w:r>
      <w:r w:rsidRPr="00E14EBC">
        <w:rPr>
          <w:rFonts w:eastAsiaTheme="minorEastAsia"/>
        </w:rPr>
        <w:t xml:space="preserve"> turgu </w:t>
      </w:r>
      <w:r w:rsidR="32402192" w:rsidRPr="00E14EBC">
        <w:rPr>
          <w:rFonts w:eastAsiaTheme="minorEastAsia"/>
        </w:rPr>
        <w:t>iseloomustavad</w:t>
      </w:r>
      <w:r w:rsidRPr="00E14EBC">
        <w:rPr>
          <w:rFonts w:eastAsiaTheme="minorEastAsia"/>
        </w:rPr>
        <w:t xml:space="preserve"> dünaamilisus, kontsentreeritus, hooajalisus ja </w:t>
      </w:r>
      <w:r w:rsidR="09CF3BE7" w:rsidRPr="09CF3BE7">
        <w:rPr>
          <w:rFonts w:eastAsiaTheme="minorEastAsia"/>
        </w:rPr>
        <w:t xml:space="preserve">polariseerunud </w:t>
      </w:r>
      <w:r w:rsidRPr="00E14EBC">
        <w:rPr>
          <w:rFonts w:eastAsiaTheme="minorEastAsia"/>
        </w:rPr>
        <w:t>professionaalsus.</w:t>
      </w:r>
    </w:p>
    <w:p w14:paraId="3FAE24AD" w14:textId="1FD9ABA5" w:rsidR="6C8925FD" w:rsidRPr="00E14EBC" w:rsidRDefault="77C19EB5" w:rsidP="288A3578">
      <w:pPr>
        <w:spacing w:before="0" w:line="257" w:lineRule="auto"/>
        <w:jc w:val="both"/>
        <w:rPr>
          <w:rFonts w:eastAsiaTheme="minorEastAsia"/>
        </w:rPr>
      </w:pPr>
      <w:r w:rsidRPr="288A3578">
        <w:rPr>
          <w:rFonts w:eastAsiaTheme="minorEastAsia"/>
          <w:b/>
          <w:bCs/>
        </w:rPr>
        <w:t>D</w:t>
      </w:r>
      <w:r w:rsidR="6B68F418" w:rsidRPr="288A3578">
        <w:rPr>
          <w:rFonts w:eastAsiaTheme="minorEastAsia"/>
          <w:b/>
          <w:bCs/>
        </w:rPr>
        <w:t>ünaamilisus</w:t>
      </w:r>
      <w:r w:rsidRPr="288A3578">
        <w:rPr>
          <w:rFonts w:eastAsiaTheme="minorEastAsia"/>
          <w:b/>
          <w:bCs/>
        </w:rPr>
        <w:t xml:space="preserve"> |</w:t>
      </w:r>
      <w:r w:rsidR="6B68F418" w:rsidRPr="288A3578">
        <w:rPr>
          <w:rFonts w:eastAsiaTheme="minorEastAsia"/>
        </w:rPr>
        <w:t xml:space="preserve"> lühiajalise </w:t>
      </w:r>
      <w:r w:rsidR="1B028D0F" w:rsidRPr="288A3578">
        <w:rPr>
          <w:rFonts w:eastAsiaTheme="minorEastAsia"/>
        </w:rPr>
        <w:t>üüri</w:t>
      </w:r>
      <w:r w:rsidR="6B68F418" w:rsidRPr="288A3578">
        <w:rPr>
          <w:rFonts w:eastAsiaTheme="minorEastAsia"/>
        </w:rPr>
        <w:t xml:space="preserve"> turule sisenemise barjäär on madal, väljumine nt pikaajalisele üüriturule suuremates linnades suhteliselt lihtne ning majutuskohtade pakkumine reageerib operatiivselt keskkonnamuutustele, nt pandeemiast tingitud turistide arvu järsk vähenemine aastatel 2020–2021, </w:t>
      </w:r>
      <w:r w:rsidR="1B028D0F" w:rsidRPr="288A3578">
        <w:rPr>
          <w:rFonts w:eastAsiaTheme="minorEastAsia"/>
        </w:rPr>
        <w:t>vene</w:t>
      </w:r>
      <w:r w:rsidR="6B68F418" w:rsidRPr="288A3578">
        <w:rPr>
          <w:rFonts w:eastAsiaTheme="minorEastAsia"/>
        </w:rPr>
        <w:t xml:space="preserve"> turistide arvu järsk kukkumine 2022. aastal. Viimast kajastab ka asjaolu, et perioodil 2019–2023 kahanes märgatavalt nii lühiajalise üüri teenuse majutuskohtade arv kui majutatute ja ööbimiste arv praktiliselt ainsana Harjumaal (s.o Tallinnas).</w:t>
      </w:r>
    </w:p>
    <w:p w14:paraId="60554C15" w14:textId="5605C3B6" w:rsidR="6C8925FD" w:rsidRPr="00E14EBC" w:rsidRDefault="6B68F418" w:rsidP="288A3578">
      <w:pPr>
        <w:spacing w:before="0" w:line="257" w:lineRule="auto"/>
        <w:jc w:val="both"/>
        <w:rPr>
          <w:rFonts w:eastAsiaTheme="minorEastAsia"/>
        </w:rPr>
      </w:pPr>
      <w:r w:rsidRPr="288A3578">
        <w:rPr>
          <w:rFonts w:eastAsiaTheme="minorEastAsia"/>
        </w:rPr>
        <w:t>Turul domineerivad väikesed ühe magamistoaga (s.o 1- ja 2-toalised) majutuskohad, mis moodustavad pea kolmveerandi kogu pakkumisest ja ka lõviosa ööbimistest (93%) oli kuni viie</w:t>
      </w:r>
      <w:r w:rsidR="00522A89">
        <w:rPr>
          <w:rFonts w:eastAsiaTheme="minorEastAsia"/>
        </w:rPr>
        <w:t xml:space="preserve"> majutuskohaga</w:t>
      </w:r>
      <w:r w:rsidRPr="288A3578">
        <w:rPr>
          <w:rFonts w:eastAsiaTheme="minorEastAsia"/>
        </w:rPr>
        <w:t xml:space="preserve"> majutuskohtades.</w:t>
      </w:r>
    </w:p>
    <w:p w14:paraId="35A5A66D" w14:textId="14A57935" w:rsidR="6C8925FD" w:rsidRPr="00E14EBC" w:rsidRDefault="008E15EA" w:rsidP="6C8925FD">
      <w:pPr>
        <w:spacing w:before="0" w:line="257" w:lineRule="auto"/>
        <w:jc w:val="both"/>
        <w:rPr>
          <w:rFonts w:eastAsiaTheme="minorEastAsia"/>
        </w:rPr>
      </w:pPr>
      <w:r>
        <w:rPr>
          <w:rFonts w:eastAsiaTheme="minorEastAsia"/>
          <w:b/>
          <w:bCs/>
        </w:rPr>
        <w:t>K</w:t>
      </w:r>
      <w:r w:rsidR="6C8925FD" w:rsidRPr="008E15EA">
        <w:rPr>
          <w:rFonts w:eastAsiaTheme="minorEastAsia"/>
          <w:b/>
          <w:bCs/>
        </w:rPr>
        <w:t>ontsentreeritus</w:t>
      </w:r>
      <w:r>
        <w:rPr>
          <w:rFonts w:eastAsiaTheme="minorEastAsia"/>
          <w:b/>
          <w:bCs/>
        </w:rPr>
        <w:t xml:space="preserve"> |</w:t>
      </w:r>
      <w:r w:rsidR="6C8925FD" w:rsidRPr="00E14EBC">
        <w:rPr>
          <w:rFonts w:eastAsiaTheme="minorEastAsia"/>
        </w:rPr>
        <w:t xml:space="preserve"> </w:t>
      </w:r>
      <w:r w:rsidR="005C6D15">
        <w:rPr>
          <w:rFonts w:eastAsiaTheme="minorEastAsia"/>
        </w:rPr>
        <w:t>L</w:t>
      </w:r>
      <w:r w:rsidR="6C8925FD" w:rsidRPr="00E14EBC">
        <w:rPr>
          <w:rFonts w:eastAsiaTheme="minorEastAsia"/>
        </w:rPr>
        <w:t xml:space="preserve">ühiajalise </w:t>
      </w:r>
      <w:r w:rsidR="78E067BB" w:rsidRPr="00E14EBC">
        <w:rPr>
          <w:rFonts w:eastAsiaTheme="minorEastAsia"/>
        </w:rPr>
        <w:t>üüri turu</w:t>
      </w:r>
      <w:r w:rsidR="6C8925FD" w:rsidRPr="00E14EBC">
        <w:rPr>
          <w:rFonts w:eastAsiaTheme="minorEastAsia"/>
        </w:rPr>
        <w:t xml:space="preserve"> kontsentratsioon on täheldatav mitmel tasandil – nii </w:t>
      </w:r>
      <w:r w:rsidR="78E067BB" w:rsidRPr="00E14EBC">
        <w:rPr>
          <w:rFonts w:eastAsiaTheme="minorEastAsia"/>
        </w:rPr>
        <w:t xml:space="preserve">riiklikul, </w:t>
      </w:r>
      <w:r w:rsidR="6C8925FD" w:rsidRPr="00E14EBC">
        <w:rPr>
          <w:rFonts w:eastAsiaTheme="minorEastAsia"/>
        </w:rPr>
        <w:t xml:space="preserve">maakondlikul kui linnalisel. </w:t>
      </w:r>
    </w:p>
    <w:p w14:paraId="20ABC487" w14:textId="18869E44" w:rsidR="6C8925FD" w:rsidRPr="00E14EBC" w:rsidRDefault="6B68F418" w:rsidP="288A3578">
      <w:pPr>
        <w:spacing w:before="0" w:line="257" w:lineRule="auto"/>
        <w:jc w:val="both"/>
        <w:rPr>
          <w:rFonts w:eastAsiaTheme="minorEastAsia"/>
        </w:rPr>
      </w:pPr>
      <w:r w:rsidRPr="288A3578">
        <w:rPr>
          <w:rFonts w:eastAsiaTheme="minorEastAsia"/>
          <w:b/>
          <w:bCs/>
        </w:rPr>
        <w:t>Kaks kolmandikku lühiajalise majutuse üüriteenuse pakkumisest on neljas maakonnas</w:t>
      </w:r>
      <w:r w:rsidR="48B6C28E" w:rsidRPr="288A3578">
        <w:rPr>
          <w:rFonts w:eastAsiaTheme="minorEastAsia"/>
          <w:b/>
          <w:bCs/>
        </w:rPr>
        <w:t>.</w:t>
      </w:r>
      <w:r w:rsidRPr="288A3578">
        <w:rPr>
          <w:rFonts w:eastAsiaTheme="minorEastAsia"/>
        </w:rPr>
        <w:t xml:space="preserve"> Harjumaa koos Pärnumaaga moodustavad ligi poole Eesti lühiajalise üüri majutuskohtade pakkumisest; lisades neile Tartumaa ja Saaremaa</w:t>
      </w:r>
      <w:r w:rsidR="3A112EEF" w:rsidRPr="288A3578">
        <w:rPr>
          <w:rFonts w:eastAsiaTheme="minorEastAsia"/>
        </w:rPr>
        <w:t>,</w:t>
      </w:r>
      <w:r w:rsidRPr="288A3578">
        <w:rPr>
          <w:rFonts w:eastAsiaTheme="minorEastAsia"/>
        </w:rPr>
        <w:t xml:space="preserve"> tuleb kokku umbes 2/3 lühiajalise üüri kogupakkumisest Eestis.</w:t>
      </w:r>
    </w:p>
    <w:p w14:paraId="63851D5C" w14:textId="06830767" w:rsidR="6C8925FD" w:rsidRPr="00E14EBC" w:rsidRDefault="6B68F418" w:rsidP="288A3578">
      <w:pPr>
        <w:spacing w:before="0" w:line="257" w:lineRule="auto"/>
        <w:jc w:val="both"/>
        <w:rPr>
          <w:rFonts w:eastAsiaTheme="minorEastAsia"/>
        </w:rPr>
      </w:pPr>
      <w:r w:rsidRPr="288A3578">
        <w:rPr>
          <w:rFonts w:eastAsiaTheme="minorEastAsia"/>
          <w:b/>
          <w:bCs/>
        </w:rPr>
        <w:t>Tallinna Kesklinn moodustab u 50%</w:t>
      </w:r>
      <w:r w:rsidRPr="288A3578">
        <w:rPr>
          <w:rFonts w:eastAsiaTheme="minorEastAsia"/>
        </w:rPr>
        <w:t xml:space="preserve"> (s.h </w:t>
      </w:r>
      <w:r w:rsidR="008A4ED2">
        <w:rPr>
          <w:rFonts w:eastAsiaTheme="minorEastAsia"/>
        </w:rPr>
        <w:t>v</w:t>
      </w:r>
      <w:r w:rsidRPr="288A3578">
        <w:rPr>
          <w:rFonts w:eastAsiaTheme="minorEastAsia"/>
        </w:rPr>
        <w:t xml:space="preserve">analinn 22%) ja Kalamaja 9% kõigist Tallinna kuulutustest. Tallinna </w:t>
      </w:r>
      <w:r w:rsidR="008A4ED2">
        <w:rPr>
          <w:rFonts w:eastAsiaTheme="minorEastAsia"/>
        </w:rPr>
        <w:t>v</w:t>
      </w:r>
      <w:r w:rsidRPr="288A3578">
        <w:rPr>
          <w:rFonts w:eastAsiaTheme="minorEastAsia"/>
        </w:rPr>
        <w:t xml:space="preserve">analinn moodustab viiendiku Tallinna majutuskohtadest, aga kolmandiku kogumahutavusest. </w:t>
      </w:r>
      <w:r w:rsidR="5F4685AC" w:rsidRPr="288A3578">
        <w:rPr>
          <w:rFonts w:eastAsiaTheme="minorEastAsia"/>
        </w:rPr>
        <w:t xml:space="preserve">Nt 50 suuremat </w:t>
      </w:r>
      <w:r w:rsidR="008A4ED2">
        <w:rPr>
          <w:rFonts w:eastAsiaTheme="minorEastAsia"/>
        </w:rPr>
        <w:t>v</w:t>
      </w:r>
      <w:r w:rsidR="5F4685AC" w:rsidRPr="288A3578">
        <w:rPr>
          <w:rFonts w:eastAsiaTheme="minorEastAsia"/>
        </w:rPr>
        <w:t xml:space="preserve">analinna </w:t>
      </w:r>
      <w:r w:rsidR="3A9E4BF0" w:rsidRPr="288A3578">
        <w:rPr>
          <w:rFonts w:eastAsiaTheme="minorEastAsia"/>
        </w:rPr>
        <w:t xml:space="preserve">majutuskohta suudavad vastu võtta </w:t>
      </w:r>
      <w:r w:rsidR="7CF01803" w:rsidRPr="288A3578">
        <w:rPr>
          <w:rFonts w:eastAsiaTheme="minorEastAsia"/>
        </w:rPr>
        <w:t>ühtekokku 542 külalist.</w:t>
      </w:r>
      <w:r w:rsidR="3A9E4BF0" w:rsidRPr="288A3578">
        <w:rPr>
          <w:rFonts w:eastAsiaTheme="minorEastAsia"/>
        </w:rPr>
        <w:t xml:space="preserve"> Kui</w:t>
      </w:r>
      <w:r w:rsidRPr="288A3578">
        <w:rPr>
          <w:rFonts w:eastAsiaTheme="minorEastAsia"/>
        </w:rPr>
        <w:t xml:space="preserve"> lühiajalise </w:t>
      </w:r>
      <w:r w:rsidR="4E1BC244" w:rsidRPr="288A3578">
        <w:rPr>
          <w:rFonts w:eastAsiaTheme="minorEastAsia"/>
        </w:rPr>
        <w:t>üüri</w:t>
      </w:r>
      <w:r w:rsidRPr="288A3578">
        <w:rPr>
          <w:rFonts w:eastAsiaTheme="minorEastAsia"/>
        </w:rPr>
        <w:t xml:space="preserve"> majutuskohtade arvust moodustab Tallinn vaid 28%, siis kõigist lühiajalise üüri ööbimistest hõlmab Tallinn pea poole.</w:t>
      </w:r>
    </w:p>
    <w:p w14:paraId="7835F4B6" w14:textId="60EE87AD" w:rsidR="6C8925FD" w:rsidRPr="00E14EBC" w:rsidRDefault="6B68F418" w:rsidP="288A3578">
      <w:pPr>
        <w:spacing w:before="0" w:line="257" w:lineRule="auto"/>
        <w:jc w:val="both"/>
        <w:rPr>
          <w:rFonts w:eastAsiaTheme="minorEastAsia"/>
        </w:rPr>
      </w:pPr>
      <w:r w:rsidRPr="288A3578">
        <w:rPr>
          <w:rFonts w:eastAsiaTheme="minorEastAsia"/>
        </w:rPr>
        <w:lastRenderedPageBreak/>
        <w:t>Kõigist</w:t>
      </w:r>
      <w:r w:rsidR="35AA02AC" w:rsidRPr="288A3578">
        <w:rPr>
          <w:rFonts w:eastAsiaTheme="minorEastAsia"/>
        </w:rPr>
        <w:t xml:space="preserve"> </w:t>
      </w:r>
      <w:r w:rsidRPr="288A3578">
        <w:rPr>
          <w:rFonts w:eastAsiaTheme="minorEastAsia"/>
        </w:rPr>
        <w:t>majutajate 2023. aastal</w:t>
      </w:r>
      <w:r w:rsidR="2E69CCCB" w:rsidRPr="288A3578">
        <w:rPr>
          <w:rFonts w:eastAsiaTheme="minorEastAsia"/>
        </w:rPr>
        <w:t xml:space="preserve"> Eestis</w:t>
      </w:r>
      <w:r w:rsidRPr="288A3578">
        <w:rPr>
          <w:rFonts w:eastAsiaTheme="minorEastAsia"/>
        </w:rPr>
        <w:t xml:space="preserve"> teenitud tuludest (kokku u 32 miljonit eurot) oli Tallinna residentide osakaal 63%, ülejäänud Harjumaa 10%</w:t>
      </w:r>
      <w:r w:rsidR="1F11BEB2" w:rsidRPr="288A3578">
        <w:rPr>
          <w:rFonts w:eastAsiaTheme="minorEastAsia"/>
        </w:rPr>
        <w:t>,</w:t>
      </w:r>
      <w:r w:rsidRPr="288A3578">
        <w:rPr>
          <w:rFonts w:eastAsiaTheme="minorEastAsia"/>
        </w:rPr>
        <w:t xml:space="preserve"> Tartumaa 8% ja Pärnumaa 6%. Kokku moodustasid need </w:t>
      </w:r>
      <w:r w:rsidRPr="288A3578">
        <w:rPr>
          <w:rFonts w:eastAsiaTheme="minorEastAsia"/>
          <w:b/>
          <w:bCs/>
        </w:rPr>
        <w:t>kolm maakonda 87% kõigist lühiajaliste majutajate 2023. aasta tuludest</w:t>
      </w:r>
      <w:r w:rsidRPr="288A3578">
        <w:rPr>
          <w:rFonts w:eastAsiaTheme="minorEastAsia"/>
        </w:rPr>
        <w:t>.</w:t>
      </w:r>
    </w:p>
    <w:p w14:paraId="11E4530C" w14:textId="2B27B528" w:rsidR="6C8925FD" w:rsidRPr="00E14EBC" w:rsidRDefault="008E15EA" w:rsidP="6C8925FD">
      <w:pPr>
        <w:spacing w:before="0" w:line="257" w:lineRule="auto"/>
        <w:jc w:val="both"/>
        <w:rPr>
          <w:rFonts w:eastAsiaTheme="minorEastAsia"/>
        </w:rPr>
      </w:pPr>
      <w:r w:rsidRPr="008E15EA">
        <w:rPr>
          <w:rFonts w:eastAsiaTheme="minorEastAsia"/>
          <w:b/>
          <w:bCs/>
        </w:rPr>
        <w:t>P</w:t>
      </w:r>
      <w:r w:rsidR="6C8925FD" w:rsidRPr="008E15EA">
        <w:rPr>
          <w:rFonts w:eastAsiaTheme="minorEastAsia"/>
          <w:b/>
          <w:bCs/>
        </w:rPr>
        <w:t>rofessionaalsus</w:t>
      </w:r>
      <w:r w:rsidRPr="008E15EA">
        <w:rPr>
          <w:rFonts w:eastAsiaTheme="minorEastAsia"/>
          <w:b/>
          <w:bCs/>
        </w:rPr>
        <w:t xml:space="preserve"> |</w:t>
      </w:r>
      <w:r w:rsidR="6C8925FD" w:rsidRPr="00E14EBC">
        <w:rPr>
          <w:rFonts w:eastAsiaTheme="minorEastAsia"/>
        </w:rPr>
        <w:t xml:space="preserve"> </w:t>
      </w:r>
      <w:r w:rsidR="005C6D15">
        <w:rPr>
          <w:rFonts w:eastAsiaTheme="minorEastAsia"/>
        </w:rPr>
        <w:t>Ü</w:t>
      </w:r>
      <w:r w:rsidR="6C8925FD" w:rsidRPr="00E14EBC">
        <w:rPr>
          <w:rFonts w:eastAsiaTheme="minorEastAsia"/>
        </w:rPr>
        <w:t xml:space="preserve">heksa lühiajalise üüri majutuskohta kümnest ei ole suure tõenäosusega majutaja peamine elukoht, samas näitab </w:t>
      </w:r>
      <w:r w:rsidR="3ABFDEC6" w:rsidRPr="00E14EBC">
        <w:rPr>
          <w:rFonts w:eastAsiaTheme="minorEastAsia"/>
        </w:rPr>
        <w:t>väljaüüritud päevade</w:t>
      </w:r>
      <w:r w:rsidR="6C8925FD" w:rsidRPr="00E14EBC">
        <w:rPr>
          <w:rFonts w:eastAsiaTheme="minorEastAsia"/>
        </w:rPr>
        <w:t xml:space="preserve"> ja </w:t>
      </w:r>
      <w:r w:rsidR="6EC8B498" w:rsidRPr="00E14EBC">
        <w:rPr>
          <w:rFonts w:eastAsiaTheme="minorEastAsia"/>
        </w:rPr>
        <w:t>üüritulude</w:t>
      </w:r>
      <w:r w:rsidR="6C8925FD" w:rsidRPr="00E14EBC">
        <w:rPr>
          <w:rFonts w:eastAsiaTheme="minorEastAsia"/>
        </w:rPr>
        <w:t xml:space="preserve"> analüüs, et suure osa majutajate puhul ei ole tegemist peamise </w:t>
      </w:r>
      <w:r w:rsidR="742465ED" w:rsidRPr="00E14EBC">
        <w:rPr>
          <w:rFonts w:eastAsiaTheme="minorEastAsia"/>
        </w:rPr>
        <w:t>sissetulekuallikaga</w:t>
      </w:r>
      <w:r w:rsidR="6C8925FD" w:rsidRPr="00E14EBC">
        <w:rPr>
          <w:rFonts w:eastAsiaTheme="minorEastAsia"/>
        </w:rPr>
        <w:t>.</w:t>
      </w:r>
      <w:r w:rsidR="00B7799E" w:rsidRPr="00E14EBC">
        <w:rPr>
          <w:rFonts w:eastAsiaTheme="minorEastAsia"/>
        </w:rPr>
        <w:t xml:space="preserve"> </w:t>
      </w:r>
    </w:p>
    <w:p w14:paraId="3B13531D" w14:textId="528D33B6" w:rsidR="6C8925FD" w:rsidRPr="00E14EBC" w:rsidRDefault="6C8925FD" w:rsidP="6C8925FD">
      <w:pPr>
        <w:spacing w:before="0" w:line="257" w:lineRule="auto"/>
        <w:jc w:val="both"/>
        <w:rPr>
          <w:rFonts w:eastAsiaTheme="minorEastAsia"/>
        </w:rPr>
      </w:pPr>
      <w:r w:rsidRPr="00E14EBC">
        <w:rPr>
          <w:rFonts w:eastAsiaTheme="minorEastAsia"/>
          <w:b/>
          <w:bCs/>
        </w:rPr>
        <w:t xml:space="preserve">98% </w:t>
      </w:r>
      <w:r w:rsidR="00144031">
        <w:rPr>
          <w:rFonts w:eastAsiaTheme="minorEastAsia"/>
          <w:b/>
          <w:bCs/>
        </w:rPr>
        <w:t xml:space="preserve">lühiajalise üüri </w:t>
      </w:r>
      <w:r w:rsidRPr="00E14EBC">
        <w:rPr>
          <w:rFonts w:eastAsiaTheme="minorEastAsia"/>
          <w:b/>
          <w:bCs/>
        </w:rPr>
        <w:t>ööbimistest oli 2023. aastal majutuskohtades, kus üüriti välja kogu elukoht</w:t>
      </w:r>
      <w:r w:rsidRPr="00E14EBC">
        <w:rPr>
          <w:rFonts w:eastAsiaTheme="minorEastAsia"/>
        </w:rPr>
        <w:t xml:space="preserve">, s.t </w:t>
      </w:r>
      <w:r w:rsidR="6D174230" w:rsidRPr="6D174230">
        <w:rPr>
          <w:rFonts w:eastAsiaTheme="minorEastAsia"/>
        </w:rPr>
        <w:t xml:space="preserve">suure osa </w:t>
      </w:r>
      <w:r w:rsidRPr="00E14EBC">
        <w:rPr>
          <w:rFonts w:eastAsiaTheme="minorEastAsia"/>
        </w:rPr>
        <w:t xml:space="preserve">lühiajalise </w:t>
      </w:r>
      <w:r w:rsidR="68573816" w:rsidRPr="00E14EBC">
        <w:rPr>
          <w:rFonts w:eastAsiaTheme="minorEastAsia"/>
        </w:rPr>
        <w:t>üüri</w:t>
      </w:r>
      <w:r w:rsidRPr="00E14EBC">
        <w:rPr>
          <w:rFonts w:eastAsiaTheme="minorEastAsia"/>
        </w:rPr>
        <w:t xml:space="preserve"> </w:t>
      </w:r>
      <w:r w:rsidR="6D174230" w:rsidRPr="6D174230">
        <w:rPr>
          <w:rFonts w:eastAsiaTheme="minorEastAsia"/>
        </w:rPr>
        <w:t xml:space="preserve">majutuskohtade </w:t>
      </w:r>
      <w:r w:rsidRPr="00E14EBC">
        <w:rPr>
          <w:rFonts w:eastAsiaTheme="minorEastAsia"/>
        </w:rPr>
        <w:t>puhul ei ole (enam) tegemist jagamismajandusega, kus teenitakse tulu jõude seisvalt ressursilt.</w:t>
      </w:r>
    </w:p>
    <w:p w14:paraId="64D6C437" w14:textId="3180C7A0" w:rsidR="6C8925FD" w:rsidRPr="00E14EBC" w:rsidRDefault="0EE9DD39" w:rsidP="288A3578">
      <w:pPr>
        <w:spacing w:before="0" w:line="257" w:lineRule="auto"/>
        <w:jc w:val="both"/>
        <w:rPr>
          <w:rFonts w:eastAsiaTheme="minorEastAsia"/>
        </w:rPr>
      </w:pPr>
      <w:r w:rsidRPr="288A3578">
        <w:rPr>
          <w:rFonts w:eastAsiaTheme="minorEastAsia"/>
        </w:rPr>
        <w:t>Kõigi Eesti maakondade (v.a Tallinn, Tartu</w:t>
      </w:r>
      <w:r w:rsidR="334A94EB" w:rsidRPr="288A3578">
        <w:rPr>
          <w:rFonts w:eastAsiaTheme="minorEastAsia"/>
        </w:rPr>
        <w:t xml:space="preserve"> ja</w:t>
      </w:r>
      <w:r w:rsidRPr="288A3578">
        <w:rPr>
          <w:rFonts w:eastAsiaTheme="minorEastAsia"/>
        </w:rPr>
        <w:t xml:space="preserve"> Pärnu</w:t>
      </w:r>
      <w:r w:rsidR="0E8CDFDC" w:rsidRPr="288A3578">
        <w:rPr>
          <w:rFonts w:eastAsiaTheme="minorEastAsia"/>
        </w:rPr>
        <w:t xml:space="preserve"> linn</w:t>
      </w:r>
      <w:r w:rsidRPr="00BE179D">
        <w:rPr>
          <w:rFonts w:eastAsiaTheme="minorEastAsia"/>
          <w:b/>
          <w:bCs/>
        </w:rPr>
        <w:t xml:space="preserve">) keskmine </w:t>
      </w:r>
      <w:r w:rsidR="5E7FA48D" w:rsidRPr="00BE179D">
        <w:rPr>
          <w:rFonts w:eastAsiaTheme="minorEastAsia"/>
          <w:b/>
          <w:bCs/>
        </w:rPr>
        <w:t>väljaüüritud päevade</w:t>
      </w:r>
      <w:r w:rsidRPr="00BE179D">
        <w:rPr>
          <w:rFonts w:eastAsiaTheme="minorEastAsia"/>
          <w:b/>
          <w:bCs/>
        </w:rPr>
        <w:t xml:space="preserve"> arv oli 2023. aastal 33</w:t>
      </w:r>
      <w:r w:rsidRPr="288A3578">
        <w:rPr>
          <w:rFonts w:eastAsiaTheme="minorEastAsia"/>
        </w:rPr>
        <w:t xml:space="preserve"> ehk veebiplatvormidel pakutavas lühiajalise üüriteenuse majutuskohas väljaspool suuremaid linnu oli külalisi keskmiselt ühe kuu jagu aastas. Lisades arvestusse ka eelnimetatud kolm linna, oli keskmine rendipäevade arv aastas 61 ehk kaks kuud.</w:t>
      </w:r>
    </w:p>
    <w:p w14:paraId="0FED6B7D" w14:textId="0D83072A" w:rsidR="6C8925FD" w:rsidRPr="00E14EBC" w:rsidRDefault="5A6C717C" w:rsidP="0029299C">
      <w:pPr>
        <w:spacing w:before="0" w:line="257" w:lineRule="auto"/>
        <w:jc w:val="both"/>
        <w:rPr>
          <w:rFonts w:eastAsiaTheme="minorEastAsia"/>
          <w:highlight w:val="yellow"/>
        </w:rPr>
      </w:pPr>
      <w:r w:rsidRPr="006E54B9">
        <w:rPr>
          <w:rFonts w:ascii="Arial" w:eastAsia="Arial" w:hAnsi="Arial" w:cs="Arial"/>
          <w:szCs w:val="24"/>
        </w:rPr>
        <w:t xml:space="preserve">Kaalutud keskmine müügitulu kinnistusüksuse kohta 2023. aastal oli maakondades 3150 </w:t>
      </w:r>
      <w:r w:rsidR="0025685E">
        <w:rPr>
          <w:rFonts w:ascii="Arial" w:eastAsia="Arial" w:hAnsi="Arial" w:cs="Arial"/>
        </w:rPr>
        <w:t>eurot</w:t>
      </w:r>
      <w:r w:rsidRPr="006E54B9">
        <w:rPr>
          <w:rFonts w:ascii="Arial" w:eastAsia="Arial" w:hAnsi="Arial" w:cs="Arial"/>
          <w:szCs w:val="24"/>
        </w:rPr>
        <w:t xml:space="preserve"> ning kolmes linnas 6330</w:t>
      </w:r>
      <w:r w:rsidR="006E54B9">
        <w:rPr>
          <w:rFonts w:ascii="Arial" w:eastAsia="Arial" w:hAnsi="Arial" w:cs="Arial"/>
          <w:szCs w:val="24"/>
        </w:rPr>
        <w:t xml:space="preserve"> </w:t>
      </w:r>
      <w:r w:rsidR="0025685E">
        <w:rPr>
          <w:rFonts w:ascii="Arial" w:eastAsia="Arial" w:hAnsi="Arial" w:cs="Arial"/>
        </w:rPr>
        <w:t>eurot</w:t>
      </w:r>
      <w:r w:rsidRPr="006E54B9">
        <w:rPr>
          <w:rFonts w:ascii="Arial" w:eastAsia="Arial" w:hAnsi="Arial" w:cs="Arial"/>
          <w:szCs w:val="24"/>
        </w:rPr>
        <w:t xml:space="preserve">. Suurim aastatulu kinnistusüksuse kohta oli Tallinnas (üle 7500 </w:t>
      </w:r>
      <w:r w:rsidR="0025685E">
        <w:rPr>
          <w:rFonts w:ascii="Arial" w:eastAsia="Arial" w:hAnsi="Arial" w:cs="Arial"/>
          <w:szCs w:val="24"/>
        </w:rPr>
        <w:t>euro</w:t>
      </w:r>
      <w:r w:rsidRPr="006E54B9">
        <w:rPr>
          <w:rFonts w:ascii="Arial" w:eastAsia="Arial" w:hAnsi="Arial" w:cs="Arial"/>
          <w:szCs w:val="24"/>
        </w:rPr>
        <w:t xml:space="preserve">), maakondade keskmised jäid 1300 ja 5500 </w:t>
      </w:r>
      <w:r w:rsidR="0025685E">
        <w:rPr>
          <w:rFonts w:ascii="Arial" w:eastAsia="Arial" w:hAnsi="Arial" w:cs="Arial"/>
          <w:szCs w:val="24"/>
        </w:rPr>
        <w:t>euro</w:t>
      </w:r>
      <w:r w:rsidRPr="006E54B9">
        <w:rPr>
          <w:rFonts w:ascii="Arial" w:eastAsia="Arial" w:hAnsi="Arial" w:cs="Arial"/>
          <w:szCs w:val="24"/>
        </w:rPr>
        <w:t xml:space="preserve"> vahemikku</w:t>
      </w:r>
      <w:r w:rsidRPr="5A6C717C">
        <w:rPr>
          <w:rFonts w:ascii="Arial" w:eastAsia="Arial" w:hAnsi="Arial" w:cs="Arial"/>
          <w:color w:val="8764B8"/>
          <w:szCs w:val="24"/>
        </w:rPr>
        <w:t>.</w:t>
      </w:r>
      <w:r w:rsidRPr="5A6C717C">
        <w:rPr>
          <w:rFonts w:ascii="Arial" w:eastAsia="Arial" w:hAnsi="Arial" w:cs="Arial"/>
          <w:szCs w:val="24"/>
        </w:rPr>
        <w:t xml:space="preserve"> </w:t>
      </w:r>
      <w:r w:rsidR="6B68F418" w:rsidRPr="288A3578">
        <w:rPr>
          <w:rFonts w:eastAsiaTheme="minorEastAsia"/>
          <w:b/>
          <w:bCs/>
        </w:rPr>
        <w:t xml:space="preserve">Keskmine Eesti majanduslikult aktiivne kinnistusüksus teenis 2023. aastal majutajale </w:t>
      </w:r>
      <w:r w:rsidR="1480220A" w:rsidRPr="288A3578">
        <w:rPr>
          <w:rFonts w:eastAsiaTheme="minorEastAsia"/>
          <w:b/>
          <w:bCs/>
        </w:rPr>
        <w:t>müügitulu</w:t>
      </w:r>
      <w:r w:rsidR="6B68F418" w:rsidRPr="288A3578">
        <w:rPr>
          <w:rFonts w:eastAsiaTheme="minorEastAsia"/>
          <w:b/>
          <w:bCs/>
        </w:rPr>
        <w:t xml:space="preserve"> veidi üle </w:t>
      </w:r>
      <w:r w:rsidRPr="5A6C717C">
        <w:rPr>
          <w:rFonts w:eastAsiaTheme="minorEastAsia"/>
          <w:b/>
          <w:bCs/>
        </w:rPr>
        <w:t>59</w:t>
      </w:r>
      <w:r w:rsidR="6B68F418" w:rsidRPr="288A3578">
        <w:rPr>
          <w:rFonts w:eastAsiaTheme="minorEastAsia"/>
          <w:b/>
          <w:bCs/>
        </w:rPr>
        <w:t>00 euro aastas</w:t>
      </w:r>
      <w:r w:rsidR="6B68F418" w:rsidRPr="288A3578">
        <w:rPr>
          <w:rFonts w:eastAsiaTheme="minorEastAsia"/>
        </w:rPr>
        <w:t>.</w:t>
      </w:r>
    </w:p>
    <w:p w14:paraId="4D3B3398" w14:textId="260063B0" w:rsidR="6C8925FD" w:rsidRPr="00E14EBC" w:rsidRDefault="6C8925FD" w:rsidP="6C8925FD">
      <w:pPr>
        <w:spacing w:before="0" w:line="257" w:lineRule="auto"/>
        <w:jc w:val="both"/>
        <w:rPr>
          <w:rFonts w:eastAsiaTheme="minorEastAsia"/>
        </w:rPr>
      </w:pPr>
      <w:r w:rsidRPr="00E14EBC">
        <w:rPr>
          <w:rFonts w:eastAsiaTheme="minorEastAsia"/>
        </w:rPr>
        <w:t xml:space="preserve">Keskmine aastane müügitulu </w:t>
      </w:r>
      <w:r w:rsidR="384318D4" w:rsidRPr="00E14EBC">
        <w:rPr>
          <w:rFonts w:eastAsiaTheme="minorEastAsia"/>
        </w:rPr>
        <w:t>majutuskoha</w:t>
      </w:r>
      <w:r w:rsidRPr="00E14EBC">
        <w:rPr>
          <w:rFonts w:eastAsiaTheme="minorEastAsia"/>
        </w:rPr>
        <w:t xml:space="preserve"> kohta on Tallinnas umbes poole kõrgem kui Tartus ja Pärnus. Samas on </w:t>
      </w:r>
      <w:r w:rsidR="08DCD68B" w:rsidRPr="00E14EBC">
        <w:rPr>
          <w:rFonts w:eastAsiaTheme="minorEastAsia"/>
        </w:rPr>
        <w:t>MTA-le</w:t>
      </w:r>
      <w:r w:rsidRPr="00E14EBC">
        <w:rPr>
          <w:rFonts w:eastAsiaTheme="minorEastAsia"/>
        </w:rPr>
        <w:t xml:space="preserve"> platvormidelt edastatud </w:t>
      </w:r>
      <w:r w:rsidR="367D1B43" w:rsidRPr="00E14EBC">
        <w:rPr>
          <w:rFonts w:eastAsiaTheme="minorEastAsia"/>
        </w:rPr>
        <w:t>tulude</w:t>
      </w:r>
      <w:r w:rsidRPr="00E14EBC">
        <w:rPr>
          <w:rFonts w:eastAsiaTheme="minorEastAsia"/>
        </w:rPr>
        <w:t xml:space="preserve"> </w:t>
      </w:r>
      <w:r w:rsidR="517D4FAA" w:rsidRPr="00E14EBC">
        <w:rPr>
          <w:rFonts w:eastAsiaTheme="minorEastAsia"/>
        </w:rPr>
        <w:t xml:space="preserve">tase </w:t>
      </w:r>
      <w:r w:rsidRPr="00E14EBC">
        <w:rPr>
          <w:rFonts w:eastAsiaTheme="minorEastAsia"/>
        </w:rPr>
        <w:t xml:space="preserve">kinnistusühiku kohta umbes poole </w:t>
      </w:r>
      <w:r w:rsidR="517D4FAA" w:rsidRPr="00E14EBC">
        <w:rPr>
          <w:rFonts w:eastAsiaTheme="minorEastAsia"/>
        </w:rPr>
        <w:t>madalam</w:t>
      </w:r>
      <w:r w:rsidRPr="00E14EBC">
        <w:rPr>
          <w:rFonts w:eastAsiaTheme="minorEastAsia"/>
        </w:rPr>
        <w:t xml:space="preserve"> kui AirDNA jt </w:t>
      </w:r>
      <w:r w:rsidR="4E674811" w:rsidRPr="00E14EBC">
        <w:rPr>
          <w:rFonts w:eastAsiaTheme="minorEastAsia"/>
        </w:rPr>
        <w:t>analüütikaettevõtete</w:t>
      </w:r>
      <w:r w:rsidRPr="00E14EBC">
        <w:rPr>
          <w:rFonts w:eastAsiaTheme="minorEastAsia"/>
        </w:rPr>
        <w:t xml:space="preserve"> avaldatud </w:t>
      </w:r>
      <w:r w:rsidR="756B0229" w:rsidRPr="00E14EBC">
        <w:rPr>
          <w:rFonts w:eastAsiaTheme="minorEastAsia"/>
        </w:rPr>
        <w:t>andmetes</w:t>
      </w:r>
      <w:r w:rsidRPr="00E14EBC">
        <w:rPr>
          <w:rFonts w:eastAsiaTheme="minorEastAsia"/>
        </w:rPr>
        <w:t>.</w:t>
      </w:r>
    </w:p>
    <w:p w14:paraId="54EC3061" w14:textId="0169CA49" w:rsidR="6C8925FD" w:rsidRPr="00E14EBC" w:rsidRDefault="6B68F418" w:rsidP="6D174230">
      <w:pPr>
        <w:spacing w:before="0" w:line="257" w:lineRule="auto"/>
        <w:jc w:val="both"/>
        <w:rPr>
          <w:rFonts w:eastAsiaTheme="minorEastAsia"/>
        </w:rPr>
      </w:pPr>
      <w:r w:rsidRPr="288A3578">
        <w:rPr>
          <w:rFonts w:eastAsiaTheme="minorEastAsia"/>
        </w:rPr>
        <w:t>MTA andmete kohaselt moodustasid juriidilised isikud 2023.</w:t>
      </w:r>
      <w:r w:rsidR="750CB31C" w:rsidRPr="288A3578">
        <w:rPr>
          <w:rFonts w:eastAsiaTheme="minorEastAsia"/>
        </w:rPr>
        <w:t xml:space="preserve"> </w:t>
      </w:r>
      <w:r w:rsidRPr="288A3578">
        <w:rPr>
          <w:rFonts w:eastAsiaTheme="minorEastAsia"/>
        </w:rPr>
        <w:t>a</w:t>
      </w:r>
      <w:r w:rsidR="046C1CEF" w:rsidRPr="288A3578">
        <w:rPr>
          <w:rFonts w:eastAsiaTheme="minorEastAsia"/>
        </w:rPr>
        <w:t>astal</w:t>
      </w:r>
      <w:r w:rsidRPr="288A3578">
        <w:rPr>
          <w:rFonts w:eastAsiaTheme="minorEastAsia"/>
        </w:rPr>
        <w:t xml:space="preserve"> kogu Eestis kolmveerandi nii tehingute arvust kui tuludest, seega võib öelda, et </w:t>
      </w:r>
      <w:r w:rsidRPr="288A3578">
        <w:rPr>
          <w:rFonts w:eastAsiaTheme="minorEastAsia"/>
          <w:b/>
          <w:bCs/>
        </w:rPr>
        <w:t>vähemalt 3/4 majanduslikult aktiivsest turust kogu Eestis ja üle 4/5 Tallinnas moodustab püsiv (s.o mitte juhuslik või ajutine) majandustegevus</w:t>
      </w:r>
      <w:r w:rsidR="3EF5E230" w:rsidRPr="288A3578">
        <w:rPr>
          <w:rFonts w:eastAsiaTheme="minorEastAsia"/>
          <w:b/>
          <w:bCs/>
        </w:rPr>
        <w:t xml:space="preserve"> </w:t>
      </w:r>
      <w:r w:rsidR="3113666D" w:rsidRPr="288A3578">
        <w:rPr>
          <w:rFonts w:eastAsiaTheme="minorEastAsia"/>
          <w:b/>
          <w:bCs/>
        </w:rPr>
        <w:t>ehk ettevõtlus</w:t>
      </w:r>
      <w:r w:rsidRPr="288A3578">
        <w:rPr>
          <w:rFonts w:eastAsiaTheme="minorEastAsia"/>
        </w:rPr>
        <w:t>.</w:t>
      </w:r>
      <w:r w:rsidR="6D174230" w:rsidRPr="6D174230">
        <w:rPr>
          <w:rFonts w:eastAsiaTheme="minorEastAsia"/>
        </w:rPr>
        <w:t xml:space="preserve"> Teisalt, kuna </w:t>
      </w:r>
      <w:r w:rsidR="6D174230" w:rsidRPr="6D174230">
        <w:rPr>
          <w:rFonts w:ascii="Arial" w:eastAsia="Arial" w:hAnsi="Arial" w:cs="Arial"/>
          <w:szCs w:val="24"/>
        </w:rPr>
        <w:t xml:space="preserve">MTA andmeil umbes kolmveerand kõigist </w:t>
      </w:r>
      <w:r w:rsidR="00F41DE6">
        <w:rPr>
          <w:rFonts w:ascii="Arial" w:eastAsia="Arial" w:hAnsi="Arial" w:cs="Arial"/>
          <w:szCs w:val="24"/>
        </w:rPr>
        <w:t>pakkujatest</w:t>
      </w:r>
      <w:r w:rsidR="6D174230" w:rsidRPr="6D174230">
        <w:rPr>
          <w:rFonts w:ascii="Arial" w:eastAsia="Arial" w:hAnsi="Arial" w:cs="Arial"/>
          <w:szCs w:val="24"/>
        </w:rPr>
        <w:t xml:space="preserve"> majandab ühe majutuskohaga (kinnistusüksusega), juriidilistest isikutest 70% ja füüsilistest isikutest 85%, võime järeldada, et valdava osa majutajate jaoks ei ole ilmselt tegemist nende peamise elatusallikaga. </w:t>
      </w:r>
    </w:p>
    <w:p w14:paraId="140D82BA" w14:textId="06864B87" w:rsidR="6C8925FD" w:rsidRPr="00E14EBC" w:rsidRDefault="6D174230" w:rsidP="288A3578">
      <w:pPr>
        <w:spacing w:before="0" w:line="257" w:lineRule="auto"/>
        <w:jc w:val="both"/>
        <w:rPr>
          <w:rFonts w:eastAsiaTheme="minorEastAsia"/>
        </w:rPr>
      </w:pPr>
      <w:r w:rsidRPr="74B51771">
        <w:rPr>
          <w:rFonts w:ascii="Arial" w:eastAsia="Arial" w:hAnsi="Arial" w:cs="Arial"/>
        </w:rPr>
        <w:t xml:space="preserve">Seega võib väita, et turg on </w:t>
      </w:r>
      <w:r w:rsidR="74B51771" w:rsidRPr="74B51771">
        <w:rPr>
          <w:rFonts w:ascii="Arial" w:eastAsia="Arial" w:hAnsi="Arial" w:cs="Arial"/>
        </w:rPr>
        <w:t xml:space="preserve">profesionaalsuse </w:t>
      </w:r>
      <w:r w:rsidR="7D777874" w:rsidRPr="7D777874">
        <w:rPr>
          <w:rFonts w:ascii="Arial" w:eastAsia="Arial" w:hAnsi="Arial" w:cs="Arial"/>
        </w:rPr>
        <w:t>vaates polariseerunud</w:t>
      </w:r>
      <w:r w:rsidRPr="74B51771">
        <w:rPr>
          <w:rFonts w:ascii="Arial" w:eastAsia="Arial" w:hAnsi="Arial" w:cs="Arial"/>
        </w:rPr>
        <w:t xml:space="preserve"> - ühel pool on väike arv kutselisi majutajaid, kes teenivad lõviosa tuludest, ja teisel pool suur hulk mittekutselisi majutajaid, kes osutavad väikeses mahus majutusteenust juhuslikku laadi majandustegevusena.</w:t>
      </w:r>
    </w:p>
    <w:p w14:paraId="11F494C3" w14:textId="3F5F6091" w:rsidR="6C8925FD" w:rsidRPr="00E14EBC" w:rsidRDefault="13912D4C" w:rsidP="288A3578">
      <w:pPr>
        <w:spacing w:before="0" w:line="257" w:lineRule="auto"/>
        <w:jc w:val="both"/>
        <w:rPr>
          <w:rFonts w:eastAsiaTheme="minorEastAsia"/>
        </w:rPr>
      </w:pPr>
      <w:r w:rsidRPr="288A3578">
        <w:rPr>
          <w:rFonts w:eastAsiaTheme="minorEastAsia"/>
        </w:rPr>
        <w:t>Andmeanalüütika</w:t>
      </w:r>
      <w:r w:rsidR="6B68F418" w:rsidRPr="288A3578">
        <w:rPr>
          <w:rFonts w:eastAsiaTheme="minorEastAsia"/>
        </w:rPr>
        <w:t xml:space="preserve"> ettevõtete ja MTA/</w:t>
      </w:r>
      <w:r w:rsidR="109F6AD4" w:rsidRPr="288A3578">
        <w:rPr>
          <w:rFonts w:eastAsiaTheme="minorEastAsia"/>
        </w:rPr>
        <w:t>Eurostati</w:t>
      </w:r>
      <w:r w:rsidR="6B68F418" w:rsidRPr="288A3578">
        <w:rPr>
          <w:rFonts w:eastAsiaTheme="minorEastAsia"/>
        </w:rPr>
        <w:t xml:space="preserve"> </w:t>
      </w:r>
      <w:r w:rsidR="70CB47BF" w:rsidRPr="288A3578">
        <w:rPr>
          <w:rFonts w:eastAsiaTheme="minorEastAsia"/>
        </w:rPr>
        <w:t>andmete vahel on nõudluse</w:t>
      </w:r>
      <w:r w:rsidR="56C147BB" w:rsidRPr="288A3578">
        <w:rPr>
          <w:rFonts w:eastAsiaTheme="minorEastAsia"/>
        </w:rPr>
        <w:t>, tehingute</w:t>
      </w:r>
      <w:r w:rsidR="6B68F418" w:rsidRPr="288A3578">
        <w:rPr>
          <w:rFonts w:eastAsiaTheme="minorEastAsia"/>
        </w:rPr>
        <w:t xml:space="preserve"> ja </w:t>
      </w:r>
      <w:r w:rsidR="6B0A8D42" w:rsidRPr="288A3578">
        <w:rPr>
          <w:rFonts w:eastAsiaTheme="minorEastAsia"/>
        </w:rPr>
        <w:t>müügitulude</w:t>
      </w:r>
      <w:r w:rsidR="6B68F418" w:rsidRPr="288A3578">
        <w:rPr>
          <w:rFonts w:eastAsiaTheme="minorEastAsia"/>
        </w:rPr>
        <w:t xml:space="preserve"> </w:t>
      </w:r>
      <w:r w:rsidR="70CB47BF" w:rsidRPr="288A3578">
        <w:rPr>
          <w:rFonts w:eastAsiaTheme="minorEastAsia"/>
        </w:rPr>
        <w:t>osas</w:t>
      </w:r>
      <w:r w:rsidR="6B68F418" w:rsidRPr="288A3578">
        <w:rPr>
          <w:rFonts w:eastAsiaTheme="minorEastAsia"/>
        </w:rPr>
        <w:t xml:space="preserve"> </w:t>
      </w:r>
      <w:r w:rsidR="159D6D56" w:rsidRPr="288A3578">
        <w:rPr>
          <w:rFonts w:eastAsiaTheme="minorEastAsia"/>
        </w:rPr>
        <w:t>märkimisväärsed</w:t>
      </w:r>
      <w:r w:rsidR="299FA8A9" w:rsidRPr="288A3578">
        <w:rPr>
          <w:rFonts w:eastAsiaTheme="minorEastAsia"/>
        </w:rPr>
        <w:t xml:space="preserve"> erinevused</w:t>
      </w:r>
      <w:r w:rsidR="159D6D56" w:rsidRPr="288A3578">
        <w:rPr>
          <w:rFonts w:eastAsiaTheme="minorEastAsia"/>
        </w:rPr>
        <w:t>, mis tõstatab</w:t>
      </w:r>
      <w:r w:rsidR="58A85839" w:rsidRPr="288A3578">
        <w:rPr>
          <w:rFonts w:eastAsiaTheme="minorEastAsia"/>
        </w:rPr>
        <w:t xml:space="preserve"> küsimuse</w:t>
      </w:r>
      <w:r w:rsidR="6AC76F39" w:rsidRPr="288A3578">
        <w:rPr>
          <w:rFonts w:eastAsiaTheme="minorEastAsia"/>
        </w:rPr>
        <w:t>,</w:t>
      </w:r>
      <w:r w:rsidR="6B68F418" w:rsidRPr="288A3578">
        <w:rPr>
          <w:rFonts w:eastAsiaTheme="minorEastAsia"/>
        </w:rPr>
        <w:t xml:space="preserve"> milline osa platvormidel avaldatavatest kuulutustest on päriselt ja peamiselt suunatud turistidele</w:t>
      </w:r>
      <w:r w:rsidR="337DA969" w:rsidRPr="288A3578">
        <w:rPr>
          <w:rFonts w:eastAsiaTheme="minorEastAsia"/>
        </w:rPr>
        <w:t xml:space="preserve"> </w:t>
      </w:r>
      <w:r w:rsidR="5E7CFC4F" w:rsidRPr="288A3578">
        <w:rPr>
          <w:rFonts w:eastAsiaTheme="minorEastAsia"/>
        </w:rPr>
        <w:t xml:space="preserve">ehk kui </w:t>
      </w:r>
      <w:r w:rsidR="2140DC6F" w:rsidRPr="288A3578">
        <w:rPr>
          <w:rFonts w:eastAsiaTheme="minorEastAsia"/>
        </w:rPr>
        <w:t xml:space="preserve">suur on </w:t>
      </w:r>
      <w:r w:rsidR="40426D4E" w:rsidRPr="288A3578">
        <w:rPr>
          <w:rFonts w:eastAsiaTheme="minorEastAsia"/>
        </w:rPr>
        <w:t xml:space="preserve">praktikas </w:t>
      </w:r>
      <w:r w:rsidR="40D08A3A" w:rsidRPr="288A3578">
        <w:rPr>
          <w:rFonts w:eastAsiaTheme="minorEastAsia"/>
        </w:rPr>
        <w:t xml:space="preserve">valdavalt isiklikuks tarbimiseks soetatud </w:t>
      </w:r>
      <w:r w:rsidR="20ADD4AE" w:rsidRPr="288A3578">
        <w:rPr>
          <w:rFonts w:eastAsiaTheme="minorEastAsia"/>
        </w:rPr>
        <w:t>(puhkuse)</w:t>
      </w:r>
      <w:r w:rsidR="7B1877B1" w:rsidRPr="288A3578">
        <w:rPr>
          <w:rFonts w:eastAsiaTheme="minorEastAsia"/>
        </w:rPr>
        <w:t xml:space="preserve">kinnisvara </w:t>
      </w:r>
      <w:r w:rsidR="299FA8A9" w:rsidRPr="288A3578">
        <w:rPr>
          <w:rFonts w:eastAsiaTheme="minorEastAsia"/>
        </w:rPr>
        <w:t>osakaal</w:t>
      </w:r>
      <w:r w:rsidR="20ADD4AE" w:rsidRPr="288A3578">
        <w:rPr>
          <w:rFonts w:eastAsiaTheme="minorEastAsia"/>
        </w:rPr>
        <w:t xml:space="preserve"> ning sellega </w:t>
      </w:r>
      <w:r w:rsidR="39C945C9" w:rsidRPr="288A3578">
        <w:rPr>
          <w:rFonts w:eastAsiaTheme="minorEastAsia"/>
        </w:rPr>
        <w:t xml:space="preserve">kaasnev maksuoptimeerimine läbi </w:t>
      </w:r>
      <w:r w:rsidR="232D1069" w:rsidRPr="288A3578">
        <w:rPr>
          <w:rFonts w:eastAsiaTheme="minorEastAsia"/>
        </w:rPr>
        <w:t>sisendkäibemaksu mahaarvamise.</w:t>
      </w:r>
    </w:p>
    <w:p w14:paraId="3A876849" w14:textId="2D5D7D46" w:rsidR="6C8925FD" w:rsidRPr="00E14EBC" w:rsidRDefault="00373A50" w:rsidP="6C8925FD">
      <w:pPr>
        <w:spacing w:before="0" w:line="257" w:lineRule="auto"/>
        <w:jc w:val="both"/>
        <w:rPr>
          <w:rFonts w:eastAsiaTheme="minorEastAsia"/>
        </w:rPr>
      </w:pPr>
      <w:r>
        <w:rPr>
          <w:rFonts w:eastAsiaTheme="minorEastAsia"/>
          <w:b/>
          <w:bCs/>
        </w:rPr>
        <w:t>H</w:t>
      </w:r>
      <w:r w:rsidR="6C8925FD" w:rsidRPr="00373A50">
        <w:rPr>
          <w:rFonts w:eastAsiaTheme="minorEastAsia"/>
          <w:b/>
          <w:bCs/>
        </w:rPr>
        <w:t>ooajalisus</w:t>
      </w:r>
      <w:r>
        <w:rPr>
          <w:rFonts w:eastAsiaTheme="minorEastAsia"/>
          <w:b/>
          <w:bCs/>
        </w:rPr>
        <w:t xml:space="preserve"> |</w:t>
      </w:r>
      <w:r w:rsidR="6C8925FD" w:rsidRPr="00E14EBC">
        <w:rPr>
          <w:rFonts w:eastAsiaTheme="minorEastAsia"/>
        </w:rPr>
        <w:t xml:space="preserve"> </w:t>
      </w:r>
      <w:r w:rsidR="005C6D15">
        <w:rPr>
          <w:rFonts w:eastAsiaTheme="minorEastAsia"/>
        </w:rPr>
        <w:t>L</w:t>
      </w:r>
      <w:r w:rsidR="6C8925FD" w:rsidRPr="00E14EBC">
        <w:rPr>
          <w:rFonts w:eastAsiaTheme="minorEastAsia"/>
        </w:rPr>
        <w:t xml:space="preserve">ühiajalise </w:t>
      </w:r>
      <w:r w:rsidR="4EB9524E" w:rsidRPr="00E14EBC">
        <w:rPr>
          <w:rFonts w:eastAsiaTheme="minorEastAsia"/>
        </w:rPr>
        <w:t>üüri</w:t>
      </w:r>
      <w:r w:rsidR="6C8925FD" w:rsidRPr="00E14EBC">
        <w:rPr>
          <w:rFonts w:eastAsiaTheme="minorEastAsia"/>
        </w:rPr>
        <w:t xml:space="preserve"> turgu iseloomustab suur hooajaline kõikumine nii pakkumise, nõudluse kui </w:t>
      </w:r>
      <w:r w:rsidR="4223B241" w:rsidRPr="00E14EBC">
        <w:rPr>
          <w:rFonts w:eastAsiaTheme="minorEastAsia"/>
        </w:rPr>
        <w:t>müügitulude</w:t>
      </w:r>
      <w:r w:rsidR="6C8925FD" w:rsidRPr="00E14EBC">
        <w:rPr>
          <w:rFonts w:eastAsiaTheme="minorEastAsia"/>
        </w:rPr>
        <w:t xml:space="preserve"> osas.</w:t>
      </w:r>
    </w:p>
    <w:p w14:paraId="0C7F8518" w14:textId="3F9CD4FE" w:rsidR="6C8925FD" w:rsidRPr="00E14EBC" w:rsidRDefault="6C8925FD" w:rsidP="6C8925FD">
      <w:pPr>
        <w:spacing w:before="0" w:line="257" w:lineRule="auto"/>
        <w:jc w:val="both"/>
        <w:rPr>
          <w:rFonts w:eastAsiaTheme="minorEastAsia"/>
        </w:rPr>
      </w:pPr>
      <w:r w:rsidRPr="00E14EBC">
        <w:rPr>
          <w:rFonts w:eastAsiaTheme="minorEastAsia"/>
          <w:b/>
          <w:bCs/>
        </w:rPr>
        <w:t>Üle poole lühiajalise üüri majutuskohtadest Eestis on saadaval vähem kui 6 kuud aastas</w:t>
      </w:r>
      <w:r w:rsidRPr="00E14EBC">
        <w:rPr>
          <w:rFonts w:eastAsiaTheme="minorEastAsia"/>
        </w:rPr>
        <w:t>. Aasta lõikes on saadavuse poolest teistest märgatavalt stabiilsemad vaid lühiajalise</w:t>
      </w:r>
      <w:r w:rsidRPr="00E14EBC">
        <w:rPr>
          <w:rFonts w:eastAsiaTheme="minorEastAsia"/>
          <w:b/>
          <w:bCs/>
        </w:rPr>
        <w:t xml:space="preserve"> </w:t>
      </w:r>
      <w:r w:rsidRPr="00E14EBC">
        <w:rPr>
          <w:rFonts w:eastAsiaTheme="minorEastAsia"/>
        </w:rPr>
        <w:t xml:space="preserve">üüri turud Tallinnas ja Tartus, kus on palju tööalast turismi, ülikoolid, idu- ja tehnoloogiaettevõtted, arvukalt </w:t>
      </w:r>
      <w:r w:rsidRPr="00E14EBC">
        <w:rPr>
          <w:rFonts w:eastAsiaTheme="minorEastAsia"/>
        </w:rPr>
        <w:lastRenderedPageBreak/>
        <w:t>kultuuri jm sündmuseid – 45% Tallinna ja Tartu majutuskohtadest on saadaval 181–365 päeva aastas, samas kui Pärnu majutuskohtadest ¾</w:t>
      </w:r>
      <w:r w:rsidR="00B7799E" w:rsidRPr="00E14EBC">
        <w:rPr>
          <w:rFonts w:eastAsiaTheme="minorEastAsia"/>
        </w:rPr>
        <w:t xml:space="preserve"> </w:t>
      </w:r>
      <w:r w:rsidRPr="00E14EBC">
        <w:rPr>
          <w:rFonts w:eastAsiaTheme="minorEastAsia"/>
        </w:rPr>
        <w:t>on saadaval/pakkumisel kuni 180 päeva aastas</w:t>
      </w:r>
      <w:r w:rsidR="199675E2" w:rsidRPr="199675E2">
        <w:rPr>
          <w:rFonts w:eastAsiaTheme="minorEastAsia"/>
        </w:rPr>
        <w:t xml:space="preserve"> </w:t>
      </w:r>
      <w:r w:rsidR="7DE3713F" w:rsidRPr="7DE3713F">
        <w:rPr>
          <w:rFonts w:eastAsiaTheme="minorEastAsia"/>
        </w:rPr>
        <w:t>ning 47% vaid kuni 90 päeva.</w:t>
      </w:r>
      <w:r w:rsidRPr="00E14EBC">
        <w:rPr>
          <w:rFonts w:eastAsiaTheme="minorEastAsia"/>
        </w:rPr>
        <w:t xml:space="preserve"> Suurim hooajalisuse mõju ongi täheldatav peamistes kuurortlinnades – Pärnus ja Haapsalus on vaid 24% Airbnb majutuskohtadest saadaval üle poole aasta, Kuressaares 31%. </w:t>
      </w:r>
    </w:p>
    <w:p w14:paraId="07CF6CE4" w14:textId="4908830D" w:rsidR="6C8925FD" w:rsidRPr="00E14EBC" w:rsidRDefault="6B68F418" w:rsidP="288A3578">
      <w:pPr>
        <w:spacing w:before="0" w:line="257" w:lineRule="auto"/>
        <w:jc w:val="both"/>
        <w:rPr>
          <w:rFonts w:eastAsiaTheme="minorEastAsia"/>
        </w:rPr>
      </w:pPr>
      <w:r w:rsidRPr="288A3578">
        <w:rPr>
          <w:rFonts w:eastAsiaTheme="minorEastAsia"/>
        </w:rPr>
        <w:t>Nõudluse poolest on Tallinn ja Tartu pea ainsad, kus madalhooajal säilib lühiajalise üüri turul üle 30% täitumus. Sisuliselt on kõrghooaeg suures osas Eestis lühiajalise üüri pakkumisi, täitumusi ja tulusid vaadates vaid juulikuu</w:t>
      </w:r>
      <w:r w:rsidR="27500993" w:rsidRPr="288A3578">
        <w:rPr>
          <w:rFonts w:eastAsiaTheme="minorEastAsia"/>
        </w:rPr>
        <w:t>s</w:t>
      </w:r>
      <w:r w:rsidRPr="288A3578">
        <w:rPr>
          <w:rFonts w:eastAsiaTheme="minorEastAsia"/>
        </w:rPr>
        <w:t xml:space="preserve">, külgnevad juuni ja august on juba pisut kehvemate tulemustega ning ülejäänud kuud (v.a detsember ja enne vene turistide kadumist ka jaanuar) on madalhooaeg. </w:t>
      </w:r>
    </w:p>
    <w:p w14:paraId="30BF10F4" w14:textId="10BEF4D2" w:rsidR="6C8925FD" w:rsidRPr="006F0232" w:rsidRDefault="4B610D54" w:rsidP="288A3578">
      <w:pPr>
        <w:spacing w:before="0" w:line="257" w:lineRule="auto"/>
        <w:jc w:val="both"/>
        <w:rPr>
          <w:rStyle w:val="PurpleText"/>
        </w:rPr>
      </w:pPr>
      <w:r w:rsidRPr="006F0232">
        <w:rPr>
          <w:rStyle w:val="PurpleText"/>
        </w:rPr>
        <w:t>Ametlik majutusstatistika vs</w:t>
      </w:r>
      <w:r w:rsidR="003C4582" w:rsidRPr="006F0232">
        <w:rPr>
          <w:rStyle w:val="PurpleText"/>
        </w:rPr>
        <w:t>.</w:t>
      </w:r>
      <w:r w:rsidRPr="006F0232">
        <w:rPr>
          <w:rStyle w:val="PurpleText"/>
        </w:rPr>
        <w:t xml:space="preserve"> lühiajalise üüri turu </w:t>
      </w:r>
      <w:r w:rsidR="43F7AD31" w:rsidRPr="006F0232">
        <w:rPr>
          <w:rStyle w:val="PurpleText"/>
        </w:rPr>
        <w:t>analüütika</w:t>
      </w:r>
    </w:p>
    <w:p w14:paraId="44648799" w14:textId="16FF6985" w:rsidR="6C8925FD" w:rsidRPr="00E14EBC" w:rsidRDefault="43F7AD31" w:rsidP="288A3578">
      <w:pPr>
        <w:spacing w:before="0" w:line="257" w:lineRule="auto"/>
        <w:jc w:val="both"/>
        <w:rPr>
          <w:rFonts w:eastAsiaTheme="minorEastAsia"/>
        </w:rPr>
      </w:pPr>
      <w:r w:rsidRPr="288A3578">
        <w:rPr>
          <w:rFonts w:eastAsiaTheme="minorEastAsia"/>
        </w:rPr>
        <w:t>Lühiajalise üüri</w:t>
      </w:r>
      <w:r w:rsidR="6B68F418" w:rsidRPr="288A3578">
        <w:rPr>
          <w:rFonts w:eastAsiaTheme="minorEastAsia"/>
        </w:rPr>
        <w:t xml:space="preserve"> kogupakkumisest (</w:t>
      </w:r>
      <w:r w:rsidR="3A1E73D2" w:rsidRPr="288A3578">
        <w:rPr>
          <w:rFonts w:eastAsiaTheme="minorEastAsia"/>
        </w:rPr>
        <w:t>s.</w:t>
      </w:r>
      <w:r w:rsidR="10DFFFF9" w:rsidRPr="288A3578">
        <w:rPr>
          <w:rFonts w:eastAsiaTheme="minorEastAsia"/>
        </w:rPr>
        <w:t xml:space="preserve">o </w:t>
      </w:r>
      <w:r w:rsidR="6B68F418" w:rsidRPr="288A3578">
        <w:rPr>
          <w:rFonts w:eastAsiaTheme="minorEastAsia"/>
        </w:rPr>
        <w:t>voodikohtade arv</w:t>
      </w:r>
      <w:r w:rsidR="6B43546F" w:rsidRPr="288A3578">
        <w:rPr>
          <w:rFonts w:eastAsiaTheme="minorEastAsia"/>
        </w:rPr>
        <w:t xml:space="preserve"> </w:t>
      </w:r>
      <w:r w:rsidR="3F5D0484" w:rsidRPr="288A3578">
        <w:rPr>
          <w:rFonts w:eastAsiaTheme="minorEastAsia"/>
        </w:rPr>
        <w:t xml:space="preserve">Eestis </w:t>
      </w:r>
      <w:r w:rsidR="32C2B24A" w:rsidRPr="288A3578">
        <w:rPr>
          <w:rFonts w:ascii="Arial" w:eastAsia="Arial" w:hAnsi="Arial" w:cs="Arial"/>
        </w:rPr>
        <w:t>∼</w:t>
      </w:r>
      <w:r w:rsidR="3F5D0484" w:rsidRPr="288A3578">
        <w:rPr>
          <w:rFonts w:eastAsiaTheme="minorEastAsia"/>
        </w:rPr>
        <w:t>48 000</w:t>
      </w:r>
      <w:r w:rsidR="79D43B30" w:rsidRPr="288A3578">
        <w:rPr>
          <w:rFonts w:eastAsiaTheme="minorEastAsia"/>
        </w:rPr>
        <w:t>,</w:t>
      </w:r>
      <w:r w:rsidR="3F5D0484" w:rsidRPr="288A3578">
        <w:rPr>
          <w:rFonts w:eastAsiaTheme="minorEastAsia"/>
        </w:rPr>
        <w:t xml:space="preserve"> Tallinnas </w:t>
      </w:r>
      <w:r w:rsidR="1F53B72F" w:rsidRPr="288A3578">
        <w:rPr>
          <w:rFonts w:ascii="Arial" w:eastAsia="Arial" w:hAnsi="Arial" w:cs="Arial"/>
        </w:rPr>
        <w:t>∼</w:t>
      </w:r>
      <w:r w:rsidR="3F5D0484" w:rsidRPr="288A3578">
        <w:rPr>
          <w:rFonts w:eastAsiaTheme="minorEastAsia"/>
        </w:rPr>
        <w:t>10 500</w:t>
      </w:r>
      <w:r w:rsidR="79D43B30" w:rsidRPr="288A3578">
        <w:rPr>
          <w:rFonts w:eastAsiaTheme="minorEastAsia"/>
        </w:rPr>
        <w:t xml:space="preserve">, Tartus </w:t>
      </w:r>
      <w:r w:rsidR="3231C68F" w:rsidRPr="288A3578">
        <w:rPr>
          <w:rFonts w:ascii="Arial" w:eastAsia="Arial" w:hAnsi="Arial" w:cs="Arial"/>
        </w:rPr>
        <w:t>∼</w:t>
      </w:r>
      <w:r w:rsidR="6AB416C6" w:rsidRPr="288A3578">
        <w:rPr>
          <w:rFonts w:eastAsiaTheme="minorEastAsia"/>
        </w:rPr>
        <w:t xml:space="preserve">2400, Pärnus </w:t>
      </w:r>
      <w:r w:rsidR="3231C68F" w:rsidRPr="288A3578">
        <w:rPr>
          <w:rFonts w:ascii="Arial" w:eastAsia="Arial" w:hAnsi="Arial" w:cs="Arial"/>
        </w:rPr>
        <w:t>∼</w:t>
      </w:r>
      <w:r w:rsidR="6AB416C6" w:rsidRPr="288A3578">
        <w:rPr>
          <w:rFonts w:eastAsiaTheme="minorEastAsia"/>
        </w:rPr>
        <w:t>5400</w:t>
      </w:r>
      <w:r w:rsidR="6B68F418" w:rsidRPr="288A3578">
        <w:rPr>
          <w:rFonts w:eastAsiaTheme="minorEastAsia"/>
        </w:rPr>
        <w:t>) kajastus</w:t>
      </w:r>
      <w:r w:rsidR="00817A75">
        <w:rPr>
          <w:rFonts w:eastAsiaTheme="minorEastAsia"/>
        </w:rPr>
        <w:t xml:space="preserve"> SA </w:t>
      </w:r>
      <w:r w:rsidR="6B68F418" w:rsidRPr="288A3578">
        <w:rPr>
          <w:rFonts w:eastAsiaTheme="minorEastAsia"/>
        </w:rPr>
        <w:t>2024</w:t>
      </w:r>
      <w:r w:rsidR="00C56071">
        <w:rPr>
          <w:rFonts w:eastAsiaTheme="minorEastAsia"/>
        </w:rPr>
        <w:t>. aasta</w:t>
      </w:r>
      <w:r w:rsidR="6B68F418" w:rsidRPr="288A3578">
        <w:rPr>
          <w:rFonts w:eastAsiaTheme="minorEastAsia"/>
        </w:rPr>
        <w:t xml:space="preserve"> majutusstatistikas </w:t>
      </w:r>
      <w:r w:rsidR="00C8579A">
        <w:rPr>
          <w:rFonts w:eastAsiaTheme="minorEastAsia"/>
        </w:rPr>
        <w:t>meie</w:t>
      </w:r>
      <w:r w:rsidR="00C8579A" w:rsidRPr="288A3578">
        <w:rPr>
          <w:rFonts w:eastAsiaTheme="minorEastAsia"/>
        </w:rPr>
        <w:t xml:space="preserve"> </w:t>
      </w:r>
      <w:r w:rsidR="6B68F418" w:rsidRPr="288A3578">
        <w:rPr>
          <w:rFonts w:eastAsiaTheme="minorEastAsia"/>
        </w:rPr>
        <w:t xml:space="preserve">arvestuste ja hinnangute kohaselt Eestis umbes veerand </w:t>
      </w:r>
      <w:r w:rsidR="416332A2" w:rsidRPr="288A3578">
        <w:rPr>
          <w:rFonts w:eastAsiaTheme="minorEastAsia"/>
        </w:rPr>
        <w:t>(</w:t>
      </w:r>
      <w:r w:rsidR="416332A2" w:rsidRPr="288A3578">
        <w:rPr>
          <w:rFonts w:ascii="Arial" w:eastAsia="Arial" w:hAnsi="Arial" w:cs="Arial"/>
        </w:rPr>
        <w:t>∼</w:t>
      </w:r>
      <w:r w:rsidR="6B68F418" w:rsidRPr="288A3578">
        <w:rPr>
          <w:rFonts w:eastAsiaTheme="minorEastAsia"/>
        </w:rPr>
        <w:t>12 500</w:t>
      </w:r>
      <w:r w:rsidR="5F4685AC" w:rsidRPr="288A3578">
        <w:rPr>
          <w:rFonts w:eastAsiaTheme="minorEastAsia"/>
        </w:rPr>
        <w:t>), Tallinnas 14%,</w:t>
      </w:r>
      <w:r w:rsidR="6B68F418" w:rsidRPr="288A3578">
        <w:rPr>
          <w:rFonts w:eastAsiaTheme="minorEastAsia"/>
        </w:rPr>
        <w:t xml:space="preserve"> Pärnus </w:t>
      </w:r>
      <w:r w:rsidR="5F4685AC" w:rsidRPr="288A3578">
        <w:rPr>
          <w:rFonts w:eastAsiaTheme="minorEastAsia"/>
        </w:rPr>
        <w:t>10</w:t>
      </w:r>
      <w:r w:rsidR="6B68F418" w:rsidRPr="288A3578">
        <w:rPr>
          <w:rFonts w:eastAsiaTheme="minorEastAsia"/>
        </w:rPr>
        <w:t xml:space="preserve">%, Tartus </w:t>
      </w:r>
      <w:r w:rsidR="5F4685AC" w:rsidRPr="288A3578">
        <w:rPr>
          <w:rFonts w:eastAsiaTheme="minorEastAsia"/>
        </w:rPr>
        <w:t>12</w:t>
      </w:r>
      <w:r w:rsidR="6B68F418" w:rsidRPr="288A3578">
        <w:rPr>
          <w:rFonts w:eastAsiaTheme="minorEastAsia"/>
        </w:rPr>
        <w:t>%.</w:t>
      </w:r>
      <w:r w:rsidR="0064423F">
        <w:rPr>
          <w:rFonts w:eastAsiaTheme="minorEastAsia"/>
        </w:rPr>
        <w:t xml:space="preserve"> Nagu nähtub, siis just väljaspool linnu on kattuvus suurem, mis on </w:t>
      </w:r>
      <w:r w:rsidR="00454AF1">
        <w:rPr>
          <w:rFonts w:eastAsiaTheme="minorEastAsia"/>
        </w:rPr>
        <w:t>ilmselt selgitatav sealsete teenuse pakkujate suurusega, mistõttu satub suurem osa nendeks ka SA valimisse.</w:t>
      </w:r>
    </w:p>
    <w:p w14:paraId="4DC1DFFE" w14:textId="072C1AE3" w:rsidR="6C8925FD" w:rsidRPr="00E14EBC" w:rsidRDefault="1A262B8D" w:rsidP="6C8925FD">
      <w:pPr>
        <w:spacing w:before="0" w:line="257" w:lineRule="auto"/>
        <w:jc w:val="both"/>
        <w:rPr>
          <w:rFonts w:eastAsiaTheme="minorEastAsia"/>
        </w:rPr>
      </w:pPr>
      <w:r w:rsidRPr="00E14EBC">
        <w:rPr>
          <w:rFonts w:eastAsiaTheme="minorEastAsia"/>
        </w:rPr>
        <w:t>Lühiajalise üüri</w:t>
      </w:r>
      <w:r w:rsidR="6C8925FD" w:rsidRPr="00E14EBC">
        <w:rPr>
          <w:rFonts w:eastAsiaTheme="minorEastAsia"/>
        </w:rPr>
        <w:t xml:space="preserve"> kogunõudlusest (</w:t>
      </w:r>
      <w:r w:rsidR="7E2776AD" w:rsidRPr="00E14EBC">
        <w:rPr>
          <w:rFonts w:eastAsiaTheme="minorEastAsia"/>
        </w:rPr>
        <w:t xml:space="preserve">s.o </w:t>
      </w:r>
      <w:r w:rsidR="6C8925FD" w:rsidRPr="00E14EBC">
        <w:rPr>
          <w:rFonts w:eastAsiaTheme="minorEastAsia"/>
        </w:rPr>
        <w:t>ööbimiste arv</w:t>
      </w:r>
      <w:r w:rsidR="7E2776AD" w:rsidRPr="00E14EBC">
        <w:rPr>
          <w:rFonts w:eastAsiaTheme="minorEastAsia"/>
        </w:rPr>
        <w:t xml:space="preserve"> Eestis </w:t>
      </w:r>
      <w:r w:rsidR="7E2776AD" w:rsidRPr="00E14EBC">
        <w:rPr>
          <w:rFonts w:ascii="Arial" w:eastAsia="Arial" w:hAnsi="Arial" w:cs="Arial"/>
          <w:szCs w:val="24"/>
        </w:rPr>
        <w:t>∼1</w:t>
      </w:r>
      <w:r w:rsidR="3364AA96" w:rsidRPr="00E14EBC">
        <w:rPr>
          <w:rFonts w:ascii="Arial" w:eastAsia="Arial" w:hAnsi="Arial" w:cs="Arial"/>
          <w:szCs w:val="24"/>
        </w:rPr>
        <w:t>,5 mln</w:t>
      </w:r>
      <w:r w:rsidR="1E37D8FC" w:rsidRPr="00E14EBC">
        <w:rPr>
          <w:rFonts w:ascii="Arial" w:eastAsia="Arial" w:hAnsi="Arial" w:cs="Arial"/>
          <w:szCs w:val="24"/>
        </w:rPr>
        <w:t xml:space="preserve">, </w:t>
      </w:r>
      <w:r w:rsidR="6A9CA94D" w:rsidRPr="00E14EBC">
        <w:rPr>
          <w:rFonts w:ascii="Arial" w:eastAsia="Arial" w:hAnsi="Arial" w:cs="Arial"/>
          <w:szCs w:val="24"/>
        </w:rPr>
        <w:t>Tallinnas ∼748 000</w:t>
      </w:r>
      <w:r w:rsidR="6C8925FD" w:rsidRPr="00E14EBC">
        <w:rPr>
          <w:rFonts w:eastAsiaTheme="minorEastAsia"/>
        </w:rPr>
        <w:t>) kajastus</w:t>
      </w:r>
      <w:r w:rsidR="00817A75">
        <w:rPr>
          <w:rFonts w:eastAsiaTheme="minorEastAsia"/>
        </w:rPr>
        <w:t xml:space="preserve"> SA </w:t>
      </w:r>
      <w:r w:rsidR="00BF7217">
        <w:rPr>
          <w:rFonts w:eastAsiaTheme="minorEastAsia"/>
        </w:rPr>
        <w:t>20</w:t>
      </w:r>
      <w:r w:rsidR="6C8925FD" w:rsidRPr="00E14EBC">
        <w:rPr>
          <w:rFonts w:eastAsiaTheme="minorEastAsia"/>
        </w:rPr>
        <w:t>24</w:t>
      </w:r>
      <w:r w:rsidR="00C56071">
        <w:rPr>
          <w:rFonts w:eastAsiaTheme="minorEastAsia"/>
        </w:rPr>
        <w:t>. aasta</w:t>
      </w:r>
      <w:r w:rsidR="6C8925FD" w:rsidRPr="00E14EBC">
        <w:rPr>
          <w:rFonts w:eastAsiaTheme="minorEastAsia"/>
        </w:rPr>
        <w:t xml:space="preserve"> majutusstatistikas </w:t>
      </w:r>
      <w:r w:rsidR="3D607F6F" w:rsidRPr="00E14EBC">
        <w:rPr>
          <w:rFonts w:eastAsiaTheme="minorEastAsia"/>
        </w:rPr>
        <w:t>uurijate</w:t>
      </w:r>
      <w:r w:rsidR="6C8925FD" w:rsidRPr="00E14EBC">
        <w:rPr>
          <w:rFonts w:eastAsiaTheme="minorEastAsia"/>
        </w:rPr>
        <w:t xml:space="preserve"> arvestuste ja hinnangute kohaselt Eestis umbes 40% </w:t>
      </w:r>
      <w:r w:rsidR="62C8A79E" w:rsidRPr="00E14EBC">
        <w:rPr>
          <w:rFonts w:eastAsiaTheme="minorEastAsia"/>
        </w:rPr>
        <w:t>(</w:t>
      </w:r>
      <w:r w:rsidR="62C8A79E" w:rsidRPr="00E14EBC">
        <w:rPr>
          <w:rFonts w:ascii="Arial" w:eastAsia="Arial" w:hAnsi="Arial" w:cs="Arial"/>
          <w:szCs w:val="24"/>
        </w:rPr>
        <w:t>∼</w:t>
      </w:r>
      <w:r w:rsidR="62C8A79E" w:rsidRPr="00E14EBC">
        <w:rPr>
          <w:rFonts w:eastAsiaTheme="minorEastAsia"/>
        </w:rPr>
        <w:t>585</w:t>
      </w:r>
      <w:r w:rsidR="6C8925FD" w:rsidRPr="00E14EBC">
        <w:rPr>
          <w:rFonts w:eastAsiaTheme="minorEastAsia"/>
        </w:rPr>
        <w:t xml:space="preserve"> 000</w:t>
      </w:r>
      <w:r w:rsidR="3D607F6F" w:rsidRPr="00E14EBC">
        <w:rPr>
          <w:rFonts w:eastAsiaTheme="minorEastAsia"/>
        </w:rPr>
        <w:t>),</w:t>
      </w:r>
      <w:r w:rsidR="6C8925FD" w:rsidRPr="00E14EBC">
        <w:rPr>
          <w:rFonts w:eastAsiaTheme="minorEastAsia"/>
        </w:rPr>
        <w:t xml:space="preserve"> Tallinnas 23% ja mujal Eestis 56%.</w:t>
      </w:r>
    </w:p>
    <w:p w14:paraId="0B4ABB3A" w14:textId="421023B9" w:rsidR="6C8925FD" w:rsidRPr="00E14EBC" w:rsidRDefault="003407C7" w:rsidP="58A6FF9C">
      <w:pPr>
        <w:spacing w:before="0" w:line="257" w:lineRule="auto"/>
        <w:jc w:val="both"/>
        <w:rPr>
          <w:rFonts w:eastAsiaTheme="minorEastAsia"/>
        </w:rPr>
      </w:pPr>
      <w:r>
        <w:rPr>
          <w:rFonts w:eastAsiaTheme="minorEastAsia"/>
        </w:rPr>
        <w:t>K</w:t>
      </w:r>
      <w:r w:rsidR="58A6FF9C" w:rsidRPr="00E14EBC">
        <w:rPr>
          <w:rFonts w:eastAsiaTheme="minorEastAsia"/>
        </w:rPr>
        <w:t>õiki eluhoonetes majutusteenust pakkuvaid kinnistusüksuseid, mis ei ole korterid, s.t üksikelamutes tegutsevaid puhke- ja külalistemaju</w:t>
      </w:r>
      <w:r w:rsidR="003B7531">
        <w:rPr>
          <w:rFonts w:eastAsiaTheme="minorEastAsia"/>
        </w:rPr>
        <w:t>,</w:t>
      </w:r>
      <w:r w:rsidR="58A6FF9C" w:rsidRPr="00E14EBC">
        <w:rPr>
          <w:rFonts w:eastAsiaTheme="minorEastAsia"/>
        </w:rPr>
        <w:t xml:space="preserve"> ei ole otstarbekas püüda tuvastada, sest käsitöö maht oleks ebaproportsionaalselt suur.</w:t>
      </w:r>
    </w:p>
    <w:p w14:paraId="2FE06612" w14:textId="14045B6B" w:rsidR="6C8925FD" w:rsidRPr="006F0232" w:rsidRDefault="0EE9DD39" w:rsidP="288A3578">
      <w:pPr>
        <w:spacing w:before="0" w:line="257" w:lineRule="auto"/>
        <w:jc w:val="both"/>
        <w:rPr>
          <w:rStyle w:val="PurpleText"/>
        </w:rPr>
      </w:pPr>
      <w:r w:rsidRPr="006F0232">
        <w:rPr>
          <w:rStyle w:val="PurpleText"/>
        </w:rPr>
        <w:t>Lühiajaline vs</w:t>
      </w:r>
      <w:r w:rsidR="009A54A7" w:rsidRPr="006F0232">
        <w:rPr>
          <w:rStyle w:val="PurpleText"/>
        </w:rPr>
        <w:t>.</w:t>
      </w:r>
      <w:r w:rsidRPr="006F0232">
        <w:rPr>
          <w:rStyle w:val="PurpleText"/>
        </w:rPr>
        <w:t xml:space="preserve"> pikaajaline kinnisvaraturg</w:t>
      </w:r>
    </w:p>
    <w:p w14:paraId="1D4F0BC1" w14:textId="6277132B" w:rsidR="6C8925FD" w:rsidRPr="00E14EBC" w:rsidRDefault="0EE9DD39" w:rsidP="288A3578">
      <w:pPr>
        <w:spacing w:before="0" w:line="257" w:lineRule="auto"/>
        <w:jc w:val="both"/>
        <w:rPr>
          <w:rFonts w:eastAsiaTheme="minorEastAsia"/>
        </w:rPr>
      </w:pPr>
      <w:r w:rsidRPr="288A3578">
        <w:rPr>
          <w:rFonts w:eastAsiaTheme="minorEastAsia"/>
        </w:rPr>
        <w:t xml:space="preserve">Korterituru (eluruumide pikaajalise üürituru) ja lühiajalise majutuse üüriteenuse turu vahekorda iseloomustab kinnisvaraportaalis kv.ee pakkumises olevate korterite arv koroonapandeemia puhkedes. Kogu Eestis lisandus perioodil veebruar – juuli 2020 pikaajalisele üüriturule ühtekokku </w:t>
      </w:r>
      <w:r w:rsidRPr="00DD5E56">
        <w:rPr>
          <w:rFonts w:eastAsiaTheme="minorEastAsia"/>
          <w:i/>
        </w:rPr>
        <w:t>ca</w:t>
      </w:r>
      <w:r w:rsidRPr="288A3578">
        <w:rPr>
          <w:rFonts w:eastAsiaTheme="minorEastAsia"/>
        </w:rPr>
        <w:t xml:space="preserve"> 2200 pakkumist, sh Tallinnas u 1200, Tartus u 450 ja Pärnus u 100 korterit. 2021.</w:t>
      </w:r>
      <w:r w:rsidR="050FDF0A" w:rsidRPr="288A3578">
        <w:rPr>
          <w:rFonts w:eastAsiaTheme="minorEastAsia"/>
        </w:rPr>
        <w:t xml:space="preserve"> </w:t>
      </w:r>
      <w:r w:rsidRPr="288A3578">
        <w:rPr>
          <w:rFonts w:eastAsiaTheme="minorEastAsia"/>
        </w:rPr>
        <w:t>a</w:t>
      </w:r>
      <w:r w:rsidR="4BE86C9D" w:rsidRPr="288A3578">
        <w:rPr>
          <w:rFonts w:eastAsiaTheme="minorEastAsia"/>
        </w:rPr>
        <w:t>asta</w:t>
      </w:r>
      <w:r w:rsidRPr="288A3578">
        <w:rPr>
          <w:rFonts w:eastAsiaTheme="minorEastAsia"/>
        </w:rPr>
        <w:t xml:space="preserve"> suveks/sügiseks oli kv.ee pakkumiste arv langenud tagasi pandeemia</w:t>
      </w:r>
      <w:r w:rsidR="00081D9B">
        <w:rPr>
          <w:rFonts w:eastAsiaTheme="minorEastAsia"/>
        </w:rPr>
        <w:t xml:space="preserve"> </w:t>
      </w:r>
      <w:r w:rsidRPr="288A3578">
        <w:rPr>
          <w:rFonts w:eastAsiaTheme="minorEastAsia"/>
        </w:rPr>
        <w:t>eelsele tasemele.</w:t>
      </w:r>
      <w:r w:rsidR="003D56CD">
        <w:rPr>
          <w:rFonts w:eastAsiaTheme="minorEastAsia"/>
        </w:rPr>
        <w:t xml:space="preserve"> See viitab sellele, et </w:t>
      </w:r>
      <w:r w:rsidR="008768DC">
        <w:rPr>
          <w:rFonts w:eastAsiaTheme="minorEastAsia"/>
        </w:rPr>
        <w:t>tu</w:t>
      </w:r>
      <w:r w:rsidR="007B7191">
        <w:rPr>
          <w:rFonts w:eastAsiaTheme="minorEastAsia"/>
        </w:rPr>
        <w:t>r</w:t>
      </w:r>
      <w:r w:rsidR="008768DC">
        <w:rPr>
          <w:rFonts w:eastAsiaTheme="minorEastAsia"/>
        </w:rPr>
        <w:t xml:space="preserve">g reageerib üsna kiiresti majanduses ja ühiskonnas toimuvatele muutustele ehk </w:t>
      </w:r>
      <w:r w:rsidR="00892434">
        <w:rPr>
          <w:rFonts w:eastAsiaTheme="minorEastAsia"/>
        </w:rPr>
        <w:t>eluruumide omanikud püüavad leida ruumidele kasutuse vastavalt turuolukorrale.</w:t>
      </w:r>
    </w:p>
    <w:p w14:paraId="53E8190E" w14:textId="631318F7" w:rsidR="007D5C46" w:rsidRDefault="007D5C46">
      <w:pPr>
        <w:spacing w:before="0" w:line="259" w:lineRule="auto"/>
        <w:rPr>
          <w:rFonts w:eastAsiaTheme="minorEastAsia"/>
          <w:szCs w:val="24"/>
        </w:rPr>
      </w:pPr>
      <w:r>
        <w:rPr>
          <w:rFonts w:eastAsiaTheme="minorEastAsia"/>
          <w:szCs w:val="24"/>
        </w:rPr>
        <w:br w:type="page"/>
      </w:r>
    </w:p>
    <w:p w14:paraId="709B262A" w14:textId="541A4A60" w:rsidR="00CA03DE" w:rsidRPr="00BD46FD" w:rsidRDefault="526E82E2" w:rsidP="00103DC0">
      <w:pPr>
        <w:pStyle w:val="Heading1"/>
        <w:rPr>
          <w:rFonts w:hint="eastAsia"/>
          <w:b/>
          <w:bCs/>
        </w:rPr>
      </w:pPr>
      <w:bookmarkStart w:id="106" w:name="_Toc197718073"/>
      <w:bookmarkStart w:id="107" w:name="_Toc208991611"/>
      <w:r w:rsidRPr="00BD46FD">
        <w:rPr>
          <w:b/>
          <w:bCs/>
        </w:rPr>
        <w:lastRenderedPageBreak/>
        <w:t>Lühiajalise üüri turu sotsiaal-majanduslikud mõjud</w:t>
      </w:r>
      <w:bookmarkEnd w:id="106"/>
      <w:bookmarkEnd w:id="107"/>
    </w:p>
    <w:p w14:paraId="4957E452" w14:textId="2178A9DA" w:rsidR="00684CB7" w:rsidRDefault="00684CB7" w:rsidP="00684CB7">
      <w:pPr>
        <w:pStyle w:val="Heading2"/>
        <w:rPr>
          <w:rFonts w:hint="eastAsia"/>
        </w:rPr>
      </w:pPr>
      <w:bookmarkStart w:id="108" w:name="_Toc208991612"/>
      <w:r>
        <w:t>Sotsiaal</w:t>
      </w:r>
      <w:r w:rsidR="00427129">
        <w:t>-</w:t>
      </w:r>
      <w:r>
        <w:t>majanduslike mõjude hindamise m</w:t>
      </w:r>
      <w:r w:rsidRPr="00C0423E">
        <w:t>etoodika</w:t>
      </w:r>
      <w:bookmarkEnd w:id="108"/>
    </w:p>
    <w:p w14:paraId="4BDEFC33" w14:textId="27D6F5CB" w:rsidR="00684CB7" w:rsidRDefault="00684CB7" w:rsidP="00684CB7">
      <w:pPr>
        <w:jc w:val="both"/>
        <w:rPr>
          <w:rFonts w:ascii="Arial" w:hAnsi="Arial" w:cs="Arial"/>
          <w:szCs w:val="24"/>
        </w:rPr>
      </w:pPr>
      <w:r w:rsidRPr="00A2244C">
        <w:rPr>
          <w:rFonts w:ascii="Arial" w:hAnsi="Arial" w:cs="Arial"/>
          <w:szCs w:val="24"/>
        </w:rPr>
        <w:t>S</w:t>
      </w:r>
      <w:r>
        <w:rPr>
          <w:rFonts w:ascii="Arial" w:hAnsi="Arial" w:cs="Arial"/>
          <w:szCs w:val="24"/>
        </w:rPr>
        <w:t>otsiaal-majanduslike mõjude hindamisel oli kaks peamist sihti. Esiteks tuvastasime, millised muutused, kellele ja millises ulatuses on lühiajalise üüri turu levik ja kasv Eesti ühiskonnas kaasa toonud, nii</w:t>
      </w:r>
      <w:r w:rsidRPr="00795455">
        <w:rPr>
          <w:rFonts w:ascii="Arial" w:hAnsi="Arial" w:cs="Arial"/>
          <w:szCs w:val="24"/>
        </w:rPr>
        <w:t xml:space="preserve"> </w:t>
      </w:r>
      <w:r>
        <w:rPr>
          <w:rFonts w:ascii="Arial" w:hAnsi="Arial" w:cs="Arial"/>
          <w:szCs w:val="24"/>
        </w:rPr>
        <w:t xml:space="preserve">ajutiselt kui ka püsivalt. Meie </w:t>
      </w:r>
      <w:r w:rsidRPr="00AE1843">
        <w:rPr>
          <w:rFonts w:ascii="Arial" w:hAnsi="Arial" w:cs="Arial"/>
          <w:b/>
          <w:bCs/>
          <w:szCs w:val="24"/>
        </w:rPr>
        <w:t>fookuses olid mõjud majutussektorile, eluasemeturule, elukeskkonnale, turvalisusele ning kohalike elanike elukvaliteedile ja regionaalsele arengule</w:t>
      </w:r>
      <w:r>
        <w:rPr>
          <w:rFonts w:ascii="Arial" w:hAnsi="Arial" w:cs="Arial"/>
          <w:szCs w:val="24"/>
        </w:rPr>
        <w:t xml:space="preserve">. Teiseks töötasime mõjude hindamise metoodika kujundamise ja rakendamise raames välja kontseptsiooni, mille põhjal oleks võimalik arendada </w:t>
      </w:r>
      <w:r w:rsidRPr="00102D8C">
        <w:rPr>
          <w:rFonts w:ascii="Arial" w:hAnsi="Arial" w:cs="Arial"/>
          <w:b/>
          <w:bCs/>
          <w:szCs w:val="24"/>
        </w:rPr>
        <w:t>digitaalne tööriist</w:t>
      </w:r>
      <w:r>
        <w:rPr>
          <w:rFonts w:ascii="Arial" w:hAnsi="Arial" w:cs="Arial"/>
          <w:szCs w:val="24"/>
        </w:rPr>
        <w:t xml:space="preserve"> lühiajalise üüri turu regulaarseks seireks ja sotsiaal-majanduslike mõjude hindamiseks.</w:t>
      </w:r>
    </w:p>
    <w:p w14:paraId="447E0545" w14:textId="2489E8B3" w:rsidR="00684CB7" w:rsidRDefault="60617302" w:rsidP="288A3578">
      <w:pPr>
        <w:jc w:val="both"/>
        <w:rPr>
          <w:rFonts w:ascii="Arial" w:hAnsi="Arial" w:cs="Arial"/>
        </w:rPr>
      </w:pPr>
      <w:r w:rsidRPr="288A3578">
        <w:rPr>
          <w:rFonts w:ascii="Arial" w:hAnsi="Arial" w:cs="Arial"/>
        </w:rPr>
        <w:t>Mõjude hindamise keskseks teoreetiliseks vaatepunktiks on peamiselt turgude toimimist ja nende ebaõnnestumist kirjeldavad majandusteooriad, mida kasutame mõjude lahtimõtestamiseks ühiskonna tasandil. Teisisõnu määratlesime lühiajalise üüri turu eripäradest tekkivad probleemid ühiskonna vaates, seda eelkõige ressursside efektiivse kasutamise tähenduses. Selleks defineerisime turul esinevaid probleeme üldjuhul turutõrke kontseptsiooni</w:t>
      </w:r>
      <w:r w:rsidR="00D923B1">
        <w:rPr>
          <w:rFonts w:ascii="Arial" w:hAnsi="Arial" w:cs="Arial"/>
        </w:rPr>
        <w:t>le tuginedes</w:t>
      </w:r>
      <w:r w:rsidRPr="288A3578">
        <w:rPr>
          <w:rFonts w:ascii="Arial" w:hAnsi="Arial" w:cs="Arial"/>
        </w:rPr>
        <w:t>, mille tüüpilisemad näited on välismõjud ja konkurentsi- või informatsioonitõrked. Samas kombineerisime valitud lähenemist ka teiste teooriate ja kontseptsioonidega</w:t>
      </w:r>
      <w:r w:rsidR="69C69886" w:rsidRPr="288A3578">
        <w:rPr>
          <w:rFonts w:ascii="Arial" w:hAnsi="Arial" w:cs="Arial"/>
        </w:rPr>
        <w:t>,</w:t>
      </w:r>
      <w:r w:rsidRPr="288A3578">
        <w:rPr>
          <w:rFonts w:ascii="Arial" w:hAnsi="Arial" w:cs="Arial"/>
        </w:rPr>
        <w:t xml:space="preserve"> nagu näiteks jagamismajandus või gentrifikatsioon, mis aitavad paremini avada ja selgitada lühiajalisel üüriturul toimuvate ja selle poolt põhjustatud protsesside sisu ja mõjusid.</w:t>
      </w:r>
    </w:p>
    <w:p w14:paraId="319D129E" w14:textId="59B0CE80" w:rsidR="00684CB7" w:rsidRPr="00DB64E3" w:rsidRDefault="60617302" w:rsidP="288A3578">
      <w:pPr>
        <w:jc w:val="both"/>
        <w:rPr>
          <w:rFonts w:ascii="Arial" w:hAnsi="Arial" w:cs="Arial"/>
        </w:rPr>
      </w:pPr>
      <w:r w:rsidRPr="288A3578">
        <w:rPr>
          <w:rFonts w:ascii="Arial" w:hAnsi="Arial" w:cs="Arial"/>
          <w:b/>
          <w:bCs/>
        </w:rPr>
        <w:t>Mõjuvaldkondade ja konkreetsete mõjude tuvastamiseks</w:t>
      </w:r>
      <w:r w:rsidRPr="288A3578">
        <w:rPr>
          <w:rFonts w:ascii="Arial" w:hAnsi="Arial" w:cs="Arial"/>
        </w:rPr>
        <w:t xml:space="preserve"> kasutasime andmete kogumiseks erinevaid allikaid. Esiteks analüüsisime teaduskirjandust, et mõista erinevaid mehhanisme, mis lühiajalise üüri turu levikul ühiskonna erinevates sfäärides võivad käivituda. Empiiriliste teadusuuringute põhjal analüüsisime ka teiste riikide kogemusi nii lühiajalise üürimise mõjude avaldumise kui ka kaasnevate probleemide kohta. See andis esmase raamistiku lühiajalise üüri turu mõju valdkondadest, mida empiiriliselt Eestis kindlasti tuleks hinnata.</w:t>
      </w:r>
      <w:r w:rsidR="11ADCDCE" w:rsidRPr="288A3578">
        <w:rPr>
          <w:rFonts w:ascii="Arial" w:hAnsi="Arial" w:cs="Arial"/>
        </w:rPr>
        <w:t xml:space="preserve"> Osade valitud riikide </w:t>
      </w:r>
      <w:r w:rsidR="05988962" w:rsidRPr="288A3578">
        <w:rPr>
          <w:rFonts w:ascii="Arial" w:hAnsi="Arial" w:cs="Arial"/>
        </w:rPr>
        <w:t xml:space="preserve">kogemust analüüsisime eraldi põhjalikumalt, kogudes andmeid lisaks teadusuuringutele ka </w:t>
      </w:r>
      <w:r w:rsidR="5DE9D761" w:rsidRPr="288A3578">
        <w:rPr>
          <w:rFonts w:ascii="Arial" w:hAnsi="Arial" w:cs="Arial"/>
        </w:rPr>
        <w:t xml:space="preserve">asjakohastelt veebisaitidelt </w:t>
      </w:r>
      <w:r w:rsidR="6E5EFAC0" w:rsidRPr="288A3578">
        <w:rPr>
          <w:rFonts w:ascii="Arial" w:hAnsi="Arial" w:cs="Arial"/>
        </w:rPr>
        <w:t xml:space="preserve">ja </w:t>
      </w:r>
      <w:r w:rsidR="5DE9D761" w:rsidRPr="288A3578">
        <w:rPr>
          <w:rFonts w:ascii="Arial" w:hAnsi="Arial" w:cs="Arial"/>
        </w:rPr>
        <w:t>isikliku suhtluse kaudu vastavate riikide</w:t>
      </w:r>
      <w:r w:rsidR="598C9310" w:rsidRPr="288A3578">
        <w:rPr>
          <w:rFonts w:ascii="Arial" w:hAnsi="Arial" w:cs="Arial"/>
        </w:rPr>
        <w:t xml:space="preserve"> </w:t>
      </w:r>
      <w:r w:rsidR="27198ED0" w:rsidRPr="288A3578">
        <w:rPr>
          <w:rFonts w:ascii="Arial" w:hAnsi="Arial" w:cs="Arial"/>
        </w:rPr>
        <w:t>(</w:t>
      </w:r>
      <w:r w:rsidR="598C9310" w:rsidRPr="288A3578">
        <w:rPr>
          <w:rFonts w:ascii="Arial" w:hAnsi="Arial" w:cs="Arial"/>
        </w:rPr>
        <w:t xml:space="preserve">Hollandi, </w:t>
      </w:r>
      <w:r w:rsidR="27198ED0" w:rsidRPr="288A3578">
        <w:rPr>
          <w:rFonts w:ascii="Arial" w:hAnsi="Arial" w:cs="Arial"/>
        </w:rPr>
        <w:t>Soome, Tšehhi ja Saksamaa)</w:t>
      </w:r>
      <w:r w:rsidR="5DE9D761" w:rsidRPr="288A3578">
        <w:rPr>
          <w:rFonts w:ascii="Arial" w:hAnsi="Arial" w:cs="Arial"/>
        </w:rPr>
        <w:t xml:space="preserve"> ametiasutuste poole pöördudes.</w:t>
      </w:r>
    </w:p>
    <w:p w14:paraId="1240F9FD" w14:textId="2565ACE3" w:rsidR="00EF0906" w:rsidRPr="00DB64E3" w:rsidRDefault="00EF0906" w:rsidP="00EF0906">
      <w:pPr>
        <w:jc w:val="both"/>
        <w:rPr>
          <w:rFonts w:ascii="Arial" w:hAnsi="Arial" w:cs="Arial"/>
        </w:rPr>
      </w:pPr>
      <w:r w:rsidRPr="288A3578">
        <w:rPr>
          <w:rFonts w:ascii="Arial" w:hAnsi="Arial" w:cs="Arial"/>
        </w:rPr>
        <w:t xml:space="preserve">Olulise sisendi mõjude hindamiseks </w:t>
      </w:r>
      <w:r w:rsidR="008049CD">
        <w:rPr>
          <w:rFonts w:ascii="Arial" w:hAnsi="Arial" w:cs="Arial"/>
        </w:rPr>
        <w:t xml:space="preserve">saime </w:t>
      </w:r>
      <w:r w:rsidRPr="288A3578">
        <w:rPr>
          <w:rFonts w:ascii="Arial" w:hAnsi="Arial" w:cs="Arial"/>
        </w:rPr>
        <w:t>ka</w:t>
      </w:r>
      <w:r w:rsidR="008049CD">
        <w:rPr>
          <w:rFonts w:ascii="Arial" w:hAnsi="Arial" w:cs="Arial"/>
        </w:rPr>
        <w:t xml:space="preserve"> </w:t>
      </w:r>
      <w:r w:rsidR="00A90A81">
        <w:rPr>
          <w:rFonts w:ascii="Arial" w:hAnsi="Arial" w:cs="Arial"/>
        </w:rPr>
        <w:t>turu mahu ja omaduste analüüsist</w:t>
      </w:r>
      <w:r w:rsidR="00A37AA4">
        <w:rPr>
          <w:rFonts w:ascii="Arial" w:hAnsi="Arial" w:cs="Arial"/>
        </w:rPr>
        <w:t>, mis tugineb nii avalikult kättesaadaval statistikal lühiajalise üüri turu kohta kui ka</w:t>
      </w:r>
      <w:r w:rsidR="00937F03">
        <w:rPr>
          <w:rFonts w:ascii="Arial" w:hAnsi="Arial" w:cs="Arial"/>
        </w:rPr>
        <w:t xml:space="preserve"> teistel erineval viisil </w:t>
      </w:r>
      <w:r w:rsidR="00F9335A">
        <w:rPr>
          <w:rFonts w:ascii="Arial" w:hAnsi="Arial" w:cs="Arial"/>
        </w:rPr>
        <w:t>(vt täpsemalt 2. peatükist)</w:t>
      </w:r>
      <w:r w:rsidR="00937F03">
        <w:rPr>
          <w:rFonts w:ascii="Arial" w:hAnsi="Arial" w:cs="Arial"/>
        </w:rPr>
        <w:t xml:space="preserve"> kogutud </w:t>
      </w:r>
      <w:r w:rsidR="00D62956">
        <w:rPr>
          <w:rFonts w:ascii="Arial" w:hAnsi="Arial" w:cs="Arial"/>
        </w:rPr>
        <w:t>primaar- ja sekundaar</w:t>
      </w:r>
      <w:r w:rsidR="00937F03">
        <w:rPr>
          <w:rFonts w:ascii="Arial" w:hAnsi="Arial" w:cs="Arial"/>
        </w:rPr>
        <w:t>andmetel</w:t>
      </w:r>
      <w:r w:rsidR="00F9335A">
        <w:rPr>
          <w:rFonts w:ascii="Arial" w:hAnsi="Arial" w:cs="Arial"/>
        </w:rPr>
        <w:t>.</w:t>
      </w:r>
      <w:r w:rsidRPr="288A3578">
        <w:rPr>
          <w:rFonts w:ascii="Arial" w:hAnsi="Arial" w:cs="Arial"/>
        </w:rPr>
        <w:t xml:space="preserve"> </w:t>
      </w:r>
      <w:r w:rsidR="00D75C49">
        <w:rPr>
          <w:rFonts w:ascii="Arial" w:hAnsi="Arial" w:cs="Arial"/>
        </w:rPr>
        <w:t xml:space="preserve">Eelkõige aitab teave turu mahu, dünaamika ja </w:t>
      </w:r>
      <w:r w:rsidR="001213F6">
        <w:rPr>
          <w:rFonts w:ascii="Arial" w:hAnsi="Arial" w:cs="Arial"/>
        </w:rPr>
        <w:t>piirkondliku leviku</w:t>
      </w:r>
      <w:r w:rsidR="00D75C49">
        <w:rPr>
          <w:rFonts w:ascii="Arial" w:hAnsi="Arial" w:cs="Arial"/>
        </w:rPr>
        <w:t xml:space="preserve"> kohta</w:t>
      </w:r>
      <w:r w:rsidR="001213F6">
        <w:rPr>
          <w:rFonts w:ascii="Arial" w:hAnsi="Arial" w:cs="Arial"/>
        </w:rPr>
        <w:t xml:space="preserve"> hinnata tuvastatud probleemide ulatust</w:t>
      </w:r>
      <w:r w:rsidR="00D33618">
        <w:rPr>
          <w:rFonts w:ascii="Arial" w:hAnsi="Arial" w:cs="Arial"/>
        </w:rPr>
        <w:t xml:space="preserve"> ja</w:t>
      </w:r>
      <w:r w:rsidR="001213F6">
        <w:rPr>
          <w:rFonts w:ascii="Arial" w:hAnsi="Arial" w:cs="Arial"/>
        </w:rPr>
        <w:t xml:space="preserve"> </w:t>
      </w:r>
      <w:r w:rsidR="00D33618">
        <w:rPr>
          <w:rFonts w:ascii="Arial" w:hAnsi="Arial" w:cs="Arial"/>
        </w:rPr>
        <w:t>tõsidust.</w:t>
      </w:r>
    </w:p>
    <w:p w14:paraId="2455AE8D" w14:textId="7105B90B" w:rsidR="0008360A" w:rsidRPr="00DB64E3" w:rsidRDefault="3BC39AD9" w:rsidP="288A3578">
      <w:pPr>
        <w:jc w:val="both"/>
        <w:rPr>
          <w:rFonts w:ascii="Arial" w:hAnsi="Arial" w:cs="Arial"/>
        </w:rPr>
      </w:pPr>
      <w:r w:rsidRPr="288A3578">
        <w:rPr>
          <w:rFonts w:ascii="Arial" w:hAnsi="Arial" w:cs="Arial"/>
        </w:rPr>
        <w:t>Õ</w:t>
      </w:r>
      <w:r w:rsidR="60617302" w:rsidRPr="288A3578">
        <w:rPr>
          <w:rFonts w:ascii="Arial" w:hAnsi="Arial" w:cs="Arial"/>
        </w:rPr>
        <w:t>igusanalüüsi tulemusel tuvastasime kitsaskohad ja vastuolud lühiajalist üürimist puudutavates õigusaktides. Oluline oli mõista, kas lühiajalise üüri turuga avalduvate probleemide lahendamiseks on turuosapooltel õiguslikud võimalused olemas, millist käitumist õigusruum turuosalistel võimaldab või piirab ning kas kõiki turul osalejaid koheldakse õigusruumis ühtemoodi</w:t>
      </w:r>
      <w:r w:rsidR="33F9EA86" w:rsidRPr="288A3578">
        <w:rPr>
          <w:rFonts w:ascii="Arial" w:hAnsi="Arial" w:cs="Arial"/>
        </w:rPr>
        <w:t>,</w:t>
      </w:r>
      <w:r w:rsidR="60617302" w:rsidRPr="288A3578">
        <w:rPr>
          <w:rFonts w:ascii="Arial" w:hAnsi="Arial" w:cs="Arial"/>
        </w:rPr>
        <w:t xml:space="preserve"> ning kui mitte, siis kas ühiskonna vaates on see õigustatud või takistab turul efektiivselt toimida ja areneda.</w:t>
      </w:r>
      <w:r w:rsidR="4737BE1F" w:rsidRPr="288A3578">
        <w:rPr>
          <w:rFonts w:ascii="Arial" w:hAnsi="Arial" w:cs="Arial"/>
        </w:rPr>
        <w:t xml:space="preserve"> </w:t>
      </w:r>
    </w:p>
    <w:p w14:paraId="496D6259" w14:textId="521940DB" w:rsidR="00684CB7" w:rsidRDefault="60617302" w:rsidP="288A3578">
      <w:pPr>
        <w:jc w:val="both"/>
        <w:rPr>
          <w:rFonts w:ascii="Arial" w:hAnsi="Arial" w:cs="Arial"/>
        </w:rPr>
      </w:pPr>
      <w:r w:rsidRPr="288A3578">
        <w:rPr>
          <w:rFonts w:ascii="Arial" w:hAnsi="Arial" w:cs="Arial"/>
        </w:rPr>
        <w:t>Kui eelneva põhjal kaardistasime kõige olulisemad mõjude valdkonnad, siis edasi keskendusime konkreetselt Eesti kogemuse ja olukorra uurimisele, et määratleda mõjuvaldkonnad, mis on Eesti kontekstis relevantsed. Selleks</w:t>
      </w:r>
      <w:r w:rsidR="4A584C52" w:rsidRPr="288A3578">
        <w:rPr>
          <w:rFonts w:ascii="Arial" w:hAnsi="Arial" w:cs="Arial"/>
        </w:rPr>
        <w:t xml:space="preserve"> kasutasime </w:t>
      </w:r>
      <w:r w:rsidR="2179323A" w:rsidRPr="288A3578">
        <w:rPr>
          <w:rFonts w:ascii="Arial" w:hAnsi="Arial" w:cs="Arial"/>
        </w:rPr>
        <w:t>uuringu raames tehtud intervjuusid, kus fookuses oli</w:t>
      </w:r>
      <w:r w:rsidR="61623D1D" w:rsidRPr="288A3578">
        <w:rPr>
          <w:rFonts w:ascii="Arial" w:hAnsi="Arial" w:cs="Arial"/>
        </w:rPr>
        <w:t>d</w:t>
      </w:r>
      <w:r w:rsidR="19EF56CD" w:rsidRPr="288A3578">
        <w:rPr>
          <w:rFonts w:ascii="Arial" w:hAnsi="Arial" w:cs="Arial"/>
        </w:rPr>
        <w:t xml:space="preserve"> </w:t>
      </w:r>
      <w:r w:rsidR="19EF56CD" w:rsidRPr="288A3578">
        <w:rPr>
          <w:rFonts w:ascii="Arial" w:hAnsi="Arial" w:cs="Arial"/>
        </w:rPr>
        <w:lastRenderedPageBreak/>
        <w:t>muuhulgas ka</w:t>
      </w:r>
      <w:r w:rsidR="2179323A" w:rsidRPr="288A3578">
        <w:rPr>
          <w:rFonts w:ascii="Arial" w:hAnsi="Arial" w:cs="Arial"/>
        </w:rPr>
        <w:t xml:space="preserve"> </w:t>
      </w:r>
      <w:r w:rsidR="19EF56CD" w:rsidRPr="288A3578">
        <w:rPr>
          <w:rFonts w:ascii="Arial" w:hAnsi="Arial" w:cs="Arial"/>
        </w:rPr>
        <w:t>probleemid lühiajalise üüri turul ning selle turuga kaasnevad positiivsed ja negatiivsed mõjud</w:t>
      </w:r>
      <w:r w:rsidR="75013165" w:rsidRPr="288A3578">
        <w:rPr>
          <w:rFonts w:ascii="Arial" w:hAnsi="Arial" w:cs="Arial"/>
        </w:rPr>
        <w:t xml:space="preserve">. Selliseid </w:t>
      </w:r>
      <w:r w:rsidR="2179323A" w:rsidRPr="288A3578">
        <w:rPr>
          <w:rFonts w:ascii="Arial" w:hAnsi="Arial" w:cs="Arial"/>
        </w:rPr>
        <w:t>intervjuusid</w:t>
      </w:r>
      <w:r w:rsidR="75013165" w:rsidRPr="288A3578">
        <w:rPr>
          <w:rFonts w:ascii="Arial" w:hAnsi="Arial" w:cs="Arial"/>
        </w:rPr>
        <w:t xml:space="preserve"> </w:t>
      </w:r>
      <w:r w:rsidR="10EF07F4" w:rsidRPr="288A3578">
        <w:rPr>
          <w:rFonts w:ascii="Arial" w:hAnsi="Arial" w:cs="Arial"/>
        </w:rPr>
        <w:t xml:space="preserve">tegime </w:t>
      </w:r>
      <w:r w:rsidR="75013165" w:rsidRPr="288A3578">
        <w:rPr>
          <w:rFonts w:ascii="Arial" w:hAnsi="Arial" w:cs="Arial"/>
        </w:rPr>
        <w:t xml:space="preserve">kokku </w:t>
      </w:r>
      <w:r w:rsidR="02990B2D" w:rsidRPr="288A3578">
        <w:rPr>
          <w:rFonts w:ascii="Arial" w:hAnsi="Arial" w:cs="Arial"/>
        </w:rPr>
        <w:t>32</w:t>
      </w:r>
      <w:r w:rsidRPr="288A3578">
        <w:rPr>
          <w:rFonts w:ascii="Arial" w:hAnsi="Arial" w:cs="Arial"/>
        </w:rPr>
        <w:t xml:space="preserve">, kus osales </w:t>
      </w:r>
      <w:r w:rsidR="236DFBB2" w:rsidRPr="288A3578">
        <w:rPr>
          <w:rFonts w:ascii="Arial" w:hAnsi="Arial" w:cs="Arial"/>
        </w:rPr>
        <w:t>41</w:t>
      </w:r>
      <w:r w:rsidRPr="288A3578">
        <w:rPr>
          <w:rFonts w:ascii="Arial" w:hAnsi="Arial" w:cs="Arial"/>
        </w:rPr>
        <w:t xml:space="preserve"> inimest erinevatest lühiajalise üüri turuga seotud sidusgruppidest. </w:t>
      </w:r>
      <w:r w:rsidR="499C9D83" w:rsidRPr="288A3578">
        <w:rPr>
          <w:rFonts w:ascii="Arial" w:hAnsi="Arial" w:cs="Arial"/>
        </w:rPr>
        <w:t>Täpsemalt i</w:t>
      </w:r>
      <w:r w:rsidRPr="288A3578">
        <w:rPr>
          <w:rFonts w:ascii="Arial" w:hAnsi="Arial" w:cs="Arial"/>
        </w:rPr>
        <w:t>ntervjueerisime</w:t>
      </w:r>
      <w:r w:rsidR="499C9D83" w:rsidRPr="288A3578">
        <w:rPr>
          <w:rFonts w:ascii="Arial" w:hAnsi="Arial" w:cs="Arial"/>
        </w:rPr>
        <w:t xml:space="preserve"> mõjude hindamiseks</w:t>
      </w:r>
      <w:r w:rsidRPr="288A3578">
        <w:rPr>
          <w:rFonts w:ascii="Arial" w:hAnsi="Arial" w:cs="Arial"/>
        </w:rPr>
        <w:t xml:space="preserve"> kohalike omavalitsuste esindajaid (</w:t>
      </w:r>
      <w:r w:rsidR="5DD8B886" w:rsidRPr="288A3578">
        <w:rPr>
          <w:rFonts w:ascii="Arial" w:hAnsi="Arial" w:cs="Arial"/>
        </w:rPr>
        <w:t>8</w:t>
      </w:r>
      <w:r w:rsidRPr="288A3578">
        <w:rPr>
          <w:rFonts w:ascii="Arial" w:hAnsi="Arial" w:cs="Arial"/>
        </w:rPr>
        <w:t xml:space="preserve"> inimest), poliitikakujundajaid (6), lühiajalise üüriteenuse pakkujaid (</w:t>
      </w:r>
      <w:r w:rsidR="0DC2E58F" w:rsidRPr="288A3578">
        <w:rPr>
          <w:rFonts w:ascii="Arial" w:hAnsi="Arial" w:cs="Arial"/>
        </w:rPr>
        <w:t>7</w:t>
      </w:r>
      <w:r w:rsidRPr="288A3578">
        <w:rPr>
          <w:rFonts w:ascii="Arial" w:hAnsi="Arial" w:cs="Arial"/>
        </w:rPr>
        <w:t>), eluruumide omanike esindusorganisatsioonide esindajaid (</w:t>
      </w:r>
      <w:r w:rsidR="45BE3173" w:rsidRPr="288A3578">
        <w:rPr>
          <w:rFonts w:ascii="Arial" w:hAnsi="Arial" w:cs="Arial"/>
        </w:rPr>
        <w:t>4</w:t>
      </w:r>
      <w:r w:rsidRPr="288A3578">
        <w:rPr>
          <w:rFonts w:ascii="Arial" w:hAnsi="Arial" w:cs="Arial"/>
        </w:rPr>
        <w:t>), kinnisvaraettevõtjate esindajaid (4), turismi valdkonna arendajaid (3), järelevalveasutuste esindajaid (</w:t>
      </w:r>
      <w:r w:rsidR="550C9771" w:rsidRPr="288A3578">
        <w:rPr>
          <w:rFonts w:ascii="Arial" w:hAnsi="Arial" w:cs="Arial"/>
        </w:rPr>
        <w:t>4</w:t>
      </w:r>
      <w:r w:rsidRPr="288A3578">
        <w:rPr>
          <w:rFonts w:ascii="Arial" w:hAnsi="Arial" w:cs="Arial"/>
        </w:rPr>
        <w:t>) ja traditsioonilise majutusteenuse osutajaid (</w:t>
      </w:r>
      <w:r w:rsidR="41DCAE1D" w:rsidRPr="288A3578">
        <w:rPr>
          <w:rFonts w:ascii="Arial" w:hAnsi="Arial" w:cs="Arial"/>
        </w:rPr>
        <w:t>5</w:t>
      </w:r>
      <w:r w:rsidRPr="288A3578">
        <w:rPr>
          <w:rFonts w:ascii="Arial" w:hAnsi="Arial" w:cs="Arial"/>
        </w:rPr>
        <w:t>). Intervjuudega saime teavet eelkõige Eestis juba avaldunud mõjude kohta ning millised probleemid ja miks on kõige tugevamalt ilmnenud.</w:t>
      </w:r>
    </w:p>
    <w:p w14:paraId="0462D065" w14:textId="2DD9EF4C" w:rsidR="00684CB7" w:rsidRDefault="00684CB7" w:rsidP="00684CB7">
      <w:pPr>
        <w:jc w:val="both"/>
        <w:rPr>
          <w:rFonts w:ascii="Arial" w:hAnsi="Arial" w:cs="Arial"/>
          <w:szCs w:val="24"/>
        </w:rPr>
      </w:pPr>
      <w:r>
        <w:rPr>
          <w:rFonts w:ascii="Arial" w:hAnsi="Arial" w:cs="Arial"/>
          <w:szCs w:val="24"/>
        </w:rPr>
        <w:t xml:space="preserve">Kuna intervjuud ei võimalda hinnata mõjude ulatust, siis </w:t>
      </w:r>
      <w:r w:rsidRPr="009539F0">
        <w:rPr>
          <w:rFonts w:ascii="Arial" w:hAnsi="Arial" w:cs="Arial"/>
          <w:b/>
          <w:bCs/>
          <w:szCs w:val="24"/>
        </w:rPr>
        <w:t>täiendasime analüüsi ökonomeetrilise mudeldamisega</w:t>
      </w:r>
      <w:r>
        <w:rPr>
          <w:rFonts w:ascii="Arial" w:hAnsi="Arial" w:cs="Arial"/>
          <w:szCs w:val="24"/>
        </w:rPr>
        <w:t>, mille käigus andsime osadele mõjudele ka kvantitatiivse hinnangu. Modelleerimisel oli meie fookuses periood 2019</w:t>
      </w:r>
      <w:r w:rsidR="008266E5">
        <w:rPr>
          <w:rFonts w:ascii="Arial" w:hAnsi="Arial" w:cs="Arial"/>
          <w:szCs w:val="24"/>
        </w:rPr>
        <w:t>–</w:t>
      </w:r>
      <w:r>
        <w:rPr>
          <w:rFonts w:ascii="Arial" w:hAnsi="Arial" w:cs="Arial"/>
          <w:szCs w:val="24"/>
        </w:rPr>
        <w:t xml:space="preserve">2023, kuna nende aastate kohta oli meile Statistikaameti vahendusel kättesaadav lühiajalise üüri turu mahtu kirjeldav Eurostati eksperimentaalstatistika. See andmestik sisaldab statistikat kolme näitaja kohta: (i) </w:t>
      </w:r>
      <w:r w:rsidRPr="0067297B">
        <w:rPr>
          <w:rFonts w:ascii="Arial" w:hAnsi="Arial" w:cs="Arial"/>
          <w:szCs w:val="24"/>
        </w:rPr>
        <w:t>külastuste arv ehk kui palju igat majutusruumi välja üüriti</w:t>
      </w:r>
      <w:r>
        <w:rPr>
          <w:rFonts w:ascii="Arial" w:hAnsi="Arial" w:cs="Arial"/>
          <w:szCs w:val="24"/>
        </w:rPr>
        <w:t>, (ii)</w:t>
      </w:r>
      <w:r w:rsidRPr="0067297B">
        <w:rPr>
          <w:rFonts w:ascii="Arial" w:hAnsi="Arial" w:cs="Arial"/>
          <w:szCs w:val="24"/>
        </w:rPr>
        <w:t xml:space="preserve"> ööde arv ehk kui palju öid majutusruume välja üüriti</w:t>
      </w:r>
      <w:r>
        <w:rPr>
          <w:rFonts w:ascii="Arial" w:hAnsi="Arial" w:cs="Arial"/>
          <w:szCs w:val="24"/>
        </w:rPr>
        <w:t>, (iii)</w:t>
      </w:r>
      <w:r w:rsidRPr="0067297B">
        <w:rPr>
          <w:rFonts w:ascii="Arial" w:hAnsi="Arial" w:cs="Arial"/>
          <w:szCs w:val="24"/>
        </w:rPr>
        <w:t xml:space="preserve"> </w:t>
      </w:r>
      <w:r>
        <w:rPr>
          <w:rFonts w:ascii="Arial" w:hAnsi="Arial" w:cs="Arial"/>
          <w:szCs w:val="24"/>
        </w:rPr>
        <w:t>ööbimiste</w:t>
      </w:r>
      <w:r w:rsidRPr="0067297B">
        <w:rPr>
          <w:rFonts w:ascii="Arial" w:hAnsi="Arial" w:cs="Arial"/>
          <w:szCs w:val="24"/>
        </w:rPr>
        <w:t xml:space="preserve"> arv ehk mitu külastaja ööd kokku majutusruumides veedeti.</w:t>
      </w:r>
      <w:r>
        <w:rPr>
          <w:rFonts w:ascii="Arial" w:hAnsi="Arial" w:cs="Arial"/>
          <w:szCs w:val="24"/>
        </w:rPr>
        <w:t xml:space="preserve"> </w:t>
      </w:r>
      <w:r w:rsidRPr="00A036A5">
        <w:rPr>
          <w:rFonts w:ascii="Arial" w:hAnsi="Arial" w:cs="Arial"/>
          <w:szCs w:val="24"/>
        </w:rPr>
        <w:t>Kuna andmed</w:t>
      </w:r>
      <w:r>
        <w:rPr>
          <w:rFonts w:ascii="Arial" w:hAnsi="Arial" w:cs="Arial"/>
          <w:szCs w:val="24"/>
        </w:rPr>
        <w:t xml:space="preserve"> olid kättesaadavad maakondade ja kuude lõikes, sisaldas see</w:t>
      </w:r>
      <w:r w:rsidRPr="0067297B">
        <w:rPr>
          <w:rFonts w:ascii="Arial" w:hAnsi="Arial" w:cs="Arial"/>
          <w:szCs w:val="24"/>
        </w:rPr>
        <w:t xml:space="preserve"> kokku 60 perioodi ja 15 objekti</w:t>
      </w:r>
      <w:r>
        <w:rPr>
          <w:rFonts w:ascii="Arial" w:hAnsi="Arial" w:cs="Arial"/>
          <w:szCs w:val="24"/>
        </w:rPr>
        <w:t>, seega paneelandmestikuna sisaldas see 900 vaatlust</w:t>
      </w:r>
      <w:r w:rsidRPr="0067297B">
        <w:rPr>
          <w:rFonts w:ascii="Arial" w:hAnsi="Arial" w:cs="Arial"/>
          <w:szCs w:val="24"/>
        </w:rPr>
        <w:t xml:space="preserve">. </w:t>
      </w:r>
      <w:r>
        <w:rPr>
          <w:rFonts w:ascii="Arial" w:hAnsi="Arial" w:cs="Arial"/>
          <w:szCs w:val="24"/>
        </w:rPr>
        <w:t>Nimetatud kolm muutujat olid läbivalt modelleerimisel keskseteks sõltumatuteks muutujateks, mille seost erinevate sotsiaal-majanduslike näitajatega ehk antud analüüsi kontekstis sõltuvate muutujatega modelleerisime.</w:t>
      </w:r>
    </w:p>
    <w:p w14:paraId="5DE160EC" w14:textId="77777777" w:rsidR="00684CB7" w:rsidRPr="00C0423E" w:rsidRDefault="60617302" w:rsidP="288A3578">
      <w:pPr>
        <w:jc w:val="both"/>
        <w:rPr>
          <w:rFonts w:ascii="Arial" w:hAnsi="Arial" w:cs="Arial"/>
        </w:rPr>
      </w:pPr>
      <w:r w:rsidRPr="288A3578">
        <w:rPr>
          <w:rFonts w:ascii="Arial" w:hAnsi="Arial" w:cs="Arial"/>
          <w:b/>
          <w:bCs/>
        </w:rPr>
        <w:t>Üheks</w:t>
      </w:r>
      <w:r w:rsidRPr="288A3578">
        <w:rPr>
          <w:rFonts w:ascii="Arial" w:hAnsi="Arial" w:cs="Arial"/>
        </w:rPr>
        <w:t xml:space="preserve"> </w:t>
      </w:r>
      <w:r w:rsidRPr="288A3578">
        <w:rPr>
          <w:rFonts w:ascii="Arial" w:hAnsi="Arial" w:cs="Arial"/>
          <w:b/>
          <w:bCs/>
        </w:rPr>
        <w:t>keskseks sõltuvaks muutujaks on meie analüüsis eluasemeturg</w:t>
      </w:r>
      <w:r w:rsidRPr="288A3578">
        <w:rPr>
          <w:rFonts w:ascii="Arial" w:hAnsi="Arial" w:cs="Arial"/>
        </w:rPr>
        <w:t>, kuna eluasemete kallinemist ja kättesaadavuse vähenemist peetakse üheks lühiajalise üüri turu leviku peamiseks probleemkohaks. Selle muutuja operatsionaliseerimiseks kasutasime esiteks kinnisvaraportaali kv.ee</w:t>
      </w:r>
      <w:r w:rsidR="00684CB7" w:rsidRPr="288A3578">
        <w:rPr>
          <w:rStyle w:val="FootnoteReference"/>
          <w:rFonts w:ascii="Arial" w:hAnsi="Arial" w:cs="Arial"/>
        </w:rPr>
        <w:footnoteReference w:id="92"/>
      </w:r>
      <w:r w:rsidRPr="288A3578">
        <w:rPr>
          <w:rFonts w:ascii="Arial" w:hAnsi="Arial" w:cs="Arial"/>
        </w:rPr>
        <w:t xml:space="preserve"> avaldatavat statistikat üüri- ja müügipakkumiste arvu ja hinnapakkumiste kohta. Portaal kv.ee on suurim kinnisvaraportaal Eestis ja avaldab selles avaldatud kuulutuste statistikat alates aastast 2005, seega kajastab hästi Eesti turul toimuvaid arenguid. Lisaks kasutame ka Eurostati</w:t>
      </w:r>
      <w:r w:rsidR="00684CB7" w:rsidRPr="288A3578">
        <w:rPr>
          <w:rStyle w:val="FootnoteReference"/>
          <w:rFonts w:ascii="Arial" w:hAnsi="Arial" w:cs="Arial"/>
        </w:rPr>
        <w:footnoteReference w:id="93"/>
      </w:r>
      <w:r w:rsidRPr="288A3578">
        <w:rPr>
          <w:rFonts w:ascii="Arial" w:hAnsi="Arial" w:cs="Arial"/>
        </w:rPr>
        <w:t xml:space="preserve"> avaldatavat tegelikult makstud üüri, mis individuaaltarbimise klassifikaatoris on tähistatud koodiga 04.1.1. ja hõlmab üürnike tegelikult makstud põhieluaseme üüri.</w:t>
      </w:r>
    </w:p>
    <w:p w14:paraId="2A501A59" w14:textId="4E48FE77" w:rsidR="00684CB7" w:rsidRPr="00C0423E" w:rsidRDefault="60617302" w:rsidP="288A3578">
      <w:pPr>
        <w:jc w:val="both"/>
        <w:rPr>
          <w:rFonts w:ascii="Arial" w:hAnsi="Arial" w:cs="Arial"/>
        </w:rPr>
      </w:pPr>
      <w:r w:rsidRPr="288A3578">
        <w:rPr>
          <w:rFonts w:ascii="Arial" w:hAnsi="Arial" w:cs="Arial"/>
          <w:b/>
          <w:bCs/>
        </w:rPr>
        <w:t>Teisena analüüsime seoseid kohaliku majandusega tööturu</w:t>
      </w:r>
      <w:r w:rsidR="000D4FA2">
        <w:rPr>
          <w:rFonts w:ascii="Arial" w:hAnsi="Arial" w:cs="Arial"/>
          <w:b/>
          <w:bCs/>
        </w:rPr>
        <w:t xml:space="preserve"> kaudu</w:t>
      </w:r>
      <w:r w:rsidRPr="288A3578">
        <w:rPr>
          <w:rFonts w:ascii="Arial" w:hAnsi="Arial" w:cs="Arial"/>
        </w:rPr>
        <w:t xml:space="preserve">, kus peaks kohalikus majanduses toimuv üsna hästi peegelduma. Sellise lähenemisega püüdsime hinnata ka lühiajalise üüri turu nn multiplikaatoriefekti, kuna tööturg hõlmab läbivalt kõiki majandussektoreid ja seal peaks avalduma ka lühiajalise üüri turu kaudsed mõjud. Töötute taset mõõdame registreeritud töötute arvu kaudu </w:t>
      </w:r>
      <w:r w:rsidR="3E9DBAF0" w:rsidRPr="288A3578">
        <w:rPr>
          <w:rFonts w:ascii="Arial" w:hAnsi="Arial" w:cs="Arial"/>
        </w:rPr>
        <w:t>SA-st</w:t>
      </w:r>
      <w:r w:rsidR="00684CB7" w:rsidRPr="288A3578">
        <w:rPr>
          <w:rStyle w:val="FootnoteReference"/>
          <w:rFonts w:ascii="Arial" w:hAnsi="Arial" w:cs="Arial"/>
        </w:rPr>
        <w:footnoteReference w:id="94"/>
      </w:r>
      <w:r w:rsidRPr="288A3578">
        <w:rPr>
          <w:rFonts w:ascii="Arial" w:hAnsi="Arial" w:cs="Arial"/>
        </w:rPr>
        <w:t xml:space="preserve"> saadud andmete põhjal. Kui elukeskkonnas toimuva</w:t>
      </w:r>
      <w:r w:rsidR="429B43A0" w:rsidRPr="288A3578">
        <w:rPr>
          <w:rFonts w:ascii="Arial" w:hAnsi="Arial" w:cs="Arial"/>
        </w:rPr>
        <w:t>i</w:t>
      </w:r>
      <w:r w:rsidRPr="288A3578">
        <w:rPr>
          <w:rFonts w:ascii="Arial" w:hAnsi="Arial" w:cs="Arial"/>
        </w:rPr>
        <w:t xml:space="preserve">d probleeme uurime eelkõige kvalitatiivselt, siis turvalisuse valdkonda püüame ka kvantitatiivselt analüüsida, keskendudes varavastastele </w:t>
      </w:r>
      <w:r w:rsidR="00037ABA">
        <w:rPr>
          <w:rFonts w:ascii="Arial" w:hAnsi="Arial" w:cs="Arial"/>
        </w:rPr>
        <w:t>süütegudele</w:t>
      </w:r>
      <w:r w:rsidRPr="288A3578">
        <w:rPr>
          <w:rFonts w:ascii="Arial" w:hAnsi="Arial" w:cs="Arial"/>
        </w:rPr>
        <w:t xml:space="preserve">. Selleks kasutame varavastaste </w:t>
      </w:r>
      <w:r w:rsidR="00037ABA">
        <w:rPr>
          <w:rFonts w:ascii="Arial" w:hAnsi="Arial" w:cs="Arial"/>
        </w:rPr>
        <w:t>süütegude</w:t>
      </w:r>
      <w:r w:rsidR="00037ABA" w:rsidRPr="288A3578">
        <w:rPr>
          <w:rFonts w:ascii="Arial" w:hAnsi="Arial" w:cs="Arial"/>
        </w:rPr>
        <w:t xml:space="preserve"> </w:t>
      </w:r>
      <w:r w:rsidRPr="288A3578">
        <w:rPr>
          <w:rFonts w:ascii="Arial" w:hAnsi="Arial" w:cs="Arial"/>
        </w:rPr>
        <w:t>avaandmeid</w:t>
      </w:r>
      <w:r w:rsidR="00684CB7" w:rsidRPr="288A3578">
        <w:rPr>
          <w:rStyle w:val="FootnoteReference"/>
          <w:rFonts w:ascii="Arial" w:hAnsi="Arial" w:cs="Arial"/>
        </w:rPr>
        <w:footnoteReference w:id="95"/>
      </w:r>
      <w:r w:rsidRPr="288A3578">
        <w:rPr>
          <w:rFonts w:ascii="Arial" w:hAnsi="Arial" w:cs="Arial"/>
        </w:rPr>
        <w:t>, mis on kättesaadavad ka erinevate sündmuse liikide lõikes</w:t>
      </w:r>
      <w:r w:rsidR="698A365C" w:rsidRPr="288A3578">
        <w:rPr>
          <w:rFonts w:ascii="Arial" w:hAnsi="Arial" w:cs="Arial"/>
        </w:rPr>
        <w:t>,</w:t>
      </w:r>
      <w:r w:rsidRPr="288A3578">
        <w:rPr>
          <w:rFonts w:ascii="Arial" w:hAnsi="Arial" w:cs="Arial"/>
        </w:rPr>
        <w:t xml:space="preserve"> nagu vargused, pisivargused, vandalism, mootorsõiduki vargus jne. </w:t>
      </w:r>
    </w:p>
    <w:p w14:paraId="5E0F8F4A" w14:textId="731361A4" w:rsidR="00684CB7" w:rsidRDefault="60617302" w:rsidP="288A3578">
      <w:pPr>
        <w:jc w:val="both"/>
        <w:rPr>
          <w:rFonts w:ascii="Arial" w:hAnsi="Arial" w:cs="Arial"/>
        </w:rPr>
      </w:pPr>
      <w:r w:rsidRPr="288A3578">
        <w:rPr>
          <w:rFonts w:ascii="Arial" w:hAnsi="Arial" w:cs="Arial"/>
        </w:rPr>
        <w:lastRenderedPageBreak/>
        <w:t xml:space="preserve">Nähtustevaheliste seoste modelleerimisel on peamiseks </w:t>
      </w:r>
      <w:r w:rsidRPr="288A3578">
        <w:rPr>
          <w:rFonts w:ascii="Arial" w:hAnsi="Arial" w:cs="Arial"/>
          <w:b/>
          <w:bCs/>
        </w:rPr>
        <w:t>väljakutseks teiste tegurite kontrollimine</w:t>
      </w:r>
      <w:r w:rsidRPr="288A3578">
        <w:rPr>
          <w:rFonts w:ascii="Arial" w:hAnsi="Arial" w:cs="Arial"/>
        </w:rPr>
        <w:t xml:space="preserve">, mis meie poolt uuritavaid nähtuseid, antud juhul eespool nimetatud sotsiaal-majanduslikke muutujaid, mõjutavad. Selleks kasutame erinevates mudelites tabelis </w:t>
      </w:r>
      <w:r w:rsidR="2EA59F46" w:rsidRPr="288A3578">
        <w:rPr>
          <w:rFonts w:ascii="Arial" w:hAnsi="Arial" w:cs="Arial"/>
        </w:rPr>
        <w:t>4</w:t>
      </w:r>
      <w:r w:rsidRPr="288A3578">
        <w:rPr>
          <w:rFonts w:ascii="Arial" w:hAnsi="Arial" w:cs="Arial"/>
        </w:rPr>
        <w:t xml:space="preserve"> toodud kandidaatmuutujaid, mille seast valim</w:t>
      </w:r>
      <w:r w:rsidR="1BA99B39" w:rsidRPr="288A3578">
        <w:rPr>
          <w:rFonts w:ascii="Arial" w:hAnsi="Arial" w:cs="Arial"/>
        </w:rPr>
        <w:t>e</w:t>
      </w:r>
      <w:r w:rsidRPr="288A3578">
        <w:rPr>
          <w:rFonts w:ascii="Arial" w:hAnsi="Arial" w:cs="Arial"/>
        </w:rPr>
        <w:t xml:space="preserve"> igale mudelile sobivad muutujad välja nii nende statistilise olulise kui ka Aikaike informatsioonikriteeriumi põhjal. Mõnda nendest kasutasime ka sõltuva tunnusena, sest näiteks nõudlust traditsioonilises majutussektoris kasutasime kontrollmuutujana mudelis, millega analüüsisime lühiajalise üürimise seoseid tööturuga. Kuid samamoodi huvitas meid selle muutuja enda sõltuvus lühiajalisest üüri turust, kus kasutasime teda sõltuva muutujana. Kõikide tabelis </w:t>
      </w:r>
      <w:r w:rsidR="2EA59F46" w:rsidRPr="288A3578">
        <w:rPr>
          <w:rFonts w:ascii="Arial" w:hAnsi="Arial" w:cs="Arial"/>
        </w:rPr>
        <w:t>4</w:t>
      </w:r>
      <w:r w:rsidRPr="288A3578">
        <w:rPr>
          <w:rFonts w:ascii="Arial" w:hAnsi="Arial" w:cs="Arial"/>
        </w:rPr>
        <w:t xml:space="preserve"> toodud muutujate kohta kogusime andmed</w:t>
      </w:r>
      <w:r w:rsidR="00817A75">
        <w:rPr>
          <w:rFonts w:ascii="Arial" w:hAnsi="Arial" w:cs="Arial"/>
        </w:rPr>
        <w:t xml:space="preserve"> SA </w:t>
      </w:r>
      <w:r w:rsidRPr="288A3578">
        <w:rPr>
          <w:rFonts w:ascii="Arial" w:hAnsi="Arial" w:cs="Arial"/>
        </w:rPr>
        <w:t>andmebaasist.</w:t>
      </w:r>
    </w:p>
    <w:p w14:paraId="15F8E440" w14:textId="141CFAF1" w:rsidR="00684CB7" w:rsidRDefault="00684CB7" w:rsidP="0012762B">
      <w:pPr>
        <w:pStyle w:val="TableTitle"/>
      </w:pPr>
      <w:r>
        <w:t xml:space="preserve">Tabel </w:t>
      </w:r>
      <w:r w:rsidR="00616E0B">
        <w:t>4</w:t>
      </w:r>
      <w:r>
        <w:t>. Ökonomeetrilistes mudelites kasutatud kontrollmuutujad</w:t>
      </w:r>
    </w:p>
    <w:tbl>
      <w:tblPr>
        <w:tblStyle w:val="ListTable3-Accent1"/>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5040"/>
      </w:tblGrid>
      <w:tr w:rsidR="009A0C8A" w:rsidRPr="00C02886" w14:paraId="2A8367A2" w14:textId="77777777" w:rsidTr="288A35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215" w:type="dxa"/>
          </w:tcPr>
          <w:p w14:paraId="085920FA" w14:textId="77777777" w:rsidR="00684CB7" w:rsidRPr="00AB22A1" w:rsidRDefault="00684CB7">
            <w:pPr>
              <w:jc w:val="center"/>
              <w:rPr>
                <w:rFonts w:ascii="Arial" w:hAnsi="Arial" w:cs="Arial"/>
                <w:b w:val="0"/>
                <w:bCs w:val="0"/>
                <w:sz w:val="20"/>
                <w:szCs w:val="20"/>
              </w:rPr>
            </w:pPr>
            <w:r w:rsidRPr="00AB22A1">
              <w:rPr>
                <w:rFonts w:ascii="Arial" w:hAnsi="Arial" w:cs="Arial"/>
                <w:sz w:val="20"/>
                <w:szCs w:val="20"/>
              </w:rPr>
              <w:t>Muutuja</w:t>
            </w:r>
          </w:p>
        </w:tc>
        <w:tc>
          <w:tcPr>
            <w:tcW w:w="5040" w:type="dxa"/>
          </w:tcPr>
          <w:p w14:paraId="5E52D35C" w14:textId="77777777" w:rsidR="00684CB7" w:rsidRPr="00AB22A1" w:rsidRDefault="00684CB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B22A1">
              <w:rPr>
                <w:rFonts w:ascii="Arial" w:hAnsi="Arial" w:cs="Arial"/>
                <w:sz w:val="20"/>
                <w:szCs w:val="20"/>
              </w:rPr>
              <w:t>Mida mõõdab?</w:t>
            </w:r>
          </w:p>
        </w:tc>
      </w:tr>
      <w:tr w:rsidR="006B1E5D" w:rsidRPr="00C02886" w14:paraId="22D5D665" w14:textId="77777777" w:rsidTr="288A3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0E2B8B52" w14:textId="77777777" w:rsidR="00684CB7" w:rsidRPr="00BB1392" w:rsidRDefault="00684CB7" w:rsidP="000A3A6F">
            <w:pPr>
              <w:rPr>
                <w:rFonts w:ascii="Arial" w:hAnsi="Arial" w:cs="Arial"/>
                <w:b w:val="0"/>
                <w:bCs w:val="0"/>
                <w:sz w:val="20"/>
                <w:szCs w:val="20"/>
              </w:rPr>
            </w:pPr>
            <w:r w:rsidRPr="00BB1392">
              <w:rPr>
                <w:rFonts w:ascii="Arial" w:hAnsi="Arial" w:cs="Arial"/>
                <w:b w:val="0"/>
                <w:bCs w:val="0"/>
                <w:sz w:val="20"/>
                <w:szCs w:val="20"/>
              </w:rPr>
              <w:t>Jaemüügi mahuindeks</w:t>
            </w:r>
          </w:p>
        </w:tc>
        <w:tc>
          <w:tcPr>
            <w:tcW w:w="5040" w:type="dxa"/>
            <w:vMerge w:val="restart"/>
            <w:vAlign w:val="center"/>
          </w:tcPr>
          <w:p w14:paraId="378C779F" w14:textId="77777777" w:rsidR="00684CB7" w:rsidRPr="00C02886" w:rsidRDefault="00684CB7" w:rsidP="000A3A6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w:t>
            </w:r>
            <w:r w:rsidRPr="00C02886">
              <w:rPr>
                <w:rFonts w:ascii="Arial" w:hAnsi="Arial" w:cs="Arial"/>
                <w:sz w:val="20"/>
                <w:szCs w:val="20"/>
              </w:rPr>
              <w:t>ajanduse üldine aktiivsus</w:t>
            </w:r>
          </w:p>
        </w:tc>
      </w:tr>
      <w:tr w:rsidR="006B1E5D" w:rsidRPr="00C02886" w14:paraId="6F90F556" w14:textId="77777777" w:rsidTr="288A3578">
        <w:tc>
          <w:tcPr>
            <w:cnfStyle w:val="001000000000" w:firstRow="0" w:lastRow="0" w:firstColumn="1" w:lastColumn="0" w:oddVBand="0" w:evenVBand="0" w:oddHBand="0" w:evenHBand="0" w:firstRowFirstColumn="0" w:firstRowLastColumn="0" w:lastRowFirstColumn="0" w:lastRowLastColumn="0"/>
            <w:tcW w:w="5215" w:type="dxa"/>
          </w:tcPr>
          <w:p w14:paraId="008EAD0C" w14:textId="77777777" w:rsidR="00684CB7" w:rsidRPr="00BB1392" w:rsidRDefault="00684CB7" w:rsidP="000A3A6F">
            <w:pPr>
              <w:rPr>
                <w:rFonts w:ascii="Arial" w:hAnsi="Arial" w:cs="Arial"/>
                <w:b w:val="0"/>
                <w:bCs w:val="0"/>
                <w:sz w:val="20"/>
                <w:szCs w:val="20"/>
              </w:rPr>
            </w:pPr>
            <w:r w:rsidRPr="00BB1392">
              <w:rPr>
                <w:rFonts w:ascii="Arial" w:hAnsi="Arial" w:cs="Arial"/>
                <w:b w:val="0"/>
                <w:bCs w:val="0"/>
                <w:sz w:val="20"/>
                <w:szCs w:val="20"/>
              </w:rPr>
              <w:t>Registreeritud töötute arv</w:t>
            </w:r>
          </w:p>
        </w:tc>
        <w:tc>
          <w:tcPr>
            <w:tcW w:w="5040" w:type="dxa"/>
            <w:vMerge/>
            <w:vAlign w:val="center"/>
          </w:tcPr>
          <w:p w14:paraId="7C915C5A" w14:textId="77777777" w:rsidR="00684CB7" w:rsidRPr="00C02886" w:rsidRDefault="00684CB7" w:rsidP="000A3A6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B1E5D" w:rsidRPr="00C02886" w14:paraId="5FA876AC" w14:textId="77777777" w:rsidTr="288A3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2720C760" w14:textId="77777777" w:rsidR="00684CB7" w:rsidRPr="00BB1392" w:rsidRDefault="00684CB7" w:rsidP="000A3A6F">
            <w:pPr>
              <w:rPr>
                <w:rFonts w:ascii="Arial" w:hAnsi="Arial" w:cs="Arial"/>
                <w:b w:val="0"/>
                <w:bCs w:val="0"/>
                <w:sz w:val="20"/>
                <w:szCs w:val="20"/>
              </w:rPr>
            </w:pPr>
            <w:r w:rsidRPr="00BB1392">
              <w:rPr>
                <w:rFonts w:ascii="Arial" w:hAnsi="Arial" w:cs="Arial"/>
                <w:b w:val="0"/>
                <w:bCs w:val="0"/>
                <w:sz w:val="20"/>
                <w:szCs w:val="20"/>
              </w:rPr>
              <w:t>Reaalse SKP kasv</w:t>
            </w:r>
          </w:p>
        </w:tc>
        <w:tc>
          <w:tcPr>
            <w:tcW w:w="5040" w:type="dxa"/>
            <w:vMerge/>
            <w:vAlign w:val="center"/>
          </w:tcPr>
          <w:p w14:paraId="2F8D6D57" w14:textId="77777777" w:rsidR="00684CB7" w:rsidRPr="00C02886" w:rsidRDefault="00684CB7" w:rsidP="000A3A6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B1E5D" w:rsidRPr="00C02886" w14:paraId="41B29A37" w14:textId="77777777" w:rsidTr="288A3578">
        <w:tc>
          <w:tcPr>
            <w:cnfStyle w:val="001000000000" w:firstRow="0" w:lastRow="0" w:firstColumn="1" w:lastColumn="0" w:oddVBand="0" w:evenVBand="0" w:oddHBand="0" w:evenHBand="0" w:firstRowFirstColumn="0" w:firstRowLastColumn="0" w:lastRowFirstColumn="0" w:lastRowLastColumn="0"/>
            <w:tcW w:w="5215" w:type="dxa"/>
          </w:tcPr>
          <w:p w14:paraId="5CDD9D0B" w14:textId="77777777" w:rsidR="00684CB7" w:rsidRPr="00BB1392" w:rsidRDefault="00684CB7" w:rsidP="000A3A6F">
            <w:pPr>
              <w:rPr>
                <w:rFonts w:ascii="Arial" w:hAnsi="Arial" w:cs="Arial"/>
                <w:b w:val="0"/>
                <w:bCs w:val="0"/>
                <w:sz w:val="20"/>
                <w:szCs w:val="20"/>
              </w:rPr>
            </w:pPr>
            <w:r w:rsidRPr="00BB1392">
              <w:rPr>
                <w:rFonts w:ascii="Arial" w:hAnsi="Arial" w:cs="Arial"/>
                <w:b w:val="0"/>
                <w:bCs w:val="0"/>
                <w:sz w:val="20"/>
                <w:szCs w:val="20"/>
              </w:rPr>
              <w:t>Reaalne SKP elaniku (maakondade mudelis) kohta või kogutase</w:t>
            </w:r>
          </w:p>
        </w:tc>
        <w:tc>
          <w:tcPr>
            <w:tcW w:w="5040" w:type="dxa"/>
            <w:vMerge w:val="restart"/>
            <w:vAlign w:val="center"/>
          </w:tcPr>
          <w:p w14:paraId="3CDE92CD" w14:textId="4995CD1C" w:rsidR="00684CB7" w:rsidRPr="00C02886" w:rsidRDefault="00684CB7" w:rsidP="000A3A6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C02886">
              <w:rPr>
                <w:rFonts w:ascii="Arial" w:hAnsi="Arial" w:cs="Arial"/>
                <w:sz w:val="20"/>
                <w:szCs w:val="20"/>
              </w:rPr>
              <w:t>issetulekute tase</w:t>
            </w:r>
          </w:p>
        </w:tc>
      </w:tr>
      <w:tr w:rsidR="006B1E5D" w:rsidRPr="00C02886" w14:paraId="6260038F" w14:textId="77777777" w:rsidTr="288A3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7BD2FE5A" w14:textId="77777777" w:rsidR="00684CB7" w:rsidRPr="00BB1392" w:rsidRDefault="00684CB7" w:rsidP="000A3A6F">
            <w:pPr>
              <w:rPr>
                <w:rFonts w:ascii="Arial" w:hAnsi="Arial" w:cs="Arial"/>
                <w:b w:val="0"/>
                <w:bCs w:val="0"/>
                <w:sz w:val="20"/>
                <w:szCs w:val="20"/>
              </w:rPr>
            </w:pPr>
            <w:r w:rsidRPr="00BB1392">
              <w:rPr>
                <w:rFonts w:ascii="Arial" w:hAnsi="Arial" w:cs="Arial"/>
                <w:b w:val="0"/>
                <w:bCs w:val="0"/>
                <w:sz w:val="20"/>
                <w:szCs w:val="20"/>
              </w:rPr>
              <w:t>Keskmise brutokuupalga reaalväärtus</w:t>
            </w:r>
          </w:p>
        </w:tc>
        <w:tc>
          <w:tcPr>
            <w:tcW w:w="5040" w:type="dxa"/>
            <w:vMerge/>
            <w:vAlign w:val="center"/>
          </w:tcPr>
          <w:p w14:paraId="6874C2BF" w14:textId="77777777" w:rsidR="00684CB7" w:rsidRPr="00C02886" w:rsidRDefault="00684CB7" w:rsidP="000A3A6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B1E5D" w:rsidRPr="00C02886" w14:paraId="37DC97F0" w14:textId="77777777" w:rsidTr="288A3578">
        <w:tc>
          <w:tcPr>
            <w:cnfStyle w:val="001000000000" w:firstRow="0" w:lastRow="0" w:firstColumn="1" w:lastColumn="0" w:oddVBand="0" w:evenVBand="0" w:oddHBand="0" w:evenHBand="0" w:firstRowFirstColumn="0" w:firstRowLastColumn="0" w:lastRowFirstColumn="0" w:lastRowLastColumn="0"/>
            <w:tcW w:w="5215" w:type="dxa"/>
          </w:tcPr>
          <w:p w14:paraId="18756D8D" w14:textId="268CA676" w:rsidR="00684CB7" w:rsidRPr="00BB1392" w:rsidRDefault="000D6099" w:rsidP="000A3A6F">
            <w:pPr>
              <w:rPr>
                <w:rFonts w:ascii="Arial" w:hAnsi="Arial" w:cs="Arial"/>
                <w:b w:val="0"/>
                <w:bCs w:val="0"/>
                <w:sz w:val="20"/>
                <w:szCs w:val="20"/>
              </w:rPr>
            </w:pPr>
            <w:r w:rsidRPr="00BB1392">
              <w:rPr>
                <w:rFonts w:ascii="Arial" w:hAnsi="Arial" w:cs="Arial"/>
                <w:b w:val="0"/>
                <w:bCs w:val="0"/>
                <w:sz w:val="20"/>
                <w:szCs w:val="20"/>
              </w:rPr>
              <w:t>COVID-19</w:t>
            </w:r>
            <w:r w:rsidR="00684CB7" w:rsidRPr="00BB1392">
              <w:rPr>
                <w:rFonts w:ascii="Arial" w:hAnsi="Arial" w:cs="Arial"/>
                <w:b w:val="0"/>
                <w:bCs w:val="0"/>
                <w:sz w:val="20"/>
                <w:szCs w:val="20"/>
              </w:rPr>
              <w:t xml:space="preserve"> pandeemia fiktiivne muutuja</w:t>
            </w:r>
          </w:p>
        </w:tc>
        <w:tc>
          <w:tcPr>
            <w:tcW w:w="5040" w:type="dxa"/>
            <w:vAlign w:val="center"/>
          </w:tcPr>
          <w:p w14:paraId="6BF88393" w14:textId="77777777" w:rsidR="00684CB7" w:rsidRPr="00C02886" w:rsidRDefault="00684CB7" w:rsidP="000A3A6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K</w:t>
            </w:r>
            <w:r w:rsidRPr="00C02886">
              <w:rPr>
                <w:rFonts w:ascii="Arial" w:hAnsi="Arial" w:cs="Arial"/>
                <w:sz w:val="20"/>
                <w:szCs w:val="20"/>
              </w:rPr>
              <w:t>oroonapandeemia mõju</w:t>
            </w:r>
          </w:p>
        </w:tc>
      </w:tr>
      <w:tr w:rsidR="006B1E5D" w:rsidRPr="00C02886" w14:paraId="7E2B5E5C" w14:textId="77777777" w:rsidTr="288A3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24BD9DA4" w14:textId="77777777" w:rsidR="00684CB7" w:rsidRPr="00BB1392" w:rsidRDefault="00684CB7" w:rsidP="000A3A6F">
            <w:pPr>
              <w:rPr>
                <w:rFonts w:ascii="Arial" w:hAnsi="Arial" w:cs="Arial"/>
                <w:b w:val="0"/>
                <w:bCs w:val="0"/>
                <w:sz w:val="20"/>
                <w:szCs w:val="20"/>
              </w:rPr>
            </w:pPr>
            <w:r w:rsidRPr="00BB1392">
              <w:rPr>
                <w:rFonts w:ascii="Arial" w:hAnsi="Arial" w:cs="Arial"/>
                <w:b w:val="0"/>
                <w:bCs w:val="0"/>
                <w:sz w:val="20"/>
                <w:szCs w:val="20"/>
              </w:rPr>
              <w:t>Kasutuslubade arv</w:t>
            </w:r>
          </w:p>
        </w:tc>
        <w:tc>
          <w:tcPr>
            <w:tcW w:w="5040" w:type="dxa"/>
            <w:vAlign w:val="center"/>
          </w:tcPr>
          <w:p w14:paraId="1955730C" w14:textId="12EA80D1" w:rsidR="00684CB7" w:rsidRPr="00C02886" w:rsidRDefault="00684CB7" w:rsidP="000A3A6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U</w:t>
            </w:r>
            <w:r w:rsidRPr="00C02886">
              <w:rPr>
                <w:rFonts w:ascii="Arial" w:hAnsi="Arial" w:cs="Arial"/>
                <w:sz w:val="20"/>
                <w:szCs w:val="20"/>
              </w:rPr>
              <w:t>ute ehitiste juurdekasv</w:t>
            </w:r>
          </w:p>
        </w:tc>
      </w:tr>
      <w:tr w:rsidR="006B1E5D" w:rsidRPr="00C02886" w14:paraId="12592D74" w14:textId="77777777" w:rsidTr="288A3578">
        <w:tc>
          <w:tcPr>
            <w:cnfStyle w:val="001000000000" w:firstRow="0" w:lastRow="0" w:firstColumn="1" w:lastColumn="0" w:oddVBand="0" w:evenVBand="0" w:oddHBand="0" w:evenHBand="0" w:firstRowFirstColumn="0" w:firstRowLastColumn="0" w:lastRowFirstColumn="0" w:lastRowLastColumn="0"/>
            <w:tcW w:w="5215" w:type="dxa"/>
          </w:tcPr>
          <w:p w14:paraId="60CFE8CE" w14:textId="77777777" w:rsidR="00684CB7" w:rsidRPr="00BB1392" w:rsidRDefault="00684CB7" w:rsidP="000A3A6F">
            <w:pPr>
              <w:rPr>
                <w:rFonts w:ascii="Arial" w:hAnsi="Arial" w:cs="Arial"/>
                <w:b w:val="0"/>
                <w:bCs w:val="0"/>
                <w:sz w:val="20"/>
                <w:szCs w:val="20"/>
              </w:rPr>
            </w:pPr>
            <w:r w:rsidRPr="00BB1392">
              <w:rPr>
                <w:rFonts w:ascii="Arial" w:hAnsi="Arial" w:cs="Arial"/>
                <w:b w:val="0"/>
                <w:bCs w:val="0"/>
                <w:sz w:val="20"/>
                <w:szCs w:val="20"/>
              </w:rPr>
              <w:t>Voodikohtade arv</w:t>
            </w:r>
          </w:p>
        </w:tc>
        <w:tc>
          <w:tcPr>
            <w:tcW w:w="5040" w:type="dxa"/>
            <w:vMerge w:val="restart"/>
            <w:vAlign w:val="center"/>
          </w:tcPr>
          <w:p w14:paraId="23230A91" w14:textId="77777777" w:rsidR="00684CB7" w:rsidRPr="00C02886" w:rsidRDefault="00684CB7" w:rsidP="000A3A6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Pakkumine traditsioonilises majutussektoris</w:t>
            </w:r>
          </w:p>
        </w:tc>
      </w:tr>
      <w:tr w:rsidR="006B1E5D" w:rsidRPr="00C02886" w14:paraId="743C83A5" w14:textId="77777777" w:rsidTr="288A3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02316747" w14:textId="77777777" w:rsidR="00684CB7" w:rsidRPr="00BB1392" w:rsidRDefault="00684CB7" w:rsidP="000A3A6F">
            <w:pPr>
              <w:rPr>
                <w:rFonts w:ascii="Arial" w:hAnsi="Arial" w:cs="Arial"/>
                <w:b w:val="0"/>
                <w:bCs w:val="0"/>
                <w:sz w:val="20"/>
                <w:szCs w:val="20"/>
              </w:rPr>
            </w:pPr>
            <w:r w:rsidRPr="00BB1392">
              <w:rPr>
                <w:rFonts w:ascii="Arial" w:hAnsi="Arial" w:cs="Arial"/>
                <w:b w:val="0"/>
                <w:bCs w:val="0"/>
                <w:sz w:val="20"/>
                <w:szCs w:val="20"/>
              </w:rPr>
              <w:t>Majutuskohtade arv</w:t>
            </w:r>
          </w:p>
        </w:tc>
        <w:tc>
          <w:tcPr>
            <w:tcW w:w="5040" w:type="dxa"/>
            <w:vMerge/>
            <w:vAlign w:val="center"/>
          </w:tcPr>
          <w:p w14:paraId="3C53C1BF" w14:textId="77777777" w:rsidR="00684CB7" w:rsidRPr="00C02886" w:rsidRDefault="00684CB7" w:rsidP="000A3A6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B1E5D" w:rsidRPr="00C02886" w14:paraId="070DA4C1" w14:textId="77777777" w:rsidTr="288A3578">
        <w:tc>
          <w:tcPr>
            <w:cnfStyle w:val="001000000000" w:firstRow="0" w:lastRow="0" w:firstColumn="1" w:lastColumn="0" w:oddVBand="0" w:evenVBand="0" w:oddHBand="0" w:evenHBand="0" w:firstRowFirstColumn="0" w:firstRowLastColumn="0" w:lastRowFirstColumn="0" w:lastRowLastColumn="0"/>
            <w:tcW w:w="5215" w:type="dxa"/>
          </w:tcPr>
          <w:p w14:paraId="509337D1" w14:textId="495C9D01" w:rsidR="00684CB7" w:rsidRPr="00BB1392" w:rsidRDefault="60617302" w:rsidP="000A3A6F">
            <w:pPr>
              <w:rPr>
                <w:rFonts w:ascii="Arial" w:hAnsi="Arial" w:cs="Arial"/>
                <w:b w:val="0"/>
                <w:bCs w:val="0"/>
                <w:sz w:val="20"/>
                <w:szCs w:val="20"/>
              </w:rPr>
            </w:pPr>
            <w:r w:rsidRPr="00BB1392">
              <w:rPr>
                <w:rFonts w:ascii="Arial" w:hAnsi="Arial" w:cs="Arial"/>
                <w:b w:val="0"/>
                <w:bCs w:val="0"/>
                <w:sz w:val="20"/>
                <w:szCs w:val="20"/>
              </w:rPr>
              <w:t>Voodikohtade täitu</w:t>
            </w:r>
            <w:r w:rsidR="62C33198" w:rsidRPr="00BB1392">
              <w:rPr>
                <w:rFonts w:ascii="Arial" w:hAnsi="Arial" w:cs="Arial"/>
                <w:b w:val="0"/>
                <w:bCs w:val="0"/>
                <w:sz w:val="20"/>
                <w:szCs w:val="20"/>
              </w:rPr>
              <w:t>m</w:t>
            </w:r>
            <w:r w:rsidRPr="00BB1392">
              <w:rPr>
                <w:rFonts w:ascii="Arial" w:hAnsi="Arial" w:cs="Arial"/>
                <w:b w:val="0"/>
                <w:bCs w:val="0"/>
                <w:sz w:val="20"/>
                <w:szCs w:val="20"/>
              </w:rPr>
              <w:t>us</w:t>
            </w:r>
          </w:p>
        </w:tc>
        <w:tc>
          <w:tcPr>
            <w:tcW w:w="5040" w:type="dxa"/>
            <w:vMerge w:val="restart"/>
            <w:vAlign w:val="center"/>
          </w:tcPr>
          <w:p w14:paraId="3AD135E7" w14:textId="77777777" w:rsidR="00684CB7" w:rsidRPr="00C02886" w:rsidRDefault="00684CB7" w:rsidP="000A3A6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Nõudlus traditsioonilises majutussektoris</w:t>
            </w:r>
          </w:p>
        </w:tc>
      </w:tr>
      <w:tr w:rsidR="006B1E5D" w:rsidRPr="00C02886" w14:paraId="2117C141" w14:textId="77777777" w:rsidTr="288A3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31763EAE" w14:textId="77777777" w:rsidR="00684CB7" w:rsidRPr="00BB1392" w:rsidRDefault="00684CB7" w:rsidP="000A3A6F">
            <w:pPr>
              <w:rPr>
                <w:rFonts w:ascii="Arial" w:hAnsi="Arial" w:cs="Arial"/>
                <w:b w:val="0"/>
                <w:bCs w:val="0"/>
                <w:sz w:val="20"/>
                <w:szCs w:val="20"/>
              </w:rPr>
            </w:pPr>
            <w:r w:rsidRPr="00BB1392">
              <w:rPr>
                <w:rFonts w:ascii="Arial" w:hAnsi="Arial" w:cs="Arial"/>
                <w:b w:val="0"/>
                <w:bCs w:val="0"/>
                <w:sz w:val="20"/>
                <w:szCs w:val="20"/>
              </w:rPr>
              <w:t>Ööbimised</w:t>
            </w:r>
          </w:p>
        </w:tc>
        <w:tc>
          <w:tcPr>
            <w:tcW w:w="5040" w:type="dxa"/>
            <w:vMerge/>
          </w:tcPr>
          <w:p w14:paraId="204F6664" w14:textId="77777777" w:rsidR="00684CB7" w:rsidRPr="00C02886" w:rsidRDefault="00684CB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B1E5D" w:rsidRPr="00C02886" w14:paraId="386D49F4" w14:textId="77777777" w:rsidTr="288A3578">
        <w:tc>
          <w:tcPr>
            <w:cnfStyle w:val="001000000000" w:firstRow="0" w:lastRow="0" w:firstColumn="1" w:lastColumn="0" w:oddVBand="0" w:evenVBand="0" w:oddHBand="0" w:evenHBand="0" w:firstRowFirstColumn="0" w:firstRowLastColumn="0" w:lastRowFirstColumn="0" w:lastRowLastColumn="0"/>
            <w:tcW w:w="5215" w:type="dxa"/>
          </w:tcPr>
          <w:p w14:paraId="275D9390" w14:textId="77777777" w:rsidR="00684CB7" w:rsidRPr="00BB1392" w:rsidRDefault="00684CB7" w:rsidP="000A3A6F">
            <w:pPr>
              <w:rPr>
                <w:rFonts w:ascii="Arial" w:hAnsi="Arial" w:cs="Arial"/>
                <w:b w:val="0"/>
                <w:bCs w:val="0"/>
                <w:sz w:val="20"/>
                <w:szCs w:val="20"/>
              </w:rPr>
            </w:pPr>
            <w:r w:rsidRPr="00BB1392">
              <w:rPr>
                <w:rFonts w:ascii="Arial" w:hAnsi="Arial" w:cs="Arial"/>
                <w:b w:val="0"/>
                <w:bCs w:val="0"/>
                <w:sz w:val="20"/>
                <w:szCs w:val="20"/>
              </w:rPr>
              <w:t>Majutatute arv</w:t>
            </w:r>
          </w:p>
        </w:tc>
        <w:tc>
          <w:tcPr>
            <w:tcW w:w="5040" w:type="dxa"/>
            <w:vMerge/>
          </w:tcPr>
          <w:p w14:paraId="4BF2B096" w14:textId="77777777" w:rsidR="00684CB7" w:rsidRPr="00C02886" w:rsidRDefault="00684CB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53BAD8DA" w14:textId="7EFB84AB" w:rsidR="00684CB7" w:rsidRPr="00C0423E" w:rsidRDefault="60617302" w:rsidP="288A3578">
      <w:pPr>
        <w:spacing w:before="240"/>
        <w:jc w:val="both"/>
        <w:rPr>
          <w:rFonts w:ascii="Arial" w:hAnsi="Arial" w:cs="Arial"/>
        </w:rPr>
      </w:pPr>
      <w:r w:rsidRPr="288A3578">
        <w:rPr>
          <w:rFonts w:ascii="Arial" w:hAnsi="Arial" w:cs="Arial"/>
        </w:rPr>
        <w:t xml:space="preserve">Seoste analüüsimiseks aegridadena kasutame regressiooni ARIMA vigadega, et toime tulla aegridades esineva autokorrelatsiooniga. </w:t>
      </w:r>
      <w:r w:rsidR="00905FE0">
        <w:rPr>
          <w:rFonts w:ascii="Arial" w:hAnsi="Arial" w:cs="Arial"/>
        </w:rPr>
        <w:t>Seetõttu sisaldavad mitmed mudelid AR ja MA komponente, mi</w:t>
      </w:r>
      <w:r w:rsidR="004D58E4">
        <w:rPr>
          <w:rFonts w:ascii="Arial" w:hAnsi="Arial" w:cs="Arial"/>
        </w:rPr>
        <w:t xml:space="preserve">s väljendavad mudelite jääkliikmete sõltuvust </w:t>
      </w:r>
      <w:r w:rsidR="00363A1E">
        <w:rPr>
          <w:rFonts w:ascii="Arial" w:hAnsi="Arial" w:cs="Arial"/>
        </w:rPr>
        <w:t>varasemate perioodide</w:t>
      </w:r>
      <w:r w:rsidR="004D58E4">
        <w:rPr>
          <w:rFonts w:ascii="Arial" w:hAnsi="Arial" w:cs="Arial"/>
        </w:rPr>
        <w:t xml:space="preserve"> jääkliikmete</w:t>
      </w:r>
      <w:r w:rsidR="00363A1E">
        <w:rPr>
          <w:rFonts w:ascii="Arial" w:hAnsi="Arial" w:cs="Arial"/>
        </w:rPr>
        <w:t>st ja juhuslikest šokkidest</w:t>
      </w:r>
      <w:r w:rsidR="004D58E4">
        <w:rPr>
          <w:rFonts w:ascii="Arial" w:hAnsi="Arial" w:cs="Arial"/>
        </w:rPr>
        <w:t>.</w:t>
      </w:r>
      <w:r w:rsidR="00034027">
        <w:rPr>
          <w:rFonts w:ascii="Arial" w:hAnsi="Arial" w:cs="Arial"/>
        </w:rPr>
        <w:t xml:space="preserve"> Mudeli spetsifikatsiooni tähistatakse (</w:t>
      </w:r>
      <w:r w:rsidR="00EB2A53">
        <w:rPr>
          <w:rFonts w:ascii="Arial" w:hAnsi="Arial" w:cs="Arial"/>
        </w:rPr>
        <w:t>p,d,</w:t>
      </w:r>
      <w:r w:rsidR="00E466B5">
        <w:rPr>
          <w:rFonts w:ascii="Arial" w:hAnsi="Arial" w:cs="Arial"/>
        </w:rPr>
        <w:t>q</w:t>
      </w:r>
      <w:r w:rsidR="00EB2A53">
        <w:rPr>
          <w:rFonts w:ascii="Arial" w:hAnsi="Arial" w:cs="Arial"/>
        </w:rPr>
        <w:t>), kus p väljendab AR komponen</w:t>
      </w:r>
      <w:r w:rsidR="00FF11F1">
        <w:rPr>
          <w:rFonts w:ascii="Arial" w:hAnsi="Arial" w:cs="Arial"/>
        </w:rPr>
        <w:t xml:space="preserve">di </w:t>
      </w:r>
      <w:r w:rsidR="00BF10D1">
        <w:rPr>
          <w:rFonts w:ascii="Arial" w:hAnsi="Arial" w:cs="Arial"/>
        </w:rPr>
        <w:t xml:space="preserve">järku ja </w:t>
      </w:r>
      <w:r w:rsidR="1AA3AF59">
        <w:rPr>
          <w:rFonts w:ascii="Arial" w:hAnsi="Arial" w:cs="Arial"/>
        </w:rPr>
        <w:t>q</w:t>
      </w:r>
      <w:r w:rsidR="00BF10D1">
        <w:rPr>
          <w:rFonts w:ascii="Arial" w:hAnsi="Arial" w:cs="Arial"/>
        </w:rPr>
        <w:t xml:space="preserve"> MA komponendi järku, d aga diferentsimise järku</w:t>
      </w:r>
      <w:r w:rsidR="00BF10D1">
        <w:rPr>
          <w:rStyle w:val="FootnoteReference"/>
          <w:rFonts w:ascii="Arial" w:hAnsi="Arial" w:cs="Arial"/>
        </w:rPr>
        <w:footnoteReference w:id="96"/>
      </w:r>
      <w:r w:rsidR="00BF10D1">
        <w:rPr>
          <w:rFonts w:ascii="Arial" w:hAnsi="Arial" w:cs="Arial"/>
        </w:rPr>
        <w:t xml:space="preserve">. </w:t>
      </w:r>
      <w:r w:rsidRPr="288A3578">
        <w:rPr>
          <w:rFonts w:ascii="Arial" w:hAnsi="Arial" w:cs="Arial"/>
        </w:rPr>
        <w:t>Parameetrite hinnangud saame suurima tõepära (ing</w:t>
      </w:r>
      <w:r w:rsidR="29EC3CF2" w:rsidRPr="288A3578">
        <w:rPr>
          <w:rFonts w:ascii="Arial" w:hAnsi="Arial" w:cs="Arial"/>
        </w:rPr>
        <w:t>l</w:t>
      </w:r>
      <w:r w:rsidRPr="288A3578">
        <w:rPr>
          <w:rFonts w:ascii="Arial" w:hAnsi="Arial" w:cs="Arial"/>
        </w:rPr>
        <w:t xml:space="preserve"> </w:t>
      </w:r>
      <w:r w:rsidRPr="1C92C443">
        <w:rPr>
          <w:rFonts w:ascii="Arial" w:hAnsi="Arial" w:cs="Arial"/>
          <w:i/>
          <w:iCs/>
        </w:rPr>
        <w:t>maximum likelihood</w:t>
      </w:r>
      <w:r w:rsidRPr="288A3578">
        <w:rPr>
          <w:rFonts w:ascii="Arial" w:hAnsi="Arial" w:cs="Arial"/>
        </w:rPr>
        <w:t xml:space="preserve">) meetodiga. Lisaks </w:t>
      </w:r>
      <w:r w:rsidRPr="288A3578">
        <w:rPr>
          <w:rFonts w:ascii="Arial" w:hAnsi="Arial" w:cs="Arial"/>
        </w:rPr>
        <w:lastRenderedPageBreak/>
        <w:t>analüüsisime enne mudelite hindamist muutujate statsionaarsust ja diferentsisime neid vajadusel sesoonselt ja seejärel veel mittesessoonselt, kuni kõik muutujad olid statsionaarsed. Diferentsimise piiranguks on see, et sellega eemaldatakse aegreast informatsioon pikaajaliste seoste kohta, seega pigem näitavad hinnatud aegread lühiajalisi seoseid. Paneelmudelite puhul kasutame nii juhuslike kui ka fikseeritud efektidega mudelit vastavalt Hausmani testi tulemusele. Vajadusel ja võimalusel rakendame ka kahesammulist vähimruutude (ing</w:t>
      </w:r>
      <w:r w:rsidR="2C20E93E" w:rsidRPr="288A3578">
        <w:rPr>
          <w:rFonts w:ascii="Arial" w:hAnsi="Arial" w:cs="Arial"/>
        </w:rPr>
        <w:t>l</w:t>
      </w:r>
      <w:r w:rsidRPr="288A3578">
        <w:rPr>
          <w:rFonts w:ascii="Arial" w:hAnsi="Arial" w:cs="Arial"/>
        </w:rPr>
        <w:t xml:space="preserve"> </w:t>
      </w:r>
      <w:r w:rsidRPr="1C92C443">
        <w:rPr>
          <w:rFonts w:ascii="Arial" w:hAnsi="Arial" w:cs="Arial"/>
          <w:i/>
          <w:iCs/>
        </w:rPr>
        <w:t>two-stage least squares</w:t>
      </w:r>
      <w:r w:rsidRPr="288A3578">
        <w:rPr>
          <w:rFonts w:ascii="Arial" w:hAnsi="Arial" w:cs="Arial"/>
        </w:rPr>
        <w:t>) regressiooni, kus instrumendina kasutame lühiajalise üüri turu mahumuutuja viitaega. Kahesammuline instrumentmuutujaga regressioon on levinud meetod just kausaalsete seoste tuvastamiseks.</w:t>
      </w:r>
    </w:p>
    <w:p w14:paraId="1394590C" w14:textId="31F6D89F" w:rsidR="00684CB7" w:rsidRPr="006E5BDB" w:rsidRDefault="60617302" w:rsidP="288A3578">
      <w:pPr>
        <w:jc w:val="both"/>
        <w:rPr>
          <w:rFonts w:ascii="Arial" w:hAnsi="Arial" w:cs="Arial"/>
        </w:rPr>
      </w:pPr>
      <w:r w:rsidRPr="288A3578">
        <w:rPr>
          <w:rFonts w:ascii="Arial" w:hAnsi="Arial" w:cs="Arial"/>
        </w:rPr>
        <w:t xml:space="preserve">Tuginedes kirjeldatud meetoditega saadud tulemustele Eesti kontekstis avaldunud mõjude kohta, sünteesime eespool selgitatud teoreetilisest perspektiivist ning erinevate meetoditega avastatud leidudest lähtuvalt kvalitatiivsed hinnangud kõikide tuvastatud mõjukategooriate lõikes. </w:t>
      </w:r>
      <w:r w:rsidRPr="288A3578">
        <w:rPr>
          <w:rFonts w:ascii="Arial" w:hAnsi="Arial" w:cs="Arial"/>
          <w:b/>
          <w:bCs/>
        </w:rPr>
        <w:t>Kvalitatiivse raamistiku mõjude hindamiseks oleme valinud põhjusel</w:t>
      </w:r>
      <w:r w:rsidRPr="288A3578">
        <w:rPr>
          <w:rFonts w:ascii="Arial" w:hAnsi="Arial" w:cs="Arial"/>
        </w:rPr>
        <w:t>, et väga suur osa lühiajalise üüri turuga kaasnevatest mõjudest on kvantitatiivselt sekundaarandmete baasil raskesti ja väga suure kuluga hinnatavad. Kuna selle uuringu üheks sihiks on pakkuda kasutatud metoodikat ka edaspidi turu seireks ja mõjude hinda</w:t>
      </w:r>
      <w:r w:rsidR="00825FB0">
        <w:rPr>
          <w:rFonts w:ascii="Arial" w:hAnsi="Arial" w:cs="Arial"/>
        </w:rPr>
        <w:t>m</w:t>
      </w:r>
      <w:r w:rsidRPr="288A3578">
        <w:rPr>
          <w:rFonts w:ascii="Arial" w:hAnsi="Arial" w:cs="Arial"/>
        </w:rPr>
        <w:t>iseks, siis on selline kombinatsioon kvalitatiivsete ja kvantitatiivsete meetodite vahel meie hinnangul optimaalne ja võimaldab saadu</w:t>
      </w:r>
      <w:r w:rsidR="58BA6334" w:rsidRPr="288A3578">
        <w:rPr>
          <w:rFonts w:ascii="Arial" w:hAnsi="Arial" w:cs="Arial"/>
        </w:rPr>
        <w:t>d</w:t>
      </w:r>
      <w:r w:rsidRPr="288A3578">
        <w:rPr>
          <w:rFonts w:ascii="Arial" w:hAnsi="Arial" w:cs="Arial"/>
        </w:rPr>
        <w:t xml:space="preserve"> hinnanguid ka edaspidi jooksvalt uuendada. Kuigi osadele mõjukategooriatele oleme andnud ka kvantitatiivsed hinnangud, siis neid kasutame pigem kvalitatiivsete hinnangute kujundamisel sisendina, mitte niivõrd mõjude hindamise põhiväljundina. Mõjude kvalitatiivsel hindamisel iseloomustame neid kolme erineva aspekti vaates: ulatus, sagedus, tugevus. Neid mõju aspekte hinnates kasutame tabelis </w:t>
      </w:r>
      <w:r w:rsidR="2EA59F46" w:rsidRPr="288A3578">
        <w:rPr>
          <w:rFonts w:ascii="Arial" w:hAnsi="Arial" w:cs="Arial"/>
        </w:rPr>
        <w:t>5</w:t>
      </w:r>
      <w:r w:rsidRPr="288A3578">
        <w:rPr>
          <w:rFonts w:ascii="Arial" w:hAnsi="Arial" w:cs="Arial"/>
        </w:rPr>
        <w:t xml:space="preserve"> näidatud </w:t>
      </w:r>
      <w:r w:rsidR="00531845">
        <w:rPr>
          <w:rFonts w:ascii="Arial" w:hAnsi="Arial" w:cs="Arial"/>
        </w:rPr>
        <w:t>järjestus</w:t>
      </w:r>
      <w:r w:rsidRPr="288A3578">
        <w:rPr>
          <w:rFonts w:ascii="Arial" w:hAnsi="Arial" w:cs="Arial"/>
        </w:rPr>
        <w:t>skaalasid ja kriteeriume.</w:t>
      </w:r>
    </w:p>
    <w:p w14:paraId="3D28D9A2" w14:textId="1210A3C8" w:rsidR="00684CB7" w:rsidRPr="00E14EBC" w:rsidRDefault="00684CB7" w:rsidP="000A3A6F">
      <w:pPr>
        <w:pStyle w:val="TableTitle"/>
      </w:pPr>
      <w:r w:rsidRPr="00E14EBC">
        <w:t xml:space="preserve">Tabel </w:t>
      </w:r>
      <w:r w:rsidR="00616E0B">
        <w:t>5:</w:t>
      </w:r>
      <w:r w:rsidRPr="00E14EBC">
        <w:t xml:space="preserve"> Mõjude hindamise skaalad ja kriteeriumid</w:t>
      </w:r>
    </w:p>
    <w:tbl>
      <w:tblPr>
        <w:tblStyle w:val="TableGrid"/>
        <w:tblW w:w="10255" w:type="dxa"/>
        <w:tblLook w:val="04A0" w:firstRow="1" w:lastRow="0" w:firstColumn="1" w:lastColumn="0" w:noHBand="0" w:noVBand="1"/>
      </w:tblPr>
      <w:tblGrid>
        <w:gridCol w:w="1838"/>
        <w:gridCol w:w="8417"/>
      </w:tblGrid>
      <w:tr w:rsidR="00684CB7" w:rsidRPr="005309A0" w14:paraId="0B4A1FE7" w14:textId="77777777" w:rsidTr="288A3578">
        <w:tc>
          <w:tcPr>
            <w:tcW w:w="10255" w:type="dxa"/>
            <w:gridSpan w:val="2"/>
            <w:shd w:val="clear" w:color="auto" w:fill="ACAEAC" w:themeFill="accent2"/>
            <w:vAlign w:val="center"/>
          </w:tcPr>
          <w:p w14:paraId="6331DF23"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MÕJU ULATUS</w:t>
            </w:r>
          </w:p>
        </w:tc>
      </w:tr>
      <w:tr w:rsidR="00684CB7" w:rsidRPr="005309A0" w14:paraId="117AE123" w14:textId="77777777" w:rsidTr="288A3578">
        <w:tc>
          <w:tcPr>
            <w:tcW w:w="1838" w:type="dxa"/>
            <w:vAlign w:val="center"/>
          </w:tcPr>
          <w:p w14:paraId="35B6A0C2"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Väga piiratud</w:t>
            </w:r>
            <w:r w:rsidRPr="005309A0">
              <w:rPr>
                <w:rFonts w:asciiTheme="minorBidi" w:hAnsiTheme="minorBidi"/>
                <w:sz w:val="20"/>
                <w:szCs w:val="20"/>
              </w:rPr>
              <w:tab/>
            </w:r>
          </w:p>
        </w:tc>
        <w:tc>
          <w:tcPr>
            <w:tcW w:w="8417" w:type="dxa"/>
            <w:vAlign w:val="center"/>
          </w:tcPr>
          <w:p w14:paraId="3A420306" w14:textId="6ED2B5A2" w:rsidR="00684CB7" w:rsidRPr="005309A0" w:rsidRDefault="00684CB7">
            <w:pPr>
              <w:jc w:val="both"/>
              <w:rPr>
                <w:rFonts w:asciiTheme="minorBidi" w:hAnsiTheme="minorBidi"/>
                <w:sz w:val="20"/>
                <w:szCs w:val="20"/>
              </w:rPr>
            </w:pPr>
            <w:r w:rsidRPr="005309A0">
              <w:rPr>
                <w:rFonts w:asciiTheme="minorBidi" w:hAnsiTheme="minorBidi"/>
                <w:sz w:val="20"/>
                <w:szCs w:val="20"/>
              </w:rPr>
              <w:t>Mõju on märgatav üksikjuhtudel või konkreetsetes objektides (nt üks maja, paar korterit)</w:t>
            </w:r>
          </w:p>
        </w:tc>
      </w:tr>
      <w:tr w:rsidR="00684CB7" w:rsidRPr="005309A0" w14:paraId="57ECA212" w14:textId="77777777" w:rsidTr="288A3578">
        <w:tc>
          <w:tcPr>
            <w:tcW w:w="1838" w:type="dxa"/>
            <w:vAlign w:val="center"/>
          </w:tcPr>
          <w:p w14:paraId="321BBB08"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Piiratud</w:t>
            </w:r>
            <w:r w:rsidRPr="005309A0">
              <w:rPr>
                <w:rFonts w:asciiTheme="minorBidi" w:hAnsiTheme="minorBidi"/>
                <w:sz w:val="20"/>
                <w:szCs w:val="20"/>
              </w:rPr>
              <w:tab/>
            </w:r>
          </w:p>
        </w:tc>
        <w:tc>
          <w:tcPr>
            <w:tcW w:w="8417" w:type="dxa"/>
            <w:vAlign w:val="center"/>
          </w:tcPr>
          <w:p w14:paraId="6CE2E809" w14:textId="248EF8D8" w:rsidR="00684CB7" w:rsidRPr="005309A0" w:rsidRDefault="00684CB7">
            <w:pPr>
              <w:jc w:val="both"/>
              <w:rPr>
                <w:rFonts w:asciiTheme="minorBidi" w:hAnsiTheme="minorBidi"/>
                <w:sz w:val="20"/>
                <w:szCs w:val="20"/>
              </w:rPr>
            </w:pPr>
            <w:r w:rsidRPr="005309A0">
              <w:rPr>
                <w:rFonts w:asciiTheme="minorBidi" w:hAnsiTheme="minorBidi"/>
                <w:sz w:val="20"/>
                <w:szCs w:val="20"/>
              </w:rPr>
              <w:t>Mõju esineb konkreetses piirkonnas või mõnes majutusrohkusega hoones/linnajaos</w:t>
            </w:r>
          </w:p>
        </w:tc>
      </w:tr>
      <w:tr w:rsidR="00684CB7" w:rsidRPr="005309A0" w14:paraId="3756D67A" w14:textId="77777777" w:rsidTr="288A3578">
        <w:tc>
          <w:tcPr>
            <w:tcW w:w="1838" w:type="dxa"/>
            <w:vAlign w:val="center"/>
          </w:tcPr>
          <w:p w14:paraId="2C126FAC"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Mõõdukas</w:t>
            </w:r>
            <w:r w:rsidRPr="005309A0">
              <w:rPr>
                <w:rFonts w:asciiTheme="minorBidi" w:hAnsiTheme="minorBidi"/>
                <w:sz w:val="20"/>
                <w:szCs w:val="20"/>
              </w:rPr>
              <w:tab/>
            </w:r>
          </w:p>
        </w:tc>
        <w:tc>
          <w:tcPr>
            <w:tcW w:w="8417" w:type="dxa"/>
            <w:vAlign w:val="center"/>
          </w:tcPr>
          <w:p w14:paraId="5A52D8DF" w14:textId="1BED4D03" w:rsidR="00684CB7" w:rsidRPr="005309A0" w:rsidRDefault="00684CB7">
            <w:pPr>
              <w:jc w:val="both"/>
              <w:rPr>
                <w:rFonts w:asciiTheme="minorBidi" w:hAnsiTheme="minorBidi"/>
                <w:sz w:val="20"/>
                <w:szCs w:val="20"/>
              </w:rPr>
            </w:pPr>
            <w:r w:rsidRPr="005309A0">
              <w:rPr>
                <w:rFonts w:asciiTheme="minorBidi" w:hAnsiTheme="minorBidi"/>
                <w:sz w:val="20"/>
                <w:szCs w:val="20"/>
              </w:rPr>
              <w:t>Mõju ulatub mitmele linnaosale või väiksemale omavalitsusele</w:t>
            </w:r>
          </w:p>
        </w:tc>
      </w:tr>
      <w:tr w:rsidR="00684CB7" w:rsidRPr="005309A0" w14:paraId="760A6133" w14:textId="77777777" w:rsidTr="288A3578">
        <w:tc>
          <w:tcPr>
            <w:tcW w:w="1838" w:type="dxa"/>
            <w:vAlign w:val="center"/>
          </w:tcPr>
          <w:p w14:paraId="196EDCA4"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Lai</w:t>
            </w:r>
            <w:r w:rsidRPr="005309A0">
              <w:rPr>
                <w:rFonts w:asciiTheme="minorBidi" w:hAnsiTheme="minorBidi"/>
                <w:sz w:val="20"/>
                <w:szCs w:val="20"/>
              </w:rPr>
              <w:tab/>
            </w:r>
          </w:p>
        </w:tc>
        <w:tc>
          <w:tcPr>
            <w:tcW w:w="8417" w:type="dxa"/>
            <w:vAlign w:val="center"/>
          </w:tcPr>
          <w:p w14:paraId="4D133CA5" w14:textId="79B03E0F" w:rsidR="00684CB7" w:rsidRPr="005309A0" w:rsidRDefault="00684CB7">
            <w:pPr>
              <w:jc w:val="both"/>
              <w:rPr>
                <w:rFonts w:asciiTheme="minorBidi" w:hAnsiTheme="minorBidi"/>
                <w:sz w:val="20"/>
                <w:szCs w:val="20"/>
              </w:rPr>
            </w:pPr>
            <w:r w:rsidRPr="005309A0">
              <w:rPr>
                <w:rFonts w:asciiTheme="minorBidi" w:hAnsiTheme="minorBidi"/>
                <w:sz w:val="20"/>
                <w:szCs w:val="20"/>
              </w:rPr>
              <w:t>Mõju ulatub kogu või suure osa linna või maakonna elanikele või teatud mingi valdkonna (nt eluaseme- või majutusturg) kaudu üleriiklikult paljude inimesteni</w:t>
            </w:r>
          </w:p>
        </w:tc>
      </w:tr>
      <w:tr w:rsidR="00684CB7" w:rsidRPr="005309A0" w14:paraId="4FBA2E3B" w14:textId="77777777" w:rsidTr="288A3578">
        <w:tc>
          <w:tcPr>
            <w:tcW w:w="1838" w:type="dxa"/>
            <w:vAlign w:val="center"/>
          </w:tcPr>
          <w:p w14:paraId="073FEAE0"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Väga lai</w:t>
            </w:r>
            <w:r w:rsidRPr="005309A0">
              <w:rPr>
                <w:rFonts w:asciiTheme="minorBidi" w:hAnsiTheme="minorBidi"/>
                <w:sz w:val="20"/>
                <w:szCs w:val="20"/>
              </w:rPr>
              <w:tab/>
            </w:r>
          </w:p>
        </w:tc>
        <w:tc>
          <w:tcPr>
            <w:tcW w:w="8417" w:type="dxa"/>
            <w:vAlign w:val="center"/>
          </w:tcPr>
          <w:p w14:paraId="3A2244E7" w14:textId="7949BAB5" w:rsidR="00684CB7" w:rsidRPr="005309A0" w:rsidRDefault="60617302" w:rsidP="288A3578">
            <w:pPr>
              <w:jc w:val="both"/>
              <w:rPr>
                <w:rFonts w:asciiTheme="minorBidi" w:hAnsiTheme="minorBidi"/>
                <w:sz w:val="20"/>
                <w:szCs w:val="20"/>
              </w:rPr>
            </w:pPr>
            <w:r w:rsidRPr="288A3578">
              <w:rPr>
                <w:rFonts w:asciiTheme="minorBidi" w:hAnsiTheme="minorBidi"/>
                <w:sz w:val="20"/>
                <w:szCs w:val="20"/>
              </w:rPr>
              <w:t>Mõju on üleriiklik ja mõjutab suuremat osa Eestis elavaid inimesi ja/või ettevõtteid</w:t>
            </w:r>
          </w:p>
        </w:tc>
      </w:tr>
      <w:tr w:rsidR="00684CB7" w:rsidRPr="005309A0" w14:paraId="0820C897" w14:textId="77777777" w:rsidTr="288A3578">
        <w:tc>
          <w:tcPr>
            <w:tcW w:w="10255" w:type="dxa"/>
            <w:gridSpan w:val="2"/>
            <w:shd w:val="clear" w:color="auto" w:fill="ACAEAC" w:themeFill="accent2"/>
            <w:vAlign w:val="center"/>
          </w:tcPr>
          <w:p w14:paraId="348C5EE2"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MÕJU SAGEDUS</w:t>
            </w:r>
          </w:p>
        </w:tc>
      </w:tr>
      <w:tr w:rsidR="00684CB7" w:rsidRPr="005309A0" w14:paraId="39E38F85" w14:textId="77777777" w:rsidTr="288A3578">
        <w:tc>
          <w:tcPr>
            <w:tcW w:w="1838" w:type="dxa"/>
            <w:vAlign w:val="center"/>
          </w:tcPr>
          <w:p w14:paraId="6CBBFD14"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Ajutine</w:t>
            </w:r>
            <w:r w:rsidRPr="005309A0">
              <w:rPr>
                <w:rFonts w:asciiTheme="minorBidi" w:hAnsiTheme="minorBidi"/>
                <w:sz w:val="20"/>
                <w:szCs w:val="20"/>
              </w:rPr>
              <w:tab/>
            </w:r>
          </w:p>
        </w:tc>
        <w:tc>
          <w:tcPr>
            <w:tcW w:w="8417" w:type="dxa"/>
            <w:vAlign w:val="center"/>
          </w:tcPr>
          <w:p w14:paraId="02E8D943" w14:textId="20711C06" w:rsidR="00684CB7" w:rsidRPr="005309A0" w:rsidRDefault="60617302" w:rsidP="288A3578">
            <w:pPr>
              <w:jc w:val="both"/>
              <w:rPr>
                <w:rFonts w:asciiTheme="minorBidi" w:hAnsiTheme="minorBidi"/>
                <w:sz w:val="20"/>
                <w:szCs w:val="20"/>
              </w:rPr>
            </w:pPr>
            <w:r w:rsidRPr="288A3578">
              <w:rPr>
                <w:rFonts w:asciiTheme="minorBidi" w:hAnsiTheme="minorBidi"/>
                <w:sz w:val="20"/>
                <w:szCs w:val="20"/>
              </w:rPr>
              <w:t>Mõju ilmneb ainult teatud juhtudel</w:t>
            </w:r>
            <w:r w:rsidR="00212434">
              <w:rPr>
                <w:rFonts w:asciiTheme="minorBidi" w:hAnsiTheme="minorBidi"/>
                <w:sz w:val="20"/>
                <w:szCs w:val="20"/>
              </w:rPr>
              <w:t xml:space="preserve"> (nt mingite asjaolude kokkulangemisel)</w:t>
            </w:r>
            <w:r w:rsidRPr="288A3578">
              <w:rPr>
                <w:rFonts w:asciiTheme="minorBidi" w:hAnsiTheme="minorBidi"/>
                <w:sz w:val="20"/>
                <w:szCs w:val="20"/>
              </w:rPr>
              <w:t xml:space="preserve"> või lühikesel ajaperioodil (nt turismihooajal). </w:t>
            </w:r>
          </w:p>
        </w:tc>
      </w:tr>
      <w:tr w:rsidR="00684CB7" w:rsidRPr="005309A0" w14:paraId="02EA1110" w14:textId="77777777" w:rsidTr="288A3578">
        <w:tc>
          <w:tcPr>
            <w:tcW w:w="1838" w:type="dxa"/>
            <w:vAlign w:val="center"/>
          </w:tcPr>
          <w:p w14:paraId="6A05B34A"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Perioodiline</w:t>
            </w:r>
            <w:r w:rsidRPr="005309A0">
              <w:rPr>
                <w:rFonts w:asciiTheme="minorBidi" w:hAnsiTheme="minorBidi"/>
                <w:sz w:val="20"/>
                <w:szCs w:val="20"/>
              </w:rPr>
              <w:tab/>
            </w:r>
          </w:p>
        </w:tc>
        <w:tc>
          <w:tcPr>
            <w:tcW w:w="8417" w:type="dxa"/>
            <w:vAlign w:val="center"/>
          </w:tcPr>
          <w:p w14:paraId="77BC03C8" w14:textId="2E4CC342" w:rsidR="00684CB7" w:rsidRPr="005309A0" w:rsidRDefault="00684CB7">
            <w:pPr>
              <w:jc w:val="both"/>
              <w:rPr>
                <w:rFonts w:asciiTheme="minorBidi" w:hAnsiTheme="minorBidi"/>
                <w:sz w:val="20"/>
                <w:szCs w:val="20"/>
              </w:rPr>
            </w:pPr>
            <w:r w:rsidRPr="005309A0">
              <w:rPr>
                <w:rFonts w:asciiTheme="minorBidi" w:hAnsiTheme="minorBidi"/>
                <w:sz w:val="20"/>
                <w:szCs w:val="20"/>
              </w:rPr>
              <w:t>Mõju kordub teatud regulaarsusega või on sesoonselt esinev (nt igal suvel, nädalavahetuseti). Põhjuslikud mehhanismid on teada ja korduvad</w:t>
            </w:r>
          </w:p>
        </w:tc>
      </w:tr>
      <w:tr w:rsidR="00684CB7" w:rsidRPr="005309A0" w14:paraId="4682EF09" w14:textId="77777777" w:rsidTr="288A3578">
        <w:tc>
          <w:tcPr>
            <w:tcW w:w="1838" w:type="dxa"/>
            <w:vAlign w:val="center"/>
          </w:tcPr>
          <w:p w14:paraId="689D3A99"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Püsiv</w:t>
            </w:r>
            <w:r w:rsidRPr="005309A0">
              <w:rPr>
                <w:rFonts w:asciiTheme="minorBidi" w:hAnsiTheme="minorBidi"/>
                <w:sz w:val="20"/>
                <w:szCs w:val="20"/>
              </w:rPr>
              <w:tab/>
            </w:r>
          </w:p>
        </w:tc>
        <w:tc>
          <w:tcPr>
            <w:tcW w:w="8417" w:type="dxa"/>
            <w:vAlign w:val="center"/>
          </w:tcPr>
          <w:p w14:paraId="72DDEABB" w14:textId="51EB93D7" w:rsidR="00684CB7" w:rsidRPr="005309A0" w:rsidRDefault="00684CB7">
            <w:pPr>
              <w:jc w:val="both"/>
              <w:rPr>
                <w:rFonts w:asciiTheme="minorBidi" w:hAnsiTheme="minorBidi"/>
                <w:sz w:val="20"/>
                <w:szCs w:val="20"/>
              </w:rPr>
            </w:pPr>
            <w:r w:rsidRPr="005309A0">
              <w:rPr>
                <w:rFonts w:asciiTheme="minorBidi" w:hAnsiTheme="minorBidi"/>
                <w:sz w:val="20"/>
                <w:szCs w:val="20"/>
              </w:rPr>
              <w:t>Mõju on pidev või süsteemne; see ei sõltu hooajast ega konkreetsetest sündmustest, vaid on lühiajalise üürituruga kaasnev püsiv struktuurne tunnus</w:t>
            </w:r>
          </w:p>
        </w:tc>
      </w:tr>
      <w:tr w:rsidR="00684CB7" w:rsidRPr="005309A0" w14:paraId="62B035FB" w14:textId="77777777" w:rsidTr="288A3578">
        <w:tc>
          <w:tcPr>
            <w:tcW w:w="10255" w:type="dxa"/>
            <w:gridSpan w:val="2"/>
            <w:shd w:val="clear" w:color="auto" w:fill="ACAEAC" w:themeFill="accent2"/>
            <w:vAlign w:val="center"/>
          </w:tcPr>
          <w:p w14:paraId="281903B6"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lastRenderedPageBreak/>
              <w:t>MÕJU TUGEVUS</w:t>
            </w:r>
          </w:p>
        </w:tc>
      </w:tr>
      <w:tr w:rsidR="00684CB7" w:rsidRPr="005309A0" w14:paraId="0B9CA3C1" w14:textId="77777777" w:rsidTr="288A3578">
        <w:tc>
          <w:tcPr>
            <w:tcW w:w="1838" w:type="dxa"/>
            <w:vAlign w:val="center"/>
          </w:tcPr>
          <w:p w14:paraId="1D13C85C"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Väga nõrk</w:t>
            </w:r>
          </w:p>
        </w:tc>
        <w:tc>
          <w:tcPr>
            <w:tcW w:w="8417" w:type="dxa"/>
            <w:vAlign w:val="center"/>
          </w:tcPr>
          <w:p w14:paraId="1AFA33A9" w14:textId="55938947" w:rsidR="00684CB7" w:rsidRPr="005309A0" w:rsidRDefault="00684CB7">
            <w:pPr>
              <w:jc w:val="both"/>
              <w:rPr>
                <w:rFonts w:asciiTheme="minorBidi" w:hAnsiTheme="minorBidi"/>
                <w:sz w:val="20"/>
                <w:szCs w:val="20"/>
              </w:rPr>
            </w:pPr>
            <w:r w:rsidRPr="005309A0">
              <w:rPr>
                <w:rFonts w:asciiTheme="minorBidi" w:hAnsiTheme="minorBidi"/>
                <w:sz w:val="20"/>
                <w:szCs w:val="20"/>
              </w:rPr>
              <w:t>Mõju on marginaalne või vaevu tajutav; statistiliselt või sotsiaalselt tähtsusetu</w:t>
            </w:r>
          </w:p>
        </w:tc>
      </w:tr>
      <w:tr w:rsidR="00684CB7" w:rsidRPr="005309A0" w14:paraId="04EAB42B" w14:textId="77777777" w:rsidTr="288A3578">
        <w:tc>
          <w:tcPr>
            <w:tcW w:w="1838" w:type="dxa"/>
            <w:vAlign w:val="center"/>
          </w:tcPr>
          <w:p w14:paraId="1342CFEC"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Nõrk</w:t>
            </w:r>
            <w:r w:rsidRPr="005309A0">
              <w:rPr>
                <w:rFonts w:asciiTheme="minorBidi" w:hAnsiTheme="minorBidi"/>
                <w:sz w:val="20"/>
                <w:szCs w:val="20"/>
              </w:rPr>
              <w:tab/>
            </w:r>
          </w:p>
        </w:tc>
        <w:tc>
          <w:tcPr>
            <w:tcW w:w="8417" w:type="dxa"/>
            <w:vAlign w:val="center"/>
          </w:tcPr>
          <w:p w14:paraId="052F5C0B" w14:textId="18065165" w:rsidR="00684CB7" w:rsidRPr="005309A0" w:rsidRDefault="60617302" w:rsidP="288A3578">
            <w:pPr>
              <w:jc w:val="both"/>
              <w:rPr>
                <w:rFonts w:asciiTheme="minorBidi" w:hAnsiTheme="minorBidi"/>
                <w:sz w:val="20"/>
                <w:szCs w:val="20"/>
              </w:rPr>
            </w:pPr>
            <w:r w:rsidRPr="288A3578">
              <w:rPr>
                <w:rFonts w:asciiTheme="minorBidi" w:hAnsiTheme="minorBidi"/>
                <w:sz w:val="20"/>
                <w:szCs w:val="20"/>
              </w:rPr>
              <w:t>Mõju on olemas, kuid pigem ebaolulise tähtsusega ja inimeste käitumist ei mõjuta</w:t>
            </w:r>
          </w:p>
        </w:tc>
      </w:tr>
      <w:tr w:rsidR="00684CB7" w:rsidRPr="005309A0" w14:paraId="4DE84020" w14:textId="77777777" w:rsidTr="288A3578">
        <w:tc>
          <w:tcPr>
            <w:tcW w:w="1838" w:type="dxa"/>
            <w:vAlign w:val="center"/>
          </w:tcPr>
          <w:p w14:paraId="3B0E8281"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Mõõdukas</w:t>
            </w:r>
            <w:r w:rsidRPr="005309A0">
              <w:rPr>
                <w:rFonts w:asciiTheme="minorBidi" w:hAnsiTheme="minorBidi"/>
                <w:sz w:val="20"/>
                <w:szCs w:val="20"/>
              </w:rPr>
              <w:tab/>
            </w:r>
          </w:p>
        </w:tc>
        <w:tc>
          <w:tcPr>
            <w:tcW w:w="8417" w:type="dxa"/>
            <w:vAlign w:val="center"/>
          </w:tcPr>
          <w:p w14:paraId="36B16123" w14:textId="0EFDF488" w:rsidR="00684CB7" w:rsidRPr="005309A0" w:rsidRDefault="00684CB7">
            <w:pPr>
              <w:jc w:val="both"/>
              <w:rPr>
                <w:rFonts w:asciiTheme="minorBidi" w:hAnsiTheme="minorBidi"/>
                <w:sz w:val="20"/>
                <w:szCs w:val="20"/>
              </w:rPr>
            </w:pPr>
            <w:r w:rsidRPr="005309A0">
              <w:rPr>
                <w:rFonts w:asciiTheme="minorBidi" w:hAnsiTheme="minorBidi"/>
                <w:sz w:val="20"/>
                <w:szCs w:val="20"/>
              </w:rPr>
              <w:t xml:space="preserve">Mõju on märgatav ja võib põhjustada </w:t>
            </w:r>
            <w:r w:rsidR="00054FC1">
              <w:rPr>
                <w:rFonts w:asciiTheme="minorBidi" w:hAnsiTheme="minorBidi"/>
                <w:sz w:val="20"/>
                <w:szCs w:val="20"/>
              </w:rPr>
              <w:t>olulisi</w:t>
            </w:r>
            <w:r w:rsidR="00054FC1" w:rsidRPr="005309A0">
              <w:rPr>
                <w:rFonts w:asciiTheme="minorBidi" w:hAnsiTheme="minorBidi"/>
                <w:sz w:val="20"/>
                <w:szCs w:val="20"/>
              </w:rPr>
              <w:t xml:space="preserve"> </w:t>
            </w:r>
            <w:r w:rsidRPr="005309A0">
              <w:rPr>
                <w:rFonts w:asciiTheme="minorBidi" w:hAnsiTheme="minorBidi"/>
                <w:sz w:val="20"/>
                <w:szCs w:val="20"/>
              </w:rPr>
              <w:t>muutusi inimeste ja/või ettevõtjate käitumises ja heaolus</w:t>
            </w:r>
          </w:p>
        </w:tc>
      </w:tr>
      <w:tr w:rsidR="00684CB7" w:rsidRPr="005309A0" w14:paraId="5B563D62" w14:textId="77777777" w:rsidTr="288A3578">
        <w:tc>
          <w:tcPr>
            <w:tcW w:w="1838" w:type="dxa"/>
            <w:vAlign w:val="center"/>
          </w:tcPr>
          <w:p w14:paraId="61F0DF3E"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Tugev</w:t>
            </w:r>
            <w:r w:rsidRPr="005309A0">
              <w:rPr>
                <w:rFonts w:asciiTheme="minorBidi" w:hAnsiTheme="minorBidi"/>
                <w:sz w:val="20"/>
                <w:szCs w:val="20"/>
              </w:rPr>
              <w:tab/>
            </w:r>
          </w:p>
        </w:tc>
        <w:tc>
          <w:tcPr>
            <w:tcW w:w="8417" w:type="dxa"/>
            <w:vAlign w:val="center"/>
          </w:tcPr>
          <w:p w14:paraId="70B142A2" w14:textId="3F9AD0B6" w:rsidR="00684CB7" w:rsidRPr="005309A0" w:rsidRDefault="00684CB7">
            <w:pPr>
              <w:jc w:val="both"/>
              <w:rPr>
                <w:rFonts w:asciiTheme="minorBidi" w:hAnsiTheme="minorBidi"/>
                <w:sz w:val="20"/>
                <w:szCs w:val="20"/>
              </w:rPr>
            </w:pPr>
            <w:r w:rsidRPr="005309A0">
              <w:rPr>
                <w:rFonts w:asciiTheme="minorBidi" w:hAnsiTheme="minorBidi"/>
                <w:sz w:val="20"/>
                <w:szCs w:val="20"/>
              </w:rPr>
              <w:t>Mõju on selgelt tuntav, muudab arusaamu elukeskkonnast või mõjutab oluliselt turuosaliste käitumist</w:t>
            </w:r>
          </w:p>
        </w:tc>
      </w:tr>
      <w:tr w:rsidR="00684CB7" w:rsidRPr="005309A0" w14:paraId="032AEAB9" w14:textId="77777777" w:rsidTr="288A3578">
        <w:tc>
          <w:tcPr>
            <w:tcW w:w="1838" w:type="dxa"/>
            <w:vAlign w:val="center"/>
          </w:tcPr>
          <w:p w14:paraId="167DAE3F" w14:textId="77777777" w:rsidR="00684CB7" w:rsidRPr="005309A0" w:rsidRDefault="00684CB7">
            <w:pPr>
              <w:jc w:val="both"/>
              <w:rPr>
                <w:rFonts w:asciiTheme="minorBidi" w:hAnsiTheme="minorBidi"/>
                <w:sz w:val="20"/>
                <w:szCs w:val="20"/>
              </w:rPr>
            </w:pPr>
            <w:r w:rsidRPr="005309A0">
              <w:rPr>
                <w:rFonts w:asciiTheme="minorBidi" w:hAnsiTheme="minorBidi"/>
                <w:sz w:val="20"/>
                <w:szCs w:val="20"/>
              </w:rPr>
              <w:t>Väga tugev</w:t>
            </w:r>
            <w:r w:rsidRPr="005309A0">
              <w:rPr>
                <w:rFonts w:asciiTheme="minorBidi" w:hAnsiTheme="minorBidi"/>
                <w:sz w:val="20"/>
                <w:szCs w:val="20"/>
              </w:rPr>
              <w:tab/>
            </w:r>
          </w:p>
        </w:tc>
        <w:tc>
          <w:tcPr>
            <w:tcW w:w="8417" w:type="dxa"/>
            <w:vAlign w:val="center"/>
          </w:tcPr>
          <w:p w14:paraId="6E9271F6" w14:textId="31459EA6" w:rsidR="00684CB7" w:rsidRPr="005309A0" w:rsidRDefault="00684CB7">
            <w:pPr>
              <w:jc w:val="both"/>
              <w:rPr>
                <w:rFonts w:asciiTheme="minorBidi" w:hAnsiTheme="minorBidi"/>
                <w:sz w:val="20"/>
                <w:szCs w:val="20"/>
              </w:rPr>
            </w:pPr>
            <w:r w:rsidRPr="005309A0">
              <w:rPr>
                <w:rFonts w:asciiTheme="minorBidi" w:hAnsiTheme="minorBidi"/>
                <w:sz w:val="20"/>
                <w:szCs w:val="20"/>
              </w:rPr>
              <w:t>Mõju on struktuurne, põhjustab olulisi muutuseid inimeste igapäevaelus ja/või toimetulekus</w:t>
            </w:r>
          </w:p>
        </w:tc>
      </w:tr>
    </w:tbl>
    <w:p w14:paraId="0EB264B0" w14:textId="56E4198D" w:rsidR="00684CB7" w:rsidRDefault="60617302" w:rsidP="288A3578">
      <w:pPr>
        <w:jc w:val="both"/>
        <w:rPr>
          <w:rFonts w:ascii="Arial" w:hAnsi="Arial" w:cs="Arial"/>
        </w:rPr>
      </w:pPr>
      <w:r w:rsidRPr="288A3578">
        <w:rPr>
          <w:rFonts w:ascii="Arial" w:hAnsi="Arial" w:cs="Arial"/>
        </w:rPr>
        <w:t xml:space="preserve">Mõjudele antavad kvalitatiivsed hinnangud on aluseks ka otsustamisel, kas need vajavad mõne sekkumismeetme kujundamist ja rakendamist või mitte. Praktikas jääb see poliitikute ja poliitikakujundajate otsustada, kuid selles uuringus oleme lähtunud, et üldjuhul peaks nii mõju </w:t>
      </w:r>
      <w:r w:rsidRPr="288A3578">
        <w:rPr>
          <w:rFonts w:ascii="Arial" w:hAnsi="Arial" w:cs="Arial"/>
          <w:b/>
          <w:bCs/>
        </w:rPr>
        <w:t>tugevus kui ka ulatus</w:t>
      </w:r>
      <w:r w:rsidRPr="288A3578">
        <w:rPr>
          <w:rFonts w:ascii="Arial" w:hAnsi="Arial" w:cs="Arial"/>
        </w:rPr>
        <w:t xml:space="preserve"> </w:t>
      </w:r>
      <w:r w:rsidRPr="288A3578">
        <w:rPr>
          <w:rFonts w:ascii="Arial" w:hAnsi="Arial" w:cs="Arial"/>
          <w:b/>
          <w:bCs/>
        </w:rPr>
        <w:t>olema samaaegselt vähemalt mõõdukad, et õigustada laiapõhjalist turule sekkumist.</w:t>
      </w:r>
      <w:r w:rsidRPr="288A3578">
        <w:rPr>
          <w:rFonts w:ascii="Arial" w:hAnsi="Arial" w:cs="Arial"/>
        </w:rPr>
        <w:t xml:space="preserve"> Kui nt mõju ulatus on küll lai, aga mõju ise nõrk, ei pruugi poliitika rakendamisega saadav kasu üles kaaluda sellega kaasnevat administratiivset koormust. Samas kui leitakse väga tõhus sekkumine, võib sekkumine siiski asjakohane olla. Kahtluse korral on soovitav teha eraldi poliitikaanalüüs sekkumise tasuvuse kohta.</w:t>
      </w:r>
    </w:p>
    <w:p w14:paraId="6CCD71D3" w14:textId="6E15E62D" w:rsidR="00684CB7" w:rsidRDefault="00684CB7" w:rsidP="00684CB7">
      <w:pPr>
        <w:jc w:val="both"/>
        <w:rPr>
          <w:rFonts w:ascii="Arial" w:hAnsi="Arial" w:cs="Arial"/>
          <w:szCs w:val="24"/>
        </w:rPr>
      </w:pPr>
      <w:r>
        <w:rPr>
          <w:rFonts w:ascii="Arial" w:hAnsi="Arial" w:cs="Arial"/>
          <w:szCs w:val="24"/>
        </w:rPr>
        <w:t xml:space="preserve">Kogu selles uuringu kasutatud metoodika oleme viinud ka </w:t>
      </w:r>
      <w:r w:rsidRPr="000D4B5D">
        <w:rPr>
          <w:rFonts w:ascii="Arial" w:hAnsi="Arial" w:cs="Arial"/>
          <w:b/>
          <w:bCs/>
          <w:szCs w:val="24"/>
        </w:rPr>
        <w:t>digitaalse tööriista kontseptsiooni vormi</w:t>
      </w:r>
      <w:r>
        <w:rPr>
          <w:rFonts w:ascii="Arial" w:hAnsi="Arial" w:cs="Arial"/>
          <w:szCs w:val="24"/>
        </w:rPr>
        <w:t xml:space="preserve">, mis hõlmab digitaalse tööriista võimalikku </w:t>
      </w:r>
      <w:r w:rsidRPr="00E6294B">
        <w:rPr>
          <w:rFonts w:ascii="Arial" w:hAnsi="Arial" w:cs="Arial"/>
          <w:szCs w:val="24"/>
        </w:rPr>
        <w:t xml:space="preserve">ülesehitus ning MS Exceli kujul tööriista osalist näidist, kuidas võiks see praktikas välja näha. Tööriista kirjeldus </w:t>
      </w:r>
      <w:r w:rsidR="00A87ABB" w:rsidRPr="00E6294B">
        <w:rPr>
          <w:rFonts w:ascii="Arial" w:hAnsi="Arial" w:cs="Arial"/>
          <w:szCs w:val="24"/>
        </w:rPr>
        <w:t>ja tööriist on vormistatud käesolevast aruandest eraldis</w:t>
      </w:r>
      <w:r w:rsidR="00E6294B" w:rsidRPr="00E6294B">
        <w:rPr>
          <w:rFonts w:ascii="Arial" w:hAnsi="Arial" w:cs="Arial"/>
          <w:szCs w:val="24"/>
        </w:rPr>
        <w:t xml:space="preserve">eisva dokumendina. </w:t>
      </w:r>
    </w:p>
    <w:p w14:paraId="0AD3BD5D" w14:textId="121D978C" w:rsidR="00726518" w:rsidRPr="00726518" w:rsidRDefault="00103DC0" w:rsidP="00726518">
      <w:pPr>
        <w:pStyle w:val="Heading2"/>
        <w:numPr>
          <w:ilvl w:val="0"/>
          <w:numId w:val="0"/>
        </w:numPr>
        <w:rPr>
          <w:rFonts w:hint="eastAsia"/>
        </w:rPr>
      </w:pPr>
      <w:bookmarkStart w:id="109" w:name="_Toc208991613"/>
      <w:bookmarkStart w:id="110" w:name="_Toc197718074"/>
      <w:r w:rsidRPr="00E14EBC">
        <w:t>3.</w:t>
      </w:r>
      <w:r w:rsidR="00F70241">
        <w:t>2</w:t>
      </w:r>
      <w:r w:rsidRPr="00E14EBC">
        <w:t xml:space="preserve">. </w:t>
      </w:r>
      <w:bookmarkStart w:id="111" w:name="_Toc197718061"/>
      <w:r w:rsidR="009A5E55" w:rsidRPr="00E14EBC">
        <w:t>Välisriikide</w:t>
      </w:r>
      <w:bookmarkEnd w:id="111"/>
      <w:r w:rsidR="00726518">
        <w:t xml:space="preserve"> praktika</w:t>
      </w:r>
      <w:r w:rsidR="00B9647B">
        <w:t>te</w:t>
      </w:r>
      <w:r w:rsidR="00726518">
        <w:t xml:space="preserve"> analüüsi tulemused</w:t>
      </w:r>
      <w:bookmarkEnd w:id="109"/>
    </w:p>
    <w:p w14:paraId="258C52F9" w14:textId="6486BB91" w:rsidR="00726518" w:rsidRPr="00726518" w:rsidRDefault="00EC25CC" w:rsidP="00EC25CC">
      <w:pPr>
        <w:pStyle w:val="Heading3"/>
        <w:numPr>
          <w:ilvl w:val="0"/>
          <w:numId w:val="0"/>
        </w:numPr>
        <w:ind w:left="504" w:hanging="504"/>
        <w:rPr>
          <w:rFonts w:hint="eastAsia"/>
        </w:rPr>
      </w:pPr>
      <w:bookmarkStart w:id="112" w:name="_Toc208991614"/>
      <w:r>
        <w:t xml:space="preserve">3.2.1. </w:t>
      </w:r>
      <w:r w:rsidR="00726518" w:rsidRPr="00E14EBC">
        <w:t>Välisriikide</w:t>
      </w:r>
      <w:r w:rsidR="00726518">
        <w:t xml:space="preserve">s avaldunud lühiajalise </w:t>
      </w:r>
      <w:r w:rsidR="00726518" w:rsidRPr="00E14EBC">
        <w:t>üüri</w:t>
      </w:r>
      <w:r w:rsidR="00726518">
        <w:t xml:space="preserve"> turu mõjud</w:t>
      </w:r>
      <w:r w:rsidR="00726518" w:rsidRPr="00E14EBC">
        <w:t xml:space="preserve"> </w:t>
      </w:r>
      <w:r w:rsidR="00726518">
        <w:t xml:space="preserve">ning turu </w:t>
      </w:r>
      <w:r w:rsidR="00726518" w:rsidRPr="00E14EBC">
        <w:t>reguleerimise</w:t>
      </w:r>
      <w:r w:rsidR="00726518">
        <w:t xml:space="preserve"> kogemused</w:t>
      </w:r>
      <w:bookmarkEnd w:id="112"/>
    </w:p>
    <w:p w14:paraId="6735A5B3" w14:textId="77777777" w:rsidR="00B77AD7" w:rsidRPr="00E14EBC" w:rsidRDefault="00B77AD7" w:rsidP="00B77AD7">
      <w:pPr>
        <w:pStyle w:val="MintBlock"/>
      </w:pPr>
      <w:r w:rsidRPr="00E14EBC">
        <w:t>Lühiajalise üürituruga kaasnenud mõjudena on välisriikides avaldunud gentrifikatsioonile viitavad tunnused, nagu üürihindade tõus ja pikaajaliste elamispindade vähenemine, mis on viinud kohalike elanike väljatõrjumiseni. Nimetatud mõjude ulatuslikkus aga erineb riigiti ja võib olla erinev ka erinevates linna piirkondades. Mõjude põhjus võib tuleneda ärilise kinnisvara mahu kasvust ja suurenenud majutuspindade nõudlusest turistide poolt.</w:t>
      </w:r>
    </w:p>
    <w:p w14:paraId="1022BCBD" w14:textId="77777777" w:rsidR="00B77AD7" w:rsidRPr="00E14EBC" w:rsidRDefault="00B77AD7" w:rsidP="00B77AD7">
      <w:pPr>
        <w:pStyle w:val="MintBlock"/>
      </w:pPr>
    </w:p>
    <w:p w14:paraId="1FAF6A0A" w14:textId="5A02327A" w:rsidR="00B77AD7" w:rsidRPr="00E14EBC" w:rsidRDefault="56ABC0D4" w:rsidP="00B77AD7">
      <w:pPr>
        <w:pStyle w:val="MintBlock"/>
      </w:pPr>
      <w:r>
        <w:t>Toronto näitel</w:t>
      </w:r>
      <w:r w:rsidR="017E9EA7">
        <w:t xml:space="preserve"> mõjutab</w:t>
      </w:r>
      <w:r>
        <w:t xml:space="preserve"> elamukinnisvara muutumine äriliseks naabruskondade iseloomu, tõrjudes välja pikaajalisi elanikke, aga need mõjud ei avaldu kõigis piirkondades sarnaselt. Hollandis, Tšehhis, Saksamaal ja Šotimaal seevastu peetakse gentrifikatsioonile viitavaid mõjusid kõige tugevamaks just populaarsetes turismipiirkondades (eriti Amsterdamis, Prahas ja East Neuk-is) ehk lühiajalise üüri turu negatiivsed mõjud tulenevad ennekõike turismist. Soomes peetakse mõjusid seevastu leebemaks, aga siiski täheldatakse Helsingis ja teistes suuremates linnades lühiajaliste üüripindade kasvavat trendi, mis võib tulevikus eelmainitud negatiivseid mõjusid võimendada.</w:t>
      </w:r>
    </w:p>
    <w:p w14:paraId="2783D122" w14:textId="77777777" w:rsidR="00B77AD7" w:rsidRPr="00E14EBC" w:rsidRDefault="00B77AD7" w:rsidP="00B77AD7">
      <w:pPr>
        <w:pStyle w:val="MintBlock"/>
      </w:pPr>
    </w:p>
    <w:p w14:paraId="13C339CA" w14:textId="77777777" w:rsidR="00E602EE" w:rsidRDefault="00E602EE" w:rsidP="00B77AD7">
      <w:pPr>
        <w:pStyle w:val="MintBlock"/>
      </w:pPr>
    </w:p>
    <w:p w14:paraId="0A075F4B" w14:textId="77777777" w:rsidR="00E602EE" w:rsidRDefault="00E602EE" w:rsidP="00B77AD7">
      <w:pPr>
        <w:pStyle w:val="MintBlock"/>
      </w:pPr>
    </w:p>
    <w:p w14:paraId="06FAD47B" w14:textId="438CC250" w:rsidR="00B77AD7" w:rsidRPr="00E14EBC" w:rsidRDefault="56ABC0D4" w:rsidP="00B77AD7">
      <w:pPr>
        <w:pStyle w:val="MintBlock"/>
      </w:pPr>
      <w:r>
        <w:t xml:space="preserve">Probleemide leevendamiseks on rakendatud erinevaid </w:t>
      </w:r>
      <w:r w:rsidRPr="288A3578">
        <w:rPr>
          <w:b/>
          <w:bCs/>
        </w:rPr>
        <w:t>siseriiklike meetmeid</w:t>
      </w:r>
      <w:r w:rsidR="47582A54" w:rsidRPr="288A3578">
        <w:rPr>
          <w:b/>
          <w:bCs/>
        </w:rPr>
        <w:t>,</w:t>
      </w:r>
      <w:r w:rsidRPr="288A3578">
        <w:rPr>
          <w:b/>
          <w:bCs/>
        </w:rPr>
        <w:t xml:space="preserve"> nagu üüriperioodi piirangud, sihtotstarbe reguleerimine, registreerimiskohustused ja trahvid</w:t>
      </w:r>
      <w:r>
        <w:t xml:space="preserve">. Näiteks Tšehhi on välja töötamas üleriigilist turimisregistrit, mis peaks muuhulgas andma linnadele täpsema ülevaate lühiajaliste pindade pakkumise tegelikust mahust (sellega koos selgema pildi probleemi ulatusest). Soome on välja töötamas ühtset seadusraamistikku, et linnavalitsused ei peaks turgu sekkumisel tuginema pelgalt kohtupraktikale. Saksamaal ja Šveitsis kehtib kohustus registreerida elamispind ärikinnisvarana, kui seda kasutatakse lühiajaliseks üürimiseks üle lubatud piiri. </w:t>
      </w:r>
      <w:r w:rsidR="7F9F762F">
        <w:t>O</w:t>
      </w:r>
      <w:r>
        <w:t>tseselt eluasemete kättesaadavuse parandamiseks on näiteks Hollandis kehtestatud pakkujatele ajaline rendipiirang (30 päeva) ja korterite arvu piirang (mitu korterit võib üks pakkuja rendile anda).</w:t>
      </w:r>
    </w:p>
    <w:p w14:paraId="5FB61EF7" w14:textId="77777777" w:rsidR="00B77AD7" w:rsidRPr="00E14EBC" w:rsidRDefault="00B77AD7" w:rsidP="00B77AD7">
      <w:pPr>
        <w:pStyle w:val="MintBlock"/>
      </w:pPr>
    </w:p>
    <w:p w14:paraId="68CED0FB" w14:textId="77777777" w:rsidR="00B77AD7" w:rsidRPr="00E14EBC" w:rsidRDefault="00B77AD7" w:rsidP="00B77AD7">
      <w:pPr>
        <w:pStyle w:val="MintBlock"/>
        <w:spacing w:before="0" w:after="0"/>
      </w:pPr>
      <w:r w:rsidRPr="00E14EBC">
        <w:t xml:space="preserve">Välja töötatud meetmete puhul peab arvestama, et lühiajalise üüri turu reguleerimine on võrdlemisi uus nähtus. Osades riikides, nagu Tšehhis, Soomes ja Šveitsis, on reguleerimine alles käimasolev protsess. </w:t>
      </w:r>
      <w:r w:rsidRPr="00466FEB">
        <w:rPr>
          <w:b/>
          <w:bCs/>
        </w:rPr>
        <w:t>Seega puudub ammendav ülevaade</w:t>
      </w:r>
      <w:r w:rsidRPr="00E14EBC">
        <w:t>, kui efektiivselt aitavad meetmed eelmainitud probleeme lahendada. Saksamaa näitel, kus on regulatsioonid kauem kehtinud, on täheldatud, et need aitasid korterite hindu langetada, aga tõid samas kaasa ka lühiajalise üüri teenuse pakkumise märgatava vähenemise ning kahandasid eluasemeturule tehtavate investeeringute mahtu. 2016. aasta meetmete järgselt langes pakkumuste maht 30% ja 2018. aasta muudatuste järgselt veel täiendavalt 18%.</w:t>
      </w:r>
    </w:p>
    <w:p w14:paraId="6134128F" w14:textId="34D7837E" w:rsidR="00B77AD7" w:rsidRPr="00E14EBC" w:rsidRDefault="001E6E5C" w:rsidP="00B77AD7">
      <w:pPr>
        <w:jc w:val="both"/>
      </w:pPr>
      <w:r>
        <w:t>Põhjalikumalt uuritud v</w:t>
      </w:r>
      <w:r w:rsidR="00B77AD7" w:rsidRPr="00E14EBC">
        <w:t xml:space="preserve">älisriikide (Hollandi, Saksamaa, Soome, Šveitsi ja Tšehhi) olukorra analüüsi põhjal on kõige laiemalt levinud lühiajalise üüri turuga seotud </w:t>
      </w:r>
      <w:r w:rsidR="00B77AD7" w:rsidRPr="001E6E5C">
        <w:rPr>
          <w:b/>
          <w:bCs/>
        </w:rPr>
        <w:t>negatiivsed mõjud üürihindade tõus ja pikaajaliste elamispindade vähenemine</w:t>
      </w:r>
      <w:r w:rsidR="00B77AD7" w:rsidRPr="00E14EBC">
        <w:t xml:space="preserve">. Need probleemid ilmnesid kõigis viies analüüsitud riigis (vaata ka </w:t>
      </w:r>
      <w:r w:rsidR="00B77AD7" w:rsidRPr="00E14EBC">
        <w:fldChar w:fldCharType="begin"/>
      </w:r>
      <w:r w:rsidR="00B77AD7" w:rsidRPr="00E14EBC">
        <w:instrText xml:space="preserve"> REF _Ref193455028 \h </w:instrText>
      </w:r>
      <w:r w:rsidR="00B77AD7" w:rsidRPr="00E14EBC">
        <w:fldChar w:fldCharType="separate"/>
      </w:r>
      <w:r w:rsidR="00C55BCB" w:rsidRPr="00E14EBC">
        <w:t>Lisa 3. Kokkuvõte välisriikides avaldunud lühiajalise üüri turu mõjudest</w:t>
      </w:r>
      <w:r w:rsidR="00B77AD7" w:rsidRPr="00E14EBC">
        <w:fldChar w:fldCharType="end"/>
      </w:r>
      <w:r w:rsidR="00B77AD7" w:rsidRPr="00E14EBC">
        <w:t xml:space="preserve">). </w:t>
      </w:r>
      <w:r w:rsidR="00B77AD7" w:rsidRPr="0013755D">
        <w:rPr>
          <w:b/>
          <w:bCs/>
        </w:rPr>
        <w:t>Meetmetena on kasutusele võetud</w:t>
      </w:r>
      <w:r w:rsidR="00B77AD7" w:rsidRPr="00E14EBC">
        <w:t xml:space="preserve"> üürimise perioodi pikkuse piiramine (Hollandis 30 ööd aastas ja Šveitsis 90 ööd aastas</w:t>
      </w:r>
      <w:r w:rsidR="00AD417F">
        <w:t xml:space="preserve">), </w:t>
      </w:r>
      <w:r w:rsidR="00B77AD7" w:rsidRPr="00E14EBC">
        <w:t>elamispinna sihtotstarbe reguleerimine (nt Saksamaal ja Šveitsis) ning majutusteenuse pakkujate registreerimise nõuded (nt Tšehhis välja töötatav e-Turista register või Hollandi turismirendi register).</w:t>
      </w:r>
    </w:p>
    <w:p w14:paraId="25B8EEF0" w14:textId="12AECA36" w:rsidR="00B77AD7" w:rsidRPr="00E14EBC" w:rsidRDefault="56ABC0D4" w:rsidP="00B77AD7">
      <w:pPr>
        <w:jc w:val="both"/>
      </w:pPr>
      <w:r>
        <w:t>Mitmetes riikides</w:t>
      </w:r>
      <w:r w:rsidR="1F722932">
        <w:t xml:space="preserve"> (Tšehhi, Holland ja Saksamaa)</w:t>
      </w:r>
      <w:r>
        <w:t xml:space="preserve"> on täheldatud </w:t>
      </w:r>
      <w:r w:rsidRPr="288A3578">
        <w:rPr>
          <w:b/>
          <w:bCs/>
        </w:rPr>
        <w:t>kohalike elanike väljatõrjumist, eelkõige populaarsetes turismipiirkondades</w:t>
      </w:r>
      <w:r>
        <w:t>. Selle leevendamiseks on kehtestatud lühiajalise üüri teenustele piirangud ja määratud piirkonnad, kus lühiajaline üür ei ole lubatud (nt Hollandis ja Saksamaal). Lisaks on Saksamaal ja Šveitsis kohustus registreerida elamispind ärikinnisvarana, kui seda kasutatakse lühiajaliseks üürimiseks üle lubatud piiri.</w:t>
      </w:r>
    </w:p>
    <w:p w14:paraId="42B331BF" w14:textId="6156F691" w:rsidR="00B77AD7" w:rsidRPr="00E14EBC" w:rsidRDefault="00B77AD7" w:rsidP="00B77AD7">
      <w:pPr>
        <w:jc w:val="both"/>
      </w:pPr>
      <w:r w:rsidRPr="00812791">
        <w:rPr>
          <w:b/>
          <w:bCs/>
        </w:rPr>
        <w:t>Varimajandust ja maksutulu kaotust</w:t>
      </w:r>
      <w:r w:rsidRPr="00E14EBC">
        <w:t xml:space="preserve"> on probleemina välja toodud Soomes, Tšehhis ja Saksamaal. Lahenduseks on loodud täiendavad </w:t>
      </w:r>
      <w:r w:rsidR="00D45A0D" w:rsidRPr="00E14EBC">
        <w:t xml:space="preserve">registreerimissüsteemid </w:t>
      </w:r>
      <w:r w:rsidR="00D45A0D">
        <w:t>ja</w:t>
      </w:r>
      <w:r w:rsidR="00253DB4">
        <w:t xml:space="preserve">/või </w:t>
      </w:r>
      <w:r w:rsidR="00160FC8">
        <w:t xml:space="preserve">tehakse järelevalvet </w:t>
      </w:r>
      <w:r w:rsidR="001C5E87">
        <w:t>maksude deklareerimise kohu</w:t>
      </w:r>
      <w:r w:rsidR="0003171C">
        <w:t>s</w:t>
      </w:r>
      <w:r w:rsidR="001C5E87">
        <w:t>tuse kaudu.</w:t>
      </w:r>
      <w:r w:rsidRPr="00E14EBC">
        <w:t xml:space="preserve"> </w:t>
      </w:r>
      <w:r w:rsidR="001C5E87">
        <w:t>N</w:t>
      </w:r>
      <w:r w:rsidRPr="00E14EBC">
        <w:t xml:space="preserve">äiteks Tšehhis </w:t>
      </w:r>
      <w:r w:rsidR="001C5E87">
        <w:t>valmib</w:t>
      </w:r>
      <w:r w:rsidRPr="00E14EBC">
        <w:t xml:space="preserve"> 2026. aastal andmekogumise aluseks saav e-Turista register. </w:t>
      </w:r>
      <w:r w:rsidR="0003171C">
        <w:t>Lisaks</w:t>
      </w:r>
      <w:r w:rsidRPr="00E14EBC">
        <w:t xml:space="preserve"> on Saksamaal elamispindade sihtotstarbe muutmise piirangud, mis takistavad korterelamute muutmist majutusasutusteks.</w:t>
      </w:r>
      <w:r w:rsidR="000C7EA9">
        <w:t xml:space="preserve"> Olulise tähelepanekuna saab esile tuua, et vaadeldud riikides ei ole lühiajalisele üürimisele rakendatud eraldi maksu, vaid küsimus on </w:t>
      </w:r>
      <w:r w:rsidR="00B95060">
        <w:t>pigem kehtivate maksude tasumises</w:t>
      </w:r>
      <w:r w:rsidR="0020074E">
        <w:t xml:space="preserve"> või lühiajalise üürimisega kaasneva</w:t>
      </w:r>
      <w:r w:rsidR="002C11FD">
        <w:t xml:space="preserve">te maksukohustuste osas õigusselguse suurendamises. Samas kehtib </w:t>
      </w:r>
      <w:r w:rsidR="005272C2">
        <w:t>paljudes</w:t>
      </w:r>
      <w:r w:rsidR="002C11FD">
        <w:t xml:space="preserve"> riikides, kus on rakendatud lühiajalise üürimise registreerimissüsteem, </w:t>
      </w:r>
      <w:r w:rsidR="00171D04">
        <w:t xml:space="preserve">mingit laadi tasu, mida teenuse </w:t>
      </w:r>
      <w:r w:rsidR="00171D04">
        <w:lastRenderedPageBreak/>
        <w:t>pakkujad peavad üldjuhul igal aastal tasuma.</w:t>
      </w:r>
      <w:r w:rsidR="0047727D">
        <w:t xml:space="preserve"> Näiteks Amsterdamis</w:t>
      </w:r>
      <w:r w:rsidR="0047727D">
        <w:rPr>
          <w:rStyle w:val="FootnoteReference"/>
        </w:rPr>
        <w:footnoteReference w:id="97"/>
      </w:r>
      <w:r w:rsidR="0047727D">
        <w:t xml:space="preserve"> on </w:t>
      </w:r>
      <w:r w:rsidR="00F07456">
        <w:t xml:space="preserve">vastav </w:t>
      </w:r>
      <w:r w:rsidR="0047727D">
        <w:t>tasu 73,3 eurot</w:t>
      </w:r>
      <w:r w:rsidR="009A2254">
        <w:t>, vaadates valitud viiest riigist väljapoole</w:t>
      </w:r>
      <w:r w:rsidR="2B9731ED">
        <w:t>,</w:t>
      </w:r>
      <w:r w:rsidR="009A2254">
        <w:t xml:space="preserve"> siis </w:t>
      </w:r>
      <w:r w:rsidR="00F277C0">
        <w:t>Edin</w:t>
      </w:r>
      <w:r w:rsidR="0002609D">
        <w:t>b</w:t>
      </w:r>
      <w:r w:rsidR="00F277C0">
        <w:t>ur</w:t>
      </w:r>
      <w:r w:rsidR="0002609D">
        <w:t>gh</w:t>
      </w:r>
      <w:r w:rsidR="00F277C0">
        <w:t>is</w:t>
      </w:r>
      <w:r w:rsidR="004B1536">
        <w:rPr>
          <w:rStyle w:val="FootnoteReference"/>
        </w:rPr>
        <w:footnoteReference w:id="98"/>
      </w:r>
      <w:r w:rsidR="0002609D">
        <w:t xml:space="preserve"> </w:t>
      </w:r>
      <w:r w:rsidR="007228A7">
        <w:t>algavad tasud 120 naelast ja ulatuvad 5000</w:t>
      </w:r>
      <w:r w:rsidR="00E947D3" w:rsidRPr="00E947D3">
        <w:t>–</w:t>
      </w:r>
      <w:r w:rsidR="007228A7">
        <w:t>6000 naelani aastas</w:t>
      </w:r>
      <w:r w:rsidR="004B1536">
        <w:t xml:space="preserve"> sõltuvalt voodikohtade arvust.</w:t>
      </w:r>
      <w:r w:rsidR="002C11FD">
        <w:t xml:space="preserve"> </w:t>
      </w:r>
    </w:p>
    <w:p w14:paraId="6F884DF1" w14:textId="77777777" w:rsidR="00B77AD7" w:rsidRPr="00E14EBC" w:rsidRDefault="00B77AD7" w:rsidP="00B77AD7">
      <w:pPr>
        <w:jc w:val="both"/>
      </w:pPr>
      <w:r w:rsidRPr="00E14EBC">
        <w:t xml:space="preserve">Tšehhis ja Hollandis on lühiajalise üüri turuga kaasnenud </w:t>
      </w:r>
      <w:r w:rsidRPr="00812791">
        <w:rPr>
          <w:b/>
          <w:bCs/>
        </w:rPr>
        <w:t>korrarikkumised ja müra</w:t>
      </w:r>
      <w:r w:rsidRPr="00E14EBC">
        <w:t>. Selle probleemi leevendamiseks on loodud mehhanismid, kus üürileandjad vastutavad külastajate käitumise eest, ning rikkumiste korral võib kohalik omavalitsus kehtestada trahve või peatada lühiajalise üüri loa. Saksamaal ja Šveitsis on lisaks tõstatatud turvalisuseriskid, mistõttu on kehtestatud nõuded tuleohutusele ja majutuse turvalisusele.</w:t>
      </w:r>
    </w:p>
    <w:p w14:paraId="5B23036C" w14:textId="77777777" w:rsidR="00B77AD7" w:rsidRPr="00E14EBC" w:rsidRDefault="00B77AD7" w:rsidP="00B77AD7">
      <w:pPr>
        <w:jc w:val="both"/>
        <w:rPr>
          <w:highlight w:val="yellow"/>
        </w:rPr>
      </w:pPr>
      <w:r w:rsidRPr="00812791">
        <w:rPr>
          <w:b/>
          <w:bCs/>
        </w:rPr>
        <w:t>Eluasemepuudus</w:t>
      </w:r>
      <w:r w:rsidRPr="00E14EBC">
        <w:t xml:space="preserve"> on olnud probleem Tšehhis, Hollandis ja Šveitsis, kus lühiajalise üüri turu populaarsus on vähendanud pikaajalise üüripinna saadavust. Selle lahendamiseks on Šveitsis piiratud üüritavate päevade arvu ning kehtestatud turismimaksu nõuded. Hollandis ja Tšehhis on rakendatud korterite arvu piiranguid.</w:t>
      </w:r>
    </w:p>
    <w:p w14:paraId="69471D39" w14:textId="77777777" w:rsidR="00B77AD7" w:rsidRPr="00E14EBC" w:rsidRDefault="00B77AD7" w:rsidP="00B77AD7">
      <w:pPr>
        <w:jc w:val="both"/>
      </w:pPr>
      <w:r w:rsidRPr="00E14EBC">
        <w:t xml:space="preserve">Hollandis, Amsterdami piirkondades on täheldatud </w:t>
      </w:r>
      <w:r w:rsidRPr="00812791">
        <w:rPr>
          <w:b/>
          <w:bCs/>
        </w:rPr>
        <w:t>eluasemefondi liigset koormust ja lühiajalise üüri ülemäärast laienemist elamurajoonidesse</w:t>
      </w:r>
      <w:r w:rsidRPr="00E14EBC">
        <w:t>, mis tõi kaasa püsielanike jaoks probleemid elamispindade kättesaadavuse ning elukeskkonna kvaliteediga. Nende mõjude piiramiseks kehtestati 30-päevane rendipiirang. Uuring näitas, et piirang vähendas noteeringuid ja üüritavate päevade arvu, suurendades samal ajal üüritulu</w:t>
      </w:r>
      <w:r w:rsidRPr="00E14EBC">
        <w:rPr>
          <w:rStyle w:val="FootnoteReference"/>
          <w:sz w:val="22"/>
        </w:rPr>
        <w:footnoteReference w:id="99"/>
      </w:r>
      <w:r w:rsidRPr="00E14EBC">
        <w:t xml:space="preserve">. </w:t>
      </w:r>
    </w:p>
    <w:p w14:paraId="68390F7D" w14:textId="185A2F4B" w:rsidR="00B77AD7" w:rsidRDefault="00B77AD7" w:rsidP="00B77AD7">
      <w:pPr>
        <w:jc w:val="both"/>
      </w:pPr>
      <w:r w:rsidRPr="00E14EBC">
        <w:t>Lisaks nende riikide kogemustele saab veel näiteks tuua Šoti valitsuse tellinud uuringu, et hinnata lühiajalise üüri teenuste sotsiaal-majanduslikke mõjusid</w:t>
      </w:r>
      <w:r w:rsidRPr="00E14EBC">
        <w:rPr>
          <w:rStyle w:val="FootnoteReference"/>
          <w:sz w:val="22"/>
        </w:rPr>
        <w:footnoteReference w:id="100"/>
      </w:r>
      <w:r w:rsidRPr="00E14EBC">
        <w:t xml:space="preserve">. Uuringu keskmes oli lühiajalise üüri mõju sealsetele kogukondadele, linnaosadele ja eluasemele. Seda eeskätt asjaolu tõttu, et mõningad piirkonnad, näiteks East Neuk, on kujunenud puhkemajade piirkondadeks ja seal on probleeme elamispindade nappuse ja taskukohasusega. Uuringus küsiti elanike ja teenusepakkujate hinnanguid lühiajaliste üüri teenuste mõjude kohta elukeskkonnale. Elanike vastustest ilmnes, et </w:t>
      </w:r>
      <w:r w:rsidRPr="00085450">
        <w:rPr>
          <w:b/>
          <w:bCs/>
        </w:rPr>
        <w:t>38% peab mõjusid negatiivseks, 29% neutraalseks ja 25% positiivseks</w:t>
      </w:r>
      <w:r w:rsidRPr="00E14EBC">
        <w:t>. Teenusepakkujate hinnangud erinesid oluliselt – 71% pidas mõju positiivseks, 25% neutraalseks ja 3% negatiivseks.</w:t>
      </w:r>
    </w:p>
    <w:p w14:paraId="50431555" w14:textId="0F43ABDB" w:rsidR="00DC3343" w:rsidRPr="00E14EBC" w:rsidRDefault="7F4EA3C4" w:rsidP="00DC3343">
      <w:pPr>
        <w:jc w:val="both"/>
      </w:pPr>
      <w:r>
        <w:t xml:space="preserve">Lähemalt uuritud välisriikides </w:t>
      </w:r>
      <w:r w:rsidRPr="00801600">
        <w:rPr>
          <w:b/>
          <w:bCs/>
        </w:rPr>
        <w:t xml:space="preserve">rakendatud </w:t>
      </w:r>
      <w:r w:rsidR="2AA3DB5A" w:rsidRPr="00801600">
        <w:rPr>
          <w:b/>
          <w:bCs/>
        </w:rPr>
        <w:t xml:space="preserve">meetmete rikkumise eest ettenähtud trahvid ja karistused on kõige karmimad </w:t>
      </w:r>
      <w:r w:rsidR="7E1C1556" w:rsidRPr="00801600">
        <w:rPr>
          <w:b/>
          <w:bCs/>
        </w:rPr>
        <w:t>Saksamaal ja Hollandis</w:t>
      </w:r>
      <w:r w:rsidR="7E1C1556" w:rsidRPr="00E14EBC">
        <w:t>. Näiteks Potsdamis on eluruumi lühiajalisel üürimisel nõuete rikkumise eest ette nähtud kuni 100 tuhande euro</w:t>
      </w:r>
      <w:r w:rsidR="00DC3343" w:rsidRPr="00E14EBC">
        <w:rPr>
          <w:rStyle w:val="FootnoteReference"/>
        </w:rPr>
        <w:footnoteReference w:id="101"/>
      </w:r>
      <w:r w:rsidR="7E1C1556" w:rsidRPr="00E14EBC">
        <w:t xml:space="preserve"> suurune trahv. Amsterdamis on keelatud pakkuda majutust ilma tegevusloata ja </w:t>
      </w:r>
      <w:r w:rsidR="7E1C1556" w:rsidRPr="00801600">
        <w:t xml:space="preserve">maksimaalne trahv võib ulatuda üle 10 000 euro. Lisaks on Amsterdami kohalikul omavalitsusel õigus piirata üürileandjate tegutsemist, peatada nende tegevus kuni üheks aastaks ja nõuda erinevatelt platvormidelt, näiteks Airbnb-lt, pakkujate kontode blokeerimist. Berliinis näiteks lähtutakse elamuvara </w:t>
      </w:r>
      <w:r w:rsidR="7E1C1556" w:rsidRPr="00801600">
        <w:lastRenderedPageBreak/>
        <w:t>väärkasutamise keelu seadusest (</w:t>
      </w:r>
      <w:r w:rsidR="7E1C1556" w:rsidRPr="288A3578">
        <w:rPr>
          <w:i/>
          <w:iCs/>
        </w:rPr>
        <w:t>Zweckentfremdungsverbot-Gesetz</w:t>
      </w:r>
      <w:r w:rsidR="7E1C1556" w:rsidRPr="00801600">
        <w:t>), millega piiratakse üüriperioodi pikkust minimaalselt kolme kuuni, eesmärgiga soodustada taskukohaste eluasemete kättesaadavust.</w:t>
      </w:r>
      <w:r w:rsidR="00F25B8D">
        <w:t xml:space="preserve"> Lühema üüriperioodi</w:t>
      </w:r>
      <w:r w:rsidR="00E72673">
        <w:t xml:space="preserve"> kasutamiseks tuleb taotleda linnavalitsusest eraldi luba.</w:t>
      </w:r>
      <w:r w:rsidR="00DC3343" w:rsidRPr="00801600">
        <w:rPr>
          <w:rStyle w:val="FootnoteReference"/>
        </w:rPr>
        <w:footnoteReference w:id="102"/>
      </w:r>
    </w:p>
    <w:p w14:paraId="21D36E9B" w14:textId="2FD8E08B" w:rsidR="008F1EB0" w:rsidRPr="00010AA2" w:rsidRDefault="00010AA2" w:rsidP="00B77AD7">
      <w:pPr>
        <w:jc w:val="both"/>
        <w:rPr>
          <w:b/>
          <w:bCs/>
        </w:rPr>
      </w:pPr>
      <w:r w:rsidRPr="00010AA2">
        <w:rPr>
          <w:b/>
          <w:bCs/>
        </w:rPr>
        <w:t xml:space="preserve">Lisaks eelmainitud riikidele </w:t>
      </w:r>
      <w:r w:rsidR="00DC3343">
        <w:rPr>
          <w:b/>
          <w:bCs/>
        </w:rPr>
        <w:t>toome siinkohal veel</w:t>
      </w:r>
      <w:r w:rsidRPr="00010AA2">
        <w:rPr>
          <w:b/>
          <w:bCs/>
        </w:rPr>
        <w:t xml:space="preserve"> </w:t>
      </w:r>
      <w:r w:rsidR="00DC3343">
        <w:rPr>
          <w:b/>
          <w:bCs/>
        </w:rPr>
        <w:t xml:space="preserve">näiteks </w:t>
      </w:r>
      <w:r w:rsidRPr="00010AA2">
        <w:rPr>
          <w:b/>
          <w:bCs/>
        </w:rPr>
        <w:t>rahvusvahelises praktikas kasut</w:t>
      </w:r>
      <w:r w:rsidR="00801600">
        <w:rPr>
          <w:b/>
          <w:bCs/>
        </w:rPr>
        <w:t xml:space="preserve">ud </w:t>
      </w:r>
      <w:r w:rsidRPr="00010AA2">
        <w:rPr>
          <w:b/>
          <w:bCs/>
        </w:rPr>
        <w:t>regulatiivseid meetmeid:</w:t>
      </w:r>
    </w:p>
    <w:p w14:paraId="070DA820" w14:textId="77777777" w:rsidR="00BE6270" w:rsidRDefault="00B77AD7" w:rsidP="007F08F4">
      <w:pPr>
        <w:pStyle w:val="ListParagraph"/>
        <w:numPr>
          <w:ilvl w:val="0"/>
          <w:numId w:val="68"/>
        </w:numPr>
        <w:jc w:val="both"/>
      </w:pPr>
      <w:r w:rsidRPr="00E14EBC">
        <w:t>Torontos (Kanada) läbi viidud uuringust selgus, et suuremahuline lühiajaline üürimine omab teatavat negatiivset mõju pikaajalisele eluasemeturule ning võib endaga kaasa tuua pikaajaliste pakkumiste vähenemise. Pakkumiste vähenemisega kaasneb suurem surve üürihindadele ja eluasemekuludele. Elamukinnisvara muutumine äriliseks mõjutab naabruskondade iseloomu, tõrjudes välja pikaajalisi elanikke. Uuringust selgus, et kuigi lühiajalise üüri turg avaldab Torontos mõju pikaajalistele elamispindadele, ei ole mõju kogu linnas ühtlane ning teatud piirkondades on probleem suurem. Seejuures märgiti, et seos lühiajalise üüri pindade arvu kasvu ja pikaajaliste elamispindade vähenemise vahel ei ole alati lineaarne. See tähendab, et kui lühiajalise üüri pindade arv järsult kasvab, ei pruugi pikaajaliste eluasemete turg samaväärselt väheneda.</w:t>
      </w:r>
      <w:r w:rsidRPr="00E14EBC">
        <w:rPr>
          <w:rStyle w:val="FootnoteReference"/>
        </w:rPr>
        <w:footnoteReference w:id="103"/>
      </w:r>
      <w:r w:rsidRPr="00E14EBC">
        <w:t xml:space="preserve"> </w:t>
      </w:r>
    </w:p>
    <w:p w14:paraId="0656652E" w14:textId="77777777" w:rsidR="00BE6270" w:rsidRDefault="006911DA" w:rsidP="007F08F4">
      <w:pPr>
        <w:pStyle w:val="ListParagraph"/>
        <w:numPr>
          <w:ilvl w:val="0"/>
          <w:numId w:val="68"/>
        </w:numPr>
        <w:jc w:val="both"/>
      </w:pPr>
      <w:r w:rsidRPr="00BE6270">
        <w:t>Londonis ja San Franciscos kehtib 90-päevane piirang, mis keelab terve eluruumi väljaüürimise rohkem kui 90 päevaks aastas</w:t>
      </w:r>
      <w:r w:rsidRPr="00E14EBC">
        <w:rPr>
          <w:vertAlign w:val="superscript"/>
        </w:rPr>
        <w:footnoteReference w:id="104"/>
      </w:r>
      <w:r w:rsidRPr="00BE6270">
        <w:t xml:space="preserve">. </w:t>
      </w:r>
    </w:p>
    <w:p w14:paraId="04AE06F0" w14:textId="77777777" w:rsidR="00BE6270" w:rsidRDefault="006911DA" w:rsidP="007F08F4">
      <w:pPr>
        <w:pStyle w:val="ListParagraph"/>
        <w:numPr>
          <w:ilvl w:val="0"/>
          <w:numId w:val="68"/>
        </w:numPr>
        <w:jc w:val="both"/>
      </w:pPr>
      <w:r w:rsidRPr="00BE6270">
        <w:t>New Yorgis reguleerib lühiajalist üüri Võõrustaja registreerimisseadus</w:t>
      </w:r>
      <w:r w:rsidRPr="00E14EBC">
        <w:rPr>
          <w:vertAlign w:val="superscript"/>
        </w:rPr>
        <w:footnoteReference w:id="105"/>
      </w:r>
      <w:r w:rsidRPr="00BE6270">
        <w:t>, mis lubab alla 30-päevaseid broneeringuid ainult juhul, kui võõrustaja viibib ise samal ajal kinnistul ning lubatud on maksimaalselt kaks külalist. Regulatsioonide peamisteks põhjusteks eelmainitud linnades on ebaseaduslike lühiajaliste üüri pindade piiramine. New Yorgi puhul on välja toodud, et ebaseaduslike pindade levikuga seatakse ohtu naabruskondade turvalisus ja heaolu ning nendega kaasnevad probleemid müra, jäätmete ja avaliku korra osas</w:t>
      </w:r>
      <w:r w:rsidRPr="00E14EBC">
        <w:rPr>
          <w:rStyle w:val="FootnoteReference"/>
        </w:rPr>
        <w:footnoteReference w:id="106"/>
      </w:r>
      <w:r w:rsidRPr="00BE6270">
        <w:t>.</w:t>
      </w:r>
    </w:p>
    <w:p w14:paraId="58091271" w14:textId="2D67DDA0" w:rsidR="006911DA" w:rsidRPr="00BE6270" w:rsidRDefault="006911DA" w:rsidP="007F08F4">
      <w:pPr>
        <w:pStyle w:val="ListParagraph"/>
        <w:numPr>
          <w:ilvl w:val="0"/>
          <w:numId w:val="68"/>
        </w:numPr>
        <w:jc w:val="both"/>
      </w:pPr>
      <w:r w:rsidRPr="00BE6270">
        <w:t>Itaalia on asunud turgu reguleerima vastusena sektori kiirele kasvule ja sellest tulenevatele riskidele. 2024. aastal jõustunud seadusega püütakse ennetada avaliku korra ja turvalisusega seotud probleeme. Seaduse kohaselt keelustati võtmekarpide kasutamine, mis tähendab, et üüripinna omanikud peavad külalised isiklikult vastu võtma ning kontrollima nende arvu vastavust broneeringule. Siseministeeriumi sõnul aitab see vähendada riske, mis on seotud võimalike ohtlike isikute või organiseeritud kuritegevuse ja terrorismiga seotud majutustegevusega.</w:t>
      </w:r>
      <w:r w:rsidRPr="00E14EBC">
        <w:rPr>
          <w:rStyle w:val="FootnoteReference"/>
        </w:rPr>
        <w:footnoteReference w:id="107"/>
      </w:r>
    </w:p>
    <w:p w14:paraId="0FB36BB3" w14:textId="01DE5CC3" w:rsidR="00BE6270" w:rsidRPr="00E14EBC" w:rsidRDefault="00B77AD7" w:rsidP="00C55BCB">
      <w:pPr>
        <w:jc w:val="both"/>
      </w:pPr>
      <w:r w:rsidRPr="00E14EBC">
        <w:t xml:space="preserve">Lühiajalise üürimise </w:t>
      </w:r>
      <w:r w:rsidRPr="005C79AA">
        <w:rPr>
          <w:b/>
          <w:bCs/>
        </w:rPr>
        <w:t>positiivseid mõjusid on uuritud vähem</w:t>
      </w:r>
      <w:r w:rsidRPr="00E14EBC">
        <w:t xml:space="preserve">. Näiteks on Tšehhis leitud ühe positiivse mõjuna, et lühiajaliste </w:t>
      </w:r>
      <w:r w:rsidR="00A8784F">
        <w:t>üüri</w:t>
      </w:r>
      <w:r w:rsidRPr="00E14EBC">
        <w:t>pindade kasutajad kulutavad kogu reisi vältel 72% kohalike teenuste tarbimisele ja 28% majutusele.</w:t>
      </w:r>
      <w:r w:rsidRPr="00E14EBC">
        <w:fldChar w:fldCharType="begin"/>
      </w:r>
      <w:r w:rsidRPr="00E14EBC">
        <w:instrText xml:space="preserve"> NOTEREF _Ref187827802 \f \h  \* MERGEFORMAT </w:instrText>
      </w:r>
      <w:r w:rsidRPr="00E14EBC">
        <w:fldChar w:fldCharType="separate"/>
      </w:r>
      <w:r w:rsidR="00C55BCB" w:rsidRPr="00C55BCB">
        <w:rPr>
          <w:rStyle w:val="FootnoteReference"/>
        </w:rPr>
        <w:t>249</w:t>
      </w:r>
      <w:r w:rsidRPr="00E14EBC">
        <w:fldChar w:fldCharType="end"/>
      </w:r>
      <w:r w:rsidRPr="00E14EBC">
        <w:t xml:space="preserve"> Seega loovad lühiajalise üüri teenused lisandväärtust </w:t>
      </w:r>
      <w:r w:rsidRPr="00E14EBC">
        <w:lastRenderedPageBreak/>
        <w:t>laiemalt kohalikele teenusepakkujatele. Hollandis on välja toodud, et lühiajalise üüri teenused pakuvad märkimisväärset lisasissetulekut kinnisvaraomanikele.</w:t>
      </w:r>
      <w:r w:rsidRPr="00E14EBC">
        <w:rPr>
          <w:rStyle w:val="FootnoteReference"/>
        </w:rPr>
        <w:footnoteReference w:id="108"/>
      </w:r>
    </w:p>
    <w:p w14:paraId="02E0CCE9" w14:textId="4F51C3F8" w:rsidR="00646CDC" w:rsidRPr="00E14EBC" w:rsidRDefault="00EC25CC" w:rsidP="00EC25CC">
      <w:pPr>
        <w:pStyle w:val="Heading3"/>
        <w:numPr>
          <w:ilvl w:val="0"/>
          <w:numId w:val="0"/>
        </w:numPr>
        <w:ind w:left="504" w:hanging="504"/>
        <w:rPr>
          <w:rFonts w:hint="eastAsia"/>
        </w:rPr>
      </w:pPr>
      <w:bookmarkStart w:id="113" w:name="_Toc197718072"/>
      <w:bookmarkStart w:id="114" w:name="_Toc208991615"/>
      <w:bookmarkStart w:id="115" w:name="_Toc197718080"/>
      <w:r>
        <w:t xml:space="preserve">3.2.2. </w:t>
      </w:r>
      <w:r w:rsidR="4E440EBC" w:rsidRPr="00E14EBC">
        <w:t xml:space="preserve">Välisriikide kogemused lühiajalise üüri turu </w:t>
      </w:r>
      <w:bookmarkEnd w:id="113"/>
      <w:r w:rsidR="00E01A5A">
        <w:t>regu</w:t>
      </w:r>
      <w:r w:rsidR="005463D6">
        <w:t>latsioonide mõjude ja turu muutuste hindamisel</w:t>
      </w:r>
      <w:bookmarkEnd w:id="114"/>
      <w:r w:rsidR="4E440EBC" w:rsidRPr="00E14EBC">
        <w:t xml:space="preserve"> </w:t>
      </w:r>
    </w:p>
    <w:p w14:paraId="4E524C51" w14:textId="15F2617D" w:rsidR="00EA59CE" w:rsidRDefault="6D3F7438" w:rsidP="00444120">
      <w:pPr>
        <w:pStyle w:val="MintBlock"/>
      </w:pPr>
      <w:r>
        <w:t>L</w:t>
      </w:r>
      <w:r w:rsidR="075A7978">
        <w:t>ü</w:t>
      </w:r>
      <w:r>
        <w:t>hi</w:t>
      </w:r>
      <w:r w:rsidR="119389E7">
        <w:t>a</w:t>
      </w:r>
      <w:r>
        <w:t xml:space="preserve">jalise üüri turu </w:t>
      </w:r>
      <w:r w:rsidR="075A7978">
        <w:t>regulatsioonide mõjude</w:t>
      </w:r>
      <w:r>
        <w:t xml:space="preserve"> </w:t>
      </w:r>
      <w:r w:rsidR="5DCCD6DC">
        <w:t xml:space="preserve">ja turu olukorra </w:t>
      </w:r>
      <w:r w:rsidR="533356AD">
        <w:t xml:space="preserve">analüüsimine </w:t>
      </w:r>
      <w:r w:rsidR="51535E19">
        <w:t>eeldab</w:t>
      </w:r>
      <w:r w:rsidR="533356AD">
        <w:t xml:space="preserve"> regulaarset monitoorimist ja ligipääsu turgu iseloomustavatele andmetele</w:t>
      </w:r>
      <w:r w:rsidR="075A7978">
        <w:t>.</w:t>
      </w:r>
      <w:r w:rsidR="7B1DFB85">
        <w:t xml:space="preserve"> </w:t>
      </w:r>
      <w:r w:rsidR="1DF9350F">
        <w:t>Välisriikide (Hollandi, Saksamaa, Soome, Šveitsi ja Tšehhi</w:t>
      </w:r>
      <w:r w:rsidR="533356AD">
        <w:t xml:space="preserve"> ning ka laiemalt teis</w:t>
      </w:r>
      <w:r w:rsidR="2C92BA4F">
        <w:t>te</w:t>
      </w:r>
      <w:r w:rsidR="533356AD">
        <w:t xml:space="preserve"> rii</w:t>
      </w:r>
      <w:r w:rsidR="6E23DAB8">
        <w:t>k</w:t>
      </w:r>
      <w:r w:rsidR="533356AD">
        <w:t>id</w:t>
      </w:r>
      <w:r w:rsidR="4CCE5A5E">
        <w:t>e</w:t>
      </w:r>
      <w:r w:rsidR="533356AD">
        <w:t>/linnad</w:t>
      </w:r>
      <w:r w:rsidR="35853E49">
        <w:t>e</w:t>
      </w:r>
      <w:r w:rsidR="1DF9350F">
        <w:t>) praktika analüüsi põhjal saab järeldada,</w:t>
      </w:r>
      <w:r w:rsidR="533356AD">
        <w:t xml:space="preserve"> et </w:t>
      </w:r>
      <w:r w:rsidR="533356AD" w:rsidRPr="288A3578">
        <w:rPr>
          <w:b/>
          <w:bCs/>
        </w:rPr>
        <w:t>kasutatakse väga erinevaid lähenemisi</w:t>
      </w:r>
      <w:r w:rsidR="533356AD">
        <w:t xml:space="preserve"> alates avalike andmete (nagu AirDNA jt) </w:t>
      </w:r>
      <w:r w:rsidR="6467655F">
        <w:t xml:space="preserve">kasutamisest kuni piirkonna/riikliku registri loomiseni. </w:t>
      </w:r>
      <w:r w:rsidR="5ACA0C3E">
        <w:t>Kuid ka viimasel juhul on andme</w:t>
      </w:r>
      <w:r w:rsidR="67EAB0CD">
        <w:t>te</w:t>
      </w:r>
      <w:r w:rsidR="5ACA0C3E">
        <w:t xml:space="preserve"> kogumine </w:t>
      </w:r>
      <w:r w:rsidR="41FAD196">
        <w:t xml:space="preserve">üldiselt </w:t>
      </w:r>
      <w:r w:rsidR="1DF9350F">
        <w:t xml:space="preserve">pigem </w:t>
      </w:r>
      <w:r w:rsidR="32849300">
        <w:t>lünklik</w:t>
      </w:r>
      <w:r w:rsidR="1DF9350F">
        <w:t xml:space="preserve"> ja </w:t>
      </w:r>
      <w:r w:rsidR="5ACA0C3E">
        <w:t xml:space="preserve">piirkonniti </w:t>
      </w:r>
      <w:r w:rsidR="1DF9350F">
        <w:t>killustunud</w:t>
      </w:r>
      <w:r w:rsidR="284A6BA7">
        <w:t xml:space="preserve"> – andmeid kogutakse</w:t>
      </w:r>
      <w:r w:rsidR="04ECFA6F">
        <w:t xml:space="preserve"> tihti piirkondlikult</w:t>
      </w:r>
      <w:r w:rsidR="2AFA9CAA">
        <w:t>,</w:t>
      </w:r>
      <w:r w:rsidR="04ECFA6F">
        <w:t xml:space="preserve"> kogutud andmed ei moodusta üleriiklikku terviklikku vaadet</w:t>
      </w:r>
      <w:r w:rsidR="599C3543">
        <w:t xml:space="preserve"> või siis kogutakse andmeid vaid ühe konkreetse mõju </w:t>
      </w:r>
      <w:r w:rsidR="71999EF9">
        <w:t>avaldumise monitoorimiseks</w:t>
      </w:r>
      <w:r w:rsidR="72DC4B8D">
        <w:t xml:space="preserve"> (nt mõju elamufondile)</w:t>
      </w:r>
      <w:r w:rsidR="71999EF9">
        <w:t xml:space="preserve">. </w:t>
      </w:r>
      <w:r w:rsidR="04ECFA6F">
        <w:t xml:space="preserve">Juhul kui </w:t>
      </w:r>
      <w:r w:rsidR="5F1208C1">
        <w:t>valitsusasutused või kohalikud omavalitsused koguvad turu kohta andmeid, siis need ei</w:t>
      </w:r>
      <w:r w:rsidR="2DCA01F1">
        <w:t xml:space="preserve"> ole</w:t>
      </w:r>
      <w:r w:rsidR="5F1208C1">
        <w:t xml:space="preserve"> </w:t>
      </w:r>
      <w:r w:rsidR="04ECFA6F">
        <w:t>kolmandatele isikutele ligipääsetavad</w:t>
      </w:r>
      <w:r w:rsidR="0C77A69D">
        <w:t>.</w:t>
      </w:r>
    </w:p>
    <w:p w14:paraId="00248593" w14:textId="77777777" w:rsidR="00DB1D0E" w:rsidRDefault="00DB1D0E" w:rsidP="00DB1D0E">
      <w:pPr>
        <w:pStyle w:val="MintBlock"/>
      </w:pPr>
    </w:p>
    <w:p w14:paraId="380FFB05" w14:textId="64142B4D" w:rsidR="00362C3B" w:rsidRDefault="00010F00" w:rsidP="00DB1D0E">
      <w:pPr>
        <w:pStyle w:val="MintBlock"/>
      </w:pPr>
      <w:r>
        <w:t xml:space="preserve">Kokkuvõttes saab järeldada, et </w:t>
      </w:r>
      <w:r w:rsidRPr="00444120">
        <w:rPr>
          <w:b/>
          <w:bCs/>
        </w:rPr>
        <w:t>lühiajalise üüri turust t</w:t>
      </w:r>
      <w:r w:rsidR="00C20338" w:rsidRPr="00444120">
        <w:rPr>
          <w:b/>
          <w:bCs/>
        </w:rPr>
        <w:t>äieliku ja põhjaliku ülevaate omamine</w:t>
      </w:r>
      <w:r w:rsidR="00C20338">
        <w:t xml:space="preserve"> on </w:t>
      </w:r>
      <w:r w:rsidR="0024235F">
        <w:t xml:space="preserve">suuremal või vähemal määral </w:t>
      </w:r>
      <w:r w:rsidR="00C20338" w:rsidRPr="00444120">
        <w:rPr>
          <w:b/>
          <w:bCs/>
        </w:rPr>
        <w:t xml:space="preserve">väljakutseks </w:t>
      </w:r>
      <w:r w:rsidR="0024235F" w:rsidRPr="00444120">
        <w:rPr>
          <w:b/>
          <w:bCs/>
        </w:rPr>
        <w:t>kõikidele uuritud riikidele/linnadele</w:t>
      </w:r>
      <w:r w:rsidR="0024235F">
        <w:t>.</w:t>
      </w:r>
    </w:p>
    <w:p w14:paraId="519A3BC4" w14:textId="4281F17D" w:rsidR="00646CDC" w:rsidRPr="00E14EBC" w:rsidRDefault="00BD78EE" w:rsidP="00646CDC">
      <w:pPr>
        <w:jc w:val="both"/>
      </w:pPr>
      <w:r>
        <w:t>Osades</w:t>
      </w:r>
      <w:r w:rsidR="00646CDC" w:rsidRPr="00E14EBC">
        <w:t xml:space="preserve"> analüüsitud välisrii</w:t>
      </w:r>
      <w:r>
        <w:t>kides</w:t>
      </w:r>
      <w:r w:rsidR="00646CDC" w:rsidRPr="00E14EBC">
        <w:t xml:space="preserve"> on oluline osa lühiajalise üüri teenuste turgu kajastavatest andmetest omavalitsuste ja riiklikes registrites, mille kaudu on võimalik jälgida tegevuslubade väljastamist, välja üüritud pindade ööde arvu ning teenusepakkujate isikustatud andmeid.</w:t>
      </w:r>
      <w:r w:rsidR="00C541FC">
        <w:t xml:space="preserve"> </w:t>
      </w:r>
      <w:r w:rsidR="00646CDC" w:rsidRPr="00E14EBC">
        <w:t>Näiteks:</w:t>
      </w:r>
    </w:p>
    <w:p w14:paraId="24F3AFD6" w14:textId="77777777" w:rsidR="00646CDC" w:rsidRPr="006C0D81" w:rsidRDefault="00646CDC" w:rsidP="007F08F4">
      <w:pPr>
        <w:pStyle w:val="ListParagraph"/>
        <w:numPr>
          <w:ilvl w:val="0"/>
          <w:numId w:val="35"/>
        </w:numPr>
        <w:jc w:val="both"/>
      </w:pPr>
      <w:r w:rsidRPr="006C0D81">
        <w:t xml:space="preserve">Hollandis on loodud riiklik turismirendi register, kuhu kõik teenusepakkujad peavad end registreerima ja mille alusel on võimalik hinnata turu mahtu teenusepakkujate arvu alusel. </w:t>
      </w:r>
    </w:p>
    <w:p w14:paraId="33AD7238" w14:textId="77777777" w:rsidR="00646CDC" w:rsidRPr="006C0D81" w:rsidRDefault="00646CDC" w:rsidP="007F08F4">
      <w:pPr>
        <w:pStyle w:val="ListParagraph"/>
        <w:numPr>
          <w:ilvl w:val="1"/>
          <w:numId w:val="35"/>
        </w:numPr>
        <w:jc w:val="both"/>
      </w:pPr>
      <w:r w:rsidRPr="006C0D81">
        <w:t>Amsterdami linnavalitsus lähtub enda läbiviidud uuringutest, selgitamaks turismi mõjusid eluasemete rendihindadele</w:t>
      </w:r>
      <w:r w:rsidRPr="006C0D81">
        <w:rPr>
          <w:rStyle w:val="FootnoteReference"/>
        </w:rPr>
        <w:footnoteReference w:id="109"/>
      </w:r>
      <w:r w:rsidRPr="006C0D81">
        <w:t xml:space="preserve"> ja kogumaks regulaarselt andmeid,</w:t>
      </w:r>
      <w:r w:rsidRPr="006C0D81">
        <w:rPr>
          <w:rStyle w:val="FootnoteReference"/>
        </w:rPr>
        <w:footnoteReference w:id="110"/>
      </w:r>
      <w:r w:rsidRPr="006C0D81">
        <w:t xml:space="preserve"> milline on turistide osakaal erinevate linnaosade lõikes. Linnavalitsuse üldine hinnang on, et Amsterdamis on tõsine puudus igat tüüpi eluasemetest, mitte ainult taskukohase hinnaga elamutest. Väikeettevõtjate üüripinnad mõjutavad seejuures kogu eluasemeturgu. Olukorra seiramiseks viib iga nelja aasta järel linn läbi nn "nappuse analüüsi" (</w:t>
      </w:r>
      <w:r w:rsidRPr="006C0D81">
        <w:rPr>
          <w:i/>
          <w:iCs/>
        </w:rPr>
        <w:t>Schaarste-analyse</w:t>
      </w:r>
      <w:r w:rsidRPr="006C0D81">
        <w:t>), mille tulemusi kasutatakse uute regulatsioonide ja eeskirjade koostamise alusena, et kaitsta elamufondi ja tagada eluasemete kättesaadavus.</w:t>
      </w:r>
    </w:p>
    <w:p w14:paraId="2003A124" w14:textId="77777777" w:rsidR="00646CDC" w:rsidRPr="006C0D81" w:rsidRDefault="00646CDC" w:rsidP="007F08F4">
      <w:pPr>
        <w:pStyle w:val="ListParagraph"/>
        <w:numPr>
          <w:ilvl w:val="0"/>
          <w:numId w:val="35"/>
        </w:numPr>
        <w:jc w:val="both"/>
      </w:pPr>
      <w:r w:rsidRPr="006C0D81">
        <w:t xml:space="preserve">Šveitsis koguvad liidumaad andmeid, kuid riiklikku statistikat teadaolevalt ei tehta. </w:t>
      </w:r>
    </w:p>
    <w:p w14:paraId="4649B0E7" w14:textId="603E029F" w:rsidR="00646CDC" w:rsidRPr="006C0D81" w:rsidRDefault="1DF9350F" w:rsidP="288A3578">
      <w:pPr>
        <w:pStyle w:val="ListParagraph"/>
        <w:numPr>
          <w:ilvl w:val="0"/>
          <w:numId w:val="35"/>
        </w:numPr>
        <w:jc w:val="both"/>
      </w:pPr>
      <w:r>
        <w:t xml:space="preserve">Tšehhis on valmimisel 92,3 miljonit Tšehhi krooni </w:t>
      </w:r>
      <w:r w:rsidR="009365D4">
        <w:t xml:space="preserve">(3,7 miljonit eurot) </w:t>
      </w:r>
      <w:r>
        <w:t xml:space="preserve">maksev E-turista register, mille alusel hakatakse rakendama EL määruse 2024/1028 (lühiajalise majutuse üüriteenustega seotud andmete kogumise reguleerimine) kohast andmete kogumist. </w:t>
      </w:r>
      <w:r w:rsidR="781F4B2C">
        <w:lastRenderedPageBreak/>
        <w:t>A</w:t>
      </w:r>
      <w:r>
        <w:t xml:space="preserve">ndmete edastamise kohuslasteks </w:t>
      </w:r>
      <w:r w:rsidR="3DD9F321">
        <w:t xml:space="preserve">määratakse </w:t>
      </w:r>
      <w:r w:rsidR="00306651">
        <w:t>majutusteenuste osutajad</w:t>
      </w:r>
      <w:r w:rsidR="00C71AF0">
        <w:t>, sh</w:t>
      </w:r>
      <w:r>
        <w:t xml:space="preserve"> </w:t>
      </w:r>
      <w:r w:rsidR="3CEE0332">
        <w:t xml:space="preserve">ka </w:t>
      </w:r>
      <w:r>
        <w:t>lühiajalise üüri teenuse pakkujad.</w:t>
      </w:r>
    </w:p>
    <w:p w14:paraId="14146B0F" w14:textId="77777777" w:rsidR="00646CDC" w:rsidRPr="006C0D81" w:rsidRDefault="00646CDC" w:rsidP="007F08F4">
      <w:pPr>
        <w:pStyle w:val="ListParagraph"/>
        <w:numPr>
          <w:ilvl w:val="1"/>
          <w:numId w:val="35"/>
        </w:numPr>
        <w:jc w:val="both"/>
      </w:pPr>
      <w:r w:rsidRPr="006C0D81">
        <w:t>Praegu üleriigilist andmekogumist ei toimu ja uuringuid pole läbi viidud. Küll aga tegeleb teemaga eraldi Praha linnavalitsus, kes tellib vastavalt vajadusele turuanalüüse oma Planeerimis- ja Arenguinstituudi (IPR) käest.</w:t>
      </w:r>
    </w:p>
    <w:p w14:paraId="6E5BC975" w14:textId="77777777" w:rsidR="00646CDC" w:rsidRPr="006C0D81" w:rsidRDefault="00646CDC" w:rsidP="007F08F4">
      <w:pPr>
        <w:pStyle w:val="ListParagraph"/>
        <w:numPr>
          <w:ilvl w:val="0"/>
          <w:numId w:val="35"/>
        </w:numPr>
        <w:jc w:val="both"/>
      </w:pPr>
      <w:r w:rsidRPr="006C0D81">
        <w:t>Saksamaal on nõutav elamispinna kasutusotstarbe registreerimine. Paljudes liidumaades kogutakse täiendavalt külastajate andmeid. Samuti kogutakse piirkondlikku statistikat. Kuid Saksamaa riiklik süsteem on killustunud ja tervikpilti andmetest ei moodustu. Andmete kogumise kvaliteet ja ulatus sõltub suuresti riigi valmisolekust investeerida järelevalvesse ja digilahendustesse.</w:t>
      </w:r>
    </w:p>
    <w:p w14:paraId="524C7162" w14:textId="1779E0D5" w:rsidR="00646CDC" w:rsidRPr="006C0D81" w:rsidRDefault="1DF9350F" w:rsidP="288A3578">
      <w:pPr>
        <w:pStyle w:val="NormalWeb"/>
        <w:spacing w:line="276" w:lineRule="auto"/>
        <w:jc w:val="both"/>
        <w:rPr>
          <w:rFonts w:asciiTheme="minorHAnsi" w:hAnsiTheme="minorHAnsi" w:cstheme="minorBidi"/>
        </w:rPr>
      </w:pPr>
      <w:r w:rsidRPr="288A3578">
        <w:rPr>
          <w:rFonts w:asciiTheme="minorHAnsi" w:hAnsiTheme="minorHAnsi" w:cstheme="minorBidi"/>
        </w:rPr>
        <w:t xml:space="preserve">Mõnes analüüsitud riigis on rakendatud </w:t>
      </w:r>
      <w:r w:rsidR="77769116" w:rsidRPr="288A3578">
        <w:rPr>
          <w:rFonts w:asciiTheme="minorHAnsi" w:hAnsiTheme="minorHAnsi" w:cstheme="minorBidi"/>
        </w:rPr>
        <w:t xml:space="preserve">ka </w:t>
      </w:r>
      <w:r w:rsidRPr="288A3578">
        <w:rPr>
          <w:rFonts w:asciiTheme="minorHAnsi" w:hAnsiTheme="minorHAnsi" w:cstheme="minorBidi"/>
          <w:b/>
          <w:bCs/>
        </w:rPr>
        <w:t>kombineeritud järelevalvesüsteemi</w:t>
      </w:r>
      <w:r w:rsidRPr="288A3578">
        <w:rPr>
          <w:rFonts w:asciiTheme="minorHAnsi" w:hAnsiTheme="minorHAnsi" w:cstheme="minorBidi"/>
        </w:rPr>
        <w:t xml:space="preserve">, mille raames </w:t>
      </w:r>
      <w:r w:rsidRPr="288A3578">
        <w:rPr>
          <w:rFonts w:asciiTheme="minorHAnsi" w:hAnsiTheme="minorHAnsi" w:cstheme="minorBidi"/>
          <w:b/>
          <w:bCs/>
        </w:rPr>
        <w:t>maksuamet, omavalitsused ja õiguskaitseorganid vahetavad omavahel andmeid ja teevad koostööd.</w:t>
      </w:r>
      <w:r w:rsidRPr="288A3578">
        <w:rPr>
          <w:rFonts w:asciiTheme="minorHAnsi" w:hAnsiTheme="minorHAnsi" w:cstheme="minorBidi"/>
        </w:rPr>
        <w:t xml:space="preserve"> Näiteks Soomes esitatakse peamised lühiajalise üüri teenustega seotud andmed maksuametile. Riiklikult jälgitakse veel ka AirDNA andmeid. Mõned Soome linnad, kes tegelevad turu reguleerimisega, koguvad andmeid kohaliku omavalitsuse tasandil. Näiteks Helsingis koguvad andmeid linnavalitsuse allüksused ja politsei (lähtuvalt majutus ja toitlustusasutustele kehtivatest nõuetest).</w:t>
      </w:r>
      <w:r w:rsidR="00646CDC" w:rsidRPr="288A3578">
        <w:rPr>
          <w:rStyle w:val="FootnoteReference"/>
          <w:rFonts w:asciiTheme="minorHAnsi" w:hAnsiTheme="minorHAnsi" w:cstheme="minorBidi"/>
        </w:rPr>
        <w:footnoteReference w:id="111"/>
      </w:r>
      <w:r w:rsidRPr="288A3578">
        <w:rPr>
          <w:rFonts w:asciiTheme="minorHAnsi" w:hAnsiTheme="minorHAnsi" w:cstheme="minorBidi"/>
        </w:rPr>
        <w:t xml:space="preserve"> Küll aga on andmete esitamise kohuslased vaid ne</w:t>
      </w:r>
      <w:r w:rsidR="343C0196" w:rsidRPr="288A3578">
        <w:rPr>
          <w:rFonts w:asciiTheme="minorHAnsi" w:hAnsiTheme="minorHAnsi" w:cstheme="minorBidi"/>
        </w:rPr>
        <w:t>ed</w:t>
      </w:r>
      <w:r w:rsidRPr="288A3578">
        <w:rPr>
          <w:rFonts w:asciiTheme="minorHAnsi" w:hAnsiTheme="minorHAnsi" w:cstheme="minorBidi"/>
        </w:rPr>
        <w:t xml:space="preserve"> lühiajalise üüri teenuse pakkuja</w:t>
      </w:r>
      <w:r w:rsidR="2E82C065" w:rsidRPr="288A3578">
        <w:rPr>
          <w:rFonts w:asciiTheme="minorHAnsi" w:hAnsiTheme="minorHAnsi" w:cstheme="minorBidi"/>
        </w:rPr>
        <w:t>d</w:t>
      </w:r>
      <w:r w:rsidRPr="288A3578">
        <w:rPr>
          <w:rFonts w:asciiTheme="minorHAnsi" w:hAnsiTheme="minorHAnsi" w:cstheme="minorBidi"/>
        </w:rPr>
        <w:t xml:space="preserve">, kelle puhul on tegu äritegevusega. Seega puudub nii riigi kui omavalitsuse tasandil tervikpilt turu mahu ja ulatuse kohta. </w:t>
      </w:r>
    </w:p>
    <w:p w14:paraId="380EC693" w14:textId="45F787D2" w:rsidR="00351923" w:rsidRPr="00E14EBC" w:rsidRDefault="00646CDC" w:rsidP="00B54A22">
      <w:pPr>
        <w:pStyle w:val="NormalWeb"/>
        <w:spacing w:line="276" w:lineRule="auto"/>
        <w:jc w:val="both"/>
      </w:pPr>
      <w:r w:rsidRPr="006C0D81">
        <w:rPr>
          <w:rFonts w:asciiTheme="minorHAnsi" w:hAnsiTheme="minorHAnsi" w:cstheme="minorBidi"/>
        </w:rPr>
        <w:t xml:space="preserve">Erinevate linnade ja riikide lühiajalise üüri teenuste turu arengu ja mõjude kohta tehtud uuringutes on </w:t>
      </w:r>
      <w:r w:rsidRPr="006C0D81">
        <w:rPr>
          <w:rFonts w:asciiTheme="minorHAnsi" w:hAnsiTheme="minorHAnsi" w:cstheme="minorBidi"/>
          <w:b/>
          <w:bCs/>
        </w:rPr>
        <w:t>kasutatud enamasti AirDNA ja Inside Airbnb andmeid</w:t>
      </w:r>
      <w:r w:rsidRPr="006C0D81">
        <w:rPr>
          <w:rFonts w:asciiTheme="minorHAnsi" w:hAnsiTheme="minorHAnsi" w:cstheme="minorBidi"/>
        </w:rPr>
        <w:t>. Näiteks Amsterdamis läbi viidud mõjude hindamise uuringus</w:t>
      </w:r>
      <w:r w:rsidRPr="006C0D81">
        <w:rPr>
          <w:rStyle w:val="FootnoteReference"/>
          <w:rFonts w:asciiTheme="minorHAnsi" w:hAnsiTheme="minorHAnsi" w:cstheme="minorBidi"/>
        </w:rPr>
        <w:footnoteReference w:id="112"/>
      </w:r>
      <w:r w:rsidRPr="006C0D81">
        <w:rPr>
          <w:rFonts w:asciiTheme="minorHAnsi" w:hAnsiTheme="minorHAnsi" w:cstheme="minorBidi"/>
        </w:rPr>
        <w:t xml:space="preserve"> kasutati peamiste andmeallikatena AirDNA veebilehte, mis hõlmab kõiki Airbnb andmeid. Lisaks kasutati Amsterdami kohaliku omavalitsuse ametlikke veebilehti ja Inside Airbnb andmebaasi ning avatud juurdepääsuga andmeid munitsipaalsetest andmebaasidest. Šoti valitsuse poolt tellitud uuringus lühiajalise üüri teenuste sotsiaal-majanduslike mõjude leidmiseks</w:t>
      </w:r>
      <w:r w:rsidRPr="006C0D81">
        <w:rPr>
          <w:rStyle w:val="FootnoteReference"/>
          <w:rFonts w:asciiTheme="minorHAnsi" w:hAnsiTheme="minorHAnsi" w:cstheme="minorBidi"/>
        </w:rPr>
        <w:footnoteReference w:id="113"/>
      </w:r>
      <w:r w:rsidRPr="006C0D81">
        <w:rPr>
          <w:rFonts w:asciiTheme="minorHAnsi" w:hAnsiTheme="minorHAnsi" w:cstheme="minorBidi"/>
        </w:rPr>
        <w:t xml:space="preserve"> tugineti ainult Airbnb platvormilt kättesaadavatele andmetele. Barcelonas võeti kasutusele süsteem, kus kõik lühiajalise üüri teenuse pakkujad peavad oma renditavad pinnad registreerima ning tasuma turismimaksu. Registreerimise nõue võimaldab kohalikel omavalitsustel saada ülevaate üüripindade arvust ja tihedusest erinevates piirkondades</w:t>
      </w:r>
      <w:r w:rsidRPr="006C0D81">
        <w:rPr>
          <w:rStyle w:val="FootnoteReference"/>
          <w:rFonts w:asciiTheme="minorHAnsi" w:hAnsiTheme="minorHAnsi" w:cstheme="minorBidi"/>
        </w:rPr>
        <w:footnoteReference w:id="114"/>
      </w:r>
      <w:r w:rsidRPr="006C0D81">
        <w:rPr>
          <w:rFonts w:asciiTheme="minorHAnsi" w:hAnsiTheme="minorHAnsi" w:cstheme="minorBidi"/>
        </w:rPr>
        <w:t>. Sarnast süsteemi rakendatakse ka</w:t>
      </w:r>
      <w:r w:rsidRPr="00E14EBC">
        <w:rPr>
          <w:rFonts w:asciiTheme="minorHAnsi" w:hAnsiTheme="minorHAnsi" w:cstheme="minorBidi"/>
        </w:rPr>
        <w:t xml:space="preserve"> Kanada linnades – Vancouveris ja Torontos – kus teenusepakkujatel on kohustus registreerida lühiajaliselt välja üüritud pinnad ning vastavad andmed jõuavad kohalike omavalitsuste andmebaasidesse</w:t>
      </w:r>
      <w:r w:rsidR="008C6257">
        <w:rPr>
          <w:rFonts w:asciiTheme="minorHAnsi" w:hAnsiTheme="minorHAnsi" w:cstheme="minorBidi"/>
        </w:rPr>
        <w:t>.</w:t>
      </w:r>
      <w:r w:rsidRPr="00E14EBC">
        <w:rPr>
          <w:rStyle w:val="FootnoteReference"/>
          <w:rFonts w:asciiTheme="minorHAnsi" w:hAnsiTheme="minorHAnsi" w:cstheme="minorBidi"/>
        </w:rPr>
        <w:footnoteReference w:id="115"/>
      </w:r>
      <w:r w:rsidRPr="00E14EBC">
        <w:rPr>
          <w:rFonts w:asciiTheme="minorHAnsi" w:hAnsiTheme="minorHAnsi" w:cstheme="minorBidi"/>
        </w:rPr>
        <w:t xml:space="preserve"> </w:t>
      </w:r>
      <w:bookmarkEnd w:id="115"/>
      <w:r w:rsidR="00351923" w:rsidRPr="00E14EBC">
        <w:br w:type="page"/>
      </w:r>
    </w:p>
    <w:p w14:paraId="134F8059" w14:textId="61EF4D60" w:rsidR="00927EFA" w:rsidRDefault="00927EFA" w:rsidP="006E6553">
      <w:pPr>
        <w:pStyle w:val="Heading2"/>
        <w:numPr>
          <w:ilvl w:val="1"/>
          <w:numId w:val="87"/>
        </w:numPr>
        <w:rPr>
          <w:rFonts w:hint="eastAsia"/>
        </w:rPr>
      </w:pPr>
      <w:bookmarkStart w:id="116" w:name="_Toc208991616"/>
      <w:bookmarkStart w:id="117" w:name="_Toc197718062"/>
      <w:r>
        <w:lastRenderedPageBreak/>
        <w:t>Intervjuude ja päringute tulemused</w:t>
      </w:r>
      <w:bookmarkEnd w:id="116"/>
    </w:p>
    <w:p w14:paraId="317C93AB" w14:textId="182692D9" w:rsidR="00012F6D" w:rsidRPr="00E14EBC" w:rsidRDefault="4E440EBC" w:rsidP="00DE2019">
      <w:pPr>
        <w:pStyle w:val="Heading3"/>
        <w:ind w:left="540"/>
        <w:rPr>
          <w:rFonts w:hint="eastAsia"/>
        </w:rPr>
      </w:pPr>
      <w:bookmarkStart w:id="118" w:name="_Toc208991617"/>
      <w:r w:rsidRPr="00E14EBC">
        <w:t xml:space="preserve">Eesti turuosaliste vaade lühiajalise üüri turu </w:t>
      </w:r>
      <w:r w:rsidR="00284CD7">
        <w:t>mõjude</w:t>
      </w:r>
      <w:r w:rsidRPr="00E14EBC">
        <w:t xml:space="preserve"> kohta</w:t>
      </w:r>
      <w:bookmarkEnd w:id="117"/>
      <w:bookmarkEnd w:id="118"/>
      <w:r w:rsidRPr="00E14EBC">
        <w:t xml:space="preserve"> </w:t>
      </w:r>
    </w:p>
    <w:bookmarkEnd w:id="110"/>
    <w:p w14:paraId="7AAA3571" w14:textId="59C9DB1D" w:rsidR="004D63FD" w:rsidRPr="00E14EBC" w:rsidRDefault="00997A5A" w:rsidP="0048632E">
      <w:pPr>
        <w:pStyle w:val="MintBlock"/>
      </w:pPr>
      <w:r w:rsidRPr="00E14EBC">
        <w:t>Eesti turuosalistega läbiviidud intervjuude</w:t>
      </w:r>
      <w:r w:rsidR="00DB550B" w:rsidRPr="00E14EBC">
        <w:t xml:space="preserve">s </w:t>
      </w:r>
      <w:r w:rsidR="004057CC" w:rsidRPr="00E14EBC">
        <w:t>t</w:t>
      </w:r>
      <w:r w:rsidR="004F311F" w:rsidRPr="00E14EBC">
        <w:t xml:space="preserve">oodi välja erinevaid </w:t>
      </w:r>
      <w:r w:rsidR="00550997" w:rsidRPr="00E14EBC">
        <w:t>lühiajalise üüri turu mõjusid (nende</w:t>
      </w:r>
      <w:r w:rsidRPr="00E14EBC">
        <w:t xml:space="preserve"> </w:t>
      </w:r>
      <w:r w:rsidR="002C3D58" w:rsidRPr="00E14EBC">
        <w:t xml:space="preserve">kokkuvõte on toodud Lisas </w:t>
      </w:r>
      <w:r w:rsidR="001E00C4" w:rsidRPr="00E14EBC">
        <w:t>4).</w:t>
      </w:r>
    </w:p>
    <w:p w14:paraId="677A7159" w14:textId="77777777" w:rsidR="009C1918" w:rsidRPr="00E14EBC" w:rsidRDefault="009C1918" w:rsidP="0048632E">
      <w:pPr>
        <w:pStyle w:val="MintBlock"/>
      </w:pPr>
    </w:p>
    <w:p w14:paraId="1365C1AF" w14:textId="12C4CE3E" w:rsidR="0079114F" w:rsidRPr="00E14EBC" w:rsidRDefault="638E3D69" w:rsidP="0042746A">
      <w:pPr>
        <w:pStyle w:val="MintBlock"/>
      </w:pPr>
      <w:r w:rsidRPr="00E14EBC">
        <w:t>Pos</w:t>
      </w:r>
      <w:r w:rsidR="383EFA7B" w:rsidRPr="00E14EBC">
        <w:t>i</w:t>
      </w:r>
      <w:r w:rsidRPr="00E14EBC">
        <w:t>tiivsete</w:t>
      </w:r>
      <w:r w:rsidR="007E12DA" w:rsidRPr="00E14EBC">
        <w:t xml:space="preserve"> mõjude</w:t>
      </w:r>
      <w:r w:rsidR="00D10C25" w:rsidRPr="00E14EBC">
        <w:t xml:space="preserve">na toodi Eesti turuosaliste </w:t>
      </w:r>
      <w:r w:rsidR="00844B55" w:rsidRPr="00E14EBC">
        <w:t>poolt peamiselt välja</w:t>
      </w:r>
      <w:r w:rsidR="00BF2A35" w:rsidRPr="00E14EBC">
        <w:t>:</w:t>
      </w:r>
    </w:p>
    <w:p w14:paraId="0290DC90" w14:textId="17555D17" w:rsidR="00625B47" w:rsidRPr="00E14EBC" w:rsidRDefault="0079114F" w:rsidP="0042746A">
      <w:pPr>
        <w:pStyle w:val="MintBlock"/>
      </w:pPr>
      <w:r w:rsidRPr="00E14EBC">
        <w:t>-</w:t>
      </w:r>
      <w:r w:rsidR="00844B55" w:rsidRPr="00E14EBC">
        <w:t xml:space="preserve"> </w:t>
      </w:r>
      <w:r w:rsidR="009C1918" w:rsidRPr="00E14EBC">
        <w:t>majutusteenuse kättesaadavuse suurenemist erinevatele sihtrühmadele, nagu lastega peredele, ärireisijatele ja privaatsust hindavatele klientidele</w:t>
      </w:r>
      <w:r w:rsidR="0064676A" w:rsidRPr="00E14EBC">
        <w:t>;</w:t>
      </w:r>
    </w:p>
    <w:p w14:paraId="4C682945" w14:textId="1EA8E28F" w:rsidR="0064676A" w:rsidRPr="00E14EBC" w:rsidRDefault="00625B47" w:rsidP="0064676A">
      <w:pPr>
        <w:pStyle w:val="MintBlock"/>
      </w:pPr>
      <w:r w:rsidRPr="00E14EBC">
        <w:t>-</w:t>
      </w:r>
      <w:r w:rsidR="009C1918" w:rsidRPr="00E14EBC">
        <w:t xml:space="preserve"> mõju piirkondlikule turismile, eriti perioodidel ja piirkondades, kus püsivatel majutusasutustel ei pruugi olla piisavalt pakkumist või kus nende tegutsemine pole kasumlik</w:t>
      </w:r>
      <w:r w:rsidR="0064676A" w:rsidRPr="00E14EBC">
        <w:t>;</w:t>
      </w:r>
    </w:p>
    <w:p w14:paraId="2C5A8B0E" w14:textId="66415D40" w:rsidR="009C1918" w:rsidRPr="00E14EBC" w:rsidRDefault="00F85C32" w:rsidP="009C1918">
      <w:pPr>
        <w:pStyle w:val="MintBlock"/>
      </w:pPr>
      <w:r w:rsidRPr="00E14EBC">
        <w:t xml:space="preserve">- </w:t>
      </w:r>
      <w:r w:rsidR="0064676A" w:rsidRPr="00E14EBC">
        <w:t xml:space="preserve">mõju </w:t>
      </w:r>
      <w:r w:rsidR="009C1918" w:rsidRPr="00E14EBC">
        <w:t>kohalik</w:t>
      </w:r>
      <w:r w:rsidR="0064676A" w:rsidRPr="00E14EBC">
        <w:t xml:space="preserve">ule </w:t>
      </w:r>
      <w:r w:rsidR="009C1918" w:rsidRPr="00E14EBC">
        <w:t>ettevõtlus</w:t>
      </w:r>
      <w:r w:rsidR="0064676A" w:rsidRPr="00E14EBC">
        <w:t>ele, mis</w:t>
      </w:r>
      <w:r w:rsidR="009C1918" w:rsidRPr="00E14EBC">
        <w:t xml:space="preserve"> omakorda </w:t>
      </w:r>
      <w:r w:rsidR="00F830D6" w:rsidRPr="00E14EBC">
        <w:t>aitab</w:t>
      </w:r>
      <w:r w:rsidR="009C1918" w:rsidRPr="00E14EBC">
        <w:t xml:space="preserve"> koondad</w:t>
      </w:r>
      <w:r w:rsidR="00F830D6" w:rsidRPr="00E14EBC">
        <w:t>a</w:t>
      </w:r>
      <w:r w:rsidR="009C1918" w:rsidRPr="00E14EBC">
        <w:t xml:space="preserve"> teenuste tarbijaid.</w:t>
      </w:r>
    </w:p>
    <w:p w14:paraId="2E9446E5" w14:textId="77777777" w:rsidR="00A23A76" w:rsidRPr="00E14EBC" w:rsidRDefault="00A23A76" w:rsidP="009C1918">
      <w:pPr>
        <w:pStyle w:val="MintBlock"/>
      </w:pPr>
    </w:p>
    <w:p w14:paraId="3D283FE9" w14:textId="77777777" w:rsidR="00F85C32" w:rsidRPr="00E14EBC" w:rsidRDefault="009C1918" w:rsidP="00185DD4">
      <w:pPr>
        <w:pStyle w:val="MintBlock"/>
      </w:pPr>
      <w:r w:rsidRPr="00E14EBC">
        <w:t>Negatiivsete mõjudena tõsta</w:t>
      </w:r>
      <w:r w:rsidR="00712AAC" w:rsidRPr="00E14EBC">
        <w:t>tati intervjuudes e</w:t>
      </w:r>
      <w:r w:rsidR="00A23A76" w:rsidRPr="00E14EBC">
        <w:t>nim</w:t>
      </w:r>
      <w:r w:rsidR="00F85C32" w:rsidRPr="00E14EBC">
        <w:t>:</w:t>
      </w:r>
    </w:p>
    <w:p w14:paraId="6888A15D" w14:textId="752BCBAE" w:rsidR="00F85C32" w:rsidRPr="00E14EBC" w:rsidRDefault="00F85C32" w:rsidP="00185DD4">
      <w:pPr>
        <w:pStyle w:val="MintBlock"/>
      </w:pPr>
      <w:r w:rsidRPr="00E14EBC">
        <w:t>-</w:t>
      </w:r>
      <w:r w:rsidR="00A23A76" w:rsidRPr="00E14EBC">
        <w:t xml:space="preserve"> </w:t>
      </w:r>
      <w:r w:rsidR="00F40C93" w:rsidRPr="00E14EBC">
        <w:t xml:space="preserve">gentrifikatsiooni </w:t>
      </w:r>
      <w:r w:rsidR="00FF14BB" w:rsidRPr="00E14EBC">
        <w:t>riski</w:t>
      </w:r>
      <w:r w:rsidR="00F40C93" w:rsidRPr="00E14EBC">
        <w:t>, kus lühiajali</w:t>
      </w:r>
      <w:r w:rsidR="00FF14BB" w:rsidRPr="00E14EBC">
        <w:t>se üüri teenuste turu kiire ar</w:t>
      </w:r>
      <w:r w:rsidR="00A62BAB" w:rsidRPr="00E14EBC">
        <w:t xml:space="preserve">eng võib </w:t>
      </w:r>
      <w:r w:rsidR="00F40C93" w:rsidRPr="00E14EBC">
        <w:t>vähendada pikaajaliste üürikorterite kättesaadavust ja tõsta hindu, sundides kohalikke elanikke teatud piirkondadest lahkuma</w:t>
      </w:r>
      <w:r w:rsidRPr="00E14EBC">
        <w:t>;</w:t>
      </w:r>
    </w:p>
    <w:p w14:paraId="35BF9144" w14:textId="50CA39EF" w:rsidR="00832048" w:rsidRPr="00E14EBC" w:rsidRDefault="00F85C32" w:rsidP="00832048">
      <w:pPr>
        <w:pStyle w:val="MintBlock"/>
      </w:pPr>
      <w:r w:rsidRPr="00E14EBC">
        <w:t>-</w:t>
      </w:r>
      <w:r w:rsidR="00F40C93" w:rsidRPr="00E14EBC">
        <w:t xml:space="preserve"> müra ja turvalisusega seotud probleeme, mis tulenevad suurenenud inimeste voolavusest ja külaliste registreerimise kohustuse puudum</w:t>
      </w:r>
      <w:r w:rsidR="00832048" w:rsidRPr="00E14EBC">
        <w:t>isest võrreldes hotellidega;</w:t>
      </w:r>
    </w:p>
    <w:p w14:paraId="1134B2C0" w14:textId="77777777" w:rsidR="00832048" w:rsidRPr="00E14EBC" w:rsidRDefault="00832048" w:rsidP="00832048">
      <w:pPr>
        <w:pStyle w:val="MintBlock"/>
      </w:pPr>
      <w:r w:rsidRPr="00E14EBC">
        <w:t>- maksukohustuse täitmata jätmist.</w:t>
      </w:r>
    </w:p>
    <w:p w14:paraId="54A9D675" w14:textId="16C27D2C" w:rsidR="00624738" w:rsidRPr="00E14EBC" w:rsidRDefault="6B7869FF" w:rsidP="00B411FE">
      <w:pPr>
        <w:jc w:val="both"/>
      </w:pPr>
      <w:r>
        <w:t xml:space="preserve">Eesti lühiajalise üüri turu mõjusid on varem uuritud vaid üksikutes allikates. Näiteks </w:t>
      </w:r>
      <w:r w:rsidR="00BC4AEB">
        <w:t xml:space="preserve">elanike hulgas läbiviidud </w:t>
      </w:r>
      <w:r w:rsidR="415A117E" w:rsidRPr="00E14EBC">
        <w:t>Eurobaromeetri uuringust</w:t>
      </w:r>
      <w:r w:rsidR="00546174" w:rsidRPr="00E14EBC">
        <w:rPr>
          <w:rStyle w:val="FootnoteReference"/>
        </w:rPr>
        <w:footnoteReference w:id="116"/>
      </w:r>
      <w:r w:rsidR="415A117E" w:rsidRPr="00E14EBC">
        <w:t xml:space="preserve"> selgus, et </w:t>
      </w:r>
      <w:r w:rsidR="415A117E" w:rsidRPr="288A3578">
        <w:rPr>
          <w:b/>
          <w:bCs/>
        </w:rPr>
        <w:t>Ee</w:t>
      </w:r>
      <w:r w:rsidR="415A117E" w:rsidRPr="00BB1202">
        <w:rPr>
          <w:b/>
          <w:bCs/>
        </w:rPr>
        <w:t>stis kasutab 3</w:t>
      </w:r>
      <w:r w:rsidR="7A13C1AF" w:rsidRPr="00BB1202">
        <w:rPr>
          <w:b/>
          <w:bCs/>
        </w:rPr>
        <w:t>0</w:t>
      </w:r>
      <w:r w:rsidR="415A117E" w:rsidRPr="00BB1202">
        <w:rPr>
          <w:b/>
          <w:bCs/>
        </w:rPr>
        <w:t xml:space="preserve">% </w:t>
      </w:r>
      <w:r w:rsidR="7A13C1AF" w:rsidRPr="00BB1202">
        <w:rPr>
          <w:b/>
          <w:bCs/>
        </w:rPr>
        <w:t>küsitletutest</w:t>
      </w:r>
      <w:r w:rsidR="415A117E" w:rsidRPr="00BB1202">
        <w:rPr>
          <w:b/>
          <w:bCs/>
        </w:rPr>
        <w:t xml:space="preserve"> veebipõhiseid majutusplatvorme</w:t>
      </w:r>
      <w:r w:rsidR="415A117E" w:rsidRPr="00E14EBC">
        <w:t>, näiteks eramajade või korterite lühiajalise majutuse üüriteenuseid. Peamiste põhjustena</w:t>
      </w:r>
      <w:r w:rsidR="40A4B38C" w:rsidRPr="00E14EBC">
        <w:t>, miks seda kasutatakse</w:t>
      </w:r>
      <w:r>
        <w:t>,</w:t>
      </w:r>
      <w:r w:rsidR="415A117E" w:rsidRPr="00E14EBC">
        <w:t xml:space="preserve"> nimeta</w:t>
      </w:r>
      <w:r w:rsidR="40A4B38C" w:rsidRPr="00E14EBC">
        <w:t>ti</w:t>
      </w:r>
      <w:r w:rsidR="415A117E" w:rsidRPr="00E14EBC">
        <w:t xml:space="preserve"> </w:t>
      </w:r>
      <w:r w:rsidR="40A4B38C" w:rsidRPr="00E14EBC">
        <w:t xml:space="preserve">selle </w:t>
      </w:r>
      <w:r w:rsidR="415A117E" w:rsidRPr="00E14EBC">
        <w:t xml:space="preserve">odavust (58%), mugavust (52%), paremat asukohta (35%) ja mitmekesisemat valikut (29%), mis pakuvad </w:t>
      </w:r>
      <w:r w:rsidR="2D4D7160" w:rsidRPr="00E14EBC">
        <w:t xml:space="preserve">võrreldes </w:t>
      </w:r>
      <w:r w:rsidR="415A117E" w:rsidRPr="00E14EBC">
        <w:t>traditsioonilise</w:t>
      </w:r>
      <w:r w:rsidR="2D4D7160" w:rsidRPr="00E14EBC">
        <w:t xml:space="preserve"> </w:t>
      </w:r>
      <w:r w:rsidR="415A117E" w:rsidRPr="00E14EBC">
        <w:t>majutuse</w:t>
      </w:r>
      <w:r w:rsidR="2D4D7160" w:rsidRPr="00E14EBC">
        <w:t xml:space="preserve">ga </w:t>
      </w:r>
      <w:r w:rsidR="415A117E" w:rsidRPr="00E14EBC">
        <w:t xml:space="preserve">lisaväärtust. Uuringus toodi välja ka </w:t>
      </w:r>
      <w:r w:rsidR="48EAF492" w:rsidRPr="00E14EBC">
        <w:t>lühiajalise üüri teenuse</w:t>
      </w:r>
      <w:r w:rsidR="415A117E" w:rsidRPr="00E14EBC">
        <w:t xml:space="preserve"> eelised ja puudused. Peamised eelised on võõrustajatele lisasissetuleku võimalus (55%), reisimise soodsamaks muutumine (49%) ja vähem külastajaid ülerahvastatud piirkondades (44%). Samas on </w:t>
      </w:r>
      <w:r w:rsidR="415A117E" w:rsidRPr="00BB1202">
        <w:rPr>
          <w:b/>
          <w:bCs/>
        </w:rPr>
        <w:t>peamised puudused häiringud, nagu müra ja liiklus (35%), vähenenud turvalisus (35%) ja negatiivne mõju kinnisvarahindadele (25%).</w:t>
      </w:r>
      <w:r w:rsidR="415A117E" w:rsidRPr="00E14EBC">
        <w:t xml:space="preserve"> Elukvaliteedi osas tajus 37% Eesti vastajatest </w:t>
      </w:r>
      <w:r w:rsidR="56BFA6CF" w:rsidRPr="00E14EBC">
        <w:t>lühiajalise üüri</w:t>
      </w:r>
      <w:r w:rsidR="415A117E" w:rsidRPr="00E14EBC">
        <w:t xml:space="preserve"> turu mõju positiivselt, 44% ei tundnud mõju ja 9% tunnetas mõju negatiivsena.</w:t>
      </w:r>
      <w:r w:rsidR="169C257B" w:rsidRPr="00E14EBC">
        <w:t xml:space="preserve"> </w:t>
      </w:r>
    </w:p>
    <w:p w14:paraId="7BD17EDE" w14:textId="6295EB21" w:rsidR="00676B1D" w:rsidRDefault="008E7EA6" w:rsidP="00B411FE">
      <w:pPr>
        <w:jc w:val="both"/>
      </w:pPr>
      <w:r w:rsidRPr="00E14EBC">
        <w:t xml:space="preserve">Tallinna </w:t>
      </w:r>
      <w:r w:rsidRPr="00E14EBC" w:rsidDel="00B93852">
        <w:t>v</w:t>
      </w:r>
      <w:r w:rsidRPr="00E14EBC">
        <w:t xml:space="preserve">analinna </w:t>
      </w:r>
      <w:r w:rsidR="00952775" w:rsidRPr="00E14EBC">
        <w:t>kohta</w:t>
      </w:r>
      <w:r w:rsidR="00385B76" w:rsidRPr="00E14EBC">
        <w:t xml:space="preserve"> varasemalt läbi viidud uuringu</w:t>
      </w:r>
      <w:r w:rsidR="00343011" w:rsidRPr="00E14EBC">
        <w:t>test</w:t>
      </w:r>
      <w:r w:rsidR="00694A9F" w:rsidRPr="00E14EBC">
        <w:rPr>
          <w:rStyle w:val="FootnoteReference"/>
        </w:rPr>
        <w:footnoteReference w:id="117"/>
      </w:r>
      <w:r w:rsidR="00343011" w:rsidRPr="00E14EBC">
        <w:rPr>
          <w:vertAlign w:val="superscript"/>
        </w:rPr>
        <w:t>,</w:t>
      </w:r>
      <w:r w:rsidR="002A645C" w:rsidRPr="00E14EBC">
        <w:rPr>
          <w:rStyle w:val="FootnoteReference"/>
        </w:rPr>
        <w:footnoteReference w:id="118"/>
      </w:r>
      <w:r w:rsidR="00B7799E" w:rsidRPr="00E14EBC">
        <w:t xml:space="preserve"> </w:t>
      </w:r>
      <w:r w:rsidR="00385B76" w:rsidRPr="00E14EBC">
        <w:t xml:space="preserve">selgus, et </w:t>
      </w:r>
      <w:r w:rsidR="00736E00" w:rsidRPr="00E14EBC">
        <w:t>lühiajaline üürimine</w:t>
      </w:r>
      <w:r w:rsidR="00385B76" w:rsidRPr="00E14EBC">
        <w:t xml:space="preserve"> on </w:t>
      </w:r>
      <w:r w:rsidR="00390746" w:rsidRPr="00E14EBC">
        <w:t xml:space="preserve">Tallinna </w:t>
      </w:r>
      <w:r w:rsidR="00385B76" w:rsidRPr="00E14EBC" w:rsidDel="00B55EED">
        <w:t>v</w:t>
      </w:r>
      <w:r w:rsidR="00385B76" w:rsidRPr="00E14EBC">
        <w:t xml:space="preserve">analinna majaelanike igapäevaelu üks olulisemaid probleeme, kuna sellel on </w:t>
      </w:r>
      <w:r w:rsidR="00385B76" w:rsidRPr="00092A32">
        <w:rPr>
          <w:b/>
          <w:bCs/>
        </w:rPr>
        <w:t>ulatuslik mõju nii elukeskkonnale majades kui ka piirkonnas laiemalt</w:t>
      </w:r>
      <w:r w:rsidR="00385B76" w:rsidRPr="00E14EBC">
        <w:t xml:space="preserve">. Küsitluse andmetel on 34% </w:t>
      </w:r>
      <w:r w:rsidR="00965AC1" w:rsidRPr="00E14EBC">
        <w:lastRenderedPageBreak/>
        <w:t xml:space="preserve">Tallinna </w:t>
      </w:r>
      <w:r w:rsidR="00385B76" w:rsidRPr="00E14EBC" w:rsidDel="00B55EED">
        <w:t>v</w:t>
      </w:r>
      <w:r w:rsidR="00385B76" w:rsidRPr="00E14EBC">
        <w:t>analinna elanikest lühiajalise üürimise suhtes pigem või täiesti rahulolematud. Peamisteks murekohtadeks on kogukonna ja kodutunde vähenemine alaliste naabrite asendumisel ajutiste külastajatega, samuti turvalisuse, müra ja ühiskasutatavate ruumide puhtuse probleemid</w:t>
      </w:r>
      <w:r w:rsidR="00702B69">
        <w:t>.</w:t>
      </w:r>
      <w:r w:rsidR="007F08FB" w:rsidRPr="00E14EBC">
        <w:rPr>
          <w:rStyle w:val="FootnoteReference"/>
        </w:rPr>
        <w:footnoteReference w:id="119"/>
      </w:r>
    </w:p>
    <w:p w14:paraId="5849A69F" w14:textId="104526B7" w:rsidR="00092A32" w:rsidRPr="00E14EBC" w:rsidRDefault="00092A32" w:rsidP="00B411FE">
      <w:pPr>
        <w:jc w:val="both"/>
      </w:pPr>
      <w:r>
        <w:t>Järgnevalt on esitat</w:t>
      </w:r>
      <w:r w:rsidR="00164BCC">
        <w:t>u</w:t>
      </w:r>
      <w:r>
        <w:t>d turuosaliste poolt intervjuude ja päringute kaudu antud sisend Eesti turul avaldu</w:t>
      </w:r>
      <w:r w:rsidR="009E4344">
        <w:t>nud l</w:t>
      </w:r>
      <w:r w:rsidR="00016991">
        <w:t>ühi</w:t>
      </w:r>
      <w:r w:rsidR="009E4344">
        <w:t xml:space="preserve">ajalise üüri turu mõjude kohta. Tulemused on </w:t>
      </w:r>
      <w:r w:rsidR="00016991">
        <w:t>toodud</w:t>
      </w:r>
      <w:r w:rsidR="009E4344">
        <w:t xml:space="preserve"> turuosaliste gruppide kaupa.</w:t>
      </w:r>
      <w:r>
        <w:t xml:space="preserve"> </w:t>
      </w:r>
    </w:p>
    <w:p w14:paraId="3504CCE5" w14:textId="33C51BA1" w:rsidR="00335EDC" w:rsidRPr="00DE2019" w:rsidRDefault="4E440EBC" w:rsidP="00DE2019">
      <w:pPr>
        <w:rPr>
          <w:rStyle w:val="PurpleText"/>
        </w:rPr>
      </w:pPr>
      <w:bookmarkStart w:id="119" w:name="_Toc197718075"/>
      <w:r w:rsidRPr="00DE2019">
        <w:rPr>
          <w:rStyle w:val="PurpleText"/>
        </w:rPr>
        <w:t>Kohalikud omavalitsused ja regionaalpoliitika kujundajad</w:t>
      </w:r>
      <w:bookmarkEnd w:id="119"/>
    </w:p>
    <w:p w14:paraId="21ADB538" w14:textId="37C97B9D" w:rsidR="00E01367" w:rsidRPr="00E14EBC" w:rsidRDefault="293C068D" w:rsidP="293C068D">
      <w:pPr>
        <w:jc w:val="both"/>
      </w:pPr>
      <w:r w:rsidRPr="00E14EBC">
        <w:t>Kohalik</w:t>
      </w:r>
      <w:r w:rsidR="00801C09" w:rsidRPr="00E14EBC">
        <w:t>e</w:t>
      </w:r>
      <w:r w:rsidRPr="00E14EBC">
        <w:t xml:space="preserve"> omavalitsus</w:t>
      </w:r>
      <w:r w:rsidR="00801C09" w:rsidRPr="00E14EBC">
        <w:t>t</w:t>
      </w:r>
      <w:r w:rsidRPr="00E14EBC">
        <w:t xml:space="preserve">e ja linnade turismiorganisatsioonide esindajad tõid välja, et </w:t>
      </w:r>
      <w:r w:rsidRPr="00016991">
        <w:rPr>
          <w:b/>
          <w:bCs/>
        </w:rPr>
        <w:t>positiivsest küljest</w:t>
      </w:r>
      <w:r w:rsidRPr="00E14EBC">
        <w:t xml:space="preserve"> toeta</w:t>
      </w:r>
      <w:r w:rsidR="00FF29A6" w:rsidRPr="00E14EBC">
        <w:t>vad lühiajalise üüri teenused</w:t>
      </w:r>
      <w:r w:rsidRPr="00E14EBC">
        <w:t xml:space="preserve"> eeskätt </w:t>
      </w:r>
      <w:r w:rsidRPr="00016991">
        <w:rPr>
          <w:b/>
          <w:bCs/>
        </w:rPr>
        <w:t>turismi, suurendades külastajate arvu ja tuues läbi külastajate tulu kohalikele ettevõtetele</w:t>
      </w:r>
      <w:r w:rsidRPr="00E14EBC">
        <w:t xml:space="preserve">. Seejuures pakuvad </w:t>
      </w:r>
      <w:r w:rsidR="00FF29A6" w:rsidRPr="00E14EBC">
        <w:t>lühiajalise üüri</w:t>
      </w:r>
      <w:r w:rsidRPr="00E14EBC">
        <w:t xml:space="preserve"> pinnad reisijatele hotellidega võrreldes soodsamaid ja paindlikumaid majutusvõimalusi, eriti peredele ja noortele, kes eelistavad suuremat pinda ja oma kööki toidu valmistamiseks. Lisaks luuakse elanikele võimalus ajutiselt oma kinnisvara välja üürida, näiteks reiside ajaks, ja sellega lisatulu teenida. Suuremate ürituste ja turismihooaja ajal aitab </w:t>
      </w:r>
      <w:r w:rsidR="004C30E2" w:rsidRPr="00E14EBC">
        <w:t>lühiajalise üüri</w:t>
      </w:r>
      <w:r w:rsidRPr="00E14EBC">
        <w:t xml:space="preserve"> turg majutuspakkumist laiendada, vähendades hotellide koormust ning elavdades kohalikku majandust.</w:t>
      </w:r>
    </w:p>
    <w:p w14:paraId="0E16B2B2" w14:textId="33F062E1" w:rsidR="00BE1363" w:rsidRPr="00A95B71" w:rsidRDefault="5D199B8B" w:rsidP="293C068D">
      <w:pPr>
        <w:jc w:val="both"/>
        <w:rPr>
          <w:b/>
          <w:bCs/>
        </w:rPr>
      </w:pPr>
      <w:r w:rsidRPr="00016991">
        <w:rPr>
          <w:b/>
          <w:bCs/>
        </w:rPr>
        <w:t>Negatiivse mõjuna</w:t>
      </w:r>
      <w:r w:rsidRPr="00E14EBC">
        <w:t xml:space="preserve"> </w:t>
      </w:r>
      <w:r w:rsidR="004C30E2" w:rsidRPr="00E14EBC">
        <w:t>võivad</w:t>
      </w:r>
      <w:r w:rsidRPr="00E14EBC">
        <w:t xml:space="preserve"> </w:t>
      </w:r>
      <w:r w:rsidR="004C30E2" w:rsidRPr="00E14EBC">
        <w:t>lühiajalise üüri teenused</w:t>
      </w:r>
      <w:r w:rsidRPr="00E14EBC">
        <w:t xml:space="preserve"> kaasa tuua omavalitsusele </w:t>
      </w:r>
      <w:r w:rsidRPr="00A95B71">
        <w:rPr>
          <w:b/>
          <w:bCs/>
        </w:rPr>
        <w:t>maksutulu kaotuse</w:t>
      </w:r>
      <w:r w:rsidRPr="00E14EBC">
        <w:t xml:space="preserve">. Näiteks olukordades, kus kinnisvara omanikud registreerivad oma elukoha teise omavalitsusse või jätavad teenitud üüritulu deklareerimata. </w:t>
      </w:r>
      <w:r w:rsidR="004C30E2" w:rsidRPr="00E14EBC">
        <w:t>Omavalitsuste hinnangul,</w:t>
      </w:r>
      <w:r w:rsidRPr="00E14EBC">
        <w:t xml:space="preserve"> </w:t>
      </w:r>
      <w:r w:rsidR="004C30E2" w:rsidRPr="00E14EBC">
        <w:t>k</w:t>
      </w:r>
      <w:r w:rsidRPr="00E14EBC">
        <w:t xml:space="preserve">ui </w:t>
      </w:r>
      <w:r w:rsidR="00196576" w:rsidRPr="00E14EBC">
        <w:t>lühiajalise üürimise</w:t>
      </w:r>
      <w:r w:rsidRPr="00E14EBC">
        <w:t xml:space="preserve"> osakaal kasvab liiga suureks, võib see vähendada </w:t>
      </w:r>
      <w:r w:rsidRPr="00A95B71">
        <w:rPr>
          <w:b/>
          <w:bCs/>
        </w:rPr>
        <w:t>pikaajaliste üüripindade kättesaadavust ja tõsta eluasemekulusid.</w:t>
      </w:r>
    </w:p>
    <w:p w14:paraId="512B6BCB" w14:textId="08534A8B" w:rsidR="00AC0834" w:rsidRPr="00E14EBC" w:rsidRDefault="293C068D" w:rsidP="00352CF9">
      <w:pPr>
        <w:jc w:val="both"/>
      </w:pPr>
      <w:r w:rsidRPr="00E14EBC">
        <w:t xml:space="preserve">Üldiselt hinnatakse, et </w:t>
      </w:r>
      <w:r w:rsidR="004C30E2" w:rsidRPr="00E14EBC">
        <w:t xml:space="preserve">lühiajalise </w:t>
      </w:r>
      <w:r w:rsidR="00D2356D" w:rsidRPr="00E14EBC">
        <w:t xml:space="preserve">üürimisega seotud </w:t>
      </w:r>
      <w:r w:rsidRPr="00A95B71">
        <w:rPr>
          <w:b/>
          <w:bCs/>
        </w:rPr>
        <w:t>mõjud on tugevamad suuremates linnades</w:t>
      </w:r>
      <w:r w:rsidRPr="00E14EBC">
        <w:t>. Mõnes piirkonnas, eriti Tallinna</w:t>
      </w:r>
      <w:r w:rsidR="004B3E7C" w:rsidRPr="00E14EBC">
        <w:t xml:space="preserve"> v</w:t>
      </w:r>
      <w:r w:rsidRPr="00E14EBC">
        <w:t xml:space="preserve">analinnas, on </w:t>
      </w:r>
      <w:r w:rsidR="00D2356D" w:rsidRPr="00E14EBC">
        <w:t>lühiajalise üüri</w:t>
      </w:r>
      <w:r w:rsidRPr="00E14EBC">
        <w:t xml:space="preserve"> tõttu suurenenud müra ja tekkinud turvalisusprobleemid, sest hoonetes liigub pidevalt </w:t>
      </w:r>
      <w:r w:rsidR="00D6506C" w:rsidRPr="00E14EBC">
        <w:t>võõraid</w:t>
      </w:r>
      <w:r w:rsidRPr="00E14EBC">
        <w:t xml:space="preserve"> inimesi. Korteriühistutel on keeruline selliseid probleeme vältida ja lahendada, kuna kehtiv</w:t>
      </w:r>
      <w:r w:rsidR="00B30264" w:rsidRPr="00E14EBC">
        <w:t xml:space="preserve"> õigus </w:t>
      </w:r>
      <w:r w:rsidRPr="00E14EBC">
        <w:t>ei anna neile piisavalt</w:t>
      </w:r>
      <w:r w:rsidR="00BD57B1" w:rsidRPr="00E14EBC">
        <w:t xml:space="preserve"> õigusi</w:t>
      </w:r>
      <w:r w:rsidR="00FB147D" w:rsidRPr="00E14EBC">
        <w:t xml:space="preserve"> olukorra reguleerimiseks</w:t>
      </w:r>
      <w:r w:rsidRPr="00E14EBC">
        <w:t xml:space="preserve">. Samas Tartu linnaga peetud intervjuudest selgus, et suurem probleem on seotud kohalike elanike ja tudengite poolt põhjustatud müraga, kuna nemad on peamised, kes vanalinnas asuvaid lokaale ja toidukohti külastavad. Pärnu linnas on probleem seotud parkimisega – </w:t>
      </w:r>
      <w:r w:rsidR="00D2356D" w:rsidRPr="00E14EBC">
        <w:t>lühiajaliste pindade</w:t>
      </w:r>
      <w:r w:rsidRPr="00E14EBC">
        <w:t xml:space="preserve"> pakkujad ei garanteeri külastajatele alati parkimiskohti, mistõttu pargitakse autosid tänaval, kus kehtib tasuline parkimine ja see võib paljude külastajate jaoks olla ootamatu.</w:t>
      </w:r>
    </w:p>
    <w:p w14:paraId="3B71B539" w14:textId="40201DDE" w:rsidR="00214303" w:rsidRPr="00E14EBC" w:rsidRDefault="51AEDA9D" w:rsidP="293C068D">
      <w:pPr>
        <w:jc w:val="both"/>
      </w:pPr>
      <w:r>
        <w:t xml:space="preserve">Soovimatute </w:t>
      </w:r>
      <w:r w:rsidRPr="288A3578">
        <w:rPr>
          <w:b/>
          <w:bCs/>
        </w:rPr>
        <w:t>mõjude vältimine või ennetamine on kohalike omavalitsuste jaoks keeruline</w:t>
      </w:r>
      <w:r>
        <w:t xml:space="preserve">, kuna puudub selge piir elamispinna ja majutusteenuse vahel. Ühe lahendusena pakuti välja </w:t>
      </w:r>
      <w:r w:rsidR="34813BD3">
        <w:t>lühiajalise üüri</w:t>
      </w:r>
      <w:r>
        <w:t xml:space="preserve"> piiritlemist üüriperioodi alusel - näiteks kui üürimine kestab alla kuu, käsitletakse seda majutusteenusena. Samuti leiti, et omavalitsus võiks määrata, millises ulatuses on </w:t>
      </w:r>
      <w:r w:rsidR="34813BD3">
        <w:t>lühiajaline üürimine</w:t>
      </w:r>
      <w:r>
        <w:t xml:space="preserve"> lubatud, näiteks kehtestades </w:t>
      </w:r>
      <w:r w:rsidR="00CD7FA3">
        <w:t xml:space="preserve">teatud piirkonnas </w:t>
      </w:r>
      <w:r>
        <w:t xml:space="preserve">külaliskorterite arvule ülempiiri, kuid praegune seadusandlus seda ei võimalda. Seejuures peaks olema riigi ja kohaliku omavalitsuse ühine kohustus järgida, et üürileandjatele kohalduksid sarnased maksureeglid ja standardid nagu </w:t>
      </w:r>
      <w:r>
        <w:lastRenderedPageBreak/>
        <w:t>traditsioonilistel</w:t>
      </w:r>
      <w:r w:rsidR="65F12C3C">
        <w:t>e</w:t>
      </w:r>
      <w:r>
        <w:t xml:space="preserve"> majutusasutustel</w:t>
      </w:r>
      <w:r w:rsidR="0B2EF7A6">
        <w:t>e</w:t>
      </w:r>
      <w:r>
        <w:t xml:space="preserve">. Samas nenditi, et sellise tegevuse jaoks ei ole kohalikel omavalitsustel piisavalt ressursse. Lisaks toodi välja, et korteriühistutele võiks anda suurema otsustusõiguse, kuid nende </w:t>
      </w:r>
      <w:r w:rsidR="00F45976">
        <w:t xml:space="preserve">võimalused </w:t>
      </w:r>
      <w:r w:rsidR="00190D5E">
        <w:t xml:space="preserve">lühiajalise üürimisega kaasnevaid probleeme ennetada või lahendada </w:t>
      </w:r>
      <w:r>
        <w:t xml:space="preserve">on </w:t>
      </w:r>
      <w:r w:rsidR="0007751A">
        <w:t>praegu</w:t>
      </w:r>
      <w:r>
        <w:t xml:space="preserve"> piiratud.</w:t>
      </w:r>
    </w:p>
    <w:p w14:paraId="6905A263" w14:textId="66A6DCC0" w:rsidR="000978F4" w:rsidRPr="00E20CDB" w:rsidRDefault="4E440EBC" w:rsidP="00DE2019">
      <w:pPr>
        <w:rPr>
          <w:rStyle w:val="PurpleText"/>
        </w:rPr>
      </w:pPr>
      <w:bookmarkStart w:id="120" w:name="_Toc197718076"/>
      <w:r w:rsidRPr="00E20CDB">
        <w:rPr>
          <w:rStyle w:val="PurpleText"/>
        </w:rPr>
        <w:t>Lühiajalise üüri teenuse ja majutusteenuse pakkumine</w:t>
      </w:r>
      <w:bookmarkEnd w:id="120"/>
      <w:r w:rsidR="00B7799E" w:rsidRPr="00E20CDB">
        <w:rPr>
          <w:rStyle w:val="PurpleText"/>
        </w:rPr>
        <w:t xml:space="preserve"> </w:t>
      </w:r>
    </w:p>
    <w:p w14:paraId="1CA2D919" w14:textId="2B26938F" w:rsidR="006D3157" w:rsidRPr="00E14EBC" w:rsidRDefault="006D3157" w:rsidP="005D27FF">
      <w:pPr>
        <w:jc w:val="both"/>
      </w:pPr>
      <w:r w:rsidRPr="00C51D0D">
        <w:rPr>
          <w:b/>
          <w:bCs/>
        </w:rPr>
        <w:t>Hotellide esindajate</w:t>
      </w:r>
      <w:r w:rsidRPr="00E14EBC">
        <w:t xml:space="preserve"> hinnangul on lühiajalise üüri teenusel </w:t>
      </w:r>
      <w:r w:rsidRPr="005A33C0">
        <w:rPr>
          <w:b/>
          <w:bCs/>
        </w:rPr>
        <w:t>positiivseid mõjusid napilt</w:t>
      </w:r>
      <w:r w:rsidRPr="00E14EBC">
        <w:t>. Peami</w:t>
      </w:r>
      <w:r w:rsidR="003F18BE" w:rsidRPr="00E14EBC">
        <w:t xml:space="preserve">seks positiivseks mõjuks on </w:t>
      </w:r>
      <w:r w:rsidR="009B5C7A" w:rsidRPr="00E14EBC">
        <w:t>lai</w:t>
      </w:r>
      <w:r w:rsidR="00A04B0F" w:rsidRPr="00E14EBC">
        <w:t xml:space="preserve">em </w:t>
      </w:r>
      <w:r w:rsidR="009B5C7A" w:rsidRPr="00E14EBC">
        <w:t xml:space="preserve">ja </w:t>
      </w:r>
      <w:r w:rsidR="00042F28" w:rsidRPr="00E14EBC">
        <w:t>ootustele vastavam</w:t>
      </w:r>
      <w:r w:rsidR="003F18BE" w:rsidRPr="00E14EBC">
        <w:t xml:space="preserve"> </w:t>
      </w:r>
      <w:r w:rsidRPr="00E14EBC">
        <w:t>pakkumi</w:t>
      </w:r>
      <w:r w:rsidR="003F18BE" w:rsidRPr="00E14EBC">
        <w:t xml:space="preserve">ne </w:t>
      </w:r>
      <w:r w:rsidRPr="00E14EBC">
        <w:t>sihtrühmadele, kelle</w:t>
      </w:r>
      <w:r w:rsidR="00D87519" w:rsidRPr="00E14EBC">
        <w:t xml:space="preserve"> jaoks võib olla </w:t>
      </w:r>
      <w:r w:rsidRPr="00E14EBC">
        <w:t xml:space="preserve">hotellis viibimine </w:t>
      </w:r>
      <w:r w:rsidR="00D87519" w:rsidRPr="00E14EBC">
        <w:t>liiga kulukas</w:t>
      </w:r>
      <w:r w:rsidRPr="00E14EBC">
        <w:t xml:space="preserve"> (lasterikkad pered, </w:t>
      </w:r>
      <w:r w:rsidR="009020E5">
        <w:t>väiksema sissetulekuga</w:t>
      </w:r>
      <w:r w:rsidR="009020E5" w:rsidRPr="00E14EBC">
        <w:t xml:space="preserve"> </w:t>
      </w:r>
      <w:r w:rsidRPr="00E14EBC">
        <w:t xml:space="preserve">noored). Mõningal määral võib positiivseks pidada üksikuid olukordi, kus </w:t>
      </w:r>
      <w:r w:rsidR="00897A00" w:rsidRPr="00E14EBC">
        <w:t>(suur)</w:t>
      </w:r>
      <w:r w:rsidRPr="00E14EBC">
        <w:t xml:space="preserve">ürituse toimumise piirkonnas on tänu lühiajalisele majutusele </w:t>
      </w:r>
      <w:r w:rsidRPr="005A33C0">
        <w:rPr>
          <w:b/>
          <w:bCs/>
        </w:rPr>
        <w:t>võimalik peatuda rohkematel inimestel</w:t>
      </w:r>
      <w:r w:rsidRPr="00E14EBC">
        <w:t>.</w:t>
      </w:r>
    </w:p>
    <w:p w14:paraId="24645886" w14:textId="426F5842" w:rsidR="00584104" w:rsidRPr="00A33A0C" w:rsidRDefault="57A7CCDF" w:rsidP="005D27FF">
      <w:pPr>
        <w:jc w:val="both"/>
        <w:rPr>
          <w:b/>
          <w:bCs/>
        </w:rPr>
      </w:pPr>
      <w:r w:rsidRPr="005A33C0">
        <w:rPr>
          <w:b/>
          <w:bCs/>
        </w:rPr>
        <w:t>Negatiiv</w:t>
      </w:r>
      <w:r w:rsidR="0F46E429" w:rsidRPr="005A33C0">
        <w:rPr>
          <w:b/>
          <w:bCs/>
        </w:rPr>
        <w:t>s</w:t>
      </w:r>
      <w:r w:rsidRPr="005A33C0">
        <w:rPr>
          <w:b/>
          <w:bCs/>
        </w:rPr>
        <w:t>e</w:t>
      </w:r>
      <w:r w:rsidR="293C068D" w:rsidRPr="005A33C0">
        <w:rPr>
          <w:b/>
          <w:bCs/>
        </w:rPr>
        <w:t xml:space="preserve"> mõju</w:t>
      </w:r>
      <w:r w:rsidR="293C068D" w:rsidRPr="00E14EBC">
        <w:t xml:space="preserve"> osas eristuvad hotellide esindajate hinnangul kaks peamist</w:t>
      </w:r>
      <w:r w:rsidR="146521B1" w:rsidRPr="00E14EBC">
        <w:t xml:space="preserve"> – </w:t>
      </w:r>
      <w:r w:rsidR="146521B1" w:rsidRPr="00A33A0C">
        <w:rPr>
          <w:b/>
          <w:bCs/>
        </w:rPr>
        <w:t>e</w:t>
      </w:r>
      <w:r w:rsidR="293C068D" w:rsidRPr="00A33A0C">
        <w:rPr>
          <w:b/>
          <w:bCs/>
        </w:rPr>
        <w:t>baõiglane turuolukord ja negatiivne mõju kohaliku kogukonna heaolule.</w:t>
      </w:r>
    </w:p>
    <w:p w14:paraId="02C7B4B2" w14:textId="034CB269" w:rsidR="006D3157" w:rsidRPr="00E14EBC" w:rsidRDefault="006D3157" w:rsidP="005D27FF">
      <w:pPr>
        <w:jc w:val="both"/>
      </w:pPr>
      <w:r>
        <w:t xml:space="preserve">Esiteks, lühiajalise üüri turg võimaldab mõnedel turuosalistel pakkuda majutusteenust ilma regulatsioone/nõudeid järgimata. </w:t>
      </w:r>
      <w:r w:rsidR="005D5565">
        <w:t xml:space="preserve">Hotellide esindajate hinnangul </w:t>
      </w:r>
      <w:r w:rsidR="00212DEA">
        <w:t xml:space="preserve">jäävad </w:t>
      </w:r>
      <w:r w:rsidR="009123F5">
        <w:t>praegu l</w:t>
      </w:r>
      <w:r>
        <w:t xml:space="preserve">ühiajalise </w:t>
      </w:r>
      <w:r w:rsidR="0063734A">
        <w:t xml:space="preserve">üüri </w:t>
      </w:r>
      <w:r>
        <w:t>teenuse pakkuja</w:t>
      </w:r>
      <w:r w:rsidR="00D769D7">
        <w:t>te</w:t>
      </w:r>
      <w:r>
        <w:t xml:space="preserve"> osutatav</w:t>
      </w:r>
      <w:r w:rsidR="009123F5">
        <w:t>ad</w:t>
      </w:r>
      <w:r>
        <w:t xml:space="preserve"> majutusteenus</w:t>
      </w:r>
      <w:r w:rsidR="005A6B40">
        <w:t>ed</w:t>
      </w:r>
      <w:r>
        <w:t xml:space="preserve"> TurS</w:t>
      </w:r>
      <w:r w:rsidR="00F80BFA">
        <w:t>-</w:t>
      </w:r>
      <w:r w:rsidR="00FB3000">
        <w:t>i</w:t>
      </w:r>
      <w:r>
        <w:t xml:space="preserve">, majutusteenuse osutajatele kehtiva määruse ja </w:t>
      </w:r>
      <w:r w:rsidR="00B01885">
        <w:t>PA</w:t>
      </w:r>
      <w:r>
        <w:t xml:space="preserve">, </w:t>
      </w:r>
      <w:r w:rsidR="00B01885">
        <w:t xml:space="preserve">TA </w:t>
      </w:r>
      <w:r>
        <w:t xml:space="preserve">ning Keeleameti nõuete alt välja. Ükski nimetatud regulatsioonidest ei kohaldu </w:t>
      </w:r>
      <w:r w:rsidR="00F2197B">
        <w:t xml:space="preserve">nende hinnangul </w:t>
      </w:r>
      <w:r>
        <w:t>eluruumides majutusteenus</w:t>
      </w:r>
      <w:r w:rsidR="0029193B">
        <w:t>e osutamisele</w:t>
      </w:r>
      <w:r>
        <w:t xml:space="preserve">. </w:t>
      </w:r>
      <w:r w:rsidR="0029193B">
        <w:t>Lisaks ei täida lühiajalise ü</w:t>
      </w:r>
      <w:r w:rsidR="00752AF4">
        <w:t>ü</w:t>
      </w:r>
      <w:r w:rsidR="0029193B">
        <w:t>ri teenuse pakkujad</w:t>
      </w:r>
      <w:r>
        <w:t xml:space="preserve"> külaliste registreerimise kohustus</w:t>
      </w:r>
      <w:r w:rsidR="0043232F">
        <w:t>t</w:t>
      </w:r>
      <w:r>
        <w:t xml:space="preserve">, mis </w:t>
      </w:r>
      <w:r w:rsidR="0043232F">
        <w:t>suurendab</w:t>
      </w:r>
      <w:r w:rsidR="00B7799E">
        <w:t xml:space="preserve"> </w:t>
      </w:r>
      <w:r>
        <w:t>julgeoleku riski.</w:t>
      </w:r>
    </w:p>
    <w:p w14:paraId="35A5480A" w14:textId="44ABE83F" w:rsidR="000B01DC" w:rsidRPr="00E14EBC" w:rsidRDefault="293C068D" w:rsidP="005D27FF">
      <w:pPr>
        <w:jc w:val="both"/>
      </w:pPr>
      <w:r w:rsidRPr="00E14EBC">
        <w:t xml:space="preserve">Samuti põhjustab see hotellide esindajate sõnul olukorra, kus </w:t>
      </w:r>
      <w:r w:rsidR="006D3157" w:rsidRPr="00E14EBC">
        <w:t>elukondlik</w:t>
      </w:r>
      <w:r w:rsidR="004B63FB" w:rsidRPr="00E14EBC">
        <w:t>es ruumides üüriteenuse o</w:t>
      </w:r>
      <w:r w:rsidR="00AC5CD9" w:rsidRPr="00E14EBC">
        <w:t>sutajad sa</w:t>
      </w:r>
      <w:r w:rsidRPr="00E14EBC">
        <w:t xml:space="preserve">avad pakkuda odavamat </w:t>
      </w:r>
      <w:r w:rsidR="00AC5CD9" w:rsidRPr="00E14EBC">
        <w:t xml:space="preserve">majutuse </w:t>
      </w:r>
      <w:r w:rsidRPr="00E14EBC">
        <w:t xml:space="preserve">hinda, kuna </w:t>
      </w:r>
      <w:r w:rsidR="00C04E14" w:rsidRPr="00E14EBC">
        <w:t xml:space="preserve">neil </w:t>
      </w:r>
      <w:r w:rsidR="00C04E14" w:rsidRPr="00195C78">
        <w:rPr>
          <w:b/>
          <w:bCs/>
        </w:rPr>
        <w:t>ei te</w:t>
      </w:r>
      <w:r w:rsidR="00022C9D" w:rsidRPr="00195C78">
        <w:rPr>
          <w:b/>
          <w:bCs/>
        </w:rPr>
        <w:t>ki</w:t>
      </w:r>
      <w:r w:rsidR="00054465" w:rsidRPr="00195C78">
        <w:rPr>
          <w:b/>
          <w:bCs/>
        </w:rPr>
        <w:t xml:space="preserve"> majutusasutustele kehtestatud </w:t>
      </w:r>
      <w:r w:rsidR="00C04E14" w:rsidRPr="00195C78">
        <w:rPr>
          <w:b/>
          <w:bCs/>
        </w:rPr>
        <w:t>nõue</w:t>
      </w:r>
      <w:r w:rsidR="00022C9D" w:rsidRPr="00195C78">
        <w:rPr>
          <w:b/>
          <w:bCs/>
        </w:rPr>
        <w:t xml:space="preserve">te </w:t>
      </w:r>
      <w:r w:rsidR="001E6EA3" w:rsidRPr="00195C78">
        <w:rPr>
          <w:b/>
          <w:bCs/>
        </w:rPr>
        <w:t>täitmisega</w:t>
      </w:r>
      <w:r w:rsidR="00022C9D" w:rsidRPr="00195C78">
        <w:rPr>
          <w:b/>
          <w:bCs/>
        </w:rPr>
        <w:t xml:space="preserve"> kaasnevaid kulu</w:t>
      </w:r>
      <w:r w:rsidR="00017808" w:rsidRPr="00195C78">
        <w:rPr>
          <w:b/>
          <w:bCs/>
        </w:rPr>
        <w:t>sid</w:t>
      </w:r>
      <w:r w:rsidRPr="00E14EBC">
        <w:t xml:space="preserve">. </w:t>
      </w:r>
      <w:r w:rsidR="009A634A">
        <w:t>H</w:t>
      </w:r>
      <w:r w:rsidR="00D5481C">
        <w:t>otellide esindajate</w:t>
      </w:r>
      <w:r w:rsidR="00097BC1">
        <w:t xml:space="preserve"> hinnangul </w:t>
      </w:r>
      <w:r w:rsidR="009A634A">
        <w:t>näitavad</w:t>
      </w:r>
      <w:r w:rsidRPr="00E14EBC">
        <w:t xml:space="preserve"> </w:t>
      </w:r>
      <w:r w:rsidR="009A634A">
        <w:t>andmed</w:t>
      </w:r>
      <w:r w:rsidRPr="00E14EBC">
        <w:t xml:space="preserve">, et enamik pakkujaid </w:t>
      </w:r>
      <w:r w:rsidR="009A634A">
        <w:t xml:space="preserve">on </w:t>
      </w:r>
      <w:r w:rsidRPr="00E14EBC">
        <w:t xml:space="preserve">professionaalsed ning pakuvad kolme või enamat </w:t>
      </w:r>
      <w:r w:rsidR="00F2197B">
        <w:t>majutus</w:t>
      </w:r>
      <w:r w:rsidRPr="00E14EBC">
        <w:t>pinda</w:t>
      </w:r>
      <w:r w:rsidR="009A634A">
        <w:t>. Seega</w:t>
      </w:r>
      <w:r w:rsidRPr="00E14EBC">
        <w:t xml:space="preserve"> jääb riigil nende </w:t>
      </w:r>
      <w:r w:rsidR="00F94799" w:rsidRPr="00E14EBC">
        <w:t xml:space="preserve">arvates osaliselt saamata </w:t>
      </w:r>
      <w:r w:rsidRPr="00E14EBC">
        <w:t xml:space="preserve">nii </w:t>
      </w:r>
      <w:r w:rsidRPr="00195C78">
        <w:rPr>
          <w:b/>
          <w:bCs/>
        </w:rPr>
        <w:t>tulu- ja käibemaks kui ka tööjõumaks</w:t>
      </w:r>
      <w:r w:rsidR="00F94799" w:rsidRPr="00195C78">
        <w:rPr>
          <w:b/>
          <w:bCs/>
        </w:rPr>
        <w:t>ud</w:t>
      </w:r>
      <w:r w:rsidRPr="00E14EBC">
        <w:t>, millest viimane moodustab enamiku majutussektori maksukoormusest.</w:t>
      </w:r>
    </w:p>
    <w:p w14:paraId="1D92F508" w14:textId="4EF782BA" w:rsidR="000B01DC" w:rsidRPr="00E14EBC" w:rsidRDefault="51AEDA9D" w:rsidP="005D27FF">
      <w:pPr>
        <w:jc w:val="both"/>
      </w:pPr>
      <w:r>
        <w:t>Teiseks</w:t>
      </w:r>
      <w:r w:rsidR="14403263">
        <w:t xml:space="preserve"> kaasneb</w:t>
      </w:r>
      <w:r>
        <w:t xml:space="preserve"> negatiivne mõju kohaliku kogukonna heaolule. Täpsemalt, elamutes toimuv </w:t>
      </w:r>
      <w:r w:rsidR="0A2658B7">
        <w:t>lühiajaline majutus</w:t>
      </w:r>
      <w:r>
        <w:t xml:space="preserve"> </w:t>
      </w:r>
      <w:r w:rsidRPr="288A3578">
        <w:rPr>
          <w:b/>
          <w:bCs/>
        </w:rPr>
        <w:t>põhjustab müra ja muid elukeskkonna häiringuid</w:t>
      </w:r>
      <w:r>
        <w:t xml:space="preserve">. Hotellide esindajad tunnetavad, et see võib-olla selle teema juures kohati isegi suurem probleem kui majanduslikud aspektid, kuna nende hinnangul käib peamine diskussioon elukeskkonna ümber. Eriti välisriikide näitel on </w:t>
      </w:r>
      <w:r w:rsidR="0A2658B7">
        <w:t>lühiajalise üürimise</w:t>
      </w:r>
      <w:r>
        <w:t xml:space="preserve"> mõjudest tulenev olukord täna keerulisem kui Eestis, nii elupindade kättesaadavuse osas kui ka üldise elukvaliteedi küsimustes.</w:t>
      </w:r>
    </w:p>
    <w:p w14:paraId="3C572B52" w14:textId="085EF3DD" w:rsidR="006D3157" w:rsidRPr="00E14EBC" w:rsidRDefault="006D3157" w:rsidP="005D27FF">
      <w:pPr>
        <w:jc w:val="both"/>
      </w:pPr>
      <w:r w:rsidRPr="00E14EBC">
        <w:t>Suuremate (10</w:t>
      </w:r>
      <w:r w:rsidR="00064D48">
        <w:t>–</w:t>
      </w:r>
      <w:r w:rsidRPr="00E14EBC">
        <w:t xml:space="preserve">130 korterit pakkuja kohta) </w:t>
      </w:r>
      <w:r w:rsidRPr="00C51D0D">
        <w:rPr>
          <w:b/>
          <w:bCs/>
        </w:rPr>
        <w:t>lühiajalise üüri teenuse pakkujate ja korterite vahendusteenuse osutajate hinnangul on peamiseks negatiivseks mõjuks varimajandus</w:t>
      </w:r>
      <w:r w:rsidRPr="00E14EBC">
        <w:t>. Täpsemalt toodi intervjuudes välja, et mõned turuosalised jätavad oma tulud/kulud kas deklareerimata või tegutsevad viisil, mil riigil (</w:t>
      </w:r>
      <w:r w:rsidR="00C51D0D">
        <w:t>MTA</w:t>
      </w:r>
      <w:r w:rsidRPr="00E14EBC">
        <w:t xml:space="preserve">) on keeruline nende üle arvet pidada. On see siis tööjõumaksude tasumata jätmine, tulude hajutamine/peitmine, ohutuse alaste investeeringute pealt kokku hoidmine või muu. See tekitab ebaausat konkurentsi pakkujate endi vahel, kuna ühed tasuvad kõik maksud, järgivad nõudeid ja teevad tuleohutuse alaseid investeeringuid </w:t>
      </w:r>
      <w:r w:rsidRPr="00E14EBC">
        <w:rPr>
          <w:i/>
          <w:iCs/>
        </w:rPr>
        <w:t>vs</w:t>
      </w:r>
      <w:r w:rsidR="00CD6EC5" w:rsidRPr="00E14EBC">
        <w:rPr>
          <w:i/>
          <w:iCs/>
        </w:rPr>
        <w:t>.</w:t>
      </w:r>
      <w:r w:rsidRPr="00E14EBC">
        <w:t xml:space="preserve"> teised, kes viilivad kõrvale ning on mh võimelised seetõttu pakkuma ka odavamat hinda. </w:t>
      </w:r>
    </w:p>
    <w:p w14:paraId="7725ACAC" w14:textId="4013AAA9" w:rsidR="006D3157" w:rsidRPr="00E14EBC" w:rsidRDefault="0A2658B7" w:rsidP="005D27FF">
      <w:pPr>
        <w:jc w:val="both"/>
      </w:pPr>
      <w:r>
        <w:lastRenderedPageBreak/>
        <w:t xml:space="preserve">Sellega osaliselt seotud probleemina nähakse </w:t>
      </w:r>
      <w:r w:rsidRPr="288A3578">
        <w:rPr>
          <w:b/>
          <w:bCs/>
        </w:rPr>
        <w:t>mainekahju</w:t>
      </w:r>
      <w:r>
        <w:t>, mis võib-olla seotud majanduslike teguritega (lühiajalise teenuse pakkujates nähakse ebaausat konkurenti), aga peaasjalikult tuleneb sellest, et mõned turuosalised on pakkujate sõnul hoolimatud nii oma vara kui ka ümbritseva elukeskkonna suhtes. Vanusepiirang, tagatisraha, korteri kasutamise reeglite kehtestamine – pakkujate sõnul on neil võimalik pehmete probleemide ja varakahju vältimiseks ise võimalikult palju ära teha. Mõned turuosalised aga pole kas teadlikud või ei hooli, mistõttu satuvad nende korteritesse ka probleemsed kliendid</w:t>
      </w:r>
      <w:r w:rsidR="61A20EB8">
        <w:t>,</w:t>
      </w:r>
      <w:r>
        <w:t xml:space="preserve"> </w:t>
      </w:r>
      <w:r w:rsidR="0D18FE76">
        <w:t>p</w:t>
      </w:r>
      <w:r>
        <w:t xml:space="preserve">õhjustades omakorda mainekahju kogu sektorile. Viimasega on nõus ka üks väiksem pakkuja, kelle oletusel võib probleem tuleneda haldusfirmadest, mis vahendavad korraga kümneid kortereid ega kontrolli, milliseid kliente nendesse majutatakse. </w:t>
      </w:r>
    </w:p>
    <w:p w14:paraId="6333CA99" w14:textId="696A6596" w:rsidR="002E42BB" w:rsidRPr="00E14EBC" w:rsidRDefault="006D3157" w:rsidP="005D27FF">
      <w:pPr>
        <w:jc w:val="both"/>
      </w:pPr>
      <w:r w:rsidRPr="005164D9">
        <w:rPr>
          <w:b/>
          <w:bCs/>
        </w:rPr>
        <w:t>Väiksemad pakkujad</w:t>
      </w:r>
      <w:r w:rsidRPr="00E14EBC">
        <w:t xml:space="preserve"> (1-4 korterit pakkuja kohta) otseselt ei näe, et lühiajalise üüri teenused põhjustaksid sotsiaal-majanduslikke probleeme. </w:t>
      </w:r>
      <w:r w:rsidR="293C068D" w:rsidRPr="00E14EBC">
        <w:t>Maksude laekumisega seoses ei tohiks negatiivseid mõjusid olla, kuna platvormid on kohustatud juba täna maksuandmed MTA</w:t>
      </w:r>
      <w:r w:rsidR="00F601CC" w:rsidRPr="00E14EBC">
        <w:t>-</w:t>
      </w:r>
      <w:r w:rsidR="293C068D" w:rsidRPr="00E14EBC">
        <w:t>le edastama. Kui sellega seoses peaks esinema tõrkeid, nähakse neid pigem MTA siseste tõrgetena, mida on amet võimeline lahendama. Mainekahju kui probleemi tõi väiksematest pakkujatest eraldi välja ainult üks.</w:t>
      </w:r>
    </w:p>
    <w:p w14:paraId="6BD48B70" w14:textId="38B6D515" w:rsidR="001A1936" w:rsidRPr="00E14EBC" w:rsidRDefault="002B292E" w:rsidP="005D27FF">
      <w:pPr>
        <w:jc w:val="both"/>
      </w:pPr>
      <w:r w:rsidRPr="00FB48A0">
        <w:rPr>
          <w:b/>
          <w:bCs/>
        </w:rPr>
        <w:t>Lühiajalise üüriteenuse p</w:t>
      </w:r>
      <w:r w:rsidR="293C068D" w:rsidRPr="00FB48A0">
        <w:rPr>
          <w:b/>
          <w:bCs/>
        </w:rPr>
        <w:t>akkujad, sõltumata suurusest</w:t>
      </w:r>
      <w:r w:rsidR="293C068D" w:rsidRPr="00E14EBC">
        <w:t xml:space="preserve">, ei tunneta, et </w:t>
      </w:r>
      <w:r w:rsidR="00FB48A0">
        <w:t>eluasemete</w:t>
      </w:r>
      <w:r w:rsidR="293C068D" w:rsidRPr="00E14EBC">
        <w:t xml:space="preserve"> kättesaadavusega esineks probleeme. Pigem tuleks sellele küsimusele </w:t>
      </w:r>
      <w:r w:rsidR="293C068D" w:rsidRPr="00FB48A0">
        <w:rPr>
          <w:b/>
          <w:bCs/>
        </w:rPr>
        <w:t>läheneda piirkonna spetsiifiliselt</w:t>
      </w:r>
      <w:r w:rsidR="293C068D" w:rsidRPr="00E14EBC">
        <w:t xml:space="preserve"> – näiteks on pakkujate hinnangul </w:t>
      </w:r>
      <w:r w:rsidR="00E11E19" w:rsidRPr="00E14EBC">
        <w:t>Tallinna v</w:t>
      </w:r>
      <w:r w:rsidR="293C068D" w:rsidRPr="00E14EBC">
        <w:t>analinnas probleemiks ligipääsetavus, hoonete vanusest tulenevad kõrged kommunaalkulud ja kohalik ööelu, mistõttu on ka inimeste huvi sealsete korterite pikaajalise üürimise vastu väiksem. Ainsa erandina tõid kaks suuremat pakkujat välja Pärnu, kus nende sõnul muudab hooajalisus turuolukorra muu Eestiga võrreldes keerulisemaks. Üks pakkuja jättis täpsemalt kommenteerimata, kuna ta ise ei tegutse Pärnus. Teise hinnangul seisneb keerulisus pikaajaliste elupindade raskesti kättesaadavuses ning see probleem on tema sõnul selgelt tajutav.</w:t>
      </w:r>
    </w:p>
    <w:p w14:paraId="06D77AE1" w14:textId="0D33B036" w:rsidR="008952B6" w:rsidRPr="00E14EBC" w:rsidRDefault="293C068D" w:rsidP="005D27FF">
      <w:pPr>
        <w:jc w:val="both"/>
      </w:pPr>
      <w:r w:rsidRPr="0095582F">
        <w:rPr>
          <w:b/>
          <w:bCs/>
        </w:rPr>
        <w:t>Positiivse mõjuna</w:t>
      </w:r>
      <w:r w:rsidRPr="00E14EBC">
        <w:t xml:space="preserve"> näevad nii suuremad kui ka väiksemad</w:t>
      </w:r>
      <w:r w:rsidR="00667BF8" w:rsidRPr="00E14EBC">
        <w:t xml:space="preserve"> lühiajalise üüriteenuse</w:t>
      </w:r>
      <w:r w:rsidRPr="00E14EBC">
        <w:t xml:space="preserve"> pakkujad </w:t>
      </w:r>
      <w:r w:rsidRPr="0095582F">
        <w:rPr>
          <w:b/>
          <w:bCs/>
        </w:rPr>
        <w:t>paindlikkust kliendi vaates</w:t>
      </w:r>
      <w:r w:rsidRPr="00E14EBC">
        <w:t xml:space="preserve">. Kliendi kasutuses on terve korter, mis võib vastata paremini tema ootustele ja vajadustele kui hotelliteenus. Lisaks võib see tähendada, et majutus on kliendile soodsam, eriti, kui ta näiteks reisib perega või viibib pikemal töölähetusel. COVID-19 pandeemiat toodi samuti näiteks, kus </w:t>
      </w:r>
      <w:r w:rsidR="006D3157" w:rsidRPr="00E14EBC">
        <w:t>lühiajaline üürimine</w:t>
      </w:r>
      <w:r w:rsidRPr="00E14EBC">
        <w:t xml:space="preserve"> võimaldas inimestel mugavates tingimustes eneseisolatsioonis viibida.</w:t>
      </w:r>
    </w:p>
    <w:p w14:paraId="5D62CFBD" w14:textId="7FEF330F" w:rsidR="00E56B02" w:rsidRPr="00E14EBC" w:rsidRDefault="293C068D" w:rsidP="005D27FF">
      <w:pPr>
        <w:jc w:val="both"/>
      </w:pPr>
      <w:r w:rsidRPr="00E14EBC">
        <w:t xml:space="preserve">Teine suurem positiivne mõju on pakkujate hinnangul võimalus osutada </w:t>
      </w:r>
      <w:r w:rsidRPr="00F832F9">
        <w:rPr>
          <w:b/>
          <w:bCs/>
        </w:rPr>
        <w:t>majutusteenust väljapool tõmbekeskuseid</w:t>
      </w:r>
      <w:r w:rsidRPr="00E14EBC">
        <w:t xml:space="preserve">, aga ka avada oma kodusid ajutiselt ürituste ajaks, mil nõudlus võib ületada hotellides majutusteenuse pakkumist. </w:t>
      </w:r>
      <w:r w:rsidR="006D3157" w:rsidRPr="00E14EBC">
        <w:t>Lühiajalise üüri teenus</w:t>
      </w:r>
      <w:r w:rsidRPr="00E14EBC">
        <w:t xml:space="preserve"> on pakkujate hinnangul kasulik nii kohalikule piirkonnale kui ka riigile turismi vaates laiemalt, suurendades öömajade arvu ja võimaldades pakkuda majutusteenust ka kohtades, kus hotelle ei ole või on mõni üksik.</w:t>
      </w:r>
    </w:p>
    <w:p w14:paraId="25358690" w14:textId="3A0BA415" w:rsidR="006D3157" w:rsidRPr="00E14EBC" w:rsidRDefault="006D3157" w:rsidP="005D27FF">
      <w:pPr>
        <w:jc w:val="both"/>
      </w:pPr>
      <w:r w:rsidRPr="00E14EBC">
        <w:t>Eraldi positiivse mõjuna markeerivad väiksemad pakkujad veel, et lühiajalise üüri korter pole paindlik mitte ainult kliendi vaatest, vaid ka pakkuja jaoks.</w:t>
      </w:r>
      <w:r w:rsidR="00F832F9">
        <w:t xml:space="preserve"> </w:t>
      </w:r>
      <w:r w:rsidR="00F832F9" w:rsidRPr="00F832F9">
        <w:rPr>
          <w:b/>
          <w:bCs/>
        </w:rPr>
        <w:t>Eluruumi</w:t>
      </w:r>
      <w:r w:rsidRPr="00F832F9">
        <w:rPr>
          <w:b/>
          <w:bCs/>
        </w:rPr>
        <w:t xml:space="preserve"> otstarvet on igal hetkel võimalik muuta</w:t>
      </w:r>
      <w:r w:rsidRPr="00E14EBC">
        <w:t xml:space="preserve"> või tagasi enda kasutusse võtta, kuna sellega ei ole seotud ühtegi pikaajalist üürilepingut. Samuti on võimalik valida, millal ja kellele teenust osutada. Ühest küljest saab soovi </w:t>
      </w:r>
      <w:r w:rsidRPr="00E14EBC">
        <w:lastRenderedPageBreak/>
        <w:t>korral tegutseda ainult hooajaliselt ja teiselt poolt on võimalus valida, kes sinu korterisse majutuvad (kõiki kliente ei pea vastu võtma).</w:t>
      </w:r>
    </w:p>
    <w:p w14:paraId="1B0EC1F9" w14:textId="6609C47E" w:rsidR="000978F4" w:rsidRPr="00E14EBC" w:rsidRDefault="4E440EBC" w:rsidP="00D96800">
      <w:pPr>
        <w:pStyle w:val="TableTitle"/>
      </w:pPr>
      <w:bookmarkStart w:id="121" w:name="_Toc197718077"/>
      <w:r w:rsidRPr="00E14EBC">
        <w:t>Eluaseme ja kinnisvara omamine ning arendamine</w:t>
      </w:r>
      <w:bookmarkEnd w:id="121"/>
      <w:r w:rsidRPr="00E14EBC">
        <w:t xml:space="preserve"> </w:t>
      </w:r>
    </w:p>
    <w:p w14:paraId="54FFF139" w14:textId="1BEAA623" w:rsidR="000A00B3" w:rsidRPr="00E14EBC" w:rsidRDefault="00C6518B" w:rsidP="005D27FF">
      <w:pPr>
        <w:jc w:val="both"/>
      </w:pPr>
      <w:r w:rsidRPr="1C92C443">
        <w:rPr>
          <w:b/>
          <w:bCs/>
        </w:rPr>
        <w:t>Korteri</w:t>
      </w:r>
      <w:r w:rsidR="0027383A" w:rsidRPr="1C92C443">
        <w:rPr>
          <w:b/>
          <w:bCs/>
        </w:rPr>
        <w:t>omanike esindajate</w:t>
      </w:r>
      <w:r>
        <w:t xml:space="preserve"> sõnul on ühistute jaoks peamine probleem seotud </w:t>
      </w:r>
      <w:r w:rsidRPr="1C92C443">
        <w:rPr>
          <w:b/>
          <w:bCs/>
        </w:rPr>
        <w:t>elukeskkonna halvenemise ja turvalisuse vähenemisega</w:t>
      </w:r>
      <w:r>
        <w:t xml:space="preserve">, kuna pidev üürnike vaheldumine toob majadesse võõraid inimesi, kelle käitumist ei ole võimalik prognoosida. </w:t>
      </w:r>
      <w:r w:rsidR="00703DC3">
        <w:t>K</w:t>
      </w:r>
      <w:r>
        <w:t xml:space="preserve">aebused korteriühistutelt on seotud juhtumitega, kus lühiajalised üürnikud tekitavad müra, lõhuvad uksi, magavad trepikodades või eiravad maja sisekorraeeskirju. </w:t>
      </w:r>
      <w:r w:rsidR="008B104D">
        <w:t xml:space="preserve">Kuigi </w:t>
      </w:r>
      <w:r w:rsidR="00DB08EE">
        <w:t xml:space="preserve">eluruumi ajutised kasutajad on kohustatud sarnaselt püsielanikega </w:t>
      </w:r>
      <w:r w:rsidR="00D33621">
        <w:t xml:space="preserve">täitma elamu sisekorraeeskirju, siis tavapraktikas eluruumi omanik üürnikke nendest reeglitest </w:t>
      </w:r>
      <w:r w:rsidR="008A12DA">
        <w:t xml:space="preserve">tihti ei teavita </w:t>
      </w:r>
      <w:r w:rsidR="002447A6">
        <w:t xml:space="preserve">või </w:t>
      </w:r>
      <w:r w:rsidR="00A50813">
        <w:t>ei hooli</w:t>
      </w:r>
      <w:r w:rsidR="002447A6">
        <w:t xml:space="preserve"> kasutajad</w:t>
      </w:r>
      <w:r w:rsidR="008A12DA">
        <w:t xml:space="preserve"> </w:t>
      </w:r>
      <w:r w:rsidR="00A50813">
        <w:t>h</w:t>
      </w:r>
      <w:r w:rsidR="00C0217D">
        <w:t xml:space="preserve">eakorrast </w:t>
      </w:r>
      <w:r w:rsidR="00A50813">
        <w:t>ega</w:t>
      </w:r>
      <w:r w:rsidR="00C0217D">
        <w:t xml:space="preserve"> reeglite järg</w:t>
      </w:r>
      <w:r w:rsidR="4287B220">
        <w:t>i</w:t>
      </w:r>
      <w:r w:rsidR="00C0217D">
        <w:t xml:space="preserve">misest. </w:t>
      </w:r>
      <w:r>
        <w:t>Probleemid on kõige teravamad suveperioodil Pärnus ja Tallinnas, kus lühiajaline üürimine on kõige aktiivsem.</w:t>
      </w:r>
      <w:r w:rsidR="008B104D">
        <w:t xml:space="preserve"> </w:t>
      </w:r>
      <w:r w:rsidR="00E74474">
        <w:t xml:space="preserve">Korteriomanike sihtgrupi </w:t>
      </w:r>
      <w:r w:rsidR="00133B5B">
        <w:t>esindajate</w:t>
      </w:r>
      <w:r w:rsidR="293C068D">
        <w:t xml:space="preserve"> sõnul on pikaajaliste elanike seisukohast murettekitav, et </w:t>
      </w:r>
      <w:r w:rsidR="293C068D" w:rsidRPr="00133B5B">
        <w:rPr>
          <w:b/>
        </w:rPr>
        <w:t>p</w:t>
      </w:r>
      <w:r w:rsidR="005B5C58" w:rsidRPr="00133B5B">
        <w:rPr>
          <w:b/>
        </w:rPr>
        <w:t>üsi</w:t>
      </w:r>
      <w:r w:rsidR="293C068D" w:rsidRPr="00133B5B">
        <w:rPr>
          <w:b/>
        </w:rPr>
        <w:t>elanikud võivad hakata piirkondadest lahkuma</w:t>
      </w:r>
      <w:r w:rsidR="293C068D">
        <w:t xml:space="preserve">, kui majades suureneb lühiajaliste üürikorterite osakaal. Eriti kallima kinnisvara puhul võib see viia </w:t>
      </w:r>
      <w:r w:rsidR="006D6675">
        <w:t>olukorrani, kus teatud piirkonna</w:t>
      </w:r>
      <w:r w:rsidR="00DD1D7C">
        <w:t>st kohalikud elanikud lahku</w:t>
      </w:r>
      <w:r w:rsidR="00D30AC3">
        <w:t xml:space="preserve">vad </w:t>
      </w:r>
      <w:r w:rsidR="00DD1D7C">
        <w:t xml:space="preserve">ning need </w:t>
      </w:r>
      <w:r w:rsidR="293C068D">
        <w:t xml:space="preserve">muutuvad ainult investorite kontrollitud </w:t>
      </w:r>
      <w:r>
        <w:t xml:space="preserve">lühiajalise üüri </w:t>
      </w:r>
      <w:r w:rsidR="293C068D">
        <w:t>aladeks, mis on suunatud peamiselt turistidele. Seda tunnetavad võimaliku ohuna ka poliitikakujundajad, kelle sõnul võib lühiajalise üüri teenus lõhkuda kogukonna terviklikkuse.</w:t>
      </w:r>
    </w:p>
    <w:p w14:paraId="71B65EA5" w14:textId="5A6D1DA2" w:rsidR="00C6518B" w:rsidRPr="00E14EBC" w:rsidRDefault="00C6518B" w:rsidP="005D27FF">
      <w:pPr>
        <w:jc w:val="both"/>
      </w:pPr>
      <w:r w:rsidRPr="00E14EBC">
        <w:t xml:space="preserve">Teisalt võivad lühiajalise üüri teenused mõjuda kogukonnale ka positiivselt, soodustades </w:t>
      </w:r>
      <w:r w:rsidRPr="00133B5B">
        <w:rPr>
          <w:b/>
        </w:rPr>
        <w:t>näiteks sealset äritegevust</w:t>
      </w:r>
      <w:r w:rsidRPr="00E14EBC">
        <w:t xml:space="preserve">. Poliitikakujundajad toovad ühe näitena erinevad </w:t>
      </w:r>
      <w:r w:rsidR="0099260E">
        <w:t>Tallinna v</w:t>
      </w:r>
      <w:r w:rsidRPr="00E14EBC">
        <w:t>analinna ärid ja restoranid, kes suuresti elatuvadki turismi baasilt.</w:t>
      </w:r>
    </w:p>
    <w:p w14:paraId="7C59C40B" w14:textId="5CBC27C3" w:rsidR="00C6518B" w:rsidRPr="00E14EBC" w:rsidRDefault="00C6518B" w:rsidP="005D27FF">
      <w:pPr>
        <w:jc w:val="both"/>
      </w:pPr>
      <w:r w:rsidRPr="00E14EBC">
        <w:t>Positiivsete aspektidena, ennekõike kinnisvarasektori vaatest, muudavad lühiajalise üüri teenused turukonkurentsi mitmekülgsemaks ja mitmekesisemaks. Samuti, mahajäetud või alakasutatud kinnisvara</w:t>
      </w:r>
      <w:r w:rsidR="14D6FEDE" w:rsidRPr="00E14EBC">
        <w:t xml:space="preserve"> puhul</w:t>
      </w:r>
      <w:r w:rsidRPr="00E14EBC">
        <w:t xml:space="preserve">, näiteks Ida-Virumaal, võib </w:t>
      </w:r>
      <w:r w:rsidRPr="004C11B5">
        <w:rPr>
          <w:b/>
        </w:rPr>
        <w:t>üüriliste lisandumine aidata hoida hooneid korras ja jaotada hoolduskulusid.</w:t>
      </w:r>
      <w:r w:rsidRPr="00E14EBC">
        <w:t xml:space="preserve"> Lisaks</w:t>
      </w:r>
      <w:r w:rsidR="23E14E21" w:rsidRPr="00E14EBC">
        <w:t xml:space="preserve"> </w:t>
      </w:r>
      <w:r w:rsidR="1F995FC1" w:rsidRPr="00E14EBC">
        <w:t>kaasneb</w:t>
      </w:r>
      <w:r w:rsidRPr="00E14EBC">
        <w:t xml:space="preserve"> kasu korteriomanikele, kellele see on oluline sissetulekuallikas – näiteks neile, kes on korteri pärinud või ostnud investeerimise eesmärgil. Paljudele omanikele on see pensionisammas, mis võimaldab neil kinnisvara säilitada ja vältida selle müümist.</w:t>
      </w:r>
    </w:p>
    <w:p w14:paraId="1AC2CD9D" w14:textId="2C39E6E8" w:rsidR="00C6518B" w:rsidRPr="00E14EBC" w:rsidRDefault="4A65DFC6" w:rsidP="005D27FF">
      <w:pPr>
        <w:jc w:val="both"/>
      </w:pPr>
      <w:r>
        <w:t>Lisaks</w:t>
      </w:r>
      <w:r w:rsidR="4D289C58">
        <w:t xml:space="preserve"> toob lühiajaline üüriturg kaasa ka probleeme, mis ei ole otseselt seotud üürnikega, vaid korteriomanike käitumisega. Näiteks </w:t>
      </w:r>
      <w:r w:rsidR="4D289C58" w:rsidRPr="288A3578">
        <w:rPr>
          <w:b/>
          <w:bCs/>
        </w:rPr>
        <w:t>talveperioodil tühjana seisvad korterid</w:t>
      </w:r>
      <w:r w:rsidR="4D289C58">
        <w:t xml:space="preserve">, mida ei köeta piisavalt, võivad põhjustada kütte- ja niiskusprobleeme kogu majas. Lisaks </w:t>
      </w:r>
      <w:r>
        <w:t>korteriomanike sihtgrupi esindajate</w:t>
      </w:r>
      <w:r w:rsidR="52427F91">
        <w:t>le</w:t>
      </w:r>
      <w:r>
        <w:t xml:space="preserve"> </w:t>
      </w:r>
      <w:r w:rsidR="4D289C58">
        <w:t>rõhutas</w:t>
      </w:r>
      <w:r>
        <w:t>id</w:t>
      </w:r>
      <w:r w:rsidR="4D289C58">
        <w:t xml:space="preserve"> sama probleemi ka </w:t>
      </w:r>
      <w:r>
        <w:t>osad kohalikud omavalitsused</w:t>
      </w:r>
      <w:r w:rsidR="4D289C58">
        <w:t>, kus suures osas tühjana seisvad majad valmistavad probleeme majas püsivalt elavatele inimestele. Kuigi seaduse järgi peab korteri omanik tagama piisava kütte ja õhuniiskuse, ei ole alati selge, kuidas seda nõuet praktikas kontrollida. Riigikohtu lahendid kinnitavad, et kütmine on korteriomaniku kohustus, kuid selle rakendamine tekitab ühistutele sageli keerulisi vaidlusi.</w:t>
      </w:r>
    </w:p>
    <w:p w14:paraId="2106E287" w14:textId="613D4473" w:rsidR="005766E6" w:rsidRPr="00E14EBC" w:rsidRDefault="4E440EBC" w:rsidP="00D96800">
      <w:pPr>
        <w:pStyle w:val="TableTitle"/>
      </w:pPr>
      <w:bookmarkStart w:id="122" w:name="_Toc197718078"/>
      <w:r w:rsidRPr="00E14EBC">
        <w:t>Turismivaldkonna arendamine</w:t>
      </w:r>
      <w:bookmarkEnd w:id="122"/>
    </w:p>
    <w:p w14:paraId="77EF0614" w14:textId="468CCEAC" w:rsidR="004750EC" w:rsidRPr="00E14EBC" w:rsidRDefault="293C068D" w:rsidP="005D27FF">
      <w:pPr>
        <w:jc w:val="both"/>
      </w:pPr>
      <w:r w:rsidRPr="00E14EBC">
        <w:t xml:space="preserve">Turismivaldkonna arendajate hinnangul osutavad </w:t>
      </w:r>
      <w:r w:rsidR="00473809" w:rsidRPr="00E14EBC">
        <w:t>lühiajalise üüri teenuse</w:t>
      </w:r>
      <w:r w:rsidRPr="00E14EBC">
        <w:t xml:space="preserve"> pakkujad majutusteenust, konkureerides samal turul koos kõikide teiste majutuse pakkujatega. Seega </w:t>
      </w:r>
      <w:r w:rsidRPr="00AA7187">
        <w:rPr>
          <w:b/>
        </w:rPr>
        <w:t>peaksid neile samuti kehtima majutusteenuse osutamisega kaasnevad ohutuse</w:t>
      </w:r>
      <w:r w:rsidR="00FE69FF" w:rsidRPr="00AA7187">
        <w:rPr>
          <w:b/>
          <w:bCs/>
        </w:rPr>
        <w:t>,</w:t>
      </w:r>
      <w:r w:rsidRPr="00AA7187">
        <w:rPr>
          <w:b/>
        </w:rPr>
        <w:t xml:space="preserve"> </w:t>
      </w:r>
      <w:r w:rsidRPr="00AA7187">
        <w:rPr>
          <w:b/>
        </w:rPr>
        <w:lastRenderedPageBreak/>
        <w:t>turvalisuse, hügieeni jm nõuded</w:t>
      </w:r>
      <w:r w:rsidRPr="00E14EBC">
        <w:t>, vältimaks ebavõrdset kohtlemist ja soodustamaks ausat konkurentsi.</w:t>
      </w:r>
    </w:p>
    <w:p w14:paraId="5DA5912A" w14:textId="021D754D" w:rsidR="00885941" w:rsidRPr="00E14EBC" w:rsidRDefault="51AEDA9D" w:rsidP="293C068D">
      <w:pPr>
        <w:jc w:val="both"/>
      </w:pPr>
      <w:r>
        <w:t>Teisalt ei tunneta intervjuudes osale</w:t>
      </w:r>
      <w:r w:rsidR="197990A0">
        <w:t>nud</w:t>
      </w:r>
      <w:r>
        <w:t xml:space="preserve">, et </w:t>
      </w:r>
      <w:r w:rsidR="249EC162">
        <w:t>lühiajalise üüri teenuse</w:t>
      </w:r>
      <w:r>
        <w:t xml:space="preserve"> näol pakutava</w:t>
      </w:r>
      <w:r w:rsidR="0AA2A58A">
        <w:t>d</w:t>
      </w:r>
      <w:r>
        <w:t xml:space="preserve"> majutusteenuse</w:t>
      </w:r>
      <w:r w:rsidR="0AA2A58A">
        <w:t>d</w:t>
      </w:r>
      <w:r>
        <w:t xml:space="preserve"> oleks probleem. Pigem on tegu </w:t>
      </w:r>
      <w:r w:rsidRPr="288A3578">
        <w:rPr>
          <w:b/>
          <w:bCs/>
        </w:rPr>
        <w:t>alternatiivse lahenduse</w:t>
      </w:r>
      <w:r w:rsidR="56609B23" w:rsidRPr="288A3578">
        <w:rPr>
          <w:b/>
          <w:bCs/>
        </w:rPr>
        <w:t>n</w:t>
      </w:r>
      <w:r w:rsidRPr="288A3578">
        <w:rPr>
          <w:b/>
          <w:bCs/>
        </w:rPr>
        <w:t>a</w:t>
      </w:r>
      <w:r>
        <w:t xml:space="preserve"> </w:t>
      </w:r>
      <w:r w:rsidR="0AA2A58A">
        <w:t>sellisele</w:t>
      </w:r>
      <w:r>
        <w:t xml:space="preserve"> </w:t>
      </w:r>
      <w:r w:rsidR="7FB4E18E">
        <w:t>kli</w:t>
      </w:r>
      <w:r w:rsidR="5E0365D4">
        <w:t>e</w:t>
      </w:r>
      <w:r w:rsidR="7FB4E18E">
        <w:t>ntide</w:t>
      </w:r>
      <w:r>
        <w:t xml:space="preserve"> segmendile, kes ei eelistagi hotelle või otsivad vaheldust. Näiteks soovivad </w:t>
      </w:r>
      <w:r w:rsidR="3C9A3AAB">
        <w:t xml:space="preserve">nad </w:t>
      </w:r>
      <w:r>
        <w:t xml:space="preserve">külastada looduslähedasi piirkondi väljaspool suuremaid keskuseid. Viimast </w:t>
      </w:r>
      <w:r w:rsidR="0174B25C">
        <w:t xml:space="preserve">võib näha </w:t>
      </w:r>
      <w:r>
        <w:t>eriti siseturistide puhul, kuna välisturist tundub eelistavat pigem teenindusega majutust, kus on võimalik osa saada ka kohalikest maitsetest ja kultuurist.</w:t>
      </w:r>
    </w:p>
    <w:p w14:paraId="1E75F570" w14:textId="4B2FD57F" w:rsidR="008537EA" w:rsidRPr="00E14EBC" w:rsidRDefault="2F431F55" w:rsidP="005D27FF">
      <w:pPr>
        <w:jc w:val="both"/>
      </w:pPr>
      <w:r>
        <w:t xml:space="preserve">Turismivaldkonna arendajate sõnul on </w:t>
      </w:r>
      <w:r w:rsidRPr="288A3578">
        <w:rPr>
          <w:b/>
          <w:bCs/>
        </w:rPr>
        <w:t>teg</w:t>
      </w:r>
      <w:r w:rsidR="4C402AA3" w:rsidRPr="288A3578">
        <w:rPr>
          <w:b/>
          <w:bCs/>
        </w:rPr>
        <w:t>u</w:t>
      </w:r>
      <w:r w:rsidRPr="288A3578">
        <w:rPr>
          <w:b/>
          <w:bCs/>
        </w:rPr>
        <w:t xml:space="preserve"> pigem tõmbekeskuste probleemiga</w:t>
      </w:r>
      <w:r>
        <w:t>, kus üüriturg on aktiivne ja säärane teenus võib tekitada erinevaid sotsiaalseid pingeid. Eeskätt Tallinna</w:t>
      </w:r>
      <w:r w:rsidR="1DE3900A">
        <w:t xml:space="preserve"> v</w:t>
      </w:r>
      <w:r>
        <w:t>analinn</w:t>
      </w:r>
      <w:r w:rsidR="375F9850">
        <w:t>as on</w:t>
      </w:r>
      <w:r>
        <w:t xml:space="preserve"> see teema tunnetuslikult kõige teravam. Kindlasti ei ole lühiajalise üüri teenus üle-eestiline probleem ega avalda samasugust mõju kõikides regioonides. Kui üldse, räägime me piirkondlikest ja hooajalistest mõjudest ning siinkohal aitaks, kui omavalitsustel oleks võimalus turgu vajaduspõhiselt sekkuda. Praegune seadusandlus seda ei võimalda.</w:t>
      </w:r>
    </w:p>
    <w:p w14:paraId="6631D6B6" w14:textId="0898A3D0" w:rsidR="005766E6" w:rsidRPr="00E14EBC" w:rsidRDefault="4E440EBC" w:rsidP="00D96800">
      <w:pPr>
        <w:pStyle w:val="TableTitle"/>
      </w:pPr>
      <w:bookmarkStart w:id="123" w:name="_Toc197718079"/>
      <w:r w:rsidRPr="00E14EBC">
        <w:t>Järelevalve teostamine</w:t>
      </w:r>
      <w:bookmarkEnd w:id="123"/>
    </w:p>
    <w:p w14:paraId="4CAD93B4" w14:textId="306520F7" w:rsidR="00B4188C" w:rsidRDefault="009474F9" w:rsidP="00B4188C">
      <w:pPr>
        <w:jc w:val="both"/>
      </w:pPr>
      <w:r w:rsidRPr="00E14EBC">
        <w:t xml:space="preserve">Turu toimimise vaates tõid järelevalveasutused välja, et </w:t>
      </w:r>
      <w:r w:rsidRPr="009474F9">
        <w:rPr>
          <w:b/>
          <w:bCs/>
        </w:rPr>
        <w:t>üürituruga seoses on kaebuseid napilt</w:t>
      </w:r>
      <w:r w:rsidRPr="00E14EBC">
        <w:t xml:space="preserve">. Kõikidest järelevalveasutustest, kellelt selle uuringu raames sisendit koguti, puutuvad lühiajalise üüri turuga otseselt kokku ainult kaks: MTA ja </w:t>
      </w:r>
      <w:r w:rsidR="00B01885">
        <w:t>PA</w:t>
      </w:r>
      <w:r w:rsidRPr="00E14EBC">
        <w:t xml:space="preserve">. </w:t>
      </w:r>
    </w:p>
    <w:p w14:paraId="4C072848" w14:textId="07D68B60" w:rsidR="00B34336" w:rsidRPr="00E14EBC" w:rsidRDefault="00576433" w:rsidP="005D27FF">
      <w:pPr>
        <w:jc w:val="both"/>
      </w:pPr>
      <w:r w:rsidRPr="00E14EBC">
        <w:t>Reaalselt lühi</w:t>
      </w:r>
      <w:r w:rsidR="004B1F3E" w:rsidRPr="00E14EBC">
        <w:t>aj</w:t>
      </w:r>
      <w:r w:rsidRPr="00E14EBC">
        <w:t>alise üüri teenus</w:t>
      </w:r>
      <w:r w:rsidR="00741046" w:rsidRPr="00E14EBC">
        <w:t xml:space="preserve">e </w:t>
      </w:r>
      <w:r w:rsidR="004B1F3E" w:rsidRPr="00E14EBC">
        <w:t>osutajate</w:t>
      </w:r>
      <w:r w:rsidR="00741046" w:rsidRPr="00E14EBC">
        <w:t xml:space="preserve"> puhul </w:t>
      </w:r>
      <w:r w:rsidR="007A3F2C" w:rsidRPr="00E14EBC">
        <w:t xml:space="preserve">väga </w:t>
      </w:r>
      <w:r w:rsidR="00741046" w:rsidRPr="00E14EBC">
        <w:t xml:space="preserve">suurt maksutulu deklareerimise kohustuse vältimist ei </w:t>
      </w:r>
      <w:r w:rsidR="293C068D" w:rsidRPr="00E14EBC">
        <w:t xml:space="preserve">täheldata. </w:t>
      </w:r>
      <w:r w:rsidR="00F63854" w:rsidRPr="00E14EBC">
        <w:t>Probleeme küll esineb, kuid a</w:t>
      </w:r>
      <w:r w:rsidR="00B34B30" w:rsidRPr="00E14EBC">
        <w:t>rvestades ühelt poolt</w:t>
      </w:r>
      <w:r w:rsidR="00535D94" w:rsidRPr="00E14EBC">
        <w:t xml:space="preserve"> kogu maksukahju ning </w:t>
      </w:r>
      <w:r w:rsidR="00B34B30" w:rsidRPr="00E14EBC">
        <w:t xml:space="preserve">teiselt poolt suhteliselt suurt </w:t>
      </w:r>
      <w:r w:rsidR="006B1D09" w:rsidRPr="00E14EBC">
        <w:t>deklareeritud üür</w:t>
      </w:r>
      <w:r w:rsidR="00F63854" w:rsidRPr="00E14EBC">
        <w:t>i</w:t>
      </w:r>
      <w:r w:rsidR="00535D94" w:rsidRPr="00E14EBC">
        <w:t>tulu</w:t>
      </w:r>
      <w:r w:rsidR="00F63854" w:rsidRPr="00E14EBC">
        <w:t xml:space="preserve"> mahtu</w:t>
      </w:r>
      <w:r w:rsidR="00B34B30" w:rsidRPr="00E14EBC">
        <w:t xml:space="preserve">, siis </w:t>
      </w:r>
      <w:r w:rsidR="005D2266" w:rsidRPr="00E14EBC">
        <w:t>hinnataks</w:t>
      </w:r>
      <w:r w:rsidR="00435174" w:rsidRPr="00E14EBC">
        <w:t>e</w:t>
      </w:r>
      <w:r w:rsidR="005D2266" w:rsidRPr="00E14EBC">
        <w:t xml:space="preserve"> lühiajalise üürimise tõttu</w:t>
      </w:r>
      <w:r w:rsidR="293C068D" w:rsidRPr="00E14EBC">
        <w:t xml:space="preserve"> </w:t>
      </w:r>
      <w:r w:rsidR="00142F84" w:rsidRPr="00E14EBC">
        <w:t xml:space="preserve">võimalikku </w:t>
      </w:r>
      <w:r w:rsidR="00142F84" w:rsidRPr="00707011">
        <w:rPr>
          <w:b/>
        </w:rPr>
        <w:t>deklareerimata</w:t>
      </w:r>
      <w:r w:rsidR="293C068D" w:rsidRPr="00707011">
        <w:rPr>
          <w:b/>
        </w:rPr>
        <w:t xml:space="preserve"> </w:t>
      </w:r>
      <w:r w:rsidR="005D2266" w:rsidRPr="00707011">
        <w:rPr>
          <w:b/>
        </w:rPr>
        <w:t>jäänu</w:t>
      </w:r>
      <w:r w:rsidR="00142F84" w:rsidRPr="00707011">
        <w:rPr>
          <w:b/>
        </w:rPr>
        <w:t xml:space="preserve">d </w:t>
      </w:r>
      <w:r w:rsidR="293C068D" w:rsidRPr="00707011">
        <w:rPr>
          <w:b/>
        </w:rPr>
        <w:t xml:space="preserve">tulu </w:t>
      </w:r>
      <w:r w:rsidR="00142F84" w:rsidRPr="00707011">
        <w:rPr>
          <w:b/>
        </w:rPr>
        <w:t xml:space="preserve">ja käibemaksu </w:t>
      </w:r>
      <w:r w:rsidR="293C068D" w:rsidRPr="00707011">
        <w:rPr>
          <w:b/>
        </w:rPr>
        <w:t xml:space="preserve">olemasolevate andmete põhjal </w:t>
      </w:r>
      <w:r w:rsidR="005D2266" w:rsidRPr="00707011">
        <w:rPr>
          <w:b/>
        </w:rPr>
        <w:t>pigem väheseks</w:t>
      </w:r>
      <w:r w:rsidR="293C068D" w:rsidRPr="00E14EBC">
        <w:t>.</w:t>
      </w:r>
      <w:r w:rsidR="003A3571" w:rsidRPr="00E14EBC">
        <w:t xml:space="preserve"> Rohkem esineb olukordi, kus </w:t>
      </w:r>
      <w:r w:rsidR="00AB546F" w:rsidRPr="00E14EBC">
        <w:t>isiklik</w:t>
      </w:r>
      <w:r w:rsidR="00292E79" w:rsidRPr="00E14EBC">
        <w:t>e</w:t>
      </w:r>
      <w:r w:rsidR="00AB546F" w:rsidRPr="00E14EBC">
        <w:t xml:space="preserve"> kulude optimeerimise </w:t>
      </w:r>
      <w:r w:rsidR="003A3571" w:rsidRPr="00E14EBC">
        <w:t xml:space="preserve">eesmärgil </w:t>
      </w:r>
      <w:r w:rsidR="00AB546F" w:rsidRPr="00E14EBC">
        <w:t xml:space="preserve">näidatakse, et tegemist on majutusteenuse </w:t>
      </w:r>
      <w:r w:rsidR="00CE7C9D" w:rsidRPr="00E14EBC">
        <w:t xml:space="preserve">osutamiseks </w:t>
      </w:r>
      <w:r w:rsidR="005A78F0" w:rsidRPr="00E14EBC">
        <w:t>käibemaksu</w:t>
      </w:r>
      <w:r w:rsidR="006406F2" w:rsidRPr="00E14EBC">
        <w:t>kohustuslaseks</w:t>
      </w:r>
      <w:r w:rsidR="005A78F0" w:rsidRPr="00E14EBC">
        <w:t xml:space="preserve"> regist</w:t>
      </w:r>
      <w:r w:rsidR="006406F2" w:rsidRPr="00E14EBC">
        <w:t xml:space="preserve">reeritud </w:t>
      </w:r>
      <w:r w:rsidR="00CE7C9D" w:rsidRPr="00E14EBC">
        <w:t xml:space="preserve">ettevõtte nimel tehtud </w:t>
      </w:r>
      <w:r w:rsidR="00C73A00" w:rsidRPr="00E14EBC">
        <w:t>kuludega (nt kinnisvara soetamine, remonti</w:t>
      </w:r>
      <w:r w:rsidR="00CC5745" w:rsidRPr="00E14EBC">
        <w:t xml:space="preserve">mine, sisustuse </w:t>
      </w:r>
      <w:r w:rsidR="00977E0A" w:rsidRPr="00E14EBC">
        <w:t>ostmine</w:t>
      </w:r>
      <w:r w:rsidR="00CC5745" w:rsidRPr="00E14EBC">
        <w:t xml:space="preserve"> jms)</w:t>
      </w:r>
      <w:r w:rsidR="00861482" w:rsidRPr="00E14EBC">
        <w:t xml:space="preserve">, millest </w:t>
      </w:r>
      <w:r w:rsidR="00503FBC" w:rsidRPr="0051727F">
        <w:rPr>
          <w:b/>
        </w:rPr>
        <w:t>deklareeritakse sisendkäibemaksu</w:t>
      </w:r>
      <w:r w:rsidR="00503FBC" w:rsidRPr="00E14EBC">
        <w:t>, kuid tegelikkuses kasutat</w:t>
      </w:r>
      <w:r w:rsidR="00977E0A" w:rsidRPr="00E14EBC">
        <w:t>akse korterit või maja enda elukohana.</w:t>
      </w:r>
    </w:p>
    <w:p w14:paraId="11D23745" w14:textId="166CB816" w:rsidR="00206849" w:rsidRPr="00E14EBC" w:rsidRDefault="00206849" w:rsidP="00206849">
      <w:pPr>
        <w:jc w:val="both"/>
      </w:pPr>
      <w:r>
        <w:t xml:space="preserve">Tuleohutuse vaatest on peamine mure selles, et </w:t>
      </w:r>
      <w:r w:rsidR="0036344E" w:rsidRPr="1C92C443">
        <w:rPr>
          <w:b/>
          <w:bCs/>
        </w:rPr>
        <w:t>lühiajalise üüri</w:t>
      </w:r>
      <w:r w:rsidR="0036344E">
        <w:t xml:space="preserve"> </w:t>
      </w:r>
      <w:r w:rsidRPr="1C92C443">
        <w:rPr>
          <w:b/>
          <w:bCs/>
        </w:rPr>
        <w:t>majutuskohas viibivad inimesed ei tunne hoonet ega oska sealt vajadusel evakueeruda</w:t>
      </w:r>
      <w:r>
        <w:t xml:space="preserve">. Tuleohutuse järelevalve teostamisel lähtutakse </w:t>
      </w:r>
      <w:r w:rsidR="00C16616">
        <w:t xml:space="preserve">EhS-st </w:t>
      </w:r>
      <w:r>
        <w:t xml:space="preserve">tulevast ehitistele kehtivast tuleohutuse nõuetest. Nõuded omakorda määratakse vastavalt hoone kasutusotstarbele. Seejuures on oluline, et hoone ehitamisel oleks juba teada, mis otstarbega hoonet rajatakse, et oleks võimalik vastavaid ohutusnõudeid arvesse võtta (nt sprinklersüsteemi ei saa tagant järele rajada). Turu toimimise osas on tuleohutuse vaatest peamine kitsaskoht, et ehitusprojekti järgi rajatakse ühe otstarbega hoone, aga </w:t>
      </w:r>
      <w:r w:rsidRPr="1C92C443">
        <w:rPr>
          <w:b/>
          <w:bCs/>
        </w:rPr>
        <w:t xml:space="preserve">hoone tegelik kasutusotstarve on </w:t>
      </w:r>
      <w:r w:rsidR="00482D2A" w:rsidRPr="1C92C443">
        <w:rPr>
          <w:b/>
          <w:bCs/>
        </w:rPr>
        <w:t>teine</w:t>
      </w:r>
      <w:r>
        <w:t xml:space="preserve">. </w:t>
      </w:r>
    </w:p>
    <w:p w14:paraId="3814AAB2" w14:textId="001B3F18" w:rsidR="00C517D5" w:rsidRPr="002A5BD5" w:rsidRDefault="3F7D42B5" w:rsidP="00C517D5">
      <w:pPr>
        <w:jc w:val="both"/>
      </w:pPr>
      <w:r>
        <w:t xml:space="preserve">Kuna lühiajalise üüri teenust osutatakse ka korteris või majas, mille kasutusotstarbeks on määratud elamu, siis kehtivad seal leebemad nõuded kui mitteelamule (sh majutushoonetele). Enim levinud </w:t>
      </w:r>
      <w:r w:rsidRPr="288A3578">
        <w:rPr>
          <w:b/>
          <w:bCs/>
        </w:rPr>
        <w:t>puudustena toodi välja,</w:t>
      </w:r>
      <w:r>
        <w:t xml:space="preserve"> et elamutes ei ole kohustuslik rajada kahte evakuatsiooni väljapääsu, vanemates elamutes ei ole evakuatsiooniteed tähistatud ning vahel puuduvad </w:t>
      </w:r>
      <w:r>
        <w:lastRenderedPageBreak/>
        <w:t>üüritavates ruumides ka evakuatsiooniplaanid. Selline olukord tekitab riski, kus hoones viibivatel ruume mittetundvatel inimestel (ehk üürnikel) on ohu korral keeruline evakueeruda.</w:t>
      </w:r>
    </w:p>
    <w:p w14:paraId="5C4E6D95" w14:textId="1CE11FE0" w:rsidR="0027725C" w:rsidRPr="00E14EBC" w:rsidRDefault="6EF5E75D" w:rsidP="002A5BD5">
      <w:pPr>
        <w:jc w:val="both"/>
      </w:pPr>
      <w:r>
        <w:t xml:space="preserve">Lühiajalise üüri ja majutusega seotud hoonetest </w:t>
      </w:r>
      <w:r w:rsidRPr="288A3578">
        <w:rPr>
          <w:b/>
          <w:bCs/>
        </w:rPr>
        <w:t xml:space="preserve">kontrollib </w:t>
      </w:r>
      <w:r w:rsidR="00B01885">
        <w:rPr>
          <w:b/>
          <w:bCs/>
        </w:rPr>
        <w:t>PA</w:t>
      </w:r>
      <w:r w:rsidR="00B01885" w:rsidRPr="288A3578">
        <w:rPr>
          <w:b/>
          <w:bCs/>
        </w:rPr>
        <w:t xml:space="preserve"> </w:t>
      </w:r>
      <w:r w:rsidR="00010398">
        <w:rPr>
          <w:b/>
          <w:bCs/>
        </w:rPr>
        <w:t xml:space="preserve">enda riskianalüüsi põhjal üldiselt </w:t>
      </w:r>
      <w:r w:rsidRPr="288A3578">
        <w:rPr>
          <w:b/>
          <w:bCs/>
        </w:rPr>
        <w:t>ainult teise kasutusviisiga hooneid, mis on ametlikud majutushooned</w:t>
      </w:r>
      <w:r>
        <w:t xml:space="preserve">, sealhulgas hotellid, külalistemajad, ühiselamud jms. 2024. aastal kontrollis </w:t>
      </w:r>
      <w:r w:rsidR="00B01885">
        <w:t xml:space="preserve">PA </w:t>
      </w:r>
      <w:r>
        <w:t xml:space="preserve">kokku 562 teise kasutusviisiga hoonet, võrdluseks, 2023. aastal kontrolliti 706 ja 2022. aastal 753. </w:t>
      </w:r>
      <w:r w:rsidR="3F7D42B5">
        <w:t xml:space="preserve">Üldiselt </w:t>
      </w:r>
      <w:r w:rsidR="00B01885">
        <w:t xml:space="preserve">PA </w:t>
      </w:r>
      <w:r w:rsidR="00DF6B8C">
        <w:t>kontrollib</w:t>
      </w:r>
      <w:r>
        <w:t xml:space="preserve"> elamuid ehk esimese kasutusviisiga hooneid</w:t>
      </w:r>
      <w:r w:rsidR="00D833C8">
        <w:t xml:space="preserve"> kaebuste põhjal juhtumipõhiselt</w:t>
      </w:r>
      <w:r>
        <w:t>. Tulekahjudest esimese kasutusviisiga hoonetes, kus osutatakse lühiajalise üüri või majutusteenust, on teada 2024. aasta andmetel ainult kaks juhtu.</w:t>
      </w:r>
    </w:p>
    <w:p w14:paraId="07556EE7" w14:textId="09913687" w:rsidR="008E2D2A" w:rsidRPr="00E14EBC" w:rsidRDefault="71AD5528" w:rsidP="00690E18">
      <w:pPr>
        <w:jc w:val="both"/>
        <w:rPr>
          <w:highlight w:val="yellow"/>
        </w:rPr>
      </w:pPr>
      <w:r>
        <w:t xml:space="preserve">Muus osas ei </w:t>
      </w:r>
      <w:r w:rsidR="41BEE169">
        <w:t xml:space="preserve">täheldanud </w:t>
      </w:r>
      <w:r w:rsidR="7F571A68">
        <w:t xml:space="preserve">järelevalve asutused, et lühiajalise üüri teenusega seoses esineks probleeme või negatiivseid mõjusid. Küll aga peetakse tarbija vaatest positiivseks, et turul </w:t>
      </w:r>
      <w:r w:rsidR="4BA7C0F4">
        <w:t>on</w:t>
      </w:r>
      <w:r w:rsidR="7F571A68">
        <w:t xml:space="preserve"> mitmesuguseid pakkumisi, millest klient saab valida endale meelepärasema</w:t>
      </w:r>
      <w:r w:rsidR="489C27F8">
        <w:t>,</w:t>
      </w:r>
      <w:r w:rsidR="7F571A68">
        <w:t xml:space="preserve"> lähtudes omale sobivast hinna/kvaliteedi suhtest.</w:t>
      </w:r>
      <w:r w:rsidR="6D7EFA47">
        <w:t xml:space="preserve"> </w:t>
      </w:r>
    </w:p>
    <w:p w14:paraId="5015A0B7" w14:textId="77777777" w:rsidR="00E66BBF" w:rsidRPr="00E14EBC" w:rsidRDefault="00E66BBF" w:rsidP="00700B68">
      <w:pPr>
        <w:pStyle w:val="Heading3"/>
        <w:ind w:left="540"/>
        <w:rPr>
          <w:rFonts w:hint="eastAsia"/>
        </w:rPr>
      </w:pPr>
      <w:bookmarkStart w:id="124" w:name="_Toc197718071"/>
      <w:bookmarkStart w:id="125" w:name="_Toc208991618"/>
      <w:r w:rsidRPr="00E14EBC">
        <w:t>Eesti turuosaliste kogemused turu mahu ja andmete vajaduse kohta</w:t>
      </w:r>
      <w:bookmarkEnd w:id="124"/>
      <w:bookmarkEnd w:id="125"/>
      <w:r w:rsidRPr="00E14EBC">
        <w:t xml:space="preserve"> </w:t>
      </w:r>
    </w:p>
    <w:p w14:paraId="68C37886" w14:textId="7CE0D70A" w:rsidR="00E66BBF" w:rsidRPr="00E14EBC" w:rsidRDefault="2AFDD566" w:rsidP="00E66BBF">
      <w:pPr>
        <w:pStyle w:val="MintBlock"/>
      </w:pPr>
      <w:r>
        <w:t>Eesti turuosaliste</w:t>
      </w:r>
      <w:r w:rsidR="15945598">
        <w:t>, eriti kohalike omavalitsuste</w:t>
      </w:r>
      <w:r>
        <w:t xml:space="preserve"> arvamusel takistab lühiajalise üüri turgu iseloomustavate andmete piiratus ja killustatus </w:t>
      </w:r>
      <w:r w:rsidR="48E863AD" w:rsidRPr="288A3578">
        <w:rPr>
          <w:b/>
          <w:bCs/>
        </w:rPr>
        <w:t xml:space="preserve">turu reguleerimiseks vajalike </w:t>
      </w:r>
      <w:r w:rsidRPr="288A3578">
        <w:rPr>
          <w:b/>
          <w:bCs/>
        </w:rPr>
        <w:t>teadlike otsuste tegemist</w:t>
      </w:r>
      <w:r w:rsidR="15945598" w:rsidRPr="288A3578">
        <w:rPr>
          <w:b/>
          <w:bCs/>
        </w:rPr>
        <w:t>.</w:t>
      </w:r>
      <w:r>
        <w:t xml:space="preserve"> Vajatakse ülevaadet pakutavatest voodikohtadest ja nende täitu</w:t>
      </w:r>
      <w:r w:rsidR="3B16143A">
        <w:t>m</w:t>
      </w:r>
      <w:r>
        <w:t>usest ning teenuse mõjust kohalikele elanikele.</w:t>
      </w:r>
    </w:p>
    <w:p w14:paraId="2DF3AA09" w14:textId="76A608D2" w:rsidR="00E66BBF" w:rsidRPr="00E14EBC" w:rsidRDefault="00E66BBF" w:rsidP="00E66BBF">
      <w:pPr>
        <w:jc w:val="both"/>
      </w:pPr>
      <w:r w:rsidRPr="00E14EBC">
        <w:t xml:space="preserve">Intervjuudes osalenud kohalikud omavalitsused ja piirkondlikud turismi edendamise organisatsioonid tõid intervjuudes kitsaskohana välja, et neil on turu mahu ja mõjude hindamiseks vähe andmeid. Olemasolevad allikad on piiratud ja teadmised turu toimimisest killustunud. On küll rahvusvahelisi platvorme ja uuringuid, mis annavad mingit aimu turu toimimisest, samuti mobiilpositsioneerimise andmeid, mis võimaldavad hinnata külastajate arvu, kes ei ööbi ametlikes majutusasutustes, kuid need </w:t>
      </w:r>
      <w:r w:rsidRPr="000B6CA9">
        <w:rPr>
          <w:b/>
        </w:rPr>
        <w:t>andmed ei ole täpsed ega ammendavad</w:t>
      </w:r>
      <w:r w:rsidRPr="00E14EBC">
        <w:t xml:space="preserve">. </w:t>
      </w:r>
      <w:r w:rsidR="00FC095C">
        <w:t>Omavalitsused on enamasti</w:t>
      </w:r>
      <w:r w:rsidRPr="00E14EBC">
        <w:t xml:space="preserve"> teadlikud</w:t>
      </w:r>
      <w:r w:rsidR="00817A75">
        <w:t xml:space="preserve"> SA </w:t>
      </w:r>
      <w:r w:rsidRPr="00E14EBC">
        <w:t xml:space="preserve">ja MTA kogutavatest andmetest, kuid </w:t>
      </w:r>
      <w:r w:rsidR="00FC095C">
        <w:rPr>
          <w:b/>
        </w:rPr>
        <w:t>nendele andmetele</w:t>
      </w:r>
      <w:r w:rsidR="00FC095C" w:rsidRPr="000B6CA9">
        <w:rPr>
          <w:b/>
        </w:rPr>
        <w:t xml:space="preserve"> </w:t>
      </w:r>
      <w:r w:rsidRPr="000B6CA9">
        <w:rPr>
          <w:b/>
        </w:rPr>
        <w:t>puudub ligipääs</w:t>
      </w:r>
      <w:r w:rsidRPr="00E14EBC">
        <w:t xml:space="preserve">. </w:t>
      </w:r>
      <w:r w:rsidR="00FC095C">
        <w:t xml:space="preserve">Teistest põhjalikumat ülevaadet enda piirkonnas </w:t>
      </w:r>
      <w:r w:rsidR="00B57332">
        <w:t xml:space="preserve">lühiajalise üüri turu toimimisest </w:t>
      </w:r>
      <w:r w:rsidR="00217857">
        <w:t>omab</w:t>
      </w:r>
      <w:r w:rsidR="00B57332">
        <w:t xml:space="preserve"> Tallinna linn, kes on turu analüüsimiseks kasutanud ka </w:t>
      </w:r>
      <w:r w:rsidR="00217857">
        <w:t>SA, L</w:t>
      </w:r>
      <w:r w:rsidR="00906459">
        <w:t>ighthouse jms andmeid.</w:t>
      </w:r>
      <w:r w:rsidR="00B57332">
        <w:t xml:space="preserve"> </w:t>
      </w:r>
    </w:p>
    <w:p w14:paraId="77CEF0AF" w14:textId="6893DBA1" w:rsidR="00E66BBF" w:rsidRPr="00E14EBC" w:rsidRDefault="2AFDD566" w:rsidP="003F33EF">
      <w:pPr>
        <w:jc w:val="both"/>
      </w:pPr>
      <w:r>
        <w:t>Omavalitsuste hinnangul on suurim vajadus ülevaate järgi sellest, kui palju voodikohti lühiajalise üüri teenusena pakutakse ja kui suur on nende täitu</w:t>
      </w:r>
      <w:r w:rsidR="5E57C350">
        <w:t>m</w:t>
      </w:r>
      <w:r>
        <w:t xml:space="preserve">us. Samuti on oluline teada, kuidas teenuste pakkumine mõjutab kohalikke elanikke. </w:t>
      </w:r>
      <w:r w:rsidR="498EFDD4">
        <w:t>E</w:t>
      </w:r>
      <w:r>
        <w:t xml:space="preserve">riti turistidele atraktiivsemates piirkondades (nt kesk- ja vanalinn), kus soovitakse suurendada püsielanike arvu, puudub selge teadmine, kas püsielanike vähesuse põhjuseks on turistide osakaal või pigem tühjana seisvad korterid, mida kohalikud inimesed ei üüri näiteks kõrge hinna tõttu. Enamikel intervjuudel osalenud kohalikel </w:t>
      </w:r>
      <w:r w:rsidRPr="288A3578">
        <w:rPr>
          <w:b/>
          <w:bCs/>
        </w:rPr>
        <w:t>omavalitsustel ei ole hetkel plaani ise andmeid koguda</w:t>
      </w:r>
      <w:r>
        <w:t xml:space="preserve">, kuid kui ligipääs olemasolevatele andmebaasidele oleks võimalik, kasutaksid nii kohalikud omavalitsused kui turismiorganisatsioonid andmeid kindlasti oma otsustes ja statistika tegemiseks. </w:t>
      </w:r>
    </w:p>
    <w:p w14:paraId="58F46C79" w14:textId="56225B7A" w:rsidR="00E66BBF" w:rsidRPr="00E14EBC" w:rsidRDefault="2AFDD566" w:rsidP="00E66BBF">
      <w:pPr>
        <w:jc w:val="both"/>
      </w:pPr>
      <w:r w:rsidRPr="00E14EBC">
        <w:lastRenderedPageBreak/>
        <w:t xml:space="preserve">Mõnes linnas on </w:t>
      </w:r>
      <w:r w:rsidRPr="288A3578">
        <w:rPr>
          <w:b/>
          <w:bCs/>
        </w:rPr>
        <w:t>tehtud konkreetse kitsama fookusega uuringuid</w:t>
      </w:r>
      <w:r w:rsidRPr="00E14EBC">
        <w:t xml:space="preserve"> üürihindade kohta ning </w:t>
      </w:r>
      <w:r w:rsidRPr="288A3578">
        <w:rPr>
          <w:b/>
          <w:bCs/>
        </w:rPr>
        <w:t>proovitud koguda statistikat</w:t>
      </w:r>
      <w:r w:rsidRPr="00E14EBC">
        <w:t xml:space="preserve"> lühiajalise üüri teenuste pakkumiste kohta. Näiteks Tartus koguti selliseid andmeid enne ansambel Metallica kontserti 2019. aastal. Tulemustest selgus, et pärast kontserdi avalikku väljakuulutamist kasvas lühiajaliste üüripindade pakkumiste arv ürituse toimumise ajaks hüppeliselt. Tallinn on koostöös Colliers Balticsiga teinud ülevaate lühiajaliselt üüri turust</w:t>
      </w:r>
      <w:r w:rsidR="00E66BBF" w:rsidRPr="00E14EBC">
        <w:rPr>
          <w:rStyle w:val="FootnoteReference"/>
        </w:rPr>
        <w:footnoteReference w:id="120"/>
      </w:r>
      <w:r w:rsidRPr="00E14EBC">
        <w:t xml:space="preserve">, mille kohta on täpsemaid andmeid võimalik leida peatükist </w:t>
      </w:r>
      <w:r w:rsidR="00D20F7F">
        <w:t>2.</w:t>
      </w:r>
      <w:r w:rsidRPr="00E14EBC">
        <w:t xml:space="preserve"> </w:t>
      </w:r>
    </w:p>
    <w:p w14:paraId="33F24463" w14:textId="0B5D96F8" w:rsidR="00E66BBF" w:rsidRPr="00E14EBC" w:rsidRDefault="2AFDD566" w:rsidP="00E66BBF">
      <w:pPr>
        <w:jc w:val="both"/>
      </w:pPr>
      <w:r>
        <w:t>Turgu iseloomustavate andmete nappust tõid probleemikohana esile samuti intervjueeritud majutusasutused. Nende hinnangul võiks täiendav registreerimise kohustus aidata riigil kui ka omavalitsustel saada esmalt täpsema ülevaate turu mahust ja toimimisest, mille põhjal saab paremini otsustada</w:t>
      </w:r>
      <w:r w:rsidR="0B5CFFC4">
        <w:t>,</w:t>
      </w:r>
      <w:r>
        <w:t xml:space="preserve"> kas ja milliseid täiendavaid regulatsioone on vaja kehtestada.</w:t>
      </w:r>
    </w:p>
    <w:p w14:paraId="7036490D" w14:textId="77777777" w:rsidR="00E66BBF" w:rsidRPr="00E14EBC" w:rsidRDefault="00E66BBF" w:rsidP="00E66BBF">
      <w:pPr>
        <w:jc w:val="both"/>
      </w:pPr>
      <w:r w:rsidRPr="00E14EBC">
        <w:t xml:space="preserve">Lühiajalise üüri turg on regulatsioonide puudumise tõttu halvasti kaardistatud ka kinnisvaraarendajate ning korteriühistute esindajate hinnangul. Nad märgivad, et kinnisvaraturg on investeerimisprojektide keskne, eriti turismipiirkondades. Näiteks Pärnus ja Tallinnas on eraldi arendused, kus kortereid müüakse spetsiaalselt lühiajaliseks üürimiseks, kuid </w:t>
      </w:r>
      <w:r w:rsidRPr="00C6066F">
        <w:rPr>
          <w:b/>
        </w:rPr>
        <w:t>puudub ülevaade, kui palju neid tegelikult välja üüritakse</w:t>
      </w:r>
      <w:r w:rsidRPr="00E14EBC">
        <w:t xml:space="preserve">. Eestis on ligikaudu 25 000 korteriühistut, kuid ei ole teada, milline on lühiajaliseks üürimiseks antud korterite osakaal kogu korterite arvust. </w:t>
      </w:r>
    </w:p>
    <w:p w14:paraId="6D9D75AD" w14:textId="7DFF0998" w:rsidR="00E66BBF" w:rsidRDefault="00E66BBF" w:rsidP="00E66BBF">
      <w:pPr>
        <w:jc w:val="both"/>
      </w:pPr>
      <w:r w:rsidRPr="00E14EBC">
        <w:t xml:space="preserve">Lühiajalise üüri teenuse pakkujate sõnul eraldi andmeid nende tegevuse kohta ei koguta rohkem kui </w:t>
      </w:r>
      <w:r w:rsidRPr="001C73DE">
        <w:rPr>
          <w:b/>
        </w:rPr>
        <w:t>platvormide endi poolt</w:t>
      </w:r>
      <w:r w:rsidRPr="00E14EBC">
        <w:t xml:space="preserve">. Vaatamata täpsete andmete puudumisele, oletavad pakkujad </w:t>
      </w:r>
      <w:r w:rsidR="00C6066F">
        <w:t>enda</w:t>
      </w:r>
      <w:r w:rsidRPr="00E14EBC">
        <w:t xml:space="preserve"> turupraktikale tuginedes, et jagamismajanduse osakaal kogu lühiajalise üüri turust jääb alla 10%. </w:t>
      </w:r>
      <w:r w:rsidR="005C5A9F">
        <w:t>Nende</w:t>
      </w:r>
      <w:r w:rsidRPr="00E14EBC">
        <w:t xml:space="preserve"> hinnangul on üle 90% </w:t>
      </w:r>
      <w:r w:rsidR="00FD7C49">
        <w:t>pakkujatest</w:t>
      </w:r>
      <w:r w:rsidRPr="00E14EBC">
        <w:t xml:space="preserve"> professionaalsed majutusteenuse osutajad. </w:t>
      </w:r>
    </w:p>
    <w:p w14:paraId="30EA294E" w14:textId="2AC8A3DB" w:rsidR="00832048" w:rsidRDefault="00C42CBC" w:rsidP="002C1F5D">
      <w:pPr>
        <w:pStyle w:val="Heading3"/>
        <w:ind w:left="540"/>
        <w:rPr>
          <w:rFonts w:hint="eastAsia"/>
        </w:rPr>
      </w:pPr>
      <w:bookmarkStart w:id="126" w:name="_Toc197718064"/>
      <w:bookmarkStart w:id="127" w:name="_Toc208991619"/>
      <w:r>
        <w:t>Eesti tur</w:t>
      </w:r>
      <w:r w:rsidR="00C37D19">
        <w:t>uosaliste a</w:t>
      </w:r>
      <w:r w:rsidR="00A364B8" w:rsidRPr="00E14EBC">
        <w:t xml:space="preserve">rvamused turu reguleerimise </w:t>
      </w:r>
      <w:r w:rsidR="00705E12">
        <w:t xml:space="preserve">vajaduse ja võimaluste </w:t>
      </w:r>
      <w:r w:rsidR="00A364B8" w:rsidRPr="00E14EBC">
        <w:t>kohta</w:t>
      </w:r>
      <w:bookmarkEnd w:id="126"/>
      <w:bookmarkEnd w:id="127"/>
    </w:p>
    <w:p w14:paraId="07A7C801" w14:textId="207A11E7" w:rsidR="00D5616C" w:rsidRDefault="13E2CAA3" w:rsidP="00832048">
      <w:pPr>
        <w:pStyle w:val="MintBlock"/>
      </w:pPr>
      <w:r>
        <w:t>Lühiajalise üüri turu reguleer</w:t>
      </w:r>
      <w:r w:rsidR="6DBB5149">
        <w:t>i</w:t>
      </w:r>
      <w:r>
        <w:t>mise vajaduse</w:t>
      </w:r>
      <w:r w:rsidR="2FD3D10A">
        <w:t xml:space="preserve"> küsimustes sõltus turuosalis</w:t>
      </w:r>
      <w:r>
        <w:t>t</w:t>
      </w:r>
      <w:r w:rsidR="2FD3D10A">
        <w:t xml:space="preserve">e seisukoht sellest, kuidas </w:t>
      </w:r>
      <w:r>
        <w:t>nad</w:t>
      </w:r>
      <w:r w:rsidR="2FD3D10A">
        <w:t xml:space="preserve"> hindas</w:t>
      </w:r>
      <w:r>
        <w:t>id</w:t>
      </w:r>
      <w:r w:rsidR="2FD3D10A">
        <w:t xml:space="preserve"> </w:t>
      </w:r>
      <w:r>
        <w:t>turu</w:t>
      </w:r>
      <w:r w:rsidR="2FD3D10A">
        <w:t xml:space="preserve"> sotsiaal-majanduslikke mõjusid. Mida negatiivsem hinnang mõjudele, seda suuremat vajadust sekkumiseks nähti ja vastupidi. </w:t>
      </w:r>
    </w:p>
    <w:p w14:paraId="71801A9E" w14:textId="77777777" w:rsidR="00D5616C" w:rsidRDefault="00D5616C" w:rsidP="00832048">
      <w:pPr>
        <w:pStyle w:val="MintBlock"/>
      </w:pPr>
    </w:p>
    <w:p w14:paraId="0780B7C8" w14:textId="73C1A005" w:rsidR="00832048" w:rsidRPr="00E14EBC" w:rsidRDefault="00832048" w:rsidP="00832048">
      <w:pPr>
        <w:pStyle w:val="MintBlock"/>
      </w:pPr>
      <w:r w:rsidRPr="00E14EBC">
        <w:t xml:space="preserve">Võimalike lahendustena erinevatele probleemidele pakkus valdav osa turuosalisi, et võiks kehtestada majutusteenuse osutajatele </w:t>
      </w:r>
      <w:r w:rsidRPr="00D5616C">
        <w:rPr>
          <w:b/>
        </w:rPr>
        <w:t>kohustuse end registreerida</w:t>
      </w:r>
      <w:r w:rsidRPr="00E14EBC">
        <w:t xml:space="preserve"> (nt täiendav teenuse osutajaid koondav register) või töötada välja litsentside põhine süsteem (teenuse osutajal peab olema kehtiv tegevusluba). Mitte ükski turuosaline ei toetanud või pigem </w:t>
      </w:r>
      <w:r w:rsidRPr="00D5616C">
        <w:rPr>
          <w:b/>
        </w:rPr>
        <w:t xml:space="preserve">ei pooldanud välisriikide näidetel põhinevaid </w:t>
      </w:r>
      <w:r w:rsidR="6D201C43" w:rsidRPr="3E482406">
        <w:rPr>
          <w:b/>
          <w:bCs/>
        </w:rPr>
        <w:t>range</w:t>
      </w:r>
      <w:r w:rsidR="422B4D0D" w:rsidRPr="3E482406">
        <w:rPr>
          <w:b/>
          <w:bCs/>
        </w:rPr>
        <w:t>i</w:t>
      </w:r>
      <w:r w:rsidR="6D201C43" w:rsidRPr="3E482406">
        <w:rPr>
          <w:b/>
          <w:bCs/>
        </w:rPr>
        <w:t>d</w:t>
      </w:r>
      <w:r w:rsidRPr="00D5616C">
        <w:rPr>
          <w:b/>
        </w:rPr>
        <w:t xml:space="preserve"> piirangud</w:t>
      </w:r>
      <w:r w:rsidRPr="00E14EBC">
        <w:t xml:space="preserve"> (asukohapõhised keelud, korteri arvu piirangud ettevõtte kohta jne). </w:t>
      </w:r>
      <w:r w:rsidR="009C39B4">
        <w:t>Selle seisukoha põhjendusteks toodi läbivalt, et ranged piirangud ei ole</w:t>
      </w:r>
      <w:r w:rsidRPr="00E14EBC">
        <w:t xml:space="preserve"> Eesti konteksti arvestades proportsionaalsed (sh piiraks ettevõtlusvabadust ilma selge põhjuseta), sellest kaotaksid ennekõike ausad teenusepakkujad (kes deklareerivad oma tulud/kulud korrektselt ja tasuvad tööjõumakse) ning </w:t>
      </w:r>
      <w:r w:rsidR="009C50C2">
        <w:t xml:space="preserve">lisaks peeti neid üldiselt </w:t>
      </w:r>
      <w:r w:rsidRPr="00E14EBC">
        <w:t>ebaefektiivse</w:t>
      </w:r>
      <w:r w:rsidR="009C50C2">
        <w:t>teks.</w:t>
      </w:r>
      <w:r w:rsidRPr="00E14EBC">
        <w:t xml:space="preserve"> </w:t>
      </w:r>
    </w:p>
    <w:p w14:paraId="0ECFB5BE" w14:textId="207555A7" w:rsidR="00A364B8" w:rsidRPr="00E14EBC" w:rsidRDefault="2CE00BF2" w:rsidP="00A364B8">
      <w:pPr>
        <w:jc w:val="both"/>
      </w:pPr>
      <w:r>
        <w:t>Kohalike omavalitsuste ja nende turismiga tegeleva</w:t>
      </w:r>
      <w:r w:rsidR="689D7207">
        <w:t>te</w:t>
      </w:r>
      <w:r>
        <w:t xml:space="preserve"> allüksuste hinnangul on lühiajalise üüri teenuste turu arengut takistavaid tegureid vähe, kuna valdkond on hetkel suhteliselt reguleerimata ning tegutsemine on lihtne. Omanikud saavad soovi korral oma kinnisvara välja üürida ilma </w:t>
      </w:r>
      <w:r>
        <w:lastRenderedPageBreak/>
        <w:t>suuremate takistusteta. Mõningaid majanduslikke ja elukeskkondlikke tegureid siiski esineb. Näiteks Pärnus on probleemiks parkimine – kui kinnistul puudub parkimiskoht, on linnatänavatel parkimine kallis, mis muudab ka lühiajalise üüri teenuste hinnastamise keerulisemaks.</w:t>
      </w:r>
    </w:p>
    <w:p w14:paraId="6497859E" w14:textId="655C8361" w:rsidR="00326176" w:rsidRPr="00E14EBC" w:rsidRDefault="00326176" w:rsidP="00326176">
      <w:pPr>
        <w:jc w:val="both"/>
      </w:pPr>
      <w:r w:rsidRPr="00E14EBC">
        <w:t xml:space="preserve">Kohalike omavalitsuste sõnul on lühiajalise üüri teenuste määratlemisel oluline </w:t>
      </w:r>
      <w:r w:rsidRPr="00D64ADC">
        <w:rPr>
          <w:b/>
          <w:bCs/>
        </w:rPr>
        <w:t>leida tasakaal nii ettevõtlusvabaduse kui ka kohalike elanike huvide vahel.</w:t>
      </w:r>
      <w:r w:rsidRPr="00E14EBC">
        <w:t xml:space="preserve"> Kohalikud omavalitsused ja nende turismiga tegelevad allüksused peavad oluliseks, et </w:t>
      </w:r>
      <w:r w:rsidRPr="00D64ADC">
        <w:t>lühiajalise üüri teenus eristuks selgelt eraviisilisest, näiteks sõpradele majutuse pakkumisest.</w:t>
      </w:r>
      <w:r w:rsidRPr="00E14EBC">
        <w:t xml:space="preserve"> </w:t>
      </w:r>
    </w:p>
    <w:p w14:paraId="2FC8359F" w14:textId="1D1B9865" w:rsidR="00044E6E" w:rsidRDefault="00A364B8" w:rsidP="008F4DFF">
      <w:pPr>
        <w:jc w:val="both"/>
      </w:pPr>
      <w:r w:rsidRPr="00E14EBC">
        <w:t xml:space="preserve">Lühiajalise üüri teenuste turu läbipaistvamaks ja õiglasemaks muutmiseks ning turu arengu toetamiseks </w:t>
      </w:r>
      <w:r w:rsidRPr="00973E36">
        <w:rPr>
          <w:b/>
        </w:rPr>
        <w:t>pakkusid omavalitsused välja erinevaid võimalusi</w:t>
      </w:r>
      <w:r w:rsidRPr="00E14EBC">
        <w:t>. Ühe võimalusena nähti</w:t>
      </w:r>
      <w:r w:rsidR="003F12A9" w:rsidRPr="00E14EBC">
        <w:t xml:space="preserve">, et lühiajalise üüri teenuste osutamisega seotud eluruumidele võiksid rakenduda sarnased reeglid nagu praegu kehtivad majutusasutustele, tagamaks võrdse kohtlemise, ausa konkurentsi ja võimaluse teha külastajate kohta statistikat. </w:t>
      </w:r>
      <w:r w:rsidR="00AC640E">
        <w:t>Lisaks</w:t>
      </w:r>
      <w:r w:rsidR="003F12A9" w:rsidRPr="00E14EBC">
        <w:t xml:space="preserve"> võiks kohalik</w:t>
      </w:r>
      <w:r w:rsidR="00AC640E">
        <w:t>ul</w:t>
      </w:r>
      <w:r w:rsidR="003F12A9" w:rsidRPr="00E14EBC">
        <w:t xml:space="preserve"> omavalitsus</w:t>
      </w:r>
      <w:r w:rsidR="00AC640E">
        <w:t>el olla võimalik</w:t>
      </w:r>
      <w:r w:rsidR="003F12A9" w:rsidRPr="00E14EBC">
        <w:t xml:space="preserve"> määrata parkimiskohtade arv ja ligipääsukohad, rakendada kohustust edastada külastajate ja pakutavate voodikohtade andmeid</w:t>
      </w:r>
      <w:r w:rsidR="008F4DFF">
        <w:t>. Alternatiivse lahendusena</w:t>
      </w:r>
      <w:r w:rsidRPr="00E14EBC">
        <w:t xml:space="preserve"> võiksid platvormid, näiteks Airbnb ja Booking, kanda vastutust pakkujate tausta kontrollimise eest. Näiteks võiks platvormidele kehtida nõue, et seal ei pakuta üürimiseks kinnisvara, millel puuduvad kasutusload või mille tuleohutusnõuded ei ole täidetud. </w:t>
      </w:r>
    </w:p>
    <w:p w14:paraId="517C0121" w14:textId="0DCA9524" w:rsidR="00A364B8" w:rsidRPr="00E14EBC" w:rsidRDefault="00E96F84" w:rsidP="00A364B8">
      <w:pPr>
        <w:jc w:val="both"/>
      </w:pPr>
      <w:r>
        <w:t>T</w:t>
      </w:r>
      <w:r w:rsidR="00044E6E">
        <w:t>õdeti</w:t>
      </w:r>
      <w:r w:rsidR="00A364B8" w:rsidRPr="00E14EBC">
        <w:t xml:space="preserve">, et Euroopa linnade praktikas on kasutusel </w:t>
      </w:r>
      <w:r w:rsidR="00044E6E">
        <w:t xml:space="preserve">tõhusaid süsteeme, nagu </w:t>
      </w:r>
      <w:r w:rsidR="00A364B8" w:rsidRPr="00E14EBC">
        <w:t xml:space="preserve">litsentsisüsteemid ja kohapealne kontroll, kuid Eestis ollakse sarnaste nõuete kehtestamise osas skeptilised, kuna </w:t>
      </w:r>
      <w:r w:rsidR="00A364B8" w:rsidRPr="00973E36">
        <w:rPr>
          <w:b/>
        </w:rPr>
        <w:t>kontrolli rakendamine tooks kaasa suure halduskoormuse</w:t>
      </w:r>
      <w:r w:rsidR="00A364B8" w:rsidRPr="00E14EBC">
        <w:t>.</w:t>
      </w:r>
    </w:p>
    <w:p w14:paraId="1D44374A" w14:textId="0107D907" w:rsidR="00A364B8" w:rsidRPr="00E14EBC" w:rsidRDefault="00A364B8" w:rsidP="00A364B8">
      <w:pPr>
        <w:jc w:val="both"/>
      </w:pPr>
      <w:r w:rsidRPr="00E14EBC">
        <w:t>Kohalikud omavalitsused leidsid, et riik ei tohiks lühiajalise üüri teenuste turu reguleerimisel minna äärmustesse</w:t>
      </w:r>
      <w:r w:rsidR="009B10C7">
        <w:t xml:space="preserve"> ning </w:t>
      </w:r>
      <w:r w:rsidR="009B10C7" w:rsidRPr="00B85008">
        <w:rPr>
          <w:b/>
          <w:bCs/>
        </w:rPr>
        <w:t>lühiajalist üürimist ei tohiks piirata</w:t>
      </w:r>
      <w:r w:rsidR="009B10C7" w:rsidRPr="00E14EBC">
        <w:t>, kuid sellega võiks kaasneda kohustus jagada riigi või omavalitsusega andmeid, näiteks külastajate arvu ja lähteriigi kohta, et tagada parem ülevaade turust.</w:t>
      </w:r>
      <w:r w:rsidRPr="00E14EBC">
        <w:t xml:space="preserve"> </w:t>
      </w:r>
      <w:r w:rsidRPr="00BC08CE">
        <w:rPr>
          <w:b/>
        </w:rPr>
        <w:t xml:space="preserve">Liigne reguleerimine võib kahjustada turismi </w:t>
      </w:r>
      <w:r w:rsidRPr="00E14EBC">
        <w:t xml:space="preserve">ja halvendada Eesti konkurentsipositsiooni naaberriikidega võrreldes. Samas ei tohiks ka järelevalvet täielikult vältida, sest hetkel puuduvad täpsed andmed turu toimimise kohta, mis omakorda tekitab ebaausa konkurentsi hotellide ja teiste majutusasutustega. Üheks oluliseks piiriks võiks olla see, et lühiajalist üüri ei tohiks kasutada ärilisel eesmärgil viisil, kus ruumid on soetatud ainult üürimise eesmärgil, samas ka </w:t>
      </w:r>
      <w:r w:rsidRPr="00CC2592">
        <w:rPr>
          <w:b/>
        </w:rPr>
        <w:t>eraisikute võimalust ajutiselt oma kodu välja rentida ei tohiks piirata</w:t>
      </w:r>
      <w:r w:rsidRPr="00E14EBC">
        <w:t>.</w:t>
      </w:r>
    </w:p>
    <w:p w14:paraId="5D09E5BA" w14:textId="63DEF0DE" w:rsidR="00A364B8" w:rsidRPr="00E14EBC" w:rsidRDefault="00AF5C2D" w:rsidP="00A364B8">
      <w:pPr>
        <w:jc w:val="both"/>
      </w:pPr>
      <w:r>
        <w:t xml:space="preserve">Üldiselt leiti, et kohalikel omavalitustel puuduvad </w:t>
      </w:r>
      <w:r w:rsidR="003545AD">
        <w:t xml:space="preserve">praegu </w:t>
      </w:r>
      <w:r>
        <w:t>regulatiivsed võimalused vajadusel tur</w:t>
      </w:r>
      <w:r w:rsidR="00555E27">
        <w:t>u toimimisse sekkuda.</w:t>
      </w:r>
      <w:r>
        <w:t xml:space="preserve"> </w:t>
      </w:r>
      <w:r w:rsidR="006D0681" w:rsidRPr="006D0681">
        <w:t xml:space="preserve">Ühe lahendusena kaalusid mõned omavalitsused </w:t>
      </w:r>
      <w:r w:rsidR="006D0681" w:rsidRPr="00CA6C1F">
        <w:rPr>
          <w:b/>
          <w:bCs/>
        </w:rPr>
        <w:t>turismimaksu kehtestamist</w:t>
      </w:r>
      <w:r w:rsidR="006D0681" w:rsidRPr="006D0681">
        <w:t xml:space="preserve">, </w:t>
      </w:r>
      <w:r w:rsidR="00CA6C1F">
        <w:t>andes</w:t>
      </w:r>
      <w:r w:rsidR="006D0681" w:rsidRPr="006D0681">
        <w:t xml:space="preserve"> selle </w:t>
      </w:r>
      <w:r w:rsidR="00CA6C1F">
        <w:t xml:space="preserve">kogumise </w:t>
      </w:r>
      <w:r w:rsidR="006D0681" w:rsidRPr="006D0681">
        <w:t>kohustuse lühiajalist majutust vahendavate</w:t>
      </w:r>
      <w:r w:rsidR="00CA6C1F">
        <w:t>le</w:t>
      </w:r>
      <w:r w:rsidR="006D0681" w:rsidRPr="006D0681">
        <w:t xml:space="preserve"> platvormide</w:t>
      </w:r>
      <w:r w:rsidR="00CA6C1F">
        <w:t>le</w:t>
      </w:r>
      <w:r w:rsidR="006D0681" w:rsidRPr="006D0681">
        <w:t>, nagu Airbnb ja Booking.com</w:t>
      </w:r>
      <w:r w:rsidR="2CE00BF2">
        <w:t>. Sarnast praktikat on rakendatud välisriikides</w:t>
      </w:r>
      <w:r w:rsidR="00FE3ECB">
        <w:rPr>
          <w:rStyle w:val="FootnoteReference"/>
        </w:rPr>
        <w:footnoteReference w:id="121"/>
      </w:r>
      <w:r w:rsidR="2CE00BF2">
        <w:t xml:space="preserve"> ning intervjueeritute sõnul oleks see heaks alternatiiviks, et saada vähemalt ülevaadet turu ulatusest ja turistide arvust, kes omavalitsuse piirkonda külastavad. </w:t>
      </w:r>
    </w:p>
    <w:p w14:paraId="5FBEF439" w14:textId="0653DF16" w:rsidR="00A364B8" w:rsidRPr="00E14EBC" w:rsidRDefault="2CE00BF2" w:rsidP="00A364B8">
      <w:pPr>
        <w:jc w:val="both"/>
      </w:pPr>
      <w:r>
        <w:t xml:space="preserve">Majutusasutuste hinnangul on oluline </w:t>
      </w:r>
      <w:r w:rsidRPr="288A3578">
        <w:rPr>
          <w:b/>
          <w:bCs/>
        </w:rPr>
        <w:t>regulatsioonides defineerida, et lühiajalise üüri teenuste näol on tegu majutusteenust pakkuva ettevõtluse vormiga</w:t>
      </w:r>
      <w:r>
        <w:t xml:space="preserve">. Probleem seisneb täna </w:t>
      </w:r>
      <w:r>
        <w:lastRenderedPageBreak/>
        <w:t xml:space="preserve">selles, et märkimisväärne osa majutusteenuse osutajatest tegutseb väljaspool majutuse valdkonna regulatsioone. Vormilt defineeritakse end jagamismajandusena, aga sisult pakutakse majutusteenust elukondliku kinnisvara lühiajalise rentimise kaudu. Defineerimine aitaks omakorda seada erinevat tüüpi majutuse osutajad võrdsetele alustele. Näiteks majutusteenust osutavat registreeritud kinnisvaraettevõtet saaks sellisel juhul liigatada </w:t>
      </w:r>
      <w:r w:rsidRPr="288A3578">
        <w:rPr>
          <w:i/>
          <w:iCs/>
        </w:rPr>
        <w:t>apartement</w:t>
      </w:r>
      <w:r>
        <w:t xml:space="preserve">-hotelliks ja korteri lühiajalisele üürile pakkujat külaliskorteri pakkujaks. </w:t>
      </w:r>
    </w:p>
    <w:p w14:paraId="3BAC1EE0" w14:textId="5AA21400" w:rsidR="00A364B8" w:rsidRPr="00E14EBC" w:rsidRDefault="2CE00BF2" w:rsidP="00A364B8">
      <w:pPr>
        <w:jc w:val="both"/>
      </w:pPr>
      <w:r>
        <w:t xml:space="preserve">Lühiajalise üüri teenuste osutajad seevastu ei näe põhjust täiendavate mõistete defineerimiseks, kuna praegu kehtivast TurS-is nimetatud teenuste liikidest piisab. Sisuliselt on lühiajalise üürimise näol pakkujate sõnul tegu külaliskorteritega. Küll aga ollakse nõus sellega, et lühiajalise üüriteenuse pakkujatele võiks </w:t>
      </w:r>
      <w:r w:rsidRPr="288A3578">
        <w:rPr>
          <w:b/>
          <w:bCs/>
        </w:rPr>
        <w:t>rakendada tegevuse registreerimise kohustust</w:t>
      </w:r>
      <w:r>
        <w:t xml:space="preserve">, kuna see </w:t>
      </w:r>
      <w:r w:rsidRPr="288A3578">
        <w:rPr>
          <w:b/>
          <w:bCs/>
        </w:rPr>
        <w:t>aitaks ennetada ebaausa konkurentsi teket</w:t>
      </w:r>
      <w:r>
        <w:t xml:space="preserve">. Selget eelistust registri haldamise osas pakkujatel ei ole, küll aga </w:t>
      </w:r>
      <w:r w:rsidR="63A98548">
        <w:t xml:space="preserve">peaks </w:t>
      </w:r>
      <w:r>
        <w:t>see olema kinnine, et näiteks pahatahtlikud korteriühistu liikmed ei saaks andmete ligi. Samuti tõrjuks registreerimise nõue turult välja hoolimatud ja pahatahtlikud pakkujad. Registreerimise kohustust ei peaks rakendama nendele, kes jagamismajanduse põhimõttest lähtuvalt päriselt pakuvad lühiajaliselt oma kodus majutusteenust.</w:t>
      </w:r>
    </w:p>
    <w:p w14:paraId="55294DFE" w14:textId="66A58B06" w:rsidR="00A364B8" w:rsidRPr="00E14EBC" w:rsidRDefault="00A364B8" w:rsidP="00A364B8">
      <w:pPr>
        <w:jc w:val="both"/>
      </w:pPr>
      <w:r w:rsidRPr="001768E8">
        <w:t xml:space="preserve">Korteriühistud tajuvad lühiajalise üüri teenuste pakkumist kui kasvavat probleemi, kuid hetkel puuduvad nende hinnangul õiguslikud mehhanismid, mis võimaldaksid ühistutel seda tõhusalt reguleerida. </w:t>
      </w:r>
      <w:r w:rsidR="00FF0DFE">
        <w:t>Nende hinnangul p</w:t>
      </w:r>
      <w:r w:rsidRPr="001768E8">
        <w:t xml:space="preserve">raegune õigus võimaldab korteriühistutel </w:t>
      </w:r>
      <w:r w:rsidR="006A4793" w:rsidRPr="001768E8">
        <w:t xml:space="preserve">korterite väljaüürimist </w:t>
      </w:r>
      <w:r w:rsidRPr="001768E8">
        <w:t xml:space="preserve">piirata </w:t>
      </w:r>
      <w:r w:rsidR="00965A88">
        <w:t>kinnistusregist</w:t>
      </w:r>
      <w:r w:rsidR="006A4793">
        <w:t>r</w:t>
      </w:r>
      <w:r w:rsidR="00965A88">
        <w:t xml:space="preserve">isse vastava </w:t>
      </w:r>
      <w:r w:rsidR="006A4793">
        <w:t>kande tegemisega</w:t>
      </w:r>
      <w:r w:rsidR="00965A88">
        <w:t xml:space="preserve"> </w:t>
      </w:r>
      <w:r w:rsidRPr="001768E8">
        <w:t xml:space="preserve">ainult juhul, kui 100% omanikest on selles kokku leppinud. Praktikas on sellise kokkuleppe saavutamine äärmiselt keeruline, mistõttu </w:t>
      </w:r>
      <w:r w:rsidRPr="001768E8">
        <w:rPr>
          <w:b/>
        </w:rPr>
        <w:t>ühistutel puudub reaalne kontroll lühiajalise üüri teenuste üle</w:t>
      </w:r>
      <w:r w:rsidRPr="001768E8">
        <w:t>. Ei ole teada ühtegi juhtumit, kus ühistu oleks sellise kokkuleppe saavutanud ja sellist piirangut kasutanud.</w:t>
      </w:r>
    </w:p>
    <w:p w14:paraId="2CA1E237" w14:textId="53475F46" w:rsidR="00A364B8" w:rsidRPr="00E14EBC" w:rsidRDefault="00A364B8" w:rsidP="00A364B8">
      <w:pPr>
        <w:jc w:val="both"/>
      </w:pPr>
      <w:r w:rsidRPr="00E14EBC">
        <w:t xml:space="preserve">Korteriomanike esindajate hinnangul oleks vaja täpsemaid reegleid määramaks, millal muutub lühiajaline üürimine hotellimajandusega sarnaseks teenuseks ning üüri teenusele rakenduksid majutusasustuse nõuded. Pakuti välja </w:t>
      </w:r>
      <w:r w:rsidRPr="00913CA4">
        <w:rPr>
          <w:b/>
        </w:rPr>
        <w:t>omavalitsuste tasandil kaaluda litsentsi- või registreerimissüsteemi loomist</w:t>
      </w:r>
      <w:r w:rsidRPr="00E14EBC">
        <w:t xml:space="preserve">, kus lühiajalise üüri teenuse osutamiseks oleks vaja kohalikku tegutsemisluba. Tegutsemisloa puudumisel saaks kohalik omavalitsus keelata lühiajalise üüri teenuse pakkumise. Samuti nähakse alternatiivina korteriühistutele suurema otsustusõiguse andmist, võimaldades </w:t>
      </w:r>
      <w:r w:rsidRPr="008D0F94">
        <w:rPr>
          <w:b/>
        </w:rPr>
        <w:t>üldkoosolekul häälteenamusega otsustada</w:t>
      </w:r>
      <w:r w:rsidRPr="00E14EBC">
        <w:t>, kas ja millistel tingimustel on lühiajaline üürimine majas lubatud. Praegu kehtiva õiguse kohaselt on üldkoosolekul sellise piirangu kehtestamine võimalik ainult ühehäälselt, seega ei ole praktikas sisuliselt võimalik sellist kokkulepet saavutada, kui keegi korteriomanikest on enda korteri lühiajalisest üürimisest huvitatud.</w:t>
      </w:r>
    </w:p>
    <w:p w14:paraId="597022C2" w14:textId="279B7703" w:rsidR="00A364B8" w:rsidRPr="00E14EBC" w:rsidRDefault="2CE00BF2" w:rsidP="00A364B8">
      <w:pPr>
        <w:jc w:val="both"/>
      </w:pPr>
      <w:r>
        <w:t xml:space="preserve">Kinnisvarasektori esindajad ei näe vajadust lühiajalise üüri teenuse turgu täiendavalt reguleerida ning nende hinnangul on mitmetahuline kinnisvaraturg pigem </w:t>
      </w:r>
      <w:r w:rsidR="009B4608" w:rsidRPr="009B4608">
        <w:rPr>
          <w:b/>
          <w:bCs/>
        </w:rPr>
        <w:t>positiivse</w:t>
      </w:r>
      <w:r w:rsidR="009B4608" w:rsidRPr="009B4608">
        <w:t xml:space="preserve"> mõjuga. Nad leiavad, et selline turu mitmekesisus toob rohkem kasu kui kahju</w:t>
      </w:r>
      <w:r>
        <w:t>.</w:t>
      </w:r>
    </w:p>
    <w:p w14:paraId="23FD7A0E" w14:textId="77777777" w:rsidR="00A364B8" w:rsidRDefault="00A364B8" w:rsidP="00E66BBF">
      <w:pPr>
        <w:jc w:val="both"/>
      </w:pPr>
    </w:p>
    <w:p w14:paraId="40F00206" w14:textId="528A68EF" w:rsidR="005F0B97" w:rsidRDefault="005F0B97">
      <w:pPr>
        <w:spacing w:before="0" w:line="259" w:lineRule="auto"/>
      </w:pPr>
      <w:r>
        <w:br w:type="page"/>
      </w:r>
    </w:p>
    <w:p w14:paraId="3B83BA7E" w14:textId="77777777" w:rsidR="00D55140" w:rsidRPr="00F87D93" w:rsidRDefault="00D55140" w:rsidP="00CA1F41">
      <w:pPr>
        <w:pStyle w:val="Heading2"/>
        <w:rPr>
          <w:rFonts w:hint="eastAsia"/>
        </w:rPr>
      </w:pPr>
      <w:bookmarkStart w:id="128" w:name="_Toc208991620"/>
      <w:r w:rsidRPr="00F87D93">
        <w:lastRenderedPageBreak/>
        <w:t>Ökonomeetrilise mudeldamise tulemused</w:t>
      </w:r>
      <w:bookmarkEnd w:id="128"/>
    </w:p>
    <w:p w14:paraId="63AD57AC" w14:textId="1EF28E32" w:rsidR="00F46426" w:rsidRPr="005B4D08" w:rsidRDefault="1975A5FC" w:rsidP="00664477">
      <w:pPr>
        <w:pStyle w:val="MintBlock"/>
      </w:pPr>
      <w:r>
        <w:t>Nii lühiajali</w:t>
      </w:r>
      <w:r w:rsidR="783CBE6B">
        <w:t>s</w:t>
      </w:r>
      <w:r>
        <w:t>e üürimise kui ka traditsioonili</w:t>
      </w:r>
      <w:r w:rsidR="72B5C744">
        <w:t>s</w:t>
      </w:r>
      <w:r>
        <w:t>e majutusteenuse kasutamise mahud on viimastel aasta</w:t>
      </w:r>
      <w:r w:rsidR="3080FC9F">
        <w:t>tel</w:t>
      </w:r>
      <w:r>
        <w:t xml:space="preserve"> pärast koroonapandeemiat </w:t>
      </w:r>
      <w:r w:rsidR="23A14B70">
        <w:t>olnud kerges kasvutrendi</w:t>
      </w:r>
      <w:r w:rsidR="450D5E37">
        <w:t>s</w:t>
      </w:r>
      <w:r w:rsidR="23A14B70">
        <w:t xml:space="preserve">. </w:t>
      </w:r>
      <w:r w:rsidR="3884EAAB">
        <w:t>Ö</w:t>
      </w:r>
      <w:r w:rsidR="23A14B70">
        <w:t>konomeetri</w:t>
      </w:r>
      <w:r w:rsidR="74E68E78">
        <w:t>l</w:t>
      </w:r>
      <w:r w:rsidR="23A14B70">
        <w:t>ise mudeldamisega le</w:t>
      </w:r>
      <w:r w:rsidR="28ADD863">
        <w:t xml:space="preserve">idsime tõendeid selle kohta, et </w:t>
      </w:r>
      <w:r w:rsidR="23A14B70">
        <w:t>l</w:t>
      </w:r>
      <w:r w:rsidR="51E32F17">
        <w:t xml:space="preserve">ühiajaline </w:t>
      </w:r>
      <w:r w:rsidR="1B365470">
        <w:t>üürimine on nõudlust traditsioonilises majutussektoris</w:t>
      </w:r>
      <w:r w:rsidR="28ADD863">
        <w:t xml:space="preserve"> mõnevõrra kahandanud</w:t>
      </w:r>
      <w:r w:rsidR="68CD102E">
        <w:t xml:space="preserve">, teatud määral </w:t>
      </w:r>
      <w:r w:rsidR="00FF5D04">
        <w:t>saab sellega seostada</w:t>
      </w:r>
      <w:r w:rsidR="00D7788C">
        <w:t xml:space="preserve"> ka</w:t>
      </w:r>
      <w:r w:rsidR="68CD102E">
        <w:t xml:space="preserve"> traditsiooniliste majutus</w:t>
      </w:r>
      <w:r w:rsidR="000C4B3E">
        <w:t>teenuste pakkumi</w:t>
      </w:r>
      <w:r w:rsidR="00D7788C">
        <w:t>se vähenemist</w:t>
      </w:r>
      <w:r w:rsidR="00E44AD1">
        <w:t>.</w:t>
      </w:r>
      <w:r w:rsidR="00D7788C">
        <w:t xml:space="preserve"> L</w:t>
      </w:r>
      <w:r w:rsidR="65B790B7">
        <w:t xml:space="preserve">ühiajalise üürimise kasv </w:t>
      </w:r>
      <w:r w:rsidR="00D7788C">
        <w:t xml:space="preserve">on mõnevõrra </w:t>
      </w:r>
      <w:r w:rsidR="65B790B7">
        <w:t xml:space="preserve">vähendanud ka aktiivseid pakkumisi </w:t>
      </w:r>
      <w:r w:rsidR="4A05B9BF">
        <w:t xml:space="preserve">eluasemeturul ja suurendanud </w:t>
      </w:r>
      <w:r w:rsidR="5285A752">
        <w:t>eluasemete turuhinda, nii</w:t>
      </w:r>
      <w:r w:rsidR="4A05B9BF">
        <w:t xml:space="preserve"> </w:t>
      </w:r>
      <w:r w:rsidR="5B130059">
        <w:t>üüripakkumiste</w:t>
      </w:r>
      <w:r w:rsidR="4A05B9BF">
        <w:t xml:space="preserve"> kui ka </w:t>
      </w:r>
      <w:r w:rsidR="5B130059">
        <w:t>üüritehingute</w:t>
      </w:r>
      <w:r w:rsidR="008D2805">
        <w:t xml:space="preserve"> puhul</w:t>
      </w:r>
      <w:r w:rsidR="4A05B9BF">
        <w:t>.</w:t>
      </w:r>
      <w:r w:rsidR="76265CEC">
        <w:t xml:space="preserve"> </w:t>
      </w:r>
      <w:r w:rsidR="5B130059">
        <w:t xml:space="preserve">Samas </w:t>
      </w:r>
      <w:r w:rsidR="002707A1">
        <w:t>leidsime</w:t>
      </w:r>
      <w:r w:rsidR="00E35E3C">
        <w:t>, et</w:t>
      </w:r>
      <w:r w:rsidR="5B130059">
        <w:t xml:space="preserve"> lühiajalise üürimise </w:t>
      </w:r>
      <w:r w:rsidR="00E35E3C">
        <w:t>laiem</w:t>
      </w:r>
      <w:r w:rsidR="008D2805">
        <w:t xml:space="preserve"> </w:t>
      </w:r>
      <w:r w:rsidR="5B130059">
        <w:t xml:space="preserve">levik </w:t>
      </w:r>
      <w:r w:rsidR="00E35E3C">
        <w:t>on seotud</w:t>
      </w:r>
      <w:r w:rsidR="002707A1">
        <w:t xml:space="preserve"> väiksema</w:t>
      </w:r>
      <w:r w:rsidR="76265CEC">
        <w:t xml:space="preserve"> registreeritud töötuse</w:t>
      </w:r>
      <w:r w:rsidR="00E35E3C">
        <w:t>ga</w:t>
      </w:r>
      <w:r w:rsidR="0074328F">
        <w:t xml:space="preserve">. </w:t>
      </w:r>
      <w:r w:rsidR="003C2145">
        <w:t>A</w:t>
      </w:r>
      <w:r w:rsidR="0074328F">
        <w:t xml:space="preserve">nalüüs näitas ka, et </w:t>
      </w:r>
      <w:r w:rsidR="00CC5B3F">
        <w:t xml:space="preserve">varavastaste </w:t>
      </w:r>
      <w:r w:rsidR="00037ABA">
        <w:t xml:space="preserve">süütegude </w:t>
      </w:r>
      <w:r w:rsidR="00CC5B3F">
        <w:t>arv</w:t>
      </w:r>
      <w:r w:rsidR="00725490">
        <w:t xml:space="preserve"> on lühiajalise üürimise kasvuga seoses</w:t>
      </w:r>
      <w:r w:rsidR="003C2145">
        <w:t xml:space="preserve"> </w:t>
      </w:r>
      <w:r w:rsidR="00CC5B3F">
        <w:t>vähe</w:t>
      </w:r>
      <w:r w:rsidR="00BE68E0">
        <w:t>nenud</w:t>
      </w:r>
      <w:r w:rsidR="00CC5B3F">
        <w:t xml:space="preserve">, </w:t>
      </w:r>
      <w:r w:rsidR="003C2145">
        <w:t>kuigi</w:t>
      </w:r>
      <w:r w:rsidR="00E22A2E">
        <w:t xml:space="preserve"> tugevat ega </w:t>
      </w:r>
      <w:r w:rsidR="43580ED5">
        <w:t>statistiliselt</w:t>
      </w:r>
      <w:r w:rsidR="00870984">
        <w:t xml:space="preserve"> </w:t>
      </w:r>
      <w:r w:rsidR="001032BE">
        <w:t xml:space="preserve">olulist seost me nende nähtuste vahel </w:t>
      </w:r>
      <w:r w:rsidR="00F46E76">
        <w:t>siiski</w:t>
      </w:r>
      <w:r w:rsidR="001032BE">
        <w:t xml:space="preserve"> ei tuvastanud</w:t>
      </w:r>
      <w:r w:rsidR="43580ED5">
        <w:t>.</w:t>
      </w:r>
    </w:p>
    <w:p w14:paraId="47965841" w14:textId="7FCC9B13" w:rsidR="00D55140" w:rsidRPr="00F87D93" w:rsidRDefault="00D55140" w:rsidP="00D55140">
      <w:pPr>
        <w:rPr>
          <w:rFonts w:ascii="Arial" w:hAnsi="Arial" w:cs="Arial"/>
          <w:color w:val="7030A0"/>
          <w:szCs w:val="24"/>
        </w:rPr>
      </w:pPr>
      <w:r w:rsidRPr="00F87D93">
        <w:rPr>
          <w:rFonts w:ascii="Arial" w:hAnsi="Arial" w:cs="Arial"/>
          <w:color w:val="7030A0"/>
          <w:szCs w:val="24"/>
        </w:rPr>
        <w:t>Seosed traditsioonilise majutussektoriga</w:t>
      </w:r>
    </w:p>
    <w:p w14:paraId="6DC47F57" w14:textId="68E36AEF" w:rsidR="00D55140" w:rsidRDefault="23558E80" w:rsidP="288A3578">
      <w:pPr>
        <w:jc w:val="both"/>
        <w:rPr>
          <w:rFonts w:ascii="Arial" w:hAnsi="Arial" w:cs="Arial"/>
        </w:rPr>
      </w:pPr>
      <w:r w:rsidRPr="288A3578">
        <w:rPr>
          <w:rFonts w:ascii="Arial" w:hAnsi="Arial" w:cs="Arial"/>
        </w:rPr>
        <w:t>Lühiajali</w:t>
      </w:r>
      <w:r w:rsidR="6C80425B" w:rsidRPr="288A3578">
        <w:rPr>
          <w:rFonts w:ascii="Arial" w:hAnsi="Arial" w:cs="Arial"/>
        </w:rPr>
        <w:t>s</w:t>
      </w:r>
      <w:r w:rsidRPr="288A3578">
        <w:rPr>
          <w:rFonts w:ascii="Arial" w:hAnsi="Arial" w:cs="Arial"/>
        </w:rPr>
        <w:t>e üüri teenus</w:t>
      </w:r>
      <w:r w:rsidR="0909028A" w:rsidRPr="288A3578">
        <w:rPr>
          <w:rFonts w:ascii="Arial" w:hAnsi="Arial" w:cs="Arial"/>
        </w:rPr>
        <w:t>e</w:t>
      </w:r>
      <w:r w:rsidRPr="288A3578">
        <w:rPr>
          <w:rFonts w:ascii="Arial" w:hAnsi="Arial" w:cs="Arial"/>
        </w:rPr>
        <w:t xml:space="preserve"> levik peaks eeldatavalt avaldama vahetut mõju teistele majutussektoris tegutsevatele ettevõtetele. Seega esmalt püüdsime leida empiirilisi tõendeid selle kohta, kas ja </w:t>
      </w:r>
      <w:r w:rsidRPr="288A3578">
        <w:rPr>
          <w:rFonts w:ascii="Arial" w:hAnsi="Arial" w:cs="Arial"/>
          <w:b/>
          <w:bCs/>
        </w:rPr>
        <w:t>kuivõrd on lühiajalise üürimise levik traditsioonilist majutussektorit mõjutanud</w:t>
      </w:r>
      <w:r w:rsidRPr="288A3578">
        <w:rPr>
          <w:rFonts w:ascii="Arial" w:hAnsi="Arial" w:cs="Arial"/>
        </w:rPr>
        <w:t xml:space="preserve">. Katsetasime mudeleid erinevate spetsifikatsioonide ning sõltuvate ja sõltumatute muutujatega. Valdavalt tuvastasime tugeva positiivse seose lühiajalise üürimise ja traditsioonilise majutusteenuse mahtude vahel, kuna tegemist on väga tugevas korrelatsioonis olevate nähtustega. Sellise kirjeldava analüüsi pinnalt saaks järeldada, et pigem peegeldavad mõlemad näitajad sarnaseid trende turismi- ja majutussektoris ja olulisel määral teineteist ei ole mõjutatud. Nagu ka joonisel </w:t>
      </w:r>
      <w:r w:rsidR="538911A2" w:rsidRPr="288A3578">
        <w:rPr>
          <w:rFonts w:ascii="Arial" w:hAnsi="Arial" w:cs="Arial"/>
        </w:rPr>
        <w:t>2</w:t>
      </w:r>
      <w:r w:rsidRPr="288A3578">
        <w:rPr>
          <w:rFonts w:ascii="Arial" w:hAnsi="Arial" w:cs="Arial"/>
        </w:rPr>
        <w:t xml:space="preserve"> näidatud, siis hotellisektori ööbimiste maht on pärast Covidi kriisi isegi kiirema tempoga kasvanud kui lühiajaline üürimine. Samas Covidi eelsele tasemele pole veel jõutud, mis võib viidata, et osa turust ehk tarbijatest on lühiajalise üüri teenuse pakkujad siiski endale saanud. </w:t>
      </w:r>
    </w:p>
    <w:p w14:paraId="027C44FE" w14:textId="77777777" w:rsidR="00F42334" w:rsidRPr="00C0423E" w:rsidRDefault="00F42334" w:rsidP="00F42334">
      <w:pPr>
        <w:jc w:val="both"/>
        <w:rPr>
          <w:rFonts w:ascii="Arial" w:hAnsi="Arial" w:cs="Arial"/>
        </w:rPr>
      </w:pPr>
      <w:r w:rsidRPr="3E482406">
        <w:rPr>
          <w:rFonts w:ascii="Arial" w:hAnsi="Arial" w:cs="Arial"/>
        </w:rPr>
        <w:t xml:space="preserve">Seoste modelleerimisel oli peamiseks väljakutseks lahendada endogeensuse probleem, sest ilmselgelt on nii lühiajaline kui ka traditsiooniline majutusturg mõjutatud samadest teguritest ja neid kõiki piisaval määral kontrollida on keeruline ülesanne. Selles uuringus kasutasime endogeensuse vähendamiseks sõltumatu muutujana lühiajalise üüri turu mõõtmisel külastusööde viitajaga väärtust, täpsemalt perioode t-1 kuni t-6 </w:t>
      </w:r>
      <w:r>
        <w:rPr>
          <w:rFonts w:ascii="Arial" w:hAnsi="Arial" w:cs="Arial"/>
        </w:rPr>
        <w:t>väärtuseid.</w:t>
      </w:r>
      <w:r w:rsidRPr="3E482406">
        <w:rPr>
          <w:rFonts w:ascii="Arial" w:hAnsi="Arial" w:cs="Arial"/>
        </w:rPr>
        <w:t xml:space="preserve"> </w:t>
      </w:r>
      <w:r>
        <w:rPr>
          <w:rFonts w:ascii="Arial" w:hAnsi="Arial" w:cs="Arial"/>
        </w:rPr>
        <w:t>V</w:t>
      </w:r>
      <w:r w:rsidRPr="3E482406">
        <w:rPr>
          <w:rFonts w:ascii="Arial" w:hAnsi="Arial" w:cs="Arial"/>
        </w:rPr>
        <w:t>alisime välja nendest statistiliselt olulise viitaja, arvestades ka Aikaike informatsioonikriteeriumi väärtust, milleks osutus periood t-2</w:t>
      </w:r>
      <w:r>
        <w:rPr>
          <w:rFonts w:ascii="Arial" w:hAnsi="Arial" w:cs="Arial"/>
        </w:rPr>
        <w:t xml:space="preserve"> ehk modelleerisime traditsioonilise majutusturu näitajate (täitumus, ööbimised, majutuskohad) seost kahe kuu taguse ööbimiste arvuga lühiajalise üüri turul</w:t>
      </w:r>
      <w:r w:rsidRPr="3E482406">
        <w:rPr>
          <w:rFonts w:ascii="Arial" w:hAnsi="Arial" w:cs="Arial"/>
        </w:rPr>
        <w:t xml:space="preserve">. </w:t>
      </w:r>
    </w:p>
    <w:p w14:paraId="15F8425D" w14:textId="77777777" w:rsidR="0035239A" w:rsidRDefault="0035239A" w:rsidP="288A3578">
      <w:pPr>
        <w:jc w:val="both"/>
        <w:rPr>
          <w:rFonts w:ascii="Arial" w:hAnsi="Arial" w:cs="Arial"/>
        </w:rPr>
      </w:pPr>
    </w:p>
    <w:p w14:paraId="32D4B463" w14:textId="77777777" w:rsidR="0035239A" w:rsidRDefault="0035239A" w:rsidP="288A3578">
      <w:pPr>
        <w:jc w:val="both"/>
        <w:rPr>
          <w:rFonts w:ascii="Arial" w:hAnsi="Arial" w:cs="Arial"/>
        </w:rPr>
      </w:pPr>
    </w:p>
    <w:p w14:paraId="4BCF31E4" w14:textId="77777777" w:rsidR="0035239A" w:rsidRDefault="0035239A" w:rsidP="288A3578">
      <w:pPr>
        <w:jc w:val="both"/>
        <w:rPr>
          <w:rFonts w:ascii="Arial" w:hAnsi="Arial" w:cs="Arial"/>
        </w:rPr>
      </w:pPr>
    </w:p>
    <w:p w14:paraId="011DA543" w14:textId="77777777" w:rsidR="0035239A" w:rsidRDefault="0035239A" w:rsidP="288A3578">
      <w:pPr>
        <w:jc w:val="both"/>
        <w:rPr>
          <w:rFonts w:ascii="Arial" w:hAnsi="Arial" w:cs="Arial"/>
        </w:rPr>
      </w:pPr>
    </w:p>
    <w:p w14:paraId="32A541CE" w14:textId="77777777" w:rsidR="0035239A" w:rsidRDefault="0035239A" w:rsidP="288A3578">
      <w:pPr>
        <w:jc w:val="both"/>
        <w:rPr>
          <w:rFonts w:ascii="Arial" w:hAnsi="Arial" w:cs="Arial"/>
        </w:rPr>
      </w:pPr>
    </w:p>
    <w:p w14:paraId="38555F35" w14:textId="77777777" w:rsidR="0035239A" w:rsidRDefault="0035239A" w:rsidP="288A3578">
      <w:pPr>
        <w:jc w:val="both"/>
        <w:rPr>
          <w:rFonts w:ascii="Arial" w:hAnsi="Arial" w:cs="Arial"/>
        </w:rPr>
      </w:pPr>
    </w:p>
    <w:p w14:paraId="7ED0C9A8" w14:textId="56153D70" w:rsidR="00F06CA2" w:rsidRPr="00C0423E" w:rsidRDefault="00F06CA2" w:rsidP="00D75136">
      <w:pPr>
        <w:pStyle w:val="TableTitle"/>
      </w:pPr>
      <w:r w:rsidRPr="00C0423E">
        <w:lastRenderedPageBreak/>
        <w:t xml:space="preserve">Joonis </w:t>
      </w:r>
      <w:r>
        <w:t>2</w:t>
      </w:r>
      <w:r w:rsidRPr="00C0423E">
        <w:t>. Majutussektori dünaamika</w:t>
      </w:r>
      <w:r w:rsidR="00793396">
        <w:rPr>
          <w:rStyle w:val="FootnoteReference"/>
        </w:rPr>
        <w:footnoteReference w:id="122"/>
      </w:r>
      <w:r w:rsidR="009058F2" w:rsidRPr="00D71D8B">
        <w:rPr>
          <w:vertAlign w:val="superscript"/>
        </w:rPr>
        <w:t>,</w:t>
      </w:r>
      <w:r w:rsidR="009058F2">
        <w:rPr>
          <w:rStyle w:val="FootnoteReference"/>
        </w:rPr>
        <w:footnoteReference w:id="123"/>
      </w:r>
      <w:r w:rsidR="001F64DB" w:rsidRPr="00D71D8B">
        <w:rPr>
          <w:vertAlign w:val="superscript"/>
        </w:rPr>
        <w:t>,</w:t>
      </w:r>
      <w:r w:rsidR="00C11B3D">
        <w:rPr>
          <w:rStyle w:val="FootnoteReference"/>
        </w:rPr>
        <w:footnoteReference w:id="124"/>
      </w:r>
    </w:p>
    <w:p w14:paraId="2656229F" w14:textId="77777777" w:rsidR="00D55140" w:rsidRPr="00C0423E" w:rsidRDefault="00D55140" w:rsidP="5848DE21">
      <w:pPr>
        <w:rPr>
          <w:rFonts w:ascii="Arial" w:hAnsi="Arial" w:cs="Arial"/>
        </w:rPr>
      </w:pPr>
      <w:r w:rsidRPr="00C0423E">
        <w:rPr>
          <w:rFonts w:ascii="Arial" w:hAnsi="Arial" w:cs="Arial"/>
          <w:noProof/>
          <w:szCs w:val="24"/>
        </w:rPr>
        <w:drawing>
          <wp:inline distT="0" distB="0" distL="0" distR="0" wp14:anchorId="6905A732" wp14:editId="613E5ECB">
            <wp:extent cx="6400800" cy="2599981"/>
            <wp:effectExtent l="0" t="0" r="0" b="10160"/>
            <wp:docPr id="520628175" name="Diagramm 1">
              <a:extLst xmlns:a="http://schemas.openxmlformats.org/drawingml/2006/main">
                <a:ext uri="{FF2B5EF4-FFF2-40B4-BE49-F238E27FC236}">
                  <a16:creationId xmlns:a16="http://schemas.microsoft.com/office/drawing/2014/main" id="{307CDCB9-4577-00C4-75A4-B9CD8A80B6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936A1F5" w14:textId="41F77107" w:rsidR="00D55140" w:rsidRPr="00C0423E" w:rsidRDefault="23558E80" w:rsidP="288A3578">
      <w:pPr>
        <w:jc w:val="both"/>
        <w:rPr>
          <w:rFonts w:ascii="Arial" w:hAnsi="Arial" w:cs="Arial"/>
        </w:rPr>
      </w:pPr>
      <w:r w:rsidRPr="1C92C443">
        <w:rPr>
          <w:rFonts w:ascii="Arial" w:hAnsi="Arial" w:cs="Arial"/>
        </w:rPr>
        <w:t xml:space="preserve">Tulemused on esitatud </w:t>
      </w:r>
      <w:r w:rsidR="1EEA4309" w:rsidRPr="1C92C443">
        <w:rPr>
          <w:rFonts w:ascii="Arial" w:hAnsi="Arial" w:cs="Arial"/>
        </w:rPr>
        <w:t xml:space="preserve">järgnevas </w:t>
      </w:r>
      <w:r w:rsidRPr="1C92C443">
        <w:rPr>
          <w:rFonts w:ascii="Arial" w:hAnsi="Arial" w:cs="Arial"/>
        </w:rPr>
        <w:t>tabelis, kus on näidatud kolme erineva mudeli parameetri</w:t>
      </w:r>
      <w:r w:rsidR="002E51B0">
        <w:rPr>
          <w:rFonts w:ascii="Arial" w:hAnsi="Arial" w:cs="Arial"/>
        </w:rPr>
        <w:t>te hinnangud</w:t>
      </w:r>
      <w:r w:rsidR="000D024C">
        <w:rPr>
          <w:rFonts w:ascii="Arial" w:hAnsi="Arial" w:cs="Arial"/>
        </w:rPr>
        <w:t>.</w:t>
      </w:r>
      <w:r w:rsidR="002A284E">
        <w:rPr>
          <w:rStyle w:val="FootnoteReference"/>
          <w:rFonts w:ascii="Arial" w:hAnsi="Arial" w:cs="Arial"/>
        </w:rPr>
        <w:footnoteReference w:id="125"/>
      </w:r>
      <w:r w:rsidRPr="1C92C443">
        <w:rPr>
          <w:rFonts w:ascii="Arial" w:hAnsi="Arial" w:cs="Arial"/>
        </w:rPr>
        <w:t xml:space="preserve"> Mudelite alusel saab järeldada, et nii voodikohtade täitu</w:t>
      </w:r>
      <w:r w:rsidR="05E431BF" w:rsidRPr="1C92C443">
        <w:rPr>
          <w:rFonts w:ascii="Arial" w:hAnsi="Arial" w:cs="Arial"/>
        </w:rPr>
        <w:t>m</w:t>
      </w:r>
      <w:r w:rsidRPr="1C92C443">
        <w:rPr>
          <w:rFonts w:ascii="Arial" w:hAnsi="Arial" w:cs="Arial"/>
        </w:rPr>
        <w:t>us kui ka ööbimiste arv traditsioonilis</w:t>
      </w:r>
      <w:r w:rsidR="62740F1E" w:rsidRPr="1C92C443">
        <w:rPr>
          <w:rFonts w:ascii="Arial" w:hAnsi="Arial" w:cs="Arial"/>
        </w:rPr>
        <w:t>t</w:t>
      </w:r>
      <w:r w:rsidRPr="1C92C443">
        <w:rPr>
          <w:rFonts w:ascii="Arial" w:hAnsi="Arial" w:cs="Arial"/>
        </w:rPr>
        <w:t>es majutusasutustes langeb ligikaudu 0,</w:t>
      </w:r>
      <w:r w:rsidR="00FB5121">
        <w:rPr>
          <w:rFonts w:ascii="Arial" w:hAnsi="Arial" w:cs="Arial"/>
        </w:rPr>
        <w:t>7</w:t>
      </w:r>
      <w:r w:rsidRPr="1C92C443">
        <w:rPr>
          <w:rFonts w:ascii="Arial" w:hAnsi="Arial" w:cs="Arial"/>
        </w:rPr>
        <w:t xml:space="preserve">% </w:t>
      </w:r>
      <w:r w:rsidR="001535CC" w:rsidRPr="1C92C443">
        <w:rPr>
          <w:rFonts w:ascii="Arial" w:hAnsi="Arial" w:cs="Arial"/>
        </w:rPr>
        <w:t xml:space="preserve">lühiajalise üüri turu </w:t>
      </w:r>
      <w:r w:rsidRPr="1C92C443">
        <w:rPr>
          <w:rFonts w:ascii="Arial" w:hAnsi="Arial" w:cs="Arial"/>
        </w:rPr>
        <w:t>külastusööde</w:t>
      </w:r>
      <w:r w:rsidR="007F12B5" w:rsidRPr="1C92C443">
        <w:rPr>
          <w:rFonts w:ascii="Arial" w:hAnsi="Arial" w:cs="Arial"/>
        </w:rPr>
        <w:t xml:space="preserve"> ehk ööbimiste</w:t>
      </w:r>
      <w:r w:rsidRPr="1C92C443">
        <w:rPr>
          <w:rFonts w:ascii="Arial" w:hAnsi="Arial" w:cs="Arial"/>
        </w:rPr>
        <w:t xml:space="preserve"> suurenemisel 1% võrra, majutuskohtade arv aga 0,04%. Seega</w:t>
      </w:r>
      <w:r w:rsidR="4A958CA5" w:rsidRPr="1C92C443">
        <w:rPr>
          <w:rFonts w:ascii="Arial" w:hAnsi="Arial" w:cs="Arial"/>
        </w:rPr>
        <w:t>,</w:t>
      </w:r>
      <w:r w:rsidRPr="1C92C443">
        <w:rPr>
          <w:rFonts w:ascii="Arial" w:hAnsi="Arial" w:cs="Arial"/>
        </w:rPr>
        <w:t xml:space="preserve"> kui nõudlus majutusteenustele nt hotellides jt tavapärastes majutuskohtades reageerib arvestataval määral, siis pakkumine, mida väljendab majutuskohtade arv, on püsinud üsna stabiilsena.</w:t>
      </w:r>
    </w:p>
    <w:p w14:paraId="7FF012C9" w14:textId="5286ED68" w:rsidR="00D55140" w:rsidRDefault="00D55140" w:rsidP="00436BA9">
      <w:pPr>
        <w:pStyle w:val="TableTitle"/>
      </w:pPr>
      <w:r w:rsidRPr="00C0423E">
        <w:t xml:space="preserve">Tabel </w:t>
      </w:r>
      <w:r w:rsidR="00F06CA2">
        <w:t>6</w:t>
      </w:r>
      <w:r w:rsidRPr="00C0423E">
        <w:t>. Traditsiooniliste majutusteenuste nõudluse ja pakkumise sõltuvus lühiajalise üüri turu mahust</w:t>
      </w:r>
      <w:r w:rsidR="001442B2">
        <w:t xml:space="preserve"> 2020-2023</w:t>
      </w:r>
    </w:p>
    <w:tbl>
      <w:tblPr>
        <w:tblStyle w:val="Loetelutabel3rhk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875"/>
        <w:gridCol w:w="1875"/>
        <w:gridCol w:w="1875"/>
        <w:gridCol w:w="1876"/>
      </w:tblGrid>
      <w:tr w:rsidR="004F5F3C" w:rsidRPr="00BD6EA1" w14:paraId="59389E31" w14:textId="77777777" w:rsidTr="00F4233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695" w:type="dxa"/>
            <w:vMerge w:val="restart"/>
          </w:tcPr>
          <w:p w14:paraId="4D29164F" w14:textId="77777777" w:rsidR="009D325D" w:rsidRPr="00BD6EA1" w:rsidRDefault="009D325D" w:rsidP="00A86E7E">
            <w:pPr>
              <w:jc w:val="center"/>
              <w:rPr>
                <w:rFonts w:ascii="Arial" w:eastAsia="Arial" w:hAnsi="Arial" w:cs="Arial"/>
                <w:sz w:val="20"/>
                <w:szCs w:val="20"/>
              </w:rPr>
            </w:pPr>
            <w:r w:rsidRPr="00BD6EA1">
              <w:rPr>
                <w:rFonts w:ascii="Arial" w:eastAsia="Arial" w:hAnsi="Arial" w:cs="Arial"/>
                <w:sz w:val="20"/>
                <w:szCs w:val="20"/>
              </w:rPr>
              <w:t>Muutuja</w:t>
            </w:r>
          </w:p>
        </w:tc>
        <w:tc>
          <w:tcPr>
            <w:tcW w:w="3750" w:type="dxa"/>
            <w:gridSpan w:val="2"/>
          </w:tcPr>
          <w:p w14:paraId="3C49B668" w14:textId="77777777" w:rsidR="009D325D" w:rsidRPr="00BD6EA1" w:rsidRDefault="009D325D"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Koefitsiendid (standardvead)</w:t>
            </w:r>
          </w:p>
        </w:tc>
        <w:tc>
          <w:tcPr>
            <w:tcW w:w="3751" w:type="dxa"/>
            <w:gridSpan w:val="2"/>
          </w:tcPr>
          <w:p w14:paraId="72E78839" w14:textId="77777777" w:rsidR="009D325D" w:rsidRPr="00BD6EA1" w:rsidRDefault="009D325D"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C93EFE" w:rsidRPr="00BD6EA1" w14:paraId="7F7A9F4A" w14:textId="77777777" w:rsidTr="00F42334">
        <w:trPr>
          <w:cnfStyle w:val="100000000000" w:firstRow="1" w:lastRow="0" w:firstColumn="0" w:lastColumn="0" w:oddVBand="0" w:evenVBand="0" w:oddHBand="0" w:evenHBand="0" w:firstRowFirstColumn="0" w:firstRowLastColumn="0" w:lastRowFirstColumn="0" w:lastRowLastColumn="0"/>
          <w:trHeight w:val="613"/>
          <w:tblHeader/>
        </w:trPr>
        <w:tc>
          <w:tcPr>
            <w:cnfStyle w:val="001000000100" w:firstRow="0" w:lastRow="0" w:firstColumn="1" w:lastColumn="0" w:oddVBand="0" w:evenVBand="0" w:oddHBand="0" w:evenHBand="0" w:firstRowFirstColumn="1" w:firstRowLastColumn="0" w:lastRowFirstColumn="0" w:lastRowLastColumn="0"/>
            <w:tcW w:w="2695" w:type="dxa"/>
            <w:vMerge/>
          </w:tcPr>
          <w:p w14:paraId="420459BC" w14:textId="77777777" w:rsidR="009D325D" w:rsidRPr="00BD6EA1" w:rsidRDefault="009D325D" w:rsidP="00A86E7E">
            <w:pPr>
              <w:jc w:val="center"/>
              <w:rPr>
                <w:rFonts w:ascii="Arial" w:eastAsia="Arial" w:hAnsi="Arial" w:cs="Arial"/>
                <w:sz w:val="20"/>
                <w:szCs w:val="20"/>
              </w:rPr>
            </w:pPr>
          </w:p>
        </w:tc>
        <w:tc>
          <w:tcPr>
            <w:tcW w:w="1875" w:type="dxa"/>
            <w:shd w:val="clear" w:color="auto" w:fill="ACAEAC"/>
          </w:tcPr>
          <w:p w14:paraId="3BF368D9" w14:textId="77777777" w:rsidR="009D325D" w:rsidRPr="00985E0F" w:rsidRDefault="009D325D"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985E0F">
              <w:rPr>
                <w:rFonts w:ascii="Arial" w:eastAsia="Arial" w:hAnsi="Arial" w:cs="Arial"/>
                <w:color w:val="auto"/>
                <w:sz w:val="20"/>
                <w:szCs w:val="20"/>
              </w:rPr>
              <w:t>Majutuskohad</w:t>
            </w:r>
          </w:p>
        </w:tc>
        <w:tc>
          <w:tcPr>
            <w:tcW w:w="1875" w:type="dxa"/>
            <w:shd w:val="clear" w:color="auto" w:fill="ACAEAC"/>
          </w:tcPr>
          <w:p w14:paraId="040A27B9" w14:textId="77777777" w:rsidR="009D325D" w:rsidRPr="00985E0F" w:rsidRDefault="009D325D"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985E0F">
              <w:rPr>
                <w:rFonts w:ascii="Arial" w:eastAsia="Arial" w:hAnsi="Arial" w:cs="Arial"/>
                <w:color w:val="auto"/>
                <w:sz w:val="20"/>
                <w:szCs w:val="20"/>
              </w:rPr>
              <w:t>Voodikohad</w:t>
            </w:r>
          </w:p>
        </w:tc>
        <w:tc>
          <w:tcPr>
            <w:tcW w:w="1875" w:type="dxa"/>
            <w:shd w:val="clear" w:color="auto" w:fill="ACAEAC"/>
          </w:tcPr>
          <w:p w14:paraId="14A2A459" w14:textId="0A6DBAC6" w:rsidR="009D325D" w:rsidRPr="00985E0F" w:rsidRDefault="009D325D"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985E0F">
              <w:rPr>
                <w:rFonts w:ascii="Arial" w:eastAsia="Arial" w:hAnsi="Arial" w:cs="Arial"/>
                <w:color w:val="auto"/>
                <w:sz w:val="20"/>
                <w:szCs w:val="20"/>
              </w:rPr>
              <w:t>Voodikohtade täitumus</w:t>
            </w:r>
          </w:p>
        </w:tc>
        <w:tc>
          <w:tcPr>
            <w:tcW w:w="1876" w:type="dxa"/>
            <w:shd w:val="clear" w:color="auto" w:fill="ACAEAC"/>
          </w:tcPr>
          <w:p w14:paraId="3E87B064" w14:textId="77777777" w:rsidR="009D325D" w:rsidRPr="00985E0F" w:rsidRDefault="009D325D"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985E0F">
              <w:rPr>
                <w:rFonts w:ascii="Arial" w:eastAsia="Arial" w:hAnsi="Arial" w:cs="Arial"/>
                <w:color w:val="auto"/>
                <w:sz w:val="20"/>
                <w:szCs w:val="20"/>
              </w:rPr>
              <w:t>Ööbimised</w:t>
            </w:r>
          </w:p>
        </w:tc>
      </w:tr>
      <w:tr w:rsidR="006B1E5D" w:rsidRPr="00BD6EA1" w14:paraId="47997906" w14:textId="77777777" w:rsidTr="00F42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2A78DC4A" w14:textId="77777777" w:rsidR="009D325D" w:rsidRPr="00BD6EA1" w:rsidRDefault="009D325D" w:rsidP="00A86E7E">
            <w:pPr>
              <w:rPr>
                <w:rFonts w:ascii="Arial" w:eastAsia="Arial" w:hAnsi="Arial" w:cs="Arial"/>
                <w:sz w:val="20"/>
                <w:szCs w:val="20"/>
              </w:rPr>
            </w:pPr>
            <w:r w:rsidRPr="00BD6EA1">
              <w:rPr>
                <w:rFonts w:ascii="Arial" w:eastAsia="Arial" w:hAnsi="Arial" w:cs="Arial"/>
                <w:sz w:val="20"/>
                <w:szCs w:val="20"/>
              </w:rPr>
              <w:t>Lühiajaline üürimine (t-2)</w:t>
            </w:r>
          </w:p>
        </w:tc>
        <w:tc>
          <w:tcPr>
            <w:tcW w:w="1875" w:type="dxa"/>
          </w:tcPr>
          <w:p w14:paraId="79A7BB00"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-0,03</w:t>
            </w:r>
            <w:r>
              <w:rPr>
                <w:rFonts w:ascii="Arial" w:eastAsia="Arial" w:hAnsi="Arial" w:cs="Arial"/>
                <w:sz w:val="20"/>
                <w:szCs w:val="20"/>
              </w:rPr>
              <w:t>5</w:t>
            </w:r>
          </w:p>
          <w:p w14:paraId="32BDF114"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(0,016)</w:t>
            </w:r>
          </w:p>
        </w:tc>
        <w:tc>
          <w:tcPr>
            <w:tcW w:w="1875" w:type="dxa"/>
          </w:tcPr>
          <w:p w14:paraId="3BD64C54" w14:textId="77777777" w:rsidR="009D325D"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-0,017</w:t>
            </w:r>
          </w:p>
          <w:p w14:paraId="273B17F8"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(0,014)</w:t>
            </w:r>
          </w:p>
        </w:tc>
        <w:tc>
          <w:tcPr>
            <w:tcW w:w="1875" w:type="dxa"/>
          </w:tcPr>
          <w:p w14:paraId="21135CB0"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-0,</w:t>
            </w:r>
            <w:r>
              <w:rPr>
                <w:rFonts w:ascii="Arial" w:eastAsia="Arial" w:hAnsi="Arial" w:cs="Arial"/>
                <w:sz w:val="20"/>
                <w:szCs w:val="20"/>
              </w:rPr>
              <w:t>746</w:t>
            </w:r>
          </w:p>
          <w:p w14:paraId="7ED78C5F"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(0,1</w:t>
            </w:r>
            <w:r>
              <w:rPr>
                <w:rFonts w:ascii="Arial" w:eastAsia="Arial" w:hAnsi="Arial" w:cs="Arial"/>
                <w:sz w:val="20"/>
                <w:szCs w:val="20"/>
              </w:rPr>
              <w:t>67</w:t>
            </w:r>
            <w:r w:rsidRPr="00BD6EA1">
              <w:rPr>
                <w:rFonts w:ascii="Arial" w:eastAsia="Arial" w:hAnsi="Arial" w:cs="Arial"/>
                <w:sz w:val="20"/>
                <w:szCs w:val="20"/>
              </w:rPr>
              <w:t>)</w:t>
            </w:r>
          </w:p>
        </w:tc>
        <w:tc>
          <w:tcPr>
            <w:tcW w:w="1876" w:type="dxa"/>
          </w:tcPr>
          <w:p w14:paraId="2E3120CF"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-0,</w:t>
            </w:r>
            <w:r>
              <w:rPr>
                <w:rFonts w:ascii="Arial" w:eastAsia="Arial" w:hAnsi="Arial" w:cs="Arial"/>
                <w:sz w:val="20"/>
                <w:szCs w:val="20"/>
              </w:rPr>
              <w:t>763</w:t>
            </w:r>
          </w:p>
          <w:p w14:paraId="2DC46843"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(0,1</w:t>
            </w:r>
            <w:r>
              <w:rPr>
                <w:rFonts w:ascii="Arial" w:eastAsia="Arial" w:hAnsi="Arial" w:cs="Arial"/>
                <w:sz w:val="20"/>
                <w:szCs w:val="20"/>
              </w:rPr>
              <w:t>66</w:t>
            </w:r>
            <w:r w:rsidRPr="00BD6EA1">
              <w:rPr>
                <w:rFonts w:ascii="Arial" w:eastAsia="Arial" w:hAnsi="Arial" w:cs="Arial"/>
                <w:sz w:val="20"/>
                <w:szCs w:val="20"/>
              </w:rPr>
              <w:t>)</w:t>
            </w:r>
          </w:p>
        </w:tc>
      </w:tr>
      <w:tr w:rsidR="006B1E5D" w:rsidRPr="00BD6EA1" w14:paraId="5EF99A0F" w14:textId="77777777" w:rsidTr="00F42334">
        <w:tc>
          <w:tcPr>
            <w:cnfStyle w:val="001000000000" w:firstRow="0" w:lastRow="0" w:firstColumn="1" w:lastColumn="0" w:oddVBand="0" w:evenVBand="0" w:oddHBand="0" w:evenHBand="0" w:firstRowFirstColumn="0" w:firstRowLastColumn="0" w:lastRowFirstColumn="0" w:lastRowLastColumn="0"/>
            <w:tcW w:w="2695" w:type="dxa"/>
          </w:tcPr>
          <w:p w14:paraId="5DBEEEF6" w14:textId="77777777" w:rsidR="009D325D" w:rsidRPr="00BD6EA1" w:rsidRDefault="009D325D" w:rsidP="00A86E7E">
            <w:pPr>
              <w:rPr>
                <w:rFonts w:ascii="Arial" w:eastAsia="Arial" w:hAnsi="Arial" w:cs="Arial"/>
                <w:sz w:val="20"/>
                <w:szCs w:val="20"/>
              </w:rPr>
            </w:pPr>
            <w:r w:rsidRPr="00BD6EA1">
              <w:rPr>
                <w:rFonts w:ascii="Arial" w:eastAsia="Arial" w:hAnsi="Arial" w:cs="Arial"/>
                <w:sz w:val="20"/>
                <w:szCs w:val="20"/>
              </w:rPr>
              <w:t>Reaalne SKP</w:t>
            </w:r>
          </w:p>
        </w:tc>
        <w:tc>
          <w:tcPr>
            <w:tcW w:w="1875" w:type="dxa"/>
          </w:tcPr>
          <w:p w14:paraId="00E24929" w14:textId="77777777" w:rsidR="009D325D" w:rsidRPr="00BD6EA1"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0,6</w:t>
            </w:r>
            <w:r>
              <w:rPr>
                <w:rFonts w:ascii="Arial" w:eastAsia="Arial" w:hAnsi="Arial" w:cs="Arial"/>
                <w:sz w:val="20"/>
                <w:szCs w:val="20"/>
              </w:rPr>
              <w:t>88</w:t>
            </w:r>
          </w:p>
          <w:p w14:paraId="041D4BB1" w14:textId="77777777" w:rsidR="009D325D" w:rsidRPr="00BD6EA1"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(0,</w:t>
            </w:r>
            <w:r>
              <w:rPr>
                <w:rFonts w:ascii="Arial" w:eastAsia="Arial" w:hAnsi="Arial" w:cs="Arial"/>
                <w:sz w:val="20"/>
                <w:szCs w:val="20"/>
              </w:rPr>
              <w:t>221</w:t>
            </w:r>
            <w:r w:rsidRPr="00BD6EA1">
              <w:rPr>
                <w:rFonts w:ascii="Arial" w:eastAsia="Arial" w:hAnsi="Arial" w:cs="Arial"/>
                <w:sz w:val="20"/>
                <w:szCs w:val="20"/>
              </w:rPr>
              <w:t>)</w:t>
            </w:r>
          </w:p>
        </w:tc>
        <w:tc>
          <w:tcPr>
            <w:tcW w:w="1875" w:type="dxa"/>
          </w:tcPr>
          <w:p w14:paraId="72ED75B4" w14:textId="77777777" w:rsidR="009D325D"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0,437</w:t>
            </w:r>
          </w:p>
          <w:p w14:paraId="1AC96CC4" w14:textId="77777777" w:rsidR="009D325D" w:rsidRPr="00BD6EA1"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(0,200)</w:t>
            </w:r>
          </w:p>
        </w:tc>
        <w:tc>
          <w:tcPr>
            <w:tcW w:w="1875" w:type="dxa"/>
          </w:tcPr>
          <w:p w14:paraId="3C5E64DC" w14:textId="77777777" w:rsidR="009D325D" w:rsidRPr="00BD6EA1"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10,</w:t>
            </w:r>
            <w:r>
              <w:rPr>
                <w:rFonts w:ascii="Arial" w:eastAsia="Arial" w:hAnsi="Arial" w:cs="Arial"/>
                <w:sz w:val="20"/>
                <w:szCs w:val="20"/>
              </w:rPr>
              <w:t>816</w:t>
            </w:r>
          </w:p>
          <w:p w14:paraId="0C50149B" w14:textId="77777777" w:rsidR="009D325D" w:rsidRPr="00BD6EA1"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(1,</w:t>
            </w:r>
            <w:r>
              <w:rPr>
                <w:rFonts w:ascii="Arial" w:eastAsia="Arial" w:hAnsi="Arial" w:cs="Arial"/>
                <w:sz w:val="20"/>
                <w:szCs w:val="20"/>
              </w:rPr>
              <w:t>914</w:t>
            </w:r>
            <w:r w:rsidRPr="00BD6EA1">
              <w:rPr>
                <w:rFonts w:ascii="Arial" w:eastAsia="Arial" w:hAnsi="Arial" w:cs="Arial"/>
                <w:sz w:val="20"/>
                <w:szCs w:val="20"/>
              </w:rPr>
              <w:t>)</w:t>
            </w:r>
          </w:p>
        </w:tc>
        <w:tc>
          <w:tcPr>
            <w:tcW w:w="1876" w:type="dxa"/>
          </w:tcPr>
          <w:p w14:paraId="77333920" w14:textId="77777777" w:rsidR="009D325D" w:rsidRPr="00BD6EA1"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10,</w:t>
            </w:r>
            <w:r>
              <w:rPr>
                <w:rFonts w:ascii="Arial" w:eastAsia="Arial" w:hAnsi="Arial" w:cs="Arial"/>
                <w:sz w:val="20"/>
                <w:szCs w:val="20"/>
              </w:rPr>
              <w:t>314</w:t>
            </w:r>
          </w:p>
          <w:p w14:paraId="03237105" w14:textId="77777777" w:rsidR="009D325D" w:rsidRPr="00BD6EA1"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(1,</w:t>
            </w:r>
            <w:r>
              <w:rPr>
                <w:rFonts w:ascii="Arial" w:eastAsia="Arial" w:hAnsi="Arial" w:cs="Arial"/>
                <w:sz w:val="20"/>
                <w:szCs w:val="20"/>
              </w:rPr>
              <w:t>858</w:t>
            </w:r>
            <w:r w:rsidRPr="00BD6EA1">
              <w:rPr>
                <w:rFonts w:ascii="Arial" w:eastAsia="Arial" w:hAnsi="Arial" w:cs="Arial"/>
                <w:sz w:val="20"/>
                <w:szCs w:val="20"/>
              </w:rPr>
              <w:t>)</w:t>
            </w:r>
          </w:p>
        </w:tc>
      </w:tr>
      <w:tr w:rsidR="006B1E5D" w:rsidRPr="00BD6EA1" w14:paraId="676BDCDC" w14:textId="77777777" w:rsidTr="00F42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60F3F066" w14:textId="77777777" w:rsidR="009D325D" w:rsidRPr="00BD6EA1" w:rsidRDefault="009D325D" w:rsidP="00A86E7E">
            <w:pPr>
              <w:rPr>
                <w:rFonts w:ascii="Arial" w:eastAsia="Arial" w:hAnsi="Arial" w:cs="Arial"/>
                <w:sz w:val="20"/>
                <w:szCs w:val="20"/>
              </w:rPr>
            </w:pPr>
            <w:r w:rsidRPr="00BD6EA1">
              <w:rPr>
                <w:rFonts w:ascii="Arial" w:eastAsia="Arial" w:hAnsi="Arial" w:cs="Arial"/>
                <w:sz w:val="20"/>
                <w:szCs w:val="20"/>
              </w:rPr>
              <w:t>AR(1)</w:t>
            </w:r>
          </w:p>
        </w:tc>
        <w:tc>
          <w:tcPr>
            <w:tcW w:w="1875" w:type="dxa"/>
          </w:tcPr>
          <w:p w14:paraId="095A5BF6"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w:t>
            </w:r>
          </w:p>
        </w:tc>
        <w:tc>
          <w:tcPr>
            <w:tcW w:w="1875" w:type="dxa"/>
          </w:tcPr>
          <w:p w14:paraId="6A868F35"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w:t>
            </w:r>
          </w:p>
        </w:tc>
        <w:tc>
          <w:tcPr>
            <w:tcW w:w="1875" w:type="dxa"/>
          </w:tcPr>
          <w:p w14:paraId="4730CFDA"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t>0,</w:t>
            </w:r>
            <w:r>
              <w:rPr>
                <w:rFonts w:ascii="Arial" w:eastAsia="Arial" w:hAnsi="Arial" w:cs="Arial"/>
                <w:sz w:val="20"/>
                <w:szCs w:val="20"/>
              </w:rPr>
              <w:t>288</w:t>
            </w:r>
          </w:p>
          <w:p w14:paraId="36A2B1BE"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lastRenderedPageBreak/>
              <w:t>(0,</w:t>
            </w:r>
            <w:r>
              <w:rPr>
                <w:rFonts w:ascii="Arial" w:eastAsia="Arial" w:hAnsi="Arial" w:cs="Arial"/>
                <w:sz w:val="20"/>
                <w:szCs w:val="20"/>
              </w:rPr>
              <w:t>158</w:t>
            </w:r>
            <w:r w:rsidRPr="00BD6EA1">
              <w:rPr>
                <w:rFonts w:ascii="Arial" w:eastAsia="Arial" w:hAnsi="Arial" w:cs="Arial"/>
                <w:sz w:val="20"/>
                <w:szCs w:val="20"/>
              </w:rPr>
              <w:t>)</w:t>
            </w:r>
          </w:p>
        </w:tc>
        <w:tc>
          <w:tcPr>
            <w:tcW w:w="1876" w:type="dxa"/>
          </w:tcPr>
          <w:p w14:paraId="1A898DCF"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lastRenderedPageBreak/>
              <w:t>0,</w:t>
            </w:r>
            <w:r>
              <w:rPr>
                <w:rFonts w:ascii="Arial" w:eastAsia="Arial" w:hAnsi="Arial" w:cs="Arial"/>
                <w:sz w:val="20"/>
                <w:szCs w:val="20"/>
              </w:rPr>
              <w:t>373</w:t>
            </w:r>
          </w:p>
          <w:p w14:paraId="2A11F220" w14:textId="77777777" w:rsidR="009D325D" w:rsidRPr="00BD6EA1"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D6EA1">
              <w:rPr>
                <w:rFonts w:ascii="Arial" w:eastAsia="Arial" w:hAnsi="Arial" w:cs="Arial"/>
                <w:sz w:val="20"/>
                <w:szCs w:val="20"/>
              </w:rPr>
              <w:lastRenderedPageBreak/>
              <w:t>(0,</w:t>
            </w:r>
            <w:r>
              <w:rPr>
                <w:rFonts w:ascii="Arial" w:eastAsia="Arial" w:hAnsi="Arial" w:cs="Arial"/>
                <w:sz w:val="20"/>
                <w:szCs w:val="20"/>
              </w:rPr>
              <w:t>154</w:t>
            </w:r>
            <w:r w:rsidRPr="00BD6EA1">
              <w:rPr>
                <w:rFonts w:ascii="Arial" w:eastAsia="Arial" w:hAnsi="Arial" w:cs="Arial"/>
                <w:sz w:val="20"/>
                <w:szCs w:val="20"/>
              </w:rPr>
              <w:t>)</w:t>
            </w:r>
          </w:p>
        </w:tc>
      </w:tr>
      <w:tr w:rsidR="006B1E5D" w:rsidRPr="00BD6EA1" w14:paraId="16D891C3" w14:textId="77777777" w:rsidTr="00F42334">
        <w:tc>
          <w:tcPr>
            <w:cnfStyle w:val="001000000000" w:firstRow="0" w:lastRow="0" w:firstColumn="1" w:lastColumn="0" w:oddVBand="0" w:evenVBand="0" w:oddHBand="0" w:evenHBand="0" w:firstRowFirstColumn="0" w:firstRowLastColumn="0" w:lastRowFirstColumn="0" w:lastRowLastColumn="0"/>
            <w:tcW w:w="2695" w:type="dxa"/>
          </w:tcPr>
          <w:p w14:paraId="6411820C" w14:textId="77777777" w:rsidR="009D325D" w:rsidRPr="00BD6EA1" w:rsidRDefault="009D325D" w:rsidP="00A86E7E">
            <w:pPr>
              <w:rPr>
                <w:rFonts w:ascii="Arial" w:eastAsia="Arial" w:hAnsi="Arial" w:cs="Arial"/>
                <w:sz w:val="20"/>
                <w:szCs w:val="20"/>
              </w:rPr>
            </w:pPr>
            <w:r>
              <w:rPr>
                <w:rFonts w:ascii="Arial" w:eastAsia="Arial" w:hAnsi="Arial" w:cs="Arial"/>
                <w:sz w:val="20"/>
                <w:szCs w:val="20"/>
              </w:rPr>
              <w:lastRenderedPageBreak/>
              <w:t>SAR(1)</w:t>
            </w:r>
          </w:p>
        </w:tc>
        <w:tc>
          <w:tcPr>
            <w:tcW w:w="1875" w:type="dxa"/>
          </w:tcPr>
          <w:p w14:paraId="0EB6FD33" w14:textId="4CB7E54C" w:rsidR="009D325D"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w:t>
            </w:r>
            <w:r w:rsidR="00181DF5">
              <w:rPr>
                <w:rFonts w:ascii="Arial" w:eastAsia="Arial" w:hAnsi="Arial" w:cs="Arial"/>
                <w:sz w:val="20"/>
                <w:szCs w:val="20"/>
              </w:rPr>
              <w:t>,</w:t>
            </w:r>
            <w:r>
              <w:rPr>
                <w:rFonts w:ascii="Arial" w:eastAsia="Arial" w:hAnsi="Arial" w:cs="Arial"/>
                <w:sz w:val="20"/>
                <w:szCs w:val="20"/>
              </w:rPr>
              <w:t>405</w:t>
            </w:r>
          </w:p>
          <w:p w14:paraId="1D1C4427" w14:textId="45E46096" w:rsidR="009D325D" w:rsidRPr="00BD6EA1"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w:t>
            </w:r>
            <w:r w:rsidR="00181DF5">
              <w:rPr>
                <w:rFonts w:ascii="Arial" w:eastAsia="Arial" w:hAnsi="Arial" w:cs="Arial"/>
                <w:sz w:val="20"/>
                <w:szCs w:val="20"/>
              </w:rPr>
              <w:t>,</w:t>
            </w:r>
            <w:r>
              <w:rPr>
                <w:rFonts w:ascii="Arial" w:eastAsia="Arial" w:hAnsi="Arial" w:cs="Arial"/>
                <w:sz w:val="20"/>
                <w:szCs w:val="20"/>
              </w:rPr>
              <w:t>135)</w:t>
            </w:r>
          </w:p>
        </w:tc>
        <w:tc>
          <w:tcPr>
            <w:tcW w:w="1875" w:type="dxa"/>
          </w:tcPr>
          <w:p w14:paraId="606F4F9A" w14:textId="655A3B5F" w:rsidR="009D325D"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w:t>
            </w:r>
            <w:r w:rsidR="00181DF5">
              <w:rPr>
                <w:rFonts w:ascii="Arial" w:eastAsia="Arial" w:hAnsi="Arial" w:cs="Arial"/>
                <w:sz w:val="20"/>
                <w:szCs w:val="20"/>
              </w:rPr>
              <w:t>,</w:t>
            </w:r>
            <w:r>
              <w:rPr>
                <w:rFonts w:ascii="Arial" w:eastAsia="Arial" w:hAnsi="Arial" w:cs="Arial"/>
                <w:sz w:val="20"/>
                <w:szCs w:val="20"/>
              </w:rPr>
              <w:t>452</w:t>
            </w:r>
          </w:p>
          <w:p w14:paraId="294DB312" w14:textId="77777777" w:rsidR="009D325D" w:rsidRPr="00BD6EA1"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(0,142)</w:t>
            </w:r>
          </w:p>
        </w:tc>
        <w:tc>
          <w:tcPr>
            <w:tcW w:w="1875" w:type="dxa"/>
          </w:tcPr>
          <w:p w14:paraId="24DB7123" w14:textId="51A4A665" w:rsidR="009D325D"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w:t>
            </w:r>
            <w:r w:rsidR="00181DF5">
              <w:rPr>
                <w:rFonts w:ascii="Arial" w:eastAsia="Arial" w:hAnsi="Arial" w:cs="Arial"/>
                <w:sz w:val="20"/>
                <w:szCs w:val="20"/>
              </w:rPr>
              <w:t>,</w:t>
            </w:r>
            <w:r>
              <w:rPr>
                <w:rFonts w:ascii="Arial" w:eastAsia="Arial" w:hAnsi="Arial" w:cs="Arial"/>
                <w:sz w:val="20"/>
                <w:szCs w:val="20"/>
              </w:rPr>
              <w:t>331</w:t>
            </w:r>
          </w:p>
          <w:p w14:paraId="11901D04" w14:textId="34904656" w:rsidR="009D325D" w:rsidRPr="00BD6EA1"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w:t>
            </w:r>
            <w:r w:rsidR="00181DF5">
              <w:rPr>
                <w:rFonts w:ascii="Arial" w:eastAsia="Arial" w:hAnsi="Arial" w:cs="Arial"/>
                <w:sz w:val="20"/>
                <w:szCs w:val="20"/>
              </w:rPr>
              <w:t>,</w:t>
            </w:r>
            <w:r>
              <w:rPr>
                <w:rFonts w:ascii="Arial" w:eastAsia="Arial" w:hAnsi="Arial" w:cs="Arial"/>
                <w:sz w:val="20"/>
                <w:szCs w:val="20"/>
              </w:rPr>
              <w:t>154)</w:t>
            </w:r>
          </w:p>
        </w:tc>
        <w:tc>
          <w:tcPr>
            <w:tcW w:w="1876" w:type="dxa"/>
          </w:tcPr>
          <w:p w14:paraId="60B5D900" w14:textId="1DE71C53" w:rsidR="009D325D"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w:t>
            </w:r>
            <w:r w:rsidR="00181DF5">
              <w:rPr>
                <w:rFonts w:ascii="Arial" w:eastAsia="Arial" w:hAnsi="Arial" w:cs="Arial"/>
                <w:sz w:val="20"/>
                <w:szCs w:val="20"/>
              </w:rPr>
              <w:t>,</w:t>
            </w:r>
            <w:r>
              <w:rPr>
                <w:rFonts w:ascii="Arial" w:eastAsia="Arial" w:hAnsi="Arial" w:cs="Arial"/>
                <w:sz w:val="20"/>
                <w:szCs w:val="20"/>
              </w:rPr>
              <w:t>322</w:t>
            </w:r>
          </w:p>
          <w:p w14:paraId="3B52B7D5" w14:textId="46364FC7" w:rsidR="009D325D" w:rsidRPr="00BD6EA1" w:rsidRDefault="009D325D"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w:t>
            </w:r>
            <w:r w:rsidR="00181DF5">
              <w:rPr>
                <w:rFonts w:ascii="Arial" w:eastAsia="Arial" w:hAnsi="Arial" w:cs="Arial"/>
                <w:sz w:val="20"/>
                <w:szCs w:val="20"/>
              </w:rPr>
              <w:t>,</w:t>
            </w:r>
            <w:r>
              <w:rPr>
                <w:rFonts w:ascii="Arial" w:eastAsia="Arial" w:hAnsi="Arial" w:cs="Arial"/>
                <w:sz w:val="20"/>
                <w:szCs w:val="20"/>
              </w:rPr>
              <w:t>156)</w:t>
            </w:r>
          </w:p>
        </w:tc>
      </w:tr>
      <w:tr w:rsidR="006B1E5D" w:rsidRPr="00BD6EA1" w14:paraId="423111E9" w14:textId="77777777" w:rsidTr="00F42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4B3F3190" w14:textId="77777777" w:rsidR="009D325D" w:rsidRDefault="009D325D" w:rsidP="00A86E7E">
            <w:pPr>
              <w:rPr>
                <w:rFonts w:ascii="Arial" w:eastAsia="Arial" w:hAnsi="Arial" w:cs="Arial"/>
                <w:sz w:val="20"/>
                <w:szCs w:val="20"/>
              </w:rPr>
            </w:pPr>
            <w:r>
              <w:rPr>
                <w:rFonts w:ascii="Arial" w:eastAsia="Arial" w:hAnsi="Arial" w:cs="Arial"/>
                <w:sz w:val="20"/>
                <w:szCs w:val="20"/>
              </w:rPr>
              <w:t>ARIMA</w:t>
            </w:r>
          </w:p>
        </w:tc>
        <w:tc>
          <w:tcPr>
            <w:tcW w:w="1875" w:type="dxa"/>
          </w:tcPr>
          <w:p w14:paraId="525D3635" w14:textId="77777777" w:rsidR="009D325D"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(0,1,1)(1,1,0)</w:t>
            </w:r>
          </w:p>
        </w:tc>
        <w:tc>
          <w:tcPr>
            <w:tcW w:w="1875" w:type="dxa"/>
          </w:tcPr>
          <w:p w14:paraId="5CF56160" w14:textId="77777777" w:rsidR="009D325D"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(0,1,1)(1,1,0)</w:t>
            </w:r>
          </w:p>
        </w:tc>
        <w:tc>
          <w:tcPr>
            <w:tcW w:w="1875" w:type="dxa"/>
          </w:tcPr>
          <w:p w14:paraId="4CA57CB6" w14:textId="77777777" w:rsidR="009D325D"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w:t>
            </w:r>
            <w:r>
              <w:rPr>
                <w:rFonts w:ascii="Arial" w:eastAsia="Arial" w:hAnsi="Arial" w:cs="Arial"/>
                <w:sz w:val="20"/>
                <w:szCs w:val="20"/>
              </w:rPr>
              <w:t>1</w:t>
            </w:r>
            <w:r w:rsidRPr="003D058A">
              <w:rPr>
                <w:rFonts w:ascii="Arial" w:eastAsia="Arial" w:hAnsi="Arial" w:cs="Arial"/>
                <w:sz w:val="20"/>
                <w:szCs w:val="20"/>
              </w:rPr>
              <w:t>,1,1)(1,1,0)</w:t>
            </w:r>
          </w:p>
        </w:tc>
        <w:tc>
          <w:tcPr>
            <w:tcW w:w="1876" w:type="dxa"/>
          </w:tcPr>
          <w:p w14:paraId="03AE2DFC" w14:textId="77777777" w:rsidR="009D325D" w:rsidRDefault="009D325D"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w:t>
            </w:r>
            <w:r>
              <w:rPr>
                <w:rFonts w:ascii="Arial" w:eastAsia="Arial" w:hAnsi="Arial" w:cs="Arial"/>
                <w:sz w:val="20"/>
                <w:szCs w:val="20"/>
              </w:rPr>
              <w:t>1</w:t>
            </w:r>
            <w:r w:rsidRPr="003D058A">
              <w:rPr>
                <w:rFonts w:ascii="Arial" w:eastAsia="Arial" w:hAnsi="Arial" w:cs="Arial"/>
                <w:sz w:val="20"/>
                <w:szCs w:val="20"/>
              </w:rPr>
              <w:t>,1,1)(1,1,0)</w:t>
            </w:r>
          </w:p>
        </w:tc>
      </w:tr>
    </w:tbl>
    <w:p w14:paraId="3074FAE4" w14:textId="77777777" w:rsidR="00D55140" w:rsidRPr="00985E0F" w:rsidRDefault="00D55140" w:rsidP="00514229">
      <w:pPr>
        <w:spacing w:before="240"/>
        <w:rPr>
          <w:rStyle w:val="PurpleText"/>
        </w:rPr>
      </w:pPr>
      <w:r w:rsidRPr="00985E0F">
        <w:rPr>
          <w:rStyle w:val="PurpleText"/>
        </w:rPr>
        <w:t>Seosed eluasemeturuga</w:t>
      </w:r>
    </w:p>
    <w:p w14:paraId="12C9D8EB" w14:textId="3478C5D6" w:rsidR="00D55140" w:rsidRPr="00C0423E" w:rsidRDefault="23558E80" w:rsidP="288A3578">
      <w:pPr>
        <w:jc w:val="both"/>
        <w:rPr>
          <w:rFonts w:ascii="Arial" w:hAnsi="Arial" w:cs="Arial"/>
        </w:rPr>
      </w:pPr>
      <w:r w:rsidRPr="288A3578">
        <w:rPr>
          <w:rFonts w:ascii="Arial" w:hAnsi="Arial" w:cs="Arial"/>
        </w:rPr>
        <w:t>Edasi uurime, kas Eesti suurimas kinnisvaraportaalis kv.ee pakutud üürikorterite arv on sõltuvuses lühiajalise üüri turul toimuvate trendidega. Oleme välja valinud kaks Eesti piirkonda, kus lühiajali</w:t>
      </w:r>
      <w:r w:rsidR="33E726FC" w:rsidRPr="288A3578">
        <w:rPr>
          <w:rFonts w:ascii="Arial" w:hAnsi="Arial" w:cs="Arial"/>
        </w:rPr>
        <w:t>s</w:t>
      </w:r>
      <w:r w:rsidRPr="288A3578">
        <w:rPr>
          <w:rFonts w:ascii="Arial" w:hAnsi="Arial" w:cs="Arial"/>
        </w:rPr>
        <w:t>e üür</w:t>
      </w:r>
      <w:r w:rsidR="25DE3A68" w:rsidRPr="288A3578">
        <w:rPr>
          <w:rFonts w:ascii="Arial" w:hAnsi="Arial" w:cs="Arial"/>
        </w:rPr>
        <w:t>i</w:t>
      </w:r>
      <w:r w:rsidRPr="288A3578">
        <w:rPr>
          <w:rFonts w:ascii="Arial" w:hAnsi="Arial" w:cs="Arial"/>
        </w:rPr>
        <w:t xml:space="preserve"> turg on teadaolevalt põhjustanud suurimaid probleeme – Tallinna </w:t>
      </w:r>
      <w:r w:rsidR="006D5E83">
        <w:rPr>
          <w:rFonts w:ascii="Arial" w:hAnsi="Arial" w:cs="Arial"/>
        </w:rPr>
        <w:t>v</w:t>
      </w:r>
      <w:r w:rsidRPr="288A3578">
        <w:rPr>
          <w:rFonts w:ascii="Arial" w:hAnsi="Arial" w:cs="Arial"/>
        </w:rPr>
        <w:t xml:space="preserve">analinn ja Pärnu linn. Sõltuva tunnusena kasutame nende regioonide üüripakkumiste arvu, sõltumatu tunnusena lühiajalise üüri turu mahtu vastavas maakonnas: Tallinna </w:t>
      </w:r>
      <w:r w:rsidR="006D5E83">
        <w:rPr>
          <w:rFonts w:ascii="Arial" w:hAnsi="Arial" w:cs="Arial"/>
        </w:rPr>
        <w:t>v</w:t>
      </w:r>
      <w:r w:rsidRPr="288A3578">
        <w:rPr>
          <w:rFonts w:ascii="Arial" w:hAnsi="Arial" w:cs="Arial"/>
        </w:rPr>
        <w:t>analinna puhul Harjumaal ja Pärnu linna puhul Pärnumaal.</w:t>
      </w:r>
    </w:p>
    <w:p w14:paraId="64936BE9" w14:textId="66DA1AEA" w:rsidR="00D55140" w:rsidRPr="00C0423E" w:rsidRDefault="23558E80" w:rsidP="288A3578">
      <w:pPr>
        <w:jc w:val="both"/>
        <w:rPr>
          <w:rFonts w:ascii="Arial" w:hAnsi="Arial" w:cs="Arial"/>
        </w:rPr>
      </w:pPr>
      <w:r w:rsidRPr="1C92C443">
        <w:rPr>
          <w:rFonts w:ascii="Arial" w:hAnsi="Arial" w:cs="Arial"/>
        </w:rPr>
        <w:t>Selle seose hindamisel on oluliseks probleemiks nende nähtuste mõju kontrollimine, mis võivad mõjutada mõlemaid uuritavaid muutujaid ja selliselt tekitada olukorra, kus nende vahel on näiliselt kausaalne seos, kuigi tegelikult on mõlemat muutujat mõjutanud mõni muu nähtus (nn petteregressiooni oht). Selle probleemi leevendamisel püüame mudelites kontrollida ka majanduse üldise seisundi ning 2020.</w:t>
      </w:r>
      <w:r w:rsidR="1B0D24B2" w:rsidRPr="1C92C443">
        <w:rPr>
          <w:rFonts w:ascii="Arial" w:hAnsi="Arial" w:cs="Arial"/>
        </w:rPr>
        <w:t xml:space="preserve"> </w:t>
      </w:r>
      <w:r w:rsidRPr="1C92C443">
        <w:rPr>
          <w:rFonts w:ascii="Arial" w:hAnsi="Arial" w:cs="Arial"/>
        </w:rPr>
        <w:t>a</w:t>
      </w:r>
      <w:r w:rsidR="0FF6D4CD" w:rsidRPr="1C92C443">
        <w:rPr>
          <w:rFonts w:ascii="Arial" w:hAnsi="Arial" w:cs="Arial"/>
        </w:rPr>
        <w:t>astal</w:t>
      </w:r>
      <w:r w:rsidRPr="1C92C443">
        <w:rPr>
          <w:rFonts w:ascii="Arial" w:hAnsi="Arial" w:cs="Arial"/>
        </w:rPr>
        <w:t xml:space="preserve"> lahvatanud koroonapandeemia mõju. Kõikides mudelites on kõiki muutujaid ka diferentsitud nii sesoonselt kui ka täiendavalt võetud esimest järku diferents, et tagada muutujate statsionaarsus ja vähendada petteregressiooni ohtu.</w:t>
      </w:r>
    </w:p>
    <w:p w14:paraId="069FC0DC" w14:textId="48E4B9B2" w:rsidR="00D55140" w:rsidRDefault="23558E80" w:rsidP="288A3578">
      <w:pPr>
        <w:jc w:val="both"/>
        <w:rPr>
          <w:rFonts w:ascii="Arial" w:hAnsi="Arial" w:cs="Arial"/>
        </w:rPr>
      </w:pPr>
      <w:r w:rsidRPr="288A3578">
        <w:rPr>
          <w:rFonts w:ascii="Arial" w:hAnsi="Arial" w:cs="Arial"/>
        </w:rPr>
        <w:t xml:space="preserve">Tabelis </w:t>
      </w:r>
      <w:r w:rsidR="0E2F4EA9" w:rsidRPr="288A3578">
        <w:rPr>
          <w:rFonts w:ascii="Arial" w:hAnsi="Arial" w:cs="Arial"/>
        </w:rPr>
        <w:t>7</w:t>
      </w:r>
      <w:r w:rsidRPr="288A3578">
        <w:rPr>
          <w:rFonts w:ascii="Arial" w:hAnsi="Arial" w:cs="Arial"/>
        </w:rPr>
        <w:t xml:space="preserve"> on esitatud aegridade regressioonanalüüsi tulemused. Tulemused näitavad, et lühiajalise üüri turu kasv 1% võrra vähendab pikaajalisel turul üüripakkumisi Tallinna </w:t>
      </w:r>
      <w:r w:rsidR="006020CD">
        <w:rPr>
          <w:rFonts w:ascii="Arial" w:hAnsi="Arial" w:cs="Arial"/>
        </w:rPr>
        <w:t>v</w:t>
      </w:r>
      <w:r w:rsidRPr="288A3578">
        <w:rPr>
          <w:rFonts w:ascii="Arial" w:hAnsi="Arial" w:cs="Arial"/>
        </w:rPr>
        <w:t>analinnas ligikaudu 0,3% ja Pärnus 0,2%. Tallinnas tähendab see seda, et 1000 täiendava</w:t>
      </w:r>
      <w:r w:rsidR="3A6BD70F" w:rsidRPr="288A3578">
        <w:rPr>
          <w:rFonts w:ascii="Arial" w:hAnsi="Arial" w:cs="Arial"/>
        </w:rPr>
        <w:t>t</w:t>
      </w:r>
      <w:r w:rsidRPr="288A3578">
        <w:rPr>
          <w:rFonts w:ascii="Arial" w:hAnsi="Arial" w:cs="Arial"/>
        </w:rPr>
        <w:t xml:space="preserve"> külastusööd lühiajalisel üüri turul Harjumaal vähendab pikaajalisel turul üüripakkumisi portaalis KV.ee Tallinna </w:t>
      </w:r>
      <w:r w:rsidR="006020CD">
        <w:rPr>
          <w:rFonts w:ascii="Arial" w:hAnsi="Arial" w:cs="Arial"/>
        </w:rPr>
        <w:t>v</w:t>
      </w:r>
      <w:r w:rsidRPr="288A3578">
        <w:rPr>
          <w:rFonts w:ascii="Arial" w:hAnsi="Arial" w:cs="Arial"/>
        </w:rPr>
        <w:t xml:space="preserve">analinnas 1 pakkumise võrra. Kuna KV.ee hõlmab küll suure osa Eesti turust, kuid mitte 100%, siis tegemist on hinnangu alumise piiriga, seega tegelikult on seos lühiajalise üüri turu ja pikaajaliste üüripakkumiste vahel tugevam. Lisaks, sarnaselt </w:t>
      </w:r>
      <w:r w:rsidR="006020CD">
        <w:rPr>
          <w:rFonts w:ascii="Arial" w:hAnsi="Arial" w:cs="Arial"/>
        </w:rPr>
        <w:t>v</w:t>
      </w:r>
      <w:r w:rsidRPr="288A3578">
        <w:rPr>
          <w:rFonts w:ascii="Arial" w:hAnsi="Arial" w:cs="Arial"/>
        </w:rPr>
        <w:t>analinnale võivad pakkumised langeda ka teistes Harjumaa piirkondades. Pärnu kontekstis tähendab tulemus, et üüripakkumisi on 1 võrra vähem pärast ööbimiste kasvu lühiajalisel turul 400 võrra.</w:t>
      </w:r>
    </w:p>
    <w:p w14:paraId="39B66B06" w14:textId="6EDFD41D" w:rsidR="00D55140" w:rsidRDefault="00D55140" w:rsidP="00514229">
      <w:pPr>
        <w:pStyle w:val="TableTitle"/>
        <w:keepNext/>
      </w:pPr>
      <w:r w:rsidRPr="00C0423E">
        <w:lastRenderedPageBreak/>
        <w:t xml:space="preserve">Tabel </w:t>
      </w:r>
      <w:r w:rsidR="00F06CA2">
        <w:t>7</w:t>
      </w:r>
      <w:r w:rsidRPr="00C0423E">
        <w:t>. Pikaajalise üüri turu pakkumise seos lühiajalise üüri</w:t>
      </w:r>
      <w:r>
        <w:t>mise</w:t>
      </w:r>
      <w:r w:rsidRPr="00C0423E">
        <w:t xml:space="preserve">ga </w:t>
      </w:r>
      <w:r w:rsidR="000D0D3C">
        <w:t>2020-2023</w:t>
      </w:r>
    </w:p>
    <w:tbl>
      <w:tblPr>
        <w:tblStyle w:val="Loetelutabel3rhk12"/>
        <w:tblW w:w="10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1440"/>
        <w:gridCol w:w="1440"/>
        <w:gridCol w:w="1440"/>
        <w:gridCol w:w="1440"/>
        <w:gridCol w:w="1440"/>
        <w:gridCol w:w="1516"/>
      </w:tblGrid>
      <w:tr w:rsidR="006F4C3F" w:rsidRPr="003D058A" w14:paraId="56B69DC5" w14:textId="77777777" w:rsidTr="00A34307">
        <w:trPr>
          <w:cnfStyle w:val="100000000000" w:firstRow="1" w:lastRow="0" w:firstColumn="0" w:lastColumn="0" w:oddVBand="0" w:evenVBand="0" w:oddHBand="0" w:evenHBand="0" w:firstRowFirstColumn="0" w:firstRowLastColumn="0" w:lastRowFirstColumn="0" w:lastRowLastColumn="0"/>
          <w:trHeight w:val="269"/>
          <w:tblHeader/>
        </w:trPr>
        <w:tc>
          <w:tcPr>
            <w:cnfStyle w:val="001000000100" w:firstRow="0" w:lastRow="0" w:firstColumn="1" w:lastColumn="0" w:oddVBand="0" w:evenVBand="0" w:oddHBand="0" w:evenHBand="0" w:firstRowFirstColumn="1" w:firstRowLastColumn="0" w:lastRowFirstColumn="0" w:lastRowLastColumn="0"/>
            <w:tcW w:w="1615" w:type="dxa"/>
            <w:vMerge w:val="restart"/>
          </w:tcPr>
          <w:p w14:paraId="5D1FF182" w14:textId="77777777" w:rsidR="0035554B" w:rsidRPr="003D058A" w:rsidRDefault="0035554B">
            <w:pPr>
              <w:rPr>
                <w:rFonts w:ascii="Arial" w:eastAsia="Arial" w:hAnsi="Arial" w:cs="Arial"/>
                <w:sz w:val="20"/>
                <w:szCs w:val="20"/>
              </w:rPr>
            </w:pPr>
            <w:r w:rsidRPr="003D058A">
              <w:rPr>
                <w:rFonts w:ascii="Arial" w:eastAsia="Arial" w:hAnsi="Arial" w:cs="Arial"/>
                <w:sz w:val="20"/>
                <w:szCs w:val="20"/>
              </w:rPr>
              <w:t>Muutuja</w:t>
            </w:r>
          </w:p>
        </w:tc>
        <w:tc>
          <w:tcPr>
            <w:tcW w:w="8716" w:type="dxa"/>
            <w:gridSpan w:val="6"/>
          </w:tcPr>
          <w:p w14:paraId="2D80F21A" w14:textId="77777777" w:rsidR="0035554B" w:rsidRPr="003D058A" w:rsidRDefault="0035554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Koefitsiendid (standardvead)</w:t>
            </w:r>
          </w:p>
        </w:tc>
      </w:tr>
      <w:tr w:rsidR="00C93EFE" w:rsidRPr="003D058A" w14:paraId="4C45E806" w14:textId="77777777" w:rsidTr="00A34307">
        <w:trPr>
          <w:cnfStyle w:val="100000000000" w:firstRow="1" w:lastRow="0" w:firstColumn="0" w:lastColumn="0" w:oddVBand="0" w:evenVBand="0" w:oddHBand="0" w:evenHBand="0" w:firstRowFirstColumn="0" w:firstRowLastColumn="0" w:lastRowFirstColumn="0" w:lastRowLastColumn="0"/>
          <w:trHeight w:val="269"/>
          <w:tblHeader/>
        </w:trPr>
        <w:tc>
          <w:tcPr>
            <w:cnfStyle w:val="001000000100" w:firstRow="0" w:lastRow="0" w:firstColumn="1" w:lastColumn="0" w:oddVBand="0" w:evenVBand="0" w:oddHBand="0" w:evenHBand="0" w:firstRowFirstColumn="1" w:firstRowLastColumn="0" w:lastRowFirstColumn="0" w:lastRowLastColumn="0"/>
            <w:tcW w:w="1615" w:type="dxa"/>
            <w:vMerge/>
          </w:tcPr>
          <w:p w14:paraId="65781DD2" w14:textId="77777777" w:rsidR="0035554B" w:rsidRPr="003D058A" w:rsidRDefault="0035554B">
            <w:pPr>
              <w:rPr>
                <w:rFonts w:ascii="Arial" w:eastAsia="Arial" w:hAnsi="Arial" w:cs="Arial"/>
                <w:sz w:val="20"/>
                <w:szCs w:val="20"/>
              </w:rPr>
            </w:pPr>
          </w:p>
        </w:tc>
        <w:tc>
          <w:tcPr>
            <w:tcW w:w="2880" w:type="dxa"/>
            <w:gridSpan w:val="2"/>
            <w:shd w:val="clear" w:color="auto" w:fill="ACAEAC"/>
          </w:tcPr>
          <w:p w14:paraId="4C1CF953" w14:textId="77777777" w:rsidR="0035554B" w:rsidRPr="00985E0F" w:rsidRDefault="0035554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985E0F">
              <w:rPr>
                <w:rFonts w:ascii="Arial" w:eastAsia="Arial" w:hAnsi="Arial" w:cs="Arial"/>
                <w:color w:val="auto"/>
                <w:sz w:val="20"/>
                <w:szCs w:val="20"/>
              </w:rPr>
              <w:t>Külastused</w:t>
            </w:r>
          </w:p>
        </w:tc>
        <w:tc>
          <w:tcPr>
            <w:tcW w:w="2880" w:type="dxa"/>
            <w:gridSpan w:val="2"/>
            <w:shd w:val="clear" w:color="auto" w:fill="ACAEAC"/>
          </w:tcPr>
          <w:p w14:paraId="0E95BE8C" w14:textId="77777777" w:rsidR="0035554B" w:rsidRPr="00985E0F" w:rsidRDefault="0035554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985E0F">
              <w:rPr>
                <w:rFonts w:ascii="Arial" w:eastAsia="Arial" w:hAnsi="Arial" w:cs="Arial"/>
                <w:color w:val="auto"/>
                <w:sz w:val="20"/>
                <w:szCs w:val="20"/>
              </w:rPr>
              <w:t>Ööd</w:t>
            </w:r>
          </w:p>
        </w:tc>
        <w:tc>
          <w:tcPr>
            <w:tcW w:w="2880" w:type="dxa"/>
            <w:gridSpan w:val="2"/>
            <w:shd w:val="clear" w:color="auto" w:fill="ACAEAC"/>
          </w:tcPr>
          <w:p w14:paraId="21BBA8B9" w14:textId="77777777" w:rsidR="0035554B" w:rsidRPr="00985E0F" w:rsidRDefault="0035554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985E0F">
              <w:rPr>
                <w:rFonts w:ascii="Arial" w:eastAsia="Arial" w:hAnsi="Arial" w:cs="Arial"/>
                <w:color w:val="auto"/>
                <w:sz w:val="20"/>
                <w:szCs w:val="20"/>
              </w:rPr>
              <w:t>Ööbimised</w:t>
            </w:r>
          </w:p>
        </w:tc>
      </w:tr>
      <w:tr w:rsidR="00AF7639" w:rsidRPr="003D058A" w14:paraId="35675923" w14:textId="77777777" w:rsidTr="00A34307">
        <w:trPr>
          <w:cnfStyle w:val="100000000000" w:firstRow="1" w:lastRow="0" w:firstColumn="0" w:lastColumn="0" w:oddVBand="0" w:evenVBand="0" w:oddHBand="0" w:evenHBand="0" w:firstRowFirstColumn="0" w:firstRowLastColumn="0" w:lastRowFirstColumn="0" w:lastRowLastColumn="0"/>
          <w:trHeight w:val="503"/>
          <w:tblHeader/>
        </w:trPr>
        <w:tc>
          <w:tcPr>
            <w:cnfStyle w:val="001000000100" w:firstRow="0" w:lastRow="0" w:firstColumn="1" w:lastColumn="0" w:oddVBand="0" w:evenVBand="0" w:oddHBand="0" w:evenHBand="0" w:firstRowFirstColumn="1" w:firstRowLastColumn="0" w:lastRowFirstColumn="0" w:lastRowLastColumn="0"/>
            <w:tcW w:w="1615" w:type="dxa"/>
            <w:vMerge/>
          </w:tcPr>
          <w:p w14:paraId="5BE08558" w14:textId="77777777" w:rsidR="0035554B" w:rsidRPr="003D058A" w:rsidRDefault="0035554B">
            <w:pPr>
              <w:rPr>
                <w:rFonts w:ascii="Arial" w:eastAsia="Arial" w:hAnsi="Arial" w:cs="Arial"/>
                <w:sz w:val="20"/>
                <w:szCs w:val="20"/>
              </w:rPr>
            </w:pPr>
          </w:p>
        </w:tc>
        <w:tc>
          <w:tcPr>
            <w:tcW w:w="1440" w:type="dxa"/>
            <w:shd w:val="clear" w:color="auto" w:fill="ACAEAC"/>
          </w:tcPr>
          <w:p w14:paraId="4F6861DA" w14:textId="58476264" w:rsidR="0035554B" w:rsidRPr="003D058A" w:rsidRDefault="0035554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Tallinna vanalinn</w:t>
            </w:r>
          </w:p>
        </w:tc>
        <w:tc>
          <w:tcPr>
            <w:tcW w:w="1440" w:type="dxa"/>
            <w:shd w:val="clear" w:color="auto" w:fill="ACAEAC"/>
          </w:tcPr>
          <w:p w14:paraId="727EBCB6" w14:textId="77777777" w:rsidR="0035554B" w:rsidRPr="003D058A" w:rsidRDefault="0035554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Pärnu</w:t>
            </w:r>
          </w:p>
        </w:tc>
        <w:tc>
          <w:tcPr>
            <w:tcW w:w="1440" w:type="dxa"/>
            <w:shd w:val="clear" w:color="auto" w:fill="ACAEAC"/>
          </w:tcPr>
          <w:p w14:paraId="031A8E21" w14:textId="459678EF" w:rsidR="0035554B" w:rsidRPr="003D058A" w:rsidRDefault="0035554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Tallinna vanalinn</w:t>
            </w:r>
          </w:p>
        </w:tc>
        <w:tc>
          <w:tcPr>
            <w:tcW w:w="1440" w:type="dxa"/>
            <w:shd w:val="clear" w:color="auto" w:fill="ACAEAC"/>
          </w:tcPr>
          <w:p w14:paraId="2CCB2CC8" w14:textId="77777777" w:rsidR="0035554B" w:rsidRPr="003D058A" w:rsidRDefault="0035554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Pärnu</w:t>
            </w:r>
          </w:p>
        </w:tc>
        <w:tc>
          <w:tcPr>
            <w:tcW w:w="1440" w:type="dxa"/>
            <w:shd w:val="clear" w:color="auto" w:fill="ACAEAC"/>
          </w:tcPr>
          <w:p w14:paraId="0981AF42" w14:textId="38AA442A" w:rsidR="0035554B" w:rsidRPr="003D058A" w:rsidRDefault="0035554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Tallinna vanalinn</w:t>
            </w:r>
          </w:p>
        </w:tc>
        <w:tc>
          <w:tcPr>
            <w:tcW w:w="1440" w:type="dxa"/>
            <w:shd w:val="clear" w:color="auto" w:fill="ACAEAC"/>
          </w:tcPr>
          <w:p w14:paraId="4F2D1CBD" w14:textId="77777777" w:rsidR="0035554B" w:rsidRPr="003D058A" w:rsidRDefault="0035554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Pärnu</w:t>
            </w:r>
          </w:p>
        </w:tc>
      </w:tr>
      <w:tr w:rsidR="006B1E5D" w:rsidRPr="003D058A" w14:paraId="5C6F304E" w14:textId="77777777">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615" w:type="dxa"/>
          </w:tcPr>
          <w:p w14:paraId="74D8D3F5" w14:textId="77777777" w:rsidR="0035554B" w:rsidRPr="003D058A" w:rsidRDefault="0035554B">
            <w:pPr>
              <w:rPr>
                <w:rFonts w:ascii="Arial" w:eastAsia="Arial" w:hAnsi="Arial" w:cs="Arial"/>
                <w:sz w:val="20"/>
                <w:szCs w:val="20"/>
              </w:rPr>
            </w:pPr>
            <w:bookmarkStart w:id="130" w:name="_Hlk197974464"/>
            <w:r w:rsidRPr="003D058A">
              <w:rPr>
                <w:rFonts w:ascii="Arial" w:eastAsia="Arial" w:hAnsi="Arial" w:cs="Arial"/>
                <w:sz w:val="20"/>
                <w:szCs w:val="20"/>
              </w:rPr>
              <w:t>Lühiajaline üürimine*</w:t>
            </w:r>
          </w:p>
        </w:tc>
        <w:tc>
          <w:tcPr>
            <w:tcW w:w="1440" w:type="dxa"/>
          </w:tcPr>
          <w:p w14:paraId="3D485AC3"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w:t>
            </w:r>
            <w:r>
              <w:rPr>
                <w:rFonts w:ascii="Arial" w:eastAsia="Arial" w:hAnsi="Arial" w:cs="Arial"/>
                <w:sz w:val="20"/>
                <w:szCs w:val="20"/>
              </w:rPr>
              <w:t>274</w:t>
            </w:r>
          </w:p>
          <w:p w14:paraId="1BCEAEF4"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(0,09</w:t>
            </w:r>
            <w:r>
              <w:rPr>
                <w:rFonts w:ascii="Arial" w:eastAsia="Arial" w:hAnsi="Arial" w:cs="Arial"/>
                <w:sz w:val="20"/>
                <w:szCs w:val="20"/>
              </w:rPr>
              <w:t>5</w:t>
            </w:r>
            <w:r w:rsidRPr="003D058A">
              <w:rPr>
                <w:rFonts w:ascii="Arial" w:eastAsia="Arial" w:hAnsi="Arial" w:cs="Arial"/>
                <w:sz w:val="20"/>
                <w:szCs w:val="20"/>
              </w:rPr>
              <w:t>)</w:t>
            </w:r>
          </w:p>
        </w:tc>
        <w:tc>
          <w:tcPr>
            <w:tcW w:w="1440" w:type="dxa"/>
          </w:tcPr>
          <w:p w14:paraId="631A7E63"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-0,188</w:t>
            </w:r>
          </w:p>
          <w:p w14:paraId="0A6F7B34"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(0,111)</w:t>
            </w:r>
          </w:p>
        </w:tc>
        <w:tc>
          <w:tcPr>
            <w:tcW w:w="1440" w:type="dxa"/>
          </w:tcPr>
          <w:p w14:paraId="71D62832"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w:t>
            </w:r>
            <w:r>
              <w:rPr>
                <w:rFonts w:ascii="Arial" w:eastAsia="Arial" w:hAnsi="Arial" w:cs="Arial"/>
                <w:sz w:val="20"/>
                <w:szCs w:val="20"/>
              </w:rPr>
              <w:t>234</w:t>
            </w:r>
          </w:p>
          <w:p w14:paraId="3FD0E9BE"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w:t>
            </w:r>
            <w:r>
              <w:rPr>
                <w:rFonts w:ascii="Arial" w:eastAsia="Arial" w:hAnsi="Arial" w:cs="Arial"/>
                <w:sz w:val="20"/>
                <w:szCs w:val="20"/>
              </w:rPr>
              <w:t>23</w:t>
            </w:r>
            <w:r w:rsidRPr="003D058A">
              <w:rPr>
                <w:rFonts w:ascii="Arial" w:eastAsia="Arial" w:hAnsi="Arial" w:cs="Arial"/>
                <w:sz w:val="20"/>
                <w:szCs w:val="20"/>
              </w:rPr>
              <w:t>)</w:t>
            </w:r>
          </w:p>
        </w:tc>
        <w:tc>
          <w:tcPr>
            <w:tcW w:w="1440" w:type="dxa"/>
          </w:tcPr>
          <w:p w14:paraId="4CA4074C"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-0,195</w:t>
            </w:r>
          </w:p>
          <w:p w14:paraId="4BB8D051"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(0,109)</w:t>
            </w:r>
          </w:p>
        </w:tc>
        <w:tc>
          <w:tcPr>
            <w:tcW w:w="1440" w:type="dxa"/>
          </w:tcPr>
          <w:p w14:paraId="0C1C87E0"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w:t>
            </w:r>
            <w:r>
              <w:rPr>
                <w:rFonts w:ascii="Arial" w:eastAsia="Arial" w:hAnsi="Arial" w:cs="Arial"/>
                <w:sz w:val="20"/>
                <w:szCs w:val="20"/>
              </w:rPr>
              <w:t>245</w:t>
            </w:r>
          </w:p>
          <w:p w14:paraId="3D9544B0"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(0,0</w:t>
            </w:r>
            <w:r>
              <w:rPr>
                <w:rFonts w:ascii="Arial" w:eastAsia="Arial" w:hAnsi="Arial" w:cs="Arial"/>
                <w:sz w:val="20"/>
                <w:szCs w:val="20"/>
              </w:rPr>
              <w:t>97</w:t>
            </w:r>
            <w:r w:rsidRPr="003D058A">
              <w:rPr>
                <w:rFonts w:ascii="Arial" w:eastAsia="Arial" w:hAnsi="Arial" w:cs="Arial"/>
                <w:sz w:val="20"/>
                <w:szCs w:val="20"/>
              </w:rPr>
              <w:t>)</w:t>
            </w:r>
          </w:p>
        </w:tc>
        <w:tc>
          <w:tcPr>
            <w:tcW w:w="1440" w:type="dxa"/>
          </w:tcPr>
          <w:p w14:paraId="2278E324"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-0,186</w:t>
            </w:r>
          </w:p>
          <w:p w14:paraId="12AE8F55"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(0,100)</w:t>
            </w:r>
          </w:p>
        </w:tc>
      </w:tr>
      <w:tr w:rsidR="006B1E5D" w:rsidRPr="003D058A" w14:paraId="39D853B1" w14:textId="77777777">
        <w:trPr>
          <w:trHeight w:val="414"/>
        </w:trPr>
        <w:tc>
          <w:tcPr>
            <w:cnfStyle w:val="001000000000" w:firstRow="0" w:lastRow="0" w:firstColumn="1" w:lastColumn="0" w:oddVBand="0" w:evenVBand="0" w:oddHBand="0" w:evenHBand="0" w:firstRowFirstColumn="0" w:firstRowLastColumn="0" w:lastRowFirstColumn="0" w:lastRowLastColumn="0"/>
            <w:tcW w:w="1615" w:type="dxa"/>
          </w:tcPr>
          <w:p w14:paraId="76FDDBB1" w14:textId="77777777" w:rsidR="0035554B" w:rsidRPr="003D058A" w:rsidRDefault="0035554B">
            <w:pPr>
              <w:rPr>
                <w:rFonts w:ascii="Arial" w:eastAsia="Arial" w:hAnsi="Arial" w:cs="Arial"/>
                <w:sz w:val="20"/>
                <w:szCs w:val="20"/>
              </w:rPr>
            </w:pPr>
            <w:r w:rsidRPr="003D058A">
              <w:rPr>
                <w:rFonts w:ascii="Arial" w:eastAsia="Arial" w:hAnsi="Arial" w:cs="Arial"/>
                <w:sz w:val="20"/>
                <w:szCs w:val="20"/>
              </w:rPr>
              <w:t>Jaekaubandus</w:t>
            </w:r>
          </w:p>
        </w:tc>
        <w:tc>
          <w:tcPr>
            <w:tcW w:w="1440" w:type="dxa"/>
          </w:tcPr>
          <w:p w14:paraId="03E208C5"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w:t>
            </w:r>
          </w:p>
        </w:tc>
        <w:tc>
          <w:tcPr>
            <w:tcW w:w="1440" w:type="dxa"/>
          </w:tcPr>
          <w:p w14:paraId="11771D99"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w:t>
            </w:r>
          </w:p>
        </w:tc>
        <w:tc>
          <w:tcPr>
            <w:tcW w:w="1440" w:type="dxa"/>
          </w:tcPr>
          <w:p w14:paraId="21B73A9E"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w:t>
            </w:r>
            <w:r>
              <w:rPr>
                <w:rFonts w:ascii="Arial" w:eastAsia="Arial" w:hAnsi="Arial" w:cs="Arial"/>
                <w:sz w:val="20"/>
                <w:szCs w:val="20"/>
              </w:rPr>
              <w:t>804</w:t>
            </w:r>
          </w:p>
          <w:p w14:paraId="0D50968B"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w:t>
            </w:r>
            <w:r>
              <w:rPr>
                <w:rFonts w:ascii="Arial" w:eastAsia="Arial" w:hAnsi="Arial" w:cs="Arial"/>
                <w:sz w:val="20"/>
                <w:szCs w:val="20"/>
              </w:rPr>
              <w:t>509</w:t>
            </w:r>
            <w:r w:rsidRPr="003D058A">
              <w:rPr>
                <w:rFonts w:ascii="Arial" w:eastAsia="Arial" w:hAnsi="Arial" w:cs="Arial"/>
                <w:sz w:val="20"/>
                <w:szCs w:val="20"/>
              </w:rPr>
              <w:t>)</w:t>
            </w:r>
          </w:p>
        </w:tc>
        <w:tc>
          <w:tcPr>
            <w:tcW w:w="1440" w:type="dxa"/>
          </w:tcPr>
          <w:p w14:paraId="67AC0F7C"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w:t>
            </w:r>
          </w:p>
        </w:tc>
        <w:tc>
          <w:tcPr>
            <w:tcW w:w="1440" w:type="dxa"/>
          </w:tcPr>
          <w:p w14:paraId="4EDB02B4"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w:t>
            </w:r>
          </w:p>
        </w:tc>
        <w:tc>
          <w:tcPr>
            <w:tcW w:w="1440" w:type="dxa"/>
          </w:tcPr>
          <w:p w14:paraId="43039A7E"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w:t>
            </w:r>
          </w:p>
        </w:tc>
      </w:tr>
      <w:tr w:rsidR="006B1E5D" w:rsidRPr="003D058A" w14:paraId="21C1F66E" w14:textId="77777777">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615" w:type="dxa"/>
          </w:tcPr>
          <w:p w14:paraId="579735D8" w14:textId="77777777" w:rsidR="0035554B" w:rsidRPr="003D058A" w:rsidRDefault="0035554B">
            <w:pPr>
              <w:rPr>
                <w:rFonts w:ascii="Arial" w:eastAsia="Arial" w:hAnsi="Arial" w:cs="Arial"/>
                <w:sz w:val="20"/>
                <w:szCs w:val="20"/>
              </w:rPr>
            </w:pPr>
            <w:r w:rsidRPr="003D058A">
              <w:rPr>
                <w:rFonts w:ascii="Arial" w:eastAsia="Arial" w:hAnsi="Arial" w:cs="Arial"/>
                <w:sz w:val="20"/>
                <w:szCs w:val="20"/>
              </w:rPr>
              <w:t>Covid</w:t>
            </w:r>
          </w:p>
        </w:tc>
        <w:tc>
          <w:tcPr>
            <w:tcW w:w="1440" w:type="dxa"/>
          </w:tcPr>
          <w:p w14:paraId="5EF989CA"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w:t>
            </w:r>
            <w:r>
              <w:rPr>
                <w:rFonts w:ascii="Arial" w:eastAsia="Arial" w:hAnsi="Arial" w:cs="Arial"/>
                <w:sz w:val="20"/>
                <w:szCs w:val="20"/>
              </w:rPr>
              <w:t>629</w:t>
            </w:r>
          </w:p>
          <w:p w14:paraId="262800EC"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w:t>
            </w:r>
            <w:r>
              <w:rPr>
                <w:rFonts w:ascii="Arial" w:eastAsia="Arial" w:hAnsi="Arial" w:cs="Arial"/>
                <w:sz w:val="20"/>
                <w:szCs w:val="20"/>
              </w:rPr>
              <w:t>51</w:t>
            </w:r>
            <w:r w:rsidRPr="003D058A">
              <w:rPr>
                <w:rFonts w:ascii="Arial" w:eastAsia="Arial" w:hAnsi="Arial" w:cs="Arial"/>
                <w:sz w:val="20"/>
                <w:szCs w:val="20"/>
              </w:rPr>
              <w:t>)</w:t>
            </w:r>
          </w:p>
        </w:tc>
        <w:tc>
          <w:tcPr>
            <w:tcW w:w="1440" w:type="dxa"/>
          </w:tcPr>
          <w:p w14:paraId="67B81ED8"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w:t>
            </w:r>
          </w:p>
        </w:tc>
        <w:tc>
          <w:tcPr>
            <w:tcW w:w="1440" w:type="dxa"/>
          </w:tcPr>
          <w:p w14:paraId="1D843EC1"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w:t>
            </w:r>
            <w:r>
              <w:rPr>
                <w:rFonts w:ascii="Arial" w:eastAsia="Arial" w:hAnsi="Arial" w:cs="Arial"/>
                <w:sz w:val="20"/>
                <w:szCs w:val="20"/>
              </w:rPr>
              <w:t>622</w:t>
            </w:r>
          </w:p>
          <w:p w14:paraId="7568365F"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w:t>
            </w:r>
            <w:r>
              <w:rPr>
                <w:rFonts w:ascii="Arial" w:eastAsia="Arial" w:hAnsi="Arial" w:cs="Arial"/>
                <w:sz w:val="20"/>
                <w:szCs w:val="20"/>
              </w:rPr>
              <w:t>67</w:t>
            </w:r>
            <w:r w:rsidRPr="003D058A">
              <w:rPr>
                <w:rFonts w:ascii="Arial" w:eastAsia="Arial" w:hAnsi="Arial" w:cs="Arial"/>
                <w:sz w:val="20"/>
                <w:szCs w:val="20"/>
              </w:rPr>
              <w:t>)</w:t>
            </w:r>
          </w:p>
        </w:tc>
        <w:tc>
          <w:tcPr>
            <w:tcW w:w="1440" w:type="dxa"/>
          </w:tcPr>
          <w:p w14:paraId="39FAC68F"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w:t>
            </w:r>
          </w:p>
        </w:tc>
        <w:tc>
          <w:tcPr>
            <w:tcW w:w="1440" w:type="dxa"/>
          </w:tcPr>
          <w:p w14:paraId="64A03317"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w:t>
            </w:r>
            <w:r>
              <w:rPr>
                <w:rFonts w:ascii="Arial" w:eastAsia="Arial" w:hAnsi="Arial" w:cs="Arial"/>
                <w:sz w:val="20"/>
                <w:szCs w:val="20"/>
              </w:rPr>
              <w:t>656</w:t>
            </w:r>
          </w:p>
          <w:p w14:paraId="70D4DCB5"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w:t>
            </w:r>
            <w:r>
              <w:rPr>
                <w:rFonts w:ascii="Arial" w:eastAsia="Arial" w:hAnsi="Arial" w:cs="Arial"/>
                <w:sz w:val="20"/>
                <w:szCs w:val="20"/>
              </w:rPr>
              <w:t>53</w:t>
            </w:r>
            <w:r w:rsidRPr="003D058A">
              <w:rPr>
                <w:rFonts w:ascii="Arial" w:eastAsia="Arial" w:hAnsi="Arial" w:cs="Arial"/>
                <w:sz w:val="20"/>
                <w:szCs w:val="20"/>
              </w:rPr>
              <w:t>)</w:t>
            </w:r>
          </w:p>
        </w:tc>
        <w:tc>
          <w:tcPr>
            <w:tcW w:w="1440" w:type="dxa"/>
          </w:tcPr>
          <w:p w14:paraId="3124066A"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w:t>
            </w:r>
          </w:p>
        </w:tc>
      </w:tr>
      <w:tr w:rsidR="006B1E5D" w:rsidRPr="003D058A" w14:paraId="7040C63A" w14:textId="77777777">
        <w:trPr>
          <w:trHeight w:val="414"/>
        </w:trPr>
        <w:tc>
          <w:tcPr>
            <w:cnfStyle w:val="001000000000" w:firstRow="0" w:lastRow="0" w:firstColumn="1" w:lastColumn="0" w:oddVBand="0" w:evenVBand="0" w:oddHBand="0" w:evenHBand="0" w:firstRowFirstColumn="0" w:firstRowLastColumn="0" w:lastRowFirstColumn="0" w:lastRowLastColumn="0"/>
            <w:tcW w:w="1615" w:type="dxa"/>
          </w:tcPr>
          <w:p w14:paraId="5C691533" w14:textId="77777777" w:rsidR="0035554B" w:rsidRPr="002327E7" w:rsidRDefault="0035554B">
            <w:pPr>
              <w:rPr>
                <w:rFonts w:ascii="Arial" w:eastAsia="Arial" w:hAnsi="Arial" w:cs="Arial"/>
                <w:sz w:val="20"/>
                <w:szCs w:val="20"/>
              </w:rPr>
            </w:pPr>
            <w:r w:rsidRPr="002327E7">
              <w:rPr>
                <w:rFonts w:ascii="Arial" w:eastAsia="Arial" w:hAnsi="Arial" w:cs="Arial"/>
                <w:sz w:val="20"/>
                <w:szCs w:val="20"/>
              </w:rPr>
              <w:t>SAR(1)</w:t>
            </w:r>
          </w:p>
        </w:tc>
        <w:tc>
          <w:tcPr>
            <w:tcW w:w="1440" w:type="dxa"/>
          </w:tcPr>
          <w:p w14:paraId="465F1A45" w14:textId="77777777" w:rsidR="0035554B"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-0,508</w:t>
            </w:r>
          </w:p>
          <w:p w14:paraId="497FB39D"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(0,142)</w:t>
            </w:r>
          </w:p>
        </w:tc>
        <w:tc>
          <w:tcPr>
            <w:tcW w:w="1440" w:type="dxa"/>
          </w:tcPr>
          <w:p w14:paraId="431A731D" w14:textId="77777777" w:rsidR="0035554B"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-0,305</w:t>
            </w:r>
          </w:p>
          <w:p w14:paraId="68BEFAA5"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(0,151)</w:t>
            </w:r>
          </w:p>
        </w:tc>
        <w:tc>
          <w:tcPr>
            <w:tcW w:w="1440" w:type="dxa"/>
          </w:tcPr>
          <w:p w14:paraId="01A2875A" w14:textId="77777777" w:rsidR="0035554B"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-0,582</w:t>
            </w:r>
          </w:p>
          <w:p w14:paraId="532F4164"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(0,151)</w:t>
            </w:r>
          </w:p>
        </w:tc>
        <w:tc>
          <w:tcPr>
            <w:tcW w:w="1440" w:type="dxa"/>
          </w:tcPr>
          <w:p w14:paraId="56EC6DEC" w14:textId="77777777" w:rsidR="0035554B"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-0,306</w:t>
            </w:r>
          </w:p>
          <w:p w14:paraId="4741DECF"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(0,151)</w:t>
            </w:r>
          </w:p>
        </w:tc>
        <w:tc>
          <w:tcPr>
            <w:tcW w:w="1440" w:type="dxa"/>
          </w:tcPr>
          <w:p w14:paraId="450D9081" w14:textId="77777777" w:rsidR="0035554B"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-0,495</w:t>
            </w:r>
          </w:p>
          <w:p w14:paraId="346D6E85"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(0,145)</w:t>
            </w:r>
          </w:p>
        </w:tc>
        <w:tc>
          <w:tcPr>
            <w:tcW w:w="1440" w:type="dxa"/>
          </w:tcPr>
          <w:p w14:paraId="6535ACFF" w14:textId="77777777" w:rsidR="0035554B"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-0,300</w:t>
            </w:r>
          </w:p>
          <w:p w14:paraId="573A93D1" w14:textId="77777777" w:rsidR="0035554B" w:rsidRPr="003D058A" w:rsidRDefault="0035554B">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(0,152)</w:t>
            </w:r>
          </w:p>
        </w:tc>
      </w:tr>
      <w:tr w:rsidR="006B1E5D" w:rsidRPr="003D058A" w14:paraId="7F9B18D5"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1615" w:type="dxa"/>
          </w:tcPr>
          <w:p w14:paraId="747D73F2" w14:textId="77777777" w:rsidR="0035554B" w:rsidRPr="003D058A" w:rsidRDefault="0035554B">
            <w:pPr>
              <w:rPr>
                <w:rFonts w:ascii="Arial" w:eastAsia="Arial" w:hAnsi="Arial" w:cs="Arial"/>
                <w:sz w:val="20"/>
                <w:szCs w:val="20"/>
              </w:rPr>
            </w:pPr>
            <w:r>
              <w:rPr>
                <w:rFonts w:ascii="Arial" w:eastAsia="Arial" w:hAnsi="Arial" w:cs="Arial"/>
                <w:sz w:val="20"/>
                <w:szCs w:val="20"/>
              </w:rPr>
              <w:t>S</w:t>
            </w:r>
            <w:r w:rsidRPr="003D058A">
              <w:rPr>
                <w:rFonts w:ascii="Arial" w:eastAsia="Arial" w:hAnsi="Arial" w:cs="Arial"/>
                <w:sz w:val="20"/>
                <w:szCs w:val="20"/>
              </w:rPr>
              <w:t>ARIMA</w:t>
            </w:r>
          </w:p>
        </w:tc>
        <w:tc>
          <w:tcPr>
            <w:tcW w:w="1440" w:type="dxa"/>
          </w:tcPr>
          <w:p w14:paraId="0BD5FDEF"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(0,1,1)(1,1,0)</w:t>
            </w:r>
          </w:p>
        </w:tc>
        <w:tc>
          <w:tcPr>
            <w:tcW w:w="1440" w:type="dxa"/>
          </w:tcPr>
          <w:p w14:paraId="2B7B6668"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(0,1,0)(1,1,0)</w:t>
            </w:r>
          </w:p>
        </w:tc>
        <w:tc>
          <w:tcPr>
            <w:tcW w:w="1440" w:type="dxa"/>
          </w:tcPr>
          <w:p w14:paraId="3814808B"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(0,1,1)(1,1,0)</w:t>
            </w:r>
          </w:p>
        </w:tc>
        <w:tc>
          <w:tcPr>
            <w:tcW w:w="1440" w:type="dxa"/>
          </w:tcPr>
          <w:p w14:paraId="05942965"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(0,1,0)(1,1,0)</w:t>
            </w:r>
          </w:p>
        </w:tc>
        <w:tc>
          <w:tcPr>
            <w:tcW w:w="1440" w:type="dxa"/>
          </w:tcPr>
          <w:p w14:paraId="2004B374"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(0,1,1)(1,1,0)</w:t>
            </w:r>
          </w:p>
        </w:tc>
        <w:tc>
          <w:tcPr>
            <w:tcW w:w="1440" w:type="dxa"/>
          </w:tcPr>
          <w:p w14:paraId="157AA5E6" w14:textId="77777777" w:rsidR="0035554B" w:rsidRPr="003D058A" w:rsidRDefault="0035554B">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D058A">
              <w:rPr>
                <w:rFonts w:ascii="Arial" w:eastAsia="Arial" w:hAnsi="Arial" w:cs="Arial"/>
                <w:sz w:val="20"/>
                <w:szCs w:val="20"/>
              </w:rPr>
              <w:t>(0,1,0)(1,1,0)</w:t>
            </w:r>
          </w:p>
        </w:tc>
      </w:tr>
    </w:tbl>
    <w:bookmarkEnd w:id="130"/>
    <w:p w14:paraId="70F7D02F" w14:textId="3BBC4580" w:rsidR="00D55140" w:rsidRPr="009E725E" w:rsidRDefault="23558E80" w:rsidP="00D55140">
      <w:pPr>
        <w:jc w:val="both"/>
        <w:rPr>
          <w:rFonts w:ascii="Arial" w:hAnsi="Arial" w:cs="Arial"/>
          <w:sz w:val="18"/>
          <w:szCs w:val="18"/>
        </w:rPr>
      </w:pPr>
      <w:r w:rsidRPr="288A3578">
        <w:rPr>
          <w:rFonts w:ascii="Arial" w:hAnsi="Arial" w:cs="Arial"/>
          <w:sz w:val="18"/>
          <w:szCs w:val="18"/>
        </w:rPr>
        <w:t xml:space="preserve">* Veergude pealkirjad tähistavad seda, millist lühiajalise üüri mahu näitajat (külastused, ööd, ööbimised) </w:t>
      </w:r>
      <w:r w:rsidR="13862CB1" w:rsidRPr="288A3578">
        <w:rPr>
          <w:rFonts w:ascii="Arial" w:hAnsi="Arial" w:cs="Arial"/>
          <w:sz w:val="18"/>
          <w:szCs w:val="18"/>
        </w:rPr>
        <w:t xml:space="preserve">kasutati </w:t>
      </w:r>
      <w:r w:rsidRPr="288A3578">
        <w:rPr>
          <w:rFonts w:ascii="Arial" w:hAnsi="Arial" w:cs="Arial"/>
          <w:sz w:val="18"/>
          <w:szCs w:val="18"/>
        </w:rPr>
        <w:t>sõltumatu muutujana.</w:t>
      </w:r>
    </w:p>
    <w:p w14:paraId="6DFA83E5" w14:textId="2FE78783" w:rsidR="00D55140" w:rsidRPr="00C0423E" w:rsidRDefault="005D1877" w:rsidP="1C92C443">
      <w:pPr>
        <w:jc w:val="both"/>
        <w:rPr>
          <w:rFonts w:ascii="Arial" w:hAnsi="Arial" w:cs="Arial"/>
        </w:rPr>
      </w:pPr>
      <w:r w:rsidRPr="1C92C443">
        <w:rPr>
          <w:rFonts w:ascii="Arial" w:hAnsi="Arial" w:cs="Arial"/>
        </w:rPr>
        <w:t>Nii j</w:t>
      </w:r>
      <w:r w:rsidR="00D55140" w:rsidRPr="1C92C443">
        <w:rPr>
          <w:rFonts w:ascii="Arial" w:hAnsi="Arial" w:cs="Arial"/>
        </w:rPr>
        <w:t>aemüügi mahuindeks</w:t>
      </w:r>
      <w:r w:rsidRPr="1C92C443">
        <w:rPr>
          <w:rFonts w:ascii="Arial" w:hAnsi="Arial" w:cs="Arial"/>
        </w:rPr>
        <w:t xml:space="preserve"> kui ka Covid</w:t>
      </w:r>
      <w:r w:rsidR="00D55140" w:rsidRPr="1C92C443">
        <w:rPr>
          <w:rFonts w:ascii="Arial" w:hAnsi="Arial" w:cs="Arial"/>
        </w:rPr>
        <w:t xml:space="preserve"> kontrollmuutuja</w:t>
      </w:r>
      <w:r w:rsidRPr="1C92C443">
        <w:rPr>
          <w:rFonts w:ascii="Arial" w:hAnsi="Arial" w:cs="Arial"/>
        </w:rPr>
        <w:t>te</w:t>
      </w:r>
      <w:r w:rsidR="00D55140" w:rsidRPr="1C92C443">
        <w:rPr>
          <w:rFonts w:ascii="Arial" w:hAnsi="Arial" w:cs="Arial"/>
        </w:rPr>
        <w:t>na osutus</w:t>
      </w:r>
      <w:r w:rsidRPr="1C92C443">
        <w:rPr>
          <w:rFonts w:ascii="Arial" w:hAnsi="Arial" w:cs="Arial"/>
        </w:rPr>
        <w:t>id</w:t>
      </w:r>
      <w:r w:rsidR="00D55140" w:rsidRPr="1C92C443">
        <w:rPr>
          <w:rFonts w:ascii="Arial" w:hAnsi="Arial" w:cs="Arial"/>
        </w:rPr>
        <w:t xml:space="preserve"> statistiliselt oluliseks üksnes Tallinna </w:t>
      </w:r>
      <w:r w:rsidR="006020CD" w:rsidRPr="1C92C443">
        <w:rPr>
          <w:rFonts w:ascii="Arial" w:hAnsi="Arial" w:cs="Arial"/>
        </w:rPr>
        <w:t>v</w:t>
      </w:r>
      <w:r w:rsidR="00D55140" w:rsidRPr="1C92C443">
        <w:rPr>
          <w:rFonts w:ascii="Arial" w:hAnsi="Arial" w:cs="Arial"/>
        </w:rPr>
        <w:t>analinna mudeli</w:t>
      </w:r>
      <w:r w:rsidRPr="1C92C443">
        <w:rPr>
          <w:rFonts w:ascii="Arial" w:hAnsi="Arial" w:cs="Arial"/>
        </w:rPr>
        <w:t>te</w:t>
      </w:r>
      <w:r w:rsidR="00D55140" w:rsidRPr="1C92C443">
        <w:rPr>
          <w:rFonts w:ascii="Arial" w:hAnsi="Arial" w:cs="Arial"/>
        </w:rPr>
        <w:t xml:space="preserve">s, mis näitab, et seal on üüripakkumiste arv sõltuvuses majanduse olukorrast – mida </w:t>
      </w:r>
      <w:r w:rsidR="00722296" w:rsidRPr="1C92C443">
        <w:rPr>
          <w:rFonts w:ascii="Arial" w:hAnsi="Arial" w:cs="Arial"/>
        </w:rPr>
        <w:t xml:space="preserve">aktiivsem on </w:t>
      </w:r>
      <w:r w:rsidR="00D55140" w:rsidRPr="1C92C443">
        <w:rPr>
          <w:rFonts w:ascii="Arial" w:hAnsi="Arial" w:cs="Arial"/>
        </w:rPr>
        <w:t>majandus, seda vähem on ka pikaajalisel turul üüripakkumisi portaalis KV.ee.</w:t>
      </w:r>
      <w:r w:rsidR="009A211F" w:rsidRPr="1C92C443">
        <w:rPr>
          <w:rFonts w:ascii="Arial" w:hAnsi="Arial" w:cs="Arial"/>
        </w:rPr>
        <w:t xml:space="preserve"> </w:t>
      </w:r>
      <w:r w:rsidR="44F5D5EB" w:rsidRPr="1C92C443">
        <w:rPr>
          <w:rFonts w:ascii="Arial" w:hAnsi="Arial" w:cs="Arial"/>
        </w:rPr>
        <w:t>P</w:t>
      </w:r>
      <w:r w:rsidR="00EC0114" w:rsidRPr="1C92C443">
        <w:rPr>
          <w:rFonts w:ascii="Arial" w:hAnsi="Arial" w:cs="Arial"/>
        </w:rPr>
        <w:t>ärast Covidi algust on pakkumiste arv</w:t>
      </w:r>
      <w:r w:rsidR="00515BDF" w:rsidRPr="1C92C443">
        <w:rPr>
          <w:rFonts w:ascii="Arial" w:hAnsi="Arial" w:cs="Arial"/>
        </w:rPr>
        <w:t xml:space="preserve"> hinnatud mudeli järgi ligikaudu 50% suurem</w:t>
      </w:r>
      <w:r w:rsidR="008E2838" w:rsidRPr="1C92C443">
        <w:rPr>
          <w:rFonts w:ascii="Arial" w:hAnsi="Arial" w:cs="Arial"/>
        </w:rPr>
        <w:t xml:space="preserve">. </w:t>
      </w:r>
      <w:r w:rsidR="00C32737">
        <w:rPr>
          <w:rFonts w:ascii="Arial" w:hAnsi="Arial" w:cs="Arial"/>
        </w:rPr>
        <w:t xml:space="preserve">Samas tuleb arvestada, et </w:t>
      </w:r>
      <w:r w:rsidR="008E2838" w:rsidRPr="1C92C443">
        <w:rPr>
          <w:rFonts w:ascii="Arial" w:hAnsi="Arial" w:cs="Arial"/>
        </w:rPr>
        <w:t>Covid</w:t>
      </w:r>
      <w:r w:rsidR="00055622" w:rsidRPr="1C92C443">
        <w:rPr>
          <w:rFonts w:ascii="Arial" w:hAnsi="Arial" w:cs="Arial"/>
        </w:rPr>
        <w:t xml:space="preserve">i muutuja </w:t>
      </w:r>
      <w:r w:rsidR="00435167" w:rsidRPr="1C92C443">
        <w:rPr>
          <w:rFonts w:ascii="Arial" w:hAnsi="Arial" w:cs="Arial"/>
        </w:rPr>
        <w:t xml:space="preserve">mõõdab </w:t>
      </w:r>
      <w:r w:rsidR="006960DB">
        <w:rPr>
          <w:rFonts w:ascii="Arial" w:hAnsi="Arial" w:cs="Arial"/>
        </w:rPr>
        <w:t xml:space="preserve">nendes mudelites </w:t>
      </w:r>
      <w:r w:rsidR="00435167" w:rsidRPr="1C92C443">
        <w:rPr>
          <w:rFonts w:ascii="Arial" w:hAnsi="Arial" w:cs="Arial"/>
        </w:rPr>
        <w:t>laiemat struktuurset muutust majanduses ja ühiskonnas alates 2020. aasta algusest, mitte üksnes seost pandeemiaga.</w:t>
      </w:r>
    </w:p>
    <w:p w14:paraId="3EA2ECE4" w14:textId="60468155" w:rsidR="00D55140" w:rsidRPr="00C0423E" w:rsidRDefault="23558E80" w:rsidP="288A3578">
      <w:pPr>
        <w:jc w:val="both"/>
        <w:rPr>
          <w:rFonts w:ascii="Arial" w:hAnsi="Arial" w:cs="Arial"/>
        </w:rPr>
      </w:pPr>
      <w:r w:rsidRPr="288A3578">
        <w:rPr>
          <w:rFonts w:ascii="Arial" w:hAnsi="Arial" w:cs="Arial"/>
        </w:rPr>
        <w:t>Lisaks analüüsisime mõju üürihindadele Eesti</w:t>
      </w:r>
      <w:r w:rsidR="4352EA78" w:rsidRPr="288A3578">
        <w:rPr>
          <w:rFonts w:ascii="Arial" w:hAnsi="Arial" w:cs="Arial"/>
        </w:rPr>
        <w:t>s</w:t>
      </w:r>
      <w:r w:rsidRPr="288A3578">
        <w:rPr>
          <w:rFonts w:ascii="Arial" w:hAnsi="Arial" w:cs="Arial"/>
        </w:rPr>
        <w:t xml:space="preserve"> tervikuna põhieluaseme üürihinnaindeksi põhjal. Tabelis </w:t>
      </w:r>
      <w:r w:rsidR="7EBF31BD" w:rsidRPr="288A3578">
        <w:rPr>
          <w:rFonts w:ascii="Arial" w:hAnsi="Arial" w:cs="Arial"/>
        </w:rPr>
        <w:t>8</w:t>
      </w:r>
      <w:r w:rsidRPr="288A3578">
        <w:rPr>
          <w:rFonts w:ascii="Arial" w:hAnsi="Arial" w:cs="Arial"/>
        </w:rPr>
        <w:t xml:space="preserve"> on näidatud, et lühiajalise üüri turu mahu kasv 1% võrra</w:t>
      </w:r>
      <w:r w:rsidR="005539CB">
        <w:rPr>
          <w:rFonts w:ascii="Arial" w:hAnsi="Arial" w:cs="Arial"/>
        </w:rPr>
        <w:t>, sõltumata sellest, kas mõõta seda külastuste</w:t>
      </w:r>
      <w:r w:rsidR="00C24EA3">
        <w:rPr>
          <w:rFonts w:ascii="Arial" w:hAnsi="Arial" w:cs="Arial"/>
        </w:rPr>
        <w:t>,</w:t>
      </w:r>
      <w:r w:rsidR="005539CB">
        <w:rPr>
          <w:rFonts w:ascii="Arial" w:hAnsi="Arial" w:cs="Arial"/>
        </w:rPr>
        <w:t xml:space="preserve"> ööde või ööbimistena,</w:t>
      </w:r>
      <w:r w:rsidRPr="288A3578">
        <w:rPr>
          <w:rFonts w:ascii="Arial" w:hAnsi="Arial" w:cs="Arial"/>
        </w:rPr>
        <w:t xml:space="preserve"> suurendas uuritud perioodil üürihindu 0,0</w:t>
      </w:r>
      <w:r w:rsidR="008C1A50">
        <w:rPr>
          <w:rFonts w:ascii="Arial" w:hAnsi="Arial" w:cs="Arial"/>
        </w:rPr>
        <w:t>6</w:t>
      </w:r>
      <w:r w:rsidR="00872646">
        <w:rPr>
          <w:rFonts w:ascii="Arial" w:hAnsi="Arial" w:cs="Arial"/>
        </w:rPr>
        <w:t>-0,0</w:t>
      </w:r>
      <w:r w:rsidR="008C1A50">
        <w:rPr>
          <w:rFonts w:ascii="Arial" w:hAnsi="Arial" w:cs="Arial"/>
        </w:rPr>
        <w:t>7</w:t>
      </w:r>
      <w:r w:rsidRPr="288A3578">
        <w:rPr>
          <w:rFonts w:ascii="Arial" w:hAnsi="Arial" w:cs="Arial"/>
        </w:rPr>
        <w:t>% võrra. See tähendab seda, et kui eeldada nt üürihinda ruutmeetri kohta 10 eurot kuus, siis ööbimiste kasv aastas 30 000 võrra suurendab üürihinda 1 eurosendi võrra</w:t>
      </w:r>
      <w:r w:rsidR="00DC602D">
        <w:rPr>
          <w:rFonts w:ascii="Arial" w:hAnsi="Arial" w:cs="Arial"/>
        </w:rPr>
        <w:t xml:space="preserve"> ruutmeetri kohta</w:t>
      </w:r>
      <w:r w:rsidRPr="288A3578">
        <w:rPr>
          <w:rFonts w:ascii="Arial" w:hAnsi="Arial" w:cs="Arial"/>
        </w:rPr>
        <w:t>. Kontrollmuutujate kohta antud hinnangute järgi on hinnad seda kõrgemad, mida suurem on reaalne kogutoodang ning seda väiksem, mida rohkem on registreeritud töötuid.</w:t>
      </w:r>
    </w:p>
    <w:p w14:paraId="0B66B4AF" w14:textId="535B9211" w:rsidR="00D55140" w:rsidRDefault="00D55140" w:rsidP="00301653">
      <w:pPr>
        <w:pStyle w:val="TableTitle"/>
      </w:pPr>
      <w:r w:rsidRPr="00C0423E">
        <w:t xml:space="preserve">Tabel </w:t>
      </w:r>
      <w:r w:rsidR="00F06CA2">
        <w:t>8</w:t>
      </w:r>
      <w:r w:rsidRPr="00C0423E">
        <w:t>. Eluasemete üürhindade seos lühiajalise üüri</w:t>
      </w:r>
      <w:r>
        <w:t>misega</w:t>
      </w:r>
      <w:r w:rsidR="00137F2F">
        <w:t xml:space="preserve"> 2020-2023</w:t>
      </w:r>
    </w:p>
    <w:tbl>
      <w:tblPr>
        <w:tblStyle w:val="Loetelutabel3rhk13"/>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2160"/>
        <w:gridCol w:w="1980"/>
        <w:gridCol w:w="1800"/>
        <w:gridCol w:w="8"/>
        <w:gridCol w:w="1972"/>
      </w:tblGrid>
      <w:tr w:rsidR="006F4C3F" w:rsidRPr="0029621C" w14:paraId="67E403F1" w14:textId="77777777" w:rsidTr="00A86E7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335" w:type="dxa"/>
            <w:vMerge w:val="restart"/>
          </w:tcPr>
          <w:p w14:paraId="679CEE80" w14:textId="77777777" w:rsidR="00E1692B" w:rsidRPr="0029621C" w:rsidRDefault="00E1692B" w:rsidP="00A86E7E">
            <w:pPr>
              <w:jc w:val="both"/>
              <w:rPr>
                <w:rFonts w:ascii="Arial" w:eastAsia="Arial" w:hAnsi="Arial" w:cs="Arial"/>
                <w:sz w:val="20"/>
                <w:szCs w:val="20"/>
              </w:rPr>
            </w:pPr>
            <w:r w:rsidRPr="0029621C">
              <w:rPr>
                <w:rFonts w:ascii="Arial" w:eastAsia="Arial" w:hAnsi="Arial" w:cs="Arial"/>
                <w:sz w:val="20"/>
                <w:szCs w:val="20"/>
              </w:rPr>
              <w:t>Muutuja</w:t>
            </w:r>
          </w:p>
        </w:tc>
        <w:tc>
          <w:tcPr>
            <w:tcW w:w="7920" w:type="dxa"/>
            <w:gridSpan w:val="5"/>
          </w:tcPr>
          <w:p w14:paraId="0A768DB4" w14:textId="77777777" w:rsidR="00E1692B" w:rsidRPr="0029621C" w:rsidRDefault="00E1692B"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Koefitsiendid (standardvead)</w:t>
            </w:r>
          </w:p>
        </w:tc>
      </w:tr>
      <w:tr w:rsidR="00DD03A4" w:rsidRPr="0029621C" w14:paraId="3705163E" w14:textId="77777777" w:rsidTr="00A86E7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335" w:type="dxa"/>
            <w:vMerge/>
          </w:tcPr>
          <w:p w14:paraId="4C6FC5C5" w14:textId="77777777" w:rsidR="00E1692B" w:rsidRPr="0029621C" w:rsidRDefault="00E1692B" w:rsidP="00A86E7E">
            <w:pPr>
              <w:jc w:val="both"/>
              <w:rPr>
                <w:rFonts w:ascii="Arial" w:eastAsia="Arial" w:hAnsi="Arial" w:cs="Arial"/>
                <w:sz w:val="20"/>
                <w:szCs w:val="20"/>
              </w:rPr>
            </w:pPr>
          </w:p>
        </w:tc>
        <w:tc>
          <w:tcPr>
            <w:tcW w:w="2160" w:type="dxa"/>
            <w:shd w:val="clear" w:color="auto" w:fill="ACAEAC"/>
          </w:tcPr>
          <w:p w14:paraId="7702E4DD" w14:textId="77777777" w:rsidR="00E1692B" w:rsidRPr="00A34307" w:rsidRDefault="00E1692B"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34307">
              <w:rPr>
                <w:rFonts w:ascii="Arial" w:eastAsia="Arial" w:hAnsi="Arial" w:cs="Arial"/>
                <w:color w:val="auto"/>
                <w:sz w:val="20"/>
                <w:szCs w:val="20"/>
              </w:rPr>
              <w:t>Külastused</w:t>
            </w:r>
          </w:p>
        </w:tc>
        <w:tc>
          <w:tcPr>
            <w:tcW w:w="1980" w:type="dxa"/>
            <w:shd w:val="clear" w:color="auto" w:fill="ACAEAC"/>
          </w:tcPr>
          <w:p w14:paraId="4512F6D5" w14:textId="77777777" w:rsidR="00E1692B" w:rsidRPr="00A34307" w:rsidRDefault="00E1692B"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34307">
              <w:rPr>
                <w:rFonts w:ascii="Arial" w:eastAsia="Arial" w:hAnsi="Arial" w:cs="Arial"/>
                <w:color w:val="auto"/>
                <w:sz w:val="20"/>
                <w:szCs w:val="20"/>
              </w:rPr>
              <w:t>Ööd</w:t>
            </w:r>
          </w:p>
        </w:tc>
        <w:tc>
          <w:tcPr>
            <w:tcW w:w="1800" w:type="dxa"/>
            <w:shd w:val="clear" w:color="auto" w:fill="ACAEAC"/>
          </w:tcPr>
          <w:p w14:paraId="03942FA9" w14:textId="77777777" w:rsidR="00E1692B" w:rsidRPr="00A34307" w:rsidRDefault="00E1692B"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34307">
              <w:rPr>
                <w:rFonts w:ascii="Arial" w:eastAsia="Arial" w:hAnsi="Arial" w:cs="Arial"/>
                <w:color w:val="auto"/>
                <w:sz w:val="20"/>
                <w:szCs w:val="20"/>
              </w:rPr>
              <w:t>Ööbimised</w:t>
            </w:r>
          </w:p>
        </w:tc>
        <w:tc>
          <w:tcPr>
            <w:tcW w:w="1980" w:type="dxa"/>
            <w:gridSpan w:val="2"/>
            <w:shd w:val="clear" w:color="auto" w:fill="ACAEAC"/>
          </w:tcPr>
          <w:p w14:paraId="66F5178C" w14:textId="77777777" w:rsidR="00E1692B" w:rsidRPr="00A34307" w:rsidRDefault="00E1692B"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34307">
              <w:rPr>
                <w:rFonts w:ascii="Arial" w:eastAsia="Arial" w:hAnsi="Arial" w:cs="Arial"/>
                <w:color w:val="auto"/>
                <w:sz w:val="20"/>
                <w:szCs w:val="20"/>
              </w:rPr>
              <w:t>Ööbimised</w:t>
            </w:r>
          </w:p>
        </w:tc>
      </w:tr>
      <w:tr w:rsidR="006B1E5D" w:rsidRPr="0029621C" w14:paraId="46838100" w14:textId="77777777" w:rsidTr="00A86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6E39AD5A" w14:textId="77777777" w:rsidR="00E1692B" w:rsidRPr="0029621C" w:rsidRDefault="00E1692B" w:rsidP="00A86E7E">
            <w:pPr>
              <w:jc w:val="both"/>
              <w:rPr>
                <w:rFonts w:ascii="Arial" w:eastAsia="Arial" w:hAnsi="Arial" w:cs="Arial"/>
                <w:sz w:val="20"/>
                <w:szCs w:val="20"/>
              </w:rPr>
            </w:pPr>
            <w:r w:rsidRPr="0029621C">
              <w:rPr>
                <w:rFonts w:ascii="Arial" w:eastAsia="Arial" w:hAnsi="Arial" w:cs="Arial"/>
                <w:sz w:val="20"/>
                <w:szCs w:val="20"/>
              </w:rPr>
              <w:t>Vabaliige</w:t>
            </w:r>
          </w:p>
        </w:tc>
        <w:tc>
          <w:tcPr>
            <w:tcW w:w="2160" w:type="dxa"/>
          </w:tcPr>
          <w:p w14:paraId="35BC3EAC"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w:t>
            </w:r>
          </w:p>
        </w:tc>
        <w:tc>
          <w:tcPr>
            <w:tcW w:w="1980" w:type="dxa"/>
          </w:tcPr>
          <w:p w14:paraId="11BD1265"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w:t>
            </w:r>
          </w:p>
        </w:tc>
        <w:tc>
          <w:tcPr>
            <w:tcW w:w="1800" w:type="dxa"/>
          </w:tcPr>
          <w:p w14:paraId="1D77723A"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w:t>
            </w:r>
          </w:p>
        </w:tc>
        <w:tc>
          <w:tcPr>
            <w:tcW w:w="1980" w:type="dxa"/>
            <w:gridSpan w:val="2"/>
          </w:tcPr>
          <w:p w14:paraId="0A65E421"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-0,0</w:t>
            </w:r>
            <w:r>
              <w:rPr>
                <w:rFonts w:ascii="Arial" w:eastAsia="Arial" w:hAnsi="Arial" w:cs="Arial"/>
                <w:sz w:val="20"/>
                <w:szCs w:val="20"/>
              </w:rPr>
              <w:t>40</w:t>
            </w:r>
          </w:p>
          <w:p w14:paraId="01ED7D4A"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lastRenderedPageBreak/>
              <w:t>(0,0</w:t>
            </w:r>
            <w:r>
              <w:rPr>
                <w:rFonts w:ascii="Arial" w:eastAsia="Arial" w:hAnsi="Arial" w:cs="Arial"/>
                <w:sz w:val="20"/>
                <w:szCs w:val="20"/>
              </w:rPr>
              <w:t>07</w:t>
            </w:r>
            <w:r w:rsidRPr="0029621C">
              <w:rPr>
                <w:rFonts w:ascii="Arial" w:eastAsia="Arial" w:hAnsi="Arial" w:cs="Arial"/>
                <w:sz w:val="20"/>
                <w:szCs w:val="20"/>
              </w:rPr>
              <w:t>)</w:t>
            </w:r>
          </w:p>
        </w:tc>
      </w:tr>
      <w:tr w:rsidR="006B1E5D" w:rsidRPr="0029621C" w14:paraId="12F436AD" w14:textId="77777777" w:rsidTr="00A86E7E">
        <w:tc>
          <w:tcPr>
            <w:cnfStyle w:val="001000000000" w:firstRow="0" w:lastRow="0" w:firstColumn="1" w:lastColumn="0" w:oddVBand="0" w:evenVBand="0" w:oddHBand="0" w:evenHBand="0" w:firstRowFirstColumn="0" w:firstRowLastColumn="0" w:lastRowFirstColumn="0" w:lastRowLastColumn="0"/>
            <w:tcW w:w="2335" w:type="dxa"/>
          </w:tcPr>
          <w:p w14:paraId="16C5DEBD" w14:textId="77777777" w:rsidR="00E1692B" w:rsidRPr="0029621C" w:rsidRDefault="00E1692B" w:rsidP="00A86E7E">
            <w:pPr>
              <w:jc w:val="both"/>
              <w:rPr>
                <w:rFonts w:ascii="Arial" w:eastAsia="Arial" w:hAnsi="Arial" w:cs="Arial"/>
                <w:sz w:val="20"/>
                <w:szCs w:val="20"/>
              </w:rPr>
            </w:pPr>
            <w:r w:rsidRPr="0029621C">
              <w:rPr>
                <w:rFonts w:ascii="Arial" w:eastAsia="Arial" w:hAnsi="Arial" w:cs="Arial"/>
                <w:sz w:val="20"/>
                <w:szCs w:val="20"/>
              </w:rPr>
              <w:lastRenderedPageBreak/>
              <w:t>Lühiajaline üürimine*</w:t>
            </w:r>
          </w:p>
        </w:tc>
        <w:tc>
          <w:tcPr>
            <w:tcW w:w="2160" w:type="dxa"/>
          </w:tcPr>
          <w:p w14:paraId="3FFEA445"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0,0</w:t>
            </w:r>
            <w:r>
              <w:rPr>
                <w:rFonts w:ascii="Arial" w:eastAsia="Arial" w:hAnsi="Arial" w:cs="Arial"/>
                <w:sz w:val="20"/>
                <w:szCs w:val="20"/>
              </w:rPr>
              <w:t>60</w:t>
            </w:r>
          </w:p>
          <w:p w14:paraId="26F0B9F8"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(0,016)</w:t>
            </w:r>
          </w:p>
        </w:tc>
        <w:tc>
          <w:tcPr>
            <w:tcW w:w="1980" w:type="dxa"/>
          </w:tcPr>
          <w:p w14:paraId="7C1B1CD5"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0,0</w:t>
            </w:r>
            <w:r>
              <w:rPr>
                <w:rFonts w:ascii="Arial" w:eastAsia="Arial" w:hAnsi="Arial" w:cs="Arial"/>
                <w:sz w:val="20"/>
                <w:szCs w:val="20"/>
              </w:rPr>
              <w:t>75</w:t>
            </w:r>
          </w:p>
          <w:p w14:paraId="372E0AFE"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(0,0</w:t>
            </w:r>
            <w:r>
              <w:rPr>
                <w:rFonts w:ascii="Arial" w:eastAsia="Arial" w:hAnsi="Arial" w:cs="Arial"/>
                <w:sz w:val="20"/>
                <w:szCs w:val="20"/>
              </w:rPr>
              <w:t>20</w:t>
            </w:r>
            <w:r w:rsidRPr="0029621C">
              <w:rPr>
                <w:rFonts w:ascii="Arial" w:eastAsia="Arial" w:hAnsi="Arial" w:cs="Arial"/>
                <w:sz w:val="20"/>
                <w:szCs w:val="20"/>
              </w:rPr>
              <w:t>)</w:t>
            </w:r>
          </w:p>
        </w:tc>
        <w:tc>
          <w:tcPr>
            <w:tcW w:w="1800" w:type="dxa"/>
          </w:tcPr>
          <w:p w14:paraId="7C689699"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0,0</w:t>
            </w:r>
            <w:r>
              <w:rPr>
                <w:rFonts w:ascii="Arial" w:eastAsia="Arial" w:hAnsi="Arial" w:cs="Arial"/>
                <w:sz w:val="20"/>
                <w:szCs w:val="20"/>
              </w:rPr>
              <w:t>62</w:t>
            </w:r>
          </w:p>
          <w:p w14:paraId="5366741A"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(0,01</w:t>
            </w:r>
            <w:r>
              <w:rPr>
                <w:rFonts w:ascii="Arial" w:eastAsia="Arial" w:hAnsi="Arial" w:cs="Arial"/>
                <w:sz w:val="20"/>
                <w:szCs w:val="20"/>
              </w:rPr>
              <w:t>7</w:t>
            </w:r>
            <w:r w:rsidRPr="0029621C">
              <w:rPr>
                <w:rFonts w:ascii="Arial" w:eastAsia="Arial" w:hAnsi="Arial" w:cs="Arial"/>
                <w:sz w:val="20"/>
                <w:szCs w:val="20"/>
              </w:rPr>
              <w:t>)</w:t>
            </w:r>
          </w:p>
        </w:tc>
        <w:tc>
          <w:tcPr>
            <w:tcW w:w="1980" w:type="dxa"/>
            <w:gridSpan w:val="2"/>
          </w:tcPr>
          <w:p w14:paraId="1C80E17D"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0,0</w:t>
            </w:r>
            <w:r>
              <w:rPr>
                <w:rFonts w:ascii="Arial" w:eastAsia="Arial" w:hAnsi="Arial" w:cs="Arial"/>
                <w:sz w:val="20"/>
                <w:szCs w:val="20"/>
              </w:rPr>
              <w:t>8</w:t>
            </w:r>
            <w:r w:rsidRPr="0029621C">
              <w:rPr>
                <w:rFonts w:ascii="Arial" w:eastAsia="Arial" w:hAnsi="Arial" w:cs="Arial"/>
                <w:sz w:val="20"/>
                <w:szCs w:val="20"/>
              </w:rPr>
              <w:t>7</w:t>
            </w:r>
          </w:p>
          <w:p w14:paraId="17573C4C"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(0,01</w:t>
            </w:r>
            <w:r>
              <w:rPr>
                <w:rFonts w:ascii="Arial" w:eastAsia="Arial" w:hAnsi="Arial" w:cs="Arial"/>
                <w:sz w:val="20"/>
                <w:szCs w:val="20"/>
              </w:rPr>
              <w:t>8</w:t>
            </w:r>
            <w:r w:rsidRPr="0029621C">
              <w:rPr>
                <w:rFonts w:ascii="Arial" w:eastAsia="Arial" w:hAnsi="Arial" w:cs="Arial"/>
                <w:sz w:val="20"/>
                <w:szCs w:val="20"/>
              </w:rPr>
              <w:t>)</w:t>
            </w:r>
          </w:p>
        </w:tc>
      </w:tr>
      <w:tr w:rsidR="006B1E5D" w:rsidRPr="0029621C" w14:paraId="010C8CF8" w14:textId="77777777" w:rsidTr="00A86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08462F2A" w14:textId="77777777" w:rsidR="00E1692B" w:rsidRPr="0029621C" w:rsidRDefault="00E1692B" w:rsidP="00A86E7E">
            <w:pPr>
              <w:jc w:val="both"/>
              <w:rPr>
                <w:rFonts w:ascii="Arial" w:eastAsia="Arial" w:hAnsi="Arial" w:cs="Arial"/>
                <w:sz w:val="20"/>
                <w:szCs w:val="20"/>
              </w:rPr>
            </w:pPr>
            <w:r w:rsidRPr="0029621C">
              <w:rPr>
                <w:rFonts w:ascii="Arial" w:eastAsia="Arial" w:hAnsi="Arial" w:cs="Arial"/>
                <w:sz w:val="20"/>
                <w:szCs w:val="20"/>
              </w:rPr>
              <w:t>Reaalne SKP</w:t>
            </w:r>
          </w:p>
        </w:tc>
        <w:tc>
          <w:tcPr>
            <w:tcW w:w="2160" w:type="dxa"/>
          </w:tcPr>
          <w:p w14:paraId="078C0B71"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w:t>
            </w:r>
            <w:r>
              <w:rPr>
                <w:rFonts w:ascii="Arial" w:eastAsia="Arial" w:hAnsi="Arial" w:cs="Arial"/>
                <w:sz w:val="20"/>
                <w:szCs w:val="20"/>
              </w:rPr>
              <w:t>955</w:t>
            </w:r>
          </w:p>
          <w:p w14:paraId="229FB5D6"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(0,3</w:t>
            </w:r>
            <w:r>
              <w:rPr>
                <w:rFonts w:ascii="Arial" w:eastAsia="Arial" w:hAnsi="Arial" w:cs="Arial"/>
                <w:sz w:val="20"/>
                <w:szCs w:val="20"/>
              </w:rPr>
              <w:t>54</w:t>
            </w:r>
            <w:r w:rsidRPr="0029621C">
              <w:rPr>
                <w:rFonts w:ascii="Arial" w:eastAsia="Arial" w:hAnsi="Arial" w:cs="Arial"/>
                <w:sz w:val="20"/>
                <w:szCs w:val="20"/>
              </w:rPr>
              <w:t>)</w:t>
            </w:r>
          </w:p>
        </w:tc>
        <w:tc>
          <w:tcPr>
            <w:tcW w:w="1980" w:type="dxa"/>
          </w:tcPr>
          <w:p w14:paraId="640F86AA"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w:t>
            </w:r>
            <w:r w:rsidRPr="0029621C">
              <w:rPr>
                <w:rFonts w:ascii="Arial" w:eastAsia="Arial" w:hAnsi="Arial" w:cs="Arial"/>
                <w:sz w:val="20"/>
                <w:szCs w:val="20"/>
              </w:rPr>
              <w:t>,</w:t>
            </w:r>
            <w:r>
              <w:rPr>
                <w:rFonts w:ascii="Arial" w:eastAsia="Arial" w:hAnsi="Arial" w:cs="Arial"/>
                <w:sz w:val="20"/>
                <w:szCs w:val="20"/>
              </w:rPr>
              <w:t>008</w:t>
            </w:r>
          </w:p>
          <w:p w14:paraId="42AE233D"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(0,3</w:t>
            </w:r>
            <w:r>
              <w:rPr>
                <w:rFonts w:ascii="Arial" w:eastAsia="Arial" w:hAnsi="Arial" w:cs="Arial"/>
                <w:sz w:val="20"/>
                <w:szCs w:val="20"/>
              </w:rPr>
              <w:t>53</w:t>
            </w:r>
            <w:r w:rsidRPr="0029621C">
              <w:rPr>
                <w:rFonts w:ascii="Arial" w:eastAsia="Arial" w:hAnsi="Arial" w:cs="Arial"/>
                <w:sz w:val="20"/>
                <w:szCs w:val="20"/>
              </w:rPr>
              <w:t>)</w:t>
            </w:r>
          </w:p>
        </w:tc>
        <w:tc>
          <w:tcPr>
            <w:tcW w:w="1800" w:type="dxa"/>
          </w:tcPr>
          <w:p w14:paraId="2D8AC230"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1,021</w:t>
            </w:r>
          </w:p>
          <w:p w14:paraId="3F487BE9"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(0,3</w:t>
            </w:r>
            <w:r>
              <w:rPr>
                <w:rFonts w:ascii="Arial" w:eastAsia="Arial" w:hAnsi="Arial" w:cs="Arial"/>
                <w:sz w:val="20"/>
                <w:szCs w:val="20"/>
              </w:rPr>
              <w:t>63</w:t>
            </w:r>
            <w:r w:rsidRPr="0029621C">
              <w:rPr>
                <w:rFonts w:ascii="Arial" w:eastAsia="Arial" w:hAnsi="Arial" w:cs="Arial"/>
                <w:sz w:val="20"/>
                <w:szCs w:val="20"/>
              </w:rPr>
              <w:t>)</w:t>
            </w:r>
          </w:p>
        </w:tc>
        <w:tc>
          <w:tcPr>
            <w:tcW w:w="1980" w:type="dxa"/>
            <w:gridSpan w:val="2"/>
          </w:tcPr>
          <w:p w14:paraId="5AC676A1"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w:t>
            </w:r>
            <w:r>
              <w:rPr>
                <w:rFonts w:ascii="Arial" w:eastAsia="Arial" w:hAnsi="Arial" w:cs="Arial"/>
                <w:sz w:val="20"/>
                <w:szCs w:val="20"/>
              </w:rPr>
              <w:t>368</w:t>
            </w:r>
          </w:p>
          <w:p w14:paraId="0AC1E84A"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(0,0</w:t>
            </w:r>
            <w:r>
              <w:rPr>
                <w:rFonts w:ascii="Arial" w:eastAsia="Arial" w:hAnsi="Arial" w:cs="Arial"/>
                <w:sz w:val="20"/>
                <w:szCs w:val="20"/>
              </w:rPr>
              <w:t>66</w:t>
            </w:r>
            <w:r w:rsidRPr="0029621C">
              <w:rPr>
                <w:rFonts w:ascii="Arial" w:eastAsia="Arial" w:hAnsi="Arial" w:cs="Arial"/>
                <w:sz w:val="20"/>
                <w:szCs w:val="20"/>
              </w:rPr>
              <w:t>)</w:t>
            </w:r>
          </w:p>
        </w:tc>
      </w:tr>
      <w:tr w:rsidR="006B1E5D" w:rsidRPr="0029621C" w14:paraId="496F9846" w14:textId="77777777" w:rsidTr="00A86E7E">
        <w:tc>
          <w:tcPr>
            <w:cnfStyle w:val="001000000000" w:firstRow="0" w:lastRow="0" w:firstColumn="1" w:lastColumn="0" w:oddVBand="0" w:evenVBand="0" w:oddHBand="0" w:evenHBand="0" w:firstRowFirstColumn="0" w:firstRowLastColumn="0" w:lastRowFirstColumn="0" w:lastRowLastColumn="0"/>
            <w:tcW w:w="2335" w:type="dxa"/>
          </w:tcPr>
          <w:p w14:paraId="2FFF858A" w14:textId="77777777" w:rsidR="00E1692B" w:rsidRPr="0029621C" w:rsidRDefault="00E1692B" w:rsidP="00A86E7E">
            <w:pPr>
              <w:jc w:val="both"/>
              <w:rPr>
                <w:rFonts w:ascii="Arial" w:eastAsia="Arial" w:hAnsi="Arial" w:cs="Arial"/>
                <w:sz w:val="20"/>
                <w:szCs w:val="20"/>
              </w:rPr>
            </w:pPr>
            <w:r w:rsidRPr="0029621C">
              <w:rPr>
                <w:rFonts w:ascii="Arial" w:eastAsia="Arial" w:hAnsi="Arial" w:cs="Arial"/>
                <w:sz w:val="20"/>
                <w:szCs w:val="20"/>
              </w:rPr>
              <w:t>Töötute arv</w:t>
            </w:r>
          </w:p>
        </w:tc>
        <w:tc>
          <w:tcPr>
            <w:tcW w:w="2160" w:type="dxa"/>
          </w:tcPr>
          <w:p w14:paraId="78B2D06D"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w:t>
            </w:r>
            <w:r>
              <w:rPr>
                <w:rFonts w:ascii="Arial" w:eastAsia="Arial" w:hAnsi="Arial" w:cs="Arial"/>
                <w:sz w:val="20"/>
                <w:szCs w:val="20"/>
              </w:rPr>
              <w:t>160</w:t>
            </w:r>
          </w:p>
          <w:p w14:paraId="7EF2E8DE"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(0,09</w:t>
            </w:r>
            <w:r>
              <w:rPr>
                <w:rFonts w:ascii="Arial" w:eastAsia="Arial" w:hAnsi="Arial" w:cs="Arial"/>
                <w:sz w:val="20"/>
                <w:szCs w:val="20"/>
              </w:rPr>
              <w:t>8</w:t>
            </w:r>
            <w:r w:rsidRPr="0029621C">
              <w:rPr>
                <w:rFonts w:ascii="Arial" w:eastAsia="Arial" w:hAnsi="Arial" w:cs="Arial"/>
                <w:sz w:val="20"/>
                <w:szCs w:val="20"/>
              </w:rPr>
              <w:t>)</w:t>
            </w:r>
          </w:p>
        </w:tc>
        <w:tc>
          <w:tcPr>
            <w:tcW w:w="1980" w:type="dxa"/>
          </w:tcPr>
          <w:p w14:paraId="47DC95D8"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w:t>
            </w:r>
            <w:r>
              <w:rPr>
                <w:rFonts w:ascii="Arial" w:eastAsia="Arial" w:hAnsi="Arial" w:cs="Arial"/>
                <w:sz w:val="20"/>
                <w:szCs w:val="20"/>
              </w:rPr>
              <w:t>164</w:t>
            </w:r>
          </w:p>
          <w:p w14:paraId="746D496C"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w:t>
            </w:r>
            <w:r>
              <w:rPr>
                <w:rFonts w:ascii="Arial" w:eastAsia="Arial" w:hAnsi="Arial" w:cs="Arial"/>
                <w:sz w:val="20"/>
                <w:szCs w:val="20"/>
              </w:rPr>
              <w:t>099</w:t>
            </w:r>
            <w:r w:rsidRPr="0029621C">
              <w:rPr>
                <w:rFonts w:ascii="Arial" w:eastAsia="Arial" w:hAnsi="Arial" w:cs="Arial"/>
                <w:sz w:val="20"/>
                <w:szCs w:val="20"/>
              </w:rPr>
              <w:t>)</w:t>
            </w:r>
          </w:p>
        </w:tc>
        <w:tc>
          <w:tcPr>
            <w:tcW w:w="1800" w:type="dxa"/>
          </w:tcPr>
          <w:p w14:paraId="1FA698CA"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w:t>
            </w:r>
            <w:r>
              <w:rPr>
                <w:rFonts w:ascii="Arial" w:eastAsia="Arial" w:hAnsi="Arial" w:cs="Arial"/>
                <w:sz w:val="20"/>
                <w:szCs w:val="20"/>
              </w:rPr>
              <w:t>,159</w:t>
            </w:r>
          </w:p>
          <w:p w14:paraId="55404E3B"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w:t>
            </w:r>
            <w:r>
              <w:rPr>
                <w:rFonts w:ascii="Arial" w:eastAsia="Arial" w:hAnsi="Arial" w:cs="Arial"/>
                <w:sz w:val="20"/>
                <w:szCs w:val="20"/>
              </w:rPr>
              <w:t>099</w:t>
            </w:r>
            <w:r w:rsidRPr="0029621C">
              <w:rPr>
                <w:rFonts w:ascii="Arial" w:eastAsia="Arial" w:hAnsi="Arial" w:cs="Arial"/>
                <w:sz w:val="20"/>
                <w:szCs w:val="20"/>
              </w:rPr>
              <w:t>)</w:t>
            </w:r>
          </w:p>
        </w:tc>
        <w:tc>
          <w:tcPr>
            <w:tcW w:w="1980" w:type="dxa"/>
            <w:gridSpan w:val="2"/>
          </w:tcPr>
          <w:p w14:paraId="1F0606E6"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w:t>
            </w:r>
            <w:r>
              <w:rPr>
                <w:rFonts w:ascii="Arial" w:eastAsia="Arial" w:hAnsi="Arial" w:cs="Arial"/>
                <w:sz w:val="20"/>
                <w:szCs w:val="20"/>
              </w:rPr>
              <w:t>164</w:t>
            </w:r>
          </w:p>
          <w:p w14:paraId="45437AC0"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(0,03</w:t>
            </w:r>
            <w:r>
              <w:rPr>
                <w:rFonts w:ascii="Arial" w:eastAsia="Arial" w:hAnsi="Arial" w:cs="Arial"/>
                <w:sz w:val="20"/>
                <w:szCs w:val="20"/>
              </w:rPr>
              <w:t>2</w:t>
            </w:r>
            <w:r w:rsidRPr="0029621C">
              <w:rPr>
                <w:rFonts w:ascii="Arial" w:eastAsia="Arial" w:hAnsi="Arial" w:cs="Arial"/>
                <w:sz w:val="20"/>
                <w:szCs w:val="20"/>
              </w:rPr>
              <w:t>)</w:t>
            </w:r>
          </w:p>
        </w:tc>
      </w:tr>
      <w:tr w:rsidR="006B1E5D" w:rsidRPr="0029621C" w14:paraId="2537C9B4" w14:textId="77777777" w:rsidTr="00A86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5D2E7EF4" w14:textId="77777777" w:rsidR="00E1692B" w:rsidRPr="005D2BE8" w:rsidRDefault="00E1692B" w:rsidP="00A86E7E">
            <w:pPr>
              <w:jc w:val="both"/>
              <w:rPr>
                <w:rFonts w:ascii="Arial" w:eastAsia="Arial" w:hAnsi="Arial" w:cs="Arial"/>
                <w:sz w:val="20"/>
                <w:szCs w:val="20"/>
              </w:rPr>
            </w:pPr>
            <w:r w:rsidRPr="005D2BE8">
              <w:rPr>
                <w:rFonts w:ascii="Arial" w:eastAsia="Arial" w:hAnsi="Arial" w:cs="Arial"/>
                <w:sz w:val="20"/>
                <w:szCs w:val="20"/>
              </w:rPr>
              <w:t>Kasutuslubade arv</w:t>
            </w:r>
          </w:p>
        </w:tc>
        <w:tc>
          <w:tcPr>
            <w:tcW w:w="2160" w:type="dxa"/>
          </w:tcPr>
          <w:p w14:paraId="5BC93400" w14:textId="77777777" w:rsidR="00E1692B"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0,091</w:t>
            </w:r>
          </w:p>
          <w:p w14:paraId="50DCCA47"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(0,038)</w:t>
            </w:r>
          </w:p>
        </w:tc>
        <w:tc>
          <w:tcPr>
            <w:tcW w:w="1980" w:type="dxa"/>
          </w:tcPr>
          <w:p w14:paraId="4148DD4F" w14:textId="77777777" w:rsidR="00E1692B"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0,102</w:t>
            </w:r>
          </w:p>
          <w:p w14:paraId="235EFF89"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(0,038)</w:t>
            </w:r>
          </w:p>
        </w:tc>
        <w:tc>
          <w:tcPr>
            <w:tcW w:w="1800" w:type="dxa"/>
          </w:tcPr>
          <w:p w14:paraId="0E7DEA76" w14:textId="77777777" w:rsidR="00E1692B"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0,099</w:t>
            </w:r>
          </w:p>
          <w:p w14:paraId="0F98737B"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(0,038)</w:t>
            </w:r>
          </w:p>
        </w:tc>
        <w:tc>
          <w:tcPr>
            <w:tcW w:w="1980" w:type="dxa"/>
            <w:gridSpan w:val="2"/>
          </w:tcPr>
          <w:p w14:paraId="6692FB84" w14:textId="77777777" w:rsidR="00E1692B"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-0,020</w:t>
            </w:r>
          </w:p>
          <w:p w14:paraId="2FC7DBE2"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(0,007)</w:t>
            </w:r>
          </w:p>
        </w:tc>
      </w:tr>
      <w:tr w:rsidR="006B1E5D" w:rsidRPr="0029621C" w14:paraId="60001401" w14:textId="77777777" w:rsidTr="00A86E7E">
        <w:tc>
          <w:tcPr>
            <w:cnfStyle w:val="001000000000" w:firstRow="0" w:lastRow="0" w:firstColumn="1" w:lastColumn="0" w:oddVBand="0" w:evenVBand="0" w:oddHBand="0" w:evenHBand="0" w:firstRowFirstColumn="0" w:firstRowLastColumn="0" w:lastRowFirstColumn="0" w:lastRowLastColumn="0"/>
            <w:tcW w:w="2335" w:type="dxa"/>
          </w:tcPr>
          <w:p w14:paraId="5E079314" w14:textId="77777777" w:rsidR="00E1692B" w:rsidRPr="005D2BE8" w:rsidRDefault="00E1692B" w:rsidP="00A86E7E">
            <w:pPr>
              <w:jc w:val="both"/>
              <w:rPr>
                <w:rFonts w:ascii="Arial" w:eastAsia="Arial" w:hAnsi="Arial" w:cs="Arial"/>
                <w:sz w:val="20"/>
                <w:szCs w:val="20"/>
              </w:rPr>
            </w:pPr>
            <w:r w:rsidRPr="005D2BE8">
              <w:rPr>
                <w:rFonts w:ascii="Arial" w:eastAsia="Arial" w:hAnsi="Arial" w:cs="Arial"/>
                <w:sz w:val="20"/>
                <w:szCs w:val="20"/>
              </w:rPr>
              <w:t>AR(1)</w:t>
            </w:r>
          </w:p>
        </w:tc>
        <w:tc>
          <w:tcPr>
            <w:tcW w:w="2160" w:type="dxa"/>
          </w:tcPr>
          <w:p w14:paraId="63A24593" w14:textId="77777777" w:rsidR="00E1692B"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-0,274</w:t>
            </w:r>
          </w:p>
          <w:p w14:paraId="6353F40A"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(0,162)</w:t>
            </w:r>
          </w:p>
        </w:tc>
        <w:tc>
          <w:tcPr>
            <w:tcW w:w="1980" w:type="dxa"/>
          </w:tcPr>
          <w:p w14:paraId="26C60318" w14:textId="77777777" w:rsidR="00E1692B"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-0,223</w:t>
            </w:r>
          </w:p>
          <w:p w14:paraId="157172EF"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(0,168)</w:t>
            </w:r>
          </w:p>
        </w:tc>
        <w:tc>
          <w:tcPr>
            <w:tcW w:w="1800" w:type="dxa"/>
          </w:tcPr>
          <w:p w14:paraId="3C52EBAE" w14:textId="77777777" w:rsidR="00E1692B"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-0,237</w:t>
            </w:r>
          </w:p>
          <w:p w14:paraId="5428362C"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(0,167)</w:t>
            </w:r>
          </w:p>
        </w:tc>
        <w:tc>
          <w:tcPr>
            <w:tcW w:w="1980" w:type="dxa"/>
            <w:gridSpan w:val="2"/>
          </w:tcPr>
          <w:p w14:paraId="25B30629" w14:textId="77777777" w:rsidR="00E1692B" w:rsidRPr="0029621C" w:rsidRDefault="00E1692B"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w:t>
            </w:r>
          </w:p>
        </w:tc>
      </w:tr>
      <w:tr w:rsidR="006B1E5D" w:rsidRPr="0029621C" w14:paraId="3F96F7BE" w14:textId="77777777" w:rsidTr="00A86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7E0C64A5" w14:textId="77777777" w:rsidR="00E1692B" w:rsidRPr="005D2BE8" w:rsidRDefault="00E1692B" w:rsidP="00A86E7E">
            <w:pPr>
              <w:jc w:val="both"/>
              <w:rPr>
                <w:rFonts w:ascii="Arial" w:eastAsia="Arial" w:hAnsi="Arial" w:cs="Arial"/>
                <w:sz w:val="20"/>
                <w:szCs w:val="20"/>
              </w:rPr>
            </w:pPr>
            <w:r w:rsidRPr="005D2BE8">
              <w:rPr>
                <w:rFonts w:ascii="Arial" w:eastAsia="Arial" w:hAnsi="Arial" w:cs="Arial"/>
                <w:sz w:val="20"/>
                <w:szCs w:val="20"/>
              </w:rPr>
              <w:t>SAR(1)</w:t>
            </w:r>
          </w:p>
        </w:tc>
        <w:tc>
          <w:tcPr>
            <w:tcW w:w="2160" w:type="dxa"/>
          </w:tcPr>
          <w:p w14:paraId="3C7DF891" w14:textId="77777777" w:rsidR="00E1692B"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-0,785</w:t>
            </w:r>
          </w:p>
          <w:p w14:paraId="47B5986F"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(0,096)</w:t>
            </w:r>
          </w:p>
        </w:tc>
        <w:tc>
          <w:tcPr>
            <w:tcW w:w="1980" w:type="dxa"/>
          </w:tcPr>
          <w:p w14:paraId="1CA5B849" w14:textId="77777777" w:rsidR="00E1692B"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-0,782</w:t>
            </w:r>
          </w:p>
          <w:p w14:paraId="1C9B99D2"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(0,097)</w:t>
            </w:r>
          </w:p>
        </w:tc>
        <w:tc>
          <w:tcPr>
            <w:tcW w:w="1800" w:type="dxa"/>
          </w:tcPr>
          <w:p w14:paraId="1868C3D7" w14:textId="77777777" w:rsidR="00E1692B"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-0,777</w:t>
            </w:r>
          </w:p>
          <w:p w14:paraId="062DCB94"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(0,099)</w:t>
            </w:r>
          </w:p>
        </w:tc>
        <w:tc>
          <w:tcPr>
            <w:tcW w:w="1980" w:type="dxa"/>
            <w:gridSpan w:val="2"/>
          </w:tcPr>
          <w:p w14:paraId="25E79049"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w:t>
            </w:r>
          </w:p>
        </w:tc>
      </w:tr>
      <w:tr w:rsidR="006B1E5D" w:rsidRPr="0029621C" w14:paraId="34EF797C" w14:textId="77777777" w:rsidTr="00A86E7E">
        <w:tc>
          <w:tcPr>
            <w:cnfStyle w:val="001000000000" w:firstRow="0" w:lastRow="0" w:firstColumn="1" w:lastColumn="0" w:oddVBand="0" w:evenVBand="0" w:oddHBand="0" w:evenHBand="0" w:firstRowFirstColumn="0" w:firstRowLastColumn="0" w:lastRowFirstColumn="0" w:lastRowLastColumn="0"/>
            <w:tcW w:w="2335" w:type="dxa"/>
            <w:vMerge w:val="restart"/>
          </w:tcPr>
          <w:p w14:paraId="1DAB08D8" w14:textId="77777777" w:rsidR="00E1692B" w:rsidRPr="0029621C" w:rsidRDefault="00E1692B" w:rsidP="00A86E7E">
            <w:pPr>
              <w:jc w:val="both"/>
              <w:rPr>
                <w:rFonts w:ascii="Arial" w:eastAsia="Arial" w:hAnsi="Arial" w:cs="Arial"/>
                <w:sz w:val="20"/>
                <w:szCs w:val="20"/>
              </w:rPr>
            </w:pPr>
            <w:r w:rsidRPr="0029621C">
              <w:rPr>
                <w:rFonts w:ascii="Arial" w:eastAsia="Arial" w:hAnsi="Arial" w:cs="Arial"/>
                <w:sz w:val="20"/>
                <w:szCs w:val="20"/>
              </w:rPr>
              <w:t>Mudeli tüüp</w:t>
            </w:r>
          </w:p>
        </w:tc>
        <w:tc>
          <w:tcPr>
            <w:tcW w:w="5948" w:type="dxa"/>
            <w:gridSpan w:val="4"/>
          </w:tcPr>
          <w:p w14:paraId="457F119F" w14:textId="77777777" w:rsidR="00E1692B" w:rsidRPr="0029621C" w:rsidRDefault="00E1692B" w:rsidP="00A86E7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Aegridade regressioon ARIMA vigadega (kogu Eesti)</w:t>
            </w:r>
          </w:p>
        </w:tc>
        <w:tc>
          <w:tcPr>
            <w:tcW w:w="1972" w:type="dxa"/>
          </w:tcPr>
          <w:p w14:paraId="36D3E1B8" w14:textId="77777777" w:rsidR="00E1692B" w:rsidRPr="0029621C" w:rsidRDefault="00E1692B" w:rsidP="00A86E7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Kahe-sammuline paneelregressioon</w:t>
            </w:r>
            <w:r>
              <w:rPr>
                <w:rFonts w:ascii="Arial" w:eastAsia="Arial" w:hAnsi="Arial" w:cs="Arial"/>
                <w:sz w:val="20"/>
                <w:szCs w:val="20"/>
              </w:rPr>
              <w:t xml:space="preserve"> (G2SLS), </w:t>
            </w:r>
            <w:r w:rsidRPr="0029621C">
              <w:rPr>
                <w:rFonts w:ascii="Arial" w:eastAsia="Arial" w:hAnsi="Arial" w:cs="Arial"/>
                <w:sz w:val="20"/>
                <w:szCs w:val="20"/>
              </w:rPr>
              <w:t>ilma Hiiumaata</w:t>
            </w:r>
          </w:p>
        </w:tc>
      </w:tr>
      <w:tr w:rsidR="006B1E5D" w:rsidRPr="0029621C" w14:paraId="0ABEB8B2" w14:textId="77777777" w:rsidTr="00A86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Merge/>
          </w:tcPr>
          <w:p w14:paraId="51962D66" w14:textId="77777777" w:rsidR="00E1692B" w:rsidRPr="0029621C" w:rsidRDefault="00E1692B" w:rsidP="00A86E7E">
            <w:pPr>
              <w:jc w:val="both"/>
              <w:rPr>
                <w:rFonts w:ascii="Arial" w:eastAsia="Arial" w:hAnsi="Arial" w:cs="Arial"/>
                <w:sz w:val="20"/>
                <w:szCs w:val="20"/>
              </w:rPr>
            </w:pPr>
          </w:p>
        </w:tc>
        <w:tc>
          <w:tcPr>
            <w:tcW w:w="2160" w:type="dxa"/>
          </w:tcPr>
          <w:p w14:paraId="095893E0"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(1,1,0)(1,1,0)</w:t>
            </w:r>
          </w:p>
        </w:tc>
        <w:tc>
          <w:tcPr>
            <w:tcW w:w="1980" w:type="dxa"/>
          </w:tcPr>
          <w:p w14:paraId="262DA87B"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(1,1,0)(1,1,0)</w:t>
            </w:r>
          </w:p>
        </w:tc>
        <w:tc>
          <w:tcPr>
            <w:tcW w:w="1800" w:type="dxa"/>
          </w:tcPr>
          <w:p w14:paraId="40A541B0"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9621C">
              <w:rPr>
                <w:rFonts w:ascii="Arial" w:eastAsia="Arial" w:hAnsi="Arial" w:cs="Arial"/>
                <w:sz w:val="20"/>
                <w:szCs w:val="20"/>
              </w:rPr>
              <w:t>(1,1,0)(1,1,0)</w:t>
            </w:r>
          </w:p>
        </w:tc>
        <w:tc>
          <w:tcPr>
            <w:tcW w:w="1980" w:type="dxa"/>
            <w:gridSpan w:val="2"/>
          </w:tcPr>
          <w:p w14:paraId="1ED5CFF6" w14:textId="77777777" w:rsidR="00E1692B" w:rsidRPr="0029621C" w:rsidRDefault="00E1692B"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w:t>
            </w:r>
          </w:p>
        </w:tc>
      </w:tr>
    </w:tbl>
    <w:p w14:paraId="0BFE42D4" w14:textId="58A4F1A9" w:rsidR="00D55140" w:rsidRPr="009E725E" w:rsidRDefault="23558E80" w:rsidP="00D55140">
      <w:pPr>
        <w:jc w:val="both"/>
        <w:rPr>
          <w:rFonts w:ascii="Arial" w:hAnsi="Arial" w:cs="Arial"/>
          <w:sz w:val="18"/>
          <w:szCs w:val="18"/>
        </w:rPr>
      </w:pPr>
      <w:r w:rsidRPr="288A3578">
        <w:rPr>
          <w:rFonts w:ascii="Arial" w:hAnsi="Arial" w:cs="Arial"/>
          <w:sz w:val="18"/>
          <w:szCs w:val="18"/>
        </w:rPr>
        <w:t>*Aegridade mudelites kasutati selle muutuja viitajaga väärtuseid (t-3), paneelregressioonis sama perioodi väärtuseid. Veergude pealkirjad tähistavad seda, millist lühiajalise üüri mahu näitajat (külastused, ööd, ööbimised)</w:t>
      </w:r>
      <w:r w:rsidR="28230BB7" w:rsidRPr="288A3578">
        <w:rPr>
          <w:rFonts w:ascii="Arial" w:hAnsi="Arial" w:cs="Arial"/>
          <w:sz w:val="18"/>
          <w:szCs w:val="18"/>
        </w:rPr>
        <w:t xml:space="preserve"> kasutati</w:t>
      </w:r>
      <w:r w:rsidRPr="288A3578">
        <w:rPr>
          <w:rFonts w:ascii="Arial" w:hAnsi="Arial" w:cs="Arial"/>
          <w:sz w:val="18"/>
          <w:szCs w:val="18"/>
        </w:rPr>
        <w:t xml:space="preserve"> sõltumatu muutujana.</w:t>
      </w:r>
    </w:p>
    <w:p w14:paraId="345686A6" w14:textId="77777777" w:rsidR="00D55140" w:rsidRPr="00C0423E" w:rsidRDefault="00D55140" w:rsidP="00D55140">
      <w:pPr>
        <w:jc w:val="both"/>
        <w:rPr>
          <w:rFonts w:ascii="Arial" w:hAnsi="Arial" w:cs="Arial"/>
          <w:szCs w:val="24"/>
        </w:rPr>
      </w:pPr>
      <w:r w:rsidRPr="00C0423E">
        <w:rPr>
          <w:rFonts w:ascii="Arial" w:hAnsi="Arial" w:cs="Arial"/>
          <w:szCs w:val="24"/>
        </w:rPr>
        <w:t xml:space="preserve">Viimases veerus on toodud paneelregressiooni tulemused. Endogeensuse vähendamiseks rakendasime kahesammulist lähenemist, mille raames esimese sammuga modelleerisime </w:t>
      </w:r>
      <w:r>
        <w:rPr>
          <w:rFonts w:ascii="Arial" w:hAnsi="Arial" w:cs="Arial"/>
          <w:szCs w:val="24"/>
        </w:rPr>
        <w:t>ööbimisi</w:t>
      </w:r>
      <w:r w:rsidRPr="00C0423E">
        <w:rPr>
          <w:rFonts w:ascii="Arial" w:hAnsi="Arial" w:cs="Arial"/>
          <w:szCs w:val="24"/>
        </w:rPr>
        <w:t xml:space="preserve"> lühiajalisel turul, kasutades instrumendina ehk regressorina külastusööde üheperioodilise viitaja väärtust. Selle mudeli prognoositud väärtuseid kasutasime põhimudelis tegelike külastusööde väärtuse asemel</w:t>
      </w:r>
      <w:r>
        <w:rPr>
          <w:rFonts w:ascii="Arial" w:hAnsi="Arial" w:cs="Arial"/>
          <w:szCs w:val="24"/>
        </w:rPr>
        <w:t>, suurendades selliselt ööbimiste muutuja eksogeensust.</w:t>
      </w:r>
      <w:r w:rsidRPr="00C0423E">
        <w:rPr>
          <w:rFonts w:ascii="Arial" w:hAnsi="Arial" w:cs="Arial"/>
          <w:szCs w:val="24"/>
        </w:rPr>
        <w:t xml:space="preserve"> Mudel on hinnatud sesoonsete diferentside kujul, et muutujad vastaksid statsionaarsuse eeldustele</w:t>
      </w:r>
      <w:r>
        <w:rPr>
          <w:rFonts w:ascii="Arial" w:hAnsi="Arial" w:cs="Arial"/>
          <w:szCs w:val="24"/>
        </w:rPr>
        <w:t>,</w:t>
      </w:r>
      <w:r w:rsidRPr="00C0423E">
        <w:rPr>
          <w:rFonts w:ascii="Arial" w:hAnsi="Arial" w:cs="Arial"/>
          <w:szCs w:val="24"/>
        </w:rPr>
        <w:t xml:space="preserve"> </w:t>
      </w:r>
      <w:r>
        <w:rPr>
          <w:rFonts w:ascii="Arial" w:hAnsi="Arial" w:cs="Arial"/>
          <w:szCs w:val="24"/>
        </w:rPr>
        <w:t>lisaks aitab see</w:t>
      </w:r>
      <w:r w:rsidRPr="00C0423E">
        <w:rPr>
          <w:rFonts w:ascii="Arial" w:hAnsi="Arial" w:cs="Arial"/>
          <w:szCs w:val="24"/>
        </w:rPr>
        <w:t xml:space="preserve"> kontrollida sesoonsuse mõjusid. </w:t>
      </w:r>
    </w:p>
    <w:p w14:paraId="023ABC65" w14:textId="0941B252" w:rsidR="00D55140" w:rsidRPr="00C0423E" w:rsidRDefault="23558E80" w:rsidP="288A3578">
      <w:pPr>
        <w:jc w:val="both"/>
        <w:rPr>
          <w:rFonts w:ascii="Arial" w:hAnsi="Arial" w:cs="Arial"/>
        </w:rPr>
      </w:pPr>
      <w:r w:rsidRPr="288A3578">
        <w:rPr>
          <w:rFonts w:ascii="Arial" w:hAnsi="Arial" w:cs="Arial"/>
        </w:rPr>
        <w:t xml:space="preserve">Tulemused näitavad </w:t>
      </w:r>
      <w:r w:rsidR="00D50047">
        <w:rPr>
          <w:rFonts w:ascii="Arial" w:hAnsi="Arial" w:cs="Arial"/>
        </w:rPr>
        <w:t>mõnevõrra</w:t>
      </w:r>
      <w:r w:rsidR="00D50047" w:rsidRPr="288A3578">
        <w:rPr>
          <w:rFonts w:ascii="Arial" w:hAnsi="Arial" w:cs="Arial"/>
        </w:rPr>
        <w:t xml:space="preserve"> </w:t>
      </w:r>
      <w:r w:rsidR="00D50047">
        <w:rPr>
          <w:rFonts w:ascii="Arial" w:hAnsi="Arial" w:cs="Arial"/>
        </w:rPr>
        <w:t>tugeva</w:t>
      </w:r>
      <w:r w:rsidRPr="288A3578">
        <w:rPr>
          <w:rFonts w:ascii="Arial" w:hAnsi="Arial" w:cs="Arial"/>
        </w:rPr>
        <w:t>mat seost kui ARIMA regressioon: 1%-list</w:t>
      </w:r>
      <w:r w:rsidR="0009417A">
        <w:rPr>
          <w:rFonts w:ascii="Arial" w:hAnsi="Arial" w:cs="Arial"/>
        </w:rPr>
        <w:t xml:space="preserve"> ööbimiste</w:t>
      </w:r>
      <w:r w:rsidR="00C25B36">
        <w:rPr>
          <w:rFonts w:ascii="Arial" w:hAnsi="Arial" w:cs="Arial"/>
        </w:rPr>
        <w:t xml:space="preserve"> arvu</w:t>
      </w:r>
      <w:r w:rsidRPr="288A3578">
        <w:rPr>
          <w:rFonts w:ascii="Arial" w:hAnsi="Arial" w:cs="Arial"/>
        </w:rPr>
        <w:t xml:space="preserve"> kasvu lühiajalisel üüri turul saab seostada üürihindade kasvuga 0,0</w:t>
      </w:r>
      <w:r w:rsidR="0056058E">
        <w:rPr>
          <w:rFonts w:ascii="Arial" w:hAnsi="Arial" w:cs="Arial"/>
        </w:rPr>
        <w:t>9</w:t>
      </w:r>
      <w:r w:rsidRPr="288A3578">
        <w:rPr>
          <w:rFonts w:ascii="Arial" w:hAnsi="Arial" w:cs="Arial"/>
        </w:rPr>
        <w:t xml:space="preserve">%. Erinevus võib tulla sellest, et seosed on maakondade lõikes väga erinevad, mis </w:t>
      </w:r>
      <w:r w:rsidR="00BE76DD">
        <w:rPr>
          <w:rFonts w:ascii="Arial" w:hAnsi="Arial" w:cs="Arial"/>
        </w:rPr>
        <w:t>mõjutab otseselt paneelregressiooniga saadud hinnangut</w:t>
      </w:r>
      <w:r w:rsidR="00D03E4B">
        <w:rPr>
          <w:rFonts w:ascii="Arial" w:hAnsi="Arial" w:cs="Arial"/>
        </w:rPr>
        <w:t>.</w:t>
      </w:r>
      <w:r w:rsidRPr="288A3578">
        <w:rPr>
          <w:rFonts w:ascii="Arial" w:hAnsi="Arial" w:cs="Arial"/>
        </w:rPr>
        <w:t xml:space="preserve"> </w:t>
      </w:r>
      <w:r w:rsidR="00D03E4B">
        <w:rPr>
          <w:rFonts w:ascii="Arial" w:hAnsi="Arial" w:cs="Arial"/>
        </w:rPr>
        <w:t>S</w:t>
      </w:r>
      <w:r w:rsidRPr="288A3578">
        <w:rPr>
          <w:rFonts w:ascii="Arial" w:hAnsi="Arial" w:cs="Arial"/>
        </w:rPr>
        <w:t xml:space="preserve">amas aegridade mudelis on kasutatud </w:t>
      </w:r>
      <w:r w:rsidR="000B5062">
        <w:rPr>
          <w:rFonts w:ascii="Arial" w:hAnsi="Arial" w:cs="Arial"/>
        </w:rPr>
        <w:t>üürihinna</w:t>
      </w:r>
      <w:r w:rsidRPr="288A3578">
        <w:rPr>
          <w:rFonts w:ascii="Arial" w:hAnsi="Arial" w:cs="Arial"/>
        </w:rPr>
        <w:t>indeksit Eesti kohta tervikuna</w:t>
      </w:r>
      <w:r w:rsidR="009B68B6">
        <w:rPr>
          <w:rFonts w:ascii="Arial" w:hAnsi="Arial" w:cs="Arial"/>
        </w:rPr>
        <w:t>, mis</w:t>
      </w:r>
      <w:r w:rsidR="005914BE">
        <w:rPr>
          <w:rFonts w:ascii="Arial" w:hAnsi="Arial" w:cs="Arial"/>
        </w:rPr>
        <w:t xml:space="preserve">tõttu </w:t>
      </w:r>
      <w:r w:rsidR="00016475">
        <w:rPr>
          <w:rFonts w:ascii="Arial" w:hAnsi="Arial" w:cs="Arial"/>
        </w:rPr>
        <w:t>maakonna</w:t>
      </w:r>
      <w:r w:rsidR="00A86E7E">
        <w:rPr>
          <w:rFonts w:ascii="Arial" w:hAnsi="Arial" w:cs="Arial"/>
        </w:rPr>
        <w:t xml:space="preserve"> </w:t>
      </w:r>
      <w:r w:rsidR="00016475">
        <w:rPr>
          <w:rFonts w:ascii="Arial" w:hAnsi="Arial" w:cs="Arial"/>
        </w:rPr>
        <w:t xml:space="preserve">tasandil </w:t>
      </w:r>
      <w:r w:rsidR="00A86E7E">
        <w:rPr>
          <w:rFonts w:ascii="Arial" w:hAnsi="Arial" w:cs="Arial"/>
        </w:rPr>
        <w:t>ilmnenud</w:t>
      </w:r>
      <w:r w:rsidR="00016475">
        <w:rPr>
          <w:rFonts w:ascii="Arial" w:hAnsi="Arial" w:cs="Arial"/>
        </w:rPr>
        <w:t xml:space="preserve"> seos ei pruugi </w:t>
      </w:r>
      <w:r w:rsidR="00A86E7E">
        <w:rPr>
          <w:rFonts w:ascii="Arial" w:hAnsi="Arial" w:cs="Arial"/>
        </w:rPr>
        <w:t>nii tugevalt avalduda.</w:t>
      </w:r>
    </w:p>
    <w:p w14:paraId="225A2EC2" w14:textId="77777777" w:rsidR="00D55140" w:rsidRPr="00A34307" w:rsidRDefault="00D55140" w:rsidP="00514229">
      <w:pPr>
        <w:keepNext/>
        <w:jc w:val="both"/>
        <w:rPr>
          <w:rStyle w:val="PurpleText"/>
        </w:rPr>
      </w:pPr>
      <w:r w:rsidRPr="00A34307">
        <w:rPr>
          <w:rStyle w:val="PurpleText"/>
        </w:rPr>
        <w:lastRenderedPageBreak/>
        <w:t>Seos kohaliku majandusega</w:t>
      </w:r>
    </w:p>
    <w:p w14:paraId="78C08791" w14:textId="521485BA" w:rsidR="00D55140" w:rsidRPr="00C0423E" w:rsidRDefault="23558E80" w:rsidP="288A3578">
      <w:pPr>
        <w:jc w:val="both"/>
        <w:rPr>
          <w:rFonts w:ascii="Arial" w:hAnsi="Arial" w:cs="Arial"/>
        </w:rPr>
      </w:pPr>
      <w:r w:rsidRPr="288A3578">
        <w:rPr>
          <w:rFonts w:ascii="Arial" w:hAnsi="Arial" w:cs="Arial"/>
        </w:rPr>
        <w:t xml:space="preserve">Lühiajalise üürimise mõju majandusele on sarnane turismiga: üüri teenuse kasutajad tarbivad lisaks majutusteenusele ka restoranide teenuseid, transporditeenuseid, ostavad ka ise süüa ja juua ning kasutavaid teisi teenuseid. Lisaks ostudele, mida nad teevad, kandub see mõju ka edasi teistesse sektoritesse. Selles analüüsis hindame seda mõju tööturu kaudu, täpsemalt hindame lühiajalise üürimise mõju registreeritud töötute arvule. Kuna tööturg on seotud majanduse kõikide sektoritega, kusjuures turismi poolt mõjutatud sektorid on üldjuhul tööjõumahukad (peamiselt erinevad teenused), mistõttu majandusele avalduv mõju peaks väljenduma ka tööturu näitajates. </w:t>
      </w:r>
    </w:p>
    <w:p w14:paraId="0D1DB446" w14:textId="3862A46B" w:rsidR="00D55140" w:rsidRDefault="23558E80" w:rsidP="288A3578">
      <w:pPr>
        <w:jc w:val="both"/>
        <w:rPr>
          <w:rFonts w:ascii="Arial" w:hAnsi="Arial" w:cs="Arial"/>
        </w:rPr>
      </w:pPr>
      <w:r w:rsidRPr="288A3578">
        <w:rPr>
          <w:rFonts w:ascii="Arial" w:hAnsi="Arial" w:cs="Arial"/>
        </w:rPr>
        <w:t>Kasutame aegridade mudeleid, et hinnata erinevatele maakondadele individuaalne mõju, kuid probleemiks on lühiajalise üüri turu ja traditsioonilise majutussektori näitajate tugev positiiv</w:t>
      </w:r>
      <w:r w:rsidR="6F749664" w:rsidRPr="288A3578">
        <w:rPr>
          <w:rFonts w:ascii="Arial" w:hAnsi="Arial" w:cs="Arial"/>
        </w:rPr>
        <w:t>n</w:t>
      </w:r>
      <w:r w:rsidRPr="288A3578">
        <w:rPr>
          <w:rFonts w:ascii="Arial" w:hAnsi="Arial" w:cs="Arial"/>
        </w:rPr>
        <w:t xml:space="preserve">e korrelatsioon, mis raskendab lühiajalise üüri turu efektide eristamist. Selleks tegime eelanalüüsi ja eemaldasime analüüsist need maakonnad, kus Pearsoni korrelatsioon mainitud muutujate vahel oli väga tugev ehk üle 0,7. Seetõttu analüüsisime selle mudeliga peamiselt neid maakondi (vt tabel </w:t>
      </w:r>
      <w:r w:rsidR="2A7709B8" w:rsidRPr="288A3578">
        <w:rPr>
          <w:rFonts w:ascii="Arial" w:hAnsi="Arial" w:cs="Arial"/>
        </w:rPr>
        <w:t>9</w:t>
      </w:r>
      <w:r w:rsidRPr="288A3578">
        <w:rPr>
          <w:rFonts w:ascii="Arial" w:hAnsi="Arial" w:cs="Arial"/>
        </w:rPr>
        <w:t>), kus lühiajali</w:t>
      </w:r>
      <w:r w:rsidR="2E55CB7F" w:rsidRPr="288A3578">
        <w:rPr>
          <w:rFonts w:ascii="Arial" w:hAnsi="Arial" w:cs="Arial"/>
        </w:rPr>
        <w:t>s</w:t>
      </w:r>
      <w:r w:rsidRPr="288A3578">
        <w:rPr>
          <w:rFonts w:ascii="Arial" w:hAnsi="Arial" w:cs="Arial"/>
        </w:rPr>
        <w:t>e üür turg väga aktiivne ei ole. Samas ka nt väikse turu aktiivsusega Jõgevamaal või Raplamaal on suvekuudel ligikaudu 1000 ööbimist, teistel kuudel ulatub see 100-200 juurde, mis nende maakondade rahvaarvu arvestades (ligikaudu 30 000 elanikku) on</w:t>
      </w:r>
      <w:r w:rsidR="00A76F1F">
        <w:rPr>
          <w:rFonts w:ascii="Arial" w:hAnsi="Arial" w:cs="Arial"/>
        </w:rPr>
        <w:t xml:space="preserve"> küll tagasihoidlik, kuid</w:t>
      </w:r>
      <w:r w:rsidR="00931AD9">
        <w:rPr>
          <w:rFonts w:ascii="Arial" w:hAnsi="Arial" w:cs="Arial"/>
        </w:rPr>
        <w:t xml:space="preserve"> </w:t>
      </w:r>
      <w:r w:rsidR="0040227D">
        <w:rPr>
          <w:rFonts w:ascii="Arial" w:hAnsi="Arial" w:cs="Arial"/>
        </w:rPr>
        <w:t xml:space="preserve">suvekuudel tekitatav </w:t>
      </w:r>
      <w:r w:rsidR="0040309C">
        <w:rPr>
          <w:rFonts w:ascii="Arial" w:hAnsi="Arial" w:cs="Arial"/>
        </w:rPr>
        <w:t xml:space="preserve">tuluvoog on ekvivalentne </w:t>
      </w:r>
      <w:r w:rsidR="00712D36">
        <w:rPr>
          <w:rFonts w:ascii="Arial" w:hAnsi="Arial" w:cs="Arial"/>
        </w:rPr>
        <w:t>10</w:t>
      </w:r>
      <w:r w:rsidR="009F6525" w:rsidRPr="288A3578">
        <w:rPr>
          <w:rFonts w:ascii="Arial" w:hAnsi="Arial" w:cs="Arial"/>
        </w:rPr>
        <w:t>–</w:t>
      </w:r>
      <w:r w:rsidR="00712D36">
        <w:rPr>
          <w:rFonts w:ascii="Arial" w:hAnsi="Arial" w:cs="Arial"/>
        </w:rPr>
        <w:t>20 töö</w:t>
      </w:r>
      <w:r w:rsidR="00EE5735">
        <w:rPr>
          <w:rFonts w:ascii="Arial" w:hAnsi="Arial" w:cs="Arial"/>
        </w:rPr>
        <w:t>taja keskmise tööjõukuluga</w:t>
      </w:r>
      <w:r w:rsidRPr="288A3578">
        <w:rPr>
          <w:rFonts w:ascii="Arial" w:hAnsi="Arial" w:cs="Arial"/>
        </w:rPr>
        <w:t xml:space="preserve">. </w:t>
      </w:r>
      <w:r w:rsidR="00272789">
        <w:rPr>
          <w:rFonts w:ascii="Arial" w:hAnsi="Arial" w:cs="Arial"/>
        </w:rPr>
        <w:t>Lisaväärtuseks on nendes piirkondades tühjalt seisvate</w:t>
      </w:r>
      <w:r w:rsidR="000F4ABE">
        <w:rPr>
          <w:rFonts w:ascii="Arial" w:hAnsi="Arial" w:cs="Arial"/>
        </w:rPr>
        <w:t>le</w:t>
      </w:r>
      <w:r w:rsidR="00272789">
        <w:rPr>
          <w:rFonts w:ascii="Arial" w:hAnsi="Arial" w:cs="Arial"/>
        </w:rPr>
        <w:t xml:space="preserve"> korterite</w:t>
      </w:r>
      <w:r w:rsidR="000F4ABE">
        <w:rPr>
          <w:rFonts w:ascii="Arial" w:hAnsi="Arial" w:cs="Arial"/>
        </w:rPr>
        <w:t>le rakenduse leidmine.</w:t>
      </w:r>
    </w:p>
    <w:p w14:paraId="479998CD" w14:textId="17700783" w:rsidR="00D55140" w:rsidRPr="00C0423E" w:rsidRDefault="23558E80" w:rsidP="288A3578">
      <w:pPr>
        <w:jc w:val="both"/>
        <w:rPr>
          <w:rFonts w:ascii="Arial" w:hAnsi="Arial" w:cs="Arial"/>
        </w:rPr>
      </w:pPr>
      <w:r w:rsidRPr="288A3578">
        <w:rPr>
          <w:rFonts w:ascii="Arial" w:hAnsi="Arial" w:cs="Arial"/>
        </w:rPr>
        <w:t>Mudelisse lisasime ka ööbimised traditsioonilistes majutusasu</w:t>
      </w:r>
      <w:r w:rsidR="616019D8" w:rsidRPr="288A3578">
        <w:rPr>
          <w:rFonts w:ascii="Arial" w:hAnsi="Arial" w:cs="Arial"/>
        </w:rPr>
        <w:t>t</w:t>
      </w:r>
      <w:r w:rsidRPr="288A3578">
        <w:rPr>
          <w:rFonts w:ascii="Arial" w:hAnsi="Arial" w:cs="Arial"/>
        </w:rPr>
        <w:t>ustes või seal ööbinud majutatute arvu, vastavalt sellele, kumb osutus statistiliselt oluliseks. Kontrollmuutujana osutus parimaks maakonna tasandi reaalne SKP. Nagu nähtub tabelis toodud ARIMA struktuurist, on kõik mudelid hinnatud topeltdiferentsitud muutujatega ning autokorrelatsiooni korrigeerimiseks on mudelisse lisatud autoregressiivsed ja liikuva keskmise komponendid.</w:t>
      </w:r>
    </w:p>
    <w:p w14:paraId="6A87D33A" w14:textId="6A2D6B1E" w:rsidR="00D55140" w:rsidRDefault="00D55140" w:rsidP="0014173B">
      <w:pPr>
        <w:pStyle w:val="TableTitle"/>
      </w:pPr>
      <w:r w:rsidRPr="00C0423E">
        <w:t xml:space="preserve">Tabel </w:t>
      </w:r>
      <w:r w:rsidR="00F06CA2">
        <w:t>9</w:t>
      </w:r>
      <w:r w:rsidRPr="00C0423E">
        <w:t>. Registreeritud töötuse seos lühiajalise üüri</w:t>
      </w:r>
      <w:r>
        <w:t>misega</w:t>
      </w:r>
      <w:r w:rsidR="005A0A06">
        <w:t xml:space="preserve"> 2020-2023</w:t>
      </w:r>
    </w:p>
    <w:tbl>
      <w:tblPr>
        <w:tblStyle w:val="Loetelutabel3rhk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406"/>
        <w:gridCol w:w="1373"/>
        <w:gridCol w:w="1373"/>
        <w:gridCol w:w="1373"/>
        <w:gridCol w:w="1373"/>
        <w:gridCol w:w="1373"/>
      </w:tblGrid>
      <w:tr w:rsidR="006F4C3F" w:rsidRPr="004B5AEE" w14:paraId="5484C098" w14:textId="77777777" w:rsidTr="00A3430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975" w:type="dxa"/>
            <w:vMerge w:val="restart"/>
          </w:tcPr>
          <w:p w14:paraId="0E1DDD64" w14:textId="77777777" w:rsidR="008E60A9" w:rsidRPr="004B5AEE" w:rsidRDefault="008E60A9" w:rsidP="00A86E7E">
            <w:pPr>
              <w:jc w:val="center"/>
              <w:rPr>
                <w:rFonts w:ascii="Arial" w:eastAsia="Arial" w:hAnsi="Arial" w:cs="Arial"/>
                <w:sz w:val="20"/>
                <w:szCs w:val="20"/>
              </w:rPr>
            </w:pPr>
            <w:r w:rsidRPr="004B5AEE">
              <w:rPr>
                <w:rFonts w:ascii="Arial" w:eastAsia="Arial" w:hAnsi="Arial" w:cs="Arial"/>
                <w:sz w:val="20"/>
                <w:szCs w:val="20"/>
              </w:rPr>
              <w:t>Muutujad</w:t>
            </w:r>
          </w:p>
        </w:tc>
        <w:tc>
          <w:tcPr>
            <w:tcW w:w="8271" w:type="dxa"/>
            <w:gridSpan w:val="6"/>
          </w:tcPr>
          <w:p w14:paraId="2AC3095D" w14:textId="77777777" w:rsidR="008E60A9" w:rsidRPr="004B5AEE" w:rsidRDefault="008E60A9"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Koefitsiendid (standardvead)</w:t>
            </w:r>
          </w:p>
        </w:tc>
      </w:tr>
      <w:tr w:rsidR="00AF7639" w:rsidRPr="004B5AEE" w14:paraId="7617C36C" w14:textId="77777777" w:rsidTr="00A3430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975" w:type="dxa"/>
            <w:vMerge/>
          </w:tcPr>
          <w:p w14:paraId="35156674" w14:textId="77777777" w:rsidR="008E60A9" w:rsidRPr="004B5AEE" w:rsidRDefault="008E60A9" w:rsidP="00A86E7E">
            <w:pPr>
              <w:jc w:val="center"/>
              <w:rPr>
                <w:rFonts w:ascii="Arial" w:eastAsia="Arial" w:hAnsi="Arial" w:cs="Arial"/>
                <w:sz w:val="20"/>
                <w:szCs w:val="20"/>
              </w:rPr>
            </w:pPr>
          </w:p>
        </w:tc>
        <w:tc>
          <w:tcPr>
            <w:tcW w:w="1406" w:type="dxa"/>
            <w:shd w:val="clear" w:color="auto" w:fill="ACAEAC"/>
          </w:tcPr>
          <w:p w14:paraId="11084470" w14:textId="77777777" w:rsidR="008E60A9" w:rsidRPr="00A34307" w:rsidRDefault="008E60A9"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34307">
              <w:rPr>
                <w:rFonts w:ascii="Arial" w:eastAsia="Arial" w:hAnsi="Arial" w:cs="Arial"/>
                <w:color w:val="auto"/>
                <w:sz w:val="20"/>
                <w:szCs w:val="20"/>
              </w:rPr>
              <w:t>Jõgeva</w:t>
            </w:r>
          </w:p>
        </w:tc>
        <w:tc>
          <w:tcPr>
            <w:tcW w:w="1373" w:type="dxa"/>
            <w:shd w:val="clear" w:color="auto" w:fill="ACAEAC"/>
          </w:tcPr>
          <w:p w14:paraId="05363D6E" w14:textId="77777777" w:rsidR="008E60A9" w:rsidRPr="00A34307" w:rsidRDefault="008E60A9"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34307">
              <w:rPr>
                <w:rFonts w:ascii="Arial" w:eastAsia="Arial" w:hAnsi="Arial" w:cs="Arial"/>
                <w:color w:val="auto"/>
                <w:sz w:val="20"/>
                <w:szCs w:val="20"/>
              </w:rPr>
              <w:t>Lääne</w:t>
            </w:r>
          </w:p>
        </w:tc>
        <w:tc>
          <w:tcPr>
            <w:tcW w:w="1373" w:type="dxa"/>
            <w:shd w:val="clear" w:color="auto" w:fill="ACAEAC"/>
          </w:tcPr>
          <w:p w14:paraId="0CDF560B" w14:textId="77777777" w:rsidR="008E60A9" w:rsidRPr="00A34307" w:rsidRDefault="008E60A9"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34307">
              <w:rPr>
                <w:rFonts w:ascii="Arial" w:eastAsia="Arial" w:hAnsi="Arial" w:cs="Arial"/>
                <w:color w:val="auto"/>
                <w:sz w:val="20"/>
                <w:szCs w:val="20"/>
              </w:rPr>
              <w:t>Lääne-Viru</w:t>
            </w:r>
          </w:p>
        </w:tc>
        <w:tc>
          <w:tcPr>
            <w:tcW w:w="1373" w:type="dxa"/>
            <w:shd w:val="clear" w:color="auto" w:fill="ACAEAC"/>
          </w:tcPr>
          <w:p w14:paraId="6EF4967F" w14:textId="77777777" w:rsidR="008E60A9" w:rsidRPr="00A34307" w:rsidRDefault="008E60A9"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34307">
              <w:rPr>
                <w:rFonts w:ascii="Arial" w:eastAsia="Arial" w:hAnsi="Arial" w:cs="Arial"/>
                <w:color w:val="auto"/>
                <w:sz w:val="20"/>
                <w:szCs w:val="20"/>
              </w:rPr>
              <w:t>Rapla</w:t>
            </w:r>
          </w:p>
        </w:tc>
        <w:tc>
          <w:tcPr>
            <w:tcW w:w="1373" w:type="dxa"/>
            <w:shd w:val="clear" w:color="auto" w:fill="ACAEAC"/>
          </w:tcPr>
          <w:p w14:paraId="383E7050" w14:textId="77777777" w:rsidR="008E60A9" w:rsidRPr="00A34307" w:rsidRDefault="008E60A9"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34307">
              <w:rPr>
                <w:rFonts w:ascii="Arial" w:eastAsia="Arial" w:hAnsi="Arial" w:cs="Arial"/>
                <w:color w:val="auto"/>
                <w:sz w:val="20"/>
                <w:szCs w:val="20"/>
              </w:rPr>
              <w:t>Pärnu</w:t>
            </w:r>
          </w:p>
        </w:tc>
        <w:tc>
          <w:tcPr>
            <w:tcW w:w="1373" w:type="dxa"/>
            <w:shd w:val="clear" w:color="auto" w:fill="ACAEAC"/>
          </w:tcPr>
          <w:p w14:paraId="4E676F60" w14:textId="77777777" w:rsidR="008E60A9" w:rsidRPr="00A34307" w:rsidRDefault="008E60A9"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34307">
              <w:rPr>
                <w:rFonts w:ascii="Arial" w:eastAsia="Arial" w:hAnsi="Arial" w:cs="Arial"/>
                <w:color w:val="auto"/>
                <w:sz w:val="20"/>
                <w:szCs w:val="20"/>
              </w:rPr>
              <w:t>Valga</w:t>
            </w:r>
          </w:p>
        </w:tc>
      </w:tr>
      <w:tr w:rsidR="006B1E5D" w:rsidRPr="004B5AEE" w14:paraId="2AE5D394" w14:textId="77777777" w:rsidTr="00A86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3AB12194" w14:textId="77777777" w:rsidR="008E60A9" w:rsidRPr="004B5AEE" w:rsidRDefault="008E60A9" w:rsidP="00B54A22">
            <w:pPr>
              <w:rPr>
                <w:rFonts w:ascii="Arial" w:eastAsia="Arial" w:hAnsi="Arial" w:cs="Arial"/>
                <w:sz w:val="20"/>
                <w:szCs w:val="20"/>
              </w:rPr>
            </w:pPr>
            <w:r w:rsidRPr="004B5AEE">
              <w:rPr>
                <w:rFonts w:ascii="Arial" w:eastAsia="Arial" w:hAnsi="Arial" w:cs="Arial"/>
                <w:sz w:val="20"/>
                <w:szCs w:val="20"/>
              </w:rPr>
              <w:t>Ööbimised (lühiajaline)</w:t>
            </w:r>
          </w:p>
        </w:tc>
        <w:tc>
          <w:tcPr>
            <w:tcW w:w="1406" w:type="dxa"/>
          </w:tcPr>
          <w:p w14:paraId="3861F685"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-0,019</w:t>
            </w:r>
          </w:p>
          <w:p w14:paraId="213B184C"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(0,011)</w:t>
            </w:r>
          </w:p>
        </w:tc>
        <w:tc>
          <w:tcPr>
            <w:tcW w:w="1373" w:type="dxa"/>
          </w:tcPr>
          <w:p w14:paraId="731FD620" w14:textId="77777777" w:rsidR="008E60A9"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r>
              <w:rPr>
                <w:rFonts w:ascii="Arial" w:eastAsia="Arial" w:hAnsi="Arial" w:cs="Arial"/>
                <w:sz w:val="20"/>
                <w:szCs w:val="20"/>
              </w:rPr>
              <w:t>0,027</w:t>
            </w:r>
          </w:p>
          <w:p w14:paraId="27668482"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(0,019)</w:t>
            </w:r>
          </w:p>
        </w:tc>
        <w:tc>
          <w:tcPr>
            <w:tcW w:w="1373" w:type="dxa"/>
          </w:tcPr>
          <w:p w14:paraId="22F644DF"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-0,035</w:t>
            </w:r>
          </w:p>
          <w:p w14:paraId="5CBCEA17"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(0,018)</w:t>
            </w:r>
          </w:p>
        </w:tc>
        <w:tc>
          <w:tcPr>
            <w:tcW w:w="1373" w:type="dxa"/>
          </w:tcPr>
          <w:p w14:paraId="566D4E58"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-0,020</w:t>
            </w:r>
          </w:p>
          <w:p w14:paraId="3A636594"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(0,010)</w:t>
            </w:r>
          </w:p>
        </w:tc>
        <w:tc>
          <w:tcPr>
            <w:tcW w:w="1373" w:type="dxa"/>
          </w:tcPr>
          <w:p w14:paraId="123CAFEB"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p>
        </w:tc>
        <w:tc>
          <w:tcPr>
            <w:tcW w:w="1373" w:type="dxa"/>
          </w:tcPr>
          <w:p w14:paraId="3D3572FC"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p>
        </w:tc>
      </w:tr>
      <w:tr w:rsidR="006B1E5D" w:rsidRPr="004B5AEE" w14:paraId="20E5A014" w14:textId="77777777" w:rsidTr="00A86E7E">
        <w:tc>
          <w:tcPr>
            <w:cnfStyle w:val="001000000000" w:firstRow="0" w:lastRow="0" w:firstColumn="1" w:lastColumn="0" w:oddVBand="0" w:evenVBand="0" w:oddHBand="0" w:evenHBand="0" w:firstRowFirstColumn="0" w:firstRowLastColumn="0" w:lastRowFirstColumn="0" w:lastRowLastColumn="0"/>
            <w:tcW w:w="1975" w:type="dxa"/>
          </w:tcPr>
          <w:p w14:paraId="0EC2971C" w14:textId="77777777" w:rsidR="008E60A9" w:rsidRPr="004B5AEE" w:rsidRDefault="008E60A9" w:rsidP="00B54A22">
            <w:pPr>
              <w:rPr>
                <w:rFonts w:ascii="Arial" w:eastAsia="Arial" w:hAnsi="Arial" w:cs="Arial"/>
                <w:sz w:val="20"/>
                <w:szCs w:val="20"/>
              </w:rPr>
            </w:pPr>
            <w:r w:rsidRPr="004B5AEE">
              <w:rPr>
                <w:rFonts w:ascii="Arial" w:eastAsia="Arial" w:hAnsi="Arial" w:cs="Arial"/>
                <w:sz w:val="20"/>
                <w:szCs w:val="20"/>
              </w:rPr>
              <w:t>Ööbimised</w:t>
            </w:r>
          </w:p>
          <w:p w14:paraId="5A2BCB70" w14:textId="77777777" w:rsidR="008E60A9" w:rsidRPr="004B5AEE" w:rsidRDefault="008E60A9" w:rsidP="00B54A22">
            <w:pPr>
              <w:rPr>
                <w:rFonts w:ascii="Arial" w:eastAsia="Arial" w:hAnsi="Arial" w:cs="Arial"/>
                <w:sz w:val="20"/>
                <w:szCs w:val="20"/>
              </w:rPr>
            </w:pPr>
            <w:r w:rsidRPr="004B5AEE">
              <w:rPr>
                <w:rFonts w:ascii="Arial" w:eastAsia="Arial" w:hAnsi="Arial" w:cs="Arial"/>
                <w:sz w:val="20"/>
                <w:szCs w:val="20"/>
              </w:rPr>
              <w:t>(traditsiooniline)</w:t>
            </w:r>
          </w:p>
        </w:tc>
        <w:tc>
          <w:tcPr>
            <w:tcW w:w="1406" w:type="dxa"/>
          </w:tcPr>
          <w:p w14:paraId="5D285F5A"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-0,085</w:t>
            </w:r>
          </w:p>
          <w:p w14:paraId="70DEED76"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(0,018)</w:t>
            </w:r>
          </w:p>
        </w:tc>
        <w:tc>
          <w:tcPr>
            <w:tcW w:w="1373" w:type="dxa"/>
          </w:tcPr>
          <w:p w14:paraId="3348CC0B"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vertAlign w:val="superscript"/>
              </w:rPr>
            </w:pPr>
            <w:r w:rsidRPr="004B5AEE">
              <w:rPr>
                <w:rFonts w:ascii="Arial" w:eastAsia="Arial" w:hAnsi="Arial" w:cs="Arial"/>
                <w:sz w:val="20"/>
                <w:szCs w:val="20"/>
              </w:rPr>
              <w:t>-</w:t>
            </w:r>
            <w:r>
              <w:rPr>
                <w:rFonts w:ascii="Arial" w:eastAsia="Arial" w:hAnsi="Arial" w:cs="Arial"/>
                <w:sz w:val="20"/>
                <w:szCs w:val="20"/>
              </w:rPr>
              <w:t>0,047</w:t>
            </w:r>
          </w:p>
          <w:p w14:paraId="0AC8855C"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r>
              <w:rPr>
                <w:rFonts w:ascii="Arial" w:eastAsia="Arial" w:hAnsi="Arial" w:cs="Arial"/>
                <w:sz w:val="20"/>
                <w:szCs w:val="20"/>
              </w:rPr>
              <w:t>0,019</w:t>
            </w:r>
            <w:r w:rsidRPr="004B5AEE">
              <w:rPr>
                <w:rFonts w:ascii="Arial" w:eastAsia="Arial" w:hAnsi="Arial" w:cs="Arial"/>
                <w:sz w:val="20"/>
                <w:szCs w:val="20"/>
              </w:rPr>
              <w:t>)</w:t>
            </w:r>
          </w:p>
        </w:tc>
        <w:tc>
          <w:tcPr>
            <w:tcW w:w="1373" w:type="dxa"/>
          </w:tcPr>
          <w:p w14:paraId="49B0D936"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p>
        </w:tc>
        <w:tc>
          <w:tcPr>
            <w:tcW w:w="1373" w:type="dxa"/>
          </w:tcPr>
          <w:p w14:paraId="2089CEB3"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w:t>
            </w:r>
          </w:p>
        </w:tc>
        <w:tc>
          <w:tcPr>
            <w:tcW w:w="1373" w:type="dxa"/>
          </w:tcPr>
          <w:p w14:paraId="61CB79F3"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p>
        </w:tc>
        <w:tc>
          <w:tcPr>
            <w:tcW w:w="1373" w:type="dxa"/>
          </w:tcPr>
          <w:p w14:paraId="56123FB6"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-0,029</w:t>
            </w:r>
          </w:p>
          <w:p w14:paraId="1522FA31"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(0,010)</w:t>
            </w:r>
          </w:p>
        </w:tc>
      </w:tr>
      <w:tr w:rsidR="006B1E5D" w:rsidRPr="004B5AEE" w14:paraId="4A3827E1" w14:textId="77777777" w:rsidTr="00A86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5F1D5B07" w14:textId="77777777" w:rsidR="008E60A9" w:rsidRPr="004B5AEE" w:rsidRDefault="008E60A9" w:rsidP="00B54A22">
            <w:pPr>
              <w:rPr>
                <w:rFonts w:ascii="Arial" w:eastAsia="Arial" w:hAnsi="Arial" w:cs="Arial"/>
                <w:sz w:val="20"/>
                <w:szCs w:val="20"/>
              </w:rPr>
            </w:pPr>
            <w:r w:rsidRPr="004B5AEE">
              <w:rPr>
                <w:rFonts w:ascii="Arial" w:eastAsia="Arial" w:hAnsi="Arial" w:cs="Arial"/>
                <w:sz w:val="20"/>
                <w:szCs w:val="20"/>
              </w:rPr>
              <w:t>Majutatud</w:t>
            </w:r>
          </w:p>
          <w:p w14:paraId="043A0AAA" w14:textId="77777777" w:rsidR="008E60A9" w:rsidRPr="004B5AEE" w:rsidRDefault="008E60A9" w:rsidP="00B54A22">
            <w:pPr>
              <w:rPr>
                <w:rFonts w:ascii="Arial" w:eastAsia="Arial" w:hAnsi="Arial" w:cs="Arial"/>
                <w:sz w:val="20"/>
                <w:szCs w:val="20"/>
              </w:rPr>
            </w:pPr>
            <w:r w:rsidRPr="004B5AEE">
              <w:rPr>
                <w:rFonts w:ascii="Arial" w:eastAsia="Arial" w:hAnsi="Arial" w:cs="Arial"/>
                <w:sz w:val="20"/>
                <w:szCs w:val="20"/>
              </w:rPr>
              <w:t>(traditsiooniline)</w:t>
            </w:r>
          </w:p>
        </w:tc>
        <w:tc>
          <w:tcPr>
            <w:tcW w:w="1406" w:type="dxa"/>
          </w:tcPr>
          <w:p w14:paraId="41B7DD8C"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p>
        </w:tc>
        <w:tc>
          <w:tcPr>
            <w:tcW w:w="1373" w:type="dxa"/>
          </w:tcPr>
          <w:p w14:paraId="45BB09C4"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p>
        </w:tc>
        <w:tc>
          <w:tcPr>
            <w:tcW w:w="1373" w:type="dxa"/>
          </w:tcPr>
          <w:p w14:paraId="3372901A"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p>
        </w:tc>
        <w:tc>
          <w:tcPr>
            <w:tcW w:w="1373" w:type="dxa"/>
          </w:tcPr>
          <w:p w14:paraId="4D0EFE80"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-0,034</w:t>
            </w:r>
          </w:p>
          <w:p w14:paraId="53465229"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(0,013)</w:t>
            </w:r>
          </w:p>
        </w:tc>
        <w:tc>
          <w:tcPr>
            <w:tcW w:w="1373" w:type="dxa"/>
          </w:tcPr>
          <w:p w14:paraId="4BCACAAE"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-0,023</w:t>
            </w:r>
          </w:p>
          <w:p w14:paraId="3DCE629B"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(0,007)</w:t>
            </w:r>
          </w:p>
        </w:tc>
        <w:tc>
          <w:tcPr>
            <w:tcW w:w="1373" w:type="dxa"/>
          </w:tcPr>
          <w:p w14:paraId="31A9B5A4"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p>
        </w:tc>
      </w:tr>
      <w:tr w:rsidR="006B1E5D" w:rsidRPr="004B5AEE" w14:paraId="3BF274A1" w14:textId="77777777" w:rsidTr="00A86E7E">
        <w:tc>
          <w:tcPr>
            <w:cnfStyle w:val="001000000000" w:firstRow="0" w:lastRow="0" w:firstColumn="1" w:lastColumn="0" w:oddVBand="0" w:evenVBand="0" w:oddHBand="0" w:evenHBand="0" w:firstRowFirstColumn="0" w:firstRowLastColumn="0" w:lastRowFirstColumn="0" w:lastRowLastColumn="0"/>
            <w:tcW w:w="1975" w:type="dxa"/>
          </w:tcPr>
          <w:p w14:paraId="597BB3C6" w14:textId="77777777" w:rsidR="008E60A9" w:rsidRPr="004B5AEE" w:rsidRDefault="008E60A9" w:rsidP="00B54A22">
            <w:pPr>
              <w:rPr>
                <w:rFonts w:ascii="Arial" w:eastAsia="Arial" w:hAnsi="Arial" w:cs="Arial"/>
                <w:sz w:val="20"/>
                <w:szCs w:val="20"/>
              </w:rPr>
            </w:pPr>
            <w:r w:rsidRPr="004B5AEE">
              <w:rPr>
                <w:rFonts w:ascii="Arial" w:eastAsia="Arial" w:hAnsi="Arial" w:cs="Arial"/>
                <w:sz w:val="20"/>
                <w:szCs w:val="20"/>
              </w:rPr>
              <w:t>SKP</w:t>
            </w:r>
          </w:p>
        </w:tc>
        <w:tc>
          <w:tcPr>
            <w:tcW w:w="1406" w:type="dxa"/>
          </w:tcPr>
          <w:p w14:paraId="79ACA69E"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-1,744</w:t>
            </w:r>
          </w:p>
          <w:p w14:paraId="6F80E69E"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(0,332)</w:t>
            </w:r>
          </w:p>
        </w:tc>
        <w:tc>
          <w:tcPr>
            <w:tcW w:w="1373" w:type="dxa"/>
          </w:tcPr>
          <w:p w14:paraId="3F1C38E7"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p>
        </w:tc>
        <w:tc>
          <w:tcPr>
            <w:tcW w:w="1373" w:type="dxa"/>
          </w:tcPr>
          <w:p w14:paraId="38BFD959"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-1,090</w:t>
            </w:r>
          </w:p>
          <w:p w14:paraId="33020699"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(0,275)</w:t>
            </w:r>
          </w:p>
        </w:tc>
        <w:tc>
          <w:tcPr>
            <w:tcW w:w="1373" w:type="dxa"/>
          </w:tcPr>
          <w:p w14:paraId="6FC3D832"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-0,847</w:t>
            </w:r>
          </w:p>
          <w:p w14:paraId="4749F458"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(0,295)</w:t>
            </w:r>
          </w:p>
        </w:tc>
        <w:tc>
          <w:tcPr>
            <w:tcW w:w="1373" w:type="dxa"/>
          </w:tcPr>
          <w:p w14:paraId="7B2FA94F"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-0,801</w:t>
            </w:r>
          </w:p>
          <w:p w14:paraId="6E7F37A1"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(0,239)</w:t>
            </w:r>
          </w:p>
        </w:tc>
        <w:tc>
          <w:tcPr>
            <w:tcW w:w="1373" w:type="dxa"/>
          </w:tcPr>
          <w:p w14:paraId="2186061D"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p>
        </w:tc>
      </w:tr>
      <w:tr w:rsidR="006B1E5D" w:rsidRPr="004B5AEE" w14:paraId="7B78A804" w14:textId="77777777" w:rsidTr="00A86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396CB735" w14:textId="77777777" w:rsidR="008E60A9" w:rsidRPr="005D2BE8" w:rsidRDefault="008E60A9" w:rsidP="00B54A22">
            <w:pPr>
              <w:rPr>
                <w:rFonts w:ascii="Arial" w:eastAsia="Arial" w:hAnsi="Arial" w:cs="Arial"/>
                <w:sz w:val="20"/>
                <w:szCs w:val="20"/>
              </w:rPr>
            </w:pPr>
            <w:r w:rsidRPr="005D2BE8">
              <w:rPr>
                <w:rFonts w:ascii="Arial" w:eastAsia="Arial" w:hAnsi="Arial" w:cs="Arial"/>
                <w:sz w:val="20"/>
                <w:szCs w:val="20"/>
              </w:rPr>
              <w:t>AR(1)</w:t>
            </w:r>
          </w:p>
        </w:tc>
        <w:tc>
          <w:tcPr>
            <w:tcW w:w="1406" w:type="dxa"/>
          </w:tcPr>
          <w:p w14:paraId="1ABD3D8E"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1373" w:type="dxa"/>
          </w:tcPr>
          <w:p w14:paraId="68EF2722" w14:textId="77777777" w:rsidR="008E60A9"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0,405</w:t>
            </w:r>
          </w:p>
          <w:p w14:paraId="39BD262F"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(0,141)</w:t>
            </w:r>
          </w:p>
        </w:tc>
        <w:tc>
          <w:tcPr>
            <w:tcW w:w="1373" w:type="dxa"/>
          </w:tcPr>
          <w:p w14:paraId="286EA2F5" w14:textId="77777777" w:rsidR="008E60A9"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0,410</w:t>
            </w:r>
          </w:p>
          <w:p w14:paraId="376E483A"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(0,142)</w:t>
            </w:r>
          </w:p>
        </w:tc>
        <w:tc>
          <w:tcPr>
            <w:tcW w:w="1373" w:type="dxa"/>
          </w:tcPr>
          <w:p w14:paraId="1CD5ADE4" w14:textId="77777777" w:rsidR="008E60A9"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0,482</w:t>
            </w:r>
          </w:p>
          <w:p w14:paraId="4C7CCEFB"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(0,140)</w:t>
            </w:r>
          </w:p>
        </w:tc>
        <w:tc>
          <w:tcPr>
            <w:tcW w:w="1373" w:type="dxa"/>
          </w:tcPr>
          <w:p w14:paraId="6B1D5423" w14:textId="77777777" w:rsidR="008E60A9"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0,662</w:t>
            </w:r>
          </w:p>
          <w:p w14:paraId="5F31C490"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(0,109)</w:t>
            </w:r>
          </w:p>
        </w:tc>
        <w:tc>
          <w:tcPr>
            <w:tcW w:w="1373" w:type="dxa"/>
          </w:tcPr>
          <w:p w14:paraId="134EC047" w14:textId="77777777" w:rsidR="008E60A9"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-0,430</w:t>
            </w:r>
          </w:p>
          <w:p w14:paraId="4F330FDA" w14:textId="77777777" w:rsidR="008E60A9" w:rsidRPr="004B5AEE" w:rsidRDefault="008E60A9"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(0,150)</w:t>
            </w:r>
          </w:p>
        </w:tc>
      </w:tr>
      <w:tr w:rsidR="006B1E5D" w:rsidRPr="004B5AEE" w14:paraId="59B94FF8" w14:textId="77777777" w:rsidTr="00A86E7E">
        <w:tc>
          <w:tcPr>
            <w:cnfStyle w:val="001000000000" w:firstRow="0" w:lastRow="0" w:firstColumn="1" w:lastColumn="0" w:oddVBand="0" w:evenVBand="0" w:oddHBand="0" w:evenHBand="0" w:firstRowFirstColumn="0" w:firstRowLastColumn="0" w:lastRowFirstColumn="0" w:lastRowLastColumn="0"/>
            <w:tcW w:w="1975" w:type="dxa"/>
          </w:tcPr>
          <w:p w14:paraId="4D5FCFE0" w14:textId="77777777" w:rsidR="008E60A9" w:rsidRPr="005D2BE8" w:rsidRDefault="008E60A9" w:rsidP="00B54A22">
            <w:pPr>
              <w:rPr>
                <w:rFonts w:ascii="Arial" w:eastAsia="Arial" w:hAnsi="Arial" w:cs="Arial"/>
                <w:sz w:val="20"/>
                <w:szCs w:val="20"/>
              </w:rPr>
            </w:pPr>
            <w:r w:rsidRPr="005D2BE8">
              <w:rPr>
                <w:rFonts w:ascii="Arial" w:eastAsia="Arial" w:hAnsi="Arial" w:cs="Arial"/>
                <w:sz w:val="20"/>
                <w:szCs w:val="20"/>
              </w:rPr>
              <w:lastRenderedPageBreak/>
              <w:t>SAR(1)</w:t>
            </w:r>
          </w:p>
        </w:tc>
        <w:tc>
          <w:tcPr>
            <w:tcW w:w="1406" w:type="dxa"/>
          </w:tcPr>
          <w:p w14:paraId="6FB69405" w14:textId="77777777" w:rsidR="008E60A9"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-0,670</w:t>
            </w:r>
          </w:p>
          <w:p w14:paraId="4A59873E"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(0,104)</w:t>
            </w:r>
          </w:p>
        </w:tc>
        <w:tc>
          <w:tcPr>
            <w:tcW w:w="1373" w:type="dxa"/>
          </w:tcPr>
          <w:p w14:paraId="67A62013" w14:textId="77777777" w:rsidR="008E60A9"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-0,800</w:t>
            </w:r>
          </w:p>
          <w:p w14:paraId="6B296ED6"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(0,077)</w:t>
            </w:r>
          </w:p>
        </w:tc>
        <w:tc>
          <w:tcPr>
            <w:tcW w:w="1373" w:type="dxa"/>
          </w:tcPr>
          <w:p w14:paraId="2F8E0433" w14:textId="77777777" w:rsidR="008E60A9"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-0,595</w:t>
            </w:r>
          </w:p>
          <w:p w14:paraId="7643E720"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(0,123)</w:t>
            </w:r>
          </w:p>
        </w:tc>
        <w:tc>
          <w:tcPr>
            <w:tcW w:w="1373" w:type="dxa"/>
          </w:tcPr>
          <w:p w14:paraId="2606A539" w14:textId="77777777" w:rsidR="008E60A9"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-0,490</w:t>
            </w:r>
          </w:p>
          <w:p w14:paraId="67FD3314"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(0,149)</w:t>
            </w:r>
          </w:p>
        </w:tc>
        <w:tc>
          <w:tcPr>
            <w:tcW w:w="1373" w:type="dxa"/>
          </w:tcPr>
          <w:p w14:paraId="779D6905" w14:textId="77777777" w:rsidR="008E60A9"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-0,568</w:t>
            </w:r>
          </w:p>
          <w:p w14:paraId="6CD2CE17"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(0,128)</w:t>
            </w:r>
          </w:p>
        </w:tc>
        <w:tc>
          <w:tcPr>
            <w:tcW w:w="1373" w:type="dxa"/>
          </w:tcPr>
          <w:p w14:paraId="6E392A22" w14:textId="77777777" w:rsidR="008E60A9"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-0,870</w:t>
            </w:r>
          </w:p>
          <w:p w14:paraId="22125C34" w14:textId="77777777" w:rsidR="008E60A9" w:rsidRPr="004B5AEE" w:rsidRDefault="008E60A9"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(0,056)</w:t>
            </w:r>
          </w:p>
        </w:tc>
      </w:tr>
      <w:tr w:rsidR="006B1E5D" w:rsidRPr="004B5AEE" w14:paraId="3D0466CB" w14:textId="77777777" w:rsidTr="00A86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731A75D4" w14:textId="77777777" w:rsidR="008E60A9" w:rsidRPr="004B5AEE" w:rsidRDefault="008E60A9" w:rsidP="00B54A22">
            <w:pPr>
              <w:rPr>
                <w:rFonts w:ascii="Arial" w:eastAsia="Arial" w:hAnsi="Arial" w:cs="Arial"/>
                <w:sz w:val="20"/>
                <w:szCs w:val="20"/>
              </w:rPr>
            </w:pPr>
            <w:r w:rsidRPr="004B5AEE">
              <w:rPr>
                <w:rFonts w:ascii="Arial" w:eastAsia="Arial" w:hAnsi="Arial" w:cs="Arial"/>
                <w:sz w:val="20"/>
                <w:szCs w:val="20"/>
              </w:rPr>
              <w:t>ARIMA</w:t>
            </w:r>
          </w:p>
        </w:tc>
        <w:tc>
          <w:tcPr>
            <w:tcW w:w="1406" w:type="dxa"/>
          </w:tcPr>
          <w:p w14:paraId="59273EB9" w14:textId="77777777" w:rsidR="008E60A9" w:rsidRPr="004B5AEE" w:rsidRDefault="008E60A9" w:rsidP="00A86E7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(0,1,0)(1,1,0)</w:t>
            </w:r>
          </w:p>
        </w:tc>
        <w:tc>
          <w:tcPr>
            <w:tcW w:w="1373" w:type="dxa"/>
          </w:tcPr>
          <w:p w14:paraId="519E3106" w14:textId="77777777" w:rsidR="008E60A9" w:rsidRPr="004B5AEE" w:rsidRDefault="008E60A9" w:rsidP="00A86E7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(1,1,0)(1,1,0)</w:t>
            </w:r>
          </w:p>
        </w:tc>
        <w:tc>
          <w:tcPr>
            <w:tcW w:w="1373" w:type="dxa"/>
          </w:tcPr>
          <w:p w14:paraId="3CCB89A6" w14:textId="77777777" w:rsidR="008E60A9" w:rsidRPr="004B5AEE" w:rsidRDefault="008E60A9" w:rsidP="00A86E7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(1,1,0)(1,1,0)</w:t>
            </w:r>
          </w:p>
        </w:tc>
        <w:tc>
          <w:tcPr>
            <w:tcW w:w="1373" w:type="dxa"/>
          </w:tcPr>
          <w:p w14:paraId="676C704E" w14:textId="77777777" w:rsidR="008E60A9" w:rsidRPr="004B5AEE" w:rsidRDefault="008E60A9" w:rsidP="00A86E7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(1,1,0)(1,1,0)</w:t>
            </w:r>
          </w:p>
        </w:tc>
        <w:tc>
          <w:tcPr>
            <w:tcW w:w="1373" w:type="dxa"/>
          </w:tcPr>
          <w:p w14:paraId="461D59B8" w14:textId="77777777" w:rsidR="008E60A9" w:rsidRPr="004B5AEE" w:rsidRDefault="008E60A9" w:rsidP="00A86E7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(1,1,0)(1,1,0)</w:t>
            </w:r>
          </w:p>
        </w:tc>
        <w:tc>
          <w:tcPr>
            <w:tcW w:w="1373" w:type="dxa"/>
          </w:tcPr>
          <w:p w14:paraId="6F07CB92" w14:textId="77777777" w:rsidR="008E60A9" w:rsidRPr="004B5AEE" w:rsidRDefault="008E60A9" w:rsidP="00A86E7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(1,1,0)(1,1,0)</w:t>
            </w:r>
          </w:p>
        </w:tc>
      </w:tr>
    </w:tbl>
    <w:p w14:paraId="3D169567" w14:textId="28E7A3FE" w:rsidR="00D55140" w:rsidRDefault="23558E80" w:rsidP="00B54A22">
      <w:pPr>
        <w:spacing w:before="240"/>
        <w:jc w:val="both"/>
        <w:rPr>
          <w:rFonts w:ascii="Arial" w:hAnsi="Arial" w:cs="Arial"/>
        </w:rPr>
      </w:pPr>
      <w:r w:rsidRPr="288A3578">
        <w:rPr>
          <w:rFonts w:ascii="Arial" w:hAnsi="Arial" w:cs="Arial"/>
        </w:rPr>
        <w:t xml:space="preserve">Tulemused on toodud tabelis </w:t>
      </w:r>
      <w:r w:rsidR="09E6B6E1" w:rsidRPr="288A3578">
        <w:rPr>
          <w:rFonts w:ascii="Arial" w:hAnsi="Arial" w:cs="Arial"/>
        </w:rPr>
        <w:t>9</w:t>
      </w:r>
      <w:r w:rsidRPr="288A3578">
        <w:rPr>
          <w:rFonts w:ascii="Arial" w:hAnsi="Arial" w:cs="Arial"/>
        </w:rPr>
        <w:t>, kust on näha, et mitmes maakonnas ilmnes statistiliselt oluline ja negatiivne seos lühiajalise üürimise mahu ja registreeritud töötute arvu vahel. Näiteks nii Jõgeval kui Raplas saab lühiajalise üüri turu mahu</w:t>
      </w:r>
      <w:r w:rsidR="0044094D">
        <w:rPr>
          <w:rFonts w:ascii="Arial" w:hAnsi="Arial" w:cs="Arial"/>
        </w:rPr>
        <w:t xml:space="preserve"> ehk ööbimiste arvu</w:t>
      </w:r>
      <w:r w:rsidRPr="288A3578">
        <w:rPr>
          <w:rFonts w:ascii="Arial" w:hAnsi="Arial" w:cs="Arial"/>
        </w:rPr>
        <w:t xml:space="preserve"> kasvu 1% võrra seostada registreeritud töötute arvu langusega 0,02%. Arvestades uuritud perioodil töötute keskmist arvu ja lühiajalise üüri turu keskmist taset, siis sisuliselt tähendab see seda, et kui ööbimiste arv suureneb 40</w:t>
      </w:r>
      <w:r w:rsidR="00373BD1">
        <w:rPr>
          <w:rFonts w:ascii="Arial" w:hAnsi="Arial" w:cs="Arial"/>
        </w:rPr>
        <w:t>–</w:t>
      </w:r>
      <w:r w:rsidRPr="288A3578">
        <w:rPr>
          <w:rFonts w:ascii="Arial" w:hAnsi="Arial" w:cs="Arial"/>
        </w:rPr>
        <w:t>50 võrra</w:t>
      </w:r>
      <w:r w:rsidR="000F4ABE">
        <w:rPr>
          <w:rFonts w:ascii="Arial" w:hAnsi="Arial" w:cs="Arial"/>
        </w:rPr>
        <w:t xml:space="preserve"> kuus</w:t>
      </w:r>
      <w:r w:rsidRPr="288A3578">
        <w:rPr>
          <w:rFonts w:ascii="Arial" w:hAnsi="Arial" w:cs="Arial"/>
        </w:rPr>
        <w:t>, siis sellega seostub registreeritud töötute arvu langus 2-3 töötu võrra. Lääne-Virumaal hindasime seose veidi tugevamaks, aga seal on ka lühiajalise üüri teenuse kasutajaid võrreldes Rapla ja Jõgevaga kordades rohkem. Seetõttu tähendab 1%-line kasv seal ka kordades rohkem üüriteenuse kasutajaid ja seega suurem seosekoefitsient ka ootuspärane.</w:t>
      </w:r>
    </w:p>
    <w:p w14:paraId="769004E5" w14:textId="598B0277" w:rsidR="00D55140" w:rsidRPr="00F06CA2" w:rsidRDefault="23558E80" w:rsidP="288A3578">
      <w:pPr>
        <w:jc w:val="both"/>
        <w:rPr>
          <w:rFonts w:ascii="Arial" w:hAnsi="Arial" w:cs="Arial"/>
        </w:rPr>
      </w:pPr>
      <w:r w:rsidRPr="288A3578">
        <w:rPr>
          <w:rFonts w:ascii="Arial" w:hAnsi="Arial" w:cs="Arial"/>
        </w:rPr>
        <w:t>Teistes maakondades lühiajaline üürimine statistiliselt oluliseks muutjaks ei osutunud, küll leidsime statistiliselt olulise ja negatiivse seose traditsioonilise majutusteenuse kasutamisega. Kahes maakonnas, Raplamaal ja Jõgevamaal, osutusid mõlema majutussektori muutujad statistiliselt oluliseks, kusjuures traditsioonilise sektori seos töötute arvuga mõnevõrra suuremaks. Arvestades, et lühiajalise üürimise mahud jäävad kordades madalamaks traditsioonilistes majutusasutustes ööbimiste mahtudest, on see ka ootuspärane. Enamus mudelites osutus ka SKP statistiliselt oluliseks kontrollmuutujaks, omades töötute arvuga ootuspäraselt negatiivset seost: majanduskasvu 1% võrra saab seostada töötute arvu langusega</w:t>
      </w:r>
      <w:r w:rsidR="737C67DB" w:rsidRPr="288A3578">
        <w:rPr>
          <w:rFonts w:ascii="Arial" w:hAnsi="Arial" w:cs="Arial"/>
        </w:rPr>
        <w:t xml:space="preserve"> ligikaudu</w:t>
      </w:r>
      <w:r w:rsidRPr="288A3578">
        <w:rPr>
          <w:rFonts w:ascii="Arial" w:hAnsi="Arial" w:cs="Arial"/>
        </w:rPr>
        <w:t xml:space="preserve"> 1%, Jõgeval 1,7%.</w:t>
      </w:r>
    </w:p>
    <w:p w14:paraId="0E18AED8" w14:textId="2C9F64E7" w:rsidR="00D55140" w:rsidRPr="00A34307" w:rsidRDefault="00D55140" w:rsidP="00D55140">
      <w:pPr>
        <w:rPr>
          <w:rStyle w:val="PurpleText"/>
        </w:rPr>
      </w:pPr>
      <w:r w:rsidRPr="00A34307">
        <w:rPr>
          <w:rStyle w:val="PurpleText"/>
        </w:rPr>
        <w:t xml:space="preserve">Seos varavastaste </w:t>
      </w:r>
      <w:r w:rsidR="00037ABA">
        <w:rPr>
          <w:rStyle w:val="PurpleText"/>
        </w:rPr>
        <w:t>süütegudega</w:t>
      </w:r>
    </w:p>
    <w:p w14:paraId="63F84C70" w14:textId="57BE3226" w:rsidR="00D55140" w:rsidRDefault="00D55140" w:rsidP="00D55140">
      <w:pPr>
        <w:jc w:val="both"/>
        <w:rPr>
          <w:rFonts w:ascii="Arial" w:hAnsi="Arial" w:cs="Arial"/>
          <w:szCs w:val="24"/>
        </w:rPr>
      </w:pPr>
      <w:r>
        <w:rPr>
          <w:rFonts w:ascii="Arial" w:hAnsi="Arial" w:cs="Arial"/>
          <w:szCs w:val="24"/>
        </w:rPr>
        <w:t xml:space="preserve">Mitmed teadusuuringud on näidanud lühiajalise üürimise seost </w:t>
      </w:r>
      <w:r w:rsidR="00037ABA">
        <w:rPr>
          <w:rFonts w:ascii="Arial" w:hAnsi="Arial" w:cs="Arial"/>
          <w:szCs w:val="24"/>
        </w:rPr>
        <w:t>süütegudega</w:t>
      </w:r>
      <w:r>
        <w:rPr>
          <w:rFonts w:ascii="Arial" w:hAnsi="Arial" w:cs="Arial"/>
          <w:szCs w:val="24"/>
        </w:rPr>
        <w:t xml:space="preserve">, seega hindasime ka selles uuringus selle seose esinemist uuritaval perioodil. Kuna turismi seostatakse just eelkõige varguste jt varavastaste rikkumistega, siis analüüsisime, kas registreeritud varavastaste </w:t>
      </w:r>
      <w:r w:rsidR="00037ABA">
        <w:rPr>
          <w:rFonts w:ascii="Arial" w:hAnsi="Arial" w:cs="Arial"/>
          <w:szCs w:val="24"/>
        </w:rPr>
        <w:t xml:space="preserve">süütegude </w:t>
      </w:r>
      <w:r>
        <w:rPr>
          <w:rFonts w:ascii="Arial" w:hAnsi="Arial" w:cs="Arial"/>
          <w:szCs w:val="24"/>
        </w:rPr>
        <w:t>arv sõltub lühiajalise üüri turu mahust. Sõltuva muutujana kasutasime eraldi nii kõiki varavastaseid rikkumisi kui ka kuritegusid. Andmed olid meile kättesaadavad ka eraldi varguste jt varavastaste rikkumiste tüüpide kohta, kuid enamus maakondades pole neid paljudel kuudel registreeritud mitte ühtegi ja seetõttu neid näitajaid modelleerimisel ei kasutanud. Kuna tegemist on loendusandmetega, kasutasime Poissoni paneelregressioonanalüüsi.</w:t>
      </w:r>
    </w:p>
    <w:p w14:paraId="479958D4" w14:textId="2E986C13" w:rsidR="00D55140" w:rsidRDefault="23558E80" w:rsidP="288A3578">
      <w:pPr>
        <w:jc w:val="both"/>
        <w:rPr>
          <w:rFonts w:ascii="Arial" w:hAnsi="Arial" w:cs="Arial"/>
        </w:rPr>
      </w:pPr>
      <w:r w:rsidRPr="288A3578">
        <w:rPr>
          <w:rFonts w:ascii="Arial" w:hAnsi="Arial" w:cs="Arial"/>
        </w:rPr>
        <w:t xml:space="preserve">Tabelis </w:t>
      </w:r>
      <w:r w:rsidR="14F68A2C" w:rsidRPr="288A3578">
        <w:rPr>
          <w:rFonts w:ascii="Arial" w:hAnsi="Arial" w:cs="Arial"/>
        </w:rPr>
        <w:t>10</w:t>
      </w:r>
      <w:r w:rsidRPr="288A3578">
        <w:rPr>
          <w:rFonts w:ascii="Arial" w:hAnsi="Arial" w:cs="Arial"/>
        </w:rPr>
        <w:t xml:space="preserve"> on esitatud modelleerimise tulemused. Statistiliselt olulist seost me varavastaste </w:t>
      </w:r>
      <w:r w:rsidR="00037ABA">
        <w:rPr>
          <w:rFonts w:ascii="Arial" w:hAnsi="Arial" w:cs="Arial"/>
        </w:rPr>
        <w:t>süütegude</w:t>
      </w:r>
      <w:r w:rsidR="00037ABA" w:rsidRPr="288A3578">
        <w:rPr>
          <w:rFonts w:ascii="Arial" w:hAnsi="Arial" w:cs="Arial"/>
        </w:rPr>
        <w:t xml:space="preserve"> </w:t>
      </w:r>
      <w:r w:rsidRPr="288A3578">
        <w:rPr>
          <w:rFonts w:ascii="Arial" w:hAnsi="Arial" w:cs="Arial"/>
        </w:rPr>
        <w:t xml:space="preserve">ja lühiajalise üürimise vahel ei tuvastanud. Samas on hinnatud koefitsiendid nullist rohkem kui ühe standardvea kaugusel, mistõttu on nende tõlgendamine asjakohane ja meie uuringu vaates huvipakkuv. </w:t>
      </w:r>
      <w:r w:rsidR="287C6B27" w:rsidRPr="288A3578">
        <w:rPr>
          <w:rFonts w:ascii="Arial" w:hAnsi="Arial" w:cs="Arial"/>
        </w:rPr>
        <w:t>H</w:t>
      </w:r>
      <w:r w:rsidRPr="288A3578">
        <w:rPr>
          <w:rFonts w:ascii="Arial" w:hAnsi="Arial" w:cs="Arial"/>
        </w:rPr>
        <w:t>innatud seosekoefitsiendid viita</w:t>
      </w:r>
      <w:r w:rsidR="5A2C4AB8" w:rsidRPr="288A3578">
        <w:rPr>
          <w:rFonts w:ascii="Arial" w:hAnsi="Arial" w:cs="Arial"/>
        </w:rPr>
        <w:t>vad</w:t>
      </w:r>
      <w:r w:rsidRPr="288A3578">
        <w:rPr>
          <w:rFonts w:ascii="Arial" w:hAnsi="Arial" w:cs="Arial"/>
        </w:rPr>
        <w:t xml:space="preserve"> negatiivsele seosele ehk </w:t>
      </w:r>
      <w:r w:rsidRPr="288A3578">
        <w:rPr>
          <w:rFonts w:ascii="Arial" w:hAnsi="Arial" w:cs="Arial"/>
        </w:rPr>
        <w:lastRenderedPageBreak/>
        <w:t xml:space="preserve">lühiajalise üürimise kasvuga väheneb registreeritud varavastaste </w:t>
      </w:r>
      <w:r w:rsidR="00037ABA">
        <w:rPr>
          <w:rFonts w:ascii="Arial" w:hAnsi="Arial" w:cs="Arial"/>
        </w:rPr>
        <w:t>süütegude</w:t>
      </w:r>
      <w:r w:rsidR="00037ABA" w:rsidRPr="288A3578">
        <w:rPr>
          <w:rFonts w:ascii="Arial" w:hAnsi="Arial" w:cs="Arial"/>
        </w:rPr>
        <w:t xml:space="preserve"> </w:t>
      </w:r>
      <w:r w:rsidRPr="288A3578">
        <w:rPr>
          <w:rFonts w:ascii="Arial" w:hAnsi="Arial" w:cs="Arial"/>
        </w:rPr>
        <w:t xml:space="preserve">tase. Kui koefitsiente täpsemalt tõlgendada, siis ööbimiste kasvuga 10% võrra kaasneb varavastaste </w:t>
      </w:r>
      <w:r w:rsidR="00037ABA">
        <w:rPr>
          <w:rFonts w:ascii="Arial" w:hAnsi="Arial" w:cs="Arial"/>
        </w:rPr>
        <w:t>süütegude</w:t>
      </w:r>
      <w:r w:rsidR="00037ABA" w:rsidRPr="288A3578">
        <w:rPr>
          <w:rFonts w:ascii="Arial" w:hAnsi="Arial" w:cs="Arial"/>
        </w:rPr>
        <w:t xml:space="preserve"> </w:t>
      </w:r>
      <w:r w:rsidRPr="288A3578">
        <w:rPr>
          <w:rFonts w:ascii="Arial" w:hAnsi="Arial" w:cs="Arial"/>
        </w:rPr>
        <w:t>arv</w:t>
      </w:r>
      <w:r w:rsidR="003406DE">
        <w:rPr>
          <w:rFonts w:ascii="Arial" w:hAnsi="Arial" w:cs="Arial"/>
        </w:rPr>
        <w:t>u vähenemine</w:t>
      </w:r>
      <w:r w:rsidRPr="288A3578">
        <w:rPr>
          <w:rFonts w:ascii="Arial" w:hAnsi="Arial" w:cs="Arial"/>
        </w:rPr>
        <w:t xml:space="preserve"> </w:t>
      </w:r>
      <w:r w:rsidR="00DF1BA4">
        <w:rPr>
          <w:rFonts w:ascii="Arial" w:hAnsi="Arial" w:cs="Arial"/>
        </w:rPr>
        <w:t>1,6</w:t>
      </w:r>
      <w:r w:rsidR="001F15C2">
        <w:rPr>
          <w:rFonts w:ascii="Arial" w:hAnsi="Arial" w:cs="Arial"/>
        </w:rPr>
        <w:t>%</w:t>
      </w:r>
      <w:r w:rsidRPr="288A3578">
        <w:rPr>
          <w:rFonts w:ascii="Arial" w:hAnsi="Arial" w:cs="Arial"/>
        </w:rPr>
        <w:t xml:space="preserve"> võrra, </w:t>
      </w:r>
      <w:r w:rsidR="003B21C7">
        <w:rPr>
          <w:rFonts w:ascii="Arial" w:hAnsi="Arial" w:cs="Arial"/>
        </w:rPr>
        <w:t xml:space="preserve">varavastase </w:t>
      </w:r>
      <w:r w:rsidRPr="288A3578">
        <w:rPr>
          <w:rFonts w:ascii="Arial" w:hAnsi="Arial" w:cs="Arial"/>
        </w:rPr>
        <w:t xml:space="preserve">kuritegevuse puhul </w:t>
      </w:r>
      <w:r w:rsidR="00657D1A">
        <w:rPr>
          <w:rFonts w:ascii="Arial" w:hAnsi="Arial" w:cs="Arial"/>
        </w:rPr>
        <w:t>2,8</w:t>
      </w:r>
      <w:r w:rsidR="001F15C2">
        <w:rPr>
          <w:rFonts w:ascii="Arial" w:hAnsi="Arial" w:cs="Arial"/>
        </w:rPr>
        <w:t>%</w:t>
      </w:r>
      <w:r w:rsidRPr="288A3578">
        <w:rPr>
          <w:rFonts w:ascii="Arial" w:hAnsi="Arial" w:cs="Arial"/>
        </w:rPr>
        <w:t xml:space="preserve"> võrra. Sisuliselt on tegemist </w:t>
      </w:r>
      <w:r w:rsidR="006226CD">
        <w:rPr>
          <w:rFonts w:ascii="Arial" w:hAnsi="Arial" w:cs="Arial"/>
        </w:rPr>
        <w:t>suhteliselt</w:t>
      </w:r>
      <w:r w:rsidR="006226CD" w:rsidRPr="288A3578">
        <w:rPr>
          <w:rFonts w:ascii="Arial" w:hAnsi="Arial" w:cs="Arial"/>
        </w:rPr>
        <w:t xml:space="preserve"> </w:t>
      </w:r>
      <w:r w:rsidRPr="288A3578">
        <w:rPr>
          <w:rFonts w:ascii="Arial" w:hAnsi="Arial" w:cs="Arial"/>
        </w:rPr>
        <w:t xml:space="preserve">nõrga seosega, sest kui </w:t>
      </w:r>
      <w:r w:rsidR="004B0F91">
        <w:rPr>
          <w:rFonts w:ascii="Arial" w:hAnsi="Arial" w:cs="Arial"/>
        </w:rPr>
        <w:t>seda tõlgendada</w:t>
      </w:r>
      <w:r w:rsidRPr="288A3578">
        <w:rPr>
          <w:rFonts w:ascii="Arial" w:hAnsi="Arial" w:cs="Arial"/>
        </w:rPr>
        <w:t xml:space="preserve"> kausaal</w:t>
      </w:r>
      <w:r w:rsidR="004B0F91">
        <w:rPr>
          <w:rFonts w:ascii="Arial" w:hAnsi="Arial" w:cs="Arial"/>
        </w:rPr>
        <w:t>s</w:t>
      </w:r>
      <w:r w:rsidRPr="288A3578">
        <w:rPr>
          <w:rFonts w:ascii="Arial" w:hAnsi="Arial" w:cs="Arial"/>
        </w:rPr>
        <w:t>e seos</w:t>
      </w:r>
      <w:r w:rsidR="004B0F91">
        <w:rPr>
          <w:rFonts w:ascii="Arial" w:hAnsi="Arial" w:cs="Arial"/>
        </w:rPr>
        <w:t>ena</w:t>
      </w:r>
      <w:r w:rsidRPr="288A3578">
        <w:rPr>
          <w:rFonts w:ascii="Arial" w:hAnsi="Arial" w:cs="Arial"/>
        </w:rPr>
        <w:t xml:space="preserve">, peaks lühiajaline üürimise maht võrreldes praeguse tasemega </w:t>
      </w:r>
      <w:r w:rsidR="002D0074">
        <w:rPr>
          <w:rFonts w:ascii="Arial" w:hAnsi="Arial" w:cs="Arial"/>
        </w:rPr>
        <w:t xml:space="preserve">suurenema </w:t>
      </w:r>
      <w:r w:rsidR="000D275E">
        <w:rPr>
          <w:rFonts w:ascii="Arial" w:hAnsi="Arial" w:cs="Arial"/>
        </w:rPr>
        <w:t>15</w:t>
      </w:r>
      <w:r w:rsidR="00611BFB">
        <w:rPr>
          <w:rFonts w:ascii="Arial" w:hAnsi="Arial" w:cs="Arial"/>
        </w:rPr>
        <w:t>0 000 ööbimise võrra</w:t>
      </w:r>
      <w:r w:rsidRPr="288A3578">
        <w:rPr>
          <w:rFonts w:ascii="Arial" w:hAnsi="Arial" w:cs="Arial"/>
        </w:rPr>
        <w:t xml:space="preserve">, et hoida ära </w:t>
      </w:r>
      <w:r w:rsidR="002D0074">
        <w:rPr>
          <w:rFonts w:ascii="Arial" w:hAnsi="Arial" w:cs="Arial"/>
        </w:rPr>
        <w:t xml:space="preserve">ligikaudu </w:t>
      </w:r>
      <w:r w:rsidR="000D275E">
        <w:rPr>
          <w:rFonts w:ascii="Arial" w:hAnsi="Arial" w:cs="Arial"/>
        </w:rPr>
        <w:t>5</w:t>
      </w:r>
      <w:r w:rsidRPr="288A3578">
        <w:rPr>
          <w:rFonts w:ascii="Arial" w:hAnsi="Arial" w:cs="Arial"/>
        </w:rPr>
        <w:t xml:space="preserve"> </w:t>
      </w:r>
      <w:r w:rsidR="00037ABA">
        <w:rPr>
          <w:rFonts w:ascii="Arial" w:hAnsi="Arial" w:cs="Arial"/>
        </w:rPr>
        <w:t>süütegu</w:t>
      </w:r>
      <w:r w:rsidRPr="288A3578">
        <w:rPr>
          <w:rFonts w:ascii="Arial" w:hAnsi="Arial" w:cs="Arial"/>
        </w:rPr>
        <w:t>.</w:t>
      </w:r>
    </w:p>
    <w:p w14:paraId="60F18552" w14:textId="38F1BB29" w:rsidR="00D55140" w:rsidRPr="002B1926" w:rsidRDefault="23558E80" w:rsidP="0058797C">
      <w:pPr>
        <w:pStyle w:val="TableTitle"/>
      </w:pPr>
      <w:r>
        <w:t xml:space="preserve">Tabel </w:t>
      </w:r>
      <w:r w:rsidR="538911A2">
        <w:t>10</w:t>
      </w:r>
      <w:r>
        <w:t>. Varavastaste õigusrikkumiste seos lühiajalise üürimisega Eestis</w:t>
      </w:r>
      <w:r w:rsidR="005A0A06">
        <w:t xml:space="preserve"> 2020-2023</w:t>
      </w:r>
      <w:r>
        <w:t xml:space="preserve"> (Poisson</w:t>
      </w:r>
      <w:r w:rsidR="678E59A1">
        <w:t>i</w:t>
      </w:r>
      <w:r>
        <w:t xml:space="preserve"> paneelregressioon)</w:t>
      </w:r>
    </w:p>
    <w:tbl>
      <w:tblPr>
        <w:tblStyle w:val="ListTable3-Accent1"/>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1710"/>
        <w:gridCol w:w="1800"/>
        <w:gridCol w:w="1800"/>
        <w:gridCol w:w="1890"/>
      </w:tblGrid>
      <w:tr w:rsidR="006F4C3F" w:rsidRPr="0058797C" w14:paraId="0F7FF66F" w14:textId="77777777" w:rsidTr="00C0128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45" w:type="dxa"/>
            <w:vMerge w:val="restart"/>
          </w:tcPr>
          <w:p w14:paraId="2C947F7F" w14:textId="77777777" w:rsidR="00D55140" w:rsidRPr="0058797C" w:rsidRDefault="00D55140">
            <w:pPr>
              <w:jc w:val="center"/>
              <w:rPr>
                <w:rFonts w:ascii="Arial" w:hAnsi="Arial" w:cs="Arial"/>
                <w:sz w:val="20"/>
                <w:szCs w:val="20"/>
              </w:rPr>
            </w:pPr>
            <w:r w:rsidRPr="0058797C">
              <w:rPr>
                <w:rFonts w:ascii="Arial" w:hAnsi="Arial" w:cs="Arial"/>
                <w:sz w:val="20"/>
                <w:szCs w:val="20"/>
              </w:rPr>
              <w:t>Muutujad</w:t>
            </w:r>
          </w:p>
        </w:tc>
        <w:tc>
          <w:tcPr>
            <w:tcW w:w="7200" w:type="dxa"/>
            <w:gridSpan w:val="4"/>
          </w:tcPr>
          <w:p w14:paraId="57EBE368" w14:textId="77777777" w:rsidR="00D55140" w:rsidRPr="0058797C" w:rsidRDefault="00D5514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Koefitsiendid (standardvead)</w:t>
            </w:r>
          </w:p>
        </w:tc>
      </w:tr>
      <w:tr w:rsidR="00C94223" w:rsidRPr="0058797C" w14:paraId="3F7B1271" w14:textId="77777777" w:rsidTr="00C0128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45" w:type="dxa"/>
            <w:vMerge/>
          </w:tcPr>
          <w:p w14:paraId="3B1DB825" w14:textId="77777777" w:rsidR="00D55140" w:rsidRPr="0058797C" w:rsidRDefault="00D55140">
            <w:pPr>
              <w:jc w:val="center"/>
              <w:rPr>
                <w:rFonts w:ascii="Arial" w:hAnsi="Arial" w:cs="Arial"/>
                <w:sz w:val="20"/>
                <w:szCs w:val="20"/>
              </w:rPr>
            </w:pPr>
          </w:p>
        </w:tc>
        <w:tc>
          <w:tcPr>
            <w:tcW w:w="3510" w:type="dxa"/>
            <w:gridSpan w:val="2"/>
            <w:shd w:val="clear" w:color="auto" w:fill="ACAEAC" w:themeFill="accent2"/>
          </w:tcPr>
          <w:p w14:paraId="7E2E49A4" w14:textId="77777777" w:rsidR="00D55140" w:rsidRPr="00A34307" w:rsidRDefault="00D5514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34307">
              <w:rPr>
                <w:rFonts w:ascii="Arial" w:hAnsi="Arial" w:cs="Arial"/>
                <w:color w:val="auto"/>
                <w:sz w:val="20"/>
                <w:szCs w:val="20"/>
              </w:rPr>
              <w:t>Kõik maakonnad</w:t>
            </w:r>
          </w:p>
        </w:tc>
        <w:tc>
          <w:tcPr>
            <w:tcW w:w="3690" w:type="dxa"/>
            <w:gridSpan w:val="2"/>
            <w:shd w:val="clear" w:color="auto" w:fill="ACAEAC" w:themeFill="accent2"/>
          </w:tcPr>
          <w:p w14:paraId="50CC0F7D" w14:textId="77777777" w:rsidR="00D55140" w:rsidRPr="00A34307" w:rsidRDefault="00D5514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34307">
              <w:rPr>
                <w:rFonts w:ascii="Arial" w:hAnsi="Arial" w:cs="Arial"/>
                <w:color w:val="auto"/>
                <w:sz w:val="20"/>
                <w:szCs w:val="20"/>
              </w:rPr>
              <w:t>Ilma Harjumaata</w:t>
            </w:r>
          </w:p>
        </w:tc>
      </w:tr>
      <w:tr w:rsidR="00C93EFE" w:rsidRPr="0058797C" w14:paraId="7363A598" w14:textId="77777777" w:rsidTr="00C0128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45" w:type="dxa"/>
            <w:vMerge/>
          </w:tcPr>
          <w:p w14:paraId="6F7F3F55" w14:textId="77777777" w:rsidR="00D55140" w:rsidRPr="0058797C" w:rsidRDefault="00D55140">
            <w:pPr>
              <w:jc w:val="center"/>
              <w:rPr>
                <w:rFonts w:ascii="Arial" w:hAnsi="Arial" w:cs="Arial"/>
                <w:sz w:val="20"/>
                <w:szCs w:val="20"/>
              </w:rPr>
            </w:pPr>
          </w:p>
        </w:tc>
        <w:tc>
          <w:tcPr>
            <w:tcW w:w="1710" w:type="dxa"/>
            <w:shd w:val="clear" w:color="auto" w:fill="ACAEAC" w:themeFill="accent2"/>
          </w:tcPr>
          <w:p w14:paraId="7FAD8840" w14:textId="2876D305" w:rsidR="00D55140" w:rsidRPr="00A34307" w:rsidRDefault="00D5514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34307">
              <w:rPr>
                <w:rFonts w:ascii="Arial" w:hAnsi="Arial" w:cs="Arial"/>
                <w:color w:val="auto"/>
                <w:sz w:val="20"/>
                <w:szCs w:val="20"/>
              </w:rPr>
              <w:t>Varavastased</w:t>
            </w:r>
            <w:r w:rsidR="001F060E" w:rsidRPr="00A34307">
              <w:rPr>
                <w:rFonts w:ascii="Arial" w:hAnsi="Arial" w:cs="Arial"/>
                <w:color w:val="auto"/>
                <w:sz w:val="20"/>
                <w:szCs w:val="20"/>
              </w:rPr>
              <w:t xml:space="preserve"> </w:t>
            </w:r>
            <w:r w:rsidR="00037ABA">
              <w:rPr>
                <w:rFonts w:ascii="Arial" w:hAnsi="Arial" w:cs="Arial"/>
                <w:color w:val="auto"/>
                <w:sz w:val="20"/>
                <w:szCs w:val="20"/>
              </w:rPr>
              <w:t>süüteod</w:t>
            </w:r>
          </w:p>
        </w:tc>
        <w:tc>
          <w:tcPr>
            <w:tcW w:w="1800" w:type="dxa"/>
            <w:shd w:val="clear" w:color="auto" w:fill="ACAEAC" w:themeFill="accent2"/>
          </w:tcPr>
          <w:p w14:paraId="3F510080" w14:textId="127FB83A" w:rsidR="00D55140" w:rsidRPr="00A34307" w:rsidRDefault="001F060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34307">
              <w:rPr>
                <w:rFonts w:ascii="Arial" w:hAnsi="Arial" w:cs="Arial"/>
                <w:color w:val="auto"/>
                <w:sz w:val="20"/>
                <w:szCs w:val="20"/>
              </w:rPr>
              <w:t>Varavastased k</w:t>
            </w:r>
            <w:r w:rsidR="00D55140" w:rsidRPr="00A34307">
              <w:rPr>
                <w:rFonts w:ascii="Arial" w:hAnsi="Arial" w:cs="Arial"/>
                <w:color w:val="auto"/>
                <w:sz w:val="20"/>
                <w:szCs w:val="20"/>
              </w:rPr>
              <w:t>uriteod</w:t>
            </w:r>
          </w:p>
        </w:tc>
        <w:tc>
          <w:tcPr>
            <w:tcW w:w="1800" w:type="dxa"/>
            <w:shd w:val="clear" w:color="auto" w:fill="ACAEAC" w:themeFill="accent2"/>
          </w:tcPr>
          <w:p w14:paraId="218D1514" w14:textId="718A308B" w:rsidR="001F060E" w:rsidRPr="00A34307" w:rsidRDefault="00D55140" w:rsidP="001F060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A34307">
              <w:rPr>
                <w:rFonts w:ascii="Arial" w:hAnsi="Arial" w:cs="Arial"/>
                <w:color w:val="auto"/>
                <w:sz w:val="20"/>
                <w:szCs w:val="20"/>
              </w:rPr>
              <w:t>Varavastased</w:t>
            </w:r>
            <w:r w:rsidR="001F060E" w:rsidRPr="00A34307">
              <w:rPr>
                <w:rFonts w:ascii="Arial" w:hAnsi="Arial" w:cs="Arial"/>
                <w:color w:val="auto"/>
                <w:sz w:val="20"/>
                <w:szCs w:val="20"/>
              </w:rPr>
              <w:t xml:space="preserve"> </w:t>
            </w:r>
            <w:r w:rsidR="00037ABA">
              <w:rPr>
                <w:rFonts w:ascii="Arial" w:hAnsi="Arial" w:cs="Arial"/>
                <w:color w:val="auto"/>
                <w:sz w:val="20"/>
                <w:szCs w:val="20"/>
              </w:rPr>
              <w:t>süüteod</w:t>
            </w:r>
          </w:p>
        </w:tc>
        <w:tc>
          <w:tcPr>
            <w:tcW w:w="1890" w:type="dxa"/>
            <w:shd w:val="clear" w:color="auto" w:fill="ACAEAC" w:themeFill="accent2"/>
          </w:tcPr>
          <w:p w14:paraId="3C6E6D4B" w14:textId="48CB4131" w:rsidR="00D55140" w:rsidRPr="00A34307" w:rsidRDefault="001F060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34307">
              <w:rPr>
                <w:rFonts w:ascii="Arial" w:hAnsi="Arial" w:cs="Arial"/>
                <w:color w:val="auto"/>
                <w:sz w:val="20"/>
                <w:szCs w:val="20"/>
              </w:rPr>
              <w:t>Varavastased k</w:t>
            </w:r>
            <w:r w:rsidR="00D55140" w:rsidRPr="00A34307">
              <w:rPr>
                <w:rFonts w:ascii="Arial" w:hAnsi="Arial" w:cs="Arial"/>
                <w:color w:val="auto"/>
                <w:sz w:val="20"/>
                <w:szCs w:val="20"/>
              </w:rPr>
              <w:t>uriteod</w:t>
            </w:r>
          </w:p>
        </w:tc>
      </w:tr>
      <w:tr w:rsidR="006B1E5D" w:rsidRPr="0058797C" w14:paraId="09CBA911" w14:textId="77777777" w:rsidTr="00C01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50D49FC5" w14:textId="77777777" w:rsidR="00D55140" w:rsidRPr="0058797C" w:rsidRDefault="00D55140" w:rsidP="00C01287">
            <w:pPr>
              <w:rPr>
                <w:rFonts w:ascii="Arial" w:hAnsi="Arial" w:cs="Arial"/>
                <w:sz w:val="20"/>
                <w:szCs w:val="20"/>
              </w:rPr>
            </w:pPr>
            <w:r w:rsidRPr="0058797C">
              <w:rPr>
                <w:rFonts w:ascii="Arial" w:hAnsi="Arial" w:cs="Arial"/>
                <w:sz w:val="20"/>
                <w:szCs w:val="20"/>
              </w:rPr>
              <w:t>Ööbimised</w:t>
            </w:r>
          </w:p>
          <w:p w14:paraId="0802239C" w14:textId="77777777" w:rsidR="00D55140" w:rsidRPr="0058797C" w:rsidRDefault="00D55140" w:rsidP="00C01287">
            <w:pPr>
              <w:rPr>
                <w:rFonts w:ascii="Arial" w:hAnsi="Arial" w:cs="Arial"/>
                <w:sz w:val="20"/>
                <w:szCs w:val="20"/>
              </w:rPr>
            </w:pPr>
            <w:r w:rsidRPr="0058797C">
              <w:rPr>
                <w:rFonts w:ascii="Arial" w:hAnsi="Arial" w:cs="Arial"/>
                <w:sz w:val="20"/>
                <w:szCs w:val="20"/>
              </w:rPr>
              <w:t>(lühiajaline)</w:t>
            </w:r>
          </w:p>
        </w:tc>
        <w:tc>
          <w:tcPr>
            <w:tcW w:w="1710" w:type="dxa"/>
          </w:tcPr>
          <w:p w14:paraId="551CBF62"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-0,160</w:t>
            </w:r>
          </w:p>
          <w:p w14:paraId="4AE6F6C8"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(0,128)</w:t>
            </w:r>
          </w:p>
        </w:tc>
        <w:tc>
          <w:tcPr>
            <w:tcW w:w="1800" w:type="dxa"/>
          </w:tcPr>
          <w:p w14:paraId="19962AE1"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-0,281</w:t>
            </w:r>
          </w:p>
          <w:p w14:paraId="30F7B382"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(0,185)</w:t>
            </w:r>
          </w:p>
        </w:tc>
        <w:tc>
          <w:tcPr>
            <w:tcW w:w="1800" w:type="dxa"/>
          </w:tcPr>
          <w:p w14:paraId="29AE5DCA"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-0,022</w:t>
            </w:r>
          </w:p>
          <w:p w14:paraId="2150E6E0"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(0,110)</w:t>
            </w:r>
          </w:p>
        </w:tc>
        <w:tc>
          <w:tcPr>
            <w:tcW w:w="1890" w:type="dxa"/>
          </w:tcPr>
          <w:p w14:paraId="37B5E6B5"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-0,135</w:t>
            </w:r>
          </w:p>
          <w:p w14:paraId="58608498"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(0,153)</w:t>
            </w:r>
          </w:p>
        </w:tc>
      </w:tr>
      <w:tr w:rsidR="006B1E5D" w:rsidRPr="0058797C" w14:paraId="3C167FA1" w14:textId="77777777" w:rsidTr="00C01287">
        <w:tc>
          <w:tcPr>
            <w:cnfStyle w:val="001000000000" w:firstRow="0" w:lastRow="0" w:firstColumn="1" w:lastColumn="0" w:oddVBand="0" w:evenVBand="0" w:oddHBand="0" w:evenHBand="0" w:firstRowFirstColumn="0" w:firstRowLastColumn="0" w:lastRowFirstColumn="0" w:lastRowLastColumn="0"/>
            <w:tcW w:w="3145" w:type="dxa"/>
          </w:tcPr>
          <w:p w14:paraId="6521AF97" w14:textId="77777777" w:rsidR="00D55140" w:rsidRPr="0058797C" w:rsidRDefault="00D55140" w:rsidP="00C01287">
            <w:pPr>
              <w:rPr>
                <w:rFonts w:ascii="Arial" w:hAnsi="Arial" w:cs="Arial"/>
                <w:sz w:val="20"/>
                <w:szCs w:val="20"/>
              </w:rPr>
            </w:pPr>
            <w:r w:rsidRPr="0058797C">
              <w:rPr>
                <w:rFonts w:ascii="Arial" w:hAnsi="Arial" w:cs="Arial"/>
                <w:sz w:val="20"/>
                <w:szCs w:val="20"/>
              </w:rPr>
              <w:t>Ööbimised (traditsiooniline)</w:t>
            </w:r>
          </w:p>
        </w:tc>
        <w:tc>
          <w:tcPr>
            <w:tcW w:w="1710" w:type="dxa"/>
          </w:tcPr>
          <w:p w14:paraId="585A1975"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0,108</w:t>
            </w:r>
          </w:p>
          <w:p w14:paraId="138F8309"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(0,073)</w:t>
            </w:r>
          </w:p>
        </w:tc>
        <w:tc>
          <w:tcPr>
            <w:tcW w:w="1800" w:type="dxa"/>
          </w:tcPr>
          <w:p w14:paraId="03A2A878"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0,203</w:t>
            </w:r>
          </w:p>
          <w:p w14:paraId="1225BFEA"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(0,098)</w:t>
            </w:r>
          </w:p>
        </w:tc>
        <w:tc>
          <w:tcPr>
            <w:tcW w:w="1800" w:type="dxa"/>
          </w:tcPr>
          <w:p w14:paraId="4D402FF3"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-0,100</w:t>
            </w:r>
          </w:p>
          <w:p w14:paraId="327C631B"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(0,075)</w:t>
            </w:r>
          </w:p>
        </w:tc>
        <w:tc>
          <w:tcPr>
            <w:tcW w:w="1890" w:type="dxa"/>
          </w:tcPr>
          <w:p w14:paraId="68F2D6E0"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-0,203</w:t>
            </w:r>
          </w:p>
          <w:p w14:paraId="472A47EF"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(0,103)</w:t>
            </w:r>
          </w:p>
        </w:tc>
      </w:tr>
      <w:tr w:rsidR="006B1E5D" w:rsidRPr="0058797C" w14:paraId="0F3BE98A" w14:textId="77777777" w:rsidTr="00C01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462B1B3B" w14:textId="77777777" w:rsidR="00D55140" w:rsidRPr="0058797C" w:rsidRDefault="00D55140" w:rsidP="00C01287">
            <w:pPr>
              <w:rPr>
                <w:rFonts w:ascii="Arial" w:hAnsi="Arial" w:cs="Arial"/>
                <w:sz w:val="20"/>
                <w:szCs w:val="20"/>
              </w:rPr>
            </w:pPr>
            <w:r w:rsidRPr="0058797C">
              <w:rPr>
                <w:rFonts w:ascii="Arial" w:hAnsi="Arial" w:cs="Arial"/>
                <w:sz w:val="20"/>
                <w:szCs w:val="20"/>
              </w:rPr>
              <w:t>Töötus</w:t>
            </w:r>
          </w:p>
        </w:tc>
        <w:tc>
          <w:tcPr>
            <w:tcW w:w="1710" w:type="dxa"/>
          </w:tcPr>
          <w:p w14:paraId="7EC074CE"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-0,323</w:t>
            </w:r>
          </w:p>
          <w:p w14:paraId="384E02E4"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(0,104)</w:t>
            </w:r>
          </w:p>
        </w:tc>
        <w:tc>
          <w:tcPr>
            <w:tcW w:w="1800" w:type="dxa"/>
          </w:tcPr>
          <w:p w14:paraId="23D1A8A4"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-0,449</w:t>
            </w:r>
          </w:p>
          <w:p w14:paraId="3D3F5DD1"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(0,170)</w:t>
            </w:r>
          </w:p>
        </w:tc>
        <w:tc>
          <w:tcPr>
            <w:tcW w:w="1800" w:type="dxa"/>
          </w:tcPr>
          <w:p w14:paraId="42FEE448"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-1,161</w:t>
            </w:r>
          </w:p>
          <w:p w14:paraId="47887154"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(0,165)</w:t>
            </w:r>
          </w:p>
        </w:tc>
        <w:tc>
          <w:tcPr>
            <w:tcW w:w="1890" w:type="dxa"/>
          </w:tcPr>
          <w:p w14:paraId="58706ED1"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-1,725</w:t>
            </w:r>
          </w:p>
          <w:p w14:paraId="6C5836D1"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(0,139)</w:t>
            </w:r>
          </w:p>
        </w:tc>
      </w:tr>
      <w:tr w:rsidR="006B1E5D" w:rsidRPr="0058797C" w14:paraId="510A0F76" w14:textId="77777777" w:rsidTr="00C01287">
        <w:tc>
          <w:tcPr>
            <w:cnfStyle w:val="001000000000" w:firstRow="0" w:lastRow="0" w:firstColumn="1" w:lastColumn="0" w:oddVBand="0" w:evenVBand="0" w:oddHBand="0" w:evenHBand="0" w:firstRowFirstColumn="0" w:firstRowLastColumn="0" w:lastRowFirstColumn="0" w:lastRowLastColumn="0"/>
            <w:tcW w:w="3145" w:type="dxa"/>
          </w:tcPr>
          <w:p w14:paraId="087AFF1F" w14:textId="77777777" w:rsidR="00D55140" w:rsidRPr="0058797C" w:rsidRDefault="00D55140" w:rsidP="00C01287">
            <w:pPr>
              <w:rPr>
                <w:rFonts w:ascii="Arial" w:hAnsi="Arial" w:cs="Arial"/>
                <w:sz w:val="20"/>
                <w:szCs w:val="20"/>
              </w:rPr>
            </w:pPr>
            <w:r w:rsidRPr="0058797C">
              <w:rPr>
                <w:rFonts w:ascii="Arial" w:hAnsi="Arial" w:cs="Arial"/>
                <w:sz w:val="20"/>
                <w:szCs w:val="20"/>
              </w:rPr>
              <w:t>SKP</w:t>
            </w:r>
          </w:p>
        </w:tc>
        <w:tc>
          <w:tcPr>
            <w:tcW w:w="1710" w:type="dxa"/>
          </w:tcPr>
          <w:p w14:paraId="7199ED46"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-1,179</w:t>
            </w:r>
          </w:p>
          <w:p w14:paraId="39308C4B"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(0,258)</w:t>
            </w:r>
          </w:p>
        </w:tc>
        <w:tc>
          <w:tcPr>
            <w:tcW w:w="1800" w:type="dxa"/>
          </w:tcPr>
          <w:p w14:paraId="1682E873"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-1,966</w:t>
            </w:r>
          </w:p>
          <w:p w14:paraId="371C3707"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(0,420)</w:t>
            </w:r>
          </w:p>
        </w:tc>
        <w:tc>
          <w:tcPr>
            <w:tcW w:w="1800" w:type="dxa"/>
          </w:tcPr>
          <w:p w14:paraId="5077EAAC"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-1,436</w:t>
            </w:r>
          </w:p>
          <w:p w14:paraId="2372AE3D"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(0,539)</w:t>
            </w:r>
          </w:p>
        </w:tc>
        <w:tc>
          <w:tcPr>
            <w:tcW w:w="1890" w:type="dxa"/>
          </w:tcPr>
          <w:p w14:paraId="01932744"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-1,953</w:t>
            </w:r>
          </w:p>
          <w:p w14:paraId="05560BA9"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(0,955)</w:t>
            </w:r>
          </w:p>
        </w:tc>
      </w:tr>
      <w:tr w:rsidR="006B1E5D" w:rsidRPr="0058797C" w14:paraId="7A114718" w14:textId="77777777" w:rsidTr="00C01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0A0008A1" w14:textId="77777777" w:rsidR="00D55140" w:rsidRPr="0058797C" w:rsidRDefault="00D55140" w:rsidP="00C01287">
            <w:pPr>
              <w:rPr>
                <w:rFonts w:ascii="Arial" w:hAnsi="Arial" w:cs="Arial"/>
                <w:sz w:val="20"/>
                <w:szCs w:val="20"/>
              </w:rPr>
            </w:pPr>
            <w:r w:rsidRPr="0058797C">
              <w:rPr>
                <w:rFonts w:ascii="Arial" w:hAnsi="Arial" w:cs="Arial"/>
                <w:sz w:val="20"/>
                <w:szCs w:val="20"/>
              </w:rPr>
              <w:t>Veeb</w:t>
            </w:r>
          </w:p>
        </w:tc>
        <w:tc>
          <w:tcPr>
            <w:tcW w:w="1710" w:type="dxa"/>
          </w:tcPr>
          <w:p w14:paraId="3E57CC26"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-0,063</w:t>
            </w:r>
          </w:p>
          <w:p w14:paraId="493FA878"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(0,017)</w:t>
            </w:r>
          </w:p>
        </w:tc>
        <w:tc>
          <w:tcPr>
            <w:tcW w:w="1800" w:type="dxa"/>
          </w:tcPr>
          <w:p w14:paraId="2A2ED531"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-0,152</w:t>
            </w:r>
          </w:p>
          <w:p w14:paraId="61B58B38"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(0,026)</w:t>
            </w:r>
          </w:p>
        </w:tc>
        <w:tc>
          <w:tcPr>
            <w:tcW w:w="1800" w:type="dxa"/>
          </w:tcPr>
          <w:p w14:paraId="0CAADC0F"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-0,075</w:t>
            </w:r>
          </w:p>
          <w:p w14:paraId="11C8D078"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(0,071)</w:t>
            </w:r>
          </w:p>
        </w:tc>
        <w:tc>
          <w:tcPr>
            <w:tcW w:w="1890" w:type="dxa"/>
          </w:tcPr>
          <w:p w14:paraId="5FF234BA"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-0,206</w:t>
            </w:r>
          </w:p>
          <w:p w14:paraId="69DDB90E"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(0,077)</w:t>
            </w:r>
          </w:p>
        </w:tc>
      </w:tr>
      <w:tr w:rsidR="006B1E5D" w:rsidRPr="0058797C" w14:paraId="7785AC99" w14:textId="77777777" w:rsidTr="00C01287">
        <w:tc>
          <w:tcPr>
            <w:cnfStyle w:val="001000000000" w:firstRow="0" w:lastRow="0" w:firstColumn="1" w:lastColumn="0" w:oddVBand="0" w:evenVBand="0" w:oddHBand="0" w:evenHBand="0" w:firstRowFirstColumn="0" w:firstRowLastColumn="0" w:lastRowFirstColumn="0" w:lastRowLastColumn="0"/>
            <w:tcW w:w="3145" w:type="dxa"/>
          </w:tcPr>
          <w:p w14:paraId="03E14AF9" w14:textId="77777777" w:rsidR="00D55140" w:rsidRPr="0058797C" w:rsidRDefault="00D55140" w:rsidP="00C01287">
            <w:pPr>
              <w:rPr>
                <w:rFonts w:ascii="Arial" w:hAnsi="Arial" w:cs="Arial"/>
                <w:sz w:val="20"/>
                <w:szCs w:val="20"/>
              </w:rPr>
            </w:pPr>
            <w:r w:rsidRPr="0058797C">
              <w:rPr>
                <w:rFonts w:ascii="Arial" w:hAnsi="Arial" w:cs="Arial"/>
                <w:sz w:val="20"/>
                <w:szCs w:val="20"/>
              </w:rPr>
              <w:t>Märts</w:t>
            </w:r>
          </w:p>
        </w:tc>
        <w:tc>
          <w:tcPr>
            <w:tcW w:w="1710" w:type="dxa"/>
          </w:tcPr>
          <w:p w14:paraId="7505F19E"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0,057</w:t>
            </w:r>
          </w:p>
          <w:p w14:paraId="00133F53"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(0,018)</w:t>
            </w:r>
          </w:p>
        </w:tc>
        <w:tc>
          <w:tcPr>
            <w:tcW w:w="1800" w:type="dxa"/>
          </w:tcPr>
          <w:p w14:paraId="7D710F9E"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-0,083</w:t>
            </w:r>
          </w:p>
          <w:p w14:paraId="757110A4"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(0,037)</w:t>
            </w:r>
          </w:p>
        </w:tc>
        <w:tc>
          <w:tcPr>
            <w:tcW w:w="1800" w:type="dxa"/>
          </w:tcPr>
          <w:p w14:paraId="0D984EF4"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0,067</w:t>
            </w:r>
          </w:p>
          <w:p w14:paraId="2719A55C"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(0,150)</w:t>
            </w:r>
          </w:p>
        </w:tc>
        <w:tc>
          <w:tcPr>
            <w:tcW w:w="1890" w:type="dxa"/>
          </w:tcPr>
          <w:p w14:paraId="1DE96F2C"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-0,213</w:t>
            </w:r>
          </w:p>
          <w:p w14:paraId="1F5AC008"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(0,099)</w:t>
            </w:r>
          </w:p>
        </w:tc>
      </w:tr>
      <w:tr w:rsidR="006B1E5D" w:rsidRPr="0058797C" w14:paraId="6596507D" w14:textId="77777777" w:rsidTr="00C01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5E3B648A" w14:textId="77777777" w:rsidR="00D55140" w:rsidRPr="0058797C" w:rsidRDefault="00D55140" w:rsidP="00C01287">
            <w:pPr>
              <w:rPr>
                <w:rFonts w:ascii="Arial" w:hAnsi="Arial" w:cs="Arial"/>
                <w:sz w:val="20"/>
                <w:szCs w:val="20"/>
              </w:rPr>
            </w:pPr>
            <w:r w:rsidRPr="0058797C">
              <w:rPr>
                <w:rFonts w:ascii="Arial" w:hAnsi="Arial" w:cs="Arial"/>
                <w:sz w:val="20"/>
                <w:szCs w:val="20"/>
              </w:rPr>
              <w:t>Apr</w:t>
            </w:r>
          </w:p>
        </w:tc>
        <w:tc>
          <w:tcPr>
            <w:tcW w:w="1710" w:type="dxa"/>
          </w:tcPr>
          <w:p w14:paraId="278CDED2"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-0,018</w:t>
            </w:r>
          </w:p>
          <w:p w14:paraId="624CEC36"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(0,031)</w:t>
            </w:r>
          </w:p>
        </w:tc>
        <w:tc>
          <w:tcPr>
            <w:tcW w:w="1800" w:type="dxa"/>
          </w:tcPr>
          <w:p w14:paraId="3C0ED039"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-0,133</w:t>
            </w:r>
          </w:p>
          <w:p w14:paraId="1F56F72C"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(0,030)</w:t>
            </w:r>
          </w:p>
        </w:tc>
        <w:tc>
          <w:tcPr>
            <w:tcW w:w="1800" w:type="dxa"/>
          </w:tcPr>
          <w:p w14:paraId="66550C01"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0,067</w:t>
            </w:r>
          </w:p>
          <w:p w14:paraId="67BA64F8"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(0,150)</w:t>
            </w:r>
          </w:p>
        </w:tc>
        <w:tc>
          <w:tcPr>
            <w:tcW w:w="1890" w:type="dxa"/>
          </w:tcPr>
          <w:p w14:paraId="74C0596E"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-0,284</w:t>
            </w:r>
          </w:p>
          <w:p w14:paraId="1233BAEA"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(0,167)</w:t>
            </w:r>
          </w:p>
        </w:tc>
      </w:tr>
      <w:tr w:rsidR="006B1E5D" w:rsidRPr="0058797C" w14:paraId="7C44F767" w14:textId="77777777" w:rsidTr="00C01287">
        <w:tc>
          <w:tcPr>
            <w:cnfStyle w:val="001000000000" w:firstRow="0" w:lastRow="0" w:firstColumn="1" w:lastColumn="0" w:oddVBand="0" w:evenVBand="0" w:oddHBand="0" w:evenHBand="0" w:firstRowFirstColumn="0" w:firstRowLastColumn="0" w:lastRowFirstColumn="0" w:lastRowLastColumn="0"/>
            <w:tcW w:w="3145" w:type="dxa"/>
          </w:tcPr>
          <w:p w14:paraId="529AAF10" w14:textId="77777777" w:rsidR="00D55140" w:rsidRPr="0058797C" w:rsidRDefault="00D55140" w:rsidP="00C01287">
            <w:pPr>
              <w:rPr>
                <w:rFonts w:ascii="Arial" w:hAnsi="Arial" w:cs="Arial"/>
                <w:sz w:val="20"/>
                <w:szCs w:val="20"/>
              </w:rPr>
            </w:pPr>
            <w:r w:rsidRPr="0058797C">
              <w:rPr>
                <w:rFonts w:ascii="Arial" w:hAnsi="Arial" w:cs="Arial"/>
                <w:sz w:val="20"/>
                <w:szCs w:val="20"/>
              </w:rPr>
              <w:t>Mai</w:t>
            </w:r>
          </w:p>
        </w:tc>
        <w:tc>
          <w:tcPr>
            <w:tcW w:w="1710" w:type="dxa"/>
          </w:tcPr>
          <w:p w14:paraId="133AE8FC"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0,080</w:t>
            </w:r>
          </w:p>
          <w:p w14:paraId="5608BBCD"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(0,030)</w:t>
            </w:r>
          </w:p>
        </w:tc>
        <w:tc>
          <w:tcPr>
            <w:tcW w:w="1800" w:type="dxa"/>
          </w:tcPr>
          <w:p w14:paraId="2819806A"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0,010</w:t>
            </w:r>
          </w:p>
          <w:p w14:paraId="75602D49"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(0,039)</w:t>
            </w:r>
          </w:p>
        </w:tc>
        <w:tc>
          <w:tcPr>
            <w:tcW w:w="1800" w:type="dxa"/>
          </w:tcPr>
          <w:p w14:paraId="05B62E01"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0,150</w:t>
            </w:r>
          </w:p>
          <w:p w14:paraId="390F7FCE"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(0,154)</w:t>
            </w:r>
          </w:p>
        </w:tc>
        <w:tc>
          <w:tcPr>
            <w:tcW w:w="1890" w:type="dxa"/>
          </w:tcPr>
          <w:p w14:paraId="22A6D875"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-0,224</w:t>
            </w:r>
          </w:p>
          <w:p w14:paraId="75CAB314"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(0,171)</w:t>
            </w:r>
          </w:p>
        </w:tc>
      </w:tr>
      <w:tr w:rsidR="006B1E5D" w:rsidRPr="0058797C" w14:paraId="20A5268E" w14:textId="77777777" w:rsidTr="00C01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7CD43568" w14:textId="260D766C" w:rsidR="00D55140" w:rsidRPr="0058797C" w:rsidRDefault="00D55140" w:rsidP="00C01287">
            <w:pPr>
              <w:rPr>
                <w:rFonts w:ascii="Arial" w:hAnsi="Arial" w:cs="Arial"/>
                <w:sz w:val="20"/>
                <w:szCs w:val="20"/>
              </w:rPr>
            </w:pPr>
            <w:r w:rsidRPr="0058797C">
              <w:rPr>
                <w:rFonts w:ascii="Arial" w:hAnsi="Arial" w:cs="Arial"/>
                <w:sz w:val="20"/>
                <w:szCs w:val="20"/>
              </w:rPr>
              <w:t>Juun</w:t>
            </w:r>
            <w:r w:rsidR="00301653">
              <w:rPr>
                <w:rFonts w:ascii="Arial" w:hAnsi="Arial" w:cs="Arial"/>
                <w:sz w:val="20"/>
                <w:szCs w:val="20"/>
              </w:rPr>
              <w:t>i</w:t>
            </w:r>
          </w:p>
        </w:tc>
        <w:tc>
          <w:tcPr>
            <w:tcW w:w="1710" w:type="dxa"/>
          </w:tcPr>
          <w:p w14:paraId="7411D4E2"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0,111</w:t>
            </w:r>
          </w:p>
          <w:p w14:paraId="6B20D6EA"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(0,048)</w:t>
            </w:r>
          </w:p>
        </w:tc>
        <w:tc>
          <w:tcPr>
            <w:tcW w:w="1800" w:type="dxa"/>
          </w:tcPr>
          <w:p w14:paraId="65E1AFBD"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0,134</w:t>
            </w:r>
          </w:p>
          <w:p w14:paraId="1E1FD2AF"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(0,037)</w:t>
            </w:r>
          </w:p>
        </w:tc>
        <w:tc>
          <w:tcPr>
            <w:tcW w:w="1800" w:type="dxa"/>
          </w:tcPr>
          <w:p w14:paraId="45E24210"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0,348</w:t>
            </w:r>
          </w:p>
          <w:p w14:paraId="140D4C63"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(0,144)</w:t>
            </w:r>
          </w:p>
        </w:tc>
        <w:tc>
          <w:tcPr>
            <w:tcW w:w="1890" w:type="dxa"/>
          </w:tcPr>
          <w:p w14:paraId="5D382D02"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0,261</w:t>
            </w:r>
          </w:p>
          <w:p w14:paraId="4F2384A9"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(0,200)</w:t>
            </w:r>
          </w:p>
        </w:tc>
      </w:tr>
      <w:tr w:rsidR="006B1E5D" w:rsidRPr="0058797C" w14:paraId="061DFEC7" w14:textId="77777777" w:rsidTr="00C01287">
        <w:tc>
          <w:tcPr>
            <w:cnfStyle w:val="001000000000" w:firstRow="0" w:lastRow="0" w:firstColumn="1" w:lastColumn="0" w:oddVBand="0" w:evenVBand="0" w:oddHBand="0" w:evenHBand="0" w:firstRowFirstColumn="0" w:firstRowLastColumn="0" w:lastRowFirstColumn="0" w:lastRowLastColumn="0"/>
            <w:tcW w:w="3145" w:type="dxa"/>
          </w:tcPr>
          <w:p w14:paraId="7AC4E349" w14:textId="6D84C92D" w:rsidR="00D55140" w:rsidRPr="0058797C" w:rsidRDefault="00D55140" w:rsidP="00C01287">
            <w:pPr>
              <w:rPr>
                <w:rFonts w:ascii="Arial" w:hAnsi="Arial" w:cs="Arial"/>
                <w:sz w:val="20"/>
                <w:szCs w:val="20"/>
              </w:rPr>
            </w:pPr>
            <w:r w:rsidRPr="0058797C">
              <w:rPr>
                <w:rFonts w:ascii="Arial" w:hAnsi="Arial" w:cs="Arial"/>
                <w:sz w:val="20"/>
                <w:szCs w:val="20"/>
              </w:rPr>
              <w:t>Juul</w:t>
            </w:r>
            <w:r w:rsidR="00301653">
              <w:rPr>
                <w:rFonts w:ascii="Arial" w:hAnsi="Arial" w:cs="Arial"/>
                <w:sz w:val="20"/>
                <w:szCs w:val="20"/>
              </w:rPr>
              <w:t>i</w:t>
            </w:r>
          </w:p>
        </w:tc>
        <w:tc>
          <w:tcPr>
            <w:tcW w:w="1710" w:type="dxa"/>
          </w:tcPr>
          <w:p w14:paraId="6E504F38"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0,156</w:t>
            </w:r>
          </w:p>
          <w:p w14:paraId="19FC002C"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0,061)</w:t>
            </w:r>
          </w:p>
        </w:tc>
        <w:tc>
          <w:tcPr>
            <w:tcW w:w="1800" w:type="dxa"/>
          </w:tcPr>
          <w:p w14:paraId="739F4FF4"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0,155</w:t>
            </w:r>
          </w:p>
          <w:p w14:paraId="41CB37C8"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(0,062)</w:t>
            </w:r>
          </w:p>
        </w:tc>
        <w:tc>
          <w:tcPr>
            <w:tcW w:w="1800" w:type="dxa"/>
          </w:tcPr>
          <w:p w14:paraId="2C27BC1D"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0,412</w:t>
            </w:r>
          </w:p>
          <w:p w14:paraId="0B6870D1"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(0,152)</w:t>
            </w:r>
          </w:p>
        </w:tc>
        <w:tc>
          <w:tcPr>
            <w:tcW w:w="1890" w:type="dxa"/>
          </w:tcPr>
          <w:p w14:paraId="40BCB1F5"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0,330</w:t>
            </w:r>
          </w:p>
          <w:p w14:paraId="2203C80A"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(0,159)</w:t>
            </w:r>
          </w:p>
        </w:tc>
      </w:tr>
      <w:tr w:rsidR="006B1E5D" w:rsidRPr="0058797C" w14:paraId="35F73C3F" w14:textId="77777777" w:rsidTr="00C01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47C3D549" w14:textId="77777777" w:rsidR="00D55140" w:rsidRPr="0058797C" w:rsidRDefault="00D55140" w:rsidP="00C01287">
            <w:pPr>
              <w:rPr>
                <w:rFonts w:ascii="Arial" w:hAnsi="Arial" w:cs="Arial"/>
                <w:sz w:val="20"/>
                <w:szCs w:val="20"/>
              </w:rPr>
            </w:pPr>
            <w:r w:rsidRPr="0058797C">
              <w:rPr>
                <w:rFonts w:ascii="Arial" w:hAnsi="Arial" w:cs="Arial"/>
                <w:sz w:val="20"/>
                <w:szCs w:val="20"/>
              </w:rPr>
              <w:lastRenderedPageBreak/>
              <w:t>Aug</w:t>
            </w:r>
          </w:p>
        </w:tc>
        <w:tc>
          <w:tcPr>
            <w:tcW w:w="1710" w:type="dxa"/>
          </w:tcPr>
          <w:p w14:paraId="3EDA25D0"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0,180</w:t>
            </w:r>
          </w:p>
          <w:p w14:paraId="51E983AA"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(0,041)</w:t>
            </w:r>
          </w:p>
        </w:tc>
        <w:tc>
          <w:tcPr>
            <w:tcW w:w="1800" w:type="dxa"/>
          </w:tcPr>
          <w:p w14:paraId="066CE834"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0,191</w:t>
            </w:r>
          </w:p>
          <w:p w14:paraId="1B14C565"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(0,042)</w:t>
            </w:r>
          </w:p>
        </w:tc>
        <w:tc>
          <w:tcPr>
            <w:tcW w:w="1800" w:type="dxa"/>
          </w:tcPr>
          <w:p w14:paraId="06E57781"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0,306</w:t>
            </w:r>
          </w:p>
          <w:p w14:paraId="2C26521A"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(0,123)</w:t>
            </w:r>
          </w:p>
        </w:tc>
        <w:tc>
          <w:tcPr>
            <w:tcW w:w="1890" w:type="dxa"/>
          </w:tcPr>
          <w:p w14:paraId="552878CD"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0,175</w:t>
            </w:r>
          </w:p>
          <w:p w14:paraId="0CAF23A6"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(0,126)</w:t>
            </w:r>
          </w:p>
        </w:tc>
      </w:tr>
      <w:tr w:rsidR="006B1E5D" w:rsidRPr="0058797C" w14:paraId="64E35BAD" w14:textId="77777777" w:rsidTr="00C01287">
        <w:tc>
          <w:tcPr>
            <w:cnfStyle w:val="001000000000" w:firstRow="0" w:lastRow="0" w:firstColumn="1" w:lastColumn="0" w:oddVBand="0" w:evenVBand="0" w:oddHBand="0" w:evenHBand="0" w:firstRowFirstColumn="0" w:firstRowLastColumn="0" w:lastRowFirstColumn="0" w:lastRowLastColumn="0"/>
            <w:tcW w:w="3145" w:type="dxa"/>
          </w:tcPr>
          <w:p w14:paraId="68CF056A" w14:textId="77777777" w:rsidR="00D55140" w:rsidRPr="0058797C" w:rsidRDefault="00D55140" w:rsidP="00C01287">
            <w:pPr>
              <w:rPr>
                <w:rFonts w:ascii="Arial" w:hAnsi="Arial" w:cs="Arial"/>
                <w:sz w:val="20"/>
                <w:szCs w:val="20"/>
              </w:rPr>
            </w:pPr>
            <w:r w:rsidRPr="0058797C">
              <w:rPr>
                <w:rFonts w:ascii="Arial" w:hAnsi="Arial" w:cs="Arial"/>
                <w:sz w:val="20"/>
                <w:szCs w:val="20"/>
              </w:rPr>
              <w:t>Sep</w:t>
            </w:r>
          </w:p>
        </w:tc>
        <w:tc>
          <w:tcPr>
            <w:tcW w:w="1710" w:type="dxa"/>
          </w:tcPr>
          <w:p w14:paraId="690FAD1D"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0,130</w:t>
            </w:r>
          </w:p>
          <w:p w14:paraId="19712A2C"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(0,019)</w:t>
            </w:r>
          </w:p>
        </w:tc>
        <w:tc>
          <w:tcPr>
            <w:tcW w:w="1800" w:type="dxa"/>
          </w:tcPr>
          <w:p w14:paraId="256B9E65"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0,165</w:t>
            </w:r>
          </w:p>
          <w:p w14:paraId="2CA85C50"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(0,071)</w:t>
            </w:r>
          </w:p>
        </w:tc>
        <w:tc>
          <w:tcPr>
            <w:tcW w:w="1800" w:type="dxa"/>
          </w:tcPr>
          <w:p w14:paraId="51EA37D0"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0,156</w:t>
            </w:r>
          </w:p>
          <w:p w14:paraId="216BFCBB"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(0,105)</w:t>
            </w:r>
          </w:p>
        </w:tc>
        <w:tc>
          <w:tcPr>
            <w:tcW w:w="1890" w:type="dxa"/>
          </w:tcPr>
          <w:p w14:paraId="46CB676D"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-0,180</w:t>
            </w:r>
          </w:p>
          <w:p w14:paraId="044BA41B"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(0,153)</w:t>
            </w:r>
          </w:p>
        </w:tc>
      </w:tr>
      <w:tr w:rsidR="006B1E5D" w:rsidRPr="0058797C" w14:paraId="3FE208A1" w14:textId="77777777" w:rsidTr="00C01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0140DAB6" w14:textId="77777777" w:rsidR="00D55140" w:rsidRPr="0058797C" w:rsidRDefault="00D55140" w:rsidP="00C01287">
            <w:pPr>
              <w:rPr>
                <w:rFonts w:ascii="Arial" w:hAnsi="Arial" w:cs="Arial"/>
                <w:sz w:val="20"/>
                <w:szCs w:val="20"/>
              </w:rPr>
            </w:pPr>
            <w:r w:rsidRPr="0058797C">
              <w:rPr>
                <w:rFonts w:ascii="Arial" w:hAnsi="Arial" w:cs="Arial"/>
                <w:sz w:val="20"/>
                <w:szCs w:val="20"/>
              </w:rPr>
              <w:t>Okt</w:t>
            </w:r>
          </w:p>
        </w:tc>
        <w:tc>
          <w:tcPr>
            <w:tcW w:w="1710" w:type="dxa"/>
          </w:tcPr>
          <w:p w14:paraId="301329F2"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0,038</w:t>
            </w:r>
          </w:p>
          <w:p w14:paraId="6A3CFABC"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(0,030)</w:t>
            </w:r>
          </w:p>
        </w:tc>
        <w:tc>
          <w:tcPr>
            <w:tcW w:w="1800" w:type="dxa"/>
          </w:tcPr>
          <w:p w14:paraId="406BF120"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0,052</w:t>
            </w:r>
          </w:p>
          <w:p w14:paraId="080E2D4C"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(0,083)</w:t>
            </w:r>
          </w:p>
        </w:tc>
        <w:tc>
          <w:tcPr>
            <w:tcW w:w="1800" w:type="dxa"/>
          </w:tcPr>
          <w:p w14:paraId="22EC79D4"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-0,091</w:t>
            </w:r>
          </w:p>
          <w:p w14:paraId="650A7CDA"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(0,128)</w:t>
            </w:r>
          </w:p>
        </w:tc>
        <w:tc>
          <w:tcPr>
            <w:tcW w:w="1890" w:type="dxa"/>
          </w:tcPr>
          <w:p w14:paraId="5E6491EF"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-0,334</w:t>
            </w:r>
          </w:p>
          <w:p w14:paraId="533F5663"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(0,209)</w:t>
            </w:r>
          </w:p>
        </w:tc>
      </w:tr>
      <w:tr w:rsidR="006B1E5D" w:rsidRPr="0058797C" w14:paraId="415056FD" w14:textId="77777777" w:rsidTr="00C01287">
        <w:tc>
          <w:tcPr>
            <w:cnfStyle w:val="001000000000" w:firstRow="0" w:lastRow="0" w:firstColumn="1" w:lastColumn="0" w:oddVBand="0" w:evenVBand="0" w:oddHBand="0" w:evenHBand="0" w:firstRowFirstColumn="0" w:firstRowLastColumn="0" w:lastRowFirstColumn="0" w:lastRowLastColumn="0"/>
            <w:tcW w:w="3145" w:type="dxa"/>
          </w:tcPr>
          <w:p w14:paraId="5D71DB35" w14:textId="77777777" w:rsidR="00D55140" w:rsidRPr="0058797C" w:rsidRDefault="00D55140" w:rsidP="00C01287">
            <w:pPr>
              <w:rPr>
                <w:rFonts w:ascii="Arial" w:hAnsi="Arial" w:cs="Arial"/>
                <w:sz w:val="20"/>
                <w:szCs w:val="20"/>
              </w:rPr>
            </w:pPr>
            <w:r w:rsidRPr="0058797C">
              <w:rPr>
                <w:rFonts w:ascii="Arial" w:hAnsi="Arial" w:cs="Arial"/>
                <w:sz w:val="20"/>
                <w:szCs w:val="20"/>
              </w:rPr>
              <w:t>Nov</w:t>
            </w:r>
          </w:p>
        </w:tc>
        <w:tc>
          <w:tcPr>
            <w:tcW w:w="1710" w:type="dxa"/>
          </w:tcPr>
          <w:p w14:paraId="73F36E78"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-0,124</w:t>
            </w:r>
          </w:p>
          <w:p w14:paraId="5CE1F936"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0,036</w:t>
            </w:r>
          </w:p>
        </w:tc>
        <w:tc>
          <w:tcPr>
            <w:tcW w:w="1800" w:type="dxa"/>
          </w:tcPr>
          <w:p w14:paraId="64228420"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-0,226</w:t>
            </w:r>
          </w:p>
          <w:p w14:paraId="1B33B4F7"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(0,063)</w:t>
            </w:r>
          </w:p>
        </w:tc>
        <w:tc>
          <w:tcPr>
            <w:tcW w:w="1800" w:type="dxa"/>
          </w:tcPr>
          <w:p w14:paraId="29B22C71"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-0,251</w:t>
            </w:r>
          </w:p>
          <w:p w14:paraId="335FB42F"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(0,130)</w:t>
            </w:r>
          </w:p>
        </w:tc>
        <w:tc>
          <w:tcPr>
            <w:tcW w:w="1890" w:type="dxa"/>
          </w:tcPr>
          <w:p w14:paraId="79902D56"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-0,362</w:t>
            </w:r>
          </w:p>
          <w:p w14:paraId="2B283A46" w14:textId="77777777" w:rsidR="00D55140" w:rsidRPr="0058797C" w:rsidRDefault="00D55140" w:rsidP="0058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797C">
              <w:rPr>
                <w:rFonts w:ascii="Arial" w:hAnsi="Arial" w:cs="Arial"/>
                <w:sz w:val="20"/>
                <w:szCs w:val="20"/>
              </w:rPr>
              <w:t>(0,211)</w:t>
            </w:r>
          </w:p>
        </w:tc>
      </w:tr>
      <w:tr w:rsidR="006B1E5D" w:rsidRPr="0058797C" w14:paraId="74DE71D7" w14:textId="77777777" w:rsidTr="00C01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4225ED4B" w14:textId="77777777" w:rsidR="00D55140" w:rsidRPr="0058797C" w:rsidRDefault="00D55140" w:rsidP="00C01287">
            <w:pPr>
              <w:rPr>
                <w:rFonts w:ascii="Arial" w:hAnsi="Arial" w:cs="Arial"/>
                <w:sz w:val="20"/>
                <w:szCs w:val="20"/>
              </w:rPr>
            </w:pPr>
            <w:r w:rsidRPr="0058797C">
              <w:rPr>
                <w:rFonts w:ascii="Arial" w:hAnsi="Arial" w:cs="Arial"/>
                <w:sz w:val="20"/>
                <w:szCs w:val="20"/>
              </w:rPr>
              <w:t>Dets</w:t>
            </w:r>
          </w:p>
        </w:tc>
        <w:tc>
          <w:tcPr>
            <w:tcW w:w="1710" w:type="dxa"/>
          </w:tcPr>
          <w:p w14:paraId="440D37BA"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-0,126</w:t>
            </w:r>
          </w:p>
          <w:p w14:paraId="4A1FC079"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(0,041)</w:t>
            </w:r>
          </w:p>
        </w:tc>
        <w:tc>
          <w:tcPr>
            <w:tcW w:w="1800" w:type="dxa"/>
          </w:tcPr>
          <w:p w14:paraId="3F27BCFF"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-0,235</w:t>
            </w:r>
          </w:p>
          <w:p w14:paraId="728A50B6"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(0,044)</w:t>
            </w:r>
          </w:p>
        </w:tc>
        <w:tc>
          <w:tcPr>
            <w:tcW w:w="1800" w:type="dxa"/>
          </w:tcPr>
          <w:p w14:paraId="3F473A4C"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-0,368</w:t>
            </w:r>
          </w:p>
          <w:p w14:paraId="2A9449E8"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(0,114)</w:t>
            </w:r>
          </w:p>
        </w:tc>
        <w:tc>
          <w:tcPr>
            <w:tcW w:w="1890" w:type="dxa"/>
          </w:tcPr>
          <w:p w14:paraId="15E40A06"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-0,507</w:t>
            </w:r>
          </w:p>
          <w:p w14:paraId="68613941" w14:textId="77777777" w:rsidR="00D55140" w:rsidRPr="0058797C" w:rsidRDefault="00D55140" w:rsidP="0058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797C">
              <w:rPr>
                <w:rFonts w:ascii="Arial" w:hAnsi="Arial" w:cs="Arial"/>
                <w:sz w:val="20"/>
                <w:szCs w:val="20"/>
              </w:rPr>
              <w:t>(0,218)</w:t>
            </w:r>
          </w:p>
        </w:tc>
      </w:tr>
    </w:tbl>
    <w:p w14:paraId="789C9F77" w14:textId="75526A5C" w:rsidR="00D55140" w:rsidRDefault="23558E80" w:rsidP="00B54A22">
      <w:pPr>
        <w:spacing w:before="240"/>
        <w:jc w:val="both"/>
        <w:rPr>
          <w:rFonts w:ascii="Arial" w:hAnsi="Arial" w:cs="Arial"/>
        </w:rPr>
      </w:pPr>
      <w:r w:rsidRPr="288A3578">
        <w:rPr>
          <w:rFonts w:ascii="Arial" w:hAnsi="Arial" w:cs="Arial"/>
        </w:rPr>
        <w:t xml:space="preserve">Arvestades registreeritud </w:t>
      </w:r>
      <w:r w:rsidR="00037ABA">
        <w:rPr>
          <w:rFonts w:ascii="Arial" w:hAnsi="Arial" w:cs="Arial"/>
        </w:rPr>
        <w:t>süütegude</w:t>
      </w:r>
      <w:r w:rsidR="00037ABA" w:rsidRPr="288A3578">
        <w:rPr>
          <w:rFonts w:ascii="Arial" w:hAnsi="Arial" w:cs="Arial"/>
        </w:rPr>
        <w:t xml:space="preserve"> </w:t>
      </w:r>
      <w:r w:rsidRPr="288A3578">
        <w:rPr>
          <w:rFonts w:ascii="Arial" w:hAnsi="Arial" w:cs="Arial"/>
        </w:rPr>
        <w:t xml:space="preserve">suhteliselt madalat taset väljaspool Harjumaad, hindasime mudeli ka ilma Harjumaata. Seosed jäid endiselt negatiivseks, kuid nõrgemaks ja hinnangud nihkusid veelgi lähemale nullile. Seega uurisime Harjumaad eraldi aegridade kaudu, analüüsides Harjumaa lühiajaliste ööbimiste mahtude seost kuritegevusega Tallinnas ja eraldi ka Tallinna Kesklinnas. Lisasime mudelisse ka ööbimiste viitaja väärtused, et arvestada seose dünaamikat pikema perioodi jooksul. Tabelis </w:t>
      </w:r>
      <w:r w:rsidR="14F68A2C" w:rsidRPr="288A3578">
        <w:rPr>
          <w:rFonts w:ascii="Arial" w:hAnsi="Arial" w:cs="Arial"/>
        </w:rPr>
        <w:t>11</w:t>
      </w:r>
      <w:r w:rsidRPr="288A3578">
        <w:rPr>
          <w:rFonts w:ascii="Arial" w:hAnsi="Arial" w:cs="Arial"/>
        </w:rPr>
        <w:t xml:space="preserve"> on näidatud, et seos on negatiivne ja kesklinnas ka statistiliselt oluline. Samas üks periood hiljem osutus seos positiivseks.</w:t>
      </w:r>
    </w:p>
    <w:p w14:paraId="2B9E8EEB" w14:textId="1940750F" w:rsidR="00D55140" w:rsidRDefault="00D55140" w:rsidP="00C01287">
      <w:pPr>
        <w:pStyle w:val="TableTitle"/>
      </w:pPr>
      <w:r>
        <w:t xml:space="preserve">Tabel </w:t>
      </w:r>
      <w:r w:rsidR="00955910">
        <w:t>11</w:t>
      </w:r>
      <w:r>
        <w:t>. Tallinnas registreeritud varavastaste kuritegude seos lühiajalise üürimisega Harjumaal</w:t>
      </w:r>
    </w:p>
    <w:tbl>
      <w:tblPr>
        <w:tblStyle w:val="Loetelutabel3rhk15"/>
        <w:tblW w:w="10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2941"/>
        <w:gridCol w:w="2963"/>
      </w:tblGrid>
      <w:tr w:rsidR="006F4C3F" w:rsidRPr="002A6E1B" w14:paraId="29978228" w14:textId="77777777" w:rsidTr="00A3430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405" w:type="dxa"/>
            <w:vMerge w:val="restart"/>
          </w:tcPr>
          <w:p w14:paraId="1B656A32" w14:textId="77777777" w:rsidR="00FD6D76" w:rsidRPr="002A6E1B" w:rsidRDefault="00FD6D76" w:rsidP="00A86E7E">
            <w:pPr>
              <w:jc w:val="center"/>
              <w:rPr>
                <w:rFonts w:ascii="Arial" w:eastAsia="Arial" w:hAnsi="Arial" w:cs="Arial"/>
                <w:sz w:val="20"/>
                <w:szCs w:val="20"/>
              </w:rPr>
            </w:pPr>
            <w:r w:rsidRPr="002A6E1B">
              <w:rPr>
                <w:rFonts w:ascii="Arial" w:eastAsia="Arial" w:hAnsi="Arial" w:cs="Arial"/>
                <w:sz w:val="20"/>
                <w:szCs w:val="20"/>
              </w:rPr>
              <w:t>Muutujad</w:t>
            </w:r>
          </w:p>
        </w:tc>
        <w:tc>
          <w:tcPr>
            <w:tcW w:w="5904" w:type="dxa"/>
            <w:gridSpan w:val="2"/>
          </w:tcPr>
          <w:p w14:paraId="1CA7D25D" w14:textId="77777777" w:rsidR="00FD6D76" w:rsidRPr="002A6E1B" w:rsidRDefault="00FD6D76"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Koefitsiendid (standardvead)</w:t>
            </w:r>
          </w:p>
        </w:tc>
      </w:tr>
      <w:tr w:rsidR="00C833BB" w:rsidRPr="002A6E1B" w14:paraId="6A36D740" w14:textId="77777777" w:rsidTr="00A3430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405" w:type="dxa"/>
            <w:vMerge/>
          </w:tcPr>
          <w:p w14:paraId="7D4243CF" w14:textId="77777777" w:rsidR="00FD6D76" w:rsidRPr="002A6E1B" w:rsidRDefault="00FD6D76" w:rsidP="00A86E7E">
            <w:pPr>
              <w:jc w:val="center"/>
              <w:rPr>
                <w:rFonts w:ascii="Arial" w:eastAsia="Arial" w:hAnsi="Arial" w:cs="Arial"/>
                <w:sz w:val="20"/>
                <w:szCs w:val="20"/>
              </w:rPr>
            </w:pPr>
          </w:p>
        </w:tc>
        <w:tc>
          <w:tcPr>
            <w:tcW w:w="2941" w:type="dxa"/>
            <w:shd w:val="clear" w:color="auto" w:fill="ACAEAC"/>
          </w:tcPr>
          <w:p w14:paraId="72305102" w14:textId="77777777" w:rsidR="00FD6D76" w:rsidRPr="00A34307" w:rsidRDefault="00FD6D76"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34307">
              <w:rPr>
                <w:rFonts w:ascii="Arial" w:eastAsia="Arial" w:hAnsi="Arial" w:cs="Arial"/>
                <w:color w:val="auto"/>
                <w:sz w:val="20"/>
                <w:szCs w:val="20"/>
              </w:rPr>
              <w:t>Tallinn</w:t>
            </w:r>
          </w:p>
        </w:tc>
        <w:tc>
          <w:tcPr>
            <w:tcW w:w="2963" w:type="dxa"/>
            <w:shd w:val="clear" w:color="auto" w:fill="ACAEAC"/>
          </w:tcPr>
          <w:p w14:paraId="42A0C0D3" w14:textId="77777777" w:rsidR="00FD6D76" w:rsidRPr="00A34307" w:rsidRDefault="00FD6D76" w:rsidP="00A86E7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34307">
              <w:rPr>
                <w:rFonts w:ascii="Arial" w:eastAsia="Arial" w:hAnsi="Arial" w:cs="Arial"/>
                <w:color w:val="auto"/>
                <w:sz w:val="20"/>
                <w:szCs w:val="20"/>
              </w:rPr>
              <w:t>Tallinna kesklinn</w:t>
            </w:r>
          </w:p>
        </w:tc>
      </w:tr>
      <w:tr w:rsidR="006B1E5D" w:rsidRPr="002A6E1B" w14:paraId="3055B76E" w14:textId="77777777" w:rsidTr="00A34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4F2E2C8D" w14:textId="77777777" w:rsidR="00FD6D76" w:rsidRPr="002A6E1B" w:rsidRDefault="00FD6D76" w:rsidP="00A86E7E">
            <w:pPr>
              <w:rPr>
                <w:rFonts w:ascii="Arial" w:eastAsia="Arial" w:hAnsi="Arial" w:cs="Arial"/>
                <w:sz w:val="20"/>
                <w:szCs w:val="20"/>
              </w:rPr>
            </w:pPr>
            <w:r w:rsidRPr="002A6E1B">
              <w:rPr>
                <w:rFonts w:ascii="Arial" w:eastAsia="Arial" w:hAnsi="Arial" w:cs="Arial"/>
                <w:sz w:val="20"/>
                <w:szCs w:val="20"/>
              </w:rPr>
              <w:t>Ööbimised (lühiajaline)</w:t>
            </w:r>
          </w:p>
        </w:tc>
        <w:tc>
          <w:tcPr>
            <w:tcW w:w="2941" w:type="dxa"/>
          </w:tcPr>
          <w:p w14:paraId="397009CB" w14:textId="77777777" w:rsidR="00FD6D76" w:rsidRPr="002A6E1B"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w:t>
            </w:r>
            <w:r>
              <w:rPr>
                <w:rFonts w:ascii="Arial" w:eastAsia="Arial" w:hAnsi="Arial" w:cs="Arial"/>
                <w:sz w:val="20"/>
                <w:szCs w:val="20"/>
              </w:rPr>
              <w:t>493</w:t>
            </w:r>
          </w:p>
          <w:p w14:paraId="1A349228" w14:textId="77777777" w:rsidR="00FD6D76" w:rsidRPr="002A6E1B"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w:t>
            </w:r>
            <w:r>
              <w:rPr>
                <w:rFonts w:ascii="Arial" w:eastAsia="Arial" w:hAnsi="Arial" w:cs="Arial"/>
                <w:sz w:val="20"/>
                <w:szCs w:val="20"/>
              </w:rPr>
              <w:t>270</w:t>
            </w:r>
            <w:r w:rsidRPr="002A6E1B">
              <w:rPr>
                <w:rFonts w:ascii="Arial" w:eastAsia="Arial" w:hAnsi="Arial" w:cs="Arial"/>
                <w:sz w:val="20"/>
                <w:szCs w:val="20"/>
              </w:rPr>
              <w:t>)</w:t>
            </w:r>
          </w:p>
        </w:tc>
        <w:tc>
          <w:tcPr>
            <w:tcW w:w="2963" w:type="dxa"/>
          </w:tcPr>
          <w:p w14:paraId="6DD7C11A" w14:textId="77777777" w:rsidR="00FD6D76" w:rsidRPr="002A6E1B"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-1,</w:t>
            </w:r>
            <w:r>
              <w:rPr>
                <w:rFonts w:ascii="Arial" w:eastAsia="Arial" w:hAnsi="Arial" w:cs="Arial"/>
                <w:sz w:val="20"/>
                <w:szCs w:val="20"/>
              </w:rPr>
              <w:t>730</w:t>
            </w:r>
          </w:p>
          <w:p w14:paraId="0917E19C" w14:textId="77777777" w:rsidR="00FD6D76" w:rsidRPr="002A6E1B"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(0,4</w:t>
            </w:r>
            <w:r>
              <w:rPr>
                <w:rFonts w:ascii="Arial" w:eastAsia="Arial" w:hAnsi="Arial" w:cs="Arial"/>
                <w:sz w:val="20"/>
                <w:szCs w:val="20"/>
              </w:rPr>
              <w:t>69</w:t>
            </w:r>
            <w:r w:rsidRPr="002A6E1B">
              <w:rPr>
                <w:rFonts w:ascii="Arial" w:eastAsia="Arial" w:hAnsi="Arial" w:cs="Arial"/>
                <w:sz w:val="20"/>
                <w:szCs w:val="20"/>
              </w:rPr>
              <w:t>)</w:t>
            </w:r>
          </w:p>
        </w:tc>
      </w:tr>
      <w:tr w:rsidR="006B1E5D" w:rsidRPr="002A6E1B" w14:paraId="00A99837" w14:textId="77777777" w:rsidTr="00A34307">
        <w:tc>
          <w:tcPr>
            <w:cnfStyle w:val="001000000000" w:firstRow="0" w:lastRow="0" w:firstColumn="1" w:lastColumn="0" w:oddVBand="0" w:evenVBand="0" w:oddHBand="0" w:evenHBand="0" w:firstRowFirstColumn="0" w:firstRowLastColumn="0" w:lastRowFirstColumn="0" w:lastRowLastColumn="0"/>
            <w:tcW w:w="4405" w:type="dxa"/>
          </w:tcPr>
          <w:p w14:paraId="7436852A" w14:textId="77777777" w:rsidR="00FD6D76" w:rsidRPr="002A6E1B" w:rsidRDefault="00FD6D76" w:rsidP="00A86E7E">
            <w:pPr>
              <w:rPr>
                <w:rFonts w:ascii="Arial" w:eastAsia="Arial" w:hAnsi="Arial" w:cs="Arial"/>
                <w:sz w:val="20"/>
                <w:szCs w:val="20"/>
              </w:rPr>
            </w:pPr>
            <w:r w:rsidRPr="002A6E1B">
              <w:rPr>
                <w:rFonts w:ascii="Arial" w:eastAsia="Arial" w:hAnsi="Arial" w:cs="Arial"/>
                <w:sz w:val="20"/>
                <w:szCs w:val="20"/>
              </w:rPr>
              <w:t>Ööbimised t-1 (lühiajaline)</w:t>
            </w:r>
          </w:p>
        </w:tc>
        <w:tc>
          <w:tcPr>
            <w:tcW w:w="2941" w:type="dxa"/>
          </w:tcPr>
          <w:p w14:paraId="6A9FA35A" w14:textId="77777777" w:rsidR="00FD6D76" w:rsidRPr="002A6E1B" w:rsidRDefault="00FD6D76"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w:t>
            </w:r>
            <w:r>
              <w:rPr>
                <w:rFonts w:ascii="Arial" w:eastAsia="Arial" w:hAnsi="Arial" w:cs="Arial"/>
                <w:sz w:val="20"/>
                <w:szCs w:val="20"/>
              </w:rPr>
              <w:t>201</w:t>
            </w:r>
          </w:p>
          <w:p w14:paraId="094AA0B8" w14:textId="77777777" w:rsidR="00FD6D76" w:rsidRPr="002A6E1B" w:rsidRDefault="00FD6D76"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(0,1</w:t>
            </w:r>
            <w:r>
              <w:rPr>
                <w:rFonts w:ascii="Arial" w:eastAsia="Arial" w:hAnsi="Arial" w:cs="Arial"/>
                <w:sz w:val="20"/>
                <w:szCs w:val="20"/>
              </w:rPr>
              <w:t>05</w:t>
            </w:r>
            <w:r w:rsidRPr="002A6E1B">
              <w:rPr>
                <w:rFonts w:ascii="Arial" w:eastAsia="Arial" w:hAnsi="Arial" w:cs="Arial"/>
                <w:sz w:val="20"/>
                <w:szCs w:val="20"/>
              </w:rPr>
              <w:t>)</w:t>
            </w:r>
          </w:p>
        </w:tc>
        <w:tc>
          <w:tcPr>
            <w:tcW w:w="2963" w:type="dxa"/>
          </w:tcPr>
          <w:p w14:paraId="0F047156" w14:textId="77777777" w:rsidR="00FD6D76" w:rsidRPr="002A6E1B" w:rsidRDefault="00FD6D76"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0,797</w:t>
            </w:r>
          </w:p>
          <w:p w14:paraId="387CB673" w14:textId="77777777" w:rsidR="00FD6D76" w:rsidRPr="002A6E1B" w:rsidRDefault="00FD6D76"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w:t>
            </w:r>
            <w:r>
              <w:rPr>
                <w:rFonts w:ascii="Arial" w:eastAsia="Arial" w:hAnsi="Arial" w:cs="Arial"/>
                <w:sz w:val="20"/>
                <w:szCs w:val="20"/>
              </w:rPr>
              <w:t>175</w:t>
            </w:r>
            <w:r w:rsidRPr="002A6E1B">
              <w:rPr>
                <w:rFonts w:ascii="Arial" w:eastAsia="Arial" w:hAnsi="Arial" w:cs="Arial"/>
                <w:sz w:val="20"/>
                <w:szCs w:val="20"/>
              </w:rPr>
              <w:t>)</w:t>
            </w:r>
          </w:p>
        </w:tc>
      </w:tr>
      <w:tr w:rsidR="006B1E5D" w:rsidRPr="002A6E1B" w14:paraId="0A625E65" w14:textId="77777777" w:rsidTr="00A34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239B5903" w14:textId="77777777" w:rsidR="00FD6D76" w:rsidRPr="002A6E1B" w:rsidRDefault="00FD6D76" w:rsidP="00A86E7E">
            <w:pPr>
              <w:rPr>
                <w:rFonts w:ascii="Arial" w:eastAsia="Arial" w:hAnsi="Arial" w:cs="Arial"/>
                <w:sz w:val="20"/>
                <w:szCs w:val="20"/>
              </w:rPr>
            </w:pPr>
            <w:r w:rsidRPr="002A6E1B">
              <w:rPr>
                <w:rFonts w:ascii="Arial" w:eastAsia="Arial" w:hAnsi="Arial" w:cs="Arial"/>
                <w:sz w:val="20"/>
                <w:szCs w:val="20"/>
              </w:rPr>
              <w:t>Ööbimised (traditsiooniline)</w:t>
            </w:r>
          </w:p>
        </w:tc>
        <w:tc>
          <w:tcPr>
            <w:tcW w:w="2941" w:type="dxa"/>
          </w:tcPr>
          <w:p w14:paraId="19B280E3" w14:textId="77777777" w:rsidR="00FD6D76" w:rsidRPr="002A6E1B"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0,306</w:t>
            </w:r>
          </w:p>
          <w:p w14:paraId="7007522A" w14:textId="77777777" w:rsidR="00FD6D76" w:rsidRPr="002A6E1B"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(0,1</w:t>
            </w:r>
            <w:r>
              <w:rPr>
                <w:rFonts w:ascii="Arial" w:eastAsia="Arial" w:hAnsi="Arial" w:cs="Arial"/>
                <w:sz w:val="20"/>
                <w:szCs w:val="20"/>
              </w:rPr>
              <w:t>5</w:t>
            </w:r>
            <w:r w:rsidRPr="002A6E1B">
              <w:rPr>
                <w:rFonts w:ascii="Arial" w:eastAsia="Arial" w:hAnsi="Arial" w:cs="Arial"/>
                <w:sz w:val="20"/>
                <w:szCs w:val="20"/>
              </w:rPr>
              <w:t>2)</w:t>
            </w:r>
          </w:p>
        </w:tc>
        <w:tc>
          <w:tcPr>
            <w:tcW w:w="2963" w:type="dxa"/>
          </w:tcPr>
          <w:p w14:paraId="63E7FCF5" w14:textId="77777777" w:rsidR="00FD6D76" w:rsidRPr="002A6E1B"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1,</w:t>
            </w:r>
            <w:r>
              <w:rPr>
                <w:rFonts w:ascii="Arial" w:eastAsia="Arial" w:hAnsi="Arial" w:cs="Arial"/>
                <w:sz w:val="20"/>
                <w:szCs w:val="20"/>
              </w:rPr>
              <w:t>164</w:t>
            </w:r>
          </w:p>
          <w:p w14:paraId="55E02BD4" w14:textId="77777777" w:rsidR="00FD6D76" w:rsidRPr="002A6E1B"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(0,2</w:t>
            </w:r>
            <w:r>
              <w:rPr>
                <w:rFonts w:ascii="Arial" w:eastAsia="Arial" w:hAnsi="Arial" w:cs="Arial"/>
                <w:sz w:val="20"/>
                <w:szCs w:val="20"/>
              </w:rPr>
              <w:t>63</w:t>
            </w:r>
            <w:r w:rsidRPr="002A6E1B">
              <w:rPr>
                <w:rFonts w:ascii="Arial" w:eastAsia="Arial" w:hAnsi="Arial" w:cs="Arial"/>
                <w:sz w:val="20"/>
                <w:szCs w:val="20"/>
              </w:rPr>
              <w:t>)</w:t>
            </w:r>
          </w:p>
        </w:tc>
      </w:tr>
      <w:tr w:rsidR="006B1E5D" w:rsidRPr="002A6E1B" w14:paraId="769845DA" w14:textId="77777777" w:rsidTr="00A34307">
        <w:tc>
          <w:tcPr>
            <w:cnfStyle w:val="001000000000" w:firstRow="0" w:lastRow="0" w:firstColumn="1" w:lastColumn="0" w:oddVBand="0" w:evenVBand="0" w:oddHBand="0" w:evenHBand="0" w:firstRowFirstColumn="0" w:firstRowLastColumn="0" w:lastRowFirstColumn="0" w:lastRowLastColumn="0"/>
            <w:tcW w:w="4405" w:type="dxa"/>
          </w:tcPr>
          <w:p w14:paraId="1C41649A" w14:textId="77777777" w:rsidR="00FD6D76" w:rsidRPr="002A6E1B" w:rsidRDefault="00FD6D76" w:rsidP="00A86E7E">
            <w:pPr>
              <w:rPr>
                <w:rFonts w:ascii="Arial" w:eastAsia="Arial" w:hAnsi="Arial" w:cs="Arial"/>
                <w:sz w:val="20"/>
                <w:szCs w:val="20"/>
              </w:rPr>
            </w:pPr>
            <w:r w:rsidRPr="002A6E1B">
              <w:rPr>
                <w:rFonts w:ascii="Arial" w:eastAsia="Arial" w:hAnsi="Arial" w:cs="Arial"/>
                <w:sz w:val="20"/>
                <w:szCs w:val="20"/>
              </w:rPr>
              <w:t>AR(1)</w:t>
            </w:r>
          </w:p>
        </w:tc>
        <w:tc>
          <w:tcPr>
            <w:tcW w:w="2941" w:type="dxa"/>
          </w:tcPr>
          <w:p w14:paraId="13BD3460" w14:textId="77777777" w:rsidR="00FD6D76" w:rsidRPr="002A6E1B" w:rsidRDefault="00FD6D76"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-0,3</w:t>
            </w:r>
            <w:r>
              <w:rPr>
                <w:rFonts w:ascii="Arial" w:eastAsia="Arial" w:hAnsi="Arial" w:cs="Arial"/>
                <w:sz w:val="20"/>
                <w:szCs w:val="20"/>
              </w:rPr>
              <w:t>39</w:t>
            </w:r>
          </w:p>
          <w:p w14:paraId="5C8F04D7" w14:textId="77777777" w:rsidR="00FD6D76" w:rsidRPr="002A6E1B" w:rsidRDefault="00FD6D76"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(0,1</w:t>
            </w:r>
            <w:r>
              <w:rPr>
                <w:rFonts w:ascii="Arial" w:eastAsia="Arial" w:hAnsi="Arial" w:cs="Arial"/>
                <w:sz w:val="20"/>
                <w:szCs w:val="20"/>
              </w:rPr>
              <w:t>57</w:t>
            </w:r>
            <w:r w:rsidRPr="002A6E1B">
              <w:rPr>
                <w:rFonts w:ascii="Arial" w:eastAsia="Arial" w:hAnsi="Arial" w:cs="Arial"/>
                <w:sz w:val="20"/>
                <w:szCs w:val="20"/>
              </w:rPr>
              <w:t>)</w:t>
            </w:r>
          </w:p>
        </w:tc>
        <w:tc>
          <w:tcPr>
            <w:tcW w:w="2963" w:type="dxa"/>
          </w:tcPr>
          <w:p w14:paraId="75B98E42" w14:textId="77777777" w:rsidR="00FD6D76" w:rsidRPr="002A6E1B" w:rsidRDefault="00FD6D76"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w:t>
            </w:r>
            <w:r>
              <w:rPr>
                <w:rFonts w:ascii="Arial" w:eastAsia="Arial" w:hAnsi="Arial" w:cs="Arial"/>
                <w:sz w:val="20"/>
                <w:szCs w:val="20"/>
              </w:rPr>
              <w:t>826</w:t>
            </w:r>
          </w:p>
          <w:p w14:paraId="6A93783A" w14:textId="77777777" w:rsidR="00FD6D76" w:rsidRPr="002A6E1B" w:rsidRDefault="00FD6D76"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(0,1</w:t>
            </w:r>
            <w:r>
              <w:rPr>
                <w:rFonts w:ascii="Arial" w:eastAsia="Arial" w:hAnsi="Arial" w:cs="Arial"/>
                <w:sz w:val="20"/>
                <w:szCs w:val="20"/>
              </w:rPr>
              <w:t>49</w:t>
            </w:r>
            <w:r w:rsidRPr="002A6E1B">
              <w:rPr>
                <w:rFonts w:ascii="Arial" w:eastAsia="Arial" w:hAnsi="Arial" w:cs="Arial"/>
                <w:sz w:val="20"/>
                <w:szCs w:val="20"/>
              </w:rPr>
              <w:t>)</w:t>
            </w:r>
          </w:p>
        </w:tc>
      </w:tr>
      <w:tr w:rsidR="006B1E5D" w:rsidRPr="002A6E1B" w14:paraId="31CBF1E5" w14:textId="77777777" w:rsidTr="00A34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40018FB4" w14:textId="77777777" w:rsidR="00FD6D76" w:rsidRPr="00605E36" w:rsidRDefault="00FD6D76" w:rsidP="00A86E7E">
            <w:pPr>
              <w:rPr>
                <w:rFonts w:ascii="Arial" w:eastAsia="Arial" w:hAnsi="Arial" w:cs="Arial"/>
                <w:sz w:val="20"/>
                <w:szCs w:val="20"/>
              </w:rPr>
            </w:pPr>
            <w:r w:rsidRPr="00605E36">
              <w:rPr>
                <w:rFonts w:ascii="Arial" w:eastAsia="Arial" w:hAnsi="Arial" w:cs="Arial"/>
                <w:sz w:val="20"/>
                <w:szCs w:val="20"/>
              </w:rPr>
              <w:lastRenderedPageBreak/>
              <w:t>AR(2)</w:t>
            </w:r>
          </w:p>
        </w:tc>
        <w:tc>
          <w:tcPr>
            <w:tcW w:w="2941" w:type="dxa"/>
          </w:tcPr>
          <w:p w14:paraId="16F2D31F" w14:textId="77777777" w:rsidR="00FD6D76" w:rsidRPr="002A6E1B"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w:t>
            </w:r>
          </w:p>
        </w:tc>
        <w:tc>
          <w:tcPr>
            <w:tcW w:w="2963" w:type="dxa"/>
          </w:tcPr>
          <w:p w14:paraId="7C9A00DC" w14:textId="77777777" w:rsidR="00FD6D76"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-0,452</w:t>
            </w:r>
          </w:p>
          <w:p w14:paraId="3B1FE565" w14:textId="77777777" w:rsidR="00FD6D76" w:rsidRPr="002A6E1B"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(0,150)</w:t>
            </w:r>
          </w:p>
        </w:tc>
      </w:tr>
      <w:tr w:rsidR="006B1E5D" w:rsidRPr="002A6E1B" w14:paraId="66B7B6FD" w14:textId="77777777" w:rsidTr="00A34307">
        <w:tc>
          <w:tcPr>
            <w:cnfStyle w:val="001000000000" w:firstRow="0" w:lastRow="0" w:firstColumn="1" w:lastColumn="0" w:oddVBand="0" w:evenVBand="0" w:oddHBand="0" w:evenHBand="0" w:firstRowFirstColumn="0" w:firstRowLastColumn="0" w:lastRowFirstColumn="0" w:lastRowLastColumn="0"/>
            <w:tcW w:w="4405" w:type="dxa"/>
          </w:tcPr>
          <w:p w14:paraId="6B3D7534" w14:textId="77777777" w:rsidR="00FD6D76" w:rsidRPr="002A6E1B" w:rsidRDefault="00FD6D76" w:rsidP="00A86E7E">
            <w:pPr>
              <w:rPr>
                <w:rFonts w:ascii="Arial" w:eastAsia="Arial" w:hAnsi="Arial" w:cs="Arial"/>
                <w:sz w:val="20"/>
                <w:szCs w:val="20"/>
              </w:rPr>
            </w:pPr>
            <w:r>
              <w:rPr>
                <w:rFonts w:ascii="Arial" w:eastAsia="Arial" w:hAnsi="Arial" w:cs="Arial"/>
                <w:sz w:val="20"/>
                <w:szCs w:val="20"/>
              </w:rPr>
              <w:t>S</w:t>
            </w:r>
            <w:r w:rsidRPr="002A6E1B">
              <w:rPr>
                <w:rFonts w:ascii="Arial" w:eastAsia="Arial" w:hAnsi="Arial" w:cs="Arial"/>
                <w:sz w:val="20"/>
                <w:szCs w:val="20"/>
              </w:rPr>
              <w:t>A</w:t>
            </w:r>
            <w:r>
              <w:rPr>
                <w:rFonts w:ascii="Arial" w:eastAsia="Arial" w:hAnsi="Arial" w:cs="Arial"/>
                <w:sz w:val="20"/>
                <w:szCs w:val="20"/>
              </w:rPr>
              <w:t>R</w:t>
            </w:r>
            <w:r w:rsidRPr="002A6E1B">
              <w:rPr>
                <w:rFonts w:ascii="Arial" w:eastAsia="Arial" w:hAnsi="Arial" w:cs="Arial"/>
                <w:sz w:val="20"/>
                <w:szCs w:val="20"/>
              </w:rPr>
              <w:t>(1)</w:t>
            </w:r>
          </w:p>
        </w:tc>
        <w:tc>
          <w:tcPr>
            <w:tcW w:w="2941" w:type="dxa"/>
          </w:tcPr>
          <w:p w14:paraId="2FC62B6D" w14:textId="77777777" w:rsidR="00FD6D76" w:rsidRPr="002A6E1B" w:rsidRDefault="00FD6D76"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w:t>
            </w:r>
            <w:r>
              <w:rPr>
                <w:rFonts w:ascii="Arial" w:eastAsia="Arial" w:hAnsi="Arial" w:cs="Arial"/>
                <w:sz w:val="20"/>
                <w:szCs w:val="20"/>
              </w:rPr>
              <w:t>288</w:t>
            </w:r>
          </w:p>
          <w:p w14:paraId="607CBEDA" w14:textId="77777777" w:rsidR="00FD6D76" w:rsidRPr="002A6E1B" w:rsidRDefault="00FD6D76"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(0,1</w:t>
            </w:r>
            <w:r>
              <w:rPr>
                <w:rFonts w:ascii="Arial" w:eastAsia="Arial" w:hAnsi="Arial" w:cs="Arial"/>
                <w:sz w:val="20"/>
                <w:szCs w:val="20"/>
              </w:rPr>
              <w:t>74</w:t>
            </w:r>
            <w:r w:rsidRPr="002A6E1B">
              <w:rPr>
                <w:rFonts w:ascii="Arial" w:eastAsia="Arial" w:hAnsi="Arial" w:cs="Arial"/>
                <w:sz w:val="20"/>
                <w:szCs w:val="20"/>
              </w:rPr>
              <w:t>)</w:t>
            </w:r>
          </w:p>
        </w:tc>
        <w:tc>
          <w:tcPr>
            <w:tcW w:w="2963" w:type="dxa"/>
          </w:tcPr>
          <w:p w14:paraId="2CB28B43" w14:textId="77777777" w:rsidR="00FD6D76" w:rsidRPr="002A6E1B" w:rsidRDefault="00FD6D76"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w:t>
            </w:r>
            <w:r>
              <w:rPr>
                <w:rFonts w:ascii="Arial" w:eastAsia="Arial" w:hAnsi="Arial" w:cs="Arial"/>
                <w:sz w:val="20"/>
                <w:szCs w:val="20"/>
              </w:rPr>
              <w:t>534</w:t>
            </w:r>
          </w:p>
          <w:p w14:paraId="5895498D" w14:textId="77777777" w:rsidR="00FD6D76" w:rsidRPr="002A6E1B" w:rsidRDefault="00FD6D76" w:rsidP="00A86E7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A6E1B">
              <w:rPr>
                <w:rFonts w:ascii="Arial" w:eastAsia="Arial" w:hAnsi="Arial" w:cs="Arial"/>
                <w:sz w:val="20"/>
                <w:szCs w:val="20"/>
              </w:rPr>
              <w:t>(0,14</w:t>
            </w:r>
            <w:r>
              <w:rPr>
                <w:rFonts w:ascii="Arial" w:eastAsia="Arial" w:hAnsi="Arial" w:cs="Arial"/>
                <w:sz w:val="20"/>
                <w:szCs w:val="20"/>
              </w:rPr>
              <w:t>7</w:t>
            </w:r>
            <w:r w:rsidRPr="002A6E1B">
              <w:rPr>
                <w:rFonts w:ascii="Arial" w:eastAsia="Arial" w:hAnsi="Arial" w:cs="Arial"/>
                <w:sz w:val="20"/>
                <w:szCs w:val="20"/>
              </w:rPr>
              <w:t>)</w:t>
            </w:r>
          </w:p>
        </w:tc>
      </w:tr>
      <w:tr w:rsidR="006B1E5D" w:rsidRPr="002A6E1B" w14:paraId="7CBA0CEB" w14:textId="77777777" w:rsidTr="00A34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4098EB62" w14:textId="77777777" w:rsidR="00FD6D76" w:rsidRDefault="00FD6D76" w:rsidP="00A86E7E">
            <w:pPr>
              <w:rPr>
                <w:rFonts w:ascii="Arial" w:eastAsia="Arial" w:hAnsi="Arial" w:cs="Arial"/>
                <w:sz w:val="20"/>
                <w:szCs w:val="20"/>
              </w:rPr>
            </w:pPr>
            <w:r>
              <w:rPr>
                <w:rFonts w:ascii="Arial" w:eastAsia="Arial" w:hAnsi="Arial" w:cs="Arial"/>
                <w:sz w:val="20"/>
                <w:szCs w:val="20"/>
              </w:rPr>
              <w:t>SARIMA</w:t>
            </w:r>
          </w:p>
        </w:tc>
        <w:tc>
          <w:tcPr>
            <w:tcW w:w="2941" w:type="dxa"/>
          </w:tcPr>
          <w:p w14:paraId="458AF63A" w14:textId="77777777" w:rsidR="00FD6D76" w:rsidRPr="002A6E1B"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r>
              <w:rPr>
                <w:rFonts w:ascii="Arial" w:eastAsia="Arial" w:hAnsi="Arial" w:cs="Arial"/>
                <w:sz w:val="20"/>
                <w:szCs w:val="20"/>
              </w:rPr>
              <w:t>1</w:t>
            </w:r>
            <w:r w:rsidRPr="004B5AEE">
              <w:rPr>
                <w:rFonts w:ascii="Arial" w:eastAsia="Arial" w:hAnsi="Arial" w:cs="Arial"/>
                <w:sz w:val="20"/>
                <w:szCs w:val="20"/>
              </w:rPr>
              <w:t>,1,0)(1,1,0)</w:t>
            </w:r>
          </w:p>
        </w:tc>
        <w:tc>
          <w:tcPr>
            <w:tcW w:w="2963" w:type="dxa"/>
          </w:tcPr>
          <w:p w14:paraId="7F14F0EC" w14:textId="77777777" w:rsidR="00FD6D76" w:rsidRPr="002A6E1B" w:rsidRDefault="00FD6D76" w:rsidP="00A86E7E">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4B5AEE">
              <w:rPr>
                <w:rFonts w:ascii="Arial" w:eastAsia="Arial" w:hAnsi="Arial" w:cs="Arial"/>
                <w:sz w:val="20"/>
                <w:szCs w:val="20"/>
              </w:rPr>
              <w:t>(</w:t>
            </w:r>
            <w:r>
              <w:rPr>
                <w:rFonts w:ascii="Arial" w:eastAsia="Arial" w:hAnsi="Arial" w:cs="Arial"/>
                <w:sz w:val="20"/>
                <w:szCs w:val="20"/>
              </w:rPr>
              <w:t>2</w:t>
            </w:r>
            <w:r w:rsidRPr="004B5AEE">
              <w:rPr>
                <w:rFonts w:ascii="Arial" w:eastAsia="Arial" w:hAnsi="Arial" w:cs="Arial"/>
                <w:sz w:val="20"/>
                <w:szCs w:val="20"/>
              </w:rPr>
              <w:t>,1,0)(1,1,0)</w:t>
            </w:r>
          </w:p>
        </w:tc>
      </w:tr>
    </w:tbl>
    <w:p w14:paraId="148FBB00" w14:textId="7868398F" w:rsidR="00D55140" w:rsidRPr="00C0423E" w:rsidRDefault="23558E80" w:rsidP="00B54A22">
      <w:pPr>
        <w:spacing w:before="240"/>
        <w:jc w:val="both"/>
        <w:rPr>
          <w:rFonts w:ascii="Arial" w:hAnsi="Arial" w:cs="Arial"/>
          <w:szCs w:val="24"/>
        </w:rPr>
      </w:pPr>
      <w:r w:rsidRPr="288A3578">
        <w:rPr>
          <w:rFonts w:ascii="Arial" w:hAnsi="Arial" w:cs="Arial"/>
        </w:rPr>
        <w:t xml:space="preserve">Seda tulemust võib tõlgendada nii, et kui lühiajalise üürimise maht suureneb, siis samal perioodil või kuul sooritatakse vähem kuritegusid, kuid järgmisel kuul kuritegevus taastub. Seega seos on lühiajaline ja koondefekt küll negatiivne, kuid väga nõrk. Huvitava asjaoluna </w:t>
      </w:r>
      <w:r w:rsidR="5E227DBD" w:rsidRPr="288A3578">
        <w:rPr>
          <w:rFonts w:ascii="Arial" w:hAnsi="Arial" w:cs="Arial"/>
        </w:rPr>
        <w:t xml:space="preserve">on </w:t>
      </w:r>
      <w:r w:rsidRPr="288A3578">
        <w:rPr>
          <w:rFonts w:ascii="Arial" w:hAnsi="Arial" w:cs="Arial"/>
        </w:rPr>
        <w:t xml:space="preserve">traditsioonilistes majutusasutustes ööbimised lühiajaliselt kuritegevusega positiivselt seotud ja pikema perioodi jooksul negatiivselt, koondefekt tundub jääma aga nõrgalt positiivseks. Ka paneelandmetel põhinevas mudelis näitas kogu Eesti </w:t>
      </w:r>
      <w:r w:rsidR="0067432A">
        <w:rPr>
          <w:rFonts w:ascii="Arial" w:hAnsi="Arial" w:cs="Arial"/>
        </w:rPr>
        <w:t xml:space="preserve">kohta tehtud </w:t>
      </w:r>
      <w:r w:rsidRPr="288A3578">
        <w:rPr>
          <w:rFonts w:ascii="Arial" w:hAnsi="Arial" w:cs="Arial"/>
        </w:rPr>
        <w:t xml:space="preserve">analüüs traditsioonilistes majutusasutustes ööbimiste ja </w:t>
      </w:r>
      <w:r w:rsidR="00037ABA">
        <w:rPr>
          <w:rFonts w:ascii="Arial" w:hAnsi="Arial" w:cs="Arial"/>
        </w:rPr>
        <w:t>süütegude</w:t>
      </w:r>
      <w:r w:rsidR="00037ABA" w:rsidRPr="288A3578">
        <w:rPr>
          <w:rFonts w:ascii="Arial" w:hAnsi="Arial" w:cs="Arial"/>
        </w:rPr>
        <w:t xml:space="preserve"> </w:t>
      </w:r>
      <w:r w:rsidRPr="288A3578">
        <w:rPr>
          <w:rFonts w:ascii="Arial" w:hAnsi="Arial" w:cs="Arial"/>
        </w:rPr>
        <w:t>vahel positiivset, väljaspool Har</w:t>
      </w:r>
      <w:r w:rsidR="00F0460D">
        <w:rPr>
          <w:rFonts w:ascii="Arial" w:hAnsi="Arial" w:cs="Arial"/>
        </w:rPr>
        <w:t>j</w:t>
      </w:r>
      <w:r w:rsidRPr="288A3578">
        <w:rPr>
          <w:rFonts w:ascii="Arial" w:hAnsi="Arial" w:cs="Arial"/>
        </w:rPr>
        <w:t>umaad aga negatiivset</w:t>
      </w:r>
      <w:r w:rsidR="17321581" w:rsidRPr="288A3578">
        <w:rPr>
          <w:rFonts w:ascii="Arial" w:hAnsi="Arial" w:cs="Arial"/>
        </w:rPr>
        <w:t xml:space="preserve"> seost</w:t>
      </w:r>
      <w:r w:rsidRPr="288A3578">
        <w:rPr>
          <w:rFonts w:ascii="Arial" w:hAnsi="Arial" w:cs="Arial"/>
        </w:rPr>
        <w:t>, kusjuures mõlemal juhul on seos kuritegevusega ka statistiliselt oluline.</w:t>
      </w:r>
      <w:r w:rsidR="0088181D">
        <w:rPr>
          <w:rFonts w:ascii="Arial" w:hAnsi="Arial" w:cs="Arial"/>
          <w:szCs w:val="24"/>
        </w:rPr>
        <w:t xml:space="preserve"> </w:t>
      </w:r>
      <w:r w:rsidR="00D55140">
        <w:rPr>
          <w:rFonts w:ascii="Arial" w:hAnsi="Arial" w:cs="Arial"/>
          <w:szCs w:val="24"/>
        </w:rPr>
        <w:t xml:space="preserve">Tervikuna kõige olulisem järeldus selle uuringu vaatenurgast on see, et lühiajalisel üürimisel ei ole varavastastele </w:t>
      </w:r>
      <w:r w:rsidR="00037ABA">
        <w:rPr>
          <w:rFonts w:ascii="Arial" w:hAnsi="Arial" w:cs="Arial"/>
          <w:szCs w:val="24"/>
        </w:rPr>
        <w:t xml:space="preserve">süütegudele </w:t>
      </w:r>
      <w:r w:rsidR="00D55140">
        <w:rPr>
          <w:rFonts w:ascii="Arial" w:hAnsi="Arial" w:cs="Arial"/>
          <w:szCs w:val="24"/>
        </w:rPr>
        <w:t xml:space="preserve">neid suurendavat mõju olnud. Pigem osutavad tõendid nõrga positiivse seose võimalusele. Samas on seoste dünaamika nende nähtuste vahel ajas muutuv ja erinevate teiste nähtuste poolt mõjutatav ja väärib kindlasti edasist analüüsi. </w:t>
      </w:r>
    </w:p>
    <w:p w14:paraId="439B6523" w14:textId="77777777" w:rsidR="00D55140" w:rsidRPr="00C0423E" w:rsidRDefault="00D55140" w:rsidP="005F0B97">
      <w:pPr>
        <w:jc w:val="both"/>
        <w:rPr>
          <w:rFonts w:ascii="Arial" w:hAnsi="Arial" w:cs="Arial"/>
          <w:szCs w:val="24"/>
        </w:rPr>
      </w:pPr>
    </w:p>
    <w:p w14:paraId="22E880FA" w14:textId="77777777" w:rsidR="005F0B97" w:rsidRPr="00E14EBC" w:rsidRDefault="005F0B97" w:rsidP="00E66BBF">
      <w:pPr>
        <w:jc w:val="both"/>
      </w:pPr>
    </w:p>
    <w:p w14:paraId="2C319466" w14:textId="0516D8A9" w:rsidR="001B0244" w:rsidRPr="00E14EBC" w:rsidRDefault="001B0244">
      <w:pPr>
        <w:spacing w:before="0" w:line="259" w:lineRule="auto"/>
      </w:pPr>
      <w:r w:rsidRPr="00E14EBC">
        <w:br w:type="page"/>
      </w:r>
    </w:p>
    <w:p w14:paraId="4B06A6BB" w14:textId="77777777" w:rsidR="00334D82" w:rsidRPr="00E14EBC" w:rsidRDefault="00334D82" w:rsidP="00527498">
      <w:pPr>
        <w:pStyle w:val="Heading2"/>
        <w:ind w:left="450"/>
        <w:jc w:val="both"/>
        <w:rPr>
          <w:rFonts w:hint="eastAsia"/>
        </w:rPr>
      </w:pPr>
      <w:bookmarkStart w:id="131" w:name="_Toc208991621"/>
      <w:r w:rsidRPr="00E14EBC">
        <w:lastRenderedPageBreak/>
        <w:t>Koondülevaade tuvastatud mõjudest</w:t>
      </w:r>
      <w:bookmarkEnd w:id="131"/>
    </w:p>
    <w:p w14:paraId="635C8E32" w14:textId="51750FAB" w:rsidR="00037099" w:rsidRDefault="3D8EE997" w:rsidP="00037099">
      <w:pPr>
        <w:pStyle w:val="MintBlock"/>
      </w:pPr>
      <w:r w:rsidRPr="00772186">
        <w:rPr>
          <w:b/>
          <w:bCs/>
        </w:rPr>
        <w:t>Lühiajali</w:t>
      </w:r>
      <w:r w:rsidR="004E6BD7" w:rsidRPr="00772186">
        <w:rPr>
          <w:b/>
          <w:bCs/>
        </w:rPr>
        <w:t>n</w:t>
      </w:r>
      <w:r w:rsidRPr="00772186">
        <w:rPr>
          <w:b/>
          <w:bCs/>
        </w:rPr>
        <w:t>e üüri turg mõjutab majutussektorit peamiselt konkurentsi suurenemise ja teenuste mitmekesistumise</w:t>
      </w:r>
      <w:r w:rsidR="0096546D" w:rsidRPr="00772186">
        <w:rPr>
          <w:b/>
          <w:bCs/>
        </w:rPr>
        <w:t xml:space="preserve"> kaudu</w:t>
      </w:r>
      <w:r w:rsidRPr="00772186">
        <w:rPr>
          <w:b/>
          <w:bCs/>
        </w:rPr>
        <w:t>.</w:t>
      </w:r>
      <w:r>
        <w:t xml:space="preserve"> </w:t>
      </w:r>
      <w:r w:rsidR="00D273AB">
        <w:t xml:space="preserve">Kuigi </w:t>
      </w:r>
      <w:r w:rsidR="00AC3D6E">
        <w:t xml:space="preserve">pikema perioodi jooksul </w:t>
      </w:r>
      <w:r w:rsidR="00804007">
        <w:t>võib lühiajali</w:t>
      </w:r>
      <w:r w:rsidR="00CF45DB">
        <w:t>s</w:t>
      </w:r>
      <w:r w:rsidR="00804007">
        <w:t>e üür</w:t>
      </w:r>
      <w:r w:rsidR="00CF45DB">
        <w:t>i</w:t>
      </w:r>
      <w:r w:rsidR="00804007">
        <w:t xml:space="preserve"> tur</w:t>
      </w:r>
      <w:r w:rsidR="00E0516F">
        <w:t>u kasv</w:t>
      </w:r>
      <w:r w:rsidR="00804007">
        <w:t xml:space="preserve"> </w:t>
      </w:r>
      <w:r w:rsidR="00E0516F">
        <w:t xml:space="preserve">ka </w:t>
      </w:r>
      <w:r w:rsidR="00804007">
        <w:t>traditsioonilisele majutussektorile</w:t>
      </w:r>
      <w:r w:rsidR="002C33FE">
        <w:t xml:space="preserve"> kliente juurde tuua</w:t>
      </w:r>
      <w:r w:rsidR="009A1D36">
        <w:t xml:space="preserve">, siis </w:t>
      </w:r>
      <w:r w:rsidR="002C33FE">
        <w:t>uuritud perioodi kohta te</w:t>
      </w:r>
      <w:r w:rsidR="00D01695">
        <w:t>h</w:t>
      </w:r>
      <w:r w:rsidR="002C33FE">
        <w:t xml:space="preserve">tud </w:t>
      </w:r>
      <w:r w:rsidR="005842C9">
        <w:t xml:space="preserve">ökonomeetriline </w:t>
      </w:r>
      <w:r w:rsidR="009A1D36">
        <w:t>analüüs näitas, et</w:t>
      </w:r>
      <w:r w:rsidR="00A92FD5">
        <w:t xml:space="preserve"> </w:t>
      </w:r>
      <w:r w:rsidR="00D850B4">
        <w:t>mõnevõr</w:t>
      </w:r>
      <w:r w:rsidR="00D46088">
        <w:t>r</w:t>
      </w:r>
      <w:r w:rsidR="00D850B4">
        <w:t>a</w:t>
      </w:r>
      <w:r>
        <w:t xml:space="preserve"> </w:t>
      </w:r>
      <w:r w:rsidR="00D01695">
        <w:t xml:space="preserve">on see </w:t>
      </w:r>
      <w:r>
        <w:t>nõudlust traditsioonilise teenuse järele</w:t>
      </w:r>
      <w:r w:rsidR="00D01695">
        <w:t xml:space="preserve"> </w:t>
      </w:r>
      <w:r w:rsidR="00E0516F">
        <w:t xml:space="preserve">siiski </w:t>
      </w:r>
      <w:r w:rsidR="00D01695">
        <w:t>vähendanud</w:t>
      </w:r>
      <w:r w:rsidR="00465FEE">
        <w:t>.</w:t>
      </w:r>
      <w:r>
        <w:t xml:space="preserve"> </w:t>
      </w:r>
      <w:r w:rsidR="00465FEE" w:rsidRPr="00772186">
        <w:rPr>
          <w:b/>
          <w:bCs/>
        </w:rPr>
        <w:t>S</w:t>
      </w:r>
      <w:r w:rsidRPr="00772186">
        <w:rPr>
          <w:b/>
          <w:bCs/>
        </w:rPr>
        <w:t xml:space="preserve">amal ajal </w:t>
      </w:r>
      <w:r w:rsidR="00D850B4" w:rsidRPr="00772186">
        <w:rPr>
          <w:b/>
          <w:bCs/>
        </w:rPr>
        <w:t>suurendab</w:t>
      </w:r>
      <w:r w:rsidR="006D079C" w:rsidRPr="00772186">
        <w:rPr>
          <w:b/>
          <w:bCs/>
        </w:rPr>
        <w:t xml:space="preserve"> lühiajalise üürimise suurem levik</w:t>
      </w:r>
      <w:r w:rsidRPr="00772186">
        <w:rPr>
          <w:b/>
          <w:bCs/>
        </w:rPr>
        <w:t xml:space="preserve"> teenuse kasutajate valikuvõimalus</w:t>
      </w:r>
      <w:r w:rsidR="00D850B4" w:rsidRPr="00772186">
        <w:rPr>
          <w:b/>
          <w:bCs/>
        </w:rPr>
        <w:t>i</w:t>
      </w:r>
      <w:r w:rsidRPr="00772186">
        <w:rPr>
          <w:b/>
          <w:bCs/>
        </w:rPr>
        <w:t>.</w:t>
      </w:r>
      <w:r>
        <w:t xml:space="preserve"> See on </w:t>
      </w:r>
      <w:r w:rsidR="00895FD1">
        <w:t xml:space="preserve">aidanud </w:t>
      </w:r>
      <w:r>
        <w:t>hoid</w:t>
      </w:r>
      <w:r w:rsidR="00895FD1">
        <w:t>a</w:t>
      </w:r>
      <w:r>
        <w:t xml:space="preserve"> ka </w:t>
      </w:r>
      <w:r w:rsidR="387B8A9E">
        <w:t>majutuste</w:t>
      </w:r>
      <w:r w:rsidR="7C09909F">
        <w:t>e</w:t>
      </w:r>
      <w:r w:rsidR="387B8A9E">
        <w:t xml:space="preserve">nuste </w:t>
      </w:r>
      <w:r>
        <w:t>hinnad madalamal, kui nad muidu oleksid</w:t>
      </w:r>
      <w:r w:rsidR="4F592855">
        <w:t>,</w:t>
      </w:r>
      <w:r>
        <w:t xml:space="preserve"> ja suurendanud</w:t>
      </w:r>
      <w:r w:rsidR="7632406F">
        <w:t xml:space="preserve"> </w:t>
      </w:r>
      <w:r>
        <w:t>majutusteenuste nõudlust</w:t>
      </w:r>
      <w:r w:rsidR="7632406F">
        <w:t xml:space="preserve"> üldiselt</w:t>
      </w:r>
      <w:r>
        <w:t xml:space="preserve">. Samal ajal </w:t>
      </w:r>
      <w:r w:rsidRPr="00772186">
        <w:rPr>
          <w:b/>
          <w:bCs/>
        </w:rPr>
        <w:t>eluasemeturul on see eluasemete pakkumist vähendanud ja hinnataset veidi suurendanud.</w:t>
      </w:r>
      <w:r w:rsidR="6CB14F8A">
        <w:t xml:space="preserve"> Teatud ebaselgus õigusruumis aga põhjustab ebaa</w:t>
      </w:r>
      <w:r w:rsidR="62C62029">
        <w:t>u</w:t>
      </w:r>
      <w:r w:rsidR="6CB14F8A">
        <w:t xml:space="preserve">sat konkurentsi ja </w:t>
      </w:r>
      <w:r w:rsidR="16872380">
        <w:t>vähendab elanike turvalisust, seda nii tuleohutus</w:t>
      </w:r>
      <w:r w:rsidR="6F364902">
        <w:t xml:space="preserve">e </w:t>
      </w:r>
      <w:r w:rsidR="5D8182BB">
        <w:t>ja</w:t>
      </w:r>
      <w:r w:rsidR="16872380">
        <w:t xml:space="preserve"> </w:t>
      </w:r>
      <w:r w:rsidR="004D7E54">
        <w:t>julgeoleku tagamise</w:t>
      </w:r>
      <w:r w:rsidR="16872380">
        <w:t xml:space="preserve"> </w:t>
      </w:r>
      <w:r w:rsidR="05F39672">
        <w:t xml:space="preserve">seisukohast </w:t>
      </w:r>
      <w:r w:rsidR="16872380">
        <w:t>kui ka elanike üldi</w:t>
      </w:r>
      <w:r w:rsidR="4BB38059">
        <w:t>st turvatunnet</w:t>
      </w:r>
      <w:r w:rsidR="16872380">
        <w:t>.</w:t>
      </w:r>
    </w:p>
    <w:p w14:paraId="27986147" w14:textId="77777777" w:rsidR="00993746" w:rsidRDefault="00993746" w:rsidP="00037099">
      <w:pPr>
        <w:pStyle w:val="MintBlock"/>
      </w:pPr>
    </w:p>
    <w:p w14:paraId="70C7F292" w14:textId="05D1AA19" w:rsidR="00037099" w:rsidRPr="00772186" w:rsidRDefault="3D8EE997" w:rsidP="00037099">
      <w:pPr>
        <w:pStyle w:val="MintBlock"/>
        <w:rPr>
          <w:b/>
          <w:bCs/>
        </w:rPr>
      </w:pPr>
      <w:r w:rsidRPr="00772186">
        <w:rPr>
          <w:b/>
          <w:bCs/>
        </w:rPr>
        <w:t>Kohalike elanike elukvaliteedile on lühiajalise üüri turu aktiivne kasv teatud piirkondades avaldanud ka negatiivset mõju</w:t>
      </w:r>
      <w:r w:rsidR="007211CF">
        <w:t>:</w:t>
      </w:r>
      <w:r>
        <w:t xml:space="preserve"> elanikud peavad toime tulema mitmete häiringute (müra) ja lisakuludega, mida lühiajalise üüri teenuse kasutajad nende kortermajades põhjustavad. </w:t>
      </w:r>
      <w:r w:rsidR="007A6402">
        <w:t>Leidsime ka tõendeid sellega seotud</w:t>
      </w:r>
      <w:r>
        <w:t xml:space="preserve"> pinge</w:t>
      </w:r>
      <w:r w:rsidR="007A6402">
        <w:t>te esinemise kohta</w:t>
      </w:r>
      <w:r>
        <w:t xml:space="preserve"> elanike ja üüri teenuse pakkujate vahel, mida praeguses õigusruumi</w:t>
      </w:r>
      <w:r w:rsidR="22B99EF3">
        <w:t>s</w:t>
      </w:r>
      <w:r>
        <w:t xml:space="preserve"> on keeruline</w:t>
      </w:r>
      <w:r w:rsidR="4D4D1E0E">
        <w:t xml:space="preserve"> lahendada</w:t>
      </w:r>
      <w:r>
        <w:t>. Samas on lühiajalisel üürimisel juhul, kui seda tehakse jagamismajanduse võtmes oma eluruumi teistega jagades, peamiselt positiivsed mõjud, võimaldades eluruume paremini majandada ja säästes ühiskonna ressursse alakasutatud ressursside kasutuselevõtmise</w:t>
      </w:r>
      <w:r w:rsidR="49AA2514">
        <w:t>ga</w:t>
      </w:r>
      <w:r>
        <w:t xml:space="preserve">. </w:t>
      </w:r>
      <w:r w:rsidR="526E2BA3" w:rsidRPr="00772186">
        <w:rPr>
          <w:b/>
          <w:bCs/>
        </w:rPr>
        <w:t>L</w:t>
      </w:r>
      <w:r w:rsidR="64B2025F" w:rsidRPr="00772186">
        <w:rPr>
          <w:b/>
          <w:bCs/>
        </w:rPr>
        <w:t xml:space="preserve">ühiajalise </w:t>
      </w:r>
      <w:r w:rsidR="0848DEE7" w:rsidRPr="00772186">
        <w:rPr>
          <w:b/>
          <w:bCs/>
        </w:rPr>
        <w:t xml:space="preserve">üüri turul </w:t>
      </w:r>
      <w:r w:rsidR="526E2BA3" w:rsidRPr="00772186">
        <w:rPr>
          <w:b/>
          <w:bCs/>
        </w:rPr>
        <w:t xml:space="preserve">on ka </w:t>
      </w:r>
      <w:r w:rsidR="0848DEE7" w:rsidRPr="00772186">
        <w:rPr>
          <w:b/>
          <w:bCs/>
        </w:rPr>
        <w:t xml:space="preserve">oluline potentsiaal nii töökohtade loojana </w:t>
      </w:r>
      <w:r w:rsidR="0848DEE7" w:rsidRPr="00B44F86">
        <w:rPr>
          <w:b/>
          <w:bCs/>
        </w:rPr>
        <w:t xml:space="preserve">kui ettevõtlusaktivsuse suurendajana, </w:t>
      </w:r>
      <w:r w:rsidR="60D1E4E6" w:rsidRPr="00B44F86">
        <w:rPr>
          <w:b/>
          <w:bCs/>
        </w:rPr>
        <w:t>seda eriti väljaspool tavapäraseid turismipiirkondi</w:t>
      </w:r>
      <w:r w:rsidRPr="00B44F86">
        <w:rPr>
          <w:b/>
          <w:bCs/>
        </w:rPr>
        <w:t>.</w:t>
      </w:r>
      <w:r w:rsidR="00A51833" w:rsidRPr="00B44F86">
        <w:t xml:space="preserve"> </w:t>
      </w:r>
      <w:r w:rsidR="00B403C1" w:rsidRPr="00B44F86">
        <w:t>Näiteks h</w:t>
      </w:r>
      <w:r w:rsidR="00EE68AC" w:rsidRPr="00B44F86">
        <w:t xml:space="preserve">indasime, et läbi kohalikku majandusse tehtud kulutuste </w:t>
      </w:r>
      <w:r w:rsidR="00EE68AC" w:rsidRPr="00B44F86">
        <w:rPr>
          <w:b/>
          <w:bCs/>
        </w:rPr>
        <w:t>toovad lühiajalise üüri teenust kasutavad välisturist</w:t>
      </w:r>
      <w:r w:rsidR="1A1CA335" w:rsidRPr="00B44F86">
        <w:rPr>
          <w:b/>
          <w:bCs/>
        </w:rPr>
        <w:t>i</w:t>
      </w:r>
      <w:r w:rsidR="00EE68AC" w:rsidRPr="00B44F86">
        <w:rPr>
          <w:b/>
          <w:bCs/>
        </w:rPr>
        <w:t>d Eestisse 1</w:t>
      </w:r>
      <w:r w:rsidR="00F746C5" w:rsidRPr="00B44F86">
        <w:rPr>
          <w:b/>
          <w:bCs/>
        </w:rPr>
        <w:t>35</w:t>
      </w:r>
      <w:r w:rsidR="00EE68AC" w:rsidRPr="00B44F86">
        <w:rPr>
          <w:b/>
          <w:bCs/>
        </w:rPr>
        <w:t xml:space="preserve"> miljoni</w:t>
      </w:r>
      <w:r w:rsidR="00F746C5" w:rsidRPr="00B44F86">
        <w:rPr>
          <w:b/>
          <w:bCs/>
        </w:rPr>
        <w:t>t</w:t>
      </w:r>
      <w:r w:rsidR="00EE68AC" w:rsidRPr="00B44F86">
        <w:rPr>
          <w:b/>
          <w:bCs/>
        </w:rPr>
        <w:t xml:space="preserve"> euro</w:t>
      </w:r>
      <w:r w:rsidR="00F746C5" w:rsidRPr="00B44F86">
        <w:rPr>
          <w:b/>
          <w:bCs/>
        </w:rPr>
        <w:t>t</w:t>
      </w:r>
      <w:r w:rsidR="00EE68AC" w:rsidRPr="00B44F86">
        <w:rPr>
          <w:b/>
          <w:bCs/>
        </w:rPr>
        <w:t xml:space="preserve"> aastas.</w:t>
      </w:r>
    </w:p>
    <w:p w14:paraId="0CBE9CB1" w14:textId="58A83211" w:rsidR="00751998" w:rsidRDefault="10C59CDB" w:rsidP="00A23BDC">
      <w:pPr>
        <w:jc w:val="both"/>
      </w:pPr>
      <w:r>
        <w:t xml:space="preserve">Oleme kõikidest allikatest tuvastanud võimalikud mõjud, mis lühiajalise üürituru kasvuga kaasnevad ning mis kas juba on või võivad saada tulevikus relevantseks ka Eesti kontekstis, koondanud tabelisse </w:t>
      </w:r>
      <w:r w:rsidR="04F7904B">
        <w:t>12</w:t>
      </w:r>
      <w:r>
        <w:t>. Jaotasime need kuu</w:t>
      </w:r>
      <w:r w:rsidR="2D03A0D2">
        <w:t>d</w:t>
      </w:r>
      <w:r>
        <w:t xml:space="preserve">e suuremasse valdkonda ning esitame nii kõige olulisemad mõjutatud grupid kui ka mõjude hetkeseisu Eestis, hinnatud kvalitatiivselt. Enamus valdkondades avalduvad nii positiivsed kui negatiivsed mõjud. Nt eluasemeturul halveneb eluruumide kättesaadavus, kuid paraneb alakasutatud ressursside kasutamine. Samamoodi majutusteenuste turul võib tekkida ebaaus konkurents ehk konkurentsimoonutused, samal ajal teenuste mitmekesisus suureneb. </w:t>
      </w:r>
    </w:p>
    <w:p w14:paraId="15E94215" w14:textId="2F883EEC" w:rsidR="002302EE" w:rsidRPr="003400C1" w:rsidRDefault="002302EE" w:rsidP="002302EE">
      <w:pPr>
        <w:jc w:val="both"/>
        <w:rPr>
          <w:szCs w:val="24"/>
        </w:rPr>
      </w:pPr>
      <w:r w:rsidRPr="003400C1">
        <w:rPr>
          <w:szCs w:val="24"/>
        </w:rPr>
        <w:t xml:space="preserve">Ka fiskaalne mõju avalikule sektorile ei ole ühesuunaline: varimajanduse kasv, kui eluruume </w:t>
      </w:r>
      <w:r>
        <w:t>üüritak</w:t>
      </w:r>
      <w:r w:rsidR="198FB189">
        <w:t>s</w:t>
      </w:r>
      <w:r>
        <w:t>e</w:t>
      </w:r>
      <w:r w:rsidRPr="003400C1">
        <w:rPr>
          <w:szCs w:val="24"/>
        </w:rPr>
        <w:t xml:space="preserve"> lühiajaliselt välja ilma sellelt teenitud tulusid deklareerimata, kaotab valitsussektor maksutulusid, kuid suurem turistide arv võib teisalt maksude laekumist ka parandada. Ühemõtteliselt positiivne mõju on </w:t>
      </w:r>
      <w:r>
        <w:rPr>
          <w:szCs w:val="24"/>
        </w:rPr>
        <w:t>lühiajalisel üüri turul</w:t>
      </w:r>
      <w:r w:rsidRPr="003400C1">
        <w:rPr>
          <w:szCs w:val="24"/>
        </w:rPr>
        <w:t xml:space="preserve"> </w:t>
      </w:r>
      <w:r w:rsidR="004B7746">
        <w:rPr>
          <w:szCs w:val="24"/>
        </w:rPr>
        <w:t xml:space="preserve">regionaalsele arengule </w:t>
      </w:r>
      <w:r w:rsidRPr="003400C1">
        <w:rPr>
          <w:szCs w:val="24"/>
        </w:rPr>
        <w:t>kohaliku</w:t>
      </w:r>
      <w:r w:rsidR="004B7746">
        <w:rPr>
          <w:szCs w:val="24"/>
        </w:rPr>
        <w:t xml:space="preserve"> </w:t>
      </w:r>
      <w:r w:rsidRPr="003400C1">
        <w:rPr>
          <w:szCs w:val="24"/>
        </w:rPr>
        <w:t>ettevõtluse</w:t>
      </w:r>
      <w:r w:rsidR="004B7746">
        <w:rPr>
          <w:szCs w:val="24"/>
        </w:rPr>
        <w:t xml:space="preserve"> kaudu</w:t>
      </w:r>
      <w:r w:rsidRPr="003400C1">
        <w:rPr>
          <w:szCs w:val="24"/>
        </w:rPr>
        <w:t>, kuna suurem turistide arv tähendab rohkem kliente nt jaekaubanduse, transpordi- ja toitlustussektoris, mis lihtsustab ka tööotsijate jaoks töö leidmist.</w:t>
      </w:r>
    </w:p>
    <w:p w14:paraId="74C33074" w14:textId="77777777" w:rsidR="004706CD" w:rsidRPr="004706CD" w:rsidRDefault="004706CD" w:rsidP="00B54A22"/>
    <w:p w14:paraId="45CC15FD" w14:textId="77777777" w:rsidR="002302EE" w:rsidRDefault="002302EE" w:rsidP="006D7047">
      <w:pPr>
        <w:pStyle w:val="TableTitle"/>
        <w:rPr>
          <w:szCs w:val="24"/>
        </w:rPr>
      </w:pPr>
    </w:p>
    <w:p w14:paraId="15B9625B" w14:textId="77777777" w:rsidR="006B1FE8" w:rsidRPr="007403B7" w:rsidRDefault="006B1FE8" w:rsidP="00B54A22"/>
    <w:p w14:paraId="078DDC31" w14:textId="6B8001BE" w:rsidR="00751998" w:rsidRPr="00561BBE" w:rsidRDefault="00751998" w:rsidP="006D7047">
      <w:pPr>
        <w:pStyle w:val="TableTitle"/>
        <w:rPr>
          <w:szCs w:val="24"/>
        </w:rPr>
      </w:pPr>
      <w:r w:rsidRPr="00561BBE">
        <w:rPr>
          <w:szCs w:val="24"/>
        </w:rPr>
        <w:lastRenderedPageBreak/>
        <w:t>Tabel</w:t>
      </w:r>
      <w:r>
        <w:rPr>
          <w:szCs w:val="24"/>
        </w:rPr>
        <w:t xml:space="preserve"> </w:t>
      </w:r>
      <w:r w:rsidR="006D7047">
        <w:t>12</w:t>
      </w:r>
      <w:r w:rsidRPr="00561BBE">
        <w:rPr>
          <w:szCs w:val="24"/>
        </w:rPr>
        <w:t xml:space="preserve">. </w:t>
      </w:r>
      <w:r>
        <w:rPr>
          <w:szCs w:val="24"/>
        </w:rPr>
        <w:t>Lühiajalise üürimise sotsiaal-majanduslikud mõjud</w:t>
      </w:r>
    </w:p>
    <w:tbl>
      <w:tblPr>
        <w:tblStyle w:val="ListTable3-Accent1"/>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1888"/>
        <w:gridCol w:w="1533"/>
        <w:gridCol w:w="1269"/>
        <w:gridCol w:w="6"/>
        <w:gridCol w:w="1236"/>
        <w:gridCol w:w="1297"/>
        <w:gridCol w:w="1236"/>
      </w:tblGrid>
      <w:tr w:rsidR="00167C29" w:rsidRPr="006D7047" w14:paraId="1D6314E9" w14:textId="77777777" w:rsidTr="000A2C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4" w:type="dxa"/>
            <w:vMerge w:val="restart"/>
          </w:tcPr>
          <w:p w14:paraId="6844E584" w14:textId="77777777" w:rsidR="00751998" w:rsidRPr="006D7047" w:rsidRDefault="00751998">
            <w:pPr>
              <w:jc w:val="center"/>
              <w:rPr>
                <w:sz w:val="20"/>
                <w:szCs w:val="20"/>
              </w:rPr>
            </w:pPr>
            <w:r w:rsidRPr="006D7047">
              <w:rPr>
                <w:sz w:val="20"/>
                <w:szCs w:val="20"/>
              </w:rPr>
              <w:t>MÕJU VALDKOND</w:t>
            </w:r>
          </w:p>
        </w:tc>
        <w:tc>
          <w:tcPr>
            <w:tcW w:w="1888" w:type="dxa"/>
            <w:vMerge w:val="restart"/>
          </w:tcPr>
          <w:p w14:paraId="3625EF1E" w14:textId="77777777" w:rsidR="00751998" w:rsidRPr="006D7047" w:rsidRDefault="00751998">
            <w:pPr>
              <w:jc w:val="center"/>
              <w:cnfStyle w:val="100000000000" w:firstRow="1" w:lastRow="0" w:firstColumn="0" w:lastColumn="0" w:oddVBand="0" w:evenVBand="0" w:oddHBand="0" w:evenHBand="0" w:firstRowFirstColumn="0" w:firstRowLastColumn="0" w:lastRowFirstColumn="0" w:lastRowLastColumn="0"/>
              <w:rPr>
                <w:sz w:val="20"/>
                <w:szCs w:val="20"/>
              </w:rPr>
            </w:pPr>
            <w:r w:rsidRPr="006D7047">
              <w:rPr>
                <w:sz w:val="20"/>
                <w:szCs w:val="20"/>
              </w:rPr>
              <w:t>MÕJU KATEGOORIA*</w:t>
            </w:r>
          </w:p>
        </w:tc>
        <w:tc>
          <w:tcPr>
            <w:tcW w:w="1533" w:type="dxa"/>
            <w:vMerge w:val="restart"/>
          </w:tcPr>
          <w:p w14:paraId="68531688" w14:textId="77777777" w:rsidR="00751998" w:rsidRPr="006D7047" w:rsidRDefault="00751998">
            <w:pPr>
              <w:jc w:val="center"/>
              <w:cnfStyle w:val="100000000000" w:firstRow="1" w:lastRow="0" w:firstColumn="0" w:lastColumn="0" w:oddVBand="0" w:evenVBand="0" w:oddHBand="0" w:evenHBand="0" w:firstRowFirstColumn="0" w:firstRowLastColumn="0" w:lastRowFirstColumn="0" w:lastRowLastColumn="0"/>
              <w:rPr>
                <w:sz w:val="20"/>
                <w:szCs w:val="20"/>
              </w:rPr>
            </w:pPr>
            <w:r w:rsidRPr="006D7047">
              <w:rPr>
                <w:sz w:val="20"/>
                <w:szCs w:val="20"/>
              </w:rPr>
              <w:t>MÕJUTATUD GRUPID</w:t>
            </w:r>
          </w:p>
        </w:tc>
        <w:tc>
          <w:tcPr>
            <w:tcW w:w="3808" w:type="dxa"/>
            <w:gridSpan w:val="4"/>
          </w:tcPr>
          <w:p w14:paraId="569447EE" w14:textId="77777777" w:rsidR="00751998" w:rsidRPr="006D7047" w:rsidRDefault="00751998">
            <w:pPr>
              <w:jc w:val="center"/>
              <w:cnfStyle w:val="100000000000" w:firstRow="1" w:lastRow="0" w:firstColumn="0" w:lastColumn="0" w:oddVBand="0" w:evenVBand="0" w:oddHBand="0" w:evenHBand="0" w:firstRowFirstColumn="0" w:firstRowLastColumn="0" w:lastRowFirstColumn="0" w:lastRowLastColumn="0"/>
              <w:rPr>
                <w:sz w:val="20"/>
                <w:szCs w:val="20"/>
              </w:rPr>
            </w:pPr>
            <w:r w:rsidRPr="006D7047">
              <w:rPr>
                <w:sz w:val="20"/>
                <w:szCs w:val="20"/>
              </w:rPr>
              <w:t>MÕJUDE HETKESEIS</w:t>
            </w:r>
          </w:p>
        </w:tc>
        <w:tc>
          <w:tcPr>
            <w:tcW w:w="1236" w:type="dxa"/>
          </w:tcPr>
          <w:p w14:paraId="11985E37" w14:textId="77777777" w:rsidR="00751998" w:rsidRPr="006D7047" w:rsidRDefault="00751998">
            <w:pPr>
              <w:jc w:val="center"/>
              <w:cnfStyle w:val="100000000000" w:firstRow="1" w:lastRow="0" w:firstColumn="0" w:lastColumn="0" w:oddVBand="0" w:evenVBand="0" w:oddHBand="0" w:evenHBand="0" w:firstRowFirstColumn="0" w:firstRowLastColumn="0" w:lastRowFirstColumn="0" w:lastRowLastColumn="0"/>
              <w:rPr>
                <w:sz w:val="20"/>
                <w:szCs w:val="20"/>
              </w:rPr>
            </w:pPr>
            <w:r w:rsidRPr="006D7047">
              <w:rPr>
                <w:sz w:val="20"/>
                <w:szCs w:val="20"/>
              </w:rPr>
              <w:t>Vajab sekkumist</w:t>
            </w:r>
          </w:p>
        </w:tc>
      </w:tr>
      <w:tr w:rsidR="00AF7639" w:rsidRPr="006D7047" w14:paraId="63E3FAC9" w14:textId="77777777" w:rsidTr="003908F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4" w:type="dxa"/>
            <w:vMerge/>
          </w:tcPr>
          <w:p w14:paraId="7D25F992" w14:textId="77777777" w:rsidR="00751998" w:rsidRPr="006D7047" w:rsidRDefault="00751998">
            <w:pPr>
              <w:jc w:val="center"/>
              <w:rPr>
                <w:sz w:val="20"/>
                <w:szCs w:val="20"/>
              </w:rPr>
            </w:pPr>
          </w:p>
        </w:tc>
        <w:tc>
          <w:tcPr>
            <w:tcW w:w="1888" w:type="dxa"/>
            <w:vMerge/>
          </w:tcPr>
          <w:p w14:paraId="34E44875" w14:textId="77777777" w:rsidR="00751998" w:rsidRPr="006D7047" w:rsidRDefault="00751998">
            <w:pPr>
              <w:jc w:val="center"/>
              <w:cnfStyle w:val="100000000000" w:firstRow="1" w:lastRow="0" w:firstColumn="0" w:lastColumn="0" w:oddVBand="0" w:evenVBand="0" w:oddHBand="0" w:evenHBand="0" w:firstRowFirstColumn="0" w:firstRowLastColumn="0" w:lastRowFirstColumn="0" w:lastRowLastColumn="0"/>
              <w:rPr>
                <w:sz w:val="20"/>
                <w:szCs w:val="20"/>
              </w:rPr>
            </w:pPr>
          </w:p>
        </w:tc>
        <w:tc>
          <w:tcPr>
            <w:tcW w:w="1533" w:type="dxa"/>
            <w:vMerge/>
          </w:tcPr>
          <w:p w14:paraId="34BC7211" w14:textId="77777777" w:rsidR="00751998" w:rsidRPr="006D7047" w:rsidRDefault="00751998">
            <w:pPr>
              <w:jc w:val="center"/>
              <w:cnfStyle w:val="100000000000" w:firstRow="1" w:lastRow="0" w:firstColumn="0" w:lastColumn="0" w:oddVBand="0" w:evenVBand="0" w:oddHBand="0" w:evenHBand="0" w:firstRowFirstColumn="0" w:firstRowLastColumn="0" w:lastRowFirstColumn="0" w:lastRowLastColumn="0"/>
              <w:rPr>
                <w:sz w:val="20"/>
                <w:szCs w:val="20"/>
              </w:rPr>
            </w:pPr>
          </w:p>
        </w:tc>
        <w:tc>
          <w:tcPr>
            <w:tcW w:w="1275" w:type="dxa"/>
            <w:gridSpan w:val="2"/>
            <w:shd w:val="clear" w:color="auto" w:fill="ACAEAC" w:themeFill="accent2"/>
          </w:tcPr>
          <w:p w14:paraId="3C70CD8B" w14:textId="77777777" w:rsidR="00751998" w:rsidRPr="00A34307" w:rsidRDefault="0075199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A34307">
              <w:rPr>
                <w:color w:val="auto"/>
                <w:sz w:val="20"/>
                <w:szCs w:val="20"/>
              </w:rPr>
              <w:t>Ulatus</w:t>
            </w:r>
          </w:p>
        </w:tc>
        <w:tc>
          <w:tcPr>
            <w:tcW w:w="1236" w:type="dxa"/>
            <w:shd w:val="clear" w:color="auto" w:fill="ACAEAC" w:themeFill="accent2"/>
          </w:tcPr>
          <w:p w14:paraId="4E8A1F64" w14:textId="77777777" w:rsidR="00751998" w:rsidRPr="00A34307" w:rsidRDefault="0075199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A34307">
              <w:rPr>
                <w:color w:val="auto"/>
                <w:sz w:val="20"/>
                <w:szCs w:val="20"/>
              </w:rPr>
              <w:t>Sagedus</w:t>
            </w:r>
          </w:p>
        </w:tc>
        <w:tc>
          <w:tcPr>
            <w:tcW w:w="1297" w:type="dxa"/>
            <w:shd w:val="clear" w:color="auto" w:fill="ACAEAC" w:themeFill="accent2"/>
          </w:tcPr>
          <w:p w14:paraId="23E32DA0" w14:textId="77777777" w:rsidR="00751998" w:rsidRPr="00A34307" w:rsidRDefault="0075199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A34307">
              <w:rPr>
                <w:color w:val="auto"/>
                <w:sz w:val="20"/>
                <w:szCs w:val="20"/>
              </w:rPr>
              <w:t>Tugevus</w:t>
            </w:r>
          </w:p>
        </w:tc>
        <w:tc>
          <w:tcPr>
            <w:tcW w:w="1236" w:type="dxa"/>
            <w:shd w:val="clear" w:color="auto" w:fill="ACAEAC" w:themeFill="accent2"/>
          </w:tcPr>
          <w:p w14:paraId="5D5A14FC" w14:textId="77777777" w:rsidR="00751998" w:rsidRPr="006D7047" w:rsidRDefault="00751998">
            <w:pPr>
              <w:jc w:val="center"/>
              <w:cnfStyle w:val="100000000000" w:firstRow="1" w:lastRow="0" w:firstColumn="0" w:lastColumn="0" w:oddVBand="0" w:evenVBand="0" w:oddHBand="0" w:evenHBand="0" w:firstRowFirstColumn="0" w:firstRowLastColumn="0" w:lastRowFirstColumn="0" w:lastRowLastColumn="0"/>
              <w:rPr>
                <w:sz w:val="20"/>
                <w:szCs w:val="20"/>
              </w:rPr>
            </w:pPr>
          </w:p>
        </w:tc>
      </w:tr>
      <w:tr w:rsidR="006B1E5D" w:rsidRPr="006D7047" w14:paraId="02C6EF2F" w14:textId="77777777" w:rsidTr="00390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vMerge w:val="restart"/>
          </w:tcPr>
          <w:p w14:paraId="3C18D8CC" w14:textId="77777777" w:rsidR="001C78B0" w:rsidRPr="006D7047" w:rsidRDefault="001C78B0">
            <w:pPr>
              <w:rPr>
                <w:sz w:val="20"/>
                <w:szCs w:val="20"/>
              </w:rPr>
            </w:pPr>
            <w:r w:rsidRPr="006D7047">
              <w:rPr>
                <w:sz w:val="20"/>
                <w:szCs w:val="20"/>
              </w:rPr>
              <w:t>Majutus-teenuste turg</w:t>
            </w:r>
          </w:p>
        </w:tc>
        <w:tc>
          <w:tcPr>
            <w:tcW w:w="1888" w:type="dxa"/>
          </w:tcPr>
          <w:p w14:paraId="2041D38B" w14:textId="411D9774"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Ebaaus konkurents (-)</w:t>
            </w:r>
          </w:p>
        </w:tc>
        <w:tc>
          <w:tcPr>
            <w:tcW w:w="1533" w:type="dxa"/>
            <w:vMerge w:val="restart"/>
          </w:tcPr>
          <w:p w14:paraId="185D2F46" w14:textId="77777777"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Ettevõtjad</w:t>
            </w:r>
          </w:p>
          <w:p w14:paraId="21CE7C78" w14:textId="77777777"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Turistid</w:t>
            </w:r>
          </w:p>
          <w:p w14:paraId="04D487F7" w14:textId="061EC137"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9EB579C" w14:textId="64E71E44"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5" w:type="dxa"/>
            <w:gridSpan w:val="2"/>
            <w:vMerge w:val="restart"/>
          </w:tcPr>
          <w:p w14:paraId="648CEAF0" w14:textId="77777777"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Lai</w:t>
            </w:r>
          </w:p>
        </w:tc>
        <w:tc>
          <w:tcPr>
            <w:tcW w:w="1236" w:type="dxa"/>
            <w:vMerge w:val="restart"/>
          </w:tcPr>
          <w:p w14:paraId="0D1DEF47" w14:textId="77777777"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Püsiv</w:t>
            </w:r>
          </w:p>
        </w:tc>
        <w:tc>
          <w:tcPr>
            <w:tcW w:w="1297" w:type="dxa"/>
          </w:tcPr>
          <w:p w14:paraId="50713475" w14:textId="77777777"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Mõõdukas</w:t>
            </w:r>
          </w:p>
        </w:tc>
        <w:tc>
          <w:tcPr>
            <w:tcW w:w="1236" w:type="dxa"/>
          </w:tcPr>
          <w:p w14:paraId="21F65927" w14:textId="77777777"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Jah</w:t>
            </w:r>
          </w:p>
        </w:tc>
      </w:tr>
      <w:tr w:rsidR="006B1E5D" w:rsidRPr="006D7047" w14:paraId="44E940C3" w14:textId="77777777" w:rsidTr="003908FA">
        <w:tc>
          <w:tcPr>
            <w:cnfStyle w:val="001000000000" w:firstRow="0" w:lastRow="0" w:firstColumn="1" w:lastColumn="0" w:oddVBand="0" w:evenVBand="0" w:oddHBand="0" w:evenHBand="0" w:firstRowFirstColumn="0" w:firstRowLastColumn="0" w:lastRowFirstColumn="0" w:lastRowLastColumn="0"/>
            <w:tcW w:w="1434" w:type="dxa"/>
            <w:vMerge/>
          </w:tcPr>
          <w:p w14:paraId="24D29287" w14:textId="77777777" w:rsidR="001C78B0" w:rsidRPr="006D7047" w:rsidRDefault="001C78B0">
            <w:pPr>
              <w:rPr>
                <w:sz w:val="20"/>
                <w:szCs w:val="20"/>
              </w:rPr>
            </w:pPr>
          </w:p>
        </w:tc>
        <w:tc>
          <w:tcPr>
            <w:tcW w:w="1888" w:type="dxa"/>
          </w:tcPr>
          <w:p w14:paraId="3D4BFE37" w14:textId="4795A3B9" w:rsidR="001C78B0" w:rsidRPr="006D7047" w:rsidRDefault="001C78B0">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Teenuste mitmekesistumine (+)</w:t>
            </w:r>
          </w:p>
        </w:tc>
        <w:tc>
          <w:tcPr>
            <w:tcW w:w="1533" w:type="dxa"/>
            <w:vMerge/>
          </w:tcPr>
          <w:p w14:paraId="5189C649" w14:textId="7526F9C7" w:rsidR="001C78B0" w:rsidRPr="006D7047" w:rsidRDefault="001C78B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5" w:type="dxa"/>
            <w:gridSpan w:val="2"/>
            <w:vMerge/>
          </w:tcPr>
          <w:p w14:paraId="2D88CA0B" w14:textId="77777777" w:rsidR="001C78B0" w:rsidRPr="006D7047" w:rsidRDefault="001C78B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36" w:type="dxa"/>
            <w:vMerge/>
          </w:tcPr>
          <w:p w14:paraId="73BBD492" w14:textId="77777777" w:rsidR="001C78B0" w:rsidRPr="006D7047" w:rsidRDefault="001C78B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97" w:type="dxa"/>
          </w:tcPr>
          <w:p w14:paraId="07D6D74F" w14:textId="77777777" w:rsidR="001C78B0" w:rsidRPr="006D7047" w:rsidRDefault="001C78B0">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Tugev</w:t>
            </w:r>
          </w:p>
        </w:tc>
        <w:tc>
          <w:tcPr>
            <w:tcW w:w="1236" w:type="dxa"/>
          </w:tcPr>
          <w:p w14:paraId="580EA553" w14:textId="77777777" w:rsidR="001C78B0" w:rsidRPr="006D7047" w:rsidRDefault="001C78B0">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Ei</w:t>
            </w:r>
          </w:p>
        </w:tc>
      </w:tr>
      <w:tr w:rsidR="006B1E5D" w:rsidRPr="006D7047" w14:paraId="26BE4CAD" w14:textId="77777777" w:rsidTr="00390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vMerge/>
          </w:tcPr>
          <w:p w14:paraId="436649FD" w14:textId="77777777" w:rsidR="001C78B0" w:rsidRPr="006D7047" w:rsidRDefault="001C78B0">
            <w:pPr>
              <w:rPr>
                <w:sz w:val="20"/>
                <w:szCs w:val="20"/>
              </w:rPr>
            </w:pPr>
          </w:p>
        </w:tc>
        <w:tc>
          <w:tcPr>
            <w:tcW w:w="1888" w:type="dxa"/>
          </w:tcPr>
          <w:p w14:paraId="46313DE2" w14:textId="77777777"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Konkurents (+)</w:t>
            </w:r>
          </w:p>
        </w:tc>
        <w:tc>
          <w:tcPr>
            <w:tcW w:w="1533" w:type="dxa"/>
            <w:vMerge/>
          </w:tcPr>
          <w:p w14:paraId="6A1FF22C" w14:textId="78F1B186"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5" w:type="dxa"/>
            <w:gridSpan w:val="2"/>
            <w:vMerge/>
          </w:tcPr>
          <w:p w14:paraId="669A717A" w14:textId="77777777"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36" w:type="dxa"/>
            <w:vMerge/>
          </w:tcPr>
          <w:p w14:paraId="4E0039F3" w14:textId="77777777"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97" w:type="dxa"/>
          </w:tcPr>
          <w:p w14:paraId="79BBF6F1" w14:textId="77777777"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Mõõdukas</w:t>
            </w:r>
          </w:p>
        </w:tc>
        <w:tc>
          <w:tcPr>
            <w:tcW w:w="1236" w:type="dxa"/>
          </w:tcPr>
          <w:p w14:paraId="3AFD6952" w14:textId="77777777" w:rsidR="001C78B0" w:rsidRPr="006D7047" w:rsidRDefault="001C78B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Ei</w:t>
            </w:r>
          </w:p>
        </w:tc>
      </w:tr>
      <w:tr w:rsidR="006B1E5D" w:rsidRPr="006D7047" w14:paraId="44E58DA9" w14:textId="77777777" w:rsidTr="003908FA">
        <w:tc>
          <w:tcPr>
            <w:cnfStyle w:val="001000000000" w:firstRow="0" w:lastRow="0" w:firstColumn="1" w:lastColumn="0" w:oddVBand="0" w:evenVBand="0" w:oddHBand="0" w:evenHBand="0" w:firstRowFirstColumn="0" w:firstRowLastColumn="0" w:lastRowFirstColumn="0" w:lastRowLastColumn="0"/>
            <w:tcW w:w="1434" w:type="dxa"/>
            <w:vMerge w:val="restart"/>
          </w:tcPr>
          <w:p w14:paraId="356522D5" w14:textId="77777777" w:rsidR="00751998" w:rsidRPr="006D7047" w:rsidRDefault="00751998">
            <w:pPr>
              <w:rPr>
                <w:sz w:val="20"/>
                <w:szCs w:val="20"/>
              </w:rPr>
            </w:pPr>
            <w:r w:rsidRPr="006D7047">
              <w:rPr>
                <w:sz w:val="20"/>
                <w:szCs w:val="20"/>
              </w:rPr>
              <w:t>Eluaseme-turg</w:t>
            </w:r>
          </w:p>
        </w:tc>
        <w:tc>
          <w:tcPr>
            <w:tcW w:w="1888" w:type="dxa"/>
          </w:tcPr>
          <w:p w14:paraId="03F605AC"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Kättesaadavus (-)</w:t>
            </w:r>
          </w:p>
        </w:tc>
        <w:tc>
          <w:tcPr>
            <w:tcW w:w="1533" w:type="dxa"/>
            <w:vMerge w:val="restart"/>
          </w:tcPr>
          <w:p w14:paraId="1044451E"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Elanikud</w:t>
            </w:r>
          </w:p>
          <w:p w14:paraId="261C5B21"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KOV-d</w:t>
            </w:r>
          </w:p>
          <w:p w14:paraId="28E0C28D"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Ettevõtjad</w:t>
            </w:r>
          </w:p>
        </w:tc>
        <w:tc>
          <w:tcPr>
            <w:tcW w:w="1275" w:type="dxa"/>
            <w:gridSpan w:val="2"/>
            <w:vMerge w:val="restart"/>
          </w:tcPr>
          <w:p w14:paraId="51947297"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Piiratud</w:t>
            </w:r>
          </w:p>
        </w:tc>
        <w:tc>
          <w:tcPr>
            <w:tcW w:w="1236" w:type="dxa"/>
            <w:vMerge w:val="restart"/>
          </w:tcPr>
          <w:p w14:paraId="46FCDCC1"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Püsiv</w:t>
            </w:r>
          </w:p>
        </w:tc>
        <w:tc>
          <w:tcPr>
            <w:tcW w:w="1297" w:type="dxa"/>
            <w:vMerge w:val="restart"/>
          </w:tcPr>
          <w:p w14:paraId="6DADA00B"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Nõrk</w:t>
            </w:r>
          </w:p>
        </w:tc>
        <w:tc>
          <w:tcPr>
            <w:tcW w:w="1236" w:type="dxa"/>
          </w:tcPr>
          <w:p w14:paraId="38E1AE39"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Ei</w:t>
            </w:r>
          </w:p>
        </w:tc>
      </w:tr>
      <w:tr w:rsidR="006B1E5D" w:rsidRPr="006D7047" w14:paraId="4D18B13F" w14:textId="77777777" w:rsidTr="00390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vMerge/>
          </w:tcPr>
          <w:p w14:paraId="357854C7" w14:textId="77777777" w:rsidR="00751998" w:rsidRPr="006D7047" w:rsidRDefault="00751998">
            <w:pPr>
              <w:rPr>
                <w:sz w:val="20"/>
                <w:szCs w:val="20"/>
              </w:rPr>
            </w:pPr>
          </w:p>
        </w:tc>
        <w:tc>
          <w:tcPr>
            <w:tcW w:w="1888" w:type="dxa"/>
          </w:tcPr>
          <w:p w14:paraId="64591B9A"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Hinnatase (-)</w:t>
            </w:r>
          </w:p>
        </w:tc>
        <w:tc>
          <w:tcPr>
            <w:tcW w:w="1533" w:type="dxa"/>
            <w:vMerge/>
          </w:tcPr>
          <w:p w14:paraId="4984BD75"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5" w:type="dxa"/>
            <w:gridSpan w:val="2"/>
            <w:vMerge/>
          </w:tcPr>
          <w:p w14:paraId="04651B88"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36" w:type="dxa"/>
            <w:vMerge/>
          </w:tcPr>
          <w:p w14:paraId="35DDE4B5"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97" w:type="dxa"/>
            <w:vMerge/>
          </w:tcPr>
          <w:p w14:paraId="1C9BC55A"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36" w:type="dxa"/>
          </w:tcPr>
          <w:p w14:paraId="1EEEE01E"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Ei</w:t>
            </w:r>
          </w:p>
        </w:tc>
      </w:tr>
      <w:tr w:rsidR="006B1E5D" w:rsidRPr="006D7047" w14:paraId="622DF7B5" w14:textId="77777777" w:rsidTr="003908FA">
        <w:tc>
          <w:tcPr>
            <w:cnfStyle w:val="001000000000" w:firstRow="0" w:lastRow="0" w:firstColumn="1" w:lastColumn="0" w:oddVBand="0" w:evenVBand="0" w:oddHBand="0" w:evenHBand="0" w:firstRowFirstColumn="0" w:firstRowLastColumn="0" w:lastRowFirstColumn="0" w:lastRowLastColumn="0"/>
            <w:tcW w:w="1434" w:type="dxa"/>
            <w:vMerge/>
          </w:tcPr>
          <w:p w14:paraId="47548944" w14:textId="77777777" w:rsidR="00751998" w:rsidRPr="006D7047" w:rsidRDefault="00751998">
            <w:pPr>
              <w:rPr>
                <w:sz w:val="20"/>
                <w:szCs w:val="20"/>
              </w:rPr>
            </w:pPr>
          </w:p>
        </w:tc>
        <w:tc>
          <w:tcPr>
            <w:tcW w:w="1888" w:type="dxa"/>
          </w:tcPr>
          <w:p w14:paraId="1122C535"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Eluasemete jagamine (+)</w:t>
            </w:r>
          </w:p>
        </w:tc>
        <w:tc>
          <w:tcPr>
            <w:tcW w:w="1533" w:type="dxa"/>
          </w:tcPr>
          <w:p w14:paraId="7DF42B03"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Omanikud</w:t>
            </w:r>
          </w:p>
        </w:tc>
        <w:tc>
          <w:tcPr>
            <w:tcW w:w="1275" w:type="dxa"/>
            <w:gridSpan w:val="2"/>
            <w:vMerge/>
          </w:tcPr>
          <w:p w14:paraId="1B230B1A"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36" w:type="dxa"/>
            <w:vMerge/>
          </w:tcPr>
          <w:p w14:paraId="2A6DA569"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97" w:type="dxa"/>
            <w:vMerge/>
          </w:tcPr>
          <w:p w14:paraId="4B6F7321"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36" w:type="dxa"/>
          </w:tcPr>
          <w:p w14:paraId="0DA0857E"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Ei</w:t>
            </w:r>
          </w:p>
        </w:tc>
      </w:tr>
      <w:tr w:rsidR="006B1E5D" w:rsidRPr="006D7047" w14:paraId="570ADCB2" w14:textId="77777777" w:rsidTr="00390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vMerge w:val="restart"/>
          </w:tcPr>
          <w:p w14:paraId="1884B8CB" w14:textId="77777777" w:rsidR="00751998" w:rsidRPr="006D7047" w:rsidRDefault="00751998">
            <w:pPr>
              <w:rPr>
                <w:sz w:val="20"/>
                <w:szCs w:val="20"/>
              </w:rPr>
            </w:pPr>
            <w:r w:rsidRPr="006D7047">
              <w:rPr>
                <w:sz w:val="20"/>
                <w:szCs w:val="20"/>
              </w:rPr>
              <w:t>Regionaal-ne areng</w:t>
            </w:r>
          </w:p>
        </w:tc>
        <w:tc>
          <w:tcPr>
            <w:tcW w:w="1888" w:type="dxa"/>
          </w:tcPr>
          <w:p w14:paraId="36B1F5A6"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Töötus ja hõive (+)</w:t>
            </w:r>
          </w:p>
        </w:tc>
        <w:tc>
          <w:tcPr>
            <w:tcW w:w="1533" w:type="dxa"/>
          </w:tcPr>
          <w:p w14:paraId="6429BA18"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Töövõtjad</w:t>
            </w:r>
          </w:p>
          <w:p w14:paraId="2FD50DED"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KOV-d</w:t>
            </w:r>
          </w:p>
        </w:tc>
        <w:tc>
          <w:tcPr>
            <w:tcW w:w="1275" w:type="dxa"/>
            <w:gridSpan w:val="2"/>
            <w:vMerge w:val="restart"/>
          </w:tcPr>
          <w:p w14:paraId="1B840375"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Mõõdukas</w:t>
            </w:r>
          </w:p>
        </w:tc>
        <w:tc>
          <w:tcPr>
            <w:tcW w:w="1236" w:type="dxa"/>
            <w:vMerge w:val="restart"/>
          </w:tcPr>
          <w:p w14:paraId="3285687C"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Püsiv</w:t>
            </w:r>
          </w:p>
        </w:tc>
        <w:tc>
          <w:tcPr>
            <w:tcW w:w="1297" w:type="dxa"/>
            <w:vMerge w:val="restart"/>
          </w:tcPr>
          <w:p w14:paraId="430633BD"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Nõrk</w:t>
            </w:r>
          </w:p>
        </w:tc>
        <w:tc>
          <w:tcPr>
            <w:tcW w:w="1236" w:type="dxa"/>
          </w:tcPr>
          <w:p w14:paraId="5FFBB991"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Ei</w:t>
            </w:r>
          </w:p>
        </w:tc>
      </w:tr>
      <w:tr w:rsidR="006B1E5D" w:rsidRPr="006D7047" w14:paraId="281A343E" w14:textId="77777777" w:rsidTr="003908FA">
        <w:tc>
          <w:tcPr>
            <w:cnfStyle w:val="001000000000" w:firstRow="0" w:lastRow="0" w:firstColumn="1" w:lastColumn="0" w:oddVBand="0" w:evenVBand="0" w:oddHBand="0" w:evenHBand="0" w:firstRowFirstColumn="0" w:firstRowLastColumn="0" w:lastRowFirstColumn="0" w:lastRowLastColumn="0"/>
            <w:tcW w:w="1434" w:type="dxa"/>
            <w:vMerge/>
          </w:tcPr>
          <w:p w14:paraId="56C17D84" w14:textId="77777777" w:rsidR="00751998" w:rsidRPr="006D7047" w:rsidRDefault="00751998">
            <w:pPr>
              <w:rPr>
                <w:sz w:val="20"/>
                <w:szCs w:val="20"/>
              </w:rPr>
            </w:pPr>
          </w:p>
        </w:tc>
        <w:tc>
          <w:tcPr>
            <w:tcW w:w="1888" w:type="dxa"/>
          </w:tcPr>
          <w:p w14:paraId="57F91D86"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Ettevõtlus-aktiivsus (+)</w:t>
            </w:r>
          </w:p>
        </w:tc>
        <w:tc>
          <w:tcPr>
            <w:tcW w:w="1533" w:type="dxa"/>
          </w:tcPr>
          <w:p w14:paraId="0AEE7F17"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Ettevõtjad</w:t>
            </w:r>
          </w:p>
          <w:p w14:paraId="7A8E4DEC"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KOV-d</w:t>
            </w:r>
          </w:p>
        </w:tc>
        <w:tc>
          <w:tcPr>
            <w:tcW w:w="1275" w:type="dxa"/>
            <w:gridSpan w:val="2"/>
            <w:vMerge/>
          </w:tcPr>
          <w:p w14:paraId="40505C42"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36" w:type="dxa"/>
            <w:vMerge/>
          </w:tcPr>
          <w:p w14:paraId="65F01DD3"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97" w:type="dxa"/>
            <w:vMerge/>
          </w:tcPr>
          <w:p w14:paraId="47B51D4A"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36" w:type="dxa"/>
          </w:tcPr>
          <w:p w14:paraId="0A318078"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Ei</w:t>
            </w:r>
          </w:p>
        </w:tc>
      </w:tr>
      <w:tr w:rsidR="006B1E5D" w:rsidRPr="006D7047" w14:paraId="5A857ECB" w14:textId="77777777" w:rsidTr="00390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vMerge w:val="restart"/>
          </w:tcPr>
          <w:p w14:paraId="1052EE4A" w14:textId="1180F4E4" w:rsidR="00751998" w:rsidRPr="006D7047" w:rsidRDefault="00751998">
            <w:pPr>
              <w:rPr>
                <w:sz w:val="20"/>
                <w:szCs w:val="20"/>
              </w:rPr>
            </w:pPr>
            <w:r w:rsidRPr="006D7047">
              <w:rPr>
                <w:sz w:val="20"/>
                <w:szCs w:val="20"/>
              </w:rPr>
              <w:t>Ohutus</w:t>
            </w:r>
            <w:r w:rsidR="00C375E7">
              <w:rPr>
                <w:sz w:val="20"/>
                <w:szCs w:val="20"/>
              </w:rPr>
              <w:t>,</w:t>
            </w:r>
            <w:r w:rsidRPr="006D7047">
              <w:rPr>
                <w:sz w:val="20"/>
                <w:szCs w:val="20"/>
              </w:rPr>
              <w:t xml:space="preserve"> turvalisus</w:t>
            </w:r>
            <w:r w:rsidR="00C375E7">
              <w:rPr>
                <w:sz w:val="20"/>
                <w:szCs w:val="20"/>
              </w:rPr>
              <w:t xml:space="preserve"> ja julgeolek</w:t>
            </w:r>
          </w:p>
        </w:tc>
        <w:tc>
          <w:tcPr>
            <w:tcW w:w="1888" w:type="dxa"/>
          </w:tcPr>
          <w:p w14:paraId="588C5676"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Tuleohutus (-)</w:t>
            </w:r>
          </w:p>
        </w:tc>
        <w:tc>
          <w:tcPr>
            <w:tcW w:w="1533" w:type="dxa"/>
          </w:tcPr>
          <w:p w14:paraId="000B2D3C" w14:textId="77777777" w:rsidR="00751998"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Turistid</w:t>
            </w:r>
          </w:p>
          <w:p w14:paraId="1ADDD4F2" w14:textId="128491F6" w:rsidR="00751998" w:rsidRPr="006D7047" w:rsidRDefault="0069563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Elanikud</w:t>
            </w:r>
          </w:p>
        </w:tc>
        <w:tc>
          <w:tcPr>
            <w:tcW w:w="1275" w:type="dxa"/>
            <w:gridSpan w:val="2"/>
          </w:tcPr>
          <w:p w14:paraId="4B3F06DA"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Lai</w:t>
            </w:r>
          </w:p>
        </w:tc>
        <w:tc>
          <w:tcPr>
            <w:tcW w:w="1236" w:type="dxa"/>
          </w:tcPr>
          <w:p w14:paraId="4BF6C936"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Püsiv</w:t>
            </w:r>
          </w:p>
        </w:tc>
        <w:tc>
          <w:tcPr>
            <w:tcW w:w="1297" w:type="dxa"/>
          </w:tcPr>
          <w:p w14:paraId="55920BA9"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Mõõdukas</w:t>
            </w:r>
          </w:p>
        </w:tc>
        <w:tc>
          <w:tcPr>
            <w:tcW w:w="1236" w:type="dxa"/>
          </w:tcPr>
          <w:p w14:paraId="5ED63393"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Jah</w:t>
            </w:r>
          </w:p>
        </w:tc>
      </w:tr>
      <w:tr w:rsidR="006B1E5D" w:rsidRPr="006D7047" w14:paraId="3EF43E74" w14:textId="77777777" w:rsidTr="003908FA">
        <w:tc>
          <w:tcPr>
            <w:cnfStyle w:val="001000000000" w:firstRow="0" w:lastRow="0" w:firstColumn="1" w:lastColumn="0" w:oddVBand="0" w:evenVBand="0" w:oddHBand="0" w:evenHBand="0" w:firstRowFirstColumn="0" w:firstRowLastColumn="0" w:lastRowFirstColumn="0" w:lastRowLastColumn="0"/>
            <w:tcW w:w="1434" w:type="dxa"/>
            <w:vMerge/>
          </w:tcPr>
          <w:p w14:paraId="4E5E1D45" w14:textId="77777777" w:rsidR="00751998" w:rsidRPr="006D7047" w:rsidRDefault="00751998">
            <w:pPr>
              <w:rPr>
                <w:sz w:val="20"/>
                <w:szCs w:val="20"/>
              </w:rPr>
            </w:pPr>
          </w:p>
        </w:tc>
        <w:tc>
          <w:tcPr>
            <w:tcW w:w="1888" w:type="dxa"/>
          </w:tcPr>
          <w:p w14:paraId="0B95ACA6"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Õiguskord (-)</w:t>
            </w:r>
          </w:p>
        </w:tc>
        <w:tc>
          <w:tcPr>
            <w:tcW w:w="1533" w:type="dxa"/>
            <w:vMerge w:val="restart"/>
          </w:tcPr>
          <w:p w14:paraId="080D01D9"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Elanikud</w:t>
            </w:r>
          </w:p>
        </w:tc>
        <w:tc>
          <w:tcPr>
            <w:tcW w:w="1275" w:type="dxa"/>
            <w:gridSpan w:val="2"/>
          </w:tcPr>
          <w:p w14:paraId="760C9561"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Lai</w:t>
            </w:r>
          </w:p>
        </w:tc>
        <w:tc>
          <w:tcPr>
            <w:tcW w:w="1236" w:type="dxa"/>
          </w:tcPr>
          <w:p w14:paraId="5BCBA93E"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Püsiv</w:t>
            </w:r>
          </w:p>
        </w:tc>
        <w:tc>
          <w:tcPr>
            <w:tcW w:w="1297" w:type="dxa"/>
          </w:tcPr>
          <w:p w14:paraId="2F2884DE"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Väga nõrk</w:t>
            </w:r>
          </w:p>
        </w:tc>
        <w:tc>
          <w:tcPr>
            <w:tcW w:w="1236" w:type="dxa"/>
          </w:tcPr>
          <w:p w14:paraId="407E0E38"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Ei</w:t>
            </w:r>
          </w:p>
        </w:tc>
      </w:tr>
      <w:tr w:rsidR="006B1E5D" w:rsidRPr="006D7047" w14:paraId="1617BB5A" w14:textId="77777777" w:rsidTr="00390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vMerge/>
          </w:tcPr>
          <w:p w14:paraId="3B0CC640" w14:textId="77777777" w:rsidR="00751998" w:rsidRPr="006D7047" w:rsidRDefault="00751998">
            <w:pPr>
              <w:rPr>
                <w:sz w:val="20"/>
                <w:szCs w:val="20"/>
              </w:rPr>
            </w:pPr>
          </w:p>
        </w:tc>
        <w:tc>
          <w:tcPr>
            <w:tcW w:w="1888" w:type="dxa"/>
          </w:tcPr>
          <w:p w14:paraId="741E647B"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Turvatunne (-)</w:t>
            </w:r>
          </w:p>
        </w:tc>
        <w:tc>
          <w:tcPr>
            <w:tcW w:w="1533" w:type="dxa"/>
            <w:vMerge/>
          </w:tcPr>
          <w:p w14:paraId="4D01BDB7"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5" w:type="dxa"/>
            <w:gridSpan w:val="2"/>
          </w:tcPr>
          <w:p w14:paraId="56D7F935"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Piiratud</w:t>
            </w:r>
          </w:p>
        </w:tc>
        <w:tc>
          <w:tcPr>
            <w:tcW w:w="1236" w:type="dxa"/>
          </w:tcPr>
          <w:p w14:paraId="36805D64"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Püsiv</w:t>
            </w:r>
          </w:p>
        </w:tc>
        <w:tc>
          <w:tcPr>
            <w:tcW w:w="1297" w:type="dxa"/>
          </w:tcPr>
          <w:p w14:paraId="758B97D2"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Väga nõrk</w:t>
            </w:r>
          </w:p>
        </w:tc>
        <w:tc>
          <w:tcPr>
            <w:tcW w:w="1236" w:type="dxa"/>
          </w:tcPr>
          <w:p w14:paraId="074C52F8"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Ei</w:t>
            </w:r>
          </w:p>
        </w:tc>
      </w:tr>
      <w:tr w:rsidR="006B1E5D" w:rsidRPr="006D7047" w14:paraId="346A25A7" w14:textId="77777777" w:rsidTr="003908FA">
        <w:tc>
          <w:tcPr>
            <w:cnfStyle w:val="001000000000" w:firstRow="0" w:lastRow="0" w:firstColumn="1" w:lastColumn="0" w:oddVBand="0" w:evenVBand="0" w:oddHBand="0" w:evenHBand="0" w:firstRowFirstColumn="0" w:firstRowLastColumn="0" w:lastRowFirstColumn="0" w:lastRowLastColumn="0"/>
            <w:tcW w:w="1434" w:type="dxa"/>
            <w:vMerge/>
          </w:tcPr>
          <w:p w14:paraId="277B3B92" w14:textId="77777777" w:rsidR="00751998" w:rsidRPr="006D7047" w:rsidRDefault="00751998">
            <w:pPr>
              <w:rPr>
                <w:sz w:val="20"/>
                <w:szCs w:val="20"/>
              </w:rPr>
            </w:pPr>
          </w:p>
        </w:tc>
        <w:tc>
          <w:tcPr>
            <w:tcW w:w="1888" w:type="dxa"/>
          </w:tcPr>
          <w:p w14:paraId="3DA91BA4" w14:textId="1B3F8EAB" w:rsidR="00751998" w:rsidRPr="006D7047" w:rsidRDefault="00FC3FB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Julgeolek</w:t>
            </w:r>
            <w:r w:rsidR="00B47969">
              <w:rPr>
                <w:sz w:val="20"/>
                <w:szCs w:val="20"/>
              </w:rPr>
              <w:t>u tagamine</w:t>
            </w:r>
            <w:r w:rsidR="00751998" w:rsidRPr="006D7047">
              <w:rPr>
                <w:sz w:val="20"/>
                <w:szCs w:val="20"/>
              </w:rPr>
              <w:t xml:space="preserve"> (-)</w:t>
            </w:r>
          </w:p>
        </w:tc>
        <w:tc>
          <w:tcPr>
            <w:tcW w:w="1533" w:type="dxa"/>
          </w:tcPr>
          <w:p w14:paraId="1B9646FC"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Korrakaitse-asutused</w:t>
            </w:r>
          </w:p>
        </w:tc>
        <w:tc>
          <w:tcPr>
            <w:tcW w:w="1275" w:type="dxa"/>
            <w:gridSpan w:val="2"/>
          </w:tcPr>
          <w:p w14:paraId="6F2DF44E"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Lai</w:t>
            </w:r>
          </w:p>
        </w:tc>
        <w:tc>
          <w:tcPr>
            <w:tcW w:w="1236" w:type="dxa"/>
          </w:tcPr>
          <w:p w14:paraId="51024E78" w14:textId="75C28CEC"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P</w:t>
            </w:r>
            <w:r w:rsidR="001F784F">
              <w:rPr>
                <w:sz w:val="20"/>
                <w:szCs w:val="20"/>
              </w:rPr>
              <w:t>erioo</w:t>
            </w:r>
            <w:r w:rsidR="00FA23DE">
              <w:rPr>
                <w:sz w:val="20"/>
                <w:szCs w:val="20"/>
              </w:rPr>
              <w:t>-</w:t>
            </w:r>
            <w:r w:rsidR="001F784F">
              <w:rPr>
                <w:sz w:val="20"/>
                <w:szCs w:val="20"/>
              </w:rPr>
              <w:t>diline</w:t>
            </w:r>
          </w:p>
        </w:tc>
        <w:tc>
          <w:tcPr>
            <w:tcW w:w="1297" w:type="dxa"/>
          </w:tcPr>
          <w:p w14:paraId="60892E6E" w14:textId="4A5AD58E" w:rsidR="00751998" w:rsidRPr="006D7047" w:rsidRDefault="00C43BCC">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Mõõdukas</w:t>
            </w:r>
          </w:p>
        </w:tc>
        <w:tc>
          <w:tcPr>
            <w:tcW w:w="1236" w:type="dxa"/>
          </w:tcPr>
          <w:p w14:paraId="09C70DD4"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Jah</w:t>
            </w:r>
          </w:p>
        </w:tc>
      </w:tr>
      <w:tr w:rsidR="006B1E5D" w:rsidRPr="006D7047" w14:paraId="0E28F210" w14:textId="77777777" w:rsidTr="00390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vMerge w:val="restart"/>
          </w:tcPr>
          <w:p w14:paraId="053DF39B" w14:textId="4B34E11F" w:rsidR="00751998" w:rsidRPr="006D7047" w:rsidRDefault="0027223A">
            <w:pPr>
              <w:rPr>
                <w:sz w:val="20"/>
                <w:szCs w:val="20"/>
              </w:rPr>
            </w:pPr>
            <w:r>
              <w:rPr>
                <w:sz w:val="20"/>
                <w:szCs w:val="20"/>
              </w:rPr>
              <w:t>Elu-keskkond</w:t>
            </w:r>
          </w:p>
        </w:tc>
        <w:tc>
          <w:tcPr>
            <w:tcW w:w="1888" w:type="dxa"/>
          </w:tcPr>
          <w:p w14:paraId="34B74545"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Tühjad korterid talvel (-)</w:t>
            </w:r>
          </w:p>
        </w:tc>
        <w:tc>
          <w:tcPr>
            <w:tcW w:w="1533" w:type="dxa"/>
            <w:vMerge w:val="restart"/>
          </w:tcPr>
          <w:p w14:paraId="016C5950" w14:textId="77777777" w:rsidR="002D0D00" w:rsidRPr="006D7047" w:rsidRDefault="002D0D00" w:rsidP="002D0D0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Elanikud</w:t>
            </w:r>
          </w:p>
          <w:p w14:paraId="34AB101B" w14:textId="77777777" w:rsidR="002D0D00" w:rsidRPr="006D7047" w:rsidRDefault="002D0D00" w:rsidP="002D0D0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KOV-d</w:t>
            </w:r>
          </w:p>
          <w:p w14:paraId="2E1CCE32" w14:textId="77777777" w:rsidR="002D0D00" w:rsidRPr="006D7047" w:rsidRDefault="002D0D00" w:rsidP="002D0D0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Ettevõtjad</w:t>
            </w:r>
          </w:p>
          <w:p w14:paraId="75E9383D" w14:textId="221F1833" w:rsidR="00751998" w:rsidRPr="006D7047" w:rsidRDefault="002D0D00">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Elanikud</w:t>
            </w:r>
          </w:p>
        </w:tc>
        <w:tc>
          <w:tcPr>
            <w:tcW w:w="1275" w:type="dxa"/>
            <w:gridSpan w:val="2"/>
          </w:tcPr>
          <w:p w14:paraId="0F1F63A4"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Piiratud</w:t>
            </w:r>
          </w:p>
        </w:tc>
        <w:tc>
          <w:tcPr>
            <w:tcW w:w="1236" w:type="dxa"/>
          </w:tcPr>
          <w:p w14:paraId="423E3836"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Püsiv</w:t>
            </w:r>
          </w:p>
        </w:tc>
        <w:tc>
          <w:tcPr>
            <w:tcW w:w="1297" w:type="dxa"/>
          </w:tcPr>
          <w:p w14:paraId="67FF3AD8"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Mõõdukas</w:t>
            </w:r>
          </w:p>
        </w:tc>
        <w:tc>
          <w:tcPr>
            <w:tcW w:w="1236" w:type="dxa"/>
          </w:tcPr>
          <w:p w14:paraId="45815865"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Jah</w:t>
            </w:r>
          </w:p>
        </w:tc>
      </w:tr>
      <w:tr w:rsidR="006B1E5D" w:rsidRPr="006D7047" w14:paraId="41E713C2" w14:textId="77777777" w:rsidTr="003908FA">
        <w:tc>
          <w:tcPr>
            <w:cnfStyle w:val="001000000000" w:firstRow="0" w:lastRow="0" w:firstColumn="1" w:lastColumn="0" w:oddVBand="0" w:evenVBand="0" w:oddHBand="0" w:evenHBand="0" w:firstRowFirstColumn="0" w:firstRowLastColumn="0" w:lastRowFirstColumn="0" w:lastRowLastColumn="0"/>
            <w:tcW w:w="1434" w:type="dxa"/>
            <w:vMerge/>
          </w:tcPr>
          <w:p w14:paraId="79D11F64" w14:textId="77777777" w:rsidR="00751998" w:rsidRPr="006D7047" w:rsidRDefault="00751998">
            <w:pPr>
              <w:rPr>
                <w:sz w:val="20"/>
                <w:szCs w:val="20"/>
              </w:rPr>
            </w:pPr>
          </w:p>
        </w:tc>
        <w:tc>
          <w:tcPr>
            <w:tcW w:w="1888" w:type="dxa"/>
          </w:tcPr>
          <w:p w14:paraId="66AE356A"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Müra (-)</w:t>
            </w:r>
          </w:p>
        </w:tc>
        <w:tc>
          <w:tcPr>
            <w:tcW w:w="1533" w:type="dxa"/>
            <w:vMerge/>
          </w:tcPr>
          <w:p w14:paraId="4444078A" w14:textId="04DD88A2"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5" w:type="dxa"/>
            <w:gridSpan w:val="2"/>
          </w:tcPr>
          <w:p w14:paraId="00E1FF6B"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Piiratud</w:t>
            </w:r>
          </w:p>
        </w:tc>
        <w:tc>
          <w:tcPr>
            <w:tcW w:w="1236" w:type="dxa"/>
          </w:tcPr>
          <w:p w14:paraId="79106DE1"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Perioo-diline</w:t>
            </w:r>
          </w:p>
        </w:tc>
        <w:tc>
          <w:tcPr>
            <w:tcW w:w="1297" w:type="dxa"/>
          </w:tcPr>
          <w:p w14:paraId="065451EB"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Mõõdukas</w:t>
            </w:r>
          </w:p>
        </w:tc>
        <w:tc>
          <w:tcPr>
            <w:tcW w:w="1236" w:type="dxa"/>
          </w:tcPr>
          <w:p w14:paraId="6BD76914"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Jah</w:t>
            </w:r>
          </w:p>
        </w:tc>
      </w:tr>
      <w:tr w:rsidR="006B1E5D" w:rsidRPr="006D7047" w14:paraId="63F9C6FA" w14:textId="77777777" w:rsidTr="00390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vMerge/>
          </w:tcPr>
          <w:p w14:paraId="58EDDE1B" w14:textId="77777777" w:rsidR="00751998" w:rsidRPr="006D7047" w:rsidRDefault="00751998">
            <w:pPr>
              <w:rPr>
                <w:sz w:val="20"/>
                <w:szCs w:val="20"/>
              </w:rPr>
            </w:pPr>
          </w:p>
        </w:tc>
        <w:tc>
          <w:tcPr>
            <w:tcW w:w="1888" w:type="dxa"/>
          </w:tcPr>
          <w:p w14:paraId="386E897A" w14:textId="432B59CD"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 xml:space="preserve">Liiklussurve </w:t>
            </w:r>
            <w:r w:rsidR="009F0B16">
              <w:rPr>
                <w:sz w:val="20"/>
                <w:szCs w:val="20"/>
              </w:rPr>
              <w:t>(sh parkimine)</w:t>
            </w:r>
            <w:r w:rsidRPr="006D7047">
              <w:rPr>
                <w:sz w:val="20"/>
                <w:szCs w:val="20"/>
              </w:rPr>
              <w:t xml:space="preserve"> (-)</w:t>
            </w:r>
          </w:p>
        </w:tc>
        <w:tc>
          <w:tcPr>
            <w:tcW w:w="1533" w:type="dxa"/>
            <w:vMerge/>
          </w:tcPr>
          <w:p w14:paraId="039CD4BB" w14:textId="77438C61"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5" w:type="dxa"/>
            <w:gridSpan w:val="2"/>
          </w:tcPr>
          <w:p w14:paraId="3299C162"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Piiratud</w:t>
            </w:r>
          </w:p>
        </w:tc>
        <w:tc>
          <w:tcPr>
            <w:tcW w:w="1236" w:type="dxa"/>
          </w:tcPr>
          <w:p w14:paraId="4F9C8FF6" w14:textId="61572A2E" w:rsidR="00751998" w:rsidRPr="006D7047" w:rsidRDefault="0023771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Ajutine</w:t>
            </w:r>
          </w:p>
        </w:tc>
        <w:tc>
          <w:tcPr>
            <w:tcW w:w="1297" w:type="dxa"/>
          </w:tcPr>
          <w:p w14:paraId="444BB585" w14:textId="2BD4D0DB" w:rsidR="00751998" w:rsidRPr="006D7047" w:rsidRDefault="009F0B1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w:t>
            </w:r>
            <w:r w:rsidR="00751998" w:rsidRPr="006D7047">
              <w:rPr>
                <w:sz w:val="20"/>
                <w:szCs w:val="20"/>
              </w:rPr>
              <w:t>õrk</w:t>
            </w:r>
          </w:p>
        </w:tc>
        <w:tc>
          <w:tcPr>
            <w:tcW w:w="1236" w:type="dxa"/>
          </w:tcPr>
          <w:p w14:paraId="277F9166"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Ei</w:t>
            </w:r>
          </w:p>
        </w:tc>
      </w:tr>
      <w:tr w:rsidR="006B1E5D" w:rsidRPr="006D7047" w14:paraId="3968EEE9" w14:textId="77777777" w:rsidTr="003908FA">
        <w:tc>
          <w:tcPr>
            <w:cnfStyle w:val="001000000000" w:firstRow="0" w:lastRow="0" w:firstColumn="1" w:lastColumn="0" w:oddVBand="0" w:evenVBand="0" w:oddHBand="0" w:evenHBand="0" w:firstRowFirstColumn="0" w:firstRowLastColumn="0" w:lastRowFirstColumn="0" w:lastRowLastColumn="0"/>
            <w:tcW w:w="1434" w:type="dxa"/>
            <w:vMerge/>
          </w:tcPr>
          <w:p w14:paraId="00534542" w14:textId="77777777" w:rsidR="00751998" w:rsidRPr="006D7047" w:rsidRDefault="00751998">
            <w:pPr>
              <w:rPr>
                <w:sz w:val="20"/>
                <w:szCs w:val="20"/>
              </w:rPr>
            </w:pPr>
          </w:p>
        </w:tc>
        <w:tc>
          <w:tcPr>
            <w:tcW w:w="1888" w:type="dxa"/>
          </w:tcPr>
          <w:p w14:paraId="15949FB0"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Prügi (-)</w:t>
            </w:r>
          </w:p>
        </w:tc>
        <w:tc>
          <w:tcPr>
            <w:tcW w:w="1533" w:type="dxa"/>
            <w:vMerge/>
          </w:tcPr>
          <w:p w14:paraId="01BEEAF3" w14:textId="6A6F454D"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5" w:type="dxa"/>
            <w:gridSpan w:val="2"/>
          </w:tcPr>
          <w:p w14:paraId="14481D1D"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Piiratud</w:t>
            </w:r>
          </w:p>
        </w:tc>
        <w:tc>
          <w:tcPr>
            <w:tcW w:w="1236" w:type="dxa"/>
          </w:tcPr>
          <w:p w14:paraId="2D91AD59"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Perioo-diline</w:t>
            </w:r>
          </w:p>
        </w:tc>
        <w:tc>
          <w:tcPr>
            <w:tcW w:w="1297" w:type="dxa"/>
          </w:tcPr>
          <w:p w14:paraId="48B3FAC4"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Mõõdukas</w:t>
            </w:r>
          </w:p>
        </w:tc>
        <w:tc>
          <w:tcPr>
            <w:tcW w:w="1236" w:type="dxa"/>
          </w:tcPr>
          <w:p w14:paraId="3BA80F8A"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Jah</w:t>
            </w:r>
          </w:p>
        </w:tc>
      </w:tr>
      <w:tr w:rsidR="006B1E5D" w:rsidRPr="006D7047" w14:paraId="388FCE0E" w14:textId="77777777" w:rsidTr="00390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vMerge/>
          </w:tcPr>
          <w:p w14:paraId="09A228F4" w14:textId="77777777" w:rsidR="00751998" w:rsidRPr="006D7047" w:rsidRDefault="00751998">
            <w:pPr>
              <w:rPr>
                <w:sz w:val="20"/>
                <w:szCs w:val="20"/>
              </w:rPr>
            </w:pPr>
          </w:p>
        </w:tc>
        <w:tc>
          <w:tcPr>
            <w:tcW w:w="1888" w:type="dxa"/>
          </w:tcPr>
          <w:p w14:paraId="2D09D6FC"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Turismisurve (-)</w:t>
            </w:r>
          </w:p>
        </w:tc>
        <w:tc>
          <w:tcPr>
            <w:tcW w:w="1533" w:type="dxa"/>
            <w:vMerge/>
          </w:tcPr>
          <w:p w14:paraId="6D8939D1" w14:textId="79497122"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5" w:type="dxa"/>
            <w:gridSpan w:val="2"/>
          </w:tcPr>
          <w:p w14:paraId="447BF093"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Väga piiratud</w:t>
            </w:r>
          </w:p>
        </w:tc>
        <w:tc>
          <w:tcPr>
            <w:tcW w:w="1236" w:type="dxa"/>
          </w:tcPr>
          <w:p w14:paraId="61C915BC"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Perioo-diline</w:t>
            </w:r>
          </w:p>
        </w:tc>
        <w:tc>
          <w:tcPr>
            <w:tcW w:w="1297" w:type="dxa"/>
          </w:tcPr>
          <w:p w14:paraId="7A53C16F"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Väga nõrk</w:t>
            </w:r>
          </w:p>
        </w:tc>
        <w:tc>
          <w:tcPr>
            <w:tcW w:w="1236" w:type="dxa"/>
          </w:tcPr>
          <w:p w14:paraId="7A30ADFD"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Ei</w:t>
            </w:r>
          </w:p>
        </w:tc>
      </w:tr>
      <w:tr w:rsidR="006B1E5D" w:rsidRPr="006D7047" w14:paraId="5534AD25" w14:textId="77777777" w:rsidTr="003908FA">
        <w:tc>
          <w:tcPr>
            <w:cnfStyle w:val="001000000000" w:firstRow="0" w:lastRow="0" w:firstColumn="1" w:lastColumn="0" w:oddVBand="0" w:evenVBand="0" w:oddHBand="0" w:evenHBand="0" w:firstRowFirstColumn="0" w:firstRowLastColumn="0" w:lastRowFirstColumn="0" w:lastRowLastColumn="0"/>
            <w:tcW w:w="1434" w:type="dxa"/>
            <w:vMerge/>
          </w:tcPr>
          <w:p w14:paraId="7FE0AE66" w14:textId="77777777" w:rsidR="00751998" w:rsidRPr="006D7047" w:rsidRDefault="00751998">
            <w:pPr>
              <w:rPr>
                <w:sz w:val="20"/>
                <w:szCs w:val="20"/>
              </w:rPr>
            </w:pPr>
          </w:p>
        </w:tc>
        <w:tc>
          <w:tcPr>
            <w:tcW w:w="1888" w:type="dxa"/>
          </w:tcPr>
          <w:p w14:paraId="698F6B8C" w14:textId="7D5965B1" w:rsidR="00751998" w:rsidRPr="006D7047" w:rsidRDefault="10C59CDB">
            <w:pPr>
              <w:jc w:val="center"/>
              <w:cnfStyle w:val="000000000000" w:firstRow="0" w:lastRow="0" w:firstColumn="0" w:lastColumn="0" w:oddVBand="0" w:evenVBand="0" w:oddHBand="0" w:evenHBand="0" w:firstRowFirstColumn="0" w:firstRowLastColumn="0" w:lastRowFirstColumn="0" w:lastRowLastColumn="0"/>
              <w:rPr>
                <w:sz w:val="20"/>
                <w:szCs w:val="20"/>
              </w:rPr>
            </w:pPr>
            <w:r w:rsidRPr="288A3578">
              <w:rPr>
                <w:sz w:val="20"/>
                <w:szCs w:val="20"/>
              </w:rPr>
              <w:t>Kogukonnatunne</w:t>
            </w:r>
            <w:r w:rsidR="00724C4E">
              <w:rPr>
                <w:sz w:val="20"/>
                <w:szCs w:val="20"/>
              </w:rPr>
              <w:t xml:space="preserve"> (-)</w:t>
            </w:r>
          </w:p>
        </w:tc>
        <w:tc>
          <w:tcPr>
            <w:tcW w:w="1533" w:type="dxa"/>
            <w:vMerge/>
          </w:tcPr>
          <w:p w14:paraId="3E1DDAA9" w14:textId="20387FDE"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5" w:type="dxa"/>
            <w:gridSpan w:val="2"/>
          </w:tcPr>
          <w:p w14:paraId="1A5A6874"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Piiratud</w:t>
            </w:r>
          </w:p>
        </w:tc>
        <w:tc>
          <w:tcPr>
            <w:tcW w:w="1236" w:type="dxa"/>
          </w:tcPr>
          <w:p w14:paraId="1965E290"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Püsiv</w:t>
            </w:r>
          </w:p>
        </w:tc>
        <w:tc>
          <w:tcPr>
            <w:tcW w:w="1297" w:type="dxa"/>
          </w:tcPr>
          <w:p w14:paraId="74B17F88" w14:textId="19BF8D71" w:rsidR="00751998" w:rsidRPr="006D7047" w:rsidRDefault="005E631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Mõõdukas</w:t>
            </w:r>
          </w:p>
        </w:tc>
        <w:tc>
          <w:tcPr>
            <w:tcW w:w="1236" w:type="dxa"/>
          </w:tcPr>
          <w:p w14:paraId="587680B6"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Jah</w:t>
            </w:r>
          </w:p>
        </w:tc>
      </w:tr>
      <w:tr w:rsidR="006B1E5D" w:rsidRPr="006D7047" w14:paraId="64AE22A6" w14:textId="77777777" w:rsidTr="00390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vMerge w:val="restart"/>
          </w:tcPr>
          <w:p w14:paraId="132D7AFB" w14:textId="77777777" w:rsidR="00D14AD2" w:rsidRPr="006D7047" w:rsidRDefault="00D14AD2">
            <w:pPr>
              <w:rPr>
                <w:sz w:val="20"/>
                <w:szCs w:val="20"/>
              </w:rPr>
            </w:pPr>
            <w:r w:rsidRPr="006D7047">
              <w:rPr>
                <w:sz w:val="20"/>
                <w:szCs w:val="20"/>
              </w:rPr>
              <w:t>Avalik sektor</w:t>
            </w:r>
          </w:p>
        </w:tc>
        <w:tc>
          <w:tcPr>
            <w:tcW w:w="1888" w:type="dxa"/>
          </w:tcPr>
          <w:p w14:paraId="52D3A68E" w14:textId="19727DD1" w:rsidR="00D14AD2" w:rsidRPr="006D7047" w:rsidRDefault="00D14AD2">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Fiskaalsed kulud</w:t>
            </w:r>
            <w:r>
              <w:rPr>
                <w:sz w:val="20"/>
                <w:szCs w:val="20"/>
              </w:rPr>
              <w:t xml:space="preserve"> (-)</w:t>
            </w:r>
          </w:p>
        </w:tc>
        <w:tc>
          <w:tcPr>
            <w:tcW w:w="1533" w:type="dxa"/>
            <w:vMerge w:val="restart"/>
          </w:tcPr>
          <w:p w14:paraId="1CA97858" w14:textId="77777777" w:rsidR="00D14AD2" w:rsidRPr="006D7047" w:rsidRDefault="00D14AD2">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Elanikud</w:t>
            </w:r>
          </w:p>
          <w:p w14:paraId="2C7A8AE2" w14:textId="77777777" w:rsidR="00D14AD2" w:rsidRPr="006D7047" w:rsidRDefault="00D14AD2">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KOV-d</w:t>
            </w:r>
          </w:p>
          <w:p w14:paraId="742EBB71" w14:textId="77777777" w:rsidR="00D14AD2" w:rsidRPr="006D7047" w:rsidRDefault="00D14AD2">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Keskvalitsus</w:t>
            </w:r>
          </w:p>
        </w:tc>
        <w:tc>
          <w:tcPr>
            <w:tcW w:w="1269" w:type="dxa"/>
          </w:tcPr>
          <w:p w14:paraId="2AE026D5" w14:textId="705106AB" w:rsidR="00D14AD2" w:rsidRPr="006D7047" w:rsidRDefault="003908FA">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Väga piiratud</w:t>
            </w:r>
          </w:p>
        </w:tc>
        <w:tc>
          <w:tcPr>
            <w:tcW w:w="1242" w:type="dxa"/>
            <w:gridSpan w:val="2"/>
          </w:tcPr>
          <w:p w14:paraId="743E844E" w14:textId="34A17FE1" w:rsidR="00D14AD2" w:rsidRPr="006D7047" w:rsidRDefault="004D506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Perioo</w:t>
            </w:r>
            <w:r w:rsidR="007873DB">
              <w:rPr>
                <w:sz w:val="20"/>
                <w:szCs w:val="20"/>
              </w:rPr>
              <w:t>-</w:t>
            </w:r>
            <w:r>
              <w:rPr>
                <w:sz w:val="20"/>
                <w:szCs w:val="20"/>
              </w:rPr>
              <w:t>diline</w:t>
            </w:r>
          </w:p>
        </w:tc>
        <w:tc>
          <w:tcPr>
            <w:tcW w:w="1297" w:type="dxa"/>
          </w:tcPr>
          <w:p w14:paraId="3FD9D8DC" w14:textId="6856B862" w:rsidR="00D14AD2" w:rsidRPr="006D7047" w:rsidRDefault="005C5CCA">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Nõrk</w:t>
            </w:r>
          </w:p>
        </w:tc>
        <w:tc>
          <w:tcPr>
            <w:tcW w:w="1236" w:type="dxa"/>
          </w:tcPr>
          <w:p w14:paraId="23613EAC" w14:textId="77777777" w:rsidR="00D14AD2" w:rsidRPr="006D7047" w:rsidRDefault="00D14AD2">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Ei</w:t>
            </w:r>
          </w:p>
        </w:tc>
      </w:tr>
      <w:tr w:rsidR="006B1E5D" w:rsidRPr="006D7047" w14:paraId="65F9EA9A" w14:textId="77777777" w:rsidTr="003908FA">
        <w:tc>
          <w:tcPr>
            <w:cnfStyle w:val="001000000000" w:firstRow="0" w:lastRow="0" w:firstColumn="1" w:lastColumn="0" w:oddVBand="0" w:evenVBand="0" w:oddHBand="0" w:evenHBand="0" w:firstRowFirstColumn="0" w:firstRowLastColumn="0" w:lastRowFirstColumn="0" w:lastRowLastColumn="0"/>
            <w:tcW w:w="1434" w:type="dxa"/>
            <w:vMerge/>
          </w:tcPr>
          <w:p w14:paraId="0774362A" w14:textId="77777777" w:rsidR="00751998" w:rsidRPr="006D7047" w:rsidRDefault="00751998">
            <w:pPr>
              <w:jc w:val="both"/>
              <w:rPr>
                <w:sz w:val="20"/>
                <w:szCs w:val="20"/>
              </w:rPr>
            </w:pPr>
          </w:p>
        </w:tc>
        <w:tc>
          <w:tcPr>
            <w:tcW w:w="1888" w:type="dxa"/>
          </w:tcPr>
          <w:p w14:paraId="104EA667"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Maksutulud (+)</w:t>
            </w:r>
          </w:p>
        </w:tc>
        <w:tc>
          <w:tcPr>
            <w:tcW w:w="1533" w:type="dxa"/>
            <w:vMerge/>
          </w:tcPr>
          <w:p w14:paraId="34527949"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5" w:type="dxa"/>
            <w:gridSpan w:val="2"/>
            <w:vMerge w:val="restart"/>
          </w:tcPr>
          <w:p w14:paraId="5B03C461"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Väga lai</w:t>
            </w:r>
          </w:p>
        </w:tc>
        <w:tc>
          <w:tcPr>
            <w:tcW w:w="1236" w:type="dxa"/>
            <w:vMerge w:val="restart"/>
          </w:tcPr>
          <w:p w14:paraId="3A91956E"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Püsiv</w:t>
            </w:r>
          </w:p>
        </w:tc>
        <w:tc>
          <w:tcPr>
            <w:tcW w:w="1297" w:type="dxa"/>
            <w:vMerge w:val="restart"/>
          </w:tcPr>
          <w:p w14:paraId="7E1E6EC7"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Nõrk</w:t>
            </w:r>
          </w:p>
        </w:tc>
        <w:tc>
          <w:tcPr>
            <w:tcW w:w="1236" w:type="dxa"/>
          </w:tcPr>
          <w:p w14:paraId="708CD5FB" w14:textId="77777777" w:rsidR="00751998" w:rsidRPr="006D7047" w:rsidRDefault="00751998">
            <w:pPr>
              <w:jc w:val="center"/>
              <w:cnfStyle w:val="000000000000" w:firstRow="0" w:lastRow="0" w:firstColumn="0" w:lastColumn="0" w:oddVBand="0" w:evenVBand="0" w:oddHBand="0" w:evenHBand="0" w:firstRowFirstColumn="0" w:firstRowLastColumn="0" w:lastRowFirstColumn="0" w:lastRowLastColumn="0"/>
              <w:rPr>
                <w:sz w:val="20"/>
                <w:szCs w:val="20"/>
              </w:rPr>
            </w:pPr>
            <w:r w:rsidRPr="006D7047">
              <w:rPr>
                <w:sz w:val="20"/>
                <w:szCs w:val="20"/>
              </w:rPr>
              <w:t>Ei</w:t>
            </w:r>
          </w:p>
        </w:tc>
      </w:tr>
      <w:tr w:rsidR="006B1E5D" w:rsidRPr="006D7047" w14:paraId="2182228E" w14:textId="77777777" w:rsidTr="00390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vMerge/>
          </w:tcPr>
          <w:p w14:paraId="3FAA0FDB" w14:textId="77777777" w:rsidR="00751998" w:rsidRPr="006D7047" w:rsidRDefault="00751998">
            <w:pPr>
              <w:jc w:val="both"/>
              <w:rPr>
                <w:sz w:val="20"/>
                <w:szCs w:val="20"/>
              </w:rPr>
            </w:pPr>
          </w:p>
        </w:tc>
        <w:tc>
          <w:tcPr>
            <w:tcW w:w="1888" w:type="dxa"/>
          </w:tcPr>
          <w:p w14:paraId="7A2F0C56"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Kaotatud maksutulu (-)</w:t>
            </w:r>
          </w:p>
        </w:tc>
        <w:tc>
          <w:tcPr>
            <w:tcW w:w="1533" w:type="dxa"/>
            <w:vMerge/>
          </w:tcPr>
          <w:p w14:paraId="79F93FE4"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5" w:type="dxa"/>
            <w:gridSpan w:val="2"/>
            <w:vMerge/>
          </w:tcPr>
          <w:p w14:paraId="6A150962"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36" w:type="dxa"/>
            <w:vMerge/>
          </w:tcPr>
          <w:p w14:paraId="4415E2AC"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97" w:type="dxa"/>
            <w:vMerge/>
          </w:tcPr>
          <w:p w14:paraId="16A5B3CF"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36" w:type="dxa"/>
          </w:tcPr>
          <w:p w14:paraId="6DEFBF13" w14:textId="77777777" w:rsidR="00751998" w:rsidRPr="006D7047" w:rsidRDefault="007519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6D7047">
              <w:rPr>
                <w:sz w:val="20"/>
                <w:szCs w:val="20"/>
              </w:rPr>
              <w:t>Ei</w:t>
            </w:r>
          </w:p>
        </w:tc>
      </w:tr>
    </w:tbl>
    <w:p w14:paraId="187475BC" w14:textId="333E3B62" w:rsidR="00751998" w:rsidRPr="000F3974" w:rsidRDefault="00751998" w:rsidP="00751998">
      <w:pPr>
        <w:jc w:val="both"/>
        <w:rPr>
          <w:sz w:val="20"/>
          <w:szCs w:val="20"/>
        </w:rPr>
      </w:pPr>
      <w:r w:rsidRPr="000F3974">
        <w:rPr>
          <w:sz w:val="20"/>
          <w:szCs w:val="20"/>
        </w:rPr>
        <w:t>* Märkus</w:t>
      </w:r>
      <w:r w:rsidR="00F33C18">
        <w:rPr>
          <w:sz w:val="20"/>
          <w:szCs w:val="20"/>
        </w:rPr>
        <w:t>:</w:t>
      </w:r>
      <w:r w:rsidRPr="000F3974">
        <w:rPr>
          <w:sz w:val="20"/>
          <w:szCs w:val="20"/>
        </w:rPr>
        <w:t xml:space="preserve"> </w:t>
      </w:r>
      <w:r>
        <w:rPr>
          <w:sz w:val="20"/>
          <w:szCs w:val="20"/>
        </w:rPr>
        <w:t>S</w:t>
      </w:r>
      <w:r w:rsidRPr="000F3974">
        <w:rPr>
          <w:sz w:val="20"/>
          <w:szCs w:val="20"/>
        </w:rPr>
        <w:t>ulgudes</w:t>
      </w:r>
      <w:r>
        <w:rPr>
          <w:sz w:val="20"/>
          <w:szCs w:val="20"/>
        </w:rPr>
        <w:t xml:space="preserve"> on</w:t>
      </w:r>
      <w:r w:rsidRPr="000F3974">
        <w:rPr>
          <w:sz w:val="20"/>
          <w:szCs w:val="20"/>
        </w:rPr>
        <w:t xml:space="preserve"> näidatud, kas mõju on</w:t>
      </w:r>
      <w:r>
        <w:rPr>
          <w:sz w:val="20"/>
          <w:szCs w:val="20"/>
        </w:rPr>
        <w:t xml:space="preserve"> heaolu suurendav</w:t>
      </w:r>
      <w:r w:rsidRPr="000F3974">
        <w:rPr>
          <w:sz w:val="20"/>
          <w:szCs w:val="20"/>
        </w:rPr>
        <w:t xml:space="preserve"> (+) või </w:t>
      </w:r>
      <w:r>
        <w:rPr>
          <w:sz w:val="20"/>
          <w:szCs w:val="20"/>
        </w:rPr>
        <w:t>vähendav</w:t>
      </w:r>
      <w:r w:rsidRPr="000F3974">
        <w:rPr>
          <w:sz w:val="20"/>
          <w:szCs w:val="20"/>
        </w:rPr>
        <w:t xml:space="preserve"> (-)</w:t>
      </w:r>
    </w:p>
    <w:p w14:paraId="02D47EC5" w14:textId="460A22CC" w:rsidR="00751998" w:rsidRDefault="10C59CDB" w:rsidP="00751998">
      <w:pPr>
        <w:jc w:val="both"/>
      </w:pPr>
      <w:r>
        <w:t>Nii intervjuude, ökonomeetrilise modelleerimise kui ka sekundaarandmete analüüsi põhjal oleme kujundanud ka kvalitatiivsed hinnangud avaldunud mõjudele erinevate kategooriate lõikes. Hetkeseisuga on mõnes valdkonnas juba nõrk mõju avaldunud, kuid tulenevalt suhtelisest väikestest lühiajalise üüri turu mah</w:t>
      </w:r>
      <w:r w:rsidR="00143F23">
        <w:t>u</w:t>
      </w:r>
      <w:r>
        <w:t xml:space="preserve">st Eestis ei ole need üheski valdkonnas drastilisi muutuseid kaasa toonud. Kõige vahetum ja tugevam on mõju meie hinnangul olnud majutusteenuste turule, kus ka tegutsevad ettevõtjad näevad konkurentsimoonutusi arvestatava probleemina. </w:t>
      </w:r>
    </w:p>
    <w:p w14:paraId="5975FDA5" w14:textId="43D03A4E" w:rsidR="00751998" w:rsidRPr="00A23BDC" w:rsidRDefault="10C59CDB" w:rsidP="00751998">
      <w:pPr>
        <w:jc w:val="both"/>
      </w:pPr>
      <w:r>
        <w:t>Mõjude ulatuse, sageduse ja tugevuse alusel oleme andnud ka hinnangu sekkumise vajaduse kohta. Nagu tabelist 1</w:t>
      </w:r>
      <w:r w:rsidR="70A4312B">
        <w:t>2</w:t>
      </w:r>
      <w:r>
        <w:t xml:space="preserve"> nähtub, hindame sekkumist vajavateks mõjukategooriateks ebaausat konkurentsi, tuleohutu</w:t>
      </w:r>
      <w:r w:rsidR="00844FD8">
        <w:t>snõuete ebapiisava täitmisega kaasnevaid riske</w:t>
      </w:r>
      <w:r>
        <w:t xml:space="preserve"> ning </w:t>
      </w:r>
      <w:r w:rsidR="000B3124">
        <w:t>julgeoleku tagamise</w:t>
      </w:r>
      <w:r>
        <w:t xml:space="preserve"> raskendamist. Need on seotud turuga tervikuna, millele viitab lai mõju ulatus. Osades piirkondades aga on ilmnenud ka klassikalised populaarsetes turismisihtkohtades lühiajalise üüri turuga kaasnevad probleemid</w:t>
      </w:r>
      <w:r w:rsidR="6D3F65D9">
        <w:t>,</w:t>
      </w:r>
      <w:r>
        <w:t xml:space="preserve"> nagu müra, prügi ja kogukonnatunde vähenemine, mis Eestis on kõige selgemalt ilmnenud peamiselt Tallinna </w:t>
      </w:r>
      <w:r w:rsidR="1FCCD985">
        <w:t>v</w:t>
      </w:r>
      <w:r>
        <w:t>analinnas ja Pärnus, millele viitab piiratud mõju ulatus. Järgnevalt analüüsime igat valdkon</w:t>
      </w:r>
      <w:r w:rsidR="000E2685">
        <w:t>da</w:t>
      </w:r>
      <w:r>
        <w:t xml:space="preserve"> põhjalikumalt.</w:t>
      </w:r>
    </w:p>
    <w:p w14:paraId="1E907F08" w14:textId="49A81852" w:rsidR="00751998" w:rsidRDefault="00751998" w:rsidP="00A23BDC">
      <w:pPr>
        <w:pStyle w:val="Heading3"/>
        <w:rPr>
          <w:rFonts w:hint="eastAsia"/>
        </w:rPr>
      </w:pPr>
      <w:bookmarkStart w:id="132" w:name="_Toc208991622"/>
      <w:r w:rsidRPr="009137F5">
        <w:t>Mõjud majutusteenuste turule</w:t>
      </w:r>
      <w:bookmarkEnd w:id="132"/>
    </w:p>
    <w:p w14:paraId="28661273" w14:textId="42F89C5C" w:rsidR="00751998" w:rsidRDefault="00751998" w:rsidP="00751998">
      <w:pPr>
        <w:jc w:val="both"/>
        <w:rPr>
          <w:szCs w:val="24"/>
        </w:rPr>
      </w:pPr>
      <w:r>
        <w:rPr>
          <w:szCs w:val="24"/>
        </w:rPr>
        <w:t>Lühiajalisel üüri turul pakutav teenus on ühemõtteliselt käsitletav majutusteenusena, mi</w:t>
      </w:r>
      <w:r w:rsidR="00E30BBC">
        <w:rPr>
          <w:szCs w:val="24"/>
        </w:rPr>
        <w:t>lle osutaja</w:t>
      </w:r>
      <w:r>
        <w:rPr>
          <w:szCs w:val="24"/>
        </w:rPr>
        <w:t xml:space="preserve"> konkureerib </w:t>
      </w:r>
      <w:r w:rsidR="00E30BBC">
        <w:rPr>
          <w:szCs w:val="24"/>
        </w:rPr>
        <w:t>majanduslikkus mõttes kõikide teiste majutusteenuse osutajatega</w:t>
      </w:r>
      <w:r>
        <w:rPr>
          <w:szCs w:val="24"/>
        </w:rPr>
        <w:t>. Kuigi selle teenuse omadused võivad olulisel määral erineda traditsioonilisest majutusteenusest, on nende eesmärk sama ehk pakkuda ajutise ööbimise võimalust. Turu efektiivseks toimimiseks on oluline, et teenuse osutajate vahel valitseks aus konkurents, kus keegi ei saavutaks konkurentsieelist ebaausal viisil, kuna see soodustaks majanduse ressursside ebaefektiivset kasutamist. Samal ajal eelise saavutamine teenuste diferentseerimise kaudu, nt pakkudes teenust madalamas hinnaklassis vähemnõudlikumale</w:t>
      </w:r>
      <w:r w:rsidR="00BB26FA">
        <w:rPr>
          <w:szCs w:val="24"/>
        </w:rPr>
        <w:t xml:space="preserve"> või erisoovidega</w:t>
      </w:r>
      <w:r>
        <w:rPr>
          <w:szCs w:val="24"/>
        </w:rPr>
        <w:t xml:space="preserve"> kliendile, </w:t>
      </w:r>
      <w:r w:rsidR="00F555B6">
        <w:rPr>
          <w:szCs w:val="24"/>
        </w:rPr>
        <w:t>näitab pigem turu tugevust</w:t>
      </w:r>
      <w:r w:rsidR="00BB26FA">
        <w:rPr>
          <w:szCs w:val="24"/>
        </w:rPr>
        <w:t xml:space="preserve"> ja</w:t>
      </w:r>
      <w:r>
        <w:rPr>
          <w:szCs w:val="24"/>
        </w:rPr>
        <w:t xml:space="preserve"> soodustab </w:t>
      </w:r>
      <w:r w:rsidR="00BB26FA">
        <w:rPr>
          <w:szCs w:val="24"/>
        </w:rPr>
        <w:t xml:space="preserve">selle </w:t>
      </w:r>
      <w:r>
        <w:rPr>
          <w:szCs w:val="24"/>
        </w:rPr>
        <w:t xml:space="preserve">efektiivsuse kasvu, sest suurendab tarbijate valikuvõimalusi oma vajaduste rahuldamisel. </w:t>
      </w:r>
    </w:p>
    <w:p w14:paraId="6EDE969F" w14:textId="379A5C8B" w:rsidR="00751998" w:rsidRDefault="10C59CDB" w:rsidP="00751998">
      <w:pPr>
        <w:jc w:val="both"/>
      </w:pPr>
      <w:r w:rsidRPr="288A3578">
        <w:lastRenderedPageBreak/>
        <w:t xml:space="preserve">Seega lühiajalise üüri teenuse leviku ühe positiivse mõjuna saab esile tuua, et majutusteenuse turu nõudluse poolel on see teenuse kasutajate jaoks võimalusi </w:t>
      </w:r>
      <w:r w:rsidRPr="288A3578">
        <w:rPr>
          <w:b/>
          <w:bCs/>
        </w:rPr>
        <w:t>mitmekesistanud</w:t>
      </w:r>
      <w:r w:rsidRPr="288A3578">
        <w:t xml:space="preserve">, pakkudes neile turistidena suuremaid ja taskukohasemaid valikuvõimalusi. Teisisõnu võib see paljudele tarbijatele, nii kohalikele elanikele siseturismi mõttes kui </w:t>
      </w:r>
      <w:r w:rsidR="280D2D7A" w:rsidRPr="288A3578">
        <w:t xml:space="preserve">ka </w:t>
      </w:r>
      <w:r w:rsidRPr="288A3578">
        <w:t>välismaalastele, luua uued võimalused enda reisi- ja turismieelistuste paremaks realiseerimiseks. Näiteks hinnatundlikumad teenuse kasutajad või lastega pered, kes tavahotellides peaksid üürima endale mitu tuba või suure ja keskmisest kallima peretoa, saavad selle asemel kasutada tasukohasemaid külaliskortereid. Samamoodi isikud, kes vajavad majutamiseks veidi pikemat perioodi, nt rohkem kui nädal, eelistaksid sageli hotelli asemel peatuda korteri tüüpi ruumides. Turu mitmekesistumise aspekti toodi esile ka intervjuudes majutussektori esindajate poolt, kes samuti näevad sellel teenusel olulist kohta teiste majutusteenuste kõrval. Eestis on Eurostat hinnanud ööbimiste mahuks lühiajalisel üüri turul viimasel paaril aastal 1,5 miljonit ööd aastas</w:t>
      </w:r>
      <w:r w:rsidR="00751998" w:rsidRPr="288A3578">
        <w:rPr>
          <w:rStyle w:val="FootnoteReference"/>
        </w:rPr>
        <w:footnoteReference w:id="126"/>
      </w:r>
      <w:r w:rsidRPr="288A3578">
        <w:t>, mis moodustab ligikaudu veerandi kõikidest ööbimistest majutusruumides. Nii suur kasutusmaht näitab selgelt, et sellel teenusel on Eestis kindel kasutajaskond ja nõudlus, mille kaudu luuakse arvestatav osa majutussektoris loodavast väärtusest.</w:t>
      </w:r>
    </w:p>
    <w:p w14:paraId="6C455196" w14:textId="56935FBF" w:rsidR="00751998" w:rsidRDefault="10C59CDB" w:rsidP="00751998">
      <w:pPr>
        <w:jc w:val="both"/>
      </w:pPr>
      <w:r>
        <w:t xml:space="preserve">Ühe täiendava aspektina rõhutatakse lühiajalise üürimise puhul sageli ka seda, et kuna lühiajalise üüri pindadest </w:t>
      </w:r>
      <w:r w:rsidR="04CD2E50">
        <w:t xml:space="preserve">luuakse </w:t>
      </w:r>
      <w:r>
        <w:t xml:space="preserve">suhteliselt suur osa erinevalt hotellidest ja teistest traditsioonilistest majutuskohtadest ka piirkondadesse, mis ei ole tavapärased turismi sihtkohad (magalatesse või elamupiirkondadesse), loob see parema võimaluse kogeda kohalikku kultuuri ja elukeskkonda. </w:t>
      </w:r>
      <w:r w:rsidR="00BE1704">
        <w:t>L</w:t>
      </w:r>
      <w:r>
        <w:t xml:space="preserve">ühiajaline üüri teenus </w:t>
      </w:r>
      <w:r w:rsidR="00BE1704">
        <w:t xml:space="preserve">muudab </w:t>
      </w:r>
      <w:r>
        <w:t xml:space="preserve">majutusteenuste turu ka paindlikumaks, võimaldades nt turismi tippaegadel või suursündmuste toimumise ajal täiendavate majutuskohtade kasutamist. Seda aspekti tõid ühe peamise positiivse asjaoluna esile ka lühiajalise üüri teenuse pakkujate konkurendid hotellisektorist. </w:t>
      </w:r>
    </w:p>
    <w:p w14:paraId="58B3F12B" w14:textId="54BCE2F3" w:rsidR="00751998" w:rsidRDefault="00291CFD" w:rsidP="00751998">
      <w:pPr>
        <w:jc w:val="both"/>
      </w:pPr>
      <w:r>
        <w:t>V</w:t>
      </w:r>
      <w:r w:rsidR="10C59CDB">
        <w:t>aatamata osalisele asendatavusele</w:t>
      </w:r>
      <w:r w:rsidR="69917EA6">
        <w:t>,</w:t>
      </w:r>
      <w:r w:rsidR="10C59CDB">
        <w:t xml:space="preserve"> ei </w:t>
      </w:r>
      <w:r w:rsidR="24A834B8">
        <w:t xml:space="preserve">kasva </w:t>
      </w:r>
      <w:r w:rsidR="10C59CDB">
        <w:t>lühiajalise üüri tur</w:t>
      </w:r>
      <w:r w:rsidR="774A3632">
        <w:t>g</w:t>
      </w:r>
      <w:r w:rsidR="10C59CDB">
        <w:t xml:space="preserve"> tingimata täies mahus hotellisektori arvelt. See tähendab, et lühiajalise üüri teenuse kasutajad </w:t>
      </w:r>
      <w:r w:rsidR="00965098">
        <w:t xml:space="preserve">ei tule </w:t>
      </w:r>
      <w:r w:rsidR="10C59CDB">
        <w:t xml:space="preserve">alati hotellkülastajate arvelt, vaid tegemist võib olla ka täiesti uute </w:t>
      </w:r>
      <w:r w:rsidR="00965098">
        <w:t>turistidega</w:t>
      </w:r>
      <w:r w:rsidR="10C59CDB">
        <w:t xml:space="preserve">, kelle jaoks varem sobiv majutusvõimalus lihtsalt puudus. </w:t>
      </w:r>
      <w:r w:rsidR="00EA0946">
        <w:t>Teoreetiliselt või</w:t>
      </w:r>
      <w:r w:rsidR="00422D8F">
        <w:t>vad</w:t>
      </w:r>
      <w:r w:rsidR="00EA0946">
        <w:t xml:space="preserve"> </w:t>
      </w:r>
      <w:r w:rsidR="00422D8F">
        <w:t>need samad isikud</w:t>
      </w:r>
      <w:r w:rsidR="0076208F">
        <w:t xml:space="preserve"> ka</w:t>
      </w:r>
      <w:r w:rsidR="00422D8F">
        <w:t xml:space="preserve"> </w:t>
      </w:r>
      <w:r w:rsidR="004E2420">
        <w:t xml:space="preserve">tulevikus </w:t>
      </w:r>
      <w:r w:rsidR="00422D8F">
        <w:t xml:space="preserve">Eestisse tagasi </w:t>
      </w:r>
      <w:r w:rsidR="004E2420">
        <w:t xml:space="preserve">reisida ja siis </w:t>
      </w:r>
      <w:r w:rsidR="002A44F1">
        <w:t>hoopis</w:t>
      </w:r>
      <w:r w:rsidR="004E2420">
        <w:t xml:space="preserve"> hotellimajutust </w:t>
      </w:r>
      <w:r w:rsidR="00713180">
        <w:t xml:space="preserve">kasutada. </w:t>
      </w:r>
      <w:r w:rsidR="00B771FE">
        <w:t>Ka u</w:t>
      </w:r>
      <w:r w:rsidR="008D1856">
        <w:t>uritud perioodi põhjal tundub</w:t>
      </w:r>
      <w:r w:rsidR="00B6363E">
        <w:t>, et</w:t>
      </w:r>
      <w:r w:rsidR="10C59CDB">
        <w:t xml:space="preserve"> traditsiooniline sektor </w:t>
      </w:r>
      <w:r w:rsidR="00B6363E">
        <w:t>on lühiajaliselt üüri turult tulevale</w:t>
      </w:r>
      <w:r w:rsidR="10C59CDB">
        <w:t xml:space="preserve"> </w:t>
      </w:r>
      <w:r w:rsidR="00B771FE">
        <w:t>konkurentsi</w:t>
      </w:r>
      <w:r w:rsidR="10C59CDB">
        <w:t>survele kenasti vastu pidanud</w:t>
      </w:r>
      <w:r w:rsidR="008B565E">
        <w:t>. Näiteks</w:t>
      </w:r>
      <w:r w:rsidR="10C59CDB">
        <w:t xml:space="preserve"> kui vaadata ööbimiste või majutuskohtade dünaamikat, siis viimastel aastatel pärast koroona pandeemiat on need olnud kasvavas trendis. Ka Statistikaameti tehtavas statistikas, mis osaliselt sisaldab ka lühiajalise üüri teenuse näitajaid (külaliskorterite ja kodumajutuste osas)</w:t>
      </w:r>
      <w:r w:rsidR="458B3D69">
        <w:t>,</w:t>
      </w:r>
      <w:r w:rsidR="10C59CDB">
        <w:t xml:space="preserve"> ei ole näha, et hotellide ja motellide osakaal ööbimistes ja majutatute arvus perioodil 2019</w:t>
      </w:r>
      <w:r w:rsidR="00CF664D">
        <w:t>–</w:t>
      </w:r>
      <w:r w:rsidR="10C59CDB">
        <w:t>2024 oleks hakanud vähenema. Seega üldistatult on mõlemad majutusteenuste turu segmendid viimastel aastatel stabiilselt kasvanud</w:t>
      </w:r>
      <w:r w:rsidR="254D4B59">
        <w:t xml:space="preserve"> </w:t>
      </w:r>
      <w:r w:rsidR="10C59CDB">
        <w:t xml:space="preserve">(vt joonis </w:t>
      </w:r>
      <w:r w:rsidR="00753E2E">
        <w:t>3</w:t>
      </w:r>
      <w:r w:rsidR="10C59CDB">
        <w:t>). Teooria põhjal saab järeldada ka seda, et</w:t>
      </w:r>
      <w:r w:rsidR="009063AE">
        <w:t xml:space="preserve"> kuna võrreldavate</w:t>
      </w:r>
      <w:r w:rsidR="5732075C">
        <w:t>s</w:t>
      </w:r>
      <w:r w:rsidR="009063AE">
        <w:t xml:space="preserve"> asukohtades on külastaja kohta</w:t>
      </w:r>
      <w:r w:rsidR="10C59CDB">
        <w:t xml:space="preserve"> lühiajalise üüri teenuse</w:t>
      </w:r>
      <w:r w:rsidR="006A7756">
        <w:t xml:space="preserve"> </w:t>
      </w:r>
      <w:r w:rsidR="00CD3585">
        <w:t xml:space="preserve">kasutamine </w:t>
      </w:r>
      <w:r w:rsidR="001C779D">
        <w:t xml:space="preserve">üldjuhul </w:t>
      </w:r>
      <w:r w:rsidR="00724C3A">
        <w:t>soodsam</w:t>
      </w:r>
      <w:r w:rsidR="00CD3585">
        <w:t>,</w:t>
      </w:r>
      <w:r w:rsidR="00724C3A">
        <w:t xml:space="preserve"> </w:t>
      </w:r>
      <w:r w:rsidR="10C59CDB">
        <w:t xml:space="preserve">on tervikuna nõudlus majutusteenustele suurenenud, </w:t>
      </w:r>
      <w:r w:rsidR="005B0359">
        <w:t>sest</w:t>
      </w:r>
      <w:r w:rsidR="10C59CDB">
        <w:t xml:space="preserve"> </w:t>
      </w:r>
      <w:r w:rsidR="00B97850">
        <w:t>soodsam</w:t>
      </w:r>
      <w:r w:rsidR="10C59CDB">
        <w:t xml:space="preserve"> hind peaks igal juhul nõudlust suurendama.</w:t>
      </w:r>
    </w:p>
    <w:p w14:paraId="78D7DFB6" w14:textId="34C190AD" w:rsidR="001229FB" w:rsidRDefault="001229FB" w:rsidP="00514229">
      <w:pPr>
        <w:pStyle w:val="TableTitle"/>
        <w:keepNext/>
      </w:pPr>
      <w:r>
        <w:lastRenderedPageBreak/>
        <w:t xml:space="preserve">Joonis </w:t>
      </w:r>
      <w:r w:rsidR="00B704F3">
        <w:t>3</w:t>
      </w:r>
      <w:r>
        <w:t>. Majutatute ja ööbimiste arv Eestis perioodil 200</w:t>
      </w:r>
      <w:r w:rsidR="00350E7C">
        <w:t>2</w:t>
      </w:r>
      <w:r w:rsidR="00594A4B">
        <w:t>–</w:t>
      </w:r>
      <w:r>
        <w:t xml:space="preserve">2024 </w:t>
      </w:r>
      <w:r w:rsidRPr="001D3A7B">
        <w:t>majutusettevõtet</w:t>
      </w:r>
      <w:r>
        <w:t>es</w:t>
      </w:r>
      <w:r w:rsidRPr="3E482406">
        <w:rPr>
          <w:rStyle w:val="FootnoteReference"/>
        </w:rPr>
        <w:footnoteReference w:id="127"/>
      </w:r>
      <w:r>
        <w:t xml:space="preserve"> </w:t>
      </w:r>
    </w:p>
    <w:p w14:paraId="04A10D62" w14:textId="77777777" w:rsidR="0083602A" w:rsidRDefault="00687C0E" w:rsidP="00751998">
      <w:pPr>
        <w:jc w:val="both"/>
      </w:pPr>
      <w:r>
        <w:rPr>
          <w:noProof/>
        </w:rPr>
        <w:drawing>
          <wp:inline distT="0" distB="0" distL="0" distR="0" wp14:anchorId="5006888A" wp14:editId="77E0418D">
            <wp:extent cx="6504978" cy="2886420"/>
            <wp:effectExtent l="0" t="0" r="10160" b="9525"/>
            <wp:docPr id="486149966" name="Diagramm 1">
              <a:extLst xmlns:a="http://schemas.openxmlformats.org/drawingml/2006/main">
                <a:ext uri="{FF2B5EF4-FFF2-40B4-BE49-F238E27FC236}">
                  <a16:creationId xmlns:a16="http://schemas.microsoft.com/office/drawing/2014/main" id="{53E75B4C-1B45-412F-D6F1-60D2B1B598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52AEB16" w14:textId="5C23BD71" w:rsidR="00751998" w:rsidRDefault="10C59CDB" w:rsidP="00751998">
      <w:pPr>
        <w:jc w:val="both"/>
      </w:pPr>
      <w:r w:rsidRPr="288A3578">
        <w:t>Seega majutusteenuse mitmekesist</w:t>
      </w:r>
      <w:r w:rsidR="00261793">
        <w:t>u</w:t>
      </w:r>
      <w:r w:rsidRPr="288A3578">
        <w:t>mise puhul on tegemist ulatuselt laia ja sageduselt püsiva mõjuga, mis on paljude inimeste elukvaliteeti tugevalt mõjutanud. Kokkuvõttes muudab lühiajalise üüri turu areng majutusteenuste turu läbi teenuste mitmekesistumise majanduslikult efektiivsemaks, sest pakub teenuse tarbijatele suuremat rahulolu. Selles uuringus me eraldi seda mõju ei kvantifitseerinud, kuid nt Farronato ja Fradkin</w:t>
      </w:r>
      <w:r w:rsidR="00751998" w:rsidRPr="288A3578">
        <w:rPr>
          <w:rStyle w:val="FootnoteReference"/>
        </w:rPr>
        <w:footnoteReference w:id="128"/>
      </w:r>
      <w:r w:rsidRPr="288A3578">
        <w:t xml:space="preserve"> on USA-s hinnanud selle erinevates linnades tarbija hinnavaru kontseptsioon</w:t>
      </w:r>
      <w:r w:rsidR="3D7E327C" w:rsidRPr="288A3578">
        <w:t>i</w:t>
      </w:r>
      <w:r w:rsidRPr="288A3578">
        <w:t xml:space="preserve"> raamistikus 15</w:t>
      </w:r>
      <w:r w:rsidR="00403677">
        <w:t>–</w:t>
      </w:r>
      <w:r w:rsidRPr="288A3578">
        <w:t xml:space="preserve">30% vahele </w:t>
      </w:r>
      <w:r w:rsidR="338BC4CA" w:rsidRPr="288A3578">
        <w:t>lühiajalise üüri</w:t>
      </w:r>
      <w:r w:rsidRPr="288A3578">
        <w:t xml:space="preserve"> keskmisest hinnast. Kandes selle üle Eesti konteksti ja võttes aluseks MTA-lt platvormialase teabe andmevahetuse raames kogutud andmed teenuse käibe kohta, ulatuksid sellest teenusest saadud </w:t>
      </w:r>
      <w:r w:rsidR="00106634">
        <w:t>kasu</w:t>
      </w:r>
      <w:r w:rsidR="00703EDC">
        <w:t>d</w:t>
      </w:r>
      <w:r w:rsidR="00106634">
        <w:t xml:space="preserve"> </w:t>
      </w:r>
      <w:r w:rsidRPr="288A3578">
        <w:t>tarbijate</w:t>
      </w:r>
      <w:r w:rsidR="00703EDC">
        <w:t>le</w:t>
      </w:r>
      <w:r w:rsidRPr="288A3578">
        <w:t xml:space="preserve"> 2023.</w:t>
      </w:r>
      <w:r w:rsidR="007AE685" w:rsidRPr="288A3578">
        <w:t xml:space="preserve"> </w:t>
      </w:r>
      <w:r w:rsidRPr="288A3578">
        <w:t>a</w:t>
      </w:r>
      <w:r w:rsidR="2232974E" w:rsidRPr="288A3578">
        <w:t>astal</w:t>
      </w:r>
      <w:r w:rsidRPr="288A3578">
        <w:t xml:space="preserve"> vähemalt 5</w:t>
      </w:r>
      <w:r w:rsidR="00403677">
        <w:t>–</w:t>
      </w:r>
      <w:r w:rsidRPr="288A3578">
        <w:t>10 miljoni euro tasemeni.</w:t>
      </w:r>
    </w:p>
    <w:p w14:paraId="2A8955C7" w14:textId="169E8957" w:rsidR="00751998" w:rsidRDefault="10C59CDB" w:rsidP="00751998">
      <w:pPr>
        <w:jc w:val="both"/>
      </w:pPr>
      <w:r w:rsidRPr="288A3578">
        <w:t>Vaadates turu pakkumise poolt, siis on lühiajali</w:t>
      </w:r>
      <w:r w:rsidR="000C005C">
        <w:t>s</w:t>
      </w:r>
      <w:r w:rsidRPr="288A3578">
        <w:t>e üüri tur</w:t>
      </w:r>
      <w:r w:rsidR="00C32F3B">
        <w:t>u</w:t>
      </w:r>
      <w:r w:rsidR="005C5AE1">
        <w:t xml:space="preserve"> puhul tegemist</w:t>
      </w:r>
      <w:r w:rsidR="00C32F3B">
        <w:t xml:space="preserve"> </w:t>
      </w:r>
      <w:r w:rsidR="005C5AE1">
        <w:t xml:space="preserve">platvormimajanduse arengu tulemusel kiiresti kasvanud </w:t>
      </w:r>
      <w:r w:rsidR="005C5AE1" w:rsidRPr="288A3578">
        <w:t>segmendiga majutusteenuste turul</w:t>
      </w:r>
      <w:r w:rsidR="005C5AE1">
        <w:t xml:space="preserve">. Seega mõjutab </w:t>
      </w:r>
      <w:r w:rsidR="006169C8">
        <w:t>lühiajalise üürimise suurem levik otseselt ka</w:t>
      </w:r>
      <w:r w:rsidR="005C5AE1">
        <w:t xml:space="preserve"> </w:t>
      </w:r>
      <w:r w:rsidR="006169C8" w:rsidRPr="288A3578">
        <w:t>traditsioonilis</w:t>
      </w:r>
      <w:r w:rsidR="006169C8">
        <w:t>i</w:t>
      </w:r>
      <w:r w:rsidR="006169C8" w:rsidRPr="288A3578">
        <w:t xml:space="preserve"> teenusepakkuja</w:t>
      </w:r>
      <w:r w:rsidR="006169C8">
        <w:t>id</w:t>
      </w:r>
      <w:r w:rsidRPr="288A3578">
        <w:t xml:space="preserve"> </w:t>
      </w:r>
      <w:r w:rsidRPr="288A3578">
        <w:rPr>
          <w:b/>
          <w:bCs/>
        </w:rPr>
        <w:t>suure</w:t>
      </w:r>
      <w:r w:rsidR="00F82A26">
        <w:rPr>
          <w:b/>
          <w:bCs/>
        </w:rPr>
        <w:t>nenud konkurentsi kaudu</w:t>
      </w:r>
      <w:r w:rsidR="00F82A26" w:rsidRPr="00B54A22">
        <w:t>,</w:t>
      </w:r>
      <w:r w:rsidR="00F82A26">
        <w:rPr>
          <w:b/>
          <w:bCs/>
        </w:rPr>
        <w:t xml:space="preserve"> </w:t>
      </w:r>
      <w:r w:rsidR="00F82A26" w:rsidRPr="00B54A22">
        <w:t>sest</w:t>
      </w:r>
      <w:r w:rsidRPr="288A3578">
        <w:t xml:space="preserve"> vähemalt osaliselt </w:t>
      </w:r>
      <w:r w:rsidR="00F82A26" w:rsidRPr="288A3578">
        <w:t>konkureeri</w:t>
      </w:r>
      <w:r w:rsidR="00F82A26">
        <w:t>takse</w:t>
      </w:r>
      <w:r w:rsidR="00F82A26" w:rsidRPr="288A3578">
        <w:t xml:space="preserve"> </w:t>
      </w:r>
      <w:r w:rsidRPr="288A3578">
        <w:t>samade klientide nimel. Seda on ka mitmed uuringud näidanud, et karmimad reeglid lühiajalise üüri turule suurendavad hotellide külastajate arvu, mis viitab, et hotellimajutus ja külaliskorteri majutus on vähemalt osaliselt asendus</w:t>
      </w:r>
      <w:r w:rsidR="00D37966">
        <w:t>teenused</w:t>
      </w:r>
      <w:r w:rsidR="00751998" w:rsidRPr="288A3578">
        <w:rPr>
          <w:rStyle w:val="FootnoteReference"/>
        </w:rPr>
        <w:footnoteReference w:id="129"/>
      </w:r>
      <w:r w:rsidRPr="288A3578">
        <w:t>, millele leidsime kinnitust ka selles uuringus, nagu eespool viitasime. Kuigi hotellisektoris valitses juba enne lühiajalise üüri turu ilmnemist üsna tihe konkurents võrreldes paljude teiste sektoritega Eesti majanduses</w:t>
      </w:r>
      <w:r w:rsidR="00751998" w:rsidRPr="288A3578">
        <w:rPr>
          <w:rStyle w:val="FootnoteReference"/>
        </w:rPr>
        <w:footnoteReference w:id="130"/>
      </w:r>
      <w:r w:rsidRPr="288A3578">
        <w:t>, vähendab lühiajali</w:t>
      </w:r>
      <w:r w:rsidR="008C58E0">
        <w:t>s</w:t>
      </w:r>
      <w:r w:rsidRPr="288A3578">
        <w:t xml:space="preserve">e üüri turg kindlasti turule </w:t>
      </w:r>
      <w:r w:rsidRPr="288A3578">
        <w:lastRenderedPageBreak/>
        <w:t>sisenemise barjääre, kuna ajutise ööbimisvõimaluse pakkumine</w:t>
      </w:r>
      <w:r w:rsidR="00A20F37">
        <w:t xml:space="preserve"> </w:t>
      </w:r>
      <w:r w:rsidR="00BF32CB">
        <w:t>oma olemasolevas</w:t>
      </w:r>
      <w:r w:rsidR="2B44731D">
        <w:t>,</w:t>
      </w:r>
      <w:r w:rsidR="00BF32CB">
        <w:t xml:space="preserve"> </w:t>
      </w:r>
      <w:r w:rsidR="00E951D7">
        <w:t xml:space="preserve">kuid tühjana seisvas </w:t>
      </w:r>
      <w:r w:rsidR="00BF32CB">
        <w:t>eluruumi</w:t>
      </w:r>
      <w:r w:rsidR="00E951D7">
        <w:t>s</w:t>
      </w:r>
      <w:r w:rsidRPr="288A3578">
        <w:t xml:space="preserve"> ei eelda suurte investeeringute tegemist. </w:t>
      </w:r>
      <w:r w:rsidR="008C6581">
        <w:t>Kokkuvõttes</w:t>
      </w:r>
      <w:r w:rsidRPr="288A3578">
        <w:t xml:space="preserve"> vähendab </w:t>
      </w:r>
      <w:r w:rsidR="00D83663">
        <w:t xml:space="preserve">üldise </w:t>
      </w:r>
      <w:r w:rsidR="00E467FF">
        <w:t xml:space="preserve">konkurentsi suurenemine </w:t>
      </w:r>
      <w:r w:rsidRPr="288A3578">
        <w:t>teenusepakkujatel võimalusi</w:t>
      </w:r>
      <w:r w:rsidR="00DC295C">
        <w:t xml:space="preserve"> </w:t>
      </w:r>
      <w:r w:rsidR="00E467FF">
        <w:t xml:space="preserve">ka </w:t>
      </w:r>
      <w:r w:rsidR="00854AF3">
        <w:t>väiksema konkurentsiga piirkondades</w:t>
      </w:r>
      <w:r w:rsidR="006A0F09">
        <w:t xml:space="preserve"> </w:t>
      </w:r>
      <w:r w:rsidR="00924230">
        <w:t xml:space="preserve">monopoolse </w:t>
      </w:r>
      <w:r w:rsidR="00F67B33">
        <w:t>konkurentsipositsiooni saavutamis</w:t>
      </w:r>
      <w:r w:rsidR="7981D3AB">
        <w:t>eks</w:t>
      </w:r>
      <w:r w:rsidRPr="288A3578">
        <w:t xml:space="preserve">. </w:t>
      </w:r>
      <w:r w:rsidR="00C464E2">
        <w:t xml:space="preserve">Seega hindame konkurentsi suurenemise mõju </w:t>
      </w:r>
      <w:r w:rsidR="000E6408">
        <w:t>püsivaks ja laiaks ehk kogu majutussektorit püsivalt mõjutavaks</w:t>
      </w:r>
      <w:r w:rsidR="00222716">
        <w:t>.</w:t>
      </w:r>
      <w:r w:rsidR="000E6408">
        <w:t xml:space="preserve"> </w:t>
      </w:r>
      <w:r w:rsidR="00222716">
        <w:t>K</w:t>
      </w:r>
      <w:r w:rsidR="000E6408">
        <w:t>uid tugevuselt</w:t>
      </w:r>
      <w:r w:rsidR="00222716">
        <w:t xml:space="preserve"> loeme mõju</w:t>
      </w:r>
      <w:r w:rsidR="000E6408">
        <w:t xml:space="preserve"> pigem mõõdukaks</w:t>
      </w:r>
      <w:r w:rsidR="002664CD">
        <w:t xml:space="preserve">, sest </w:t>
      </w:r>
      <w:r w:rsidR="00030B06">
        <w:t>lühiajali</w:t>
      </w:r>
      <w:r w:rsidR="0D383687">
        <w:t>s</w:t>
      </w:r>
      <w:r w:rsidR="00030B06">
        <w:t>e üüri</w:t>
      </w:r>
      <w:r w:rsidR="00242A5E">
        <w:t>mi</w:t>
      </w:r>
      <w:r w:rsidR="76F80143">
        <w:t>s</w:t>
      </w:r>
      <w:r w:rsidR="00242A5E">
        <w:t>e</w:t>
      </w:r>
      <w:r w:rsidR="00030B06">
        <w:t xml:space="preserve"> teenus ja </w:t>
      </w:r>
      <w:r w:rsidR="00242A5E">
        <w:t xml:space="preserve">majutamine </w:t>
      </w:r>
      <w:r w:rsidR="00030B06">
        <w:t>traditsioonili</w:t>
      </w:r>
      <w:r w:rsidR="00242A5E">
        <w:t>ses majutuskohas</w:t>
      </w:r>
      <w:r w:rsidR="00030B06">
        <w:t xml:space="preserve"> </w:t>
      </w:r>
      <w:r w:rsidR="009610C1">
        <w:t xml:space="preserve">ei ole identsed teenused, </w:t>
      </w:r>
      <w:r w:rsidR="00242A5E">
        <w:t xml:space="preserve">mis </w:t>
      </w:r>
      <w:r w:rsidR="009D2D87">
        <w:t>mõnevõrra konkurentsi leevendab</w:t>
      </w:r>
      <w:r w:rsidR="00222716">
        <w:t>.</w:t>
      </w:r>
      <w:r w:rsidR="000E6408">
        <w:t xml:space="preserve"> </w:t>
      </w:r>
    </w:p>
    <w:p w14:paraId="71AC8244" w14:textId="1C9BF59C" w:rsidR="00751998" w:rsidRDefault="10C59CDB" w:rsidP="00751998">
      <w:pPr>
        <w:jc w:val="both"/>
      </w:pPr>
      <w:r w:rsidRPr="288A3578">
        <w:t>Kuigi majandusteoreetiliselt võib konkurentsi suurenemine teatud aspektides</w:t>
      </w:r>
      <w:r w:rsidR="00083239">
        <w:t xml:space="preserve"> ka</w:t>
      </w:r>
      <w:r w:rsidRPr="288A3578">
        <w:t xml:space="preserve"> turgu kahjustada, nt vähendab võimekust teha suuri investeeringuid ja seeläbi piirab nende suutlikkust tagada teenuste kvaliteeti teatud aspektides, siis ressursside kasutust selles sektoris see tervikuna kindlasti parandab. Suurema konkurentsi tulemusel on hotellid sunnitud leidma veelgi efektiivsemaid viise oma teenuste pakkumiseks, seega paraneb majutusteenuste osutamise tehniline efektiivsus (</w:t>
      </w:r>
      <w:r w:rsidR="00A54F38">
        <w:t xml:space="preserve">ingl </w:t>
      </w:r>
      <w:r w:rsidRPr="1C92C443">
        <w:rPr>
          <w:i/>
          <w:iCs/>
        </w:rPr>
        <w:t>technical efficiency</w:t>
      </w:r>
      <w:r w:rsidRPr="288A3578">
        <w:t>). Sellele väitele on teistes riikides leitud empiirilisi tõendeid ka teaduskirjanduses</w:t>
      </w:r>
      <w:r w:rsidR="00F1688E">
        <w:t>.</w:t>
      </w:r>
      <w:r w:rsidR="00751998" w:rsidRPr="288A3578">
        <w:rPr>
          <w:rStyle w:val="FootnoteReference"/>
        </w:rPr>
        <w:footnoteReference w:id="131"/>
      </w:r>
      <w:r w:rsidRPr="288A3578">
        <w:t xml:space="preserve"> Vähemefektiivsemad majutusettevõtted on aga sunnitud turult lahkuma. Ka ökonomeetrilise modelleerimisega leidsime tõendeid selle</w:t>
      </w:r>
      <w:r w:rsidR="00CE64CB">
        <w:t xml:space="preserve"> kohta</w:t>
      </w:r>
      <w:r w:rsidRPr="288A3578">
        <w:t>, et  lühiajalise üüri turu kasvuga</w:t>
      </w:r>
      <w:r w:rsidR="00C270C3">
        <w:t xml:space="preserve"> </w:t>
      </w:r>
      <w:r w:rsidR="00C95BC1" w:rsidRPr="288A3578">
        <w:t xml:space="preserve">traditsioonilises sektoris </w:t>
      </w:r>
      <w:r w:rsidR="00C270C3">
        <w:t xml:space="preserve">nii </w:t>
      </w:r>
      <w:r w:rsidR="006D24F3">
        <w:t xml:space="preserve">voodikohtade täitumus kui ka </w:t>
      </w:r>
      <w:r w:rsidRPr="288A3578">
        <w:t>majutuskohtade</w:t>
      </w:r>
      <w:r w:rsidR="138361F6" w:rsidRPr="288A3578">
        <w:t xml:space="preserve"> arv</w:t>
      </w:r>
      <w:r w:rsidR="00C95BC1" w:rsidRPr="00C95BC1">
        <w:t xml:space="preserve"> </w:t>
      </w:r>
      <w:r w:rsidR="00C95BC1">
        <w:t>langeb</w:t>
      </w:r>
      <w:r w:rsidR="00844BBF">
        <w:t>.</w:t>
      </w:r>
      <w:r w:rsidR="00C95BC1">
        <w:t xml:space="preserve"> </w:t>
      </w:r>
      <w:r w:rsidR="00844BBF">
        <w:t>K</w:t>
      </w:r>
      <w:r w:rsidR="00C95BC1">
        <w:t>uigi</w:t>
      </w:r>
      <w:r w:rsidR="006D24F3">
        <w:t xml:space="preserve"> </w:t>
      </w:r>
      <w:r w:rsidR="00C95BC1">
        <w:t>v</w:t>
      </w:r>
      <w:r w:rsidR="00605EF7">
        <w:t>oodikohtade arv</w:t>
      </w:r>
      <w:r w:rsidR="00C95BC1">
        <w:t xml:space="preserve">uga </w:t>
      </w:r>
      <w:r w:rsidR="007E6839">
        <w:t xml:space="preserve">me </w:t>
      </w:r>
      <w:r w:rsidR="00C95BC1">
        <w:t>statistiliselt usaldusväärset seost ei tuvastanud</w:t>
      </w:r>
      <w:r w:rsidR="00AD7CA8">
        <w:t>, oli ka see näitaja lühiajalise üürimisega</w:t>
      </w:r>
      <w:r w:rsidR="00EF01CD">
        <w:t xml:space="preserve"> negatiivselt seotud</w:t>
      </w:r>
      <w:r w:rsidR="00A550DD">
        <w:t xml:space="preserve"> ehk kui üks suureneb, siis teine väheneb</w:t>
      </w:r>
      <w:r w:rsidR="00C95BC1">
        <w:t>.</w:t>
      </w:r>
      <w:r w:rsidR="00605EF7">
        <w:t xml:space="preserve"> </w:t>
      </w:r>
      <w:r w:rsidRPr="288A3578">
        <w:t xml:space="preserve">See tähendab, et turul tegutsevad ettevõtted on sunnitud </w:t>
      </w:r>
      <w:r w:rsidR="00DE4348">
        <w:t>konkurentsis püsimiseks oma</w:t>
      </w:r>
      <w:r w:rsidR="00DE4348" w:rsidRPr="288A3578">
        <w:t xml:space="preserve"> </w:t>
      </w:r>
      <w:r w:rsidRPr="288A3578">
        <w:t xml:space="preserve">ressursse veelgi </w:t>
      </w:r>
      <w:r w:rsidR="00FD5EAC">
        <w:t xml:space="preserve">efektiivsemalt kasutama, </w:t>
      </w:r>
      <w:r w:rsidR="00D005D1">
        <w:t xml:space="preserve">mis tagab nii nende parema kvaliteedi, mitmekesisuse kui ka </w:t>
      </w:r>
      <w:r w:rsidR="00FB25CB">
        <w:t>konkurentsituru tingimustele vastava hinnataseme</w:t>
      </w:r>
      <w:r w:rsidRPr="288A3578">
        <w:t>.</w:t>
      </w:r>
    </w:p>
    <w:p w14:paraId="020E55C8" w14:textId="6EC96E38" w:rsidR="00751998" w:rsidRDefault="10C59CDB" w:rsidP="00751998">
      <w:pPr>
        <w:jc w:val="both"/>
      </w:pPr>
      <w:r>
        <w:t xml:space="preserve">Konkurentsi suurenemist tunnistasid ka hotellisektori esindajad, küll peamiselt ebaausa konkurentsi tõttu, kuid ühemõtteliselt osutati ka </w:t>
      </w:r>
      <w:r w:rsidR="0432CA98">
        <w:t>lühiajalise üüri turu</w:t>
      </w:r>
      <w:r>
        <w:t xml:space="preserve"> pindade suurele arvule. Nt kui Statistikaameti andmetel on Eestis perioodil 2010</w:t>
      </w:r>
      <w:r w:rsidR="00601C95" w:rsidRPr="00601C95">
        <w:t>–</w:t>
      </w:r>
      <w:r>
        <w:t xml:space="preserve">2025 hotellitubade arv suurenenud 20 000-lt 25 000-le, siis lühiajalisel turul on pindade arv Eestis meie hinnangul 10 000 juures. Seega on üsna selge, et </w:t>
      </w:r>
      <w:r w:rsidR="0432CA98">
        <w:t>lühiajalise üüri turg</w:t>
      </w:r>
      <w:r>
        <w:t xml:space="preserve"> pakub tugevat konkurentsi hotellisektorile ja on selle kaudu ka hinnataseme hoidnud stabiilsena. Nt perioodil 2015</w:t>
      </w:r>
      <w:r w:rsidR="00601C95">
        <w:t>–</w:t>
      </w:r>
      <w:r>
        <w:t>2025 on majutusteenuste hinnaindeks Eestis püsinud reaalhindades samal tasemel, vaatamata ööbimiste arvu suurenemisele.</w:t>
      </w:r>
      <w:r w:rsidR="00C14ECE">
        <w:t xml:space="preserve"> Osalt on seda kindlasti </w:t>
      </w:r>
      <w:r w:rsidR="00631258">
        <w:t xml:space="preserve">küll </w:t>
      </w:r>
      <w:r w:rsidR="00C14ECE">
        <w:t xml:space="preserve">mõjutanud ka </w:t>
      </w:r>
      <w:r w:rsidR="002828B0">
        <w:t xml:space="preserve">mõningane </w:t>
      </w:r>
      <w:r w:rsidR="00C14ECE">
        <w:t xml:space="preserve">voodikohtade arvu </w:t>
      </w:r>
      <w:r w:rsidR="003C432E">
        <w:t>kasv</w:t>
      </w:r>
      <w:r w:rsidR="0021181D">
        <w:t xml:space="preserve">, mis on </w:t>
      </w:r>
      <w:r w:rsidR="00631258">
        <w:t xml:space="preserve">võimaldanud täiendavat nõudlust ilma hinnataseme </w:t>
      </w:r>
      <w:r w:rsidR="009820B1">
        <w:t>kasvuta</w:t>
      </w:r>
      <w:r w:rsidR="00631258">
        <w:t xml:space="preserve"> rahuldada</w:t>
      </w:r>
      <w:r w:rsidR="007F1280">
        <w:t>.</w:t>
      </w:r>
    </w:p>
    <w:p w14:paraId="7AFD7C7F" w14:textId="262A25B5" w:rsidR="00751998" w:rsidRDefault="00751998" w:rsidP="00751998">
      <w:pPr>
        <w:jc w:val="both"/>
      </w:pPr>
      <w:r>
        <w:t xml:space="preserve">Ausa konkurentsi teel tekkivatest efektiivsuskasudest tuleb selgelt eristada kulueeliseid, mida turul osalejad saavutavad tänu sellele, et nad ei täida turul kehtivaid regulatsioone või valitseb ebaselgus nende </w:t>
      </w:r>
      <w:r w:rsidR="006F12E2">
        <w:t xml:space="preserve">kohaldumises </w:t>
      </w:r>
      <w:r w:rsidR="00530191">
        <w:t xml:space="preserve">osadele </w:t>
      </w:r>
      <w:r>
        <w:t xml:space="preserve">teenuseosutajatele. Sellisel juhul kujunevad turuhinnad ebavõrdsetel alustel, mis sisuliselt tähendab </w:t>
      </w:r>
      <w:r w:rsidRPr="5FEB6E3E">
        <w:rPr>
          <w:b/>
        </w:rPr>
        <w:t>ebaausat konkurentsi</w:t>
      </w:r>
      <w:r>
        <w:t>. Ühiskondlikus vaates on siin põhiprobleem selles, et turul on hinnasignaalid moonutatud, mistõttu konkurentsieelise võivad saada ka need teenuse osutajad, kelle majandustegevus on teistega võrreldes ebaefektiivsem. Laiemas vaates tähendab see seda, et majanduse ressursside kasutamise efektiivsus halveneb.</w:t>
      </w:r>
      <w:r w:rsidR="008838A5">
        <w:t xml:space="preserve"> </w:t>
      </w:r>
      <w:r w:rsidR="008838A5">
        <w:lastRenderedPageBreak/>
        <w:t xml:space="preserve">Kuid nagu eespool </w:t>
      </w:r>
      <w:r w:rsidR="00D06B12">
        <w:t xml:space="preserve">konkurentsi suurenemise mõju hinnates väljendasime, </w:t>
      </w:r>
      <w:r w:rsidR="009E201B">
        <w:t>vähendab ebaausa konkurentsi negatiivset mõju asjaolu, et lühiajalise üüri</w:t>
      </w:r>
      <w:r w:rsidR="00574203">
        <w:t>mise</w:t>
      </w:r>
      <w:r w:rsidR="009E201B">
        <w:t xml:space="preserve"> puhul ei ole </w:t>
      </w:r>
      <w:r w:rsidR="00574203">
        <w:t xml:space="preserve">tegemist </w:t>
      </w:r>
      <w:r w:rsidR="00692D4A">
        <w:t xml:space="preserve">kõigi turistide jaoks </w:t>
      </w:r>
      <w:r w:rsidR="00574203">
        <w:t xml:space="preserve">traditsioonilise </w:t>
      </w:r>
      <w:r w:rsidR="00692D4A">
        <w:t>majutamise</w:t>
      </w:r>
      <w:r w:rsidR="009E201B">
        <w:t xml:space="preserve"> asendusteenusega</w:t>
      </w:r>
      <w:r w:rsidR="00692D4A">
        <w:t>. Seetõttu oleme hinnanud mõju ebaau</w:t>
      </w:r>
      <w:r w:rsidR="007E220F">
        <w:t>s</w:t>
      </w:r>
      <w:r w:rsidR="00692D4A">
        <w:t xml:space="preserve">ale konkurentsile pigem mõõdukaks, kuigi see hõlmab kogu turgu ehk </w:t>
      </w:r>
      <w:r w:rsidR="007E220F">
        <w:t>mõju ulatus on lai ja püsiv.</w:t>
      </w:r>
      <w:r>
        <w:t xml:space="preserve"> </w:t>
      </w:r>
    </w:p>
    <w:p w14:paraId="582DC22F" w14:textId="77777777" w:rsidR="003E3DAA" w:rsidRDefault="10C59CDB" w:rsidP="00751998">
      <w:pPr>
        <w:jc w:val="both"/>
      </w:pPr>
      <w:r>
        <w:t>Turuosalistega tehtud intervjuudes väljendasid hotellisektori esindajad ebaausat konkurentsi kui olulist probleemi, mis seab nad oma konkurentidega ebavõrdsesse positsiooni. Esile toodi mitmeid erinevaid aspekte, mis muudab nende jaoks teenuse osutamise ressursimahukamaks</w:t>
      </w:r>
      <w:r w:rsidR="44187093">
        <w:t>,</w:t>
      </w:r>
      <w:r>
        <w:t xml:space="preserve"> võrreldes kortermajades teenuse pakkujatega. Nagu eespool mainitud, siis moonutuslikke kulueeliseid ei tohi segamini ajada teenuse diferentseerimisega saavutatud eelistega. Nt kui ettevõtja otsustab teenust osutada eraldi hotelliks ehitatud hoones, tuleb tal sellega seoses kanda suuremaid kulusid ja täita ka </w:t>
      </w:r>
      <w:r w:rsidR="00CF1BCA">
        <w:t xml:space="preserve">majutusteenuse osutamisega mitteseotud </w:t>
      </w:r>
      <w:r>
        <w:t xml:space="preserve">lisanõudeid, nt kui tegemist on kõrghoonega ja suure vastuvõtualaga, on see ettevõtja enda otsus, ilmselt lootuses seeläbi teenida suuremaid tulusid ja rahuldada spetsiifilisi tarbija vajadusi. Sel juhul ei ole tegemist moonutusliku kulueelisega neile, kes on otsustanud pakkuda teistsugust ja vähem ressurssi nõudvat teenust. </w:t>
      </w:r>
    </w:p>
    <w:p w14:paraId="699DFFBC" w14:textId="7D48428B" w:rsidR="00751998" w:rsidRDefault="10C59CDB" w:rsidP="00751998">
      <w:pPr>
        <w:jc w:val="both"/>
      </w:pPr>
      <w:r>
        <w:t>Analoogselt ei saa käsitleda moonutusliku kulueelisena koristusteenuse säästlikumat korraldamist ühes hoones asuvates hotellitubades</w:t>
      </w:r>
      <w:r w:rsidR="7BEEAF4F">
        <w:t>,</w:t>
      </w:r>
      <w:r>
        <w:t xml:space="preserve"> võrreldes mitme külaliskorteri koristamisega erinevates kortermajades eri linna osades. Samuti ei peaks konkurentsimoonutuse põhjustajaks lugema kehtestatud regulatiivsete nõuete erinevusi. Nt kui alla 10 voodikohaga majutusettevõttele kehtivad leebemad nõuded kui üle 10 voodikohaga ettevõttele, on selle põhjuseks eeldatavalt erinev tuleohutuse risk, sest regulatiivseid nõudeid ei kehtestata mitte võrdsete tingimuste loomise eesmärgil, vaid mingi probleemi leevendamiseks. Suuremad nõuded lihtsalt väljendavad või vähemalt peaksid väljendama selle teenusega kaasnevaid suuremaid ühiskondlikke kulusid, mistõttu on nõuete erisused sel juhul igati õigustatud ja turumoonutustega siin tegemist ei ole (eeldusel, et nõuded on riskidega kooskõlas). </w:t>
      </w:r>
    </w:p>
    <w:p w14:paraId="6D68B9EB" w14:textId="4D5B1EFA" w:rsidR="00751998" w:rsidRDefault="10C59CDB" w:rsidP="00751998">
      <w:pPr>
        <w:jc w:val="both"/>
      </w:pPr>
      <w:r>
        <w:t xml:space="preserve">Õigusanalüüsi ja intervjuude sünteesi tulemusel tuvastasime peamiste probleemkohtadena, mis kehtivate regulatiivsete nõuete osas saavad konkurentsimoonutusi põhjustada, külastajate registreerimiskohustuse ning tuleohutuse tagamise. Täpsemalt, õiguslik analüüs kinnitas, et </w:t>
      </w:r>
      <w:r w:rsidR="000554F5">
        <w:t>TurS-</w:t>
      </w:r>
      <w:r w:rsidR="000A3F76">
        <w:t>i</w:t>
      </w:r>
      <w:r w:rsidR="000554F5">
        <w:t xml:space="preserve">s </w:t>
      </w:r>
      <w:r>
        <w:t xml:space="preserve">on defineeritud majutusteenuse osutaja selliselt, </w:t>
      </w:r>
      <w:r w:rsidR="17A49ED6">
        <w:t xml:space="preserve">et </w:t>
      </w:r>
      <w:r>
        <w:t>tõlgendamine pole ühemõtteliselt selge, millist majutustegevust see hõlmab. Seadus ja selles määratletud nõuded puudutavad ettevõtjaid, kes tegutsevad kutse- ja majandustegevuse raames, kellena paljud lühiajalisel üüri turul tegutsejad ennast ei pruugi määratle</w:t>
      </w:r>
      <w:r w:rsidR="5A7B7EDF">
        <w:t>da</w:t>
      </w:r>
      <w:r>
        <w:t xml:space="preserve">, mistõttu võidakse jätta ka eespool mainitud nõuded täitmata. See on olnud ilmselt ka seadusandja mõte, et ebaregulaarselt ja ajutise iseloomuga teenuse osutajatele </w:t>
      </w:r>
      <w:r w:rsidR="000554F5">
        <w:t xml:space="preserve">TurS-i </w:t>
      </w:r>
      <w:r>
        <w:t>nõudeid</w:t>
      </w:r>
      <w:r w:rsidR="00212A89">
        <w:t xml:space="preserve"> (</w:t>
      </w:r>
      <w:r w:rsidR="005C60E9">
        <w:t>ee</w:t>
      </w:r>
      <w:r w:rsidR="00183D97">
        <w:t>l</w:t>
      </w:r>
      <w:r w:rsidR="005C60E9">
        <w:t>kõige tuleohutusp</w:t>
      </w:r>
      <w:r w:rsidR="2B8509B6">
        <w:t>a</w:t>
      </w:r>
      <w:r w:rsidR="005C60E9">
        <w:t>igaldis</w:t>
      </w:r>
      <w:r w:rsidR="00183D97">
        <w:t>i,</w:t>
      </w:r>
      <w:r w:rsidR="005C60E9">
        <w:t xml:space="preserve"> </w:t>
      </w:r>
      <w:r w:rsidR="00212A89">
        <w:t>evakuatsioonit</w:t>
      </w:r>
      <w:r w:rsidR="005C60E9">
        <w:t>ei</w:t>
      </w:r>
      <w:r w:rsidR="00212A89">
        <w:t>d</w:t>
      </w:r>
      <w:r w:rsidR="00183D97">
        <w:t xml:space="preserve"> ja külaliste registreerimist</w:t>
      </w:r>
      <w:r w:rsidR="005C60E9">
        <w:t xml:space="preserve"> puudutavad)</w:t>
      </w:r>
      <w:r>
        <w:t xml:space="preserve"> mitte rakendada. Kuid konkurentsi vaates põhjustab see moonutuse</w:t>
      </w:r>
      <w:r w:rsidR="003D534A">
        <w:t xml:space="preserve">, eriti arvestades lühiajalise turu suhteliselt suurt </w:t>
      </w:r>
      <w:r w:rsidR="007F6785">
        <w:t>osakaalu</w:t>
      </w:r>
      <w:r w:rsidR="003D534A">
        <w:t xml:space="preserve"> majutusteenuste turul</w:t>
      </w:r>
      <w:r w:rsidR="007F6785">
        <w:t xml:space="preserve"> ning selle edasist kasvu</w:t>
      </w:r>
      <w:r>
        <w:t xml:space="preserve">. </w:t>
      </w:r>
    </w:p>
    <w:p w14:paraId="65B1586A" w14:textId="04B89228" w:rsidR="00145E08" w:rsidRDefault="10C59CDB" w:rsidP="00751998">
      <w:pPr>
        <w:jc w:val="both"/>
        <w:rPr>
          <w:szCs w:val="24"/>
        </w:rPr>
      </w:pPr>
      <w:r w:rsidRPr="288A3578">
        <w:t>Samas ei saa me uuringu põhjal väita, kui palju selliseid lühiajalise üüri teenuse osutajaid on, kes nimetatud nõuded täitmata jätavad või täitma ei peagi. Tur</w:t>
      </w:r>
      <w:r w:rsidR="000554F5">
        <w:t>S-</w:t>
      </w:r>
      <w:r w:rsidRPr="288A3578">
        <w:t xml:space="preserve">ga on määratletud, millised nõuded kehtivad külaliskorterites ja kodumajutuses majutusteenuse osutajatele, mille alla tüüpiliselt lühiajalisel turul tegutsevad isikud liigituvad. </w:t>
      </w:r>
      <w:r w:rsidR="00D6593D">
        <w:t>Eeld</w:t>
      </w:r>
      <w:r w:rsidR="006E5052">
        <w:t xml:space="preserve">atavalt </w:t>
      </w:r>
      <w:r w:rsidRPr="288A3578">
        <w:t xml:space="preserve">puudutab </w:t>
      </w:r>
      <w:r w:rsidR="00D95C21">
        <w:t xml:space="preserve">see küsimus </w:t>
      </w:r>
      <w:r w:rsidRPr="288A3578">
        <w:t xml:space="preserve">eelkõige </w:t>
      </w:r>
      <w:r w:rsidRPr="288A3578">
        <w:lastRenderedPageBreak/>
        <w:t>väiksemaid teenuse pakkujaid, kes tegelevad sellega ebaregulaarselt.</w:t>
      </w:r>
      <w:r w:rsidR="003D6FBA">
        <w:t xml:space="preserve"> Kuid ka </w:t>
      </w:r>
      <w:r w:rsidR="00E37642">
        <w:t xml:space="preserve">paljud </w:t>
      </w:r>
      <w:r w:rsidR="003D6FBA">
        <w:t>suurema</w:t>
      </w:r>
      <w:r w:rsidR="000B72B1">
        <w:t>d lühiajalisel üüri turul tegutsevaid majutusettevõtted</w:t>
      </w:r>
      <w:r w:rsidR="002941DA">
        <w:t xml:space="preserve">, kes sageli </w:t>
      </w:r>
      <w:r w:rsidR="00542B03">
        <w:t xml:space="preserve">füüsilistelt </w:t>
      </w:r>
      <w:r w:rsidR="006A45D8">
        <w:t>teenuse kasutajatega ei kohtugi</w:t>
      </w:r>
      <w:r w:rsidR="00B77B88">
        <w:t xml:space="preserve">, </w:t>
      </w:r>
      <w:r w:rsidR="006A46C2">
        <w:t xml:space="preserve">arvatavasti </w:t>
      </w:r>
      <w:r w:rsidR="00B77B88">
        <w:t>külaliste registreerimise nõu</w:t>
      </w:r>
      <w:r w:rsidR="00E37642">
        <w:t xml:space="preserve">de täitmisest </w:t>
      </w:r>
      <w:r w:rsidR="006A46C2">
        <w:t>hoiduvad</w:t>
      </w:r>
      <w:r w:rsidR="001172B3">
        <w:t>.</w:t>
      </w:r>
      <w:r w:rsidRPr="288A3578">
        <w:t xml:space="preserve"> Kuna järelevalveasutustel</w:t>
      </w:r>
      <w:r w:rsidR="474E9CEB" w:rsidRPr="288A3578">
        <w:t>,</w:t>
      </w:r>
      <w:r w:rsidRPr="288A3578">
        <w:t xml:space="preserve"> nagu </w:t>
      </w:r>
      <w:r w:rsidR="00B01885">
        <w:t>PA</w:t>
      </w:r>
      <w:r w:rsidR="00B01885" w:rsidRPr="288A3578">
        <w:t xml:space="preserve"> </w:t>
      </w:r>
      <w:r w:rsidRPr="288A3578">
        <w:t xml:space="preserve">või </w:t>
      </w:r>
      <w:r w:rsidR="00B01885">
        <w:t>PPA</w:t>
      </w:r>
      <w:r w:rsidR="0538A076" w:rsidRPr="288A3578">
        <w:t>,</w:t>
      </w:r>
      <w:r w:rsidRPr="288A3578">
        <w:t xml:space="preserve"> puudub lühiajalise üüri teenuse pakkujatest ülevaade, on ka süsteemset järelevalvet nende üle, kes peaksid neid nõudeid täitma, praktikas keeruline teostada. Lisaks ei analüüsinud me selles uuringus eraldi, kui suure kulueelise rahalises mõttes turul tegutsevad teenusepakkujad, kes neid nõudeid eiravad, tegelikult saavad. Sellele teadmiste lüngale vaatamata saab järeldada, et kirjeldatud ebaselgus loob eeldused lühiajalisel üüri turul osadele teenusepakkujatele oma konkurentide ees ebaausa konkurentsieelise saamiseks</w:t>
      </w:r>
      <w:r w:rsidR="0069165A">
        <w:t>.</w:t>
      </w:r>
      <w:r w:rsidR="00751998" w:rsidRPr="288A3578">
        <w:rPr>
          <w:rStyle w:val="FootnoteReference"/>
        </w:rPr>
        <w:footnoteReference w:id="132"/>
      </w:r>
    </w:p>
    <w:p w14:paraId="09D99A59" w14:textId="37CBC945" w:rsidR="00E83445" w:rsidRDefault="00E83445" w:rsidP="00751998">
      <w:pPr>
        <w:jc w:val="both"/>
      </w:pPr>
      <w:r>
        <w:rPr>
          <w:szCs w:val="24"/>
        </w:rPr>
        <w:t>Eraldi probleemiks on tuleohutusnõuete täitmise realistlikkus, kuna paljudes kortermajades majutushoonete nõuetele vastavate evakuatsiooniteede ehitamine võib osutuda ebamõistlikult kulukaks.</w:t>
      </w:r>
      <w:r w:rsidR="000F6A8C">
        <w:rPr>
          <w:szCs w:val="24"/>
        </w:rPr>
        <w:t xml:space="preserve"> Seega isegi kui </w:t>
      </w:r>
      <w:r w:rsidR="000554F5">
        <w:rPr>
          <w:szCs w:val="24"/>
        </w:rPr>
        <w:t xml:space="preserve">TurS-ga </w:t>
      </w:r>
      <w:r w:rsidR="000F6A8C">
        <w:rPr>
          <w:szCs w:val="24"/>
        </w:rPr>
        <w:t xml:space="preserve">on üsna selgelt määratletud üle </w:t>
      </w:r>
      <w:r w:rsidR="005A68A6">
        <w:rPr>
          <w:szCs w:val="24"/>
        </w:rPr>
        <w:t>kümne</w:t>
      </w:r>
      <w:r w:rsidR="000F6A8C">
        <w:rPr>
          <w:szCs w:val="24"/>
        </w:rPr>
        <w:t xml:space="preserve"> voodikohaga majutus</w:t>
      </w:r>
      <w:r w:rsidR="00644A07">
        <w:rPr>
          <w:szCs w:val="24"/>
        </w:rPr>
        <w:t xml:space="preserve">ettevõtte </w:t>
      </w:r>
      <w:r w:rsidR="00EB5E1B">
        <w:rPr>
          <w:szCs w:val="24"/>
        </w:rPr>
        <w:t xml:space="preserve">hoonele kehtivad nõuded, siis jäetakse need täitmata, kuna see pole </w:t>
      </w:r>
      <w:r w:rsidR="00A1111B">
        <w:rPr>
          <w:szCs w:val="24"/>
        </w:rPr>
        <w:t xml:space="preserve">teenuse pakkujale lihtsalt jõukohane. Kuna </w:t>
      </w:r>
      <w:r w:rsidR="00B01885">
        <w:rPr>
          <w:szCs w:val="24"/>
        </w:rPr>
        <w:t xml:space="preserve">PA </w:t>
      </w:r>
      <w:r w:rsidR="00A1111B">
        <w:rPr>
          <w:szCs w:val="24"/>
        </w:rPr>
        <w:t>ei tee eraldi järelevalvet kortermajades majutusteenuse pakkujatele, valitsebki turul olukord, kus ka kehtivaid nõudeid ei täideta, mis omakorda põhjustab ebaausat konkurentsi.</w:t>
      </w:r>
    </w:p>
    <w:p w14:paraId="1D8F7927" w14:textId="1FF53383" w:rsidR="00F7483A" w:rsidRDefault="10C59CDB" w:rsidP="00751998">
      <w:pPr>
        <w:jc w:val="both"/>
      </w:pPr>
      <w:r>
        <w:t xml:space="preserve">Täiendav probleem tuleohutusnõuetega tekib kortermajades, kus on palju külaliskortereid. Sisuliselt hakkab selline hoone tuleohutusriskide osas sarnanema tüüpilise majutushoonega, kus on </w:t>
      </w:r>
      <w:r w:rsidR="52B77927">
        <w:t xml:space="preserve">koos </w:t>
      </w:r>
      <w:r>
        <w:t xml:space="preserve">palju inimesi, kes hoonet hästi ei tunne ja tulekahju korral on nende evakueerimine keerulisem kui kortermajade püsielanikel. Seetõttu kehtivadki majutushoonetele </w:t>
      </w:r>
      <w:r w:rsidR="00D867F7">
        <w:t xml:space="preserve">mõnevõrra </w:t>
      </w:r>
      <w:r>
        <w:t xml:space="preserve">rangemad nõuded, nt </w:t>
      </w:r>
      <w:r w:rsidR="00AC69AD">
        <w:t>tekstiilsele sisustusmaterjalile</w:t>
      </w:r>
      <w:r>
        <w:t xml:space="preserve">. </w:t>
      </w:r>
      <w:r w:rsidR="0076502A">
        <w:t xml:space="preserve">Võimalik, et kehtivas seaduses ongi nõuded </w:t>
      </w:r>
      <w:r w:rsidR="00190A67">
        <w:t xml:space="preserve">majutushoonetele </w:t>
      </w:r>
      <w:r w:rsidR="0076502A">
        <w:t xml:space="preserve">liialt ranged ja </w:t>
      </w:r>
      <w:r w:rsidR="00190A67">
        <w:t xml:space="preserve">neid võiks leevendada. </w:t>
      </w:r>
      <w:r w:rsidR="00BB4145">
        <w:t>Majutusa</w:t>
      </w:r>
      <w:r w:rsidR="0E822E28">
        <w:t>s</w:t>
      </w:r>
      <w:r w:rsidR="00BB4145">
        <w:t xml:space="preserve">utuste </w:t>
      </w:r>
      <w:r w:rsidR="00B82B19">
        <w:t>jaoks optimaalse</w:t>
      </w:r>
      <w:r w:rsidR="00101FE2">
        <w:t>te</w:t>
      </w:r>
      <w:r w:rsidR="00B82B19">
        <w:t xml:space="preserve"> tuleohutus</w:t>
      </w:r>
      <w:r w:rsidR="00101FE2">
        <w:t xml:space="preserve">reeglite </w:t>
      </w:r>
      <w:r w:rsidR="000125FE">
        <w:t>kujundamine</w:t>
      </w:r>
      <w:r w:rsidR="00BB4145">
        <w:t xml:space="preserve"> </w:t>
      </w:r>
      <w:r w:rsidR="00190A67">
        <w:t>vajab eraldi tuleohu</w:t>
      </w:r>
      <w:r w:rsidR="00FB4B8E">
        <w:t>tu</w:t>
      </w:r>
      <w:r w:rsidR="00190A67">
        <w:t>se alast analüüsi.</w:t>
      </w:r>
    </w:p>
    <w:p w14:paraId="5F99D803" w14:textId="28BB8CAD" w:rsidR="00751998" w:rsidRDefault="00A1111B" w:rsidP="00751998">
      <w:pPr>
        <w:jc w:val="both"/>
      </w:pPr>
      <w:r>
        <w:t xml:space="preserve">Kokkuvõttes </w:t>
      </w:r>
      <w:r w:rsidR="006D536A">
        <w:t>tekitab hetkeolukord</w:t>
      </w:r>
      <w:r w:rsidR="10C59CDB">
        <w:t xml:space="preserve"> kulueelis</w:t>
      </w:r>
      <w:r w:rsidR="006D536A">
        <w:t>e</w:t>
      </w:r>
      <w:r w:rsidR="10C59CDB">
        <w:t xml:space="preserve"> </w:t>
      </w:r>
      <w:r w:rsidR="006D536A">
        <w:t>majutus</w:t>
      </w:r>
      <w:r w:rsidR="10C59CDB">
        <w:t>teenus</w:t>
      </w:r>
      <w:r w:rsidR="006D536A">
        <w:t>e osutamisel</w:t>
      </w:r>
      <w:r w:rsidR="10C59CDB">
        <w:t xml:space="preserve"> kortermajades, mis läbi hinnasignaalide jõuab ka turule. Näiteks hotellide esindajate sõnul on ka majutusasutuse ehitus majutusasutusena ligikaudu 20% kallim kui ehitada tavaline korterelamu ja hakata seal teenuseid osutama. </w:t>
      </w:r>
      <w:r w:rsidR="00CA4987">
        <w:t xml:space="preserve">Ilmselt see küll ülehindab tegelikku kulueelist, kuna sisaldab ka </w:t>
      </w:r>
      <w:r w:rsidR="00377576">
        <w:t xml:space="preserve">ettevõtjate regulatsioonidest sõltumatute valikutega kaasnevaid lisakulusid, kuid ilmestab </w:t>
      </w:r>
      <w:r w:rsidR="00B957F8">
        <w:t>hästi</w:t>
      </w:r>
      <w:r w:rsidR="00A17D33">
        <w:t>, kuidas tajutakse</w:t>
      </w:r>
      <w:r w:rsidR="00B957F8">
        <w:t xml:space="preserve"> </w:t>
      </w:r>
      <w:r w:rsidR="00377576">
        <w:t>turu</w:t>
      </w:r>
      <w:r w:rsidR="00B957F8">
        <w:t>l</w:t>
      </w:r>
      <w:r w:rsidR="00377576">
        <w:t xml:space="preserve"> valitseva</w:t>
      </w:r>
      <w:r w:rsidR="00B957F8">
        <w:t xml:space="preserve"> probleemi </w:t>
      </w:r>
      <w:r w:rsidR="00A17D33">
        <w:t>ulatust</w:t>
      </w:r>
      <w:r w:rsidR="00B957F8">
        <w:t>.</w:t>
      </w:r>
      <w:r w:rsidR="00377576">
        <w:t xml:space="preserve"> </w:t>
      </w:r>
    </w:p>
    <w:p w14:paraId="2C00CE72" w14:textId="6DEDCA93" w:rsidR="00751998" w:rsidRDefault="00751998" w:rsidP="00751998">
      <w:pPr>
        <w:jc w:val="both"/>
        <w:rPr>
          <w:szCs w:val="24"/>
        </w:rPr>
      </w:pPr>
      <w:r>
        <w:rPr>
          <w:szCs w:val="24"/>
        </w:rPr>
        <w:t xml:space="preserve">Oleme tabelis </w:t>
      </w:r>
      <w:r w:rsidR="009200DF">
        <w:rPr>
          <w:szCs w:val="24"/>
        </w:rPr>
        <w:t>13</w:t>
      </w:r>
      <w:r>
        <w:rPr>
          <w:szCs w:val="24"/>
        </w:rPr>
        <w:t xml:space="preserve"> ka kokkuvõtlikult struktureerinud tuleohutusnõuetest tingitud konkurentsimoonutused eri tüüpi majutusruume kasutavate teenusepakkujate vahel. Nagu tabelist näha, </w:t>
      </w:r>
      <w:r w:rsidR="0042759B">
        <w:rPr>
          <w:szCs w:val="24"/>
        </w:rPr>
        <w:t>on</w:t>
      </w:r>
      <w:r>
        <w:rPr>
          <w:szCs w:val="24"/>
        </w:rPr>
        <w:t xml:space="preserve"> probleem eelkõige alumises ja ülemises otsas: nendega, kes ei määratle enda tegevust püsiva majandustegevusena ja seal, kus kortermaja hakkab muutuma hotelli tüüpi hooneks. </w:t>
      </w:r>
      <w:r w:rsidRPr="00BF79E5">
        <w:rPr>
          <w:szCs w:val="24"/>
        </w:rPr>
        <w:t xml:space="preserve">Sõltumata sellest, kas probleem on tingitud kehtivate regulatsioonide mittetäitmisest, nende ebaselgusest või puudulikkusest, annab selline olukord moonutusliku kulueelise lühiajalisel üüri turul teenuste osutajatele. Kusjuures see eelis tekib nii majutusteenuse kasutaja arvelt, kes satub suuremasse ohtu tuleohutuse mõttes, korrakaitseasutuste arvelt, kes ei saa vajadusel hoones majutatute kohta andmeid ja peavad selle tulemusel teatud juhtudel oma ülesannete </w:t>
      </w:r>
      <w:r w:rsidRPr="00BF79E5">
        <w:rPr>
          <w:szCs w:val="24"/>
        </w:rPr>
        <w:lastRenderedPageBreak/>
        <w:t xml:space="preserve">täitmiseks rohkem ressurssi kasutama, aga ka hotellisektoris tegutsevate ettevõtete arvelt, kes kaotavad selle tulemusel kliente </w:t>
      </w:r>
      <w:r w:rsidR="00A01A0F">
        <w:rPr>
          <w:szCs w:val="24"/>
        </w:rPr>
        <w:t xml:space="preserve">ka </w:t>
      </w:r>
      <w:r w:rsidR="00B86386">
        <w:rPr>
          <w:szCs w:val="24"/>
        </w:rPr>
        <w:t>ebaefektiivsemalt tegutsevatele konkurentidele</w:t>
      </w:r>
      <w:r w:rsidRPr="00BF79E5">
        <w:rPr>
          <w:szCs w:val="24"/>
        </w:rPr>
        <w:t>.</w:t>
      </w:r>
    </w:p>
    <w:p w14:paraId="35FCBFB6" w14:textId="5BE3D41B" w:rsidR="00751998" w:rsidRDefault="00751998" w:rsidP="009200DF">
      <w:pPr>
        <w:pStyle w:val="TableTitle"/>
        <w:rPr>
          <w:szCs w:val="24"/>
        </w:rPr>
      </w:pPr>
      <w:r>
        <w:rPr>
          <w:szCs w:val="24"/>
        </w:rPr>
        <w:t xml:space="preserve"> Tabel </w:t>
      </w:r>
      <w:r w:rsidR="009200DF">
        <w:t>13</w:t>
      </w:r>
      <w:r>
        <w:rPr>
          <w:szCs w:val="24"/>
        </w:rPr>
        <w:t xml:space="preserve">. Tuleohutusnõuetega seotud konkurentsimoonutused </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4285"/>
        <w:gridCol w:w="3538"/>
      </w:tblGrid>
      <w:tr w:rsidR="004F5F3C" w:rsidRPr="009200DF" w14:paraId="5D303E75" w14:textId="77777777" w:rsidTr="00B3037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280" w:type="dxa"/>
          </w:tcPr>
          <w:p w14:paraId="3C5369DB" w14:textId="77777777" w:rsidR="00751998" w:rsidRPr="009200DF" w:rsidRDefault="00751998">
            <w:pPr>
              <w:jc w:val="center"/>
              <w:rPr>
                <w:b w:val="0"/>
                <w:sz w:val="20"/>
                <w:szCs w:val="20"/>
              </w:rPr>
            </w:pPr>
            <w:r w:rsidRPr="009200DF">
              <w:rPr>
                <w:sz w:val="20"/>
                <w:szCs w:val="20"/>
              </w:rPr>
              <w:t>Eluruumis teenuse osutamine</w:t>
            </w:r>
          </w:p>
        </w:tc>
        <w:tc>
          <w:tcPr>
            <w:tcW w:w="4285" w:type="dxa"/>
          </w:tcPr>
          <w:p w14:paraId="6710CDFF" w14:textId="56814B08" w:rsidR="00751998" w:rsidRPr="009200DF" w:rsidRDefault="00751998">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9200DF">
              <w:rPr>
                <w:sz w:val="20"/>
                <w:szCs w:val="20"/>
              </w:rPr>
              <w:t xml:space="preserve">Kehtivad nõuded </w:t>
            </w:r>
            <w:r w:rsidR="000554F5">
              <w:rPr>
                <w:sz w:val="20"/>
                <w:szCs w:val="20"/>
              </w:rPr>
              <w:t>TurS-i</w:t>
            </w:r>
            <w:r w:rsidR="000554F5" w:rsidRPr="009200DF">
              <w:rPr>
                <w:sz w:val="20"/>
                <w:szCs w:val="20"/>
              </w:rPr>
              <w:t xml:space="preserve"> </w:t>
            </w:r>
            <w:r w:rsidRPr="009200DF">
              <w:rPr>
                <w:sz w:val="20"/>
                <w:szCs w:val="20"/>
              </w:rPr>
              <w:t>järgi</w:t>
            </w:r>
          </w:p>
        </w:tc>
        <w:tc>
          <w:tcPr>
            <w:tcW w:w="3538" w:type="dxa"/>
          </w:tcPr>
          <w:p w14:paraId="0ABBAEDE" w14:textId="77777777" w:rsidR="00751998" w:rsidRPr="009200DF" w:rsidRDefault="00751998">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9200DF">
              <w:rPr>
                <w:sz w:val="20"/>
                <w:szCs w:val="20"/>
              </w:rPr>
              <w:t>Seadusest tulenev konkurentsimoonutus</w:t>
            </w:r>
          </w:p>
        </w:tc>
      </w:tr>
      <w:tr w:rsidR="006B1E5D" w:rsidRPr="009200DF" w14:paraId="10303D44" w14:textId="77777777" w:rsidTr="00920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dxa"/>
          </w:tcPr>
          <w:p w14:paraId="1ED8F71B" w14:textId="77777777" w:rsidR="00751998" w:rsidRPr="009200DF" w:rsidRDefault="00751998" w:rsidP="009200DF">
            <w:pPr>
              <w:rPr>
                <w:sz w:val="20"/>
                <w:szCs w:val="20"/>
              </w:rPr>
            </w:pPr>
            <w:r w:rsidRPr="009200DF">
              <w:rPr>
                <w:sz w:val="20"/>
                <w:szCs w:val="20"/>
              </w:rPr>
              <w:t>Ebaregulaarselt teenuse osutamine</w:t>
            </w:r>
          </w:p>
        </w:tc>
        <w:tc>
          <w:tcPr>
            <w:tcW w:w="4285" w:type="dxa"/>
          </w:tcPr>
          <w:p w14:paraId="048C902B" w14:textId="77777777" w:rsidR="00751998" w:rsidRPr="009200DF" w:rsidRDefault="00751998" w:rsidP="009200DF">
            <w:pPr>
              <w:cnfStyle w:val="000000100000" w:firstRow="0" w:lastRow="0" w:firstColumn="0" w:lastColumn="0" w:oddVBand="0" w:evenVBand="0" w:oddHBand="1" w:evenHBand="0" w:firstRowFirstColumn="0" w:firstRowLastColumn="0" w:lastRowFirstColumn="0" w:lastRowLastColumn="0"/>
              <w:rPr>
                <w:sz w:val="20"/>
                <w:szCs w:val="20"/>
              </w:rPr>
            </w:pPr>
            <w:r w:rsidRPr="009200DF">
              <w:rPr>
                <w:sz w:val="20"/>
                <w:szCs w:val="20"/>
              </w:rPr>
              <w:t>Puuduvad</w:t>
            </w:r>
          </w:p>
        </w:tc>
        <w:tc>
          <w:tcPr>
            <w:tcW w:w="3538" w:type="dxa"/>
          </w:tcPr>
          <w:p w14:paraId="1F836E6E" w14:textId="1809BFCE" w:rsidR="00751998" w:rsidRPr="009200DF" w:rsidRDefault="00751998" w:rsidP="009200DF">
            <w:pPr>
              <w:cnfStyle w:val="000000100000" w:firstRow="0" w:lastRow="0" w:firstColumn="0" w:lastColumn="0" w:oddVBand="0" w:evenVBand="0" w:oddHBand="1" w:evenHBand="0" w:firstRowFirstColumn="0" w:firstRowLastColumn="0" w:lastRowFirstColumn="0" w:lastRowLastColumn="0"/>
              <w:rPr>
                <w:sz w:val="20"/>
                <w:szCs w:val="20"/>
              </w:rPr>
            </w:pPr>
            <w:r w:rsidRPr="009200DF">
              <w:rPr>
                <w:sz w:val="20"/>
                <w:szCs w:val="20"/>
              </w:rPr>
              <w:t>Ebaaus kulueelis kõigi teiste ees</w:t>
            </w:r>
          </w:p>
        </w:tc>
      </w:tr>
      <w:tr w:rsidR="006B1E5D" w:rsidRPr="009200DF" w14:paraId="587E767A" w14:textId="77777777" w:rsidTr="009200DF">
        <w:tc>
          <w:tcPr>
            <w:cnfStyle w:val="001000000000" w:firstRow="0" w:lastRow="0" w:firstColumn="1" w:lastColumn="0" w:oddVBand="0" w:evenVBand="0" w:oddHBand="0" w:evenHBand="0" w:firstRowFirstColumn="0" w:firstRowLastColumn="0" w:lastRowFirstColumn="0" w:lastRowLastColumn="0"/>
            <w:tcW w:w="2280" w:type="dxa"/>
          </w:tcPr>
          <w:p w14:paraId="25AB223C" w14:textId="3E1085B1" w:rsidR="00751998" w:rsidRPr="009200DF" w:rsidRDefault="7DB81683" w:rsidP="009200DF">
            <w:pPr>
              <w:rPr>
                <w:sz w:val="20"/>
                <w:szCs w:val="20"/>
              </w:rPr>
            </w:pPr>
            <w:r w:rsidRPr="5EA08A04">
              <w:rPr>
                <w:sz w:val="20"/>
                <w:szCs w:val="20"/>
              </w:rPr>
              <w:t>Kuni</w:t>
            </w:r>
            <w:r w:rsidR="00751998" w:rsidRPr="009200DF">
              <w:rPr>
                <w:sz w:val="20"/>
                <w:szCs w:val="20"/>
              </w:rPr>
              <w:t xml:space="preserve"> 10 voodikohaga majutusettevõte</w:t>
            </w:r>
          </w:p>
        </w:tc>
        <w:tc>
          <w:tcPr>
            <w:tcW w:w="4285" w:type="dxa"/>
          </w:tcPr>
          <w:p w14:paraId="314D2B0B" w14:textId="77777777" w:rsidR="00751998" w:rsidRPr="009200DF" w:rsidRDefault="00751998" w:rsidP="009200DF">
            <w:pPr>
              <w:cnfStyle w:val="000000000000" w:firstRow="0" w:lastRow="0" w:firstColumn="0" w:lastColumn="0" w:oddVBand="0" w:evenVBand="0" w:oddHBand="0" w:evenHBand="0" w:firstRowFirstColumn="0" w:firstRowLastColumn="0" w:lastRowFirstColumn="0" w:lastRowLastColumn="0"/>
              <w:rPr>
                <w:sz w:val="20"/>
                <w:szCs w:val="20"/>
              </w:rPr>
            </w:pPr>
            <w:r w:rsidRPr="009200DF">
              <w:rPr>
                <w:sz w:val="20"/>
                <w:szCs w:val="20"/>
              </w:rPr>
              <w:t>Tuleohutuse meelespea, välisuks võtmeta avatav, autonoomne tulekahjusignalisatsiooniandur ja vingugaasiandur</w:t>
            </w:r>
          </w:p>
        </w:tc>
        <w:tc>
          <w:tcPr>
            <w:tcW w:w="3538" w:type="dxa"/>
          </w:tcPr>
          <w:p w14:paraId="78791744" w14:textId="77777777" w:rsidR="00751998" w:rsidRPr="009200DF" w:rsidRDefault="00751998" w:rsidP="009200DF">
            <w:pPr>
              <w:cnfStyle w:val="000000000000" w:firstRow="0" w:lastRow="0" w:firstColumn="0" w:lastColumn="0" w:oddVBand="0" w:evenVBand="0" w:oddHBand="0" w:evenHBand="0" w:firstRowFirstColumn="0" w:firstRowLastColumn="0" w:lastRowFirstColumn="0" w:lastRowLastColumn="0"/>
              <w:rPr>
                <w:sz w:val="20"/>
                <w:szCs w:val="20"/>
              </w:rPr>
            </w:pPr>
            <w:r w:rsidRPr="009200DF">
              <w:rPr>
                <w:sz w:val="20"/>
                <w:szCs w:val="20"/>
              </w:rPr>
              <w:t>Ebaaus kulueelis puudub, kui järgib nõudeid</w:t>
            </w:r>
          </w:p>
        </w:tc>
      </w:tr>
      <w:tr w:rsidR="006B1E5D" w:rsidRPr="009200DF" w14:paraId="5D56D2C8" w14:textId="77777777" w:rsidTr="00920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dxa"/>
          </w:tcPr>
          <w:p w14:paraId="0693FA05" w14:textId="1F241CD2" w:rsidR="00751998" w:rsidRPr="009200DF" w:rsidRDefault="00751998" w:rsidP="009200DF">
            <w:pPr>
              <w:rPr>
                <w:sz w:val="20"/>
                <w:szCs w:val="20"/>
              </w:rPr>
            </w:pPr>
            <w:r w:rsidRPr="009200DF">
              <w:rPr>
                <w:sz w:val="20"/>
                <w:szCs w:val="20"/>
              </w:rPr>
              <w:t xml:space="preserve">Üle 10 </w:t>
            </w:r>
            <w:r w:rsidR="5FC577AE" w:rsidRPr="5EA08A04">
              <w:rPr>
                <w:sz w:val="20"/>
                <w:szCs w:val="20"/>
              </w:rPr>
              <w:t>voodi</w:t>
            </w:r>
            <w:r w:rsidRPr="5EA08A04">
              <w:rPr>
                <w:sz w:val="20"/>
                <w:szCs w:val="20"/>
              </w:rPr>
              <w:t>kohaga</w:t>
            </w:r>
            <w:r w:rsidRPr="009200DF">
              <w:rPr>
                <w:sz w:val="20"/>
                <w:szCs w:val="20"/>
              </w:rPr>
              <w:t xml:space="preserve"> majutusettevõte</w:t>
            </w:r>
          </w:p>
        </w:tc>
        <w:tc>
          <w:tcPr>
            <w:tcW w:w="4285" w:type="dxa"/>
            <w:vMerge w:val="restart"/>
          </w:tcPr>
          <w:p w14:paraId="75EB412B" w14:textId="77777777" w:rsidR="00751998" w:rsidRPr="009200DF" w:rsidRDefault="00751998" w:rsidP="009200DF">
            <w:pPr>
              <w:cnfStyle w:val="000000100000" w:firstRow="0" w:lastRow="0" w:firstColumn="0" w:lastColumn="0" w:oddVBand="0" w:evenVBand="0" w:oddHBand="1" w:evenHBand="0" w:firstRowFirstColumn="0" w:firstRowLastColumn="0" w:lastRowFirstColumn="0" w:lastRowLastColumn="0"/>
              <w:rPr>
                <w:sz w:val="20"/>
                <w:szCs w:val="20"/>
              </w:rPr>
            </w:pPr>
            <w:r w:rsidRPr="009200DF">
              <w:rPr>
                <w:sz w:val="20"/>
                <w:szCs w:val="20"/>
              </w:rPr>
              <w:t xml:space="preserve">Tuleohutuse meelespea, evakuatsiooni ja tulekahju korral tegutsemise skeem, </w:t>
            </w:r>
          </w:p>
          <w:p w14:paraId="5D300708" w14:textId="77777777" w:rsidR="00751998" w:rsidRPr="009200DF" w:rsidRDefault="00751998" w:rsidP="009200DF">
            <w:pPr>
              <w:cnfStyle w:val="000000100000" w:firstRow="0" w:lastRow="0" w:firstColumn="0" w:lastColumn="0" w:oddVBand="0" w:evenVBand="0" w:oddHBand="1" w:evenHBand="0" w:firstRowFirstColumn="0" w:firstRowLastColumn="0" w:lastRowFirstColumn="0" w:lastRowLastColumn="0"/>
              <w:rPr>
                <w:sz w:val="20"/>
                <w:szCs w:val="20"/>
              </w:rPr>
            </w:pPr>
            <w:r w:rsidRPr="009200DF">
              <w:rPr>
                <w:sz w:val="20"/>
                <w:szCs w:val="20"/>
              </w:rPr>
              <w:t>majutushoonetega samad evakuatsiooni ja tuleohutuspaigaldiste nõuded</w:t>
            </w:r>
          </w:p>
        </w:tc>
        <w:tc>
          <w:tcPr>
            <w:tcW w:w="3538" w:type="dxa"/>
          </w:tcPr>
          <w:p w14:paraId="168A93DA" w14:textId="77777777" w:rsidR="00751998" w:rsidRPr="009200DF" w:rsidRDefault="00751998" w:rsidP="009200DF">
            <w:pPr>
              <w:cnfStyle w:val="000000100000" w:firstRow="0" w:lastRow="0" w:firstColumn="0" w:lastColumn="0" w:oddVBand="0" w:evenVBand="0" w:oddHBand="1" w:evenHBand="0" w:firstRowFirstColumn="0" w:firstRowLastColumn="0" w:lastRowFirstColumn="0" w:lastRowLastColumn="0"/>
              <w:rPr>
                <w:sz w:val="20"/>
                <w:szCs w:val="20"/>
              </w:rPr>
            </w:pPr>
            <w:r w:rsidRPr="009200DF">
              <w:rPr>
                <w:sz w:val="20"/>
                <w:szCs w:val="20"/>
              </w:rPr>
              <w:t>Ebaaus kulueelis puudub, kui järgib nõudeid</w:t>
            </w:r>
          </w:p>
        </w:tc>
      </w:tr>
      <w:tr w:rsidR="006B1E5D" w:rsidRPr="009200DF" w14:paraId="71271DB1" w14:textId="77777777" w:rsidTr="009200DF">
        <w:tc>
          <w:tcPr>
            <w:cnfStyle w:val="001000000000" w:firstRow="0" w:lastRow="0" w:firstColumn="1" w:lastColumn="0" w:oddVBand="0" w:evenVBand="0" w:oddHBand="0" w:evenHBand="0" w:firstRowFirstColumn="0" w:firstRowLastColumn="0" w:lastRowFirstColumn="0" w:lastRowLastColumn="0"/>
            <w:tcW w:w="2280" w:type="dxa"/>
          </w:tcPr>
          <w:p w14:paraId="66E13286" w14:textId="49216E6E" w:rsidR="00751998" w:rsidRPr="009200DF" w:rsidRDefault="00751998" w:rsidP="009200DF">
            <w:pPr>
              <w:rPr>
                <w:sz w:val="20"/>
                <w:szCs w:val="20"/>
              </w:rPr>
            </w:pPr>
            <w:r w:rsidRPr="009200DF">
              <w:rPr>
                <w:sz w:val="20"/>
                <w:szCs w:val="20"/>
              </w:rPr>
              <w:t>Paljude külaliskorteritega kortermaja</w:t>
            </w:r>
          </w:p>
        </w:tc>
        <w:tc>
          <w:tcPr>
            <w:tcW w:w="4285" w:type="dxa"/>
            <w:vMerge/>
          </w:tcPr>
          <w:p w14:paraId="685C1FC9" w14:textId="77777777" w:rsidR="00751998" w:rsidRPr="009200DF" w:rsidRDefault="00751998" w:rsidP="009200DF">
            <w:pPr>
              <w:cnfStyle w:val="000000000000" w:firstRow="0" w:lastRow="0" w:firstColumn="0" w:lastColumn="0" w:oddVBand="0" w:evenVBand="0" w:oddHBand="0" w:evenHBand="0" w:firstRowFirstColumn="0" w:firstRowLastColumn="0" w:lastRowFirstColumn="0" w:lastRowLastColumn="0"/>
              <w:rPr>
                <w:sz w:val="20"/>
                <w:szCs w:val="20"/>
              </w:rPr>
            </w:pPr>
          </w:p>
        </w:tc>
        <w:tc>
          <w:tcPr>
            <w:tcW w:w="3538" w:type="dxa"/>
          </w:tcPr>
          <w:p w14:paraId="313C4B72" w14:textId="1AE59DA9" w:rsidR="00751998" w:rsidRPr="009200DF" w:rsidRDefault="00751998" w:rsidP="009200DF">
            <w:pPr>
              <w:cnfStyle w:val="000000000000" w:firstRow="0" w:lastRow="0" w:firstColumn="0" w:lastColumn="0" w:oddVBand="0" w:evenVBand="0" w:oddHBand="0" w:evenHBand="0" w:firstRowFirstColumn="0" w:firstRowLastColumn="0" w:lastRowFirstColumn="0" w:lastRowLastColumn="0"/>
              <w:rPr>
                <w:sz w:val="20"/>
                <w:szCs w:val="20"/>
              </w:rPr>
            </w:pPr>
            <w:r w:rsidRPr="009200DF">
              <w:rPr>
                <w:sz w:val="20"/>
                <w:szCs w:val="20"/>
              </w:rPr>
              <w:t xml:space="preserve">Ebaaus kulueelis majutushoonetega, millele rakenduvad täiendavad tuleohutusnõuded (nt </w:t>
            </w:r>
            <w:r w:rsidR="00394033">
              <w:rPr>
                <w:sz w:val="20"/>
                <w:szCs w:val="20"/>
              </w:rPr>
              <w:t xml:space="preserve">nõuded </w:t>
            </w:r>
            <w:r w:rsidR="00D2207E">
              <w:rPr>
                <w:rFonts w:ascii="Arial" w:hAnsi="Arial" w:cs="Arial"/>
                <w:color w:val="202020"/>
                <w:sz w:val="21"/>
                <w:szCs w:val="21"/>
                <w:shd w:val="clear" w:color="auto" w:fill="FFFFFF"/>
              </w:rPr>
              <w:t>kardinatele, vaipadele, madratsitele, tekkidele, patjadele, pehmele mööblile</w:t>
            </w:r>
            <w:r w:rsidR="009158C3">
              <w:rPr>
                <w:sz w:val="20"/>
                <w:szCs w:val="20"/>
              </w:rPr>
              <w:t>)</w:t>
            </w:r>
          </w:p>
        </w:tc>
      </w:tr>
    </w:tbl>
    <w:p w14:paraId="6A350D2F" w14:textId="6D72EB87" w:rsidR="006B6718" w:rsidRDefault="10C59CDB" w:rsidP="288A3578">
      <w:pPr>
        <w:jc w:val="both"/>
      </w:pPr>
      <w:r>
        <w:t>Uuringu intervjuudes tõid mitmed majutusteenuse pakkujad esile ka probleemi varimajandusega. Seda mainisid probleemina nii hotellisektori esindajad, kes viitasid nende juures töötavate koristajate lisatööle ümbrikupalga eest külaliskorterites, kui ka lühiajalist üüriteenust suures mahus pakkuvad ettevõtjad. Tood</w:t>
      </w:r>
      <w:r w:rsidR="64158613">
        <w:t>i</w:t>
      </w:r>
      <w:r>
        <w:t xml:space="preserve"> esile, et eriti just väiksemad teenusepakkujad ilmselt kõiki maksukohustusi korrektselt ei täida, samas osutati ka kümneid külaliskortereid opereerivatele ettevõtetele, kellel ei ole ametlikult tööl ühtegi töötajat, mida peeti ebarealistlikuks. Intervjuu Maksu- ja Tolliameti esindajatega </w:t>
      </w:r>
      <w:r w:rsidR="00DA3122">
        <w:t>kinnitas</w:t>
      </w:r>
      <w:r>
        <w:t xml:space="preserve">, et selle valdkonnaga maksuhaldur </w:t>
      </w:r>
      <w:r w:rsidR="00E134C6">
        <w:t xml:space="preserve">suhteliselt </w:t>
      </w:r>
      <w:r>
        <w:t>väikes</w:t>
      </w:r>
      <w:r w:rsidR="00F152A3">
        <w:t>e</w:t>
      </w:r>
      <w:r>
        <w:t xml:space="preserve"> maksuriski tõttu süsteemselt eraldi ei tegele</w:t>
      </w:r>
      <w:r w:rsidR="003A4277">
        <w:t>, kuid</w:t>
      </w:r>
      <w:r>
        <w:t xml:space="preserve"> sularahas tehingute tegemist ja tulude varjamist selles valdkonnas hinnati üsna tõenäoliseks. Seega </w:t>
      </w:r>
      <w:r w:rsidR="005A1983">
        <w:t>on tõenäoline, et</w:t>
      </w:r>
      <w:r w:rsidR="00A76F48">
        <w:t xml:space="preserve"> arvestatavad </w:t>
      </w:r>
      <w:r>
        <w:t xml:space="preserve">konkurentsimoonutused </w:t>
      </w:r>
      <w:r w:rsidR="00F94EA7">
        <w:t>esine</w:t>
      </w:r>
      <w:r w:rsidR="005A1983">
        <w:t>vad</w:t>
      </w:r>
      <w:r w:rsidR="00F94EA7">
        <w:t xml:space="preserve"> </w:t>
      </w:r>
      <w:r>
        <w:t>majutussektoris ka varimajanduse</w:t>
      </w:r>
      <w:r w:rsidR="005A1983">
        <w:t>st tulenevalt, kui</w:t>
      </w:r>
      <w:r w:rsidR="009064BC">
        <w:t xml:space="preserve"> </w:t>
      </w:r>
      <w:r w:rsidR="00EF025A">
        <w:t>osa</w:t>
      </w:r>
      <w:r w:rsidR="009064BC">
        <w:t xml:space="preserve"> teenuse osutaja</w:t>
      </w:r>
      <w:r w:rsidR="00EF025A">
        <w:t>test</w:t>
      </w:r>
      <w:r w:rsidR="009064BC">
        <w:t xml:space="preserve"> saavad </w:t>
      </w:r>
      <w:r w:rsidR="0090762B">
        <w:t>maksukohustuse täitmisest</w:t>
      </w:r>
      <w:r w:rsidR="008D4E7B">
        <w:t xml:space="preserve"> hoidudes olulise kulueelise.</w:t>
      </w:r>
      <w:r>
        <w:t xml:space="preserve"> </w:t>
      </w:r>
      <w:r w:rsidR="00EF025A">
        <w:t xml:space="preserve">Selle </w:t>
      </w:r>
      <w:r>
        <w:t xml:space="preserve">suurust me </w:t>
      </w:r>
      <w:r w:rsidR="1C1D5CB5">
        <w:t xml:space="preserve">küll </w:t>
      </w:r>
      <w:r>
        <w:t>selle uuringuga kvantitatiivselt ei hinnanud</w:t>
      </w:r>
      <w:r w:rsidR="00A913F2">
        <w:t xml:space="preserve">, kuid arvestades </w:t>
      </w:r>
      <w:r w:rsidR="00A00994">
        <w:t>tööjõu</w:t>
      </w:r>
      <w:r w:rsidR="00D30E89">
        <w:t xml:space="preserve">maksude suhteliselt kõrget </w:t>
      </w:r>
      <w:r w:rsidR="008232D7">
        <w:t xml:space="preserve">ligikaudu 40% juurde ulatuvat </w:t>
      </w:r>
      <w:r w:rsidR="00D30E89">
        <w:t>maksukiilu</w:t>
      </w:r>
      <w:r w:rsidR="008232D7">
        <w:rPr>
          <w:rStyle w:val="FootnoteReference"/>
        </w:rPr>
        <w:footnoteReference w:id="133"/>
      </w:r>
      <w:r w:rsidR="6E11716D">
        <w:t xml:space="preserve">, </w:t>
      </w:r>
      <w:r w:rsidR="0003547F">
        <w:t xml:space="preserve">võib see </w:t>
      </w:r>
      <w:r w:rsidR="007277D5">
        <w:t xml:space="preserve">küll iga individuaalse teenuse osutaja kohta olla väheoluline, kuid </w:t>
      </w:r>
      <w:r w:rsidR="00D23E0F">
        <w:t xml:space="preserve">turu kohta tervikuna </w:t>
      </w:r>
      <w:r w:rsidR="008232D7">
        <w:t>osutuda märkimisväärseks</w:t>
      </w:r>
      <w:r>
        <w:t xml:space="preserve">. </w:t>
      </w:r>
    </w:p>
    <w:p w14:paraId="04AB01DF" w14:textId="6CC282A4" w:rsidR="00751998" w:rsidRDefault="10C59CDB" w:rsidP="288A3578">
      <w:pPr>
        <w:jc w:val="both"/>
      </w:pPr>
      <w:r>
        <w:t xml:space="preserve">Samas tuleb teadvustada, et ümbrikupalga maksmise probleem esineb Eestis ka teistes sektorites, sh traditsioonilises </w:t>
      </w:r>
      <w:r w:rsidR="7CDCD2B7">
        <w:t>majutussektoris.</w:t>
      </w:r>
      <w:r>
        <w:t xml:space="preserve"> Kuid on selge, et lühiajali</w:t>
      </w:r>
      <w:r w:rsidR="5BD3526D">
        <w:t>s</w:t>
      </w:r>
      <w:r>
        <w:t>e üüri tur</w:t>
      </w:r>
      <w:r w:rsidR="5162B492">
        <w:t>ul</w:t>
      </w:r>
      <w:r>
        <w:t>, kus tegutsetakse sageli muu põhitegevuse kõrvalt ja väikeses mahus, on riskid maksudest kõrvalehiilimiseks ilmselt keskmisest kõrgemad.</w:t>
      </w:r>
      <w:r w:rsidR="008C2F3B">
        <w:t xml:space="preserve"> Viimastel aastatel on küll </w:t>
      </w:r>
      <w:r w:rsidR="0078485A">
        <w:t xml:space="preserve">tulude varjamine muutunud keerulisemaks tänu </w:t>
      </w:r>
      <w:r w:rsidR="00F3118E">
        <w:t xml:space="preserve">platvormialase teabe vahetusele, </w:t>
      </w:r>
      <w:r w:rsidR="001E650D">
        <w:t xml:space="preserve">mille tulemusel </w:t>
      </w:r>
      <w:r w:rsidR="26E73923">
        <w:t xml:space="preserve">on </w:t>
      </w:r>
      <w:r w:rsidR="001E650D">
        <w:t>maksuhalduril parem ülevaade platvormitulu teeninud majutusteenuse osutajatest</w:t>
      </w:r>
      <w:r w:rsidR="00725241">
        <w:t xml:space="preserve"> ja nende tuludest</w:t>
      </w:r>
      <w:r w:rsidR="001E650D">
        <w:t>.</w:t>
      </w:r>
      <w:r w:rsidR="0066309E">
        <w:t xml:space="preserve"> </w:t>
      </w:r>
      <w:r w:rsidR="00182E05">
        <w:t>Samas</w:t>
      </w:r>
      <w:r w:rsidR="003B22AD">
        <w:t xml:space="preserve"> </w:t>
      </w:r>
      <w:r w:rsidR="00182E05">
        <w:t xml:space="preserve"> </w:t>
      </w:r>
      <w:r w:rsidR="005F3ADE">
        <w:lastRenderedPageBreak/>
        <w:t xml:space="preserve">võidakse tulude varjamise asemel maksudest hoiduda ka teisi </w:t>
      </w:r>
      <w:r w:rsidR="00D74838">
        <w:t xml:space="preserve">tavapäraseid </w:t>
      </w:r>
      <w:r w:rsidR="005F3ADE">
        <w:t>meetodeid</w:t>
      </w:r>
      <w:r w:rsidR="00192C25">
        <w:rPr>
          <w:rStyle w:val="FootnoteReference"/>
        </w:rPr>
        <w:footnoteReference w:id="134"/>
      </w:r>
      <w:r w:rsidR="005F3ADE">
        <w:t xml:space="preserve"> kasutade</w:t>
      </w:r>
      <w:r w:rsidR="00E202A3">
        <w:t>s,</w:t>
      </w:r>
      <w:r w:rsidR="0037045A">
        <w:t xml:space="preserve"> mistõttu see </w:t>
      </w:r>
      <w:r w:rsidR="00255475">
        <w:t xml:space="preserve">meede üksi </w:t>
      </w:r>
      <w:r w:rsidR="00E21A23">
        <w:t xml:space="preserve">varimajanduse </w:t>
      </w:r>
      <w:r w:rsidR="00BA4B5A">
        <w:t>probleemi</w:t>
      </w:r>
      <w:r w:rsidR="00E21A23">
        <w:t xml:space="preserve"> ei </w:t>
      </w:r>
      <w:r w:rsidR="00BA4B5A">
        <w:t>lahenda</w:t>
      </w:r>
      <w:r w:rsidR="00EA31F6">
        <w:t>.</w:t>
      </w:r>
    </w:p>
    <w:p w14:paraId="2F737126" w14:textId="7D1ABD4B" w:rsidR="00751998" w:rsidRDefault="10C59CDB" w:rsidP="288A3578">
      <w:pPr>
        <w:jc w:val="both"/>
        <w:rPr>
          <w:rFonts w:eastAsiaTheme="minorEastAsia"/>
        </w:rPr>
      </w:pPr>
      <w:r w:rsidRPr="288A3578">
        <w:t>Kirjeldatud moonutuskulusid on kõige lihtsam kvantifitseerida tarbija hinnavaru ja poole reeglit (ing</w:t>
      </w:r>
      <w:r w:rsidR="1E1DE12A" w:rsidRPr="288A3578">
        <w:t>l</w:t>
      </w:r>
      <w:r w:rsidRPr="288A3578">
        <w:t xml:space="preserve"> </w:t>
      </w:r>
      <w:r w:rsidRPr="288A3578">
        <w:rPr>
          <w:i/>
          <w:iCs/>
        </w:rPr>
        <w:t>rule of half</w:t>
      </w:r>
      <w:r w:rsidRPr="00664662">
        <w:rPr>
          <w:szCs w:val="24"/>
        </w:rPr>
        <w:t>)</w:t>
      </w:r>
      <w:r w:rsidRPr="288A3578">
        <w:t xml:space="preserve"> kasutades. Arvestades, et traditsioonilistes majutusettevõtetes </w:t>
      </w:r>
      <w:r w:rsidR="009E349F">
        <w:t>on alates 2022. aastast</w:t>
      </w:r>
      <w:r w:rsidRPr="288A3578">
        <w:t xml:space="preserve"> </w:t>
      </w:r>
      <w:r w:rsidR="009E349F">
        <w:t xml:space="preserve">olnud </w:t>
      </w:r>
      <w:r w:rsidRPr="288A3578">
        <w:t xml:space="preserve">ligikaudu </w:t>
      </w:r>
      <w:r w:rsidR="006D4CF2">
        <w:t>5,5</w:t>
      </w:r>
      <w:r w:rsidRPr="288A3578">
        <w:t xml:space="preserve"> miljonit </w:t>
      </w:r>
      <w:r w:rsidR="009E349F">
        <w:t>ööbimist</w:t>
      </w:r>
      <w:r w:rsidR="00E037E9">
        <w:rPr>
          <w:rStyle w:val="FootnoteReference"/>
        </w:rPr>
        <w:footnoteReference w:id="135"/>
      </w:r>
      <w:r w:rsidRPr="288A3578">
        <w:t xml:space="preserve"> ja lühiajalise üüri turul tegutsevate</w:t>
      </w:r>
      <w:r w:rsidR="596557A6" w:rsidRPr="288A3578">
        <w:t>l</w:t>
      </w:r>
      <w:r w:rsidRPr="288A3578">
        <w:t xml:space="preserve"> majutuspindadel veedeti 2023.</w:t>
      </w:r>
      <w:r w:rsidR="27EBBED4" w:rsidRPr="288A3578">
        <w:t xml:space="preserve"> </w:t>
      </w:r>
      <w:r w:rsidRPr="288A3578">
        <w:t>a</w:t>
      </w:r>
      <w:r w:rsidR="6F590712" w:rsidRPr="288A3578">
        <w:t>astal</w:t>
      </w:r>
      <w:r w:rsidRPr="288A3578">
        <w:t xml:space="preserve"> 1,5 miljonit ööd, moodustab lühiajali</w:t>
      </w:r>
      <w:r w:rsidR="22ABFEEA" w:rsidRPr="288A3578">
        <w:t>s</w:t>
      </w:r>
      <w:r w:rsidRPr="288A3578">
        <w:t>e üüri turg mahult märkimisväär</w:t>
      </w:r>
      <w:r w:rsidR="42624FA5" w:rsidRPr="288A3578">
        <w:t>s</w:t>
      </w:r>
      <w:r w:rsidRPr="288A3578">
        <w:t>e osa kogu turumahust, mistõttu ka tekkiv moonutus on tuntava ulatusega. Nt kui eeldada</w:t>
      </w:r>
      <w:r w:rsidR="009B1A8F">
        <w:t xml:space="preserve"> hüpoteetiliselt</w:t>
      </w:r>
      <w:r w:rsidRPr="288A3578">
        <w:t>, et ööpäeva keskmine maksumus on lühiajalisel turul keskmise hotellitoaga võrredes 20% odavam tulenevalt kulueelisest</w:t>
      </w:r>
      <w:r w:rsidR="0096096A">
        <w:rPr>
          <w:rStyle w:val="FootnoteReference"/>
        </w:rPr>
        <w:footnoteReference w:id="136"/>
      </w:r>
      <w:r w:rsidRPr="288A3578">
        <w:t xml:space="preserve"> (ligikaudu 10 eurot keskmise toa kohta) ning pool 1,5 miljonit külastusööst tuleneb sellest eelisest, st ausa konkurentsi tingimustes oleks pooled nendest kasutanud tavapäraseid majutusteenuseid, siis ulatuks sellest tekkiv efektiivsuskulu 3</w:t>
      </w:r>
      <w:r w:rsidR="002312E6">
        <w:t>–</w:t>
      </w:r>
      <w:r w:rsidRPr="288A3578">
        <w:t>4 miljoni euroni aastas</w:t>
      </w:r>
      <w:r w:rsidR="0069165A">
        <w:t>.</w:t>
      </w:r>
      <w:r w:rsidR="00751998" w:rsidRPr="288A3578">
        <w:rPr>
          <w:rStyle w:val="FootnoteReference"/>
        </w:rPr>
        <w:footnoteReference w:id="137"/>
      </w:r>
      <w:r>
        <w:rPr>
          <w:szCs w:val="24"/>
        </w:rPr>
        <w:t xml:space="preserve"> </w:t>
      </w:r>
      <w:r w:rsidRPr="288A3578">
        <w:rPr>
          <w:rFonts w:eastAsiaTheme="minorEastAsia"/>
        </w:rPr>
        <w:t>Loomulikult</w:t>
      </w:r>
      <w:r w:rsidR="55FBDF4A" w:rsidRPr="288A3578">
        <w:rPr>
          <w:rFonts w:eastAsiaTheme="minorEastAsia"/>
        </w:rPr>
        <w:t>,</w:t>
      </w:r>
      <w:r w:rsidRPr="288A3578">
        <w:rPr>
          <w:rFonts w:eastAsiaTheme="minorEastAsia"/>
        </w:rPr>
        <w:t xml:space="preserve"> kui lühiajalise üüri turu mahud suurenevad, nt kahe- või kolmekordistuvad, teeb sama ka efektiivsuskulu. Kui aga mingil põhjusel suureneb lühiajalise üüri turu kulueelis võrreldes hotellidega, siis võib efektiivsuskulu ka suureneda proportsionaalselt rohkem, sest suurenev kulueelis toob veelgi enam inimesi hotellidest lühiajalisele üüri turule. Nt kulueelise suurenemine 10-lt 20-le eurole võib põhjustada ka lühiajalise üüri turu mahu kasvu nt 1,5 miljonilt 2 miljonile, mistõttu efektiivsuskulu suurene</w:t>
      </w:r>
      <w:r w:rsidR="0016132D">
        <w:rPr>
          <w:rFonts w:eastAsiaTheme="minorEastAsia"/>
        </w:rPr>
        <w:t>ks</w:t>
      </w:r>
      <w:r w:rsidRPr="288A3578">
        <w:rPr>
          <w:rFonts w:eastAsiaTheme="minorEastAsia"/>
        </w:rPr>
        <w:t xml:space="preserve"> 10 miljonile eurole aastas.</w:t>
      </w:r>
    </w:p>
    <w:p w14:paraId="7AC88DED" w14:textId="387A9011" w:rsidR="00751998" w:rsidRPr="009137F5" w:rsidRDefault="00751998" w:rsidP="00F04BE4">
      <w:pPr>
        <w:pStyle w:val="Heading3"/>
        <w:rPr>
          <w:rFonts w:hint="eastAsia"/>
        </w:rPr>
      </w:pPr>
      <w:bookmarkStart w:id="135" w:name="_Toc208991623"/>
      <w:r w:rsidRPr="009137F5">
        <w:t>Mõjud eluasemeturule</w:t>
      </w:r>
      <w:bookmarkEnd w:id="135"/>
    </w:p>
    <w:p w14:paraId="7AF9B61B" w14:textId="2B79D721" w:rsidR="00751998" w:rsidRDefault="10C59CDB" w:rsidP="00751998">
      <w:pPr>
        <w:jc w:val="both"/>
      </w:pPr>
      <w:r w:rsidRPr="288A3578">
        <w:t xml:space="preserve">Lühiajalise üüri turg kattub osaliselt eluasemeturuga, sest mõlemad konkureerivad samale ressursile ehk eluruumidele. Kui eluasemeturul kasutatakse eluruume alaliseks elamiseks, siis lühiajalise üüri turul pakutakse nendes ajutist ööbimisvõimalust, tüüpiliselt külaliskorteri vormis. Loomulikult üüritakse lühiajaliselt välja ka selliseid majutuskohti, mis eluasemeturuga ei konkureeri, kuid eluasemeturule need vahetut mõju ei avalda. Turu toimimise mõttes ilmneb </w:t>
      </w:r>
      <w:r w:rsidRPr="288A3578">
        <w:lastRenderedPageBreak/>
        <w:t>eluasemeturul positiivse välismõju</w:t>
      </w:r>
      <w:r w:rsidR="00751998" w:rsidRPr="288A3578">
        <w:rPr>
          <w:rStyle w:val="FootnoteReference"/>
        </w:rPr>
        <w:footnoteReference w:id="138"/>
      </w:r>
      <w:r w:rsidRPr="288A3578">
        <w:t xml:space="preserve"> probleem, kus eluruumi eluasemena kasutades avaldavad selle omanikud või seal pikaajaliste üürnikena sees elavad inimesed teistele, eelkõige sama kogukonna liikmetele, positiivset mõju. Kuid kuna seda mõju neile ei kompenseerita, siis oma eluaseme kasutamise üle otsuseid tehes nad seda arvesse ei võta. Nt </w:t>
      </w:r>
      <w:r w:rsidR="00DF2CC8">
        <w:t xml:space="preserve">pikaajalised </w:t>
      </w:r>
      <w:r w:rsidRPr="288A3578">
        <w:t>üürnikud ei ole nõus kõrgemat üüri maksma</w:t>
      </w:r>
      <w:r w:rsidR="00B453BF">
        <w:t xml:space="preserve"> või omanikud madalama üüri</w:t>
      </w:r>
      <w:r w:rsidR="000A5642">
        <w:t>maksega</w:t>
      </w:r>
      <w:r w:rsidR="00B453BF">
        <w:t xml:space="preserve"> nõustuma</w:t>
      </w:r>
      <w:r w:rsidRPr="288A3578">
        <w:t>, sest nende poolt loodavat positiivset mõju teistele sama kortermaja elanikele neile keegi ei kompenseeri. Positiivsete mõjudena võime siin nimetada kogukonna tunnet, suuremat turvalisust ja ohutust, naabritele vähem erinevate häiringute põhjustamist jne. Seda olukorda saab nimetada turutõrkeks, sest eluruumi osas otsust tegeva isiku kaalutlused ei hõlma kõiki ühiskondlikke mõjusid</w:t>
      </w:r>
      <w:r w:rsidR="009650AB">
        <w:t>.</w:t>
      </w:r>
      <w:r w:rsidRPr="288A3578">
        <w:t xml:space="preserve"> </w:t>
      </w:r>
      <w:r w:rsidR="009650AB">
        <w:t>See</w:t>
      </w:r>
      <w:r w:rsidRPr="288A3578">
        <w:t>tõttu langetab ta küll enda jaoks sobivaima, kuid ühiskonna vaates ebasobiva valiku</w:t>
      </w:r>
      <w:r w:rsidR="009650AB">
        <w:t>, nt otsustab pikaajalise üürimise asemel kasutada korterit lühiajalise üüri pinnana</w:t>
      </w:r>
      <w:r w:rsidRPr="288A3578">
        <w:t xml:space="preserve">. </w:t>
      </w:r>
    </w:p>
    <w:p w14:paraId="092AE181" w14:textId="05DCDFDC" w:rsidR="0086323C" w:rsidRDefault="10C59CDB" w:rsidP="00751998">
      <w:pPr>
        <w:jc w:val="both"/>
      </w:pPr>
      <w:r>
        <w:t xml:space="preserve">Samas ei avaldu lühiajaline üürimine mitte üksnes kahes äärmuslikus vormis kas eluruumi kasutamisena püsivaks elamiseks või ajutise ööbimisvõimaluse pakkumiseks, vaid see võib ilmneda ka klassikalise jagamismajanduse võtmes </w:t>
      </w:r>
      <w:r w:rsidRPr="288A3578">
        <w:rPr>
          <w:b/>
          <w:bCs/>
        </w:rPr>
        <w:t>eluasemete jagamise</w:t>
      </w:r>
      <w:r>
        <w:t xml:space="preserve"> mõttes. See tähistab olukorda, kus eluruumide omanikud üürivad seda välja ajutiselt selleks perioodiks, kui nad ise seda ei kasuta</w:t>
      </w:r>
      <w:r w:rsidR="19F2A777">
        <w:t>,</w:t>
      </w:r>
      <w:r>
        <w:t xml:space="preserve"> või üürivad välja mingit osa oma eluruumist, kus nad ka ise samal ajal viibivad. Majanduslikus vaates on sel juhul </w:t>
      </w:r>
      <w:r w:rsidR="0008599F">
        <w:t xml:space="preserve">tüüpiliselt </w:t>
      </w:r>
      <w:r>
        <w:t>tegemist positiivse ehk efektiivsust suurendava nähtusega eluasemeturul. Selle tulemusel seisavad eluruumid lühemat aega tühjana ning omanikud saavad teenida lisatul</w:t>
      </w:r>
      <w:r w:rsidR="00790432">
        <w:t>u.</w:t>
      </w:r>
      <w:r>
        <w:t xml:space="preserve"> </w:t>
      </w:r>
      <w:r w:rsidR="00790432">
        <w:t>S</w:t>
      </w:r>
      <w:r>
        <w:t>eeläbi suureneb ka nende majanduslik võimekus eluruumide korrashoiuks. Lisaks vähendab see vajadust rajada uusi hotelle, mis vabastab majanduses ressursse teiste kaupade ja teenuste pakkumiseks ja seeläbi</w:t>
      </w:r>
      <w:r w:rsidR="0086323C">
        <w:t xml:space="preserve"> ka</w:t>
      </w:r>
      <w:r>
        <w:t xml:space="preserve"> elukvaliteedi parandamiseks. </w:t>
      </w:r>
    </w:p>
    <w:p w14:paraId="58CC1122" w14:textId="1AA4466A" w:rsidR="00751998" w:rsidRDefault="10C59CDB" w:rsidP="00751998">
      <w:pPr>
        <w:jc w:val="both"/>
      </w:pPr>
      <w:r>
        <w:t>Intervjuudest nii korteriomanike esindajate kui lühiajalisel üüri turul pakkujana tegutsevate isikute poolt toodi ühe aspektina esile just eluasemete jagamist</w:t>
      </w:r>
      <w:r w:rsidRPr="288A3578">
        <w:rPr>
          <w:b/>
          <w:bCs/>
        </w:rPr>
        <w:t xml:space="preserve"> </w:t>
      </w:r>
      <w:r>
        <w:t>(täpsemalt küll kulude jagamis</w:t>
      </w:r>
      <w:r w:rsidR="04614AED">
        <w:t>t</w:t>
      </w:r>
      <w:r>
        <w:t>). Ühe näitena toodi esile kinnisvara olukord Ida-Virumaal, kus hoolduskulude jagamine aitab kinnisvara korras hoida ja vältida selle müümist. See tagab omanikele finantsilise kindluse ka pikemas perspektiivis. Samuti on levinud ka see, et kodust pikemalt ära olles ei soovita seda tühjaks jätta, vaid kellelegi lühiajaliselt välja üürida. Seega on lühiajalise üüri teenuse leviku üheks positiivseks mõjuks ressursside jagamiseks paremate võimaluste loomine, millest võidavad sisuliselt kõik osapooled. Negatiivsed kõrvalmõjud võivad ka sellisel juhul esineda, kuid kuna eluruumi üüritakse välja pigem ebaregulaarselt, on need ebaolulised võrreldes kasudega, mida selline tegevusvorm kaasa toob. Seega sellist tegevust peaks kindlasti pigem võimendama, eriti piirkondades, kus on eluruumide korrashoiuga probleeme.</w:t>
      </w:r>
    </w:p>
    <w:p w14:paraId="27BA31C6" w14:textId="540ADB40" w:rsidR="00751998" w:rsidRDefault="10C59CDB" w:rsidP="288A3578">
      <w:pPr>
        <w:jc w:val="both"/>
      </w:pPr>
      <w:r>
        <w:t xml:space="preserve">Samas </w:t>
      </w:r>
      <w:r w:rsidR="00365D6C">
        <w:t>i</w:t>
      </w:r>
      <w:r>
        <w:t xml:space="preserve">ntervjuude põhjal võib väita, et Eestis on pigem rohkem levinud eluruumide välja üürimine investeerimistegevusena, st üürile antakse mitte põhielukohana kasutatav eluruum, vaid asustamata eluruum, mis on kas selleks eraldi soetatud või muul moel omandatud (nt päritud või varem elukohana kasutatud). </w:t>
      </w:r>
      <w:r w:rsidR="00035964">
        <w:t>Seda võib vaadelda ka kui</w:t>
      </w:r>
      <w:r>
        <w:t xml:space="preserve"> eespool kirjeldatud positiivse välismõju avaldumi</w:t>
      </w:r>
      <w:r w:rsidR="00035964">
        <w:t>sena</w:t>
      </w:r>
      <w:r>
        <w:t xml:space="preserve">, kus korteri lühiajalise üürimise vormis kasutamine on lihtsalt majanduslikult kasulikum kui selle pikaajaliselt välja üürimine, millest tekkiva väärtuse suudab isik </w:t>
      </w:r>
      <w:r>
        <w:lastRenderedPageBreak/>
        <w:t>monetariseerida üksnes osaliselt, ülejäänud jääks teistele kogukonna liikmetele (suurema kogukonnatunde, vähemate häiringute jms</w:t>
      </w:r>
      <w:r w:rsidR="00922DD9">
        <w:t xml:space="preserve"> kaudu</w:t>
      </w:r>
      <w:r>
        <w:t xml:space="preserve">). Selle tulemusel omanik ise korterit elukohana üldjuhul ei kasuta ja võib seda üldse väga harva külastada, mistõttu ei pruugi ta olla ka kuigi huvitatud panustama selle korrashoidu eluasemena. See tähendab ühtlasi, et sõltuvalt sellest, millisel kujul eluruume välja üüritakse, </w:t>
      </w:r>
      <w:r w:rsidR="03F9D822">
        <w:t xml:space="preserve">võib </w:t>
      </w:r>
      <w:r>
        <w:t xml:space="preserve">olla määrava tähtsusega ka </w:t>
      </w:r>
      <w:r w:rsidR="1175BC20">
        <w:t>eluruumi korrashoiule</w:t>
      </w:r>
      <w:r>
        <w:t>. Ühes äärmuses on isik, kes üürib välja oma elukohta ja kasuta</w:t>
      </w:r>
      <w:r w:rsidR="11303505">
        <w:t>b</w:t>
      </w:r>
      <w:r>
        <w:t xml:space="preserve"> teenitud tulu kodu korrahoiuks, teises äärmuses on ettevõtja, kellele eluruumis toimuv või</w:t>
      </w:r>
      <w:r w:rsidR="3F7D59BF">
        <w:t xml:space="preserve"> </w:t>
      </w:r>
      <w:r>
        <w:t>selle eluruumi seisund eluruumina ei huvita</w:t>
      </w:r>
      <w:r w:rsidR="009971BB">
        <w:t>. Ettevõtja</w:t>
      </w:r>
      <w:r>
        <w:t xml:space="preserve"> jaoks on prioriteet klientide rahulolu, mis ei pruugi samas kortermajas teiste elavate isikute huvidega kokku langeda. </w:t>
      </w:r>
    </w:p>
    <w:p w14:paraId="2D144C67" w14:textId="1A7B042B" w:rsidR="00751998" w:rsidRDefault="10C59CDB" w:rsidP="00751998">
      <w:pPr>
        <w:jc w:val="both"/>
      </w:pPr>
      <w:r>
        <w:t>Lisaks mõjule eluruumide korrashoiule tuleb ühe mõjuna esile tuua, et kui alaliseks elamiseks mõeldud kinnisvara hakataksegi peamiselt välja üürima lühiajaliselt ehk majutusteenuse vormis ja pikaajaliselt elukohana ei kasutatagi, siis väheneb eluasemeturul eluruumide pakkumine.</w:t>
      </w:r>
      <w:r w:rsidR="007E68D9">
        <w:t xml:space="preserve"> Suureneda võib ka eluruumide nõudlus, kuna ettevõtjad võivad näha selles investeerimisvõimalust.</w:t>
      </w:r>
      <w:r>
        <w:t xml:space="preserve"> Selline muutus vähendab nii </w:t>
      </w:r>
      <w:r w:rsidRPr="288A3578">
        <w:rPr>
          <w:b/>
          <w:bCs/>
        </w:rPr>
        <w:t>eluruumide füüsilist kättesaadavust</w:t>
      </w:r>
      <w:r>
        <w:t xml:space="preserve">, kuid turumehhanismi </w:t>
      </w:r>
      <w:r w:rsidR="00C227DA">
        <w:t xml:space="preserve">kaudu </w:t>
      </w:r>
      <w:r>
        <w:t xml:space="preserve">tekitab surve ka </w:t>
      </w:r>
      <w:r w:rsidRPr="288A3578">
        <w:rPr>
          <w:b/>
          <w:bCs/>
        </w:rPr>
        <w:t>hinnakasvuks</w:t>
      </w:r>
      <w:r>
        <w:t>. Mõjud võivad avalduda nii eluaseme üüriturul (üüripindade puudus, üürihindade kasv) kui ka nende müügiturul (müügipakkumiste langus, müügihindade kasv). Kuna lühiajalise</w:t>
      </w:r>
      <w:r w:rsidR="00AE3343">
        <w:t xml:space="preserve"> üüri</w:t>
      </w:r>
      <w:r>
        <w:t xml:space="preserve"> turule liiguvad pigem keskmisest kõrgemas hinnaklassis eluruumid, võib keskmine hinnatase pikaajalise üüri turul tegelikult ka langeda, vähemalt lühiajaliselt tulenevalt eluruumide struktuur</w:t>
      </w:r>
      <w:r w:rsidR="7F1BAFBD">
        <w:t>i</w:t>
      </w:r>
      <w:r>
        <w:t xml:space="preserve"> muutusest.</w:t>
      </w:r>
    </w:p>
    <w:p w14:paraId="7EC3CC3A" w14:textId="0584A6E9" w:rsidR="00751998" w:rsidRDefault="10C59CDB" w:rsidP="00751998">
      <w:pPr>
        <w:jc w:val="both"/>
        <w:rPr>
          <w:szCs w:val="24"/>
        </w:rPr>
      </w:pPr>
      <w:r w:rsidRPr="288A3578">
        <w:t>Selles uuringus näitas ökonomeetriline mudel</w:t>
      </w:r>
      <w:r w:rsidR="00C87DF6">
        <w:t>damine</w:t>
      </w:r>
      <w:r w:rsidRPr="288A3578">
        <w:t xml:space="preserve"> Tallinna </w:t>
      </w:r>
      <w:r w:rsidR="64AB545A" w:rsidRPr="288A3578">
        <w:t>v</w:t>
      </w:r>
      <w:r w:rsidRPr="288A3578">
        <w:t xml:space="preserve">analinna kohta, et 1000 turisti majutamine ühes kuus </w:t>
      </w:r>
      <w:r w:rsidR="7B641C20">
        <w:t xml:space="preserve">vähendab </w:t>
      </w:r>
      <w:r w:rsidRPr="288A3578">
        <w:t>lühiajalise üüri</w:t>
      </w:r>
      <w:r w:rsidR="00157759">
        <w:t xml:space="preserve"> </w:t>
      </w:r>
      <w:r w:rsidRPr="288A3578">
        <w:t xml:space="preserve">turu kaudu ainuüksi Tallinna </w:t>
      </w:r>
      <w:r w:rsidR="00EB0585">
        <w:t>v</w:t>
      </w:r>
      <w:r w:rsidRPr="288A3578">
        <w:t xml:space="preserve">analinnas üüripakkumiste arvu 1 võrra. </w:t>
      </w:r>
      <w:r w:rsidR="00C857C5">
        <w:t>K</w:t>
      </w:r>
      <w:r w:rsidRPr="288A3578">
        <w:t xml:space="preserve">ui </w:t>
      </w:r>
      <w:r w:rsidR="00C857C5">
        <w:t xml:space="preserve">näiteks </w:t>
      </w:r>
      <w:r w:rsidRPr="288A3578">
        <w:t>eeldada, et turistid reisivad tüüpiliselt 2</w:t>
      </w:r>
      <w:r w:rsidR="00C24A5A">
        <w:t>–</w:t>
      </w:r>
      <w:r w:rsidRPr="288A3578">
        <w:t xml:space="preserve">3 kaupa, siis </w:t>
      </w:r>
      <w:r w:rsidR="001E08D0">
        <w:t xml:space="preserve">kokku </w:t>
      </w:r>
      <w:r w:rsidRPr="288A3578">
        <w:t>tähendab 1000 turisti majutamine</w:t>
      </w:r>
      <w:r w:rsidR="00395848">
        <w:t xml:space="preserve"> kuus</w:t>
      </w:r>
      <w:r w:rsidRPr="288A3578">
        <w:t xml:space="preserve"> vähemalt </w:t>
      </w:r>
      <w:r w:rsidR="00D95D59">
        <w:t>1</w:t>
      </w:r>
      <w:r w:rsidRPr="288A3578">
        <w:t>0</w:t>
      </w:r>
      <w:r w:rsidR="00C24A5A">
        <w:t>–</w:t>
      </w:r>
      <w:r w:rsidR="00D95D59">
        <w:t>2</w:t>
      </w:r>
      <w:r w:rsidRPr="288A3578">
        <w:t xml:space="preserve">0 majutuskoha pakkumist. </w:t>
      </w:r>
      <w:r w:rsidR="00461A52">
        <w:t>Hinnatud</w:t>
      </w:r>
      <w:r w:rsidR="00461A52" w:rsidRPr="288A3578">
        <w:t xml:space="preserve"> </w:t>
      </w:r>
      <w:r w:rsidRPr="288A3578">
        <w:t>seost võib pidada suhteliselt nõrgaks, kuid see kinnitab siiski teooria põhjal ennustatud mehhanismide toimimist juba praegu ka Eestis. Teiste riikide kohta tehtud uuringud viitavad juba oluliselt tugevamale seosele, nt Berliinis on hinnatud, et iga viie täiendava lühiajalise üüri turu pakkumisega langeb pikaajalise üüri turul pakkumiste arvu ühe võrra</w:t>
      </w:r>
      <w:r w:rsidR="007470F1">
        <w:t>.</w:t>
      </w:r>
      <w:r w:rsidR="00751998" w:rsidRPr="288A3578">
        <w:rPr>
          <w:rStyle w:val="FootnoteReference"/>
        </w:rPr>
        <w:footnoteReference w:id="139"/>
      </w:r>
      <w:r>
        <w:rPr>
          <w:szCs w:val="24"/>
        </w:rPr>
        <w:t xml:space="preserve"> </w:t>
      </w:r>
    </w:p>
    <w:p w14:paraId="65B0D71C" w14:textId="77777777" w:rsidR="002225C1" w:rsidRDefault="002225C1" w:rsidP="002225C1">
      <w:pPr>
        <w:jc w:val="both"/>
      </w:pPr>
      <w:r>
        <w:t>Üürihindade kasvule pole lühiajaline üürimine Eestis veel tugevat mõju avaldanud, kuid nõrga ja positiivse seose tuvastasime ka selle uuringuga. Arvestades üldist eluasemete kättesaadavuse trendi Eestis, ei tohiks seda leidu siiski tähelepanuta jätta. Joonisel 4 on näidatud, et keskmise palgataseme suhe eluaseme hinnaindeksisse on Eestis alates 2010ndate algusest langenud, kuigi püsis 2015</w:t>
      </w:r>
      <w:r w:rsidRPr="00333139">
        <w:t>–</w:t>
      </w:r>
      <w:r>
        <w:t xml:space="preserve">2020 üsna stabiilsel tasemel. 2025. aastaks on vaadeldav suhtarv langenud samale tasemele 2009. aastaga, kuigi on paaril viimasel aastal veidi suurenenud. Kuna lühiajalisel üüri turul võib olla potentsiaalselt suur mõju eluruumide kättesaadavusele, mida paljude teiste riikide praktika on juba kinnitanud, tuleks sellel turul toimuvaid arenguid ja selle mõjusid eluruumide turule kindlasti regulaarselt seirata. </w:t>
      </w:r>
    </w:p>
    <w:p w14:paraId="4FD2D136" w14:textId="77777777" w:rsidR="002225C1" w:rsidRDefault="002225C1" w:rsidP="00751998">
      <w:pPr>
        <w:jc w:val="both"/>
      </w:pPr>
    </w:p>
    <w:p w14:paraId="59AC242A" w14:textId="1B44B370" w:rsidR="00C945FC" w:rsidRDefault="00C945FC" w:rsidP="00C945FC">
      <w:pPr>
        <w:pStyle w:val="TableTitle"/>
      </w:pPr>
      <w:r>
        <w:lastRenderedPageBreak/>
        <w:t xml:space="preserve">Joonis </w:t>
      </w:r>
      <w:r w:rsidR="00753E2E">
        <w:t>4</w:t>
      </w:r>
      <w:r>
        <w:t>. Eluaseme majanduslik kättesaadavus Eestis perioodil 2005</w:t>
      </w:r>
      <w:r w:rsidR="008651EC" w:rsidRPr="008651EC">
        <w:t>–</w:t>
      </w:r>
      <w:r>
        <w:t>2024</w:t>
      </w:r>
      <w:r>
        <w:rPr>
          <w:rStyle w:val="FootnoteReference"/>
          <w:szCs w:val="24"/>
        </w:rPr>
        <w:footnoteReference w:id="140"/>
      </w:r>
    </w:p>
    <w:p w14:paraId="3BF43FC4" w14:textId="77777777" w:rsidR="00C945FC" w:rsidRDefault="00C945FC" w:rsidP="00C945FC">
      <w:pPr>
        <w:jc w:val="both"/>
      </w:pPr>
      <w:r>
        <w:rPr>
          <w:noProof/>
        </w:rPr>
        <w:drawing>
          <wp:inline distT="0" distB="0" distL="0" distR="0" wp14:anchorId="23DEA6C6" wp14:editId="48306036">
            <wp:extent cx="6504978" cy="2820318"/>
            <wp:effectExtent l="0" t="0" r="10160" b="18415"/>
            <wp:docPr id="2011506292" name="Diagramm 1">
              <a:extLst xmlns:a="http://schemas.openxmlformats.org/drawingml/2006/main">
                <a:ext uri="{FF2B5EF4-FFF2-40B4-BE49-F238E27FC236}">
                  <a16:creationId xmlns:a16="http://schemas.microsoft.com/office/drawing/2014/main" id="{D6AF38F0-8E1E-E959-2824-8200174C2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EF9B07" w14:textId="4D03DDA9" w:rsidR="00BC2FA6" w:rsidRDefault="00B123B6" w:rsidP="00BC2FA6">
      <w:pPr>
        <w:jc w:val="both"/>
      </w:pPr>
      <w:r>
        <w:t>Kokkuvõtlikult o</w:t>
      </w:r>
      <w:r w:rsidR="00037B9E">
        <w:t xml:space="preserve">leme </w:t>
      </w:r>
      <w:r>
        <w:t xml:space="preserve">lühiajalise üüri turu mõju eluasemeturule hinnanud </w:t>
      </w:r>
      <w:r w:rsidR="005A1A49">
        <w:t>püsivaks,</w:t>
      </w:r>
      <w:r w:rsidR="00B90975">
        <w:t xml:space="preserve"> aga </w:t>
      </w:r>
      <w:r w:rsidR="009513BC">
        <w:t>tuginedes meie mudeldamise tulemustele</w:t>
      </w:r>
      <w:r w:rsidR="00AA5065">
        <w:t>, siis</w:t>
      </w:r>
      <w:r w:rsidR="009513BC">
        <w:t xml:space="preserve"> </w:t>
      </w:r>
      <w:r w:rsidR="00AA5065">
        <w:t xml:space="preserve">tugevuselt </w:t>
      </w:r>
      <w:r w:rsidR="00B90975">
        <w:t>nõrgaks ja piiratud ulatusega</w:t>
      </w:r>
      <w:r w:rsidR="003E2EB6">
        <w:t>,</w:t>
      </w:r>
      <w:r w:rsidR="006C0DDA">
        <w:t xml:space="preserve"> </w:t>
      </w:r>
      <w:r w:rsidR="0082581C">
        <w:t>sest</w:t>
      </w:r>
      <w:r w:rsidR="002474C2">
        <w:t xml:space="preserve"> saab avalduda ikkagi üksnes seal, kus </w:t>
      </w:r>
      <w:r w:rsidR="00F85F45">
        <w:t>eluasemete järgi valitseb</w:t>
      </w:r>
      <w:r w:rsidR="00743096">
        <w:t xml:space="preserve"> samaaegselt</w:t>
      </w:r>
      <w:r w:rsidR="00BF4711">
        <w:t xml:space="preserve"> </w:t>
      </w:r>
      <w:r w:rsidR="001A46E8">
        <w:t>suur nõudlus</w:t>
      </w:r>
      <w:r w:rsidR="00F85F45">
        <w:t xml:space="preserve"> püsielanike seas</w:t>
      </w:r>
      <w:r w:rsidR="001A46E8">
        <w:t xml:space="preserve"> </w:t>
      </w:r>
      <w:r w:rsidR="00EB59F1">
        <w:t>(eelkõige Tallinn)</w:t>
      </w:r>
      <w:r w:rsidR="00727C7F">
        <w:t>.</w:t>
      </w:r>
      <w:r w:rsidR="00DD1DB7">
        <w:t xml:space="preserve"> </w:t>
      </w:r>
      <w:r w:rsidR="00921392">
        <w:t>Samas s</w:t>
      </w:r>
      <w:r w:rsidR="64AB545A" w:rsidRPr="288A3578">
        <w:t xml:space="preserve">aab välja tuua mitmeid </w:t>
      </w:r>
      <w:r w:rsidR="64AB545A" w:rsidRPr="00B54A22">
        <w:rPr>
          <w:b/>
          <w:bCs/>
        </w:rPr>
        <w:t>Eesti eluasemeturgu iseloomustavaid asjaolusid</w:t>
      </w:r>
      <w:r w:rsidR="64AB545A" w:rsidRPr="288A3578">
        <w:t>, mistõttu tuleb lühiajalise üüri turu mõjudesse edaspidi suhtuda ettevaatlikult ja olla valmis turule sekkumiseks või siis nende mõjude tagajärgedega tegelemiseks. Esiteks, vaadates Eesti eluasemeturu kogupakkumist, siis on seal füüsiliselt elamiskõlblikke eluruume</w:t>
      </w:r>
      <w:r w:rsidR="00E74CED">
        <w:t xml:space="preserve"> </w:t>
      </w:r>
      <w:r w:rsidR="000F320E">
        <w:t>2021. aasta rahva ja eluruumide loenduse järg</w:t>
      </w:r>
      <w:r w:rsidR="64AB545A" w:rsidRPr="288A3578">
        <w:t xml:space="preserve"> ligikaudu 750 tuhat. Valdav osa nendest on alaliselt hõivatud, st seal elavad selle eluruumi omanikud või pikaajalised üürnikud, seega tegelik turupakkumine on oluliselt väiksem. Teine Eesti eluasemeturu pakkumise poolt iseloomustav näitaja on asustamata eluruumide arv. </w:t>
      </w:r>
      <w:r w:rsidR="00937631">
        <w:t>E</w:t>
      </w:r>
      <w:r w:rsidR="64AB545A" w:rsidRPr="288A3578">
        <w:t xml:space="preserve">luruumide loenduse andmetel </w:t>
      </w:r>
      <w:r w:rsidR="7A687A9D" w:rsidRPr="288A3578">
        <w:t xml:space="preserve">oli </w:t>
      </w:r>
      <w:r w:rsidR="64AB545A" w:rsidRPr="288A3578">
        <w:t xml:space="preserve">ligikaudu 176 tuhat ehk 24% elamiskõlblikest eluruumidest asustamata. Kusjuures see osakaal on viimastel aastakümnetel kasvanud, nt veel 2011. </w:t>
      </w:r>
      <w:r w:rsidR="17729795" w:rsidRPr="288A3578">
        <w:t xml:space="preserve">aastal </w:t>
      </w:r>
      <w:r w:rsidR="64AB545A" w:rsidRPr="288A3578">
        <w:t>oli asustamata ruumide osakaal 16%. Asustamata eluruumide all mõeldakse eluruume, mis ei ole püsivaks elukohaks ühelegi Eesti elanikule</w:t>
      </w:r>
      <w:r w:rsidR="00767A39">
        <w:t>.</w:t>
      </w:r>
      <w:r w:rsidR="00BC2FA6" w:rsidRPr="288A3578">
        <w:rPr>
          <w:rStyle w:val="FootnoteReference"/>
        </w:rPr>
        <w:footnoteReference w:id="141"/>
      </w:r>
      <w:r w:rsidR="64AB545A" w:rsidRPr="288A3578">
        <w:t xml:space="preserve"> Samas võivad seal elada turistid, teised Eestis ajutiselt viibivad inimesed, kuid need võivad olla ka inimeste teised kodud (sh elamiseks kohandatud suvilad) või pole nendesse jõutud veel sisse kolida. Seega eluasemeturul on ka asustamata eluruumidest füüsiliselt kättesaadavad üksnes teatud osa ja tõenäoliselt on nendest suur osa just lühiajalise üüri turul. </w:t>
      </w:r>
    </w:p>
    <w:p w14:paraId="494EACD7" w14:textId="285B6BE5" w:rsidR="000A2B4C" w:rsidRDefault="10C59CDB" w:rsidP="00751998">
      <w:pPr>
        <w:jc w:val="both"/>
      </w:pPr>
      <w:r w:rsidRPr="288A3578">
        <w:t>Meie lühiajalise üüri turu analüüs näitas, et seal pakutakse ligikaudu 10 000 üüripinda, mis moodustab üle 1% eluaseme</w:t>
      </w:r>
      <w:r w:rsidR="7CDBEDC7" w:rsidRPr="288A3578">
        <w:t>te</w:t>
      </w:r>
      <w:r w:rsidRPr="288A3578">
        <w:t xml:space="preserve"> koguarvust. Mitmetes uuringutes</w:t>
      </w:r>
      <w:r w:rsidR="00751998" w:rsidRPr="288A3578">
        <w:rPr>
          <w:rStyle w:val="FootnoteReference"/>
        </w:rPr>
        <w:footnoteReference w:id="142"/>
      </w:r>
      <w:r w:rsidRPr="288A3578">
        <w:t xml:space="preserve">, kus on tuvastatud oluline mõju eluasemeturule, jääb samuti lühiajalise </w:t>
      </w:r>
      <w:r w:rsidR="00FC1C94">
        <w:t xml:space="preserve">üüri </w:t>
      </w:r>
      <w:r w:rsidRPr="288A3578">
        <w:t xml:space="preserve">turul olevate eluruumide </w:t>
      </w:r>
      <w:r w:rsidR="6A986474" w:rsidRPr="288A3578">
        <w:t>proport</w:t>
      </w:r>
      <w:r w:rsidR="6C539827" w:rsidRPr="288A3578">
        <w:t>s</w:t>
      </w:r>
      <w:r w:rsidR="6A986474" w:rsidRPr="288A3578">
        <w:t>ioon</w:t>
      </w:r>
      <w:r w:rsidRPr="288A3578">
        <w:t xml:space="preserve"> suhteliselt madalaks, nt alla 3%. Lisaks, vaadates Eestis lühiajalise üüri teenuseid kasutanud isikute arvu </w:t>
      </w:r>
      <w:r w:rsidRPr="288A3578">
        <w:lastRenderedPageBreak/>
        <w:t xml:space="preserve">suhtena rahvaarvu, on Eesti turismi mõttes Euroopa keskmik (joonis </w:t>
      </w:r>
      <w:r w:rsidR="00C42DB6">
        <w:t>5</w:t>
      </w:r>
      <w:r w:rsidRPr="288A3578">
        <w:t>). Teistest selgelt intensiivsema külastusööde arvuga on 5</w:t>
      </w:r>
      <w:r w:rsidR="00BF6EDF" w:rsidRPr="00BF6EDF">
        <w:t>–</w:t>
      </w:r>
      <w:r w:rsidRPr="288A3578">
        <w:t xml:space="preserve">6 riiki, kus ööbimiste ja elanike suhe küündib üle kolme, Horvaatial ja Maltal üle seitsme. Eestis on iga elaniku kohta keskmiselt üks ööbimine aastas ja </w:t>
      </w:r>
      <w:r w:rsidR="0073BD79" w:rsidRPr="288A3578">
        <w:t xml:space="preserve">Eesti </w:t>
      </w:r>
      <w:r w:rsidRPr="288A3578">
        <w:t xml:space="preserve">edestab selle näitajaga paljusid turismi sihtkohana </w:t>
      </w:r>
      <w:r w:rsidR="0056336D">
        <w:t xml:space="preserve">üldiselt </w:t>
      </w:r>
      <w:r w:rsidRPr="288A3578">
        <w:t>tuntu</w:t>
      </w:r>
      <w:r w:rsidR="0056336D">
        <w:t>maid</w:t>
      </w:r>
      <w:r w:rsidRPr="288A3578">
        <w:t xml:space="preserve"> </w:t>
      </w:r>
      <w:r w:rsidR="0018350F">
        <w:t xml:space="preserve">ja ka </w:t>
      </w:r>
      <w:r w:rsidR="00C9107B">
        <w:t xml:space="preserve">transpordiühenduste osas </w:t>
      </w:r>
      <w:r w:rsidR="00087B7F">
        <w:t xml:space="preserve">soodsamas positsioonis </w:t>
      </w:r>
      <w:r w:rsidRPr="288A3578">
        <w:t>riike (nt Holland, Tšehhi). Eeldades, et rahvaarv on tugevalt korreleerunud ka eluruumide arvuga, siis tundub Eesti lühiajalis</w:t>
      </w:r>
      <w:r w:rsidR="63681A15" w:rsidRPr="288A3578">
        <w:t>e</w:t>
      </w:r>
      <w:r w:rsidRPr="288A3578">
        <w:t xml:space="preserve"> üüri teenuse kasutajatele keskmise atraktiivsusega sihtkoht.</w:t>
      </w:r>
      <w:r w:rsidRPr="007B0145">
        <w:t xml:space="preserve"> </w:t>
      </w:r>
      <w:r w:rsidRPr="288A3578">
        <w:t>Meie turu analüüs erinevate regioonide lõikes kinnitas ka seda, et teatud piirkondades</w:t>
      </w:r>
      <w:r w:rsidR="1D8EE2B1" w:rsidRPr="288A3578">
        <w:t xml:space="preserve">, </w:t>
      </w:r>
      <w:r w:rsidRPr="288A3578">
        <w:t xml:space="preserve">nt </w:t>
      </w:r>
      <w:r w:rsidR="787CD54E" w:rsidRPr="288A3578">
        <w:t>Tallinna v</w:t>
      </w:r>
      <w:r w:rsidRPr="288A3578">
        <w:t>analinn, on lühiajalise üüri teenusena pakutavaid voodikohti rohkem kui püsielanikke.</w:t>
      </w:r>
    </w:p>
    <w:p w14:paraId="655022EA" w14:textId="0D582FBD" w:rsidR="000A2B4C" w:rsidRDefault="000A2B4C" w:rsidP="000A2B4C">
      <w:pPr>
        <w:pStyle w:val="TableTitle"/>
      </w:pPr>
      <w:r>
        <w:t xml:space="preserve">Joonis </w:t>
      </w:r>
      <w:r w:rsidR="00C42DB6">
        <w:t>5</w:t>
      </w:r>
      <w:r>
        <w:t>. Lühiajalisel turul välja üüritud külastusööd suhtena rahvaarvu Euroopa riikides</w:t>
      </w:r>
      <w:r w:rsidR="00157A9B">
        <w:rPr>
          <w:rStyle w:val="FootnoteReference"/>
        </w:rPr>
        <w:footnoteReference w:id="143"/>
      </w:r>
      <w:r w:rsidR="00BC2AA9" w:rsidRPr="00200A12">
        <w:rPr>
          <w:vertAlign w:val="superscript"/>
        </w:rPr>
        <w:t>,</w:t>
      </w:r>
      <w:r w:rsidR="00CE7A68">
        <w:rPr>
          <w:rStyle w:val="FootnoteReference"/>
        </w:rPr>
        <w:footnoteReference w:id="144"/>
      </w:r>
    </w:p>
    <w:p w14:paraId="31FE2BE2" w14:textId="77777777" w:rsidR="00751998" w:rsidRDefault="00751998" w:rsidP="00751998">
      <w:pPr>
        <w:jc w:val="both"/>
      </w:pPr>
      <w:r>
        <w:rPr>
          <w:noProof/>
        </w:rPr>
        <w:drawing>
          <wp:inline distT="0" distB="0" distL="0" distR="0" wp14:anchorId="22C24015" wp14:editId="09BC9736">
            <wp:extent cx="6497955" cy="2071171"/>
            <wp:effectExtent l="0" t="0" r="17145" b="5715"/>
            <wp:docPr id="872110698" name="Diagramm 1">
              <a:extLst xmlns:a="http://schemas.openxmlformats.org/drawingml/2006/main">
                <a:ext uri="{FF2B5EF4-FFF2-40B4-BE49-F238E27FC236}">
                  <a16:creationId xmlns:a16="http://schemas.microsoft.com/office/drawing/2014/main" id="{CFA329D7-B76D-5DD7-7099-BDD821394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6AD8131" w14:textId="3F314D6C" w:rsidR="00751998" w:rsidRDefault="10C59CDB" w:rsidP="00751998">
      <w:pPr>
        <w:jc w:val="both"/>
      </w:pPr>
      <w:r>
        <w:t>Üheks täiendavaks võimaluseks eluasemeturul pakkumise kohta realistlikumat ülevaadet saada on uurida üüri</w:t>
      </w:r>
      <w:r w:rsidR="62568C12">
        <w:t>-</w:t>
      </w:r>
      <w:r>
        <w:t xml:space="preserve"> ja müügipakkumiste koguarvu. Nt vaadates Eesti suurima kinnisvaraportaali kv.ee poolt avaldatud statistikat, siis pikaajalisel üüriturul </w:t>
      </w:r>
      <w:r w:rsidR="001C316C">
        <w:t>pakuti</w:t>
      </w:r>
      <w:r>
        <w:t xml:space="preserve"> perioodil 2019</w:t>
      </w:r>
      <w:r w:rsidR="005D18D5" w:rsidRPr="005D18D5">
        <w:t>–</w:t>
      </w:r>
      <w:r>
        <w:t>2023 igal kuul üle Eesti ligikaudu 5000 korterit</w:t>
      </w:r>
      <w:r w:rsidR="00F21CF5">
        <w:t>, samas kui lühiajalisel turu</w:t>
      </w:r>
      <w:r w:rsidR="00A96987">
        <w:t>l loeti kokku</w:t>
      </w:r>
      <w:r>
        <w:t xml:space="preserve"> 1,5 miljonit külastusööd aastas. </w:t>
      </w:r>
      <w:r w:rsidR="00684762">
        <w:t>K</w:t>
      </w:r>
      <w:r>
        <w:t>ui</w:t>
      </w:r>
      <w:r w:rsidR="00E85952">
        <w:t xml:space="preserve"> eeldada, et keskmiselt </w:t>
      </w:r>
      <w:r w:rsidR="00F5472E">
        <w:t>kasutab lühiajaliselt üüripinda 2,5 inimest, siis</w:t>
      </w:r>
      <w:r>
        <w:t xml:space="preserve"> oleks nende majutamiseks vaja </w:t>
      </w:r>
      <w:r w:rsidR="00DA6119">
        <w:t>ligikaudu 2</w:t>
      </w:r>
      <w:r>
        <w:t>000 eluruumi, mis moodustab küll üksnes ligikaudu 0,</w:t>
      </w:r>
      <w:r w:rsidR="00DA6119">
        <w:t>2</w:t>
      </w:r>
      <w:r>
        <w:t xml:space="preserve">5% eluruumide kogumahust, üle </w:t>
      </w:r>
      <w:r w:rsidR="00DA6119">
        <w:t>1</w:t>
      </w:r>
      <w:r>
        <w:t xml:space="preserve">% asustamata eluruumidest, kuid </w:t>
      </w:r>
      <w:r w:rsidR="006B7168">
        <w:t>4</w:t>
      </w:r>
      <w:r>
        <w:t xml:space="preserve">0% suurimas kinnisvaraportaalis pakutavate üürikorterite koguarvust. </w:t>
      </w:r>
      <w:r w:rsidR="00AA3B4D">
        <w:t>See näitab, et juba praegused lühiajalise üüri turu mahud võivad olulisel määral pikaajalise üüri turgu ja eluruumide kättesaadavust, sh nende hinnataset, mõjutada</w:t>
      </w:r>
      <w:r w:rsidR="004F56C6">
        <w:t>.</w:t>
      </w:r>
      <w:r w:rsidR="00AA3B4D">
        <w:t xml:space="preserve"> </w:t>
      </w:r>
    </w:p>
    <w:p w14:paraId="0BE6E228" w14:textId="11663089" w:rsidR="00A874A2" w:rsidRDefault="10C59CDB" w:rsidP="00751998">
      <w:pPr>
        <w:jc w:val="both"/>
      </w:pPr>
      <w:r>
        <w:t>Lisaks kinnitas meie kinnisvaraportaalide ja Airbnb pakkumiste võrdlus üsna selgelt, et Eesti väikelinnades on lühiajalise üüri pakkumiste arv kordades suurem pikaajalistest pakkumistest. Pikaajaliste pakkumis</w:t>
      </w:r>
      <w:r w:rsidR="46BFAD9C">
        <w:t>t</w:t>
      </w:r>
      <w:r>
        <w:t xml:space="preserve">e vähesust ei saa küll tingimata põhjendada lühiajalise üüri turu kasvuga, see on pigem struktuurne probleem, kus nende </w:t>
      </w:r>
      <w:r w:rsidR="6A986474">
        <w:t>pakkumist</w:t>
      </w:r>
      <w:r w:rsidR="0384A8B2">
        <w:t>e</w:t>
      </w:r>
      <w:r>
        <w:t xml:space="preserve"> tase on olnud üsna madal aastakümneid. </w:t>
      </w:r>
      <w:r w:rsidR="000E5407">
        <w:t xml:space="preserve">Selle taga võib olla erinevaid põhjuseid, nii Eesti elanike eelistused üürimise asemel kinnisvara </w:t>
      </w:r>
      <w:r w:rsidR="00A874A2">
        <w:t xml:space="preserve">omada </w:t>
      </w:r>
      <w:r w:rsidR="0086329A">
        <w:t>või</w:t>
      </w:r>
      <w:r w:rsidR="000E5407">
        <w:t xml:space="preserve"> </w:t>
      </w:r>
      <w:r w:rsidR="009C2BA9">
        <w:t xml:space="preserve">nendes piirkondades rahvaarvu ja </w:t>
      </w:r>
      <w:r w:rsidR="0086329A">
        <w:t>turu väiksusest tingitud</w:t>
      </w:r>
      <w:r w:rsidR="009C2BA9">
        <w:t xml:space="preserve"> asjaolud.</w:t>
      </w:r>
      <w:r w:rsidR="0086329A">
        <w:t xml:space="preserve"> </w:t>
      </w:r>
      <w:r>
        <w:t xml:space="preserve">Aga see </w:t>
      </w:r>
      <w:r w:rsidR="000C1417">
        <w:t>viitab</w:t>
      </w:r>
      <w:r w:rsidR="00A874A2">
        <w:t xml:space="preserve"> kaudselt</w:t>
      </w:r>
      <w:r w:rsidR="000C1417">
        <w:t xml:space="preserve"> ka</w:t>
      </w:r>
      <w:r>
        <w:t xml:space="preserve">, et lühiajalise </w:t>
      </w:r>
      <w:r w:rsidR="00473147">
        <w:t xml:space="preserve">üüri </w:t>
      </w:r>
      <w:r>
        <w:t xml:space="preserve">turul majutusteenust pakkuda on majanduslikult oluliselt kasumlikum kui pikaajaliselt eluruume välja üürida. Teisalt ilmestab see Eesti </w:t>
      </w:r>
      <w:r>
        <w:lastRenderedPageBreak/>
        <w:t>eluasemeturu konteksti, kus ka üsna vähene lühiajalise üüri turu kasv eluasemeturu arvelt võib turule olulist mõju</w:t>
      </w:r>
      <w:r w:rsidR="00A874A2" w:rsidRPr="00A874A2">
        <w:t xml:space="preserve"> </w:t>
      </w:r>
      <w:r w:rsidR="00A874A2">
        <w:t>avaldada</w:t>
      </w:r>
      <w:r>
        <w:t>.</w:t>
      </w:r>
    </w:p>
    <w:p w14:paraId="6BF83908" w14:textId="77777777" w:rsidR="00A874A2" w:rsidRDefault="00751998" w:rsidP="00751998">
      <w:pPr>
        <w:jc w:val="both"/>
        <w:rPr>
          <w:szCs w:val="24"/>
        </w:rPr>
      </w:pPr>
      <w:r>
        <w:rPr>
          <w:szCs w:val="24"/>
        </w:rPr>
        <w:t>Lisaks tuleb lühiajalise üüri turu kasvu puhul arvestada nii lühiajalise üüri turu enda kui ka eluasemeturu eripäradega:</w:t>
      </w:r>
    </w:p>
    <w:p w14:paraId="2CB0E7A9" w14:textId="77777777" w:rsidR="00751998" w:rsidRDefault="00751998" w:rsidP="00751998">
      <w:pPr>
        <w:pStyle w:val="ListParagraph"/>
        <w:numPr>
          <w:ilvl w:val="0"/>
          <w:numId w:val="41"/>
        </w:numPr>
        <w:spacing w:before="0" w:line="259" w:lineRule="auto"/>
        <w:jc w:val="both"/>
        <w:rPr>
          <w:szCs w:val="24"/>
        </w:rPr>
      </w:pPr>
      <w:r>
        <w:rPr>
          <w:szCs w:val="24"/>
        </w:rPr>
        <w:t>tulenevalt eluruumide pakkumise ja nõudluse madalast hinnaelastsusest (eriti lühiperioodil) võib ka väike nõudluse kasv tekitada eluasemeturul märgatava surve hindadele;</w:t>
      </w:r>
    </w:p>
    <w:p w14:paraId="19B40CB2" w14:textId="38A8B5F2" w:rsidR="00751998" w:rsidRDefault="0016441F" w:rsidP="00751998">
      <w:pPr>
        <w:pStyle w:val="ListParagraph"/>
        <w:numPr>
          <w:ilvl w:val="0"/>
          <w:numId w:val="41"/>
        </w:numPr>
        <w:spacing w:before="0" w:line="259" w:lineRule="auto"/>
        <w:jc w:val="both"/>
        <w:rPr>
          <w:szCs w:val="24"/>
        </w:rPr>
      </w:pPr>
      <w:r>
        <w:rPr>
          <w:szCs w:val="24"/>
        </w:rPr>
        <w:t>lühiajalise üüri turg</w:t>
      </w:r>
      <w:r w:rsidR="00751998">
        <w:rPr>
          <w:szCs w:val="24"/>
        </w:rPr>
        <w:t xml:space="preserve"> kontsentreerub tavaliselt teatud turismi vaates atraktiivsetesse piirkondadesse, mis tähendab seal oluliselt suuremat nõudluse suurenemist;</w:t>
      </w:r>
    </w:p>
    <w:p w14:paraId="2B57DB63" w14:textId="697B5539" w:rsidR="00751998" w:rsidRDefault="0016441F" w:rsidP="00751998">
      <w:pPr>
        <w:pStyle w:val="ListParagraph"/>
        <w:numPr>
          <w:ilvl w:val="0"/>
          <w:numId w:val="41"/>
        </w:numPr>
        <w:spacing w:before="0" w:line="259" w:lineRule="auto"/>
        <w:jc w:val="both"/>
        <w:rPr>
          <w:szCs w:val="24"/>
        </w:rPr>
      </w:pPr>
      <w:r>
        <w:rPr>
          <w:szCs w:val="24"/>
        </w:rPr>
        <w:t>lühiajalise üüri turu</w:t>
      </w:r>
      <w:r w:rsidR="00751998">
        <w:rPr>
          <w:szCs w:val="24"/>
        </w:rPr>
        <w:t xml:space="preserve"> kontsentreerumine teatud piirkondadesse võib avaldada mõju ka seal, kus </w:t>
      </w:r>
      <w:r>
        <w:rPr>
          <w:szCs w:val="24"/>
        </w:rPr>
        <w:t>lühiajalise üüri turg</w:t>
      </w:r>
      <w:r w:rsidR="00751998">
        <w:rPr>
          <w:szCs w:val="24"/>
        </w:rPr>
        <w:t xml:space="preserve"> nii aktiivne ei ole, nt võib hinnatõus turismipiirkondades suunata nõudluse teistesse piirkondadesse, mis toob ka seal kaasa hinnakasvu.</w:t>
      </w:r>
    </w:p>
    <w:p w14:paraId="64882CD2" w14:textId="49671DB5" w:rsidR="00751998" w:rsidRDefault="10C59CDB" w:rsidP="00751998">
      <w:pPr>
        <w:jc w:val="both"/>
      </w:pPr>
      <w:r>
        <w:t xml:space="preserve">Nendest tähelepanekutest </w:t>
      </w:r>
      <w:r w:rsidR="6A986474">
        <w:t>tuleneva</w:t>
      </w:r>
      <w:r w:rsidR="20826674">
        <w:t>l</w:t>
      </w:r>
      <w:r w:rsidR="6A986474">
        <w:t>t</w:t>
      </w:r>
      <w:r>
        <w:t xml:space="preserve"> pole kuigi üllatav, et ka ökonomeetrilise analüüsi tulemused viitavad, et teatud hinnakasvu ja pakkumise vähenemist pikaajalisel üüriturul saab juba praegu Eestis seostada lühiajalise üüri turu kasvuga. Samas on väljaspool suuri keskuseid Tallinnat ja Tartut pikaajalis</w:t>
      </w:r>
      <w:r w:rsidR="5759CD6E">
        <w:t>t</w:t>
      </w:r>
      <w:r>
        <w:t>e üüripakkumiste arv juba praegu pigem tagasihoidlik ja hästi toimivast üüriturust mahtude vähesuse tõttu ei saa rääkida. Seega lühiajali</w:t>
      </w:r>
      <w:r w:rsidR="60633018">
        <w:t>s</w:t>
      </w:r>
      <w:r>
        <w:t>e üüri turg on seda probleemi lihtsalt veidi suurendanud ja võib teha seda ka tulevikus. See probleem tõusetus ka intervjuudes</w:t>
      </w:r>
      <w:r w:rsidR="31D42796">
        <w:t xml:space="preserve"> nii</w:t>
      </w:r>
      <w:r>
        <w:t xml:space="preserve"> majutusettevõtjate kui ka omavalitsuste esindajatega, kus seda nähakse ühe võimaliku trendina, kui lühiajalise üüri turu mahud veelgi kasvavad. Samas hetkel olulist hinnakasvu või pakkumise defitsiiti veel kuigi selgelt ei tajuta</w:t>
      </w:r>
      <w:r w:rsidR="0047273F">
        <w:t>.</w:t>
      </w:r>
      <w:r>
        <w:t xml:space="preserve"> </w:t>
      </w:r>
      <w:r w:rsidR="0047273F">
        <w:t>P</w:t>
      </w:r>
      <w:r>
        <w:t>igem avaldati selles osas väga üldiseid arvamusi, et ilmselt mingil määral on mõjutanud, kuid mingeid selgeid tõendeid või fakte keegi ei väljendanud.</w:t>
      </w:r>
    </w:p>
    <w:p w14:paraId="5ADAACDB" w14:textId="15A49A43" w:rsidR="00751998" w:rsidRDefault="10C59CDB" w:rsidP="288A3578">
      <w:pPr>
        <w:jc w:val="both"/>
      </w:pPr>
      <w:r>
        <w:t>Varasemad uuringud teistes riikides siiski kinnitavad seda, et mõju nii hindadele kui ka pakkumisele on selgelt avaldunud. Lühiajalise üüri turu mahtude kasv lähiaastatel on üsna realistlik, arvestades uuritaval perioodil toimunud sündmusi (2020</w:t>
      </w:r>
      <w:r w:rsidR="008643AC" w:rsidRPr="008643AC">
        <w:t>–</w:t>
      </w:r>
      <w:r>
        <w:t>2022 kestnud Covid pandeemia ja 2022.</w:t>
      </w:r>
      <w:r w:rsidR="25E709CF">
        <w:t xml:space="preserve"> </w:t>
      </w:r>
      <w:r>
        <w:t>a</w:t>
      </w:r>
      <w:r w:rsidR="4D45EE90">
        <w:t>astal</w:t>
      </w:r>
      <w:r>
        <w:t xml:space="preserve"> alanud Venemaa</w:t>
      </w:r>
      <w:r w:rsidR="00D37471">
        <w:t xml:space="preserve"> täiemahuline</w:t>
      </w:r>
      <w:r>
        <w:t xml:space="preserve"> agressioon Ukrainas, mis kestab senini), mis turistide vooge on oluliselt pidurdanud. Seega tuleb valmis olla veelgi tugevamaks surveks ka eluasemeturul. Eesti kohta võib aga hetkel üldistatult järeldada, et lühiajalise üüri turu kasv on eluasemeturul väheselt määral pakkumist vähendanud ja hinnataset suurendanud, kuid seni on selle ulatus siiski nõrk, isegi piirkondades, kus lühiajali</w:t>
      </w:r>
      <w:r w:rsidR="21E1AE95">
        <w:t>s</w:t>
      </w:r>
      <w:r>
        <w:t xml:space="preserve">e üüri turg on väga aktiivne, nagu Tallinna </w:t>
      </w:r>
      <w:r w:rsidR="3CA78D48">
        <w:t>v</w:t>
      </w:r>
      <w:r>
        <w:t>analinn või Pärnu. Üheks põhjuseks võib olla ka see, et nõudlus nendes piirkondades eluasemete järgi on samuti madal, mis pole hindadele väga suurt survet avaldanud.</w:t>
      </w:r>
    </w:p>
    <w:p w14:paraId="122634F6" w14:textId="157B39CE" w:rsidR="00751998" w:rsidRDefault="00751998" w:rsidP="0016441F">
      <w:pPr>
        <w:pStyle w:val="Heading3"/>
        <w:rPr>
          <w:rFonts w:hint="eastAsia"/>
        </w:rPr>
      </w:pPr>
      <w:bookmarkStart w:id="136" w:name="_Toc208991624"/>
      <w:r w:rsidRPr="009137F5">
        <w:t xml:space="preserve">Mõjud </w:t>
      </w:r>
      <w:r w:rsidR="00BA660B">
        <w:t xml:space="preserve">regioonidele ja </w:t>
      </w:r>
      <w:r>
        <w:t>regionaalsele arengule</w:t>
      </w:r>
      <w:bookmarkEnd w:id="136"/>
    </w:p>
    <w:p w14:paraId="4DCE9F53" w14:textId="5646FF51" w:rsidR="00103A37" w:rsidRDefault="00751998" w:rsidP="00751998">
      <w:pPr>
        <w:jc w:val="both"/>
        <w:rPr>
          <w:szCs w:val="24"/>
        </w:rPr>
      </w:pPr>
      <w:r>
        <w:rPr>
          <w:szCs w:val="24"/>
        </w:rPr>
        <w:t>Lühiajalise üüri turu kasvu vahetu mõju majandusele seisneb suuremas turistide arvus, kuna majutusteenuste mitmekesistumine ja taskukohasemaks muutumine</w:t>
      </w:r>
      <w:r w:rsidRPr="00DE0262">
        <w:rPr>
          <w:szCs w:val="24"/>
        </w:rPr>
        <w:t xml:space="preserve"> </w:t>
      </w:r>
      <w:r>
        <w:rPr>
          <w:szCs w:val="24"/>
        </w:rPr>
        <w:t xml:space="preserve">Eestis tähendab suuremaid turistide vooge, seda nii välis- kui siseturismi vaates. Ettevõtjatele tähendab see rohkem kliente ja paremaid võimalusi nii ettevõtlusega alustamiseks kui ka olemasolevate ettevõtete jätkusuutlikkuse tagamiseks. </w:t>
      </w:r>
      <w:r w:rsidR="007360AB">
        <w:rPr>
          <w:szCs w:val="24"/>
        </w:rPr>
        <w:t>Kuna turistid soovivad külastada lisaks suurtele keskustele ka teisi regioone, on alust eeldada, et lühiajalise üürimise leviku mõjud jõuavad ka keskustest kaugemale. Seega võib turu areng kaasa tuua positiivseid mõjusid regioonidele, mis kahaneva rahvastiku ja keskmisest madalama ettevõtlusaktiivsuse tingimustes võiksid sellest saada olulise arengutõuke.</w:t>
      </w:r>
      <w:r w:rsidR="00947F61">
        <w:rPr>
          <w:szCs w:val="24"/>
        </w:rPr>
        <w:t xml:space="preserve"> </w:t>
      </w:r>
      <w:r w:rsidR="00ED23E3">
        <w:rPr>
          <w:szCs w:val="24"/>
        </w:rPr>
        <w:t xml:space="preserve">Kõige otsesemalt mõjutab turistide suurem arv toitlustussektorit ja eraveoteenuseid (nagu taksod), </w:t>
      </w:r>
      <w:r w:rsidR="00ED23E3">
        <w:rPr>
          <w:szCs w:val="24"/>
        </w:rPr>
        <w:lastRenderedPageBreak/>
        <w:t xml:space="preserve">mida turistid tüüpiliselt tarbivad. Samas kaudselt saavad mõjutatud ka teised sektorid. Sellest lähtuvalt hindamegi mõju regionaalsele arengule kahe nähtuse kaudu: töötute arv ja ettevõtlikkus. </w:t>
      </w:r>
    </w:p>
    <w:p w14:paraId="1BC2A82C" w14:textId="7CBD9911" w:rsidR="00751998" w:rsidRDefault="10C59CDB" w:rsidP="288A3578">
      <w:pPr>
        <w:jc w:val="both"/>
      </w:pPr>
      <w:r w:rsidRPr="288A3578">
        <w:t>Ökonomeetriliste mudelite</w:t>
      </w:r>
      <w:r w:rsidR="3F07DC28" w:rsidRPr="288A3578">
        <w:t>ga</w:t>
      </w:r>
      <w:r w:rsidRPr="288A3578">
        <w:t xml:space="preserve"> tuvastasime lühiajalise üürimise ja </w:t>
      </w:r>
      <w:r w:rsidRPr="288A3578">
        <w:rPr>
          <w:b/>
          <w:bCs/>
        </w:rPr>
        <w:t>töötute arvu</w:t>
      </w:r>
      <w:r w:rsidRPr="288A3578">
        <w:t xml:space="preserve"> vahel ootuspäraselt negatiivse seose mitmes maakonnas. Suuremates turismikeskustes</w:t>
      </w:r>
      <w:r w:rsidR="7C4023A0" w:rsidRPr="288A3578">
        <w:t>,</w:t>
      </w:r>
      <w:r w:rsidRPr="288A3578">
        <w:t xml:space="preserve"> nt Pärnu</w:t>
      </w:r>
      <w:r w:rsidR="7ECD1174" w:rsidRPr="288A3578">
        <w:t>,</w:t>
      </w:r>
      <w:r w:rsidRPr="288A3578">
        <w:t xml:space="preserve"> meie mudel küll seost ei näidanud, kuid see võib olla seotud ka metoodiliste piirangutega. Seda, et lühiajaline üürimine kohalikku majandust täiendavate töökohtade ja isegi uute restoranide</w:t>
      </w:r>
      <w:r w:rsidR="50C04E3E" w:rsidRPr="288A3578">
        <w:t>ga</w:t>
      </w:r>
      <w:r w:rsidRPr="288A3578">
        <w:t xml:space="preserve"> mõjutab, on näidatud ka ühes varasemas uuringus Madridi kohta</w:t>
      </w:r>
      <w:r w:rsidR="006839F9">
        <w:t>.</w:t>
      </w:r>
      <w:r w:rsidR="00751998" w:rsidRPr="288A3578">
        <w:rPr>
          <w:rStyle w:val="FootnoteReference"/>
        </w:rPr>
        <w:footnoteReference w:id="145"/>
      </w:r>
      <w:r w:rsidRPr="288A3578">
        <w:t xml:space="preserve"> Kuigi Eesti kontekst ja mastaabid on oluliselt väiksemad, siis meie hinnatud seose tugevus, kus </w:t>
      </w:r>
      <w:r w:rsidR="3CA78D48" w:rsidRPr="288A3578">
        <w:t>ühe</w:t>
      </w:r>
      <w:r w:rsidRPr="288A3578">
        <w:t xml:space="preserve"> uue töökoha</w:t>
      </w:r>
      <w:r w:rsidR="005A752B">
        <w:t xml:space="preserve"> </w:t>
      </w:r>
      <w:r w:rsidR="002B4394">
        <w:t>loomiseks</w:t>
      </w:r>
      <w:r w:rsidRPr="288A3578">
        <w:t xml:space="preserve"> on vaja aastas ligikaudu 300 ööbimist, on samas suurusjärgus viidatud uuringu tulemusega Madridis. </w:t>
      </w:r>
    </w:p>
    <w:p w14:paraId="15BA654C" w14:textId="7431B0B3" w:rsidR="00751998" w:rsidRDefault="10C59CDB" w:rsidP="288A3578">
      <w:pPr>
        <w:jc w:val="both"/>
      </w:pPr>
      <w:r>
        <w:t xml:space="preserve">Samas kui võrrelda Eurostati eksperimentaalstatistika alusel lühiajalise üürimise </w:t>
      </w:r>
      <w:r w:rsidR="00D25795">
        <w:t xml:space="preserve">ööbimiste </w:t>
      </w:r>
      <w:r>
        <w:t>jaotust maakondade lõikes, siis nagu näitas meie turuanalüüs, kaldub see kontsentreeruma suurematesse turismikeskustesse nagu Tallinn (50</w:t>
      </w:r>
      <w:r w:rsidR="000103B3">
        <w:t>–</w:t>
      </w:r>
      <w:r>
        <w:t>55%), Pärnu (10</w:t>
      </w:r>
      <w:r w:rsidR="000103B3">
        <w:t>–</w:t>
      </w:r>
      <w:r>
        <w:t>15%), Tartu (5</w:t>
      </w:r>
      <w:r w:rsidR="000103B3">
        <w:t>–</w:t>
      </w:r>
      <w:r>
        <w:t xml:space="preserve">10%), lisaks ka Lääne-Eesti maakondadesse. Võrreldes seda jaotust </w:t>
      </w:r>
      <w:r w:rsidR="001F0347">
        <w:t xml:space="preserve">ööbimiste mahtudega </w:t>
      </w:r>
      <w:r>
        <w:t>traditsioonilistes majutusa</w:t>
      </w:r>
      <w:r w:rsidR="77AE541F">
        <w:t>s</w:t>
      </w:r>
      <w:r>
        <w:t>utustes Statistikaameti andmete põhjal, sii</w:t>
      </w:r>
      <w:r w:rsidR="00F77628">
        <w:t>s on</w:t>
      </w:r>
      <w:r>
        <w:t xml:space="preserve"> see üsna sarnane, kuid protsentuaalselt veidi rohkem ööbivad turistid väljaspool kolme suurt keskust </w:t>
      </w:r>
      <w:r w:rsidR="00B92612">
        <w:t>(</w:t>
      </w:r>
      <w:r>
        <w:t>Tallinn, Pärnu</w:t>
      </w:r>
      <w:r w:rsidR="00B92612">
        <w:t>,</w:t>
      </w:r>
      <w:r>
        <w:t xml:space="preserve"> Tartu</w:t>
      </w:r>
      <w:r w:rsidR="00B92612">
        <w:t>)</w:t>
      </w:r>
      <w:r>
        <w:t xml:space="preserve">. </w:t>
      </w:r>
      <w:r w:rsidR="00AB4204">
        <w:t xml:space="preserve">Üheks </w:t>
      </w:r>
      <w:r>
        <w:t xml:space="preserve">põhjuseks </w:t>
      </w:r>
      <w:r w:rsidR="00AB4204">
        <w:t>võib olla</w:t>
      </w:r>
      <w:r>
        <w:t xml:space="preserve"> eluruumide kvaliteet, mida suuremates keskustes on lihtsalt rohkem arendatud. Erandiks on Läänemaa, Hiiumaa ja Saaremaa, </w:t>
      </w:r>
      <w:r w:rsidR="62233C55">
        <w:t>kus</w:t>
      </w:r>
      <w:r>
        <w:t xml:space="preserve"> lühiajalise üüri </w:t>
      </w:r>
      <w:r w:rsidR="7CDCD2B7">
        <w:t>tur</w:t>
      </w:r>
      <w:r w:rsidR="3D974A01">
        <w:t>g</w:t>
      </w:r>
      <w:r w:rsidR="7CDCD2B7">
        <w:t xml:space="preserve"> moodusta</w:t>
      </w:r>
      <w:r w:rsidR="0B5BAA45">
        <w:t>b</w:t>
      </w:r>
      <w:r>
        <w:t xml:space="preserve"> selgelt suurema osa kui </w:t>
      </w:r>
      <w:r w:rsidR="7CDCD2B7">
        <w:t>traditsioonili</w:t>
      </w:r>
      <w:r w:rsidR="2052D0EC">
        <w:t>ne</w:t>
      </w:r>
      <w:r>
        <w:t xml:space="preserve"> majutusteenuste </w:t>
      </w:r>
      <w:r w:rsidR="7CDCD2B7">
        <w:t>tur</w:t>
      </w:r>
      <w:r w:rsidR="45ACFE95">
        <w:t>g</w:t>
      </w:r>
      <w:r>
        <w:t>.</w:t>
      </w:r>
      <w:r w:rsidR="00237CAD">
        <w:t xml:space="preserve"> Osaliselt või</w:t>
      </w:r>
      <w:r w:rsidR="2D168CFE">
        <w:t>vad</w:t>
      </w:r>
      <w:r w:rsidR="00237CAD">
        <w:t xml:space="preserve"> seda mõjutada nende piirkondade</w:t>
      </w:r>
      <w:r w:rsidR="009A7ED9">
        <w:t xml:space="preserve"> väiksemad majutuskohad, mis majutusstatistikasse ei jõua</w:t>
      </w:r>
      <w:r w:rsidR="00AB4C3C">
        <w:t xml:space="preserve">, kuid </w:t>
      </w:r>
      <w:r w:rsidR="00A82D57">
        <w:t xml:space="preserve">kuna </w:t>
      </w:r>
      <w:r w:rsidR="00AB4C3C">
        <w:t xml:space="preserve">Lääne-Eestis </w:t>
      </w:r>
      <w:r w:rsidR="00B26ECA">
        <w:t>on</w:t>
      </w:r>
      <w:r w:rsidR="00A82D57">
        <w:t>gi</w:t>
      </w:r>
      <w:r w:rsidR="00B26ECA">
        <w:t xml:space="preserve"> lühiajaline üürimine</w:t>
      </w:r>
      <w:r w:rsidR="00A82D57">
        <w:t xml:space="preserve"> suhteliselt aktiivne, peegeldab see eeldatavalt </w:t>
      </w:r>
      <w:r w:rsidR="00D22E3D">
        <w:t xml:space="preserve">ka </w:t>
      </w:r>
      <w:r w:rsidR="00A82D57">
        <w:t>tegelikku olukorda.</w:t>
      </w:r>
      <w:r w:rsidR="00237CAD">
        <w:t xml:space="preserve"> </w:t>
      </w:r>
      <w:r>
        <w:t xml:space="preserve">Seega võib üldistada, et kuigi lühiajalisel üürimisel </w:t>
      </w:r>
      <w:r w:rsidR="00D22E3D">
        <w:t xml:space="preserve">on </w:t>
      </w:r>
      <w:r>
        <w:t>kindlasti positiivne mõju ka regionaalselt, võimaldades tuu</w:t>
      </w:r>
      <w:r w:rsidR="6ACF8D27">
        <w:t>a</w:t>
      </w:r>
      <w:r>
        <w:t xml:space="preserve"> sinna rohkem turiste ka ilma suuremate majutusasutusteta, siis hetkel on turismivood sarnaselt hotellisektoriga koondunud suurematesse keskustesse. Kõige enam on</w:t>
      </w:r>
      <w:r w:rsidR="00971BCD">
        <w:t>gi</w:t>
      </w:r>
      <w:r>
        <w:t xml:space="preserve"> </w:t>
      </w:r>
      <w:r w:rsidR="00E870F3">
        <w:t xml:space="preserve">lühiajalise üüri turu arengust </w:t>
      </w:r>
      <w:r w:rsidR="006D1508">
        <w:t>väljaspool keskus</w:t>
      </w:r>
      <w:r w:rsidR="00D328BA">
        <w:t>i</w:t>
      </w:r>
      <w:r w:rsidR="006D1508">
        <w:t xml:space="preserve"> </w:t>
      </w:r>
      <w:r>
        <w:t xml:space="preserve">võitnud Lääne-Eesti, teistes piirkondades on </w:t>
      </w:r>
      <w:r w:rsidR="00EF16E8">
        <w:t xml:space="preserve">jäänud </w:t>
      </w:r>
      <w:r>
        <w:t xml:space="preserve">mõju </w:t>
      </w:r>
      <w:r w:rsidR="00EF16E8">
        <w:t>tagasihoidlikumaks</w:t>
      </w:r>
      <w:r>
        <w:t>.</w:t>
      </w:r>
    </w:p>
    <w:p w14:paraId="2ACCC8C3" w14:textId="062C8588" w:rsidR="00751998" w:rsidRDefault="00044356" w:rsidP="288A3578">
      <w:pPr>
        <w:jc w:val="both"/>
      </w:pPr>
      <w:r>
        <w:t>Et mõista lühiajalise üürimise potentsiaali regionaalse arengu tegurina</w:t>
      </w:r>
      <w:r w:rsidR="000B3206">
        <w:t>, aga ka võimalikku mõju eri regioonidele</w:t>
      </w:r>
      <w:r w:rsidR="00385701">
        <w:t xml:space="preserve">, </w:t>
      </w:r>
      <w:r w:rsidR="000909BE">
        <w:t>võib alustada</w:t>
      </w:r>
      <w:r w:rsidR="000B3206">
        <w:t xml:space="preserve"> </w:t>
      </w:r>
      <w:r w:rsidR="00385701">
        <w:t>selle</w:t>
      </w:r>
      <w:r w:rsidR="10C59CDB" w:rsidRPr="288A3578">
        <w:t xml:space="preserve"> koondefekti</w:t>
      </w:r>
      <w:r w:rsidR="000909BE">
        <w:t xml:space="preserve"> hindamisest</w:t>
      </w:r>
      <w:r w:rsidR="10C59CDB" w:rsidRPr="288A3578">
        <w:t xml:space="preserve"> majandusele</w:t>
      </w:r>
      <w:r w:rsidR="00385701">
        <w:t>.</w:t>
      </w:r>
      <w:r w:rsidR="10C59CDB" w:rsidRPr="288A3578">
        <w:t xml:space="preserve"> Eesti Panga</w:t>
      </w:r>
      <w:r w:rsidR="00751998" w:rsidRPr="288A3578">
        <w:rPr>
          <w:rStyle w:val="FootnoteReference"/>
        </w:rPr>
        <w:footnoteReference w:id="146"/>
      </w:r>
      <w:r w:rsidR="10C59CDB" w:rsidRPr="288A3578">
        <w:t xml:space="preserve"> reisistatistika ja </w:t>
      </w:r>
      <w:r w:rsidR="3CA78D48" w:rsidRPr="288A3578">
        <w:t>SA</w:t>
      </w:r>
      <w:r w:rsidR="00751998" w:rsidRPr="288A3578">
        <w:rPr>
          <w:rStyle w:val="FootnoteReference"/>
        </w:rPr>
        <w:footnoteReference w:id="147"/>
      </w:r>
      <w:r w:rsidR="10C59CDB" w:rsidRPr="288A3578">
        <w:t xml:space="preserve"> sisereisidel Eesti elanike poolt tehtavate kulutuste suuruse alusel saab üldistada, et keskmine turist kulutab</w:t>
      </w:r>
      <w:r w:rsidR="1D7F81BC">
        <w:t xml:space="preserve"> </w:t>
      </w:r>
      <w:r w:rsidR="007C428D">
        <w:t>Eestis</w:t>
      </w:r>
      <w:r w:rsidR="10C59CDB" w:rsidRPr="288A3578">
        <w:t xml:space="preserve"> ööpäevas ligikaudu 150 eurot. Arvestades 2023.</w:t>
      </w:r>
      <w:r w:rsidR="2B18A14A" w:rsidRPr="288A3578">
        <w:t xml:space="preserve"> </w:t>
      </w:r>
      <w:r w:rsidR="10C59CDB" w:rsidRPr="288A3578">
        <w:t>a</w:t>
      </w:r>
      <w:r w:rsidR="4A63726D" w:rsidRPr="288A3578">
        <w:t>asta</w:t>
      </w:r>
      <w:r w:rsidR="10C59CDB" w:rsidRPr="288A3578">
        <w:t xml:space="preserve"> lühiajalise üüri turu mahtu 1,5 miljonit ööbimist, võib mõju majandusele ulatuda 225 miljoni euroni. Nende kulutuste kaudne mõju on aga veelgi suurem, kuna turistide nõudlus erinevate teenuste järele tekitab omakorda nõudluse vahetoodetele, mis on vajalikud nende teenuste osutamiseks. Et sellest mastaabist paremini aru saada, siis sisuliselt on see võrdne 500 Eestis tegutseva keskmise suurusega restorani aastakäibega</w:t>
      </w:r>
      <w:r w:rsidR="006839F9">
        <w:t>.</w:t>
      </w:r>
      <w:r w:rsidR="00751998" w:rsidRPr="288A3578">
        <w:rPr>
          <w:rStyle w:val="FootnoteReference"/>
        </w:rPr>
        <w:footnoteReference w:id="148"/>
      </w:r>
      <w:r w:rsidR="10C59CDB" w:rsidRPr="288A3578">
        <w:t xml:space="preserve"> </w:t>
      </w:r>
    </w:p>
    <w:p w14:paraId="5A7554C9" w14:textId="3AAF4F49" w:rsidR="005D349B" w:rsidRDefault="10C59CDB" w:rsidP="00751998">
      <w:pPr>
        <w:jc w:val="both"/>
      </w:pPr>
      <w:r>
        <w:lastRenderedPageBreak/>
        <w:t>Eurostati andmetel o</w:t>
      </w:r>
      <w:r w:rsidR="28335BFB">
        <w:t>li</w:t>
      </w:r>
      <w:r>
        <w:t xml:space="preserve"> välisturistide osakaal lühiajalise üüri turul 2023.</w:t>
      </w:r>
      <w:r w:rsidR="3474BF3E">
        <w:t xml:space="preserve"> </w:t>
      </w:r>
      <w:r>
        <w:t>a</w:t>
      </w:r>
      <w:r w:rsidR="3474BF3E">
        <w:t>astal</w:t>
      </w:r>
      <w:r>
        <w:t xml:space="preserve"> üle 60%, seega võib </w:t>
      </w:r>
      <w:r w:rsidRPr="00BE179D">
        <w:rPr>
          <w:b/>
          <w:bCs/>
        </w:rPr>
        <w:t>ligikaudu 135 miljonit eurot eespool mainitud 225 miljonist eurost lugeda tuludeks, mille toovad majandusse välisturistid lühiajalise üüri turu kaudu</w:t>
      </w:r>
      <w:r>
        <w:t>. Eraldi küsimus on, et milline osa sellest on tulnud hotellide käivete arvelt. Statistilis</w:t>
      </w:r>
      <w:r w:rsidR="6713FE1B">
        <w:t>te</w:t>
      </w:r>
      <w:r>
        <w:t xml:space="preserve"> aegridade ja paneelandmete mudelitega tuvastasime, et teatud ulatuses on lühiajalise üüri</w:t>
      </w:r>
      <w:r w:rsidR="00E05BE1">
        <w:t xml:space="preserve"> </w:t>
      </w:r>
      <w:r>
        <w:t>turu mahu kasv vaadeldud perioodil ehk 2019</w:t>
      </w:r>
      <w:r w:rsidR="00E05BE1" w:rsidRPr="00E05BE1">
        <w:t>–</w:t>
      </w:r>
      <w:r>
        <w:t>2023 toimunud hotellides ööbimiste arvelt. Kuid üldisem trend on siiski mõlemas segmendis kasvuteel. Seega kokkuvõttes on turistide vood Eestisse aasta-aastalt suurenenud ja 2025. aastaks on jõudnud mahus</w:t>
      </w:r>
      <w:r w:rsidR="00391624">
        <w:t xml:space="preserve"> ligikaudu</w:t>
      </w:r>
      <w:r>
        <w:t xml:space="preserve"> pandeemiaeelsele tasemele. </w:t>
      </w:r>
      <w:r w:rsidR="004F453C" w:rsidRPr="288A3578">
        <w:t xml:space="preserve">Osa sellest võib olla küll üksnes ressursside ümberpaiknemine majanduse sees, nt hotellisektorist või siseturistide kulutuste arvelt teistele teenustele ja kaupadele. Selline ümberpaiknemine lisandväärtuse kasvu majanduses ei tekita, kuigi sellega kaasneb </w:t>
      </w:r>
      <w:r w:rsidR="004F453C">
        <w:t xml:space="preserve">lühiajalise </w:t>
      </w:r>
      <w:r w:rsidR="004F453C" w:rsidRPr="288A3578">
        <w:t>üüri</w:t>
      </w:r>
      <w:r w:rsidR="004F453C">
        <w:t xml:space="preserve"> </w:t>
      </w:r>
      <w:r w:rsidR="004F453C" w:rsidRPr="288A3578">
        <w:t>turul teenuseid tarbivate Eest elanike heaolu kasv, vastasel juhul nad neid teenuseid poleks kasutanud.</w:t>
      </w:r>
    </w:p>
    <w:p w14:paraId="4028B23C" w14:textId="525DE0E9" w:rsidR="004E108E" w:rsidRDefault="00E0087C" w:rsidP="00751998">
      <w:pPr>
        <w:jc w:val="both"/>
      </w:pPr>
      <w:r>
        <w:t>Positiivsed arengud majutussektoris</w:t>
      </w:r>
      <w:r w:rsidR="008A2A83">
        <w:t xml:space="preserve"> </w:t>
      </w:r>
      <w:r w:rsidR="004F453C">
        <w:t xml:space="preserve">ei </w:t>
      </w:r>
      <w:r w:rsidR="008A2A83">
        <w:t>pruugi tingimata traditsiooniliste majutusasutuste</w:t>
      </w:r>
      <w:r w:rsidR="10C59CDB" w:rsidRPr="288A3578">
        <w:t xml:space="preserve"> majandustulemus</w:t>
      </w:r>
      <w:r w:rsidR="008A2A83">
        <w:t>tes</w:t>
      </w:r>
      <w:r w:rsidR="004F453C" w:rsidRPr="004F453C">
        <w:t xml:space="preserve"> </w:t>
      </w:r>
      <w:r w:rsidR="004F453C">
        <w:t>kajastuda</w:t>
      </w:r>
      <w:r w:rsidR="10C59CDB" w:rsidRPr="288A3578">
        <w:t>, kuna tiheneva konkurentsi olukorras on nad eeldatavalt pidanud hinnataset langetama</w:t>
      </w:r>
      <w:r w:rsidR="00AB5376">
        <w:t>, mida on täiendavalt survestanud COVID pandeemia ja Venemaa</w:t>
      </w:r>
      <w:r w:rsidR="00D37471">
        <w:t xml:space="preserve"> täiemahuline</w:t>
      </w:r>
      <w:r w:rsidR="00AB5376">
        <w:t xml:space="preserve"> agressioon Ukraina vastu.</w:t>
      </w:r>
      <w:r w:rsidR="10C59CDB" w:rsidRPr="288A3578">
        <w:t xml:space="preserve"> Teistes riikides tehtud teadusuuringud</w:t>
      </w:r>
      <w:r w:rsidR="00751998" w:rsidRPr="288A3578">
        <w:rPr>
          <w:rStyle w:val="FootnoteReference"/>
        </w:rPr>
        <w:footnoteReference w:id="149"/>
      </w:r>
      <w:r w:rsidR="10C59CDB" w:rsidRPr="288A3578">
        <w:t xml:space="preserve"> sellele ka viitavad, et hotellide majandustulemused on lühiajalise üüri turu kasvu tingimustes halvenenud. Kuigi see võib mõjutada hotellide ja teiste suuremate majutusasutuste investeerimisvõimekust ja panna neid otsima ökonoomsemaid toimimise mudeleid, majandusele tervikuna </w:t>
      </w:r>
      <w:r w:rsidR="7CA46C03">
        <w:t xml:space="preserve">mõjub </w:t>
      </w:r>
      <w:r w:rsidR="10C59CDB" w:rsidRPr="288A3578">
        <w:t xml:space="preserve">tihedam konkurents pigem positiivselt, nagu eespool majutussektori analüüsis </w:t>
      </w:r>
      <w:r w:rsidR="00C00FAF">
        <w:t>hindasime</w:t>
      </w:r>
      <w:r w:rsidR="10C59CDB" w:rsidRPr="288A3578">
        <w:t>. See tekitab hindade surve allapoole lähemale teenuse tegelikule ühiskondlikule piirkulule ja suurendab seeläbi ka nõudlust, mis omakorda toob riiki rohkem välisturiste, kelle kulutused suurendavad kohalike elanike sissetulekuid.</w:t>
      </w:r>
    </w:p>
    <w:p w14:paraId="384F25DB" w14:textId="399C073C" w:rsidR="00751998" w:rsidRDefault="00E95F4E" w:rsidP="00A70285">
      <w:pPr>
        <w:jc w:val="both"/>
      </w:pPr>
      <w:r>
        <w:t xml:space="preserve">Kui </w:t>
      </w:r>
      <w:r w:rsidR="00167B91">
        <w:t>kirjeldatud suundumusi ja näitajaid hinnata</w:t>
      </w:r>
      <w:r>
        <w:t xml:space="preserve"> r</w:t>
      </w:r>
      <w:r w:rsidR="004E108E">
        <w:t>egionaalse arengu vaates</w:t>
      </w:r>
      <w:r>
        <w:t>, siis</w:t>
      </w:r>
      <w:r w:rsidR="004E108E">
        <w:t xml:space="preserve"> polegi niivõrd oluline see,</w:t>
      </w:r>
      <w:r>
        <w:t xml:space="preserve"> kas </w:t>
      </w:r>
      <w:r w:rsidR="009643ED">
        <w:t>lühiajalise üürimise turg kasvab hotellisektori või välisturistide</w:t>
      </w:r>
      <w:r w:rsidR="00167B91">
        <w:t xml:space="preserve"> arvelt, vaid </w:t>
      </w:r>
      <w:r w:rsidR="00623978">
        <w:t xml:space="preserve">kuidas </w:t>
      </w:r>
      <w:r w:rsidR="00D61E69">
        <w:t>jaotub majutussektoris loodav lisandväärtus erinevate regioonide vahel.</w:t>
      </w:r>
      <w:r w:rsidR="004E108E">
        <w:t xml:space="preserve"> </w:t>
      </w:r>
      <w:r w:rsidR="004D29DB">
        <w:t>K</w:t>
      </w:r>
      <w:r w:rsidR="006C6B92" w:rsidRPr="288A3578">
        <w:t xml:space="preserve">ui </w:t>
      </w:r>
      <w:r w:rsidR="006C6B92">
        <w:t>teenuse pakkumine ja tarbimine</w:t>
      </w:r>
      <w:r w:rsidR="006C6B92" w:rsidRPr="288A3578">
        <w:t xml:space="preserve"> </w:t>
      </w:r>
      <w:r w:rsidR="006C6B92">
        <w:t xml:space="preserve">koonduks </w:t>
      </w:r>
      <w:r w:rsidR="004D29DB">
        <w:t xml:space="preserve">võrreldes varasemaga </w:t>
      </w:r>
      <w:r w:rsidR="006C6B92">
        <w:t xml:space="preserve">enam </w:t>
      </w:r>
      <w:r w:rsidR="006C6B92" w:rsidRPr="288A3578">
        <w:t>väiksematesse piirkondadesse</w:t>
      </w:r>
      <w:r w:rsidR="004D29DB">
        <w:t xml:space="preserve">, võib ka sama </w:t>
      </w:r>
      <w:r w:rsidR="00DC6424">
        <w:t xml:space="preserve">turismikäibe juures selle </w:t>
      </w:r>
      <w:r w:rsidR="00904A36">
        <w:t>positiivne sotsiaal-majanduslik</w:t>
      </w:r>
      <w:r w:rsidR="00DC6424">
        <w:t xml:space="preserve"> </w:t>
      </w:r>
      <w:r w:rsidR="00152B76">
        <w:t xml:space="preserve">mõju </w:t>
      </w:r>
      <w:r w:rsidR="00904A36">
        <w:t>olla märkimisväärne</w:t>
      </w:r>
      <w:r w:rsidR="00932D6F">
        <w:t xml:space="preserve">. See võib vähendada majanduslikult vähemarenenud regioonides </w:t>
      </w:r>
      <w:r w:rsidR="00DF3DAB">
        <w:t xml:space="preserve">töötust, aga parandada võimalusi </w:t>
      </w:r>
      <w:r w:rsidR="00DF3DAB" w:rsidRPr="00BE179D">
        <w:rPr>
          <w:b/>
          <w:bCs/>
        </w:rPr>
        <w:t>ettevõtluse arenguks</w:t>
      </w:r>
      <w:r w:rsidR="00DF3DAB">
        <w:t xml:space="preserve"> laiemalt. </w:t>
      </w:r>
      <w:r w:rsidR="10C59CDB">
        <w:t>Keskustest kaugemal asuvates piirkondades ei pruugi traditsiooniliste majutusasutuste rajamine ennast ära tasuda, mistõttu võivad ka teised kohalikud turismi</w:t>
      </w:r>
      <w:r w:rsidR="007720F4">
        <w:t xml:space="preserve">sektori </w:t>
      </w:r>
      <w:r w:rsidR="10C59CDB">
        <w:t>ettevõtjad olla raskustes piisava nõudluse tekitamisega. Lühiajaline majutus vähendab aga oluliselt majutussektori turul sisenemisbarjääre. Kui see aitab kohalikel elanikel ka selle teenuse osutamise kaudu oma eluaseme kulusid tu</w:t>
      </w:r>
      <w:r w:rsidR="3EB9C835">
        <w:t>r</w:t>
      </w:r>
      <w:r w:rsidR="10C59CDB">
        <w:t xml:space="preserve">istidega jagada, oleks tegemist väga efektiivse toimimise mudeliga. Intervjuudest lühiajalist üüri teenust pakkuvate ettevõtjatega ilmnes samuti, et tegemist on sageli ka palju lihtsama ja paindlikuma tulu teenimise viisiga kui nt pikaajaliselt korterit välja üürida. See annab paremad võimalused teenuse pakkumine peatada ja vajadusel ka ise seal see mõnda aega elada. </w:t>
      </w:r>
    </w:p>
    <w:p w14:paraId="696BC28F" w14:textId="768A2933" w:rsidR="000E26BD" w:rsidRDefault="10C59CDB" w:rsidP="00B85912">
      <w:pPr>
        <w:jc w:val="both"/>
      </w:pPr>
      <w:r>
        <w:lastRenderedPageBreak/>
        <w:t>Majutusettevõtjate hinnangul loob efektiivselt toimiv l</w:t>
      </w:r>
      <w:r w:rsidR="00380C4C">
        <w:t>ü</w:t>
      </w:r>
      <w:r>
        <w:t>hiajali</w:t>
      </w:r>
      <w:r w:rsidR="6AAD950A">
        <w:t>s</w:t>
      </w:r>
      <w:r>
        <w:t>e üüri turg ka suuremad võimalused suurüritus</w:t>
      </w:r>
      <w:r w:rsidR="00D87CBD">
        <w:t>i</w:t>
      </w:r>
      <w:r>
        <w:t xml:space="preserve"> korralda</w:t>
      </w:r>
      <w:r w:rsidR="00D87CBD">
        <w:t>vatele ettevõtjate</w:t>
      </w:r>
      <w:r w:rsidR="0000027A">
        <w:t>le</w:t>
      </w:r>
      <w:r>
        <w:t>, kuna majutusvõimalus</w:t>
      </w:r>
      <w:r w:rsidR="31EE30BE">
        <w:t>ed</w:t>
      </w:r>
      <w:r>
        <w:t xml:space="preserve"> on palju suuremad ja paindlikumad, vähendades ka survet hotellidele. See loob lisavõimalusi regionaalse arengu toetamiseks,</w:t>
      </w:r>
      <w:r w:rsidR="00015A57">
        <w:t xml:space="preserve"> sh suurürituste nagu Rally Estonia </w:t>
      </w:r>
      <w:r w:rsidR="00337FB7">
        <w:t>korraldamiseks,</w:t>
      </w:r>
      <w:r w:rsidR="00015A57">
        <w:t xml:space="preserve"> </w:t>
      </w:r>
      <w:r>
        <w:t xml:space="preserve">kuna eeltingimuseks pole suurte majutusasutuste olemasolu. Seega võivadki traditsiooniline hotellisektor ja lühiajaline turg teineteist hästi täiendada ja selliselt turismisektori muuta palju tugevamaks, paindlikumaks ja Eesti majandusse rohkem panustavamaks. </w:t>
      </w:r>
      <w:r w:rsidR="0000027A">
        <w:t>Näiteks Eesti Konjunktuuriinstituut</w:t>
      </w:r>
      <w:r w:rsidR="0000027A">
        <w:rPr>
          <w:rStyle w:val="FootnoteReference"/>
        </w:rPr>
        <w:footnoteReference w:id="150"/>
      </w:r>
      <w:r w:rsidR="0000027A">
        <w:t xml:space="preserve"> hindas 2011. aasta kultuuri- ja spordiürituste keskmiseks majanduslikuks mõjuks 600 000 eurot. </w:t>
      </w:r>
      <w:r w:rsidR="00B85912">
        <w:t xml:space="preserve">Samas tuleb arvestada, et külaliskorterite tegemine ise turiste linnakeskustest väljapoole ei </w:t>
      </w:r>
      <w:r w:rsidR="00FF2203">
        <w:t>too, selleks</w:t>
      </w:r>
      <w:r w:rsidR="00B85912">
        <w:t xml:space="preserve"> peab olema mingi primaarne põhjus: kultuuri</w:t>
      </w:r>
      <w:r w:rsidR="00FF2203">
        <w:t xml:space="preserve">- </w:t>
      </w:r>
      <w:r w:rsidR="007111DA">
        <w:t>ja</w:t>
      </w:r>
      <w:r w:rsidR="00B85912">
        <w:t xml:space="preserve"> spordisündmus</w:t>
      </w:r>
      <w:r w:rsidR="007111DA">
        <w:t xml:space="preserve"> või</w:t>
      </w:r>
      <w:r w:rsidR="00B85912">
        <w:t xml:space="preserve"> kõrge potentsiaaliga</w:t>
      </w:r>
      <w:r w:rsidR="77267F71">
        <w:t>,</w:t>
      </w:r>
      <w:r w:rsidR="005E4959">
        <w:t xml:space="preserve"> aga</w:t>
      </w:r>
      <w:r w:rsidR="00B85912">
        <w:t xml:space="preserve"> seni vähekülastatud </w:t>
      </w:r>
      <w:r w:rsidR="00FF2203">
        <w:t xml:space="preserve">ja avastamata </w:t>
      </w:r>
      <w:r w:rsidR="00B85912">
        <w:t>turismipärl.</w:t>
      </w:r>
      <w:r w:rsidR="007111DA">
        <w:t xml:space="preserve"> </w:t>
      </w:r>
    </w:p>
    <w:p w14:paraId="4F6C14FB" w14:textId="5EA623E1" w:rsidR="00751998" w:rsidRDefault="007111DA" w:rsidP="00B85912">
      <w:pPr>
        <w:jc w:val="both"/>
      </w:pPr>
      <w:r>
        <w:t xml:space="preserve">Seega annab lühiajaline üürimine </w:t>
      </w:r>
      <w:r w:rsidR="00AF380A">
        <w:t xml:space="preserve">kohalikele omavalitsustele täiesti uue võimaluse oma piirkonnas turismi </w:t>
      </w:r>
      <w:r w:rsidR="007A7BEC">
        <w:t xml:space="preserve">ja seeläbi ka majandus- ja kultuurielu </w:t>
      </w:r>
      <w:r w:rsidR="00AF380A">
        <w:t>edendamiseks</w:t>
      </w:r>
      <w:r w:rsidR="007A7BEC">
        <w:t>.</w:t>
      </w:r>
      <w:r w:rsidR="003E125D">
        <w:t xml:space="preserve"> Seni on</w:t>
      </w:r>
      <w:r w:rsidR="00C445A7">
        <w:t xml:space="preserve"> seda </w:t>
      </w:r>
      <w:r w:rsidR="009130B4">
        <w:t xml:space="preserve">suudetud teha siiski mõõdukas ulatuses, sest rohkem on see ettevõtlusvorm koondunud </w:t>
      </w:r>
      <w:r w:rsidR="00F34985">
        <w:t>valitud</w:t>
      </w:r>
      <w:r w:rsidR="009130B4">
        <w:t xml:space="preserve"> </w:t>
      </w:r>
      <w:r w:rsidR="00F34985">
        <w:t>turismi</w:t>
      </w:r>
      <w:r w:rsidR="009130B4">
        <w:t>piirkondadesse</w:t>
      </w:r>
      <w:r w:rsidR="00F34985">
        <w:t xml:space="preserve">. Seetõttu oleme </w:t>
      </w:r>
      <w:r w:rsidR="00C359C7">
        <w:t xml:space="preserve">ka </w:t>
      </w:r>
      <w:r w:rsidR="00577BE3">
        <w:t xml:space="preserve">lühiajalise üürimise mõju ulatust regionaalsele arengule ja erinevate regioonide majandusele </w:t>
      </w:r>
      <w:r w:rsidR="00C359C7">
        <w:t xml:space="preserve">hinnanud </w:t>
      </w:r>
      <w:r w:rsidR="00577BE3">
        <w:t>mõõdukaks</w:t>
      </w:r>
      <w:r w:rsidR="00D03ED5">
        <w:t xml:space="preserve"> ja</w:t>
      </w:r>
      <w:r w:rsidR="00FF24E4">
        <w:t xml:space="preserve"> </w:t>
      </w:r>
      <w:r w:rsidR="00D03ED5">
        <w:t>tulenevalt selle kontsentreerumisest traditsioonilistesse turismipiirkondadesse (Tallinn,</w:t>
      </w:r>
      <w:r w:rsidR="004D7914">
        <w:t xml:space="preserve"> Tartu,</w:t>
      </w:r>
      <w:r w:rsidR="00D03ED5">
        <w:t xml:space="preserve"> Lääne-Eesti) tugevuselt </w:t>
      </w:r>
      <w:r w:rsidR="00674CE4">
        <w:t>pigem</w:t>
      </w:r>
      <w:r w:rsidR="00FF24E4">
        <w:t xml:space="preserve"> nõrgaks.</w:t>
      </w:r>
    </w:p>
    <w:p w14:paraId="0B8D33CA" w14:textId="4610640A" w:rsidR="00751998" w:rsidRDefault="00751998" w:rsidP="000027FB">
      <w:pPr>
        <w:pStyle w:val="Heading3"/>
        <w:rPr>
          <w:rFonts w:hint="eastAsia"/>
        </w:rPr>
      </w:pPr>
      <w:bookmarkStart w:id="137" w:name="_Toc208991625"/>
      <w:r w:rsidRPr="009137F5">
        <w:t xml:space="preserve">Mõjud </w:t>
      </w:r>
      <w:r>
        <w:t>ohutusele</w:t>
      </w:r>
      <w:r w:rsidR="003E3F08">
        <w:t>,</w:t>
      </w:r>
      <w:r w:rsidRPr="009137F5">
        <w:t xml:space="preserve"> turvalisusele</w:t>
      </w:r>
      <w:r w:rsidR="003E3F08">
        <w:t xml:space="preserve"> ja julgeolekule</w:t>
      </w:r>
      <w:bookmarkEnd w:id="137"/>
    </w:p>
    <w:p w14:paraId="43087585" w14:textId="2D12CD6C" w:rsidR="00751998" w:rsidRDefault="10C59CDB" w:rsidP="00751998">
      <w:pPr>
        <w:jc w:val="both"/>
      </w:pPr>
      <w:r>
        <w:t>Eestis avaldunud mõjude osas on oluline esile tuua erinevate</w:t>
      </w:r>
      <w:r w:rsidR="353A374A">
        <w:t>le</w:t>
      </w:r>
      <w:r>
        <w:t xml:space="preserve"> majutusasutustele kehtestatud nõuetega seonduv küsimus. Nagu majutusteenuste turule avalduvate mõju arutelus selgitasime, põhjustab nende mittetäitmine lisaks konkurentsimoonutustele ka turvalisuse</w:t>
      </w:r>
      <w:r w:rsidR="004A319E">
        <w:t>,</w:t>
      </w:r>
      <w:r>
        <w:t xml:space="preserve"> ohutuse </w:t>
      </w:r>
      <w:r w:rsidR="004A319E">
        <w:t xml:space="preserve">ja julgeoleku </w:t>
      </w:r>
      <w:r>
        <w:t xml:space="preserve">riske. Külaliste registreerimise kohustus, mida praegu ennast majutusettevõttena mittemääratlevad lühiajalise üüri teenuse pakkujad </w:t>
      </w:r>
      <w:r w:rsidR="00ED419E">
        <w:t xml:space="preserve">tõenäoliselt </w:t>
      </w:r>
      <w:r>
        <w:t xml:space="preserve">ei täida, </w:t>
      </w:r>
      <w:r w:rsidR="000110E1">
        <w:t>on kehtestatud selleks, et</w:t>
      </w:r>
      <w:r w:rsidR="08715A37">
        <w:t xml:space="preserve"> </w:t>
      </w:r>
      <w:r w:rsidR="000110E1">
        <w:t>aidata</w:t>
      </w:r>
      <w:r>
        <w:t xml:space="preserve"> korrakaitseasutus</w:t>
      </w:r>
      <w:r w:rsidR="000110E1">
        <w:t>i</w:t>
      </w:r>
      <w:r w:rsidR="008F3CAE">
        <w:t xml:space="preserve"> oma töös </w:t>
      </w:r>
      <w:r w:rsidR="00C27C3E" w:rsidRPr="00C27C3E">
        <w:t>erinevate</w:t>
      </w:r>
      <w:r w:rsidR="0039795F">
        <w:t xml:space="preserve"> </w:t>
      </w:r>
      <w:r w:rsidR="00E72724" w:rsidRPr="00B54A22">
        <w:t>süü</w:t>
      </w:r>
      <w:r w:rsidR="00E000F7" w:rsidRPr="00B54A22">
        <w:t>tegude uurimisel</w:t>
      </w:r>
      <w:r w:rsidR="00E72724" w:rsidRPr="00B54A22">
        <w:t>, aga ka välismaalaste Eestis viibimise</w:t>
      </w:r>
      <w:r w:rsidR="00DE355A" w:rsidRPr="00B54A22">
        <w:t xml:space="preserve"> </w:t>
      </w:r>
      <w:r w:rsidR="00885FB9">
        <w:t xml:space="preserve">seaduslikkuse </w:t>
      </w:r>
      <w:r w:rsidR="00DE355A" w:rsidRPr="00B54A22">
        <w:t>kontrollimisel</w:t>
      </w:r>
      <w:r w:rsidRPr="00C27C3E">
        <w:t>.</w:t>
      </w:r>
      <w:r w:rsidR="00885FB9">
        <w:t xml:space="preserve"> Seega aitab </w:t>
      </w:r>
      <w:r w:rsidR="006E158C">
        <w:t xml:space="preserve">selle nõude </w:t>
      </w:r>
      <w:r w:rsidR="009B5E6B">
        <w:t>rakendamine</w:t>
      </w:r>
      <w:r w:rsidR="006E158C">
        <w:t xml:space="preserve"> </w:t>
      </w:r>
      <w:r w:rsidR="00B01885">
        <w:t>PPA-</w:t>
      </w:r>
      <w:r w:rsidR="00116387">
        <w:t xml:space="preserve">l </w:t>
      </w:r>
      <w:r w:rsidR="006E158C">
        <w:t xml:space="preserve">paremini </w:t>
      </w:r>
      <w:r w:rsidR="00FE1C69">
        <w:t>tagada</w:t>
      </w:r>
      <w:r w:rsidR="00BC6906">
        <w:t xml:space="preserve"> riigi</w:t>
      </w:r>
      <w:r w:rsidR="009B5E6B">
        <w:t xml:space="preserve"> </w:t>
      </w:r>
      <w:r w:rsidR="009B5E6B" w:rsidRPr="00B54A22">
        <w:rPr>
          <w:b/>
          <w:bCs/>
        </w:rPr>
        <w:t>julgeolekut</w:t>
      </w:r>
      <w:r w:rsidR="009B5E6B">
        <w:t>.</w:t>
      </w:r>
    </w:p>
    <w:p w14:paraId="369149F1" w14:textId="1268B034" w:rsidR="00751998" w:rsidRDefault="00751998" w:rsidP="00751998">
      <w:pPr>
        <w:jc w:val="both"/>
      </w:pPr>
      <w:r>
        <w:t xml:space="preserve">Me ei analüüsi selles uuringus nende andmetega loodava väärtuse ulatust, kuid eeldame, et sellise </w:t>
      </w:r>
      <w:r w:rsidR="00404E62">
        <w:t>reegli kehtestamise</w:t>
      </w:r>
      <w:r>
        <w:t xml:space="preserve"> vajadus</w:t>
      </w:r>
      <w:r w:rsidR="00404E62">
        <w:t>, sh Schengeni konventsioonis,</w:t>
      </w:r>
      <w:r>
        <w:t xml:space="preserve"> näitab selle olulisust. Arvestades, et nt 2023. aastal tehti lühiajalise üüri</w:t>
      </w:r>
      <w:r w:rsidR="00514BF4">
        <w:t xml:space="preserve"> </w:t>
      </w:r>
      <w:r>
        <w:t>turul mitteresidentide poolt Eestis üle 100 000 tehingu, on tegemist potentsiaalselt olulis</w:t>
      </w:r>
      <w:r w:rsidR="00AF62F5">
        <w:t>e</w:t>
      </w:r>
      <w:r>
        <w:t xml:space="preserve"> mõju</w:t>
      </w:r>
      <w:r w:rsidR="00AF62F5">
        <w:t>ga</w:t>
      </w:r>
      <w:r w:rsidR="00265FAE">
        <w:t xml:space="preserve"> ka julgeoleku tagamise vaates</w:t>
      </w:r>
      <w:r>
        <w:t>. Samas suurusjärgus tehti tehinguid residentide poolt, mille osas samuti andmete kasutamine praeguses turuolukorras oleks raskendatud nende suurel määral puudumise tõttu.</w:t>
      </w:r>
      <w:r w:rsidR="00D1135F">
        <w:t xml:space="preserve"> </w:t>
      </w:r>
      <w:r w:rsidR="0056449E">
        <w:t xml:space="preserve">Broneeringu </w:t>
      </w:r>
      <w:r w:rsidR="00F4135C">
        <w:t xml:space="preserve">ja makse </w:t>
      </w:r>
      <w:r w:rsidR="0056449E">
        <w:t xml:space="preserve">tegijate </w:t>
      </w:r>
      <w:r w:rsidR="00CD7651">
        <w:t>üld</w:t>
      </w:r>
      <w:r w:rsidR="0056449E">
        <w:t xml:space="preserve">andmete kättesaamine </w:t>
      </w:r>
      <w:r w:rsidR="00F4135C">
        <w:t xml:space="preserve">on </w:t>
      </w:r>
      <w:r w:rsidR="00412B11">
        <w:t>platv</w:t>
      </w:r>
      <w:r w:rsidR="00CD7651">
        <w:t>o</w:t>
      </w:r>
      <w:r w:rsidR="00412B11">
        <w:t xml:space="preserve">rmil tehtavate tehingute </w:t>
      </w:r>
      <w:r w:rsidR="00CD7651">
        <w:t xml:space="preserve">puhul </w:t>
      </w:r>
      <w:r w:rsidR="00F4135C">
        <w:t xml:space="preserve">võimalik, kuid </w:t>
      </w:r>
      <w:r w:rsidR="00697C71">
        <w:t>see ei pruugi olla piisav</w:t>
      </w:r>
      <w:r w:rsidR="00D84DF3">
        <w:t>a detailsuse ja kaetusega.</w:t>
      </w:r>
      <w:r w:rsidR="003438FB">
        <w:t xml:space="preserve"> </w:t>
      </w:r>
    </w:p>
    <w:p w14:paraId="7ECE83CE" w14:textId="0FCF0062" w:rsidR="00751998" w:rsidRDefault="00751998" w:rsidP="00751998">
      <w:pPr>
        <w:jc w:val="both"/>
        <w:rPr>
          <w:szCs w:val="24"/>
        </w:rPr>
      </w:pPr>
      <w:r>
        <w:rPr>
          <w:szCs w:val="24"/>
        </w:rPr>
        <w:t xml:space="preserve">Nii inimeste kui kaupade vaba liikumine </w:t>
      </w:r>
      <w:r w:rsidR="00E647D2">
        <w:rPr>
          <w:szCs w:val="24"/>
        </w:rPr>
        <w:t>EL-is</w:t>
      </w:r>
      <w:r>
        <w:rPr>
          <w:szCs w:val="24"/>
        </w:rPr>
        <w:t>, aga laiemalt maailma globaliseerumise tulemusel on turistide</w:t>
      </w:r>
      <w:r w:rsidR="005A7E70">
        <w:rPr>
          <w:szCs w:val="24"/>
        </w:rPr>
        <w:t xml:space="preserve"> ja</w:t>
      </w:r>
      <w:r>
        <w:rPr>
          <w:szCs w:val="24"/>
        </w:rPr>
        <w:t xml:space="preserve"> kaupade</w:t>
      </w:r>
      <w:r w:rsidR="00231DA2">
        <w:rPr>
          <w:szCs w:val="24"/>
        </w:rPr>
        <w:t xml:space="preserve"> </w:t>
      </w:r>
      <w:r>
        <w:rPr>
          <w:szCs w:val="24"/>
        </w:rPr>
        <w:t>vood trendina püsivalt suurenemas.</w:t>
      </w:r>
      <w:r w:rsidR="001E6B58">
        <w:rPr>
          <w:szCs w:val="24"/>
        </w:rPr>
        <w:t xml:space="preserve"> Ka </w:t>
      </w:r>
      <w:r w:rsidR="001C6C14">
        <w:rPr>
          <w:szCs w:val="24"/>
        </w:rPr>
        <w:t xml:space="preserve">immigrantide </w:t>
      </w:r>
      <w:r w:rsidR="00B34CC5">
        <w:rPr>
          <w:szCs w:val="24"/>
        </w:rPr>
        <w:t>tööjõus osalemine</w:t>
      </w:r>
      <w:r w:rsidR="001E6B58">
        <w:rPr>
          <w:szCs w:val="24"/>
        </w:rPr>
        <w:t xml:space="preserve"> on arenenud riikides muutunud pigem tavapäraseks</w:t>
      </w:r>
      <w:r w:rsidR="00A07418">
        <w:rPr>
          <w:szCs w:val="24"/>
        </w:rPr>
        <w:t>, mis stimuleerib inimeste liikum</w:t>
      </w:r>
      <w:r w:rsidR="00A2105C">
        <w:rPr>
          <w:szCs w:val="24"/>
        </w:rPr>
        <w:t>ist</w:t>
      </w:r>
      <w:r w:rsidR="0088214D">
        <w:rPr>
          <w:szCs w:val="24"/>
        </w:rPr>
        <w:t xml:space="preserve"> </w:t>
      </w:r>
      <w:r w:rsidR="00AB59A1">
        <w:rPr>
          <w:szCs w:val="24"/>
        </w:rPr>
        <w:t>k</w:t>
      </w:r>
      <w:r w:rsidR="0088214D">
        <w:rPr>
          <w:szCs w:val="24"/>
        </w:rPr>
        <w:t xml:space="preserve">a tööga </w:t>
      </w:r>
      <w:r w:rsidR="0088214D">
        <w:rPr>
          <w:szCs w:val="24"/>
        </w:rPr>
        <w:lastRenderedPageBreak/>
        <w:t>seoses</w:t>
      </w:r>
      <w:r w:rsidR="006839F9">
        <w:rPr>
          <w:szCs w:val="24"/>
        </w:rPr>
        <w:t>.</w:t>
      </w:r>
      <w:r w:rsidR="00EB43A4">
        <w:rPr>
          <w:rStyle w:val="FootnoteReference"/>
          <w:szCs w:val="24"/>
        </w:rPr>
        <w:footnoteReference w:id="151"/>
      </w:r>
      <w:r>
        <w:rPr>
          <w:szCs w:val="24"/>
        </w:rPr>
        <w:t xml:space="preserve"> Kuigi see aitab kaasa majanduse arengule, toob see kaasa olulisi riske ka kuritegevuses</w:t>
      </w:r>
      <w:r w:rsidR="00CB2B88">
        <w:rPr>
          <w:szCs w:val="24"/>
        </w:rPr>
        <w:t xml:space="preserve"> ja</w:t>
      </w:r>
      <w:r>
        <w:rPr>
          <w:szCs w:val="24"/>
        </w:rPr>
        <w:t xml:space="preserve"> illegaalses kaubanduses, mis on samuti globaliseerunud</w:t>
      </w:r>
      <w:r w:rsidR="006839F9">
        <w:rPr>
          <w:szCs w:val="24"/>
        </w:rPr>
        <w:t>.</w:t>
      </w:r>
      <w:r w:rsidR="007E7EFE">
        <w:rPr>
          <w:rStyle w:val="FootnoteReference"/>
          <w:szCs w:val="24"/>
        </w:rPr>
        <w:footnoteReference w:id="152"/>
      </w:r>
      <w:r w:rsidR="00D14CB1">
        <w:rPr>
          <w:szCs w:val="24"/>
        </w:rPr>
        <w:t xml:space="preserve"> </w:t>
      </w:r>
      <w:r w:rsidR="00CB2B88">
        <w:rPr>
          <w:szCs w:val="24"/>
        </w:rPr>
        <w:t>Tulevikuvaates võib inimeste rännet suurendada ka kliima</w:t>
      </w:r>
      <w:r w:rsidR="00BA17B9">
        <w:rPr>
          <w:szCs w:val="24"/>
        </w:rPr>
        <w:t xml:space="preserve"> </w:t>
      </w:r>
      <w:r w:rsidR="00CB2B88">
        <w:rPr>
          <w:szCs w:val="24"/>
        </w:rPr>
        <w:t>muutus</w:t>
      </w:r>
      <w:r w:rsidR="006839F9">
        <w:rPr>
          <w:szCs w:val="24"/>
        </w:rPr>
        <w:t>.</w:t>
      </w:r>
      <w:r w:rsidR="00BA17B9">
        <w:rPr>
          <w:rStyle w:val="FootnoteReference"/>
          <w:szCs w:val="24"/>
        </w:rPr>
        <w:footnoteReference w:id="153"/>
      </w:r>
      <w:r w:rsidR="00CB2B88">
        <w:rPr>
          <w:szCs w:val="24"/>
        </w:rPr>
        <w:t xml:space="preserve"> </w:t>
      </w:r>
      <w:r>
        <w:rPr>
          <w:szCs w:val="24"/>
        </w:rPr>
        <w:t>Nende arengutega toimetulekul on üha olulisem ka julgeolekuasutuste rahvusvaheline koostöö ja andmevahetus. Se</w:t>
      </w:r>
      <w:r w:rsidR="003F2E9D">
        <w:rPr>
          <w:szCs w:val="24"/>
        </w:rPr>
        <w:t>llest lähtudes hindame majutatud isikute registreerimata jätmisega seotud mõjusid ulatuselt laiaks ning tugevuselt vähemalt mõõdukaks</w:t>
      </w:r>
      <w:r w:rsidR="00E00D0C">
        <w:rPr>
          <w:szCs w:val="24"/>
        </w:rPr>
        <w:t xml:space="preserve">, kuigi need avalduvad pigem perioodiliselt vastavalt julgeolekuasutuste tegevusele ja </w:t>
      </w:r>
      <w:r w:rsidR="00674EBA">
        <w:rPr>
          <w:szCs w:val="24"/>
        </w:rPr>
        <w:t>vastavate juhtumite esinemisele. Aga</w:t>
      </w:r>
      <w:r>
        <w:rPr>
          <w:szCs w:val="24"/>
        </w:rPr>
        <w:t xml:space="preserve"> siin ei tohiks teha erandeid väiksematele majutusteenuste osutajatele külaliste registreerimiskohustuse rakendamisel, eriti väliskülaliste puhul, isegi kui nad pakuvad seda teenust ebaregulaarselt.</w:t>
      </w:r>
      <w:r w:rsidR="00A750C0">
        <w:rPr>
          <w:szCs w:val="24"/>
        </w:rPr>
        <w:t xml:space="preserve"> </w:t>
      </w:r>
      <w:r w:rsidR="00B01885">
        <w:rPr>
          <w:szCs w:val="24"/>
        </w:rPr>
        <w:t>PPA</w:t>
      </w:r>
      <w:r w:rsidR="00F16687">
        <w:rPr>
          <w:szCs w:val="24"/>
        </w:rPr>
        <w:t xml:space="preserve"> jaoks on tegemist olulise sihtgrupiga, kuna </w:t>
      </w:r>
      <w:r w:rsidR="00696769">
        <w:rPr>
          <w:szCs w:val="24"/>
        </w:rPr>
        <w:t>kurjategijad otsivad</w:t>
      </w:r>
      <w:r w:rsidR="00AC5C97">
        <w:rPr>
          <w:szCs w:val="24"/>
        </w:rPr>
        <w:t>ki</w:t>
      </w:r>
      <w:r w:rsidR="00696769">
        <w:rPr>
          <w:szCs w:val="24"/>
        </w:rPr>
        <w:t xml:space="preserve"> </w:t>
      </w:r>
      <w:r w:rsidR="00AC5C97">
        <w:rPr>
          <w:szCs w:val="24"/>
        </w:rPr>
        <w:t>oma tegevuse varjamiseks</w:t>
      </w:r>
      <w:r>
        <w:rPr>
          <w:szCs w:val="24"/>
        </w:rPr>
        <w:t xml:space="preserve"> </w:t>
      </w:r>
      <w:r w:rsidR="00F517FB">
        <w:rPr>
          <w:szCs w:val="24"/>
        </w:rPr>
        <w:t>ööbimis</w:t>
      </w:r>
      <w:r w:rsidR="000F7F4F">
        <w:rPr>
          <w:szCs w:val="24"/>
        </w:rPr>
        <w:t>võimalusi</w:t>
      </w:r>
      <w:r w:rsidR="00F517FB">
        <w:rPr>
          <w:szCs w:val="24"/>
        </w:rPr>
        <w:t>, mille kohta keegi andmeid ei küsi.</w:t>
      </w:r>
      <w:r w:rsidR="00272FAF">
        <w:rPr>
          <w:szCs w:val="24"/>
        </w:rPr>
        <w:t xml:space="preserve"> </w:t>
      </w:r>
      <w:r w:rsidR="00534130">
        <w:rPr>
          <w:szCs w:val="24"/>
        </w:rPr>
        <w:t xml:space="preserve">Samas </w:t>
      </w:r>
      <w:r w:rsidR="00534130">
        <w:t>uuringuga tuvastasime tegelikult ka probleemid traditsiooniliste majutusasutuste poolt PPA-le edastatavate andmete kvaliteedis, kuna selleks puudub ühtne vorm. Seega vajab see teema igal juhul tähelepanu ka laiemalt kogu majutussektori vaates.</w:t>
      </w:r>
    </w:p>
    <w:p w14:paraId="4BA681DF" w14:textId="1546A28D" w:rsidR="00A9429F" w:rsidRDefault="10C59CDB">
      <w:pPr>
        <w:jc w:val="both"/>
      </w:pPr>
      <w:r>
        <w:t xml:space="preserve">Teine oluline mõju, mida praegune turukorraldus põhjustab, on </w:t>
      </w:r>
      <w:r w:rsidR="00A24920" w:rsidRPr="00B54A22">
        <w:rPr>
          <w:b/>
          <w:bCs/>
        </w:rPr>
        <w:t>tuleohutus</w:t>
      </w:r>
      <w:r w:rsidR="00455197">
        <w:rPr>
          <w:b/>
          <w:bCs/>
        </w:rPr>
        <w:t>riskide suurenemine</w:t>
      </w:r>
      <w:r w:rsidR="00A24920">
        <w:t xml:space="preserve"> eluhoonetes ehk </w:t>
      </w:r>
      <w:r>
        <w:t xml:space="preserve">suurem </w:t>
      </w:r>
      <w:r w:rsidRPr="00B54A22">
        <w:t xml:space="preserve">vigastus- või hukkumise </w:t>
      </w:r>
      <w:r w:rsidR="004332C1" w:rsidRPr="00B54A22">
        <w:t>risk</w:t>
      </w:r>
      <w:r w:rsidRPr="00B54A22">
        <w:t xml:space="preserve"> tulekahjudes</w:t>
      </w:r>
      <w:r w:rsidR="00A04DA8" w:rsidRPr="00B54A22">
        <w:t xml:space="preserve"> võrreldes olukorraga, kui eluhoonetes majutusteenust ei osutataks</w:t>
      </w:r>
      <w:r w:rsidR="005D6F7D" w:rsidRPr="00A04DA8">
        <w:t>.</w:t>
      </w:r>
      <w:r>
        <w:t xml:space="preserve"> </w:t>
      </w:r>
      <w:r w:rsidR="00B01885">
        <w:t xml:space="preserve">PA </w:t>
      </w:r>
      <w:r w:rsidR="00691744">
        <w:t>esindajate hinnangul</w:t>
      </w:r>
      <w:r w:rsidR="00691356">
        <w:t xml:space="preserve"> </w:t>
      </w:r>
      <w:r w:rsidR="4A3F001D">
        <w:t xml:space="preserve">ei tunne </w:t>
      </w:r>
      <w:r w:rsidR="00691356">
        <w:t>m</w:t>
      </w:r>
      <w:r>
        <w:t>ajutusteenuse kasutajad nii hästi hoonet</w:t>
      </w:r>
      <w:r w:rsidR="006E4A65">
        <w:t>, et</w:t>
      </w:r>
      <w:r>
        <w:t xml:space="preserve"> tulekahju korral sealt </w:t>
      </w:r>
      <w:r w:rsidR="00691356">
        <w:t xml:space="preserve">kiiresti </w:t>
      </w:r>
      <w:r>
        <w:t>evakueeri</w:t>
      </w:r>
      <w:r w:rsidR="00691356">
        <w:t>da</w:t>
      </w:r>
      <w:r>
        <w:t>, eriti kui seda tuleb teha keerulisemates tingimustes</w:t>
      </w:r>
      <w:r w:rsidR="00B84A61">
        <w:t>, nt kui</w:t>
      </w:r>
      <w:r w:rsidR="00A9429F">
        <w:t xml:space="preserve"> evakuatsioonideedel on ka</w:t>
      </w:r>
      <w:r w:rsidR="00B84A61">
        <w:t xml:space="preserve"> palju suitsu</w:t>
      </w:r>
      <w:r>
        <w:t xml:space="preserve">. See on ka peamine põhjus, miks ruumidele, mida pakutakse ajutise ööbimisvõimalusena, kehtivad kõrgemad tuleohutuse nõuded. </w:t>
      </w:r>
    </w:p>
    <w:p w14:paraId="53A36D32" w14:textId="34B88EFA" w:rsidR="00751998" w:rsidRDefault="10C59CDB">
      <w:pPr>
        <w:jc w:val="both"/>
      </w:pPr>
      <w:r>
        <w:t xml:space="preserve">Intervjuudest selgus, et </w:t>
      </w:r>
      <w:r w:rsidR="00B01885">
        <w:t xml:space="preserve">PA </w:t>
      </w:r>
      <w:r>
        <w:t xml:space="preserve">lähtub </w:t>
      </w:r>
      <w:r w:rsidR="00F43AC8">
        <w:t>majutusasutuste üle järelevalve tegemisel</w:t>
      </w:r>
      <w:r>
        <w:t xml:space="preserve"> </w:t>
      </w:r>
      <w:r w:rsidR="002E6A3A">
        <w:t>Tur</w:t>
      </w:r>
      <w:r w:rsidR="000554F5">
        <w:t>S-</w:t>
      </w:r>
      <w:r w:rsidR="002E6A3A">
        <w:t xml:space="preserve">ga </w:t>
      </w:r>
      <w:r>
        <w:t xml:space="preserve">kehtestatud nõuetest. Seega aluseks võetakse fakt, kas kortermajas on rohkem kui </w:t>
      </w:r>
      <w:r w:rsidR="0018006E">
        <w:t xml:space="preserve">kümme </w:t>
      </w:r>
      <w:r>
        <w:t xml:space="preserve">lühiajaliselt välja üüritavat voodikohta. </w:t>
      </w:r>
      <w:r w:rsidR="00A648F7">
        <w:t xml:space="preserve">Samas </w:t>
      </w:r>
      <w:r w:rsidR="00346DD6">
        <w:t xml:space="preserve">intervjuust </w:t>
      </w:r>
      <w:r w:rsidR="00B01885">
        <w:t xml:space="preserve">PA </w:t>
      </w:r>
      <w:r w:rsidR="00346DD6">
        <w:t xml:space="preserve">ekspertidega selgus, et </w:t>
      </w:r>
      <w:r w:rsidR="00B01885">
        <w:t>PA-l</w:t>
      </w:r>
      <w:r w:rsidR="00A648F7">
        <w:t xml:space="preserve"> </w:t>
      </w:r>
      <w:r w:rsidR="00291487">
        <w:t xml:space="preserve">on </w:t>
      </w:r>
      <w:r w:rsidR="00A648F7">
        <w:t xml:space="preserve">ülimalt keeruline tuvastada, mitu voodikohta kortermajas on, mistõttu praktikas pigem lähtutakse </w:t>
      </w:r>
      <w:r w:rsidR="32DC4335">
        <w:t>kümnest</w:t>
      </w:r>
      <w:r w:rsidR="00346DD6">
        <w:t xml:space="preserve"> hoone kasutajast. </w:t>
      </w:r>
      <w:r>
        <w:t>Sellistel juhtudel pea</w:t>
      </w:r>
      <w:r w:rsidR="00346DD6">
        <w:t>ksid</w:t>
      </w:r>
      <w:r>
        <w:t xml:space="preserve"> need majutusruumid vastama tuleohutuspaigaldiste ja evakuatsiooniteede osas samadele nõuetele, nagu teiste majutusettevõtete majutusruumid. Lisaks peab külalisi varustama tuleohutuse meelespeaga, mis pakuks teavet tulekahjust hoidumiseks ja tulekahju korral tegutsemiseks. Piirmäär </w:t>
      </w:r>
      <w:r w:rsidR="007E0625">
        <w:t xml:space="preserve">kümme </w:t>
      </w:r>
      <w:r>
        <w:t xml:space="preserve">on seotud sellega, et suurem arv inimesi tähendab ka suuremat riski. </w:t>
      </w:r>
    </w:p>
    <w:p w14:paraId="3FA0FEA4" w14:textId="73DCD2DA" w:rsidR="00751998" w:rsidRDefault="10C59CDB" w:rsidP="00751998">
      <w:pPr>
        <w:jc w:val="both"/>
      </w:pPr>
      <w:r>
        <w:t xml:space="preserve">Seega on praegu probleem selles, et kui paljud teenuse pakkujad ennast majutusettevõttena ei määratle, ei ole nende jaoks selgust, kas need kirjeldatud nõuded ka nendele rakenduvad. </w:t>
      </w:r>
      <w:r w:rsidR="00D566D8">
        <w:t xml:space="preserve">Lisaks, suures osas kortermajades ei </w:t>
      </w:r>
      <w:r w:rsidR="00603568">
        <w:t xml:space="preserve">vasta evakuatsiooniteed </w:t>
      </w:r>
      <w:r w:rsidR="000554F5">
        <w:t xml:space="preserve">TurS-ga </w:t>
      </w:r>
      <w:r w:rsidR="003C65B5">
        <w:t>enam</w:t>
      </w:r>
      <w:r w:rsidR="00603568">
        <w:t xml:space="preserve"> kui 10 voodikohaga </w:t>
      </w:r>
      <w:r w:rsidR="003C65B5">
        <w:t xml:space="preserve">majutusettevõtte </w:t>
      </w:r>
      <w:r w:rsidR="002427E9">
        <w:t>esimese</w:t>
      </w:r>
      <w:r w:rsidR="00A540F3">
        <w:t xml:space="preserve"> kasutusviisiga hoonele</w:t>
      </w:r>
      <w:r w:rsidR="009373D0">
        <w:t xml:space="preserve"> </w:t>
      </w:r>
      <w:r w:rsidR="00603568">
        <w:t>kehtestatud tuleohutusnõuetele</w:t>
      </w:r>
      <w:r w:rsidR="00D566D8">
        <w:t xml:space="preserve">, mistõttu seal majutusteenust osutada ei tohikski. </w:t>
      </w:r>
      <w:r>
        <w:t>Nõuete täitmata jätmine toob kaasa suurema viga</w:t>
      </w:r>
      <w:r w:rsidR="005F04B3">
        <w:t>s</w:t>
      </w:r>
      <w:r>
        <w:t xml:space="preserve">tuste ja hukkumiste ohu. Võiks küll eeldada, et majutusteenuse osutajad võiksid ise olla huvitatud tuleohutusnõuete täitmisest, kuid siin on tegemist klassikalise turutõrke olukorraga, millega </w:t>
      </w:r>
      <w:r>
        <w:lastRenderedPageBreak/>
        <w:t xml:space="preserve">turumehhanism toime ei tule. Nt võib seda vaadelda kui informatsioonitõrget, kus teenuse osutajad ega ka kasutajad ei ole lihtsalt erinevate meetmete kasudest teadlikud. Samas võib seda olukorda lahti mõtestada ka välismõju kontseptsiooni vaates, kus lähtutakse valikute tegemisel eelkõige isiklikust kasust, mitte riskidest, mille tagajärgi kannavad teised. </w:t>
      </w:r>
    </w:p>
    <w:p w14:paraId="4D610522" w14:textId="7605EA2B" w:rsidR="00A26BD4" w:rsidRDefault="10C59CDB" w:rsidP="00751998">
      <w:pPr>
        <w:jc w:val="both"/>
      </w:pPr>
      <w:r w:rsidRPr="288A3578">
        <w:t xml:space="preserve">Viimastel aastatel on </w:t>
      </w:r>
      <w:r w:rsidR="00B01885">
        <w:t>PA</w:t>
      </w:r>
      <w:r w:rsidR="00751998" w:rsidRPr="288A3578">
        <w:rPr>
          <w:rStyle w:val="FootnoteReference"/>
        </w:rPr>
        <w:footnoteReference w:id="154"/>
      </w:r>
      <w:r w:rsidRPr="288A3578">
        <w:t xml:space="preserve"> avaldatud statistika kohaselt Eestis toimunud ligikaudu </w:t>
      </w:r>
      <w:r w:rsidR="009D66FF">
        <w:t>7</w:t>
      </w:r>
      <w:r w:rsidRPr="288A3578">
        <w:t xml:space="preserve">00 tulekahju aastas, </w:t>
      </w:r>
      <w:r w:rsidR="00E0023E">
        <w:t xml:space="preserve">nendest </w:t>
      </w:r>
      <w:r w:rsidR="00BE4D08">
        <w:t xml:space="preserve">ligikaudu 500 eluhoonetes. </w:t>
      </w:r>
      <w:r w:rsidR="002127FB">
        <w:t xml:space="preserve">Eluhoonete tulekahjudest omakorda ligikaudu pooled </w:t>
      </w:r>
      <w:r w:rsidR="00CD545E">
        <w:t xml:space="preserve">on toimunud kortermajades, mis on ka tüüpiline lühiajalise üüri teenuse osutamise koht. </w:t>
      </w:r>
      <w:r w:rsidR="00763410">
        <w:t>Näiteks majutushoonetes</w:t>
      </w:r>
      <w:r w:rsidR="0055590C">
        <w:t xml:space="preserve"> on tulekahjude arv viimastel aastatel selgelt langustrendis, jäädes 2023. ja 2024. aastal alla </w:t>
      </w:r>
      <w:r w:rsidR="00AD30A2">
        <w:t>kümne</w:t>
      </w:r>
      <w:r w:rsidR="00B327F4">
        <w:t xml:space="preserve"> tulekahju aastas. Ka tulesurmasid </w:t>
      </w:r>
      <w:r w:rsidR="007F3AA9">
        <w:t xml:space="preserve">esineb </w:t>
      </w:r>
      <w:r w:rsidR="00115BB6">
        <w:t>mitteeluhoonete tulekahju</w:t>
      </w:r>
      <w:r w:rsidR="288BC1D2">
        <w:t>des</w:t>
      </w:r>
      <w:r w:rsidR="00115BB6">
        <w:t xml:space="preserve"> vähe, nt 2023. ja 2024. aastal hukkus </w:t>
      </w:r>
      <w:r w:rsidR="00A26BD4">
        <w:t xml:space="preserve">mõlemal aastal </w:t>
      </w:r>
      <w:r w:rsidR="00115BB6">
        <w:t>üks inimene</w:t>
      </w:r>
      <w:r w:rsidR="0065577E">
        <w:t>.</w:t>
      </w:r>
      <w:r w:rsidR="00CD545E">
        <w:t xml:space="preserve"> </w:t>
      </w:r>
      <w:r w:rsidR="0065577E">
        <w:t>Hoonetul</w:t>
      </w:r>
      <w:r w:rsidR="00A101F3">
        <w:t>e</w:t>
      </w:r>
      <w:r w:rsidR="0065577E">
        <w:t>kahjudes</w:t>
      </w:r>
      <w:r w:rsidR="00A101F3">
        <w:t xml:space="preserve"> on viimastel aastatel</w:t>
      </w:r>
      <w:r w:rsidRPr="288A3578">
        <w:t xml:space="preserve"> hukku</w:t>
      </w:r>
      <w:r w:rsidR="00A101F3">
        <w:t>nud</w:t>
      </w:r>
      <w:r w:rsidRPr="288A3578">
        <w:t xml:space="preserve"> </w:t>
      </w:r>
      <w:r w:rsidR="00A101F3">
        <w:t xml:space="preserve">igal aastal </w:t>
      </w:r>
      <w:r w:rsidRPr="288A3578">
        <w:t>30</w:t>
      </w:r>
      <w:r w:rsidR="004A2447">
        <w:t>–</w:t>
      </w:r>
      <w:r w:rsidRPr="288A3578">
        <w:t>40 ja vigastada sa</w:t>
      </w:r>
      <w:r w:rsidR="00A101F3">
        <w:t>anud</w:t>
      </w:r>
      <w:r w:rsidRPr="288A3578">
        <w:t xml:space="preserve"> 70</w:t>
      </w:r>
      <w:r w:rsidR="004A2447">
        <w:t>–</w:t>
      </w:r>
      <w:r w:rsidRPr="288A3578">
        <w:t xml:space="preserve">80 inimest. </w:t>
      </w:r>
      <w:r w:rsidR="00B01885">
        <w:t xml:space="preserve">PA </w:t>
      </w:r>
      <w:r w:rsidRPr="288A3578">
        <w:t xml:space="preserve">statistika kinnitab ka seda, et tulekahjus hukkumise üheks levinud asjaoluks </w:t>
      </w:r>
      <w:r w:rsidR="0830553E" w:rsidRPr="288A3578">
        <w:t xml:space="preserve">on </w:t>
      </w:r>
      <w:r w:rsidRPr="288A3578">
        <w:t xml:space="preserve">suitsuanduri puudumine, mis on otseselt seotud ka majutusruumidele kehtivate nõuetega. </w:t>
      </w:r>
      <w:r w:rsidR="0097103E">
        <w:t xml:space="preserve">Tulekahjusid </w:t>
      </w:r>
      <w:r w:rsidR="004C205C">
        <w:t xml:space="preserve">eluhoonetes põhjustavad aga peamiselt ehk ligikaudu 40% juhtudest </w:t>
      </w:r>
      <w:r w:rsidR="000D6834">
        <w:t>elektripaigaldiste või elektriseadmete rikked</w:t>
      </w:r>
      <w:r w:rsidR="000B4182">
        <w:t xml:space="preserve"> (nt ebasobivad ühendused</w:t>
      </w:r>
      <w:r w:rsidR="00F10A38">
        <w:t xml:space="preserve"> või</w:t>
      </w:r>
      <w:r w:rsidR="00190A9A">
        <w:t xml:space="preserve"> külmkappide rikked)</w:t>
      </w:r>
      <w:r w:rsidR="000D6834">
        <w:t xml:space="preserve"> ja </w:t>
      </w:r>
      <w:r w:rsidR="00AD497F">
        <w:t>elektriseadmete kasutamine</w:t>
      </w:r>
      <w:r w:rsidR="00190A9A">
        <w:t xml:space="preserve"> (nt elektripliidi hooletu sisselülitamine)</w:t>
      </w:r>
      <w:r w:rsidR="00AD497F">
        <w:t xml:space="preserve">. </w:t>
      </w:r>
      <w:r w:rsidRPr="288A3578">
        <w:t>Seega risk lühiajalise üüri teenuse kasutajal sattuda tuleõnnetusse on reaalne ja kui majutusruumis pole rakendatud ohutuse tagamiseks vajalikke abinõusid, võib tulekahju korral vigastus- või hukkumisriski lugeda suhteliselt kõrgeks.</w:t>
      </w:r>
      <w:r w:rsidRPr="288A3578" w:rsidDel="00A26BD4">
        <w:t xml:space="preserve"> </w:t>
      </w:r>
      <w:r w:rsidR="003A76F8">
        <w:t>Selle põhjal hindame, et tuleohutusnõuete valikuli</w:t>
      </w:r>
      <w:r w:rsidR="6E4B45A1">
        <w:t>s</w:t>
      </w:r>
      <w:r w:rsidR="003A76F8">
        <w:t xml:space="preserve">e täitmisega kaasnevad mõjud on </w:t>
      </w:r>
      <w:r w:rsidR="00F23A21">
        <w:t xml:space="preserve">püsivad ja </w:t>
      </w:r>
      <w:r w:rsidR="003A76F8">
        <w:t>ulatusel</w:t>
      </w:r>
      <w:r w:rsidR="43FD6DAC">
        <w:t>t</w:t>
      </w:r>
      <w:r w:rsidR="003A76F8">
        <w:t xml:space="preserve"> laiad,</w:t>
      </w:r>
      <w:r w:rsidR="00F23A21">
        <w:t xml:space="preserve"> tugevuselt aga vähemalt mõõdukad.</w:t>
      </w:r>
      <w:r w:rsidR="003A76F8">
        <w:t xml:space="preserve"> </w:t>
      </w:r>
    </w:p>
    <w:p w14:paraId="735673C9" w14:textId="5BF57D43" w:rsidR="00DA788E" w:rsidRDefault="10C59CDB" w:rsidP="00751998">
      <w:pPr>
        <w:jc w:val="both"/>
      </w:pPr>
      <w:r w:rsidRPr="288A3578">
        <w:t xml:space="preserve">Lühiajalise üürimise mõjud turvalisusele avalduvad ka läbi selle, et suurem turistide arv suurendab </w:t>
      </w:r>
      <w:r w:rsidR="00740C24" w:rsidRPr="00B54A22">
        <w:t xml:space="preserve">süütegude </w:t>
      </w:r>
      <w:r w:rsidRPr="00355BC6">
        <w:t>r</w:t>
      </w:r>
      <w:r w:rsidRPr="00BE179D">
        <w:t>iski</w:t>
      </w:r>
      <w:r w:rsidR="00355BC6">
        <w:t xml:space="preserve"> ehk vähendab kohalike elanike </w:t>
      </w:r>
      <w:r w:rsidR="00355BC6" w:rsidRPr="00B54A22">
        <w:rPr>
          <w:b/>
          <w:bCs/>
        </w:rPr>
        <w:t>turvalisust</w:t>
      </w:r>
      <w:r w:rsidRPr="00740C24">
        <w:t>.</w:t>
      </w:r>
      <w:r w:rsidRPr="288A3578">
        <w:t xml:space="preserve"> Selles vaates pole risk turvalisusele seotud mitte </w:t>
      </w:r>
      <w:r w:rsidR="008C2F9A">
        <w:t xml:space="preserve">üksnes </w:t>
      </w:r>
      <w:r w:rsidRPr="288A3578">
        <w:t>lühiajalise üürimisega, vaid</w:t>
      </w:r>
      <w:r w:rsidR="008C2F9A">
        <w:t xml:space="preserve"> ka</w:t>
      </w:r>
      <w:r w:rsidRPr="288A3578">
        <w:t xml:space="preserve"> turismiga üld</w:t>
      </w:r>
      <w:r w:rsidR="05555739" w:rsidRPr="288A3578">
        <w:t>i</w:t>
      </w:r>
      <w:r w:rsidRPr="288A3578">
        <w:t xml:space="preserve">semalt. Turistid on kurjategijatele mugavaks sihtmärgiks, kuna viibivad võõras keskkonnas. Kuid ka turistid ise võivad olla potentsiaalsed </w:t>
      </w:r>
      <w:r w:rsidR="009F5F20">
        <w:t>süütegude toimepanijad</w:t>
      </w:r>
      <w:r w:rsidRPr="288A3578">
        <w:t>. Eesti lühiajalise üüri turu kontekstis on see tõenäoline ka seetõttu, et turg loob head võimalused tas</w:t>
      </w:r>
      <w:r w:rsidR="00676470">
        <w:t>k</w:t>
      </w:r>
      <w:r w:rsidRPr="288A3578">
        <w:t xml:space="preserve">ukohastes majutusruumides anonüümselt peatuda, eriti seal, kus nende külastusi ei registreerita. </w:t>
      </w:r>
    </w:p>
    <w:p w14:paraId="58AEBD86" w14:textId="73D3671A" w:rsidR="00751998" w:rsidRDefault="10C59CDB" w:rsidP="00751998">
      <w:pPr>
        <w:jc w:val="both"/>
      </w:pPr>
      <w:r w:rsidRPr="288A3578">
        <w:t>Samas</w:t>
      </w:r>
      <w:r w:rsidR="0029268E">
        <w:t xml:space="preserve"> võrreldes tavaturismiga võib</w:t>
      </w:r>
      <w:r w:rsidRPr="288A3578">
        <w:t xml:space="preserve"> lühiajaline üürimine käivitada ka täiesti teistsugused mehhanismid kuritegevuse tekkeks. Nt on mitmed uuringud</w:t>
      </w:r>
      <w:r w:rsidR="00751998" w:rsidRPr="288A3578">
        <w:rPr>
          <w:rStyle w:val="FootnoteReference"/>
        </w:rPr>
        <w:footnoteReference w:id="155"/>
      </w:r>
      <w:r w:rsidRPr="288A3578">
        <w:rPr>
          <w:vertAlign w:val="superscript"/>
        </w:rPr>
        <w:t>,</w:t>
      </w:r>
      <w:r w:rsidR="00751998" w:rsidRPr="288A3578">
        <w:rPr>
          <w:rStyle w:val="FootnoteReference"/>
        </w:rPr>
        <w:footnoteReference w:id="156"/>
      </w:r>
      <w:r w:rsidRPr="288A3578">
        <w:t xml:space="preserve"> leid</w:t>
      </w:r>
      <w:r w:rsidR="10159F16" w:rsidRPr="288A3578">
        <w:t>nud</w:t>
      </w:r>
      <w:r w:rsidRPr="288A3578">
        <w:t xml:space="preserve"> empiirilisi tõendeid hüpoteesile, et lühiajalise üüri kasvuga avaldub mõju kuritegevusele teatud viitajaga, kuna lühiajaline üürimine vähendab kogukondade loomulikku võimet kuritegevust ära hoida. Seega</w:t>
      </w:r>
      <w:r w:rsidR="00420346">
        <w:t xml:space="preserve">, kuigi </w:t>
      </w:r>
      <w:r w:rsidR="000C4C74">
        <w:t>selle uuringuga me</w:t>
      </w:r>
      <w:r w:rsidR="00520516">
        <w:t xml:space="preserve"> ei statistiliste mudelite ega intervjuude kaudu</w:t>
      </w:r>
      <w:r w:rsidR="000C4C74">
        <w:t xml:space="preserve"> ei tuvastanud, et</w:t>
      </w:r>
      <w:r w:rsidRPr="288A3578">
        <w:t xml:space="preserve"> Eesti </w:t>
      </w:r>
      <w:r w:rsidR="000C4C74">
        <w:t xml:space="preserve">oleks lühiajaline üürimine </w:t>
      </w:r>
      <w:r w:rsidR="009F5F20">
        <w:t xml:space="preserve">süütegusid </w:t>
      </w:r>
      <w:r w:rsidR="000C4C74">
        <w:t>suurendanud, siis ei saa</w:t>
      </w:r>
      <w:r w:rsidRPr="288A3578">
        <w:t xml:space="preserve"> välistada selle mõju avaldumist lähitulevikus, eriti kui lühiajalise üüri turg </w:t>
      </w:r>
      <w:r w:rsidR="00976AA2">
        <w:t xml:space="preserve">Tallinna kesklinnas, aga ka Pärnus ja Tartus </w:t>
      </w:r>
      <w:r w:rsidR="003F7A58">
        <w:t>veelgi oluliselt suureneb</w:t>
      </w:r>
      <w:r w:rsidRPr="288A3578">
        <w:t>.</w:t>
      </w:r>
      <w:r>
        <w:rPr>
          <w:szCs w:val="24"/>
        </w:rPr>
        <w:t xml:space="preserve"> </w:t>
      </w:r>
    </w:p>
    <w:p w14:paraId="42A994AC" w14:textId="42229E38" w:rsidR="00751998" w:rsidRDefault="10C59CDB" w:rsidP="288A3578">
      <w:pPr>
        <w:jc w:val="both"/>
      </w:pPr>
      <w:r w:rsidRPr="288A3578">
        <w:lastRenderedPageBreak/>
        <w:t xml:space="preserve">Samas võib lühiajaline üürimine ka </w:t>
      </w:r>
      <w:r w:rsidR="009F5F20">
        <w:t>süütegusid</w:t>
      </w:r>
      <w:r w:rsidR="009F5F20" w:rsidRPr="288A3578">
        <w:t xml:space="preserve"> </w:t>
      </w:r>
      <w:r w:rsidRPr="288A3578">
        <w:t>vähendada</w:t>
      </w:r>
      <w:r w:rsidR="00B74679">
        <w:t>.</w:t>
      </w:r>
      <w:r w:rsidRPr="288A3578">
        <w:t xml:space="preserve"> </w:t>
      </w:r>
      <w:r w:rsidR="00B74679">
        <w:t>R</w:t>
      </w:r>
      <w:r w:rsidRPr="288A3578">
        <w:t xml:space="preserve">ohkem inimesi naabruskonnas võib </w:t>
      </w:r>
      <w:r w:rsidR="009F5F20">
        <w:t>süütegude</w:t>
      </w:r>
      <w:r w:rsidR="009F5F20" w:rsidRPr="288A3578">
        <w:t xml:space="preserve"> </w:t>
      </w:r>
      <w:r w:rsidRPr="288A3578">
        <w:t>sooritamise muuta keerukamaks või võimaldab korteri üürimine vältida pikemate vahemaade läbimist võõras linnas</w:t>
      </w:r>
      <w:r w:rsidR="00B51726">
        <w:t>.</w:t>
      </w:r>
      <w:r w:rsidR="00751998" w:rsidRPr="288A3578">
        <w:rPr>
          <w:rStyle w:val="FootnoteReference"/>
        </w:rPr>
        <w:footnoteReference w:id="157"/>
      </w:r>
      <w:r w:rsidRPr="288A3578">
        <w:t xml:space="preserve"> Ka selles uuringus tuvastasime ökonomeetrilise modelleerimisega nõrga, kuid </w:t>
      </w:r>
      <w:r w:rsidR="007C6ACC">
        <w:t>negatiivse</w:t>
      </w:r>
      <w:r w:rsidR="007C6ACC" w:rsidRPr="288A3578">
        <w:t xml:space="preserve"> </w:t>
      </w:r>
      <w:r w:rsidRPr="288A3578">
        <w:t xml:space="preserve">seose lühiajalise üürimise mahu ja varavastaste </w:t>
      </w:r>
      <w:r w:rsidR="009F5F20">
        <w:t>süütegude</w:t>
      </w:r>
      <w:r w:rsidR="009F5F20" w:rsidRPr="288A3578">
        <w:t xml:space="preserve"> </w:t>
      </w:r>
      <w:r w:rsidRPr="288A3578">
        <w:t xml:space="preserve">vahel. Samas on Eestis </w:t>
      </w:r>
      <w:r w:rsidR="009F5F20">
        <w:t>süütegude</w:t>
      </w:r>
      <w:r w:rsidR="009F5F20" w:rsidRPr="288A3578">
        <w:t xml:space="preserve"> </w:t>
      </w:r>
      <w:r w:rsidRPr="288A3578">
        <w:t xml:space="preserve">arv enamus maakondades väga </w:t>
      </w:r>
      <w:r w:rsidR="2DBE4EB9" w:rsidRPr="288A3578">
        <w:t>väike</w:t>
      </w:r>
      <w:r w:rsidRPr="288A3578">
        <w:t>, jäädes enamikus maakondades ühes kuus alla 10, paljudes ka alla 5. Seega negatiivse seose täpsemad põhjused Eesti kontekstis vajaksid selgitamist järgnevates uuringutes.</w:t>
      </w:r>
    </w:p>
    <w:p w14:paraId="28A0FD75" w14:textId="451CA72E" w:rsidR="00751998" w:rsidRDefault="10C59CDB" w:rsidP="00751998">
      <w:pPr>
        <w:jc w:val="both"/>
      </w:pPr>
      <w:r w:rsidRPr="288A3578">
        <w:t xml:space="preserve">See tulemus ei tähenda tingimata, et sellega seoses probleeme üldse ei esine. Paljud rikkumised võivad jääda ka registreerimata, kui ohvrid ei usu, et korrakaitseasutused </w:t>
      </w:r>
      <w:r w:rsidR="1320266D" w:rsidRPr="288A3578">
        <w:t>neid</w:t>
      </w:r>
      <w:r w:rsidRPr="288A3578">
        <w:t xml:space="preserve"> lahendada suudavad. Lisaks</w:t>
      </w:r>
      <w:r w:rsidR="243DCAA8" w:rsidRPr="288A3578">
        <w:t xml:space="preserve"> võib</w:t>
      </w:r>
      <w:r w:rsidRPr="288A3578">
        <w:t xml:space="preserve"> kannatada ka kohalike elanike turvatunne, kui nende kortermajas liigub pidevalt palju võõraid inimesi, kelle tausta ei teata ja keda ei usaldata. Nt ka varasem uuring</w:t>
      </w:r>
      <w:r w:rsidR="009F41BC" w:rsidRPr="288A3578">
        <w:rPr>
          <w:rStyle w:val="FootnoteReference"/>
        </w:rPr>
        <w:footnoteReference w:id="158"/>
      </w:r>
      <w:r w:rsidRPr="288A3578">
        <w:t xml:space="preserve"> Tallinna </w:t>
      </w:r>
      <w:r w:rsidR="778FEAC9" w:rsidRPr="288A3578">
        <w:t>v</w:t>
      </w:r>
      <w:r w:rsidRPr="288A3578">
        <w:t>analinna elanike seas kinnitas, et elanikke häirib kogukonnatunde vähenemine, kuna püsielanikud asenduvad ajutistega.</w:t>
      </w:r>
      <w:r w:rsidR="31A60E0A" w:rsidRPr="288A3578">
        <w:t xml:space="preserve"> </w:t>
      </w:r>
      <w:r w:rsidR="00A96634">
        <w:t>Peamiselt tuginedeski varasema</w:t>
      </w:r>
      <w:r w:rsidR="18581894">
        <w:t>te</w:t>
      </w:r>
      <w:r w:rsidR="00A96634">
        <w:t>le uuringutele nii Eesti</w:t>
      </w:r>
      <w:r w:rsidR="1332A7FC">
        <w:t>s</w:t>
      </w:r>
      <w:r w:rsidR="00A96634">
        <w:t xml:space="preserve"> kui mujal,</w:t>
      </w:r>
      <w:r w:rsidR="00EE13B8">
        <w:t xml:space="preserve"> oleme </w:t>
      </w:r>
      <w:r w:rsidR="00A96634">
        <w:t xml:space="preserve">mõju turvatundele hinnanud </w:t>
      </w:r>
      <w:r w:rsidR="00F83BA5">
        <w:t xml:space="preserve">püsivaks, kuid </w:t>
      </w:r>
      <w:r w:rsidR="00A96634">
        <w:t>väga nõrgaks</w:t>
      </w:r>
      <w:r w:rsidR="00EE13B8">
        <w:t xml:space="preserve"> </w:t>
      </w:r>
      <w:r w:rsidR="00CB3192">
        <w:t xml:space="preserve">ja ulatuselt piiratuks, kuna avaldub </w:t>
      </w:r>
      <w:r w:rsidR="00F83BA5">
        <w:t>üksnes piirkondades, kus üüriteenuse kasutajad rohkem välja paistavad.</w:t>
      </w:r>
      <w:r w:rsidR="00EE13B8">
        <w:t xml:space="preserve"> </w:t>
      </w:r>
      <w:r w:rsidR="31A60E0A" w:rsidRPr="288A3578">
        <w:t xml:space="preserve">Seega </w:t>
      </w:r>
      <w:r w:rsidR="302B12CB" w:rsidRPr="288A3578">
        <w:t xml:space="preserve">isegi kui registreeritud kuritegevust ja </w:t>
      </w:r>
      <w:r w:rsidR="3CA85F96" w:rsidRPr="288A3578">
        <w:t xml:space="preserve">ka kergemaid </w:t>
      </w:r>
      <w:r w:rsidR="00690B5A">
        <w:t>süütegusid</w:t>
      </w:r>
      <w:r w:rsidR="00690B5A" w:rsidRPr="288A3578">
        <w:t xml:space="preserve"> </w:t>
      </w:r>
      <w:r w:rsidR="3CA85F96" w:rsidRPr="288A3578">
        <w:t>pole lühiajalise üüri turu kasv</w:t>
      </w:r>
      <w:r w:rsidR="00462511">
        <w:t xml:space="preserve"> Eestis</w:t>
      </w:r>
      <w:r w:rsidR="3CA85F96" w:rsidRPr="288A3578">
        <w:t xml:space="preserve"> veel </w:t>
      </w:r>
      <w:r w:rsidR="3373E632" w:rsidRPr="288A3578">
        <w:t>kaasa toonud</w:t>
      </w:r>
      <w:r w:rsidR="004A150D">
        <w:t xml:space="preserve"> ja selle uuringuga tugevaid empiirilisi tõendeid </w:t>
      </w:r>
      <w:r w:rsidR="00494E76">
        <w:t>mõjudest inimeste turvatundele me ei leidnud</w:t>
      </w:r>
      <w:r w:rsidR="00A70D8F">
        <w:rPr>
          <w:rStyle w:val="FootnoteReference"/>
        </w:rPr>
        <w:footnoteReference w:id="159"/>
      </w:r>
      <w:r w:rsidR="3CA85F96" w:rsidRPr="288A3578">
        <w:t xml:space="preserve">, siis </w:t>
      </w:r>
      <w:r w:rsidR="5EA20F07" w:rsidRPr="288A3578">
        <w:t xml:space="preserve">tuleks seda valdkonda kindlasti </w:t>
      </w:r>
      <w:r w:rsidR="00494E76">
        <w:t xml:space="preserve">edaspidi </w:t>
      </w:r>
      <w:r w:rsidR="5EA20F07" w:rsidRPr="288A3578">
        <w:t xml:space="preserve">seirata </w:t>
      </w:r>
      <w:r w:rsidR="1D599558" w:rsidRPr="288A3578">
        <w:t xml:space="preserve">nii </w:t>
      </w:r>
      <w:r w:rsidR="2E70C6F6" w:rsidRPr="288A3578">
        <w:t xml:space="preserve">ametliku statistika kaudu kui ka kohalike elanike </w:t>
      </w:r>
      <w:r w:rsidR="7A4CD6A5" w:rsidRPr="288A3578">
        <w:t xml:space="preserve">tajutud </w:t>
      </w:r>
      <w:r w:rsidR="2E70C6F6" w:rsidRPr="288A3578">
        <w:t>turvatunde</w:t>
      </w:r>
      <w:r w:rsidR="5EA20F07">
        <w:rPr>
          <w:szCs w:val="24"/>
        </w:rPr>
        <w:t xml:space="preserve"> </w:t>
      </w:r>
      <w:r w:rsidR="7A4CD6A5" w:rsidRPr="288A3578">
        <w:t>põhjal.</w:t>
      </w:r>
    </w:p>
    <w:p w14:paraId="43283191" w14:textId="29E3CAAC" w:rsidR="00751998" w:rsidRDefault="00751998" w:rsidP="000A0874">
      <w:pPr>
        <w:pStyle w:val="Heading3"/>
        <w:rPr>
          <w:rFonts w:hint="eastAsia"/>
        </w:rPr>
      </w:pPr>
      <w:bookmarkStart w:id="138" w:name="_Toc208991626"/>
      <w:r w:rsidRPr="009137F5">
        <w:t>Mõjud elukeskkonnale</w:t>
      </w:r>
      <w:r w:rsidR="00260034">
        <w:t xml:space="preserve"> ja linnaruumile</w:t>
      </w:r>
      <w:bookmarkEnd w:id="138"/>
    </w:p>
    <w:p w14:paraId="78026D20" w14:textId="01A4B34F" w:rsidR="00751998" w:rsidRDefault="10C59CDB" w:rsidP="00751998">
      <w:pPr>
        <w:jc w:val="both"/>
      </w:pPr>
      <w:r>
        <w:t>Elukeskkonna valdkonda oleme paigutanud kõik need muutused, mis mõjutavad kohalike elanike igapäevast elu ja toimetulekut. Teiste riikide kogemusest teame, et lühiajalise üüri turu aktiivne levik võib oluliselt muuta elukeskkonda. Turistide tegevused ja käitumise mustrid, mis on suunatud uute kogemuste saamise</w:t>
      </w:r>
      <w:r w:rsidR="0D2CE007">
        <w:t>le</w:t>
      </w:r>
      <w:r>
        <w:t xml:space="preserve"> ja külastatavate piirkondade aktiivse</w:t>
      </w:r>
      <w:r w:rsidR="1BCF8740">
        <w:t>le</w:t>
      </w:r>
      <w:r>
        <w:t xml:space="preserve"> tundmaõppimise</w:t>
      </w:r>
      <w:r w:rsidR="7D5BEC62">
        <w:t>le</w:t>
      </w:r>
      <w:r w:rsidR="4CF7DC1A">
        <w:t>,</w:t>
      </w:r>
      <w:r>
        <w:t xml:space="preserve"> erinevad oluliselt kohalike elanike käitumisest, kes elavad oma igapäevast elu. Seega võivad turistid tekitada nii suuremat lärmi kui ka rohkem prügi, aga põhjustada ka liiklusele, sh parkimisele, suuremat koormust. See tähendab ka seda, et ühelt poolt võiks lühiajalise üüri turg pakkuda leevendust turismipiirkondadele ja turismi survet hajutada ja laiendada turismi survet kuumkohtadest väljapoole, kuid selle tagajärjel võivad selle nähtusega kaasnevad negatiivsed mõjud avalduda veelgi ulatuslikumalt. </w:t>
      </w:r>
    </w:p>
    <w:p w14:paraId="10216295" w14:textId="267F7BBF" w:rsidR="00751998" w:rsidRDefault="10C59CDB" w:rsidP="00751998">
      <w:pPr>
        <w:jc w:val="both"/>
      </w:pPr>
      <w:r>
        <w:t xml:space="preserve">Hetkeseisuga on lühiajalise </w:t>
      </w:r>
      <w:r w:rsidR="000769F4">
        <w:t xml:space="preserve">ööbimise </w:t>
      </w:r>
      <w:r>
        <w:t>mahud suhtena kohalikku elanikkonda selgelt suurimad Eesti läänerannikul asuvates maakondades: Saaremaal, Hiiumaal, Läänemaal ja Pärnumaa</w:t>
      </w:r>
      <w:r w:rsidR="7A37C4B0">
        <w:t>l</w:t>
      </w:r>
      <w:r>
        <w:t xml:space="preserve">. Kõikides teistes maakondades on see suhtarv kordades madalam, sh Harjumaal. Seega on ka lühiajaline üürimine koondunud Eestis suurimatesse turismiaktiivsusega maakondadesse, kus on </w:t>
      </w:r>
      <w:r>
        <w:lastRenderedPageBreak/>
        <w:t>ka hotellide pakutud majutuskohti suhteliselt kõige enam. Seega on loogiline järeldada, et ka kõige suurimaid negatiivseid mõjusid tasub otsida nendest piirkondadest.</w:t>
      </w:r>
    </w:p>
    <w:p w14:paraId="6BCFAEA4" w14:textId="77466B92" w:rsidR="00751998" w:rsidRDefault="10C59CDB" w:rsidP="00751998">
      <w:pPr>
        <w:jc w:val="both"/>
      </w:pPr>
      <w:r w:rsidRPr="288A3578">
        <w:t>Meie uuring kinnitas, et teatud määral on negatiivsed mõjud Eestis ka juba</w:t>
      </w:r>
      <w:r w:rsidRPr="00717BCD">
        <w:rPr>
          <w:szCs w:val="24"/>
        </w:rPr>
        <w:t xml:space="preserve"> </w:t>
      </w:r>
      <w:r w:rsidRPr="288A3578">
        <w:t>avaldunud, kuid seda eelkõige konkreetsetes turistide jaoks atraktiivsetes piirkondades ja suuremates linnades</w:t>
      </w:r>
      <w:r w:rsidR="009C441E">
        <w:t>, seega võib</w:t>
      </w:r>
      <w:r w:rsidR="00EE7150">
        <w:t xml:space="preserve"> üldistada, et mõju ulatus on pigem piiratud</w:t>
      </w:r>
      <w:r w:rsidRPr="288A3578">
        <w:t xml:space="preserve">. Nt intervjuudes toodi selles osas esile Tallinna </w:t>
      </w:r>
      <w:r w:rsidR="429B3752" w:rsidRPr="288A3578">
        <w:t>v</w:t>
      </w:r>
      <w:r w:rsidRPr="288A3578">
        <w:t xml:space="preserve">analinna ja Pärnut. Samas avalduvad mõjud erinevalt. Tallinna </w:t>
      </w:r>
      <w:r w:rsidR="429B3752" w:rsidRPr="288A3578">
        <w:t>v</w:t>
      </w:r>
      <w:r w:rsidRPr="288A3578">
        <w:t xml:space="preserve">analinnas avalduvad tulenevalt üüripindade suurest arvust klassikalised probleemid prügi ja müraga. Näiteks </w:t>
      </w:r>
      <w:r w:rsidRPr="288A3578">
        <w:rPr>
          <w:b/>
          <w:bCs/>
        </w:rPr>
        <w:t>ei sorteeri turistid prügi</w:t>
      </w:r>
      <w:r w:rsidRPr="288A3578">
        <w:t xml:space="preserve"> või teevad seda valesti või teevad teatud perioodidel suurt müra. Ka varem Tallinna </w:t>
      </w:r>
      <w:r w:rsidR="429B3752" w:rsidRPr="288A3578">
        <w:t>v</w:t>
      </w:r>
      <w:r w:rsidRPr="288A3578">
        <w:t>analinna kohta tehtud uuringus näidati, et küsitletud elanikest ligi pooled on rahulolematud kortermajas asuvate lühiajaliste üürikorteritega, nt seoses koristusteenuste osutamisega nendes korterites, mistõttu võivad ka maja trepikojad olla selle tegevusega hõivatud (pesukottide ajutine ladustamine)</w:t>
      </w:r>
      <w:r w:rsidR="00B51726">
        <w:t>.</w:t>
      </w:r>
      <w:r w:rsidR="00751998" w:rsidRPr="288A3578">
        <w:rPr>
          <w:rStyle w:val="FootnoteReference"/>
        </w:rPr>
        <w:footnoteReference w:id="160"/>
      </w:r>
      <w:r w:rsidRPr="288A3578">
        <w:rPr>
          <w:vertAlign w:val="superscript"/>
        </w:rPr>
        <w:t>,</w:t>
      </w:r>
      <w:r w:rsidR="00751998" w:rsidRPr="288A3578">
        <w:rPr>
          <w:rStyle w:val="FootnoteReference"/>
        </w:rPr>
        <w:footnoteReference w:id="161"/>
      </w:r>
      <w:r w:rsidRPr="288A3578">
        <w:t xml:space="preserve"> Uuring näitas, et eriti teravalt ilmnevad probleemid siis, kui omanik ise korteriga ei tegele ja delegeerib korteri väljaüürimise kellelegi teisele. </w:t>
      </w:r>
    </w:p>
    <w:p w14:paraId="196BB27B" w14:textId="0D8AD216" w:rsidR="00751998" w:rsidRDefault="10C59CDB" w:rsidP="00751998">
      <w:pPr>
        <w:jc w:val="both"/>
      </w:pPr>
      <w:r>
        <w:t xml:space="preserve">Eraldi probleem on see, et tekib täiendav majanduslik koormus korteriühistule suurema prügi või uste jm kortermajas ühiskasutuses oleva </w:t>
      </w:r>
      <w:r w:rsidRPr="288A3578">
        <w:rPr>
          <w:b/>
          <w:bCs/>
        </w:rPr>
        <w:t xml:space="preserve">inventari suurema kulumise </w:t>
      </w:r>
      <w:r>
        <w:t xml:space="preserve">tõttu. Ühelt poolt põhjustab see ka eespool kirjeldatud konkurentsimoonutust, kuna </w:t>
      </w:r>
      <w:r w:rsidR="00E125FE">
        <w:t>lühiajalise üüriteenuse pakkujad</w:t>
      </w:r>
      <w:r>
        <w:t xml:space="preserve"> saavad kolmandatele osapooltele edasi kanda teenuse pakkumisega kaasnevaid kulusid, samas kui nende konkurentidel hotellisektoris üldjuhul seda võimalust ei ole. Kuid eelkõige on siin tegemist olulise mõju</w:t>
      </w:r>
      <w:r w:rsidR="2A9F9B7E">
        <w:t>ga</w:t>
      </w:r>
      <w:r>
        <w:t xml:space="preserve"> teistele samas kortermajas elavatele inimestele. Samas huvitava asjaoluna mainisid üüriteenuse pakkujad ka seda, et neid süüdistatakse kortermajade elanike poolt vahel ka alusetult, mis samuti viitab selgelt </w:t>
      </w:r>
      <w:r w:rsidRPr="288A3578">
        <w:rPr>
          <w:b/>
          <w:bCs/>
        </w:rPr>
        <w:t>pingetele</w:t>
      </w:r>
      <w:r w:rsidR="519A35E4" w:rsidRPr="288A3578">
        <w:rPr>
          <w:b/>
          <w:bCs/>
        </w:rPr>
        <w:t xml:space="preserve"> elani</w:t>
      </w:r>
      <w:r w:rsidR="6A0BA0F1" w:rsidRPr="288A3578">
        <w:rPr>
          <w:b/>
          <w:bCs/>
        </w:rPr>
        <w:t>ke ja teenuse kasutajate või teenuse osutajate vahel</w:t>
      </w:r>
      <w:r>
        <w:t xml:space="preserve">, mida lühiajaline üürimine põhjustab. Seda arvamust avaldati ka väljaspool Tallinna asuvate üüripindade kohta, seega kuigi Tallinna </w:t>
      </w:r>
      <w:r w:rsidR="3502BF44">
        <w:t>v</w:t>
      </w:r>
      <w:r>
        <w:t>analinn on selgelt eristuv tihedalt paiknevate üüripindadega piirkond, avalduvad üürimisega seotud pinged ja probleemid teatud määral ka juba mujal. Kuid seni näivad need olevat pigem juhuslikud ja suuri probleeme mitte põhjustavad.</w:t>
      </w:r>
    </w:p>
    <w:p w14:paraId="53AAD78C" w14:textId="6399B467" w:rsidR="00751998" w:rsidRDefault="10C59CDB" w:rsidP="00751998">
      <w:pPr>
        <w:jc w:val="both"/>
      </w:pPr>
      <w:r>
        <w:t xml:space="preserve">Tallinna </w:t>
      </w:r>
      <w:r w:rsidR="001B9072">
        <w:t>v</w:t>
      </w:r>
      <w:r>
        <w:t xml:space="preserve">analinna teravam probleem ilmneb ka lühiajalise voodikohtade </w:t>
      </w:r>
      <w:r w:rsidR="4F4D26F7">
        <w:t xml:space="preserve">suures </w:t>
      </w:r>
      <w:r>
        <w:t>suhtarvu</w:t>
      </w:r>
      <w:r w:rsidR="716D92B8">
        <w:t>s</w:t>
      </w:r>
      <w:r>
        <w:t xml:space="preserve"> kohalikesse elanikesse, mis näitab selgelt </w:t>
      </w:r>
      <w:r w:rsidR="00EB0585">
        <w:t>v</w:t>
      </w:r>
      <w:r>
        <w:t xml:space="preserve">analinna turismipiirkonnana, mitte kohalikele elanikele sobiva elupaigana. </w:t>
      </w:r>
      <w:r w:rsidR="007139F4">
        <w:t xml:space="preserve">Kuid see probleem </w:t>
      </w:r>
      <w:r w:rsidR="007E0403">
        <w:t xml:space="preserve">pole mitte lühiajalise üüri turu põhjustatud, </w:t>
      </w:r>
      <w:r w:rsidR="00837372">
        <w:t>kuna erineva</w:t>
      </w:r>
      <w:r w:rsidR="1C3845D1">
        <w:t>tele</w:t>
      </w:r>
      <w:r w:rsidR="00837372">
        <w:t xml:space="preserve"> müra, liiklus</w:t>
      </w:r>
      <w:r w:rsidR="005B6808">
        <w:t>e ja ruumikasutusega seotud probleemidele on seal juba varem tähelepanu pööratud</w:t>
      </w:r>
      <w:r w:rsidR="00B51726">
        <w:t>.</w:t>
      </w:r>
      <w:r w:rsidR="005B6808">
        <w:rPr>
          <w:rStyle w:val="FootnoteReference"/>
        </w:rPr>
        <w:footnoteReference w:id="162"/>
      </w:r>
      <w:r w:rsidR="005B6808">
        <w:t xml:space="preserve"> Kui</w:t>
      </w:r>
      <w:r w:rsidR="5EFA9C90">
        <w:t>d</w:t>
      </w:r>
      <w:r w:rsidR="005B6808">
        <w:t xml:space="preserve"> lühiajalise üürimise levik </w:t>
      </w:r>
      <w:r w:rsidR="6A04B21E">
        <w:t xml:space="preserve">on </w:t>
      </w:r>
      <w:r w:rsidR="005B6808">
        <w:t>kahtlemata neid probleeme veelgi võimendanud.</w:t>
      </w:r>
      <w:r w:rsidR="007E0403">
        <w:t xml:space="preserve"> </w:t>
      </w:r>
      <w:r>
        <w:t>Meie pistelise andmekorje tulemused viitavad, et voodikohti on seal rohkem kui elanikke, samas kui teistes Tallinna populaarsemates piirkondades</w:t>
      </w:r>
      <w:r w:rsidR="7FFC683C">
        <w:t>,</w:t>
      </w:r>
      <w:r>
        <w:t xml:space="preserve"> nagu Kalamaja või Kadriorg</w:t>
      </w:r>
      <w:r w:rsidR="09ECCF3E">
        <w:t>,</w:t>
      </w:r>
      <w:r>
        <w:t xml:space="preserve"> moodustab voodikohtade arv elanike arvust vähem kui 10%. Intervjuude põhjal saab ka üldistada, et Tallinna vanalinna probleem on sektoriga seotud inimestele hästi teada, samas kui teiste regioonide osas suuri probleeme intervjuudega elukeskkonna vaate</w:t>
      </w:r>
      <w:r w:rsidR="5BB5D337">
        <w:t>n</w:t>
      </w:r>
      <w:r>
        <w:t xml:space="preserve">urgast ei tuvastanud. Sellega seonduvalt </w:t>
      </w:r>
      <w:r w:rsidR="2DD5CF4D">
        <w:t xml:space="preserve">oli </w:t>
      </w:r>
      <w:r>
        <w:lastRenderedPageBreak/>
        <w:t xml:space="preserve">üsna levinud seiskoht ka see, et ühe piirkonna probleemide pärast ei tohiks teisi piirkondi üle reguleerida. </w:t>
      </w:r>
    </w:p>
    <w:p w14:paraId="5C1BFEE8" w14:textId="5BABCA72" w:rsidR="00751998" w:rsidRDefault="10C59CDB" w:rsidP="00751998">
      <w:pPr>
        <w:jc w:val="both"/>
      </w:pPr>
      <w:r>
        <w:t xml:space="preserve">Konkreetselt Pärnus on aga pigem suurem probleem väljaspool turismihooajega </w:t>
      </w:r>
      <w:r w:rsidRPr="288A3578">
        <w:rPr>
          <w:b/>
          <w:bCs/>
        </w:rPr>
        <w:t>tühjalt seisvate korteritega</w:t>
      </w:r>
      <w:r>
        <w:t xml:space="preserve"> ehk ilmneb n</w:t>
      </w:r>
      <w:r w:rsidR="00B325A9">
        <w:t>-</w:t>
      </w:r>
      <w:r>
        <w:t>ö pimedate akende probleem. See avaldab otsest mõju sama kortermaja teistele elanikele, kuna võib kaasa tuua niiskus- ja kütteprobleeme. Probleemid võivad tekkida ka seoses parkimisega, aga kuna turismipiirkondades on parkimine tasuline, siis pigem on need seotud sellega, et lühiajalise üüri teenuse kasutajad pole alati teadlikud parkimise korraldusest ja võivad parkida enese</w:t>
      </w:r>
      <w:r w:rsidR="218F1A42">
        <w:t xml:space="preserve"> </w:t>
      </w:r>
      <w:r>
        <w:t xml:space="preserve">teadmata ka tasulistel aladel. </w:t>
      </w:r>
    </w:p>
    <w:p w14:paraId="390EFD72" w14:textId="0359AE18" w:rsidR="00751998" w:rsidRDefault="10C59CDB" w:rsidP="00751998">
      <w:pPr>
        <w:jc w:val="both"/>
      </w:pPr>
      <w:r>
        <w:t xml:space="preserve">Kirjeldatud muutuste mõjul võib pikema perioodi jooksul ilmneda just suuremates turismipiirkondades ka üha tugevamalt gentrifikatsioon. Meie teaduskirjanduse analüüs näitas, et paljudes riikides on see nähtus lühiajalise </w:t>
      </w:r>
      <w:r w:rsidR="00223251">
        <w:t>üü</w:t>
      </w:r>
      <w:r>
        <w:t>rim</w:t>
      </w:r>
      <w:r w:rsidR="268F65B7">
        <w:t>i</w:t>
      </w:r>
      <w:r>
        <w:t>se mõjul juba avaldunud. Kuigi Eestis pole kohalike elanike väljatõrjumine veel akuutne probleem, tunnistasid seda võimaliku tuleviku riskina regionaal- ja kohaliku poliitika kujundajad. Meie uuring kinnitab ka gentrifikatsiooni ilmnemiseks vajalike algtingimuste täidetust mitmes Eesti piirkonnas: hinnad on lühiajalise üüri turu levikuga seoses suurenenud, pikaajalise üüri turul on pakkumine langenud, ilmneb rahulolematust kohalike elanike seas, mida on kinnitanud ka varasemad uuringud. Seega või</w:t>
      </w:r>
      <w:r w:rsidR="755F5C4F">
        <w:t>vad</w:t>
      </w:r>
      <w:r>
        <w:t xml:space="preserve"> osadest piirkondadest kujuneda üha selgemalt välja asumid, kus peamiselt peatuvad kas alaliselt või ajutiselt turisti</w:t>
      </w:r>
      <w:r w:rsidR="4ABABBD7">
        <w:t>d</w:t>
      </w:r>
      <w:r>
        <w:t xml:space="preserve"> või keskmisest jõukamad kohalikud elanikud. </w:t>
      </w:r>
    </w:p>
    <w:p w14:paraId="09849B01" w14:textId="718B8B84" w:rsidR="0054138F" w:rsidRPr="004937E2" w:rsidRDefault="0054138F" w:rsidP="0054138F">
      <w:pPr>
        <w:spacing w:before="0"/>
        <w:jc w:val="both"/>
      </w:pPr>
      <w:r>
        <w:t>Hinnates lühiajalise üüri turu mõju linnaruumile</w:t>
      </w:r>
      <w:r w:rsidR="00A765A2">
        <w:t>, siis</w:t>
      </w:r>
      <w:r>
        <w:t xml:space="preserve"> vanalinnade „turististumine“ on maailmas üleüldine trend, mille tulemusena kannatab vanalinnade autentsus ja roll linnade funktsionaalse osana. Selle vältimiseks tuleb toetada püsielanikkonna säilimist ja avalikke teenuseid vanalinnades. Eluruumid ei asendu mitte ainult külaliskorteritega, vaid ka teiste majutusasutuste ja turistidele suunatud äridega. Suure negatiivse mõjuga nii eluruumide kättesaadavuse kui linnaruumi toimimise ja atraktiivsuse vaates on suure osa aastast tühjana seisvad hooajaliselt kasutatavad eluruumid või lausa tühjana seisvad investeerimiskorterid. Elaniketa ja vähe köetud korterid põhjustavad ebamugavusi püsielanikele.</w:t>
      </w:r>
    </w:p>
    <w:p w14:paraId="3F3B2684" w14:textId="1AAAB0B5" w:rsidR="0054138F" w:rsidRPr="004937E2" w:rsidRDefault="0054138F" w:rsidP="1C92C443">
      <w:pPr>
        <w:spacing w:before="0"/>
        <w:jc w:val="both"/>
        <w:rPr>
          <w:rFonts w:eastAsiaTheme="minorEastAsia"/>
          <w:lang w:val="et"/>
        </w:rPr>
      </w:pPr>
      <w:r>
        <w:t>L</w:t>
      </w:r>
      <w:r w:rsidRPr="1C92C443">
        <w:rPr>
          <w:rFonts w:eastAsiaTheme="minorEastAsia"/>
          <w:lang w:val="et"/>
        </w:rPr>
        <w:t>ühiajali</w:t>
      </w:r>
      <w:r w:rsidR="0C38BC0A" w:rsidRPr="1C92C443">
        <w:rPr>
          <w:rFonts w:eastAsiaTheme="minorEastAsia"/>
          <w:lang w:val="et"/>
        </w:rPr>
        <w:t>s</w:t>
      </w:r>
      <w:r w:rsidRPr="1C92C443">
        <w:rPr>
          <w:rFonts w:eastAsiaTheme="minorEastAsia"/>
          <w:lang w:val="et"/>
        </w:rPr>
        <w:t xml:space="preserve">e majutusteenuse mõju </w:t>
      </w:r>
      <w:r w:rsidRPr="00B54A22">
        <w:rPr>
          <w:rFonts w:eastAsiaTheme="minorEastAsia"/>
          <w:b/>
          <w:bCs/>
          <w:lang w:val="et"/>
        </w:rPr>
        <w:t>linnaruumile</w:t>
      </w:r>
      <w:r w:rsidRPr="1C92C443">
        <w:rPr>
          <w:rFonts w:eastAsiaTheme="minorEastAsia"/>
          <w:lang w:val="et"/>
        </w:rPr>
        <w:t xml:space="preserve"> on kaudne ja võib avalduda vähenevas püsielanike arvus. Siiski tuleb rõhutada, et püsielanike arvu vähenemine, mida saab seostada eluruumide lühiajalise majutusteenuse suure osakaalu tulemusena, on kriitiline vaid üksikutes Eesti piirkondades</w:t>
      </w:r>
      <w:r w:rsidR="00FF3713">
        <w:rPr>
          <w:rFonts w:eastAsiaTheme="minorEastAsia"/>
          <w:lang w:val="et"/>
        </w:rPr>
        <w:t>,</w:t>
      </w:r>
      <w:r w:rsidRPr="1C92C443">
        <w:rPr>
          <w:rFonts w:eastAsiaTheme="minorEastAsia"/>
          <w:lang w:val="et"/>
        </w:rPr>
        <w:t xml:space="preserve"> eelkõige vanalinnades (Tallinn, Kuressaare)</w:t>
      </w:r>
      <w:r w:rsidR="00FF3713">
        <w:rPr>
          <w:rFonts w:eastAsiaTheme="minorEastAsia"/>
          <w:lang w:val="et"/>
        </w:rPr>
        <w:t>,</w:t>
      </w:r>
      <w:r w:rsidRPr="1C92C443">
        <w:rPr>
          <w:rFonts w:eastAsiaTheme="minorEastAsia"/>
          <w:lang w:val="et"/>
        </w:rPr>
        <w:t xml:space="preserve"> ning lühiajaline majutusteenus on vaid üks mitmest püsielanikkonna vähenemise põhjusest. Väiksemates kohtades, kahaneva elanikkonna tingimustes, pakub lühiajaline majutusteenus põhjuse olemasolevaid hooneid kasutuses ja korras hoida ning ka uusi eluruume ehitada, kuid pakub erinevalt hooajaliseks elamiseks mõeldud eluruumidest ka püsielanikele tööd ja teenistust. Lühiajalise majutusteenuse kasutajad omavad linnaruumile valdavalt positiivset mõju, paiknedes hajutatult, jäädes linnapildis märkamatumaks, tarbivad üldiselt lähipiirkonnas asuvaid ka elanikele omaseid teenuseid</w:t>
      </w:r>
      <w:r w:rsidR="28F7CFEE" w:rsidRPr="1C92C443">
        <w:rPr>
          <w:rFonts w:eastAsiaTheme="minorEastAsia"/>
          <w:lang w:val="et"/>
        </w:rPr>
        <w:t>,</w:t>
      </w:r>
      <w:r w:rsidRPr="1C92C443">
        <w:rPr>
          <w:rFonts w:eastAsiaTheme="minorEastAsia"/>
          <w:lang w:val="et"/>
        </w:rPr>
        <w:t xml:space="preserve"> nagu toidukauplus, turg, apteek jms.</w:t>
      </w:r>
    </w:p>
    <w:p w14:paraId="5B4175C9" w14:textId="3632E678" w:rsidR="0054138F" w:rsidRDefault="0054138F" w:rsidP="0054138F">
      <w:pPr>
        <w:spacing w:before="0"/>
        <w:jc w:val="both"/>
        <w:rPr>
          <w:rFonts w:eastAsiaTheme="minorEastAsia"/>
          <w:lang w:val="et"/>
        </w:rPr>
      </w:pPr>
      <w:r w:rsidRPr="1C92C443">
        <w:rPr>
          <w:rFonts w:eastAsiaTheme="minorEastAsia"/>
          <w:lang w:val="et"/>
        </w:rPr>
        <w:t>Avalikule ruumile on suurim negatiivne mõju lühiajalisel massiturismil, Tallinna vanalinna puhul peamiselt krui</w:t>
      </w:r>
      <w:r w:rsidR="00CE044E" w:rsidRPr="1C92C443">
        <w:rPr>
          <w:rFonts w:eastAsiaTheme="minorEastAsia"/>
          <w:lang w:val="et"/>
        </w:rPr>
        <w:t>i</w:t>
      </w:r>
      <w:r w:rsidRPr="1C92C443">
        <w:rPr>
          <w:rFonts w:eastAsiaTheme="minorEastAsia"/>
          <w:lang w:val="et"/>
        </w:rPr>
        <w:t>siturismil. Krui</w:t>
      </w:r>
      <w:r w:rsidR="00CE044E" w:rsidRPr="1C92C443">
        <w:rPr>
          <w:rFonts w:eastAsiaTheme="minorEastAsia"/>
          <w:lang w:val="et"/>
        </w:rPr>
        <w:t>i</w:t>
      </w:r>
      <w:r w:rsidRPr="1C92C443">
        <w:rPr>
          <w:rFonts w:eastAsiaTheme="minorEastAsia"/>
          <w:lang w:val="et"/>
        </w:rPr>
        <w:t>situristid, kellel on kõik teenused tagatud krui</w:t>
      </w:r>
      <w:r w:rsidR="00246A38" w:rsidRPr="1C92C443">
        <w:rPr>
          <w:rFonts w:eastAsiaTheme="minorEastAsia"/>
          <w:lang w:val="et"/>
        </w:rPr>
        <w:t>i</w:t>
      </w:r>
      <w:r w:rsidRPr="1C92C443">
        <w:rPr>
          <w:rFonts w:eastAsiaTheme="minorEastAsia"/>
          <w:lang w:val="et"/>
        </w:rPr>
        <w:t>silaeval ning kelle külastusaeg on piiratud loetud tundidega</w:t>
      </w:r>
      <w:r w:rsidR="01C8DBD7" w:rsidRPr="1C92C443">
        <w:rPr>
          <w:rFonts w:eastAsiaTheme="minorEastAsia"/>
          <w:lang w:val="et"/>
        </w:rPr>
        <w:t>,</w:t>
      </w:r>
      <w:r w:rsidRPr="1C92C443">
        <w:rPr>
          <w:rFonts w:eastAsiaTheme="minorEastAsia"/>
          <w:lang w:val="et"/>
        </w:rPr>
        <w:t xml:space="preserve"> </w:t>
      </w:r>
      <w:r w:rsidR="00A741E7">
        <w:rPr>
          <w:rFonts w:eastAsiaTheme="minorEastAsia"/>
          <w:lang w:val="et"/>
        </w:rPr>
        <w:t>külastavad</w:t>
      </w:r>
      <w:r w:rsidR="00A741E7" w:rsidRPr="1C92C443">
        <w:rPr>
          <w:rFonts w:eastAsiaTheme="minorEastAsia"/>
          <w:lang w:val="et"/>
        </w:rPr>
        <w:t xml:space="preserve"> </w:t>
      </w:r>
      <w:r w:rsidRPr="1C92C443">
        <w:rPr>
          <w:rFonts w:eastAsiaTheme="minorEastAsia"/>
          <w:lang w:val="et"/>
        </w:rPr>
        <w:t xml:space="preserve">vähe või mitte üldse vanalinna teenindusasutusi, toitlustuskohti ja kultuuri- ja meelelahutusasutusi, kuid on tänavapildis </w:t>
      </w:r>
      <w:r w:rsidRPr="1C92C443">
        <w:rPr>
          <w:rFonts w:eastAsiaTheme="minorEastAsia"/>
          <w:lang w:val="et"/>
        </w:rPr>
        <w:lastRenderedPageBreak/>
        <w:t>domineerivad ja muudavad vanalinna miljöö ja teenused turistikeskseks. Avaliku ruumi seisukohalt tuleks nt Tallinnas vältida krui</w:t>
      </w:r>
      <w:r w:rsidR="00246A38" w:rsidRPr="1C92C443">
        <w:rPr>
          <w:rFonts w:eastAsiaTheme="minorEastAsia"/>
          <w:lang w:val="et"/>
        </w:rPr>
        <w:t>i</w:t>
      </w:r>
      <w:r w:rsidRPr="1C92C443">
        <w:rPr>
          <w:rFonts w:eastAsiaTheme="minorEastAsia"/>
          <w:lang w:val="et"/>
        </w:rPr>
        <w:t xml:space="preserve">situristide arvu kasvu ning mitte ehitada </w:t>
      </w:r>
      <w:r w:rsidR="00A741E7">
        <w:rPr>
          <w:rFonts w:eastAsiaTheme="minorEastAsia"/>
          <w:lang w:val="et"/>
        </w:rPr>
        <w:t>täiendavat</w:t>
      </w:r>
      <w:r w:rsidR="00A741E7" w:rsidRPr="1C92C443">
        <w:rPr>
          <w:rFonts w:eastAsiaTheme="minorEastAsia"/>
          <w:lang w:val="et"/>
        </w:rPr>
        <w:t xml:space="preserve"> </w:t>
      </w:r>
      <w:r w:rsidRPr="1C92C443">
        <w:rPr>
          <w:rFonts w:eastAsiaTheme="minorEastAsia"/>
          <w:lang w:val="et"/>
        </w:rPr>
        <w:t>kaid krui</w:t>
      </w:r>
      <w:r w:rsidR="00246A38" w:rsidRPr="1C92C443">
        <w:rPr>
          <w:rFonts w:eastAsiaTheme="minorEastAsia"/>
          <w:lang w:val="et"/>
        </w:rPr>
        <w:t>i</w:t>
      </w:r>
      <w:r w:rsidRPr="1C92C443">
        <w:rPr>
          <w:rFonts w:eastAsiaTheme="minorEastAsia"/>
          <w:lang w:val="et"/>
        </w:rPr>
        <w:t>silaevadele enne, kui on korrastatud vanalinnaga ja sadamaga külgnev linnaruum atraktiivseks jalakäijakeskseks alaks ning loodud täiendavaid krui</w:t>
      </w:r>
      <w:r w:rsidR="00246A38" w:rsidRPr="1C92C443">
        <w:rPr>
          <w:rFonts w:eastAsiaTheme="minorEastAsia"/>
          <w:lang w:val="et"/>
        </w:rPr>
        <w:t>i</w:t>
      </w:r>
      <w:r w:rsidRPr="1C92C443">
        <w:rPr>
          <w:rFonts w:eastAsiaTheme="minorEastAsia"/>
          <w:lang w:val="et"/>
        </w:rPr>
        <w:t>situristidele huvipakkuvaid sihtkohti linna erinevatesse asukohtadesse koormuse hajutamiseks.</w:t>
      </w:r>
    </w:p>
    <w:p w14:paraId="051BF041" w14:textId="3B88028E" w:rsidR="006541AD" w:rsidRDefault="00695E62" w:rsidP="0054138F">
      <w:pPr>
        <w:spacing w:before="0"/>
        <w:jc w:val="both"/>
        <w:rPr>
          <w:rFonts w:eastAsiaTheme="minorEastAsia"/>
          <w:lang w:val="et"/>
        </w:rPr>
      </w:pPr>
      <w:r>
        <w:rPr>
          <w:rFonts w:eastAsiaTheme="minorEastAsia"/>
          <w:lang w:val="et"/>
        </w:rPr>
        <w:t xml:space="preserve">Eespool kirjeldatud mõjusid elukeskkonnale ja linnaruumile oleme </w:t>
      </w:r>
      <w:r w:rsidR="00354C67">
        <w:rPr>
          <w:rFonts w:eastAsiaTheme="minorEastAsia"/>
          <w:lang w:val="et"/>
        </w:rPr>
        <w:t xml:space="preserve">mõjude tugevuse ja </w:t>
      </w:r>
      <w:r w:rsidR="00841078">
        <w:rPr>
          <w:rFonts w:eastAsiaTheme="minorEastAsia"/>
          <w:lang w:val="et"/>
        </w:rPr>
        <w:t xml:space="preserve">sageduse vaates hinnanud erinevalt, </w:t>
      </w:r>
      <w:r w:rsidR="6DB6D534" w:rsidRPr="09877A4A">
        <w:rPr>
          <w:rFonts w:eastAsiaTheme="minorEastAsia"/>
          <w:lang w:val="et"/>
        </w:rPr>
        <w:t>sõltuva</w:t>
      </w:r>
      <w:r w:rsidR="35A5B9BD" w:rsidRPr="09877A4A">
        <w:rPr>
          <w:rFonts w:eastAsiaTheme="minorEastAsia"/>
          <w:lang w:val="et"/>
        </w:rPr>
        <w:t>l</w:t>
      </w:r>
      <w:r w:rsidR="6DB6D534" w:rsidRPr="09877A4A">
        <w:rPr>
          <w:rFonts w:eastAsiaTheme="minorEastAsia"/>
          <w:lang w:val="et"/>
        </w:rPr>
        <w:t>t</w:t>
      </w:r>
      <w:r w:rsidR="00841078">
        <w:rPr>
          <w:rFonts w:eastAsiaTheme="minorEastAsia"/>
          <w:lang w:val="et"/>
        </w:rPr>
        <w:t xml:space="preserve"> nende tavapärasest iseloomust. Valdavalt on tegemist perioodiliselt või ajutiselt avalduvate mõjudega</w:t>
      </w:r>
      <w:r w:rsidR="004D4FF8">
        <w:rPr>
          <w:rFonts w:eastAsiaTheme="minorEastAsia"/>
          <w:lang w:val="et"/>
        </w:rPr>
        <w:t xml:space="preserve"> (nt müra, liiklussurve, </w:t>
      </w:r>
      <w:r w:rsidR="00B22829">
        <w:rPr>
          <w:rFonts w:eastAsiaTheme="minorEastAsia"/>
          <w:lang w:val="et"/>
        </w:rPr>
        <w:t>prügi)</w:t>
      </w:r>
      <w:r w:rsidR="00841078">
        <w:rPr>
          <w:rFonts w:eastAsiaTheme="minorEastAsia"/>
          <w:lang w:val="et"/>
        </w:rPr>
        <w:t xml:space="preserve">, mis </w:t>
      </w:r>
      <w:r w:rsidR="00575907">
        <w:rPr>
          <w:rFonts w:eastAsiaTheme="minorEastAsia"/>
          <w:lang w:val="et"/>
        </w:rPr>
        <w:t>seonduvad mingite asjaolude kokkulangemisega või turismiperioodiga.</w:t>
      </w:r>
      <w:r w:rsidR="00B22829">
        <w:rPr>
          <w:rFonts w:eastAsiaTheme="minorEastAsia"/>
          <w:lang w:val="et"/>
        </w:rPr>
        <w:t xml:space="preserve"> Kuid esineb ka püsiva iseloomuga mõjusid</w:t>
      </w:r>
      <w:r w:rsidR="00D44BF1">
        <w:rPr>
          <w:rFonts w:eastAsiaTheme="minorEastAsia"/>
          <w:lang w:val="et"/>
        </w:rPr>
        <w:t xml:space="preserve"> nagu </w:t>
      </w:r>
      <w:r w:rsidR="003E3EB4">
        <w:rPr>
          <w:rFonts w:eastAsiaTheme="minorEastAsia"/>
          <w:lang w:val="et"/>
        </w:rPr>
        <w:t xml:space="preserve">näiteks </w:t>
      </w:r>
      <w:r w:rsidR="00D44BF1">
        <w:rPr>
          <w:rFonts w:eastAsiaTheme="minorEastAsia"/>
          <w:lang w:val="et"/>
        </w:rPr>
        <w:t>kogukonnatunde vähenemine.</w:t>
      </w:r>
      <w:r w:rsidR="00CE53BB">
        <w:rPr>
          <w:rFonts w:eastAsiaTheme="minorEastAsia"/>
          <w:lang w:val="et"/>
        </w:rPr>
        <w:t xml:space="preserve"> Arvestades</w:t>
      </w:r>
      <w:r w:rsidR="00C66234">
        <w:rPr>
          <w:rFonts w:eastAsiaTheme="minorEastAsia"/>
          <w:lang w:val="et"/>
        </w:rPr>
        <w:t xml:space="preserve"> turismi </w:t>
      </w:r>
      <w:r w:rsidR="006C325D">
        <w:rPr>
          <w:rFonts w:eastAsiaTheme="minorEastAsia"/>
          <w:lang w:val="et"/>
        </w:rPr>
        <w:t>kogu</w:t>
      </w:r>
      <w:r w:rsidR="00C66234">
        <w:rPr>
          <w:rFonts w:eastAsiaTheme="minorEastAsia"/>
          <w:lang w:val="et"/>
        </w:rPr>
        <w:t>mahte Eestis</w:t>
      </w:r>
      <w:r w:rsidR="00B03B85">
        <w:rPr>
          <w:rFonts w:eastAsiaTheme="minorEastAsia"/>
          <w:lang w:val="et"/>
        </w:rPr>
        <w:t xml:space="preserve"> ja lühiajalise üüri</w:t>
      </w:r>
      <w:r w:rsidR="008B04C5">
        <w:rPr>
          <w:rFonts w:eastAsiaTheme="minorEastAsia"/>
          <w:lang w:val="et"/>
        </w:rPr>
        <w:t>misega tegelevate majutuskohtade</w:t>
      </w:r>
      <w:r w:rsidR="00B03B85">
        <w:rPr>
          <w:rFonts w:eastAsiaTheme="minorEastAsia"/>
          <w:lang w:val="et"/>
        </w:rPr>
        <w:t xml:space="preserve"> paiknemist Eestis</w:t>
      </w:r>
      <w:r w:rsidR="00C66234">
        <w:rPr>
          <w:rFonts w:eastAsiaTheme="minorEastAsia"/>
          <w:lang w:val="et"/>
        </w:rPr>
        <w:t>, hin</w:t>
      </w:r>
      <w:r w:rsidR="0067511F">
        <w:rPr>
          <w:rFonts w:eastAsiaTheme="minorEastAsia"/>
          <w:lang w:val="et"/>
        </w:rPr>
        <w:t>dasime</w:t>
      </w:r>
      <w:r w:rsidR="00C66234">
        <w:rPr>
          <w:rFonts w:eastAsiaTheme="minorEastAsia"/>
          <w:lang w:val="et"/>
        </w:rPr>
        <w:t xml:space="preserve"> me ka liiklusega seond</w:t>
      </w:r>
      <w:r w:rsidR="0067511F">
        <w:rPr>
          <w:rFonts w:eastAsiaTheme="minorEastAsia"/>
          <w:lang w:val="et"/>
        </w:rPr>
        <w:t>u</w:t>
      </w:r>
      <w:r w:rsidR="00C66234">
        <w:rPr>
          <w:rFonts w:eastAsiaTheme="minorEastAsia"/>
          <w:lang w:val="et"/>
        </w:rPr>
        <w:t xml:space="preserve">vaid </w:t>
      </w:r>
      <w:r w:rsidR="0067511F">
        <w:rPr>
          <w:rFonts w:eastAsiaTheme="minorEastAsia"/>
          <w:lang w:val="et"/>
        </w:rPr>
        <w:t>häiringuid pigem nõrgaks</w:t>
      </w:r>
      <w:r w:rsidR="00AF7F1C">
        <w:rPr>
          <w:rFonts w:eastAsiaTheme="minorEastAsia"/>
          <w:lang w:val="et"/>
        </w:rPr>
        <w:t>, samas mõõduka</w:t>
      </w:r>
      <w:r w:rsidR="00FD54C1">
        <w:rPr>
          <w:rFonts w:eastAsiaTheme="minorEastAsia"/>
          <w:lang w:val="et"/>
        </w:rPr>
        <w:t>d</w:t>
      </w:r>
      <w:r w:rsidR="00AF7F1C">
        <w:rPr>
          <w:rFonts w:eastAsiaTheme="minorEastAsia"/>
          <w:lang w:val="et"/>
        </w:rPr>
        <w:t xml:space="preserve"> mõjud avalduvad </w:t>
      </w:r>
      <w:r w:rsidR="00312DEF">
        <w:rPr>
          <w:rFonts w:eastAsiaTheme="minorEastAsia"/>
          <w:lang w:val="et"/>
        </w:rPr>
        <w:t>elukeskkonnale turistide poolt tekitatud müra, prügi</w:t>
      </w:r>
      <w:r w:rsidR="00364603">
        <w:rPr>
          <w:rFonts w:eastAsiaTheme="minorEastAsia"/>
          <w:lang w:val="et"/>
        </w:rPr>
        <w:t xml:space="preserve">, kogukonnatunde, </w:t>
      </w:r>
      <w:r w:rsidR="00327491">
        <w:rPr>
          <w:rFonts w:eastAsiaTheme="minorEastAsia"/>
          <w:lang w:val="et"/>
        </w:rPr>
        <w:t>Pärnus ka</w:t>
      </w:r>
      <w:r w:rsidR="000A2E09">
        <w:rPr>
          <w:rFonts w:eastAsiaTheme="minorEastAsia"/>
          <w:lang w:val="et"/>
        </w:rPr>
        <w:t xml:space="preserve"> turismivälisel perioodil pikalt tühjana seisvate korterite kaudu.</w:t>
      </w:r>
    </w:p>
    <w:p w14:paraId="4923FBBE" w14:textId="5C71C326" w:rsidR="006541AD" w:rsidRDefault="006541AD" w:rsidP="00907CBE">
      <w:pPr>
        <w:pStyle w:val="Heading3"/>
        <w:rPr>
          <w:rFonts w:hint="eastAsia"/>
        </w:rPr>
      </w:pPr>
      <w:bookmarkStart w:id="139" w:name="_Toc208991627"/>
      <w:r w:rsidRPr="00B54A22">
        <w:t>Mõju avalikule sektorile</w:t>
      </w:r>
      <w:bookmarkEnd w:id="139"/>
    </w:p>
    <w:p w14:paraId="28855E99" w14:textId="6BD6D8CD" w:rsidR="00AE55AC" w:rsidRDefault="00AD511E" w:rsidP="00907CBE">
      <w:pPr>
        <w:jc w:val="both"/>
      </w:pPr>
      <w:r>
        <w:t>Lühiajalise üüri turu leviku m</w:t>
      </w:r>
      <w:r w:rsidR="007873DB">
        <w:t xml:space="preserve">õju avalikule sektorile hindasime </w:t>
      </w:r>
      <w:r>
        <w:t>nõrgaks</w:t>
      </w:r>
      <w:r w:rsidR="007A5DBA">
        <w:t xml:space="preserve">, sest uuringu põhjal võib üldistada, et </w:t>
      </w:r>
      <w:r w:rsidR="00473AC5">
        <w:t>mitmed</w:t>
      </w:r>
      <w:r w:rsidR="007A5DBA">
        <w:t xml:space="preserve"> avaliku sektori </w:t>
      </w:r>
      <w:r w:rsidR="00EB4AEF">
        <w:t>asutused</w:t>
      </w:r>
      <w:r w:rsidR="00DB1C13">
        <w:t xml:space="preserve">, kellel </w:t>
      </w:r>
      <w:r w:rsidR="00913EAD">
        <w:t>selle teemaga võiks olla olulisi kokkupuuteid,</w:t>
      </w:r>
      <w:r w:rsidR="007A5DBA">
        <w:t xml:space="preserve"> </w:t>
      </w:r>
      <w:r w:rsidR="0010258A">
        <w:t>pole pidanud vajalikuks ega võimalikuks</w:t>
      </w:r>
      <w:r w:rsidR="00473AC5">
        <w:t xml:space="preserve"> selle teemaga põhjalikumalt tegeleda</w:t>
      </w:r>
      <w:r w:rsidR="007A5DBA">
        <w:t xml:space="preserve">. </w:t>
      </w:r>
      <w:r w:rsidR="00F53160">
        <w:t xml:space="preserve">Järelevalveasutuste jaoks on selle peamine põhjus lühiajalise üüri teenuse pakkujatest ülevaate </w:t>
      </w:r>
      <w:r w:rsidR="00492CE5">
        <w:t>puudumine</w:t>
      </w:r>
      <w:r w:rsidR="00F53160">
        <w:t>.</w:t>
      </w:r>
      <w:r w:rsidR="009E35D2">
        <w:t xml:space="preserve"> Samas on ka senine suund poliitikakujundamise tasandil olnud </w:t>
      </w:r>
      <w:r w:rsidR="006D51CF">
        <w:t xml:space="preserve">pigem </w:t>
      </w:r>
      <w:r w:rsidR="009E35D2">
        <w:t>vaba tur</w:t>
      </w:r>
      <w:r w:rsidR="00BC7B4E">
        <w:t>g</w:t>
      </w:r>
      <w:r w:rsidR="009E35D2">
        <w:t>u toeta</w:t>
      </w:r>
      <w:r w:rsidR="00BC7B4E">
        <w:t>v</w:t>
      </w:r>
      <w:r w:rsidR="00EF2CF1">
        <w:t>.</w:t>
      </w:r>
      <w:r w:rsidR="00B56CCE">
        <w:t xml:space="preserve"> </w:t>
      </w:r>
      <w:r w:rsidR="001C681C">
        <w:t>O</w:t>
      </w:r>
      <w:r w:rsidR="00B56CCE">
        <w:t xml:space="preserve">sadel </w:t>
      </w:r>
      <w:r w:rsidR="00FB4584">
        <w:t>avaliku sektori organisatsioonidel</w:t>
      </w:r>
      <w:r w:rsidR="001C681C">
        <w:t xml:space="preserve"> on</w:t>
      </w:r>
      <w:r w:rsidR="005B31CC">
        <w:t xml:space="preserve"> tulenevalt oma tegevuseesmärkidest</w:t>
      </w:r>
      <w:r w:rsidR="00FB4584">
        <w:t xml:space="preserve"> tulnud selle teemaga siiski </w:t>
      </w:r>
      <w:r w:rsidR="00063824">
        <w:t xml:space="preserve">rohkem </w:t>
      </w:r>
      <w:r w:rsidR="00FB4584">
        <w:t xml:space="preserve">tegeleda ja sellest tulenevalt ka </w:t>
      </w:r>
      <w:r w:rsidR="009A298A">
        <w:t>selleks ressurssi kasuta</w:t>
      </w:r>
      <w:r w:rsidR="005B31CC">
        <w:t>d</w:t>
      </w:r>
      <w:r w:rsidR="009A298A">
        <w:t xml:space="preserve">a. Eelkõige on </w:t>
      </w:r>
      <w:r w:rsidR="005B31CC">
        <w:t>nendeks</w:t>
      </w:r>
      <w:r w:rsidR="009A298A">
        <w:t xml:space="preserve"> poliitikakujundamise tasandil Majandus- ja Kommunikatsiooniministeerium, </w:t>
      </w:r>
      <w:r w:rsidR="00435946">
        <w:t xml:space="preserve">kohalikul tasandil </w:t>
      </w:r>
      <w:r w:rsidR="00F00114">
        <w:t>Tallinna linn</w:t>
      </w:r>
      <w:r w:rsidR="005B31CC">
        <w:t xml:space="preserve">, </w:t>
      </w:r>
      <w:r w:rsidR="00063824">
        <w:t xml:space="preserve">platvormialase teabe vahetamisega seoses Maksu- ja Tolliametil, </w:t>
      </w:r>
      <w:r w:rsidR="005B31CC">
        <w:t xml:space="preserve">aga ka </w:t>
      </w:r>
      <w:r w:rsidR="0001620E">
        <w:t xml:space="preserve">Ettevõtluse ja Innovatsiooni Sihtasutus, kelle üheks ülesandeks on </w:t>
      </w:r>
      <w:r w:rsidR="0051122F">
        <w:t>suurendada Eesti atraktiivsust</w:t>
      </w:r>
      <w:r w:rsidR="006A6F17">
        <w:t xml:space="preserve"> turismi</w:t>
      </w:r>
      <w:r w:rsidR="0051122F">
        <w:t>piirkonnana.</w:t>
      </w:r>
      <w:r w:rsidR="006837C8">
        <w:t xml:space="preserve"> Seega kuigi teatud </w:t>
      </w:r>
      <w:r w:rsidR="0092753D">
        <w:t xml:space="preserve">täiendava </w:t>
      </w:r>
      <w:r w:rsidR="006837C8" w:rsidRPr="00FC12A0">
        <w:rPr>
          <w:b/>
          <w:bCs/>
        </w:rPr>
        <w:t>fiskaalse koormuse</w:t>
      </w:r>
      <w:r w:rsidR="006837C8">
        <w:t xml:space="preserve"> on </w:t>
      </w:r>
      <w:r w:rsidR="00DE1003">
        <w:t xml:space="preserve">muutused majutusturul toonud ka avalikul sektorile, hindame neid ulatuselt pigem piiratuks ja </w:t>
      </w:r>
      <w:r w:rsidR="006766BE">
        <w:t>püsivuselt perioodiliseks</w:t>
      </w:r>
      <w:r w:rsidR="00AE55AC">
        <w:t>.</w:t>
      </w:r>
    </w:p>
    <w:p w14:paraId="2C87ADAA" w14:textId="2C481ACC" w:rsidR="00507988" w:rsidRDefault="006556CB" w:rsidP="008A74C3">
      <w:pPr>
        <w:jc w:val="both"/>
      </w:pPr>
      <w:r w:rsidRPr="00FC12A0">
        <w:rPr>
          <w:b/>
          <w:bCs/>
        </w:rPr>
        <w:t>Fiskaalse</w:t>
      </w:r>
      <w:r w:rsidR="005C12BD" w:rsidRPr="00FC12A0">
        <w:rPr>
          <w:b/>
          <w:bCs/>
        </w:rPr>
        <w:t>tele</w:t>
      </w:r>
      <w:r w:rsidRPr="00FC12A0">
        <w:rPr>
          <w:b/>
          <w:bCs/>
        </w:rPr>
        <w:t xml:space="preserve"> t</w:t>
      </w:r>
      <w:r w:rsidR="00946550" w:rsidRPr="00FC12A0">
        <w:rPr>
          <w:b/>
          <w:bCs/>
        </w:rPr>
        <w:t>ulu</w:t>
      </w:r>
      <w:r w:rsidR="005C12BD" w:rsidRPr="00FC12A0">
        <w:rPr>
          <w:b/>
          <w:bCs/>
        </w:rPr>
        <w:t>dele</w:t>
      </w:r>
      <w:r w:rsidR="00946550">
        <w:t xml:space="preserve"> </w:t>
      </w:r>
      <w:r w:rsidR="00C04F88">
        <w:t>on lühiajali</w:t>
      </w:r>
      <w:r w:rsidR="005C12BD">
        <w:t>s</w:t>
      </w:r>
      <w:r w:rsidR="00C04F88">
        <w:t>e üürimi</w:t>
      </w:r>
      <w:r w:rsidR="005C12BD">
        <w:t>s</w:t>
      </w:r>
      <w:r w:rsidR="00C04F88">
        <w:t>e mõju</w:t>
      </w:r>
      <w:r w:rsidR="005C12BD">
        <w:t xml:space="preserve"> olnud n</w:t>
      </w:r>
      <w:r w:rsidR="00667557">
        <w:t>õ</w:t>
      </w:r>
      <w:r w:rsidR="005C12BD">
        <w:t>rk eelkõige</w:t>
      </w:r>
      <w:r w:rsidR="00F762A1">
        <w:t xml:space="preserve"> tulenevalt oma tagasihoidlikust </w:t>
      </w:r>
      <w:r w:rsidR="009977D5">
        <w:t xml:space="preserve">rahalisest mahust. Maksu- ja Tolliameti </w:t>
      </w:r>
      <w:r w:rsidR="008F12B0">
        <w:t>vahendusel saadud</w:t>
      </w:r>
      <w:r w:rsidR="009977D5">
        <w:t xml:space="preserve"> </w:t>
      </w:r>
      <w:r w:rsidR="00CE2F5E">
        <w:t xml:space="preserve">platvormialase teabe vahetuse andmete põhjal </w:t>
      </w:r>
      <w:r w:rsidR="00391F7E">
        <w:t>ulatus lühiajalise üürimise turumaht 2023. aastal 32 miljoni euroni.</w:t>
      </w:r>
      <w:r w:rsidR="00E83296">
        <w:t xml:space="preserve"> Näiteks kui võrrelda seda Maksu- ja Tolliameti</w:t>
      </w:r>
      <w:r w:rsidR="00B4060B">
        <w:rPr>
          <w:rStyle w:val="FootnoteReference"/>
        </w:rPr>
        <w:footnoteReference w:id="163"/>
      </w:r>
      <w:r w:rsidR="00E83296">
        <w:t xml:space="preserve"> hinnanguga </w:t>
      </w:r>
      <w:r w:rsidR="00E31873">
        <w:t>saamata jäänud tööjõumaksu</w:t>
      </w:r>
      <w:r w:rsidR="002A41E9">
        <w:t>dele 2024. aastal, mis o</w:t>
      </w:r>
      <w:r w:rsidR="35C599B5">
        <w:t>li</w:t>
      </w:r>
      <w:r w:rsidR="002A41E9">
        <w:t xml:space="preserve"> 106,</w:t>
      </w:r>
      <w:r w:rsidR="00B4060B">
        <w:t>8 miljonit eurot</w:t>
      </w:r>
      <w:r w:rsidR="00D25C9E">
        <w:t>, on tegemist suhteliselt tagasihoidliku suurusega.</w:t>
      </w:r>
      <w:r w:rsidR="00E87C69">
        <w:t xml:space="preserve"> Isegi kui eeldada</w:t>
      </w:r>
      <w:r w:rsidR="00AC3F5A">
        <w:t xml:space="preserve"> Eesti üldist maksukoormust arvestades, et ligikaudu kolmandik 32 miljonist eurost peaks laekuma maksudena riigile ja sellest </w:t>
      </w:r>
      <w:r w:rsidR="00D875AE">
        <w:t xml:space="preserve">omakorda kolmandik jäetakse </w:t>
      </w:r>
      <w:r w:rsidR="00A05142">
        <w:t xml:space="preserve">kas </w:t>
      </w:r>
      <w:r w:rsidR="00D875AE">
        <w:t xml:space="preserve">teadmatusest, tulude varjamise </w:t>
      </w:r>
      <w:r w:rsidR="00A05142">
        <w:t>eesmärgil</w:t>
      </w:r>
      <w:r w:rsidR="00D875AE">
        <w:t xml:space="preserve"> või</w:t>
      </w:r>
      <w:r w:rsidR="003320B9">
        <w:t xml:space="preserve"> muul moel</w:t>
      </w:r>
      <w:r w:rsidR="00D875AE">
        <w:t xml:space="preserve"> kohustusest kõrvalehiilimise </w:t>
      </w:r>
      <w:r w:rsidR="003320B9">
        <w:t>vormis tasumata</w:t>
      </w:r>
      <w:r w:rsidR="00B624A5">
        <w:rPr>
          <w:rStyle w:val="FootnoteReference"/>
        </w:rPr>
        <w:footnoteReference w:id="164"/>
      </w:r>
      <w:r w:rsidR="003320B9">
        <w:t xml:space="preserve">, ei ületaks saamata jäänud maksutulu </w:t>
      </w:r>
      <w:r w:rsidR="009B0930">
        <w:t>5 miljonit eurot</w:t>
      </w:r>
      <w:r w:rsidR="001B30C9">
        <w:t xml:space="preserve"> aastas</w:t>
      </w:r>
      <w:r w:rsidR="009B0930">
        <w:t>.</w:t>
      </w:r>
      <w:r w:rsidR="00CB404E">
        <w:t xml:space="preserve"> </w:t>
      </w:r>
    </w:p>
    <w:p w14:paraId="5808B77F" w14:textId="548297DA" w:rsidR="0083602A" w:rsidRDefault="00CB404E" w:rsidP="008A74C3">
      <w:pPr>
        <w:jc w:val="both"/>
      </w:pPr>
      <w:r>
        <w:lastRenderedPageBreak/>
        <w:t xml:space="preserve">Oluliseks võib see mõju potentsiaalselt </w:t>
      </w:r>
      <w:r w:rsidR="003B34DD">
        <w:t>osutuda küll regionaalselt, kui majanduslikult ma</w:t>
      </w:r>
      <w:r w:rsidR="00BC3198">
        <w:t>h</w:t>
      </w:r>
      <w:r w:rsidR="003B34DD">
        <w:t xml:space="preserve">ajäänumates piirkondades luuakse töökohti ja </w:t>
      </w:r>
      <w:r w:rsidR="00B27C7A">
        <w:t xml:space="preserve">teenitakse tulusid, mis võivad olla </w:t>
      </w:r>
      <w:r w:rsidR="009A6015">
        <w:t>suhteliselt oluliseks kohalikule omavalitsusele nii maksutulude suurenemise kui ka</w:t>
      </w:r>
      <w:r w:rsidR="00A91024">
        <w:t xml:space="preserve"> kohalike elanike</w:t>
      </w:r>
      <w:r w:rsidR="00712B73">
        <w:t xml:space="preserve"> </w:t>
      </w:r>
      <w:r w:rsidR="00D214DB">
        <w:t xml:space="preserve">majandusliku </w:t>
      </w:r>
      <w:r w:rsidR="00712B73">
        <w:t>toimetulekuga seotud</w:t>
      </w:r>
      <w:r w:rsidR="009A6015">
        <w:t xml:space="preserve"> </w:t>
      </w:r>
      <w:r w:rsidR="00C537E0">
        <w:t>fiskaalkoormuse vähenemise kaudu.</w:t>
      </w:r>
      <w:r w:rsidR="006A6F17">
        <w:t xml:space="preserve"> </w:t>
      </w:r>
      <w:r w:rsidR="00A85156">
        <w:t>Kuigi tuvastasime</w:t>
      </w:r>
      <w:r w:rsidR="00362ECE">
        <w:t xml:space="preserve"> ökonomeetrilise analüüsiga, et need mõjud on teatud ulatuses jõudnud ka väiksematesse Eesti omavalitsustesse</w:t>
      </w:r>
      <w:r w:rsidR="00E85864">
        <w:t xml:space="preserve"> ja võime </w:t>
      </w:r>
      <w:r w:rsidR="00881FE9">
        <w:t xml:space="preserve">neid seetõttu </w:t>
      </w:r>
      <w:r w:rsidR="00E85864">
        <w:t>hinnata püsiva</w:t>
      </w:r>
      <w:r w:rsidR="00881FE9">
        <w:t>ks</w:t>
      </w:r>
      <w:r w:rsidR="00E85864">
        <w:t xml:space="preserve"> ja ulatuselt laia</w:t>
      </w:r>
      <w:r w:rsidR="00881FE9">
        <w:t>ks</w:t>
      </w:r>
      <w:r w:rsidR="00362ECE">
        <w:t xml:space="preserve">, on </w:t>
      </w:r>
      <w:r w:rsidR="00881FE9">
        <w:t>lühiajali</w:t>
      </w:r>
      <w:r w:rsidR="00780264">
        <w:t>n</w:t>
      </w:r>
      <w:r w:rsidR="00881FE9">
        <w:t>e üürimi</w:t>
      </w:r>
      <w:r w:rsidR="00780264">
        <w:t>n</w:t>
      </w:r>
      <w:r w:rsidR="00881FE9">
        <w:t xml:space="preserve">e </w:t>
      </w:r>
      <w:r w:rsidR="00780264">
        <w:t>valdavalt</w:t>
      </w:r>
      <w:r w:rsidR="00881FE9">
        <w:t xml:space="preserve"> koondu</w:t>
      </w:r>
      <w:r w:rsidR="00780264">
        <w:t>nud</w:t>
      </w:r>
      <w:r w:rsidR="00881FE9">
        <w:t xml:space="preserve"> atraktiivsematesse turismipiirkondadesse Eestis</w:t>
      </w:r>
      <w:r w:rsidR="00826B5A">
        <w:t>. Kuigi teatud sektorite</w:t>
      </w:r>
      <w:r w:rsidR="006D33A1">
        <w:t>s</w:t>
      </w:r>
      <w:r w:rsidR="00CA7E61">
        <w:t xml:space="preserve"> (majutus, toitlustus)</w:t>
      </w:r>
      <w:r w:rsidR="000C0C3E">
        <w:t xml:space="preserve"> </w:t>
      </w:r>
      <w:r w:rsidR="006D33A1">
        <w:t>on lühiajalise</w:t>
      </w:r>
      <w:r w:rsidR="006105CD">
        <w:t>l</w:t>
      </w:r>
      <w:r w:rsidR="006D33A1">
        <w:t xml:space="preserve"> üürimis</w:t>
      </w:r>
      <w:r w:rsidR="006105CD">
        <w:t>el juba praegu tuntav mõju</w:t>
      </w:r>
      <w:r w:rsidR="006D33A1">
        <w:t xml:space="preserve"> </w:t>
      </w:r>
      <w:r w:rsidR="000C0C3E">
        <w:t>tööhõivele</w:t>
      </w:r>
      <w:r w:rsidR="00CA7E61">
        <w:t xml:space="preserve"> </w:t>
      </w:r>
      <w:r w:rsidR="006105CD">
        <w:t>ka</w:t>
      </w:r>
      <w:r w:rsidR="00732412">
        <w:t xml:space="preserve"> Eesti suuremates linnades</w:t>
      </w:r>
      <w:r w:rsidR="00CA7E61">
        <w:t>, siis</w:t>
      </w:r>
      <w:r w:rsidR="00494222">
        <w:t xml:space="preserve"> selle </w:t>
      </w:r>
      <w:r w:rsidR="00186057">
        <w:t xml:space="preserve">fiskaalne </w:t>
      </w:r>
      <w:r w:rsidR="00494222">
        <w:t>koond</w:t>
      </w:r>
      <w:r w:rsidR="00186057">
        <w:t xml:space="preserve">mõju </w:t>
      </w:r>
      <w:r w:rsidR="002E7231">
        <w:t>jääb</w:t>
      </w:r>
      <w:r w:rsidR="00EC7110">
        <w:t xml:space="preserve"> turu suhteliselt tagasihoidliku mahu </w:t>
      </w:r>
      <w:r w:rsidR="00880463">
        <w:t>tõttu</w:t>
      </w:r>
      <w:r w:rsidR="002E7231">
        <w:t xml:space="preserve"> </w:t>
      </w:r>
      <w:r w:rsidR="00D0192F">
        <w:t>pigem</w:t>
      </w:r>
      <w:r w:rsidR="002E7231">
        <w:t xml:space="preserve"> ebaoluliseks</w:t>
      </w:r>
      <w:r w:rsidR="00881FE9">
        <w:t>.</w:t>
      </w:r>
      <w:r w:rsidR="00047DD7">
        <w:t xml:space="preserve"> Sama kehtib</w:t>
      </w:r>
      <w:r w:rsidR="002F7659">
        <w:t xml:space="preserve"> ka</w:t>
      </w:r>
      <w:r w:rsidR="00047DD7">
        <w:t xml:space="preserve"> </w:t>
      </w:r>
      <w:r w:rsidR="00266C2A">
        <w:t>tsentraalselt rahastatavate valitsussektori kulude kohta</w:t>
      </w:r>
      <w:r w:rsidR="002F7659">
        <w:t xml:space="preserve"> (nt läbi töötukassa), mi</w:t>
      </w:r>
      <w:r w:rsidR="00A67A92">
        <w:t>da lühiajalise üürimise</w:t>
      </w:r>
      <w:r w:rsidR="00F377B5">
        <w:t xml:space="preserve"> kaudu loodud töökohad </w:t>
      </w:r>
      <w:r w:rsidR="003963C5">
        <w:t xml:space="preserve">või </w:t>
      </w:r>
      <w:r w:rsidR="00383E6D">
        <w:t xml:space="preserve">osade </w:t>
      </w:r>
      <w:r w:rsidR="003963C5">
        <w:t xml:space="preserve">leibkondade </w:t>
      </w:r>
      <w:r w:rsidR="00383E6D">
        <w:t xml:space="preserve">parem toimetulek </w:t>
      </w:r>
      <w:r w:rsidR="00F8623F">
        <w:t>tuntavalt mõjutada ei saa</w:t>
      </w:r>
      <w:r w:rsidR="002F7659">
        <w:t>.</w:t>
      </w:r>
    </w:p>
    <w:p w14:paraId="54779898" w14:textId="2301A0A0" w:rsidR="002225C1" w:rsidRDefault="002225C1">
      <w:pPr>
        <w:spacing w:before="0" w:line="259" w:lineRule="auto"/>
      </w:pPr>
      <w:r>
        <w:br w:type="page"/>
      </w:r>
    </w:p>
    <w:p w14:paraId="0F9D83DF" w14:textId="2DF77639" w:rsidR="00DB7638" w:rsidRPr="00BD46FD" w:rsidRDefault="526E82E2" w:rsidP="00650AA9">
      <w:pPr>
        <w:pStyle w:val="Heading1"/>
        <w:rPr>
          <w:rFonts w:hint="eastAsia"/>
          <w:b/>
          <w:bCs/>
        </w:rPr>
      </w:pPr>
      <w:bookmarkStart w:id="140" w:name="_Toc208991628"/>
      <w:r w:rsidRPr="00BD46FD">
        <w:rPr>
          <w:b/>
          <w:bCs/>
        </w:rPr>
        <w:lastRenderedPageBreak/>
        <w:t>Poliitikasoovitused turu arengu toetamiseks</w:t>
      </w:r>
      <w:bookmarkEnd w:id="140"/>
    </w:p>
    <w:p w14:paraId="64706EA8" w14:textId="7BD275B7" w:rsidR="00E92F7E" w:rsidRPr="00E14EBC" w:rsidRDefault="00E92F7E" w:rsidP="00E92F7E">
      <w:pPr>
        <w:pStyle w:val="Heading2"/>
        <w:rPr>
          <w:rFonts w:hint="eastAsia"/>
        </w:rPr>
      </w:pPr>
      <w:bookmarkStart w:id="141" w:name="_Toc208991629"/>
      <w:r w:rsidRPr="00E14EBC">
        <w:t>Sekkumiste taust ja üldloogika</w:t>
      </w:r>
      <w:bookmarkEnd w:id="141"/>
    </w:p>
    <w:p w14:paraId="2062D768" w14:textId="3B1457DE" w:rsidR="00FF56A6" w:rsidRDefault="44C3E6B6" w:rsidP="00FF56A6">
      <w:pPr>
        <w:jc w:val="both"/>
      </w:pPr>
      <w:r>
        <w:t>Oleme eelnevates uuringu osades tuvastanud mitme</w:t>
      </w:r>
      <w:r w:rsidR="56BFC356">
        <w:t>i</w:t>
      </w:r>
      <w:r>
        <w:t xml:space="preserve">d lühiajalise üüri turul esinevaid probleeme ja andnud nende tõsidusele nii faktipõhise kui ka normatiivse hinnangu sekkumise vajaduse vaates. Selles peatükis pakume välja võimalikud lahendused, kuidas oleks nende probleemidega võimalik Eesti konteksti arvestades toime tulla. Sobiva sekkumise kavandamisel on oluline lisaks probleemi tuvastamisele mõista ka selle põhjuseid ning kujundada vastav sekkumismeede, mis seda probleemi aitaks leevendada. Sama oluline on sekkumise kavandamisel ka selle eesmärk, mida sellega soovitakse saavutada. Kuna lühiajalise üüri turu toimimisega kaasneb väga eriilmelisi probleeme, võivad erinevatel tasanditel ja piirkondades rakendatavate poliitikate puhul eesmärgid ja ka kontekst oluliselt varieeruda. Seetõttu </w:t>
      </w:r>
      <w:r w:rsidRPr="00894B1B">
        <w:rPr>
          <w:b/>
          <w:bCs/>
        </w:rPr>
        <w:t>tuleks kõik</w:t>
      </w:r>
      <w:r w:rsidR="0967BD36" w:rsidRPr="00894B1B">
        <w:rPr>
          <w:b/>
          <w:bCs/>
        </w:rPr>
        <w:t>i</w:t>
      </w:r>
      <w:r w:rsidRPr="00894B1B">
        <w:rPr>
          <w:b/>
          <w:bCs/>
        </w:rPr>
        <w:t xml:space="preserve"> selles peatükis esitatud soovitus</w:t>
      </w:r>
      <w:r w:rsidR="041401F2" w:rsidRPr="00894B1B">
        <w:rPr>
          <w:b/>
          <w:bCs/>
        </w:rPr>
        <w:t>i</w:t>
      </w:r>
      <w:r w:rsidRPr="00894B1B">
        <w:rPr>
          <w:b/>
          <w:bCs/>
        </w:rPr>
        <w:t xml:space="preserve"> enne nende rakendamist täiendavalt hinnata omavalitsuse või muu üksuse eesmärkidest lähtuvalt</w:t>
      </w:r>
      <w:r>
        <w:t>.</w:t>
      </w:r>
    </w:p>
    <w:p w14:paraId="0AEE6E9A" w14:textId="121696D9" w:rsidR="00FF56A6" w:rsidRDefault="44C3E6B6" w:rsidP="00FF56A6">
      <w:pPr>
        <w:jc w:val="both"/>
      </w:pPr>
      <w:r>
        <w:t xml:space="preserve">Selles analüüsis oleme soovituste väljatöötamisel lähtunud majandusliku efektiivsuse printsiibist ehk ideest leida võimalused </w:t>
      </w:r>
      <w:r w:rsidR="007972C4">
        <w:t xml:space="preserve">parandada </w:t>
      </w:r>
      <w:r>
        <w:t xml:space="preserve">turu </w:t>
      </w:r>
      <w:r w:rsidR="007972C4">
        <w:t xml:space="preserve">toimimise </w:t>
      </w:r>
      <w:r>
        <w:t>efektiiv</w:t>
      </w:r>
      <w:r w:rsidR="007972C4">
        <w:t>sust</w:t>
      </w:r>
      <w:r>
        <w:t xml:space="preserve"> ühiskonna vaatenurgast. Praktikas tähendab see seda, et fookuses ei ole mitte ühe konkreetse ja kitsa eesmärgi saavutamine, vaid olulised on ka selle kõrvalmõjud. Kui nt seada eesmärgiks tuleohutuse suurendamine, mis ka meie uuringuga tuvastatud mõjudes on üheks praeguseks probleemkohaks, siis võib selleks kujundada väga ranged tuleohutusnõuded kõikidele teenuse pakkujatele, mis aga jagamismajanduse vormis toimuval eluruumide üürimisel võib saada suureks takistuseks ja selle positiivse nähtuse suuresti turult välja suruda. Kui sekkumise eesmärk on efektiivsus, siis on ülesandeks leida võimalus tuleohutuse suurendami</w:t>
      </w:r>
      <w:r w:rsidR="39E1D7EF">
        <w:t>seks</w:t>
      </w:r>
      <w:r>
        <w:t xml:space="preserve"> selliselt, et sellest saadav ühiskondlik kasu ületaks sellega kaasneva ühiskondliku kulu. Me pole küll ühelegi soovitusele teinud eraldi kulu-tulu analüüsi nende ühiskondliku tasuvuse hindamiseks, kuid oleme lähtuvalt probleemist püüdnud leida lahenduse, mis lahendatavat probleemi </w:t>
      </w:r>
      <w:r w:rsidR="54CC1B71">
        <w:t xml:space="preserve">suudaks </w:t>
      </w:r>
      <w:r>
        <w:t xml:space="preserve">võimalikult vähese ressursikuluga kõigi osapoolte jaoks </w:t>
      </w:r>
      <w:r w:rsidR="003569A8">
        <w:t xml:space="preserve">vähemalt </w:t>
      </w:r>
      <w:r>
        <w:t xml:space="preserve">leevendada. Loomulikult on </w:t>
      </w:r>
      <w:r w:rsidRPr="00894B1B">
        <w:rPr>
          <w:b/>
          <w:bCs/>
        </w:rPr>
        <w:t>poliitikakujundajal otstarbekas iga sekkumist eraldi vastavalt kontekstile ja lahendatava probleemi suurusele kaaluda ja vajadusel teostada sekkumisele tasuvusanalüüs</w:t>
      </w:r>
      <w:r w:rsidR="00230098">
        <w:rPr>
          <w:b/>
          <w:bCs/>
        </w:rPr>
        <w:t xml:space="preserve"> kas kogu ühiskonna või konkreetse piirkonna vaates</w:t>
      </w:r>
      <w:r>
        <w:t>.</w:t>
      </w:r>
    </w:p>
    <w:p w14:paraId="7815B7CC" w14:textId="5B5799ED" w:rsidR="00FF56A6" w:rsidRDefault="44C3E6B6" w:rsidP="00FF56A6">
      <w:pPr>
        <w:jc w:val="both"/>
      </w:pPr>
      <w:r>
        <w:t xml:space="preserve">Sekkumisalternatiivide sünteesimisel analüüsisime ka erinevaid </w:t>
      </w:r>
      <w:r w:rsidRPr="009620F8">
        <w:rPr>
          <w:b/>
        </w:rPr>
        <w:t>sekkumise tüpoloogiaid</w:t>
      </w:r>
      <w:r>
        <w:t xml:space="preserve"> teadusuuringute põhjal, kuna üsna paljudes riikides on juba püütud lühiajalise üüri turgu erinevate poliitikainstrumentidega mõjutada, mistõttu on nende loogika ja ülesehitus pälvinud ka teadusuuringutes tähelepanu</w:t>
      </w:r>
      <w:r w:rsidR="00230098">
        <w:t>.</w:t>
      </w:r>
      <w:r w:rsidR="00FF56A6">
        <w:rPr>
          <w:rStyle w:val="FootnoteReference"/>
        </w:rPr>
        <w:footnoteReference w:id="165"/>
      </w:r>
      <w:r w:rsidRPr="007C0E2C">
        <w:rPr>
          <w:vertAlign w:val="superscript"/>
        </w:rPr>
        <w:t>,</w:t>
      </w:r>
      <w:r w:rsidR="00FF56A6">
        <w:rPr>
          <w:rStyle w:val="FootnoteReference"/>
        </w:rPr>
        <w:footnoteReference w:id="166"/>
      </w:r>
      <w:r w:rsidRPr="007C0E2C">
        <w:rPr>
          <w:vertAlign w:val="superscript"/>
        </w:rPr>
        <w:t>,</w:t>
      </w:r>
      <w:r w:rsidR="00FF56A6">
        <w:rPr>
          <w:rStyle w:val="FootnoteReference"/>
        </w:rPr>
        <w:footnoteReference w:id="167"/>
      </w:r>
      <w:r>
        <w:t xml:space="preserve"> Nendest ülevaadetest ilmneb, et sekkumised jäävad tüüpiliselt kahe äärmuslik</w:t>
      </w:r>
      <w:r w:rsidR="4A0454A7">
        <w:t>u</w:t>
      </w:r>
      <w:r>
        <w:t xml:space="preserve"> lähenemise vahele: </w:t>
      </w:r>
      <w:r w:rsidRPr="288A3578">
        <w:rPr>
          <w:i/>
          <w:iCs/>
        </w:rPr>
        <w:t>laissez-faire</w:t>
      </w:r>
      <w:r>
        <w:t xml:space="preserve"> </w:t>
      </w:r>
      <w:r w:rsidR="004D4520">
        <w:t xml:space="preserve">ehk vabaturumajanduslikud </w:t>
      </w:r>
      <w:r>
        <w:lastRenderedPageBreak/>
        <w:t xml:space="preserve">sekkumised ühes ja täielik keeld teises otsas. Kõige leebemad </w:t>
      </w:r>
      <w:r w:rsidRPr="288A3578">
        <w:rPr>
          <w:i/>
          <w:iCs/>
        </w:rPr>
        <w:t>laissez-faire</w:t>
      </w:r>
      <w:r>
        <w:t xml:space="preserve"> sekkumised hõlmavad peamiselt lühiajalise üürimise defineerimist fiskaalseid eesmärke</w:t>
      </w:r>
      <w:r w:rsidR="00A83B42">
        <w:t xml:space="preserve"> </w:t>
      </w:r>
      <w:r w:rsidR="001576E9">
        <w:t>(</w:t>
      </w:r>
      <w:r w:rsidR="00A83B42">
        <w:t>maksutulude</w:t>
      </w:r>
      <w:r w:rsidR="00B408CE">
        <w:t xml:space="preserve"> või registreerimistasu</w:t>
      </w:r>
      <w:r w:rsidR="00A83B42">
        <w:t xml:space="preserve"> kogumist</w:t>
      </w:r>
      <w:r w:rsidR="001576E9">
        <w:t>)</w:t>
      </w:r>
      <w:r>
        <w:t xml:space="preserve"> </w:t>
      </w:r>
      <w:r w:rsidR="00DC3B87">
        <w:t>arvestades</w:t>
      </w:r>
      <w:r>
        <w:t xml:space="preserve">, aga neile mingeid piiranguid mitte seades. Samas võib </w:t>
      </w:r>
      <w:r w:rsidRPr="288A3578">
        <w:rPr>
          <w:i/>
          <w:iCs/>
        </w:rPr>
        <w:t>laissez-faire</w:t>
      </w:r>
      <w:r>
        <w:t xml:space="preserve"> tüüpi sekkumiseks lugeda ka maksu </w:t>
      </w:r>
      <w:r w:rsidR="006B2B4D">
        <w:t>kehtestamist</w:t>
      </w:r>
      <w:r w:rsidR="00265B2F">
        <w:t xml:space="preserve"> või traditsioonili</w:t>
      </w:r>
      <w:r w:rsidR="006B2B4D">
        <w:t>stele majutusteenustele kehtivate maksude laiendamist lühiajalisele üürimisele</w:t>
      </w:r>
      <w:r w:rsidR="00AA0101">
        <w:t xml:space="preserve"> </w:t>
      </w:r>
      <w:r>
        <w:t>ilma igasuguse registreerimise vms kohustuseta</w:t>
      </w:r>
      <w:r w:rsidR="00FF56A6">
        <w:rPr>
          <w:rStyle w:val="FootnoteReference"/>
        </w:rPr>
        <w:footnoteReference w:id="168"/>
      </w:r>
      <w:r>
        <w:t xml:space="preserve">, kus maksude kogumisel tuginetakse peaasjalikult koostööle </w:t>
      </w:r>
      <w:r w:rsidR="00B8405C">
        <w:t>platvormidega</w:t>
      </w:r>
      <w:r>
        <w:t xml:space="preserve">. </w:t>
      </w:r>
    </w:p>
    <w:p w14:paraId="7439139A" w14:textId="6990B98E" w:rsidR="00FF56A6" w:rsidRDefault="44C3E6B6" w:rsidP="00FF56A6">
      <w:pPr>
        <w:jc w:val="both"/>
      </w:pPr>
      <w:r>
        <w:t xml:space="preserve">Liikudes </w:t>
      </w:r>
      <w:r w:rsidRPr="288A3578">
        <w:rPr>
          <w:i/>
          <w:iCs/>
        </w:rPr>
        <w:t>laissez-faire</w:t>
      </w:r>
      <w:r>
        <w:t xml:space="preserve"> ja keeldude teljel veidi keeldude suunas, või</w:t>
      </w:r>
      <w:r w:rsidR="0023239B">
        <w:t>dak</w:t>
      </w:r>
      <w:r w:rsidR="00D3485C">
        <w:t>se</w:t>
      </w:r>
      <w:r>
        <w:t xml:space="preserve"> rakenda</w:t>
      </w:r>
      <w:r w:rsidR="00D3485C">
        <w:t>da</w:t>
      </w:r>
      <w:r>
        <w:t xml:space="preserve"> teatud registreerimis- või loakohustuse nõuded ilma mingite täiendavate piiranguteta, mi</w:t>
      </w:r>
      <w:r w:rsidR="00EA169C">
        <w:t>lle sihiks</w:t>
      </w:r>
      <w:r>
        <w:t xml:space="preserve"> oleks eelkõige järelevalve tagami</w:t>
      </w:r>
      <w:r w:rsidR="00EA169C">
        <w:t>ne</w:t>
      </w:r>
      <w:r>
        <w:t>, nt maksude kogumisel. Samamoodi võib lähenemist, mille korral kõiki lühiajaliseks üürimiseks kasutatavaid eluruume koheldakse ühtemoodi</w:t>
      </w:r>
      <w:r w:rsidR="00BF3B1E">
        <w:t xml:space="preserve"> lihtsate </w:t>
      </w:r>
      <w:r w:rsidR="003B3ECF">
        <w:t xml:space="preserve">reeglite </w:t>
      </w:r>
      <w:r w:rsidR="007803BF">
        <w:t>järgi</w:t>
      </w:r>
      <w:r>
        <w:t>, pidada pigem vaba turu poole kaldu poliitikaks. Samas</w:t>
      </w:r>
      <w:r w:rsidR="0359DE30">
        <w:t>,</w:t>
      </w:r>
      <w:r>
        <w:t xml:space="preserve"> kui soovitakse tagada eluruumide kättesaadavust, võidakse hakata tegema vahet sellel, kas eluruumi üürib välja seda elukohana kasutav omanik või on tegemist mitteelukohaga, mis viitab selgelt ettevõtluse alasele tegevusele. Seda reeglit saab kujundada veelgi rangemaks ja nõuda, et omanik peab ka samal ajal kohal olema, et nt tagada igasuguse müra jt probleemide korral omaniku kiire sekkumine. </w:t>
      </w:r>
    </w:p>
    <w:p w14:paraId="4CB1FCF2" w14:textId="4CDB4006" w:rsidR="00FF56A6" w:rsidRDefault="44C3E6B6" w:rsidP="00FF56A6">
      <w:pPr>
        <w:jc w:val="both"/>
      </w:pPr>
      <w:r>
        <w:t xml:space="preserve">Praktikas kasutatakse samas ka erinevaid kvantitatiivsed reegleid, nagu lubatud välja üüritavate päevade arv aastas (sh nt ilma teenusepakkuja kohaoluta), majutatute arvu piirang (nt maksimaalselt </w:t>
      </w:r>
      <w:r w:rsidR="00253318">
        <w:t>neli majutatut</w:t>
      </w:r>
      <w:r>
        <w:t>) või piiratakse seda, mitu pakkumist võib platvormidel olla ühe kuulutaja või ühe aadressi kohta. Lisaks saab piirata ka seda, kui suurt osa (nt kuni 50%) eluruumist võib üldse välja üürida. Kõiki neid piirangud saab muuta leebemast karmimaks, kuid need on peamiselt suunatud sellele, et kontrollida eluruumide kasutamist mittesihipäraselt ehk mitte püsiva elukohana, vaid tulu teenimise eesmärgil professionaalse tegevusena. Kui probleem, mida tahetakse lahendada, on seotud liigse turismisurvega mingis piirkonnas, astutakse juba samm veelgi lähemale keeldudele ja võidakse kasuta</w:t>
      </w:r>
      <w:r w:rsidR="6ACA92DC">
        <w:t>da</w:t>
      </w:r>
      <w:r>
        <w:t xml:space="preserve"> teatud tsoonides lühiajalise üürimise täielikku keeldu.</w:t>
      </w:r>
    </w:p>
    <w:p w14:paraId="6341AF72" w14:textId="1D84C3FC" w:rsidR="00FF56A6" w:rsidRDefault="44C3E6B6" w:rsidP="00FF56A6">
      <w:pPr>
        <w:jc w:val="both"/>
      </w:pPr>
      <w:r>
        <w:t xml:space="preserve">Oleme selle uuringu raames poliitikasoovituste struktureerimiseks välja töötanud </w:t>
      </w:r>
      <w:r w:rsidRPr="00BE179D">
        <w:rPr>
          <w:b/>
          <w:bCs/>
        </w:rPr>
        <w:t xml:space="preserve">originaalse sekkumiste </w:t>
      </w:r>
      <w:r w:rsidR="006F7F6B">
        <w:rPr>
          <w:b/>
          <w:bCs/>
        </w:rPr>
        <w:t xml:space="preserve">astmelise järjestuse ehk trepi </w:t>
      </w:r>
      <w:r w:rsidRPr="00BE179D">
        <w:rPr>
          <w:b/>
          <w:bCs/>
        </w:rPr>
        <w:t>loogika</w:t>
      </w:r>
      <w:r>
        <w:t xml:space="preserve">. See on esitatud joonisel </w:t>
      </w:r>
      <w:r w:rsidR="1811ACF0">
        <w:t>5</w:t>
      </w:r>
      <w:r>
        <w:t xml:space="preserve">, kus poliitikasoovitused on paigutatud </w:t>
      </w:r>
      <w:r w:rsidR="006F7F6B">
        <w:t xml:space="preserve">järjestusse </w:t>
      </w:r>
      <w:r>
        <w:t>vastavalt nende majutusteenuste turule sekkumise ulatusele, alustades (vasakult) kõige väiksemaid muudatusi nõudvate meetmetega ja liikudes kõige ulatuslikumalt turgu mõjutavate meetmete suunas.</w:t>
      </w:r>
      <w:r w:rsidR="00861A5D">
        <w:t xml:space="preserve"> See </w:t>
      </w:r>
      <w:r w:rsidR="00FA5829">
        <w:t xml:space="preserve">on </w:t>
      </w:r>
      <w:r w:rsidR="00861A5D">
        <w:t xml:space="preserve">siiski </w:t>
      </w:r>
      <w:r w:rsidR="00C347CA">
        <w:t>tinglik tõlgendus, sest ka</w:t>
      </w:r>
      <w:r w:rsidR="00CC3971">
        <w:t xml:space="preserve"> </w:t>
      </w:r>
      <w:r w:rsidR="00E00A60">
        <w:t xml:space="preserve">trepi </w:t>
      </w:r>
      <w:r w:rsidR="00FA5829">
        <w:t>alumised</w:t>
      </w:r>
      <w:r w:rsidR="00E00A60">
        <w:t xml:space="preserve"> astmed hõlmavad </w:t>
      </w:r>
      <w:r w:rsidR="00FA5829">
        <w:t>soovitusi</w:t>
      </w:r>
      <w:r w:rsidR="00C95BB6">
        <w:t>, mis eeldavad muudatusi osades õigusaktides</w:t>
      </w:r>
      <w:r w:rsidR="00DA0ED2">
        <w:t>, olles küll sisult turgu korrastava, mitte piirava iseloomuga.</w:t>
      </w:r>
      <w:r w:rsidR="00C347CA">
        <w:t xml:space="preserve"> </w:t>
      </w:r>
      <w:r>
        <w:t xml:space="preserve"> Võrreldes eespool kirjeldatud käsitlusega lühiajalise üürimise sekkumiste tüpoloogiast</w:t>
      </w:r>
      <w:r w:rsidR="22EC12D6">
        <w:t>,</w:t>
      </w:r>
      <w:r>
        <w:t xml:space="preserve"> oleme seda sekkumismeetmete osas oluliselt laiendanud. See hõlmab </w:t>
      </w:r>
      <w:r w:rsidR="00C80DF9">
        <w:t>lisaks</w:t>
      </w:r>
      <w:r>
        <w:t xml:space="preserve"> neid sekkumisi, mis võimaldavad lühiajalise üüri turgu mõjutada ka pehmete meetmetega. See loob eeldused turumehhanismi tugevuste maksimaalseks ärakasutamiseks, kuid samas aitab läbi turuosaliste käitumise mõjutamise korrigeerida </w:t>
      </w:r>
      <w:r>
        <w:lastRenderedPageBreak/>
        <w:t xml:space="preserve">turutõrkeid. See lähtub ka loogikast leida turule sekkumiseks võimalusi, mis hoiaksid kaasneva halduskoormuse võimalikult madalal. </w:t>
      </w:r>
    </w:p>
    <w:p w14:paraId="05A6562F" w14:textId="72B7EA37" w:rsidR="00EF7E49" w:rsidRPr="00BE179D" w:rsidRDefault="00FF56A6" w:rsidP="00FF56A6">
      <w:pPr>
        <w:jc w:val="both"/>
      </w:pPr>
      <w:r>
        <w:t xml:space="preserve">Kasutame </w:t>
      </w:r>
      <w:r w:rsidRPr="1C92C443">
        <w:rPr>
          <w:b/>
          <w:bCs/>
        </w:rPr>
        <w:t>sekkumiste struktureerimiseks trepi loogikat</w:t>
      </w:r>
      <w:r>
        <w:t>, kus esimesed kolm nn trepiastet puudutavad pigem olemasoleva keskkonna korrastamist, et saavutada õigusselgus, järelevalveasutuste jaoks turul toimuvast ülevaade ning nõustava</w:t>
      </w:r>
      <w:r w:rsidR="006043A0">
        <w:t>le</w:t>
      </w:r>
      <w:r>
        <w:t xml:space="preserve"> koostööle suunatud tugi avaliku sektori poolt. Järgmised kolm soovituste kimpu on seotud juba turule otsese sekkumisega, kus suurendatakse turul kõige vahetumalt negatiivseid mõjusid kandva grupi õiguseid või luuakse erinevaid stiimuleid ja mõõdukaid piiranguid turu ühiskonnale soovitud suunas mõjutamiseks. Kolmel kõige kõrgemal trepiastmel asuvad klassikalised sekkumismeetmed, mis hõlmavad mingis vormis teavitus</w:t>
      </w:r>
      <w:r w:rsidR="00D011E6">
        <w:t>-</w:t>
      </w:r>
      <w:r>
        <w:t xml:space="preserve"> või registreerimissüsteemi loom</w:t>
      </w:r>
      <w:r w:rsidR="00DC4451">
        <w:t>i</w:t>
      </w:r>
      <w:r>
        <w:t>st või tasude ja piiravate või keelavate reeglite kehtestamist.</w:t>
      </w:r>
      <w:r w:rsidR="00D93B76">
        <w:t xml:space="preserve"> </w:t>
      </w:r>
      <w:r w:rsidR="001733A7">
        <w:t xml:space="preserve">Kuna erinevates </w:t>
      </w:r>
      <w:r w:rsidR="00757E28">
        <w:t>Eesti piirkondades võib</w:t>
      </w:r>
      <w:r w:rsidR="25D8B242">
        <w:t xml:space="preserve"> olla</w:t>
      </w:r>
      <w:r w:rsidR="00757E28">
        <w:t xml:space="preserve"> ja selle uuringu järgi ongi vajadus turule sekkumiseks erinev, siis </w:t>
      </w:r>
      <w:r w:rsidR="0077709B">
        <w:t>aitab</w:t>
      </w:r>
      <w:r w:rsidR="00757E28">
        <w:t xml:space="preserve"> selline sekkumiste </w:t>
      </w:r>
      <w:r w:rsidR="00150641">
        <w:t xml:space="preserve">struktureerimine </w:t>
      </w:r>
      <w:r w:rsidR="008602BA">
        <w:t>tuvastada ilmnenud probleemile sobivaima lahenduse.</w:t>
      </w:r>
      <w:r w:rsidR="00095D98">
        <w:t xml:space="preserve"> Samas näeme, et </w:t>
      </w:r>
      <w:r w:rsidR="00095D98" w:rsidRPr="00B54A22">
        <w:rPr>
          <w:b/>
          <w:bCs/>
        </w:rPr>
        <w:t xml:space="preserve">sõltumata piirkonnast, võiks lahenduste disainimisel alustada alumistest trepiastmetest ja liikuda kõrgemale, kui need </w:t>
      </w:r>
      <w:r w:rsidR="00E17B08" w:rsidRPr="00B54A22">
        <w:rPr>
          <w:b/>
          <w:bCs/>
        </w:rPr>
        <w:t>on juba praktikas läbi katsetatud või ei võimalda olemasoleva probleemiga vajalikul määral tulemuslikult tegeleda</w:t>
      </w:r>
      <w:r w:rsidR="00E17B08">
        <w:t xml:space="preserve">. </w:t>
      </w:r>
    </w:p>
    <w:p w14:paraId="25A7F471" w14:textId="660B5A71" w:rsidR="00DB7638" w:rsidRPr="00E14EBC" w:rsidRDefault="19DC80A6" w:rsidP="00B54A22">
      <w:pPr>
        <w:pStyle w:val="TableTitle"/>
      </w:pPr>
      <w:r w:rsidRPr="288A3578">
        <w:rPr>
          <w:rStyle w:val="PurpleText"/>
        </w:rPr>
        <w:t>Joonis</w:t>
      </w:r>
      <w:r>
        <w:t xml:space="preserve"> </w:t>
      </w:r>
      <w:r w:rsidR="094B3C28">
        <w:t>5</w:t>
      </w:r>
      <w:r>
        <w:t xml:space="preserve">. Turule sekkumiste </w:t>
      </w:r>
      <w:r w:rsidR="006F7F6B">
        <w:t>astmeline järjestus</w:t>
      </w:r>
    </w:p>
    <w:p w14:paraId="5F2C6F88" w14:textId="697C9A67" w:rsidR="000B0B7B" w:rsidRDefault="008A0A20" w:rsidP="00872DC3">
      <w:pPr>
        <w:jc w:val="both"/>
      </w:pPr>
      <w:r w:rsidRPr="008A0A20">
        <w:rPr>
          <w:noProof/>
        </w:rPr>
        <w:drawing>
          <wp:inline distT="0" distB="0" distL="0" distR="0" wp14:anchorId="6C3C619E" wp14:editId="781FC973">
            <wp:extent cx="6516370" cy="1698625"/>
            <wp:effectExtent l="0" t="0" r="0" b="0"/>
            <wp:docPr id="1552651460" name="Picture 1" descr="A green and white rectangular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51460" name="Picture 1" descr="A green and white rectangular box with black text&#10;&#10;AI-generated content may be incorrect."/>
                    <pic:cNvPicPr/>
                  </pic:nvPicPr>
                  <pic:blipFill>
                    <a:blip r:embed="rId22"/>
                    <a:stretch>
                      <a:fillRect/>
                    </a:stretch>
                  </pic:blipFill>
                  <pic:spPr>
                    <a:xfrm>
                      <a:off x="0" y="0"/>
                      <a:ext cx="6516370" cy="1698625"/>
                    </a:xfrm>
                    <a:prstGeom prst="rect">
                      <a:avLst/>
                    </a:prstGeom>
                  </pic:spPr>
                </pic:pic>
              </a:graphicData>
            </a:graphic>
          </wp:inline>
        </w:drawing>
      </w:r>
    </w:p>
    <w:p w14:paraId="2FAF0951" w14:textId="31008AEA" w:rsidR="00872DC3" w:rsidRPr="00E14EBC" w:rsidRDefault="00872DC3" w:rsidP="00872DC3">
      <w:pPr>
        <w:jc w:val="both"/>
      </w:pPr>
      <w:r w:rsidRPr="00E14EBC">
        <w:t xml:space="preserve">Järgnevalt kirjeldame kõiki neid soovitusi lähemalt, tuues esile probleemi, mille lahendamisele on see suunatud, adressaadi, kes peaks seda rakendama, põhjenduse, miks selline soovitus aitab tuvastatud probleemi lahendata, </w:t>
      </w:r>
      <w:r w:rsidR="00E133A7">
        <w:t xml:space="preserve">ning oodatava </w:t>
      </w:r>
      <w:r w:rsidRPr="00E14EBC">
        <w:t xml:space="preserve">sekkumise mõju. Soovituste välja töötamisel oleme lähtunud loogikast, et tegemist on eraturuga, mis toimib läbi turumehhanismi suhteliselt hästi, kuid seal esineb teatud turutõrkeid, mille korrigeerimisega tuleb turu arengu ja efektiivse toimimise tagamiseks tegeleda. </w:t>
      </w:r>
    </w:p>
    <w:p w14:paraId="54B913FC" w14:textId="095F60E9" w:rsidR="00872DC3" w:rsidRPr="00E14EBC" w:rsidRDefault="54B6E299" w:rsidP="00E05412">
      <w:pPr>
        <w:jc w:val="both"/>
      </w:pPr>
      <w:r>
        <w:t>Samas arvestame ka Eesti kontekstiga ja püüame sekkumiste soovitamisel ära kasutada juba toim</w:t>
      </w:r>
      <w:r w:rsidR="4FDCA21F">
        <w:t>i</w:t>
      </w:r>
      <w:r>
        <w:t>vaid või varem toimi</w:t>
      </w:r>
      <w:r w:rsidR="00683BAE">
        <w:t>nud</w:t>
      </w:r>
      <w:r>
        <w:t xml:space="preserve"> süsteeme, et ei peaks hakkama looma täiesti uut regulatsiooni või </w:t>
      </w:r>
      <w:r w:rsidR="00CB0769">
        <w:t xml:space="preserve">ringi kujundama </w:t>
      </w:r>
      <w:r>
        <w:t>majandustegevust puudutava</w:t>
      </w:r>
      <w:r w:rsidR="005F4067">
        <w:t>id</w:t>
      </w:r>
      <w:r>
        <w:t xml:space="preserve"> </w:t>
      </w:r>
      <w:r w:rsidR="00CB0769">
        <w:t xml:space="preserve">õiguslikke </w:t>
      </w:r>
      <w:r w:rsidR="00670475">
        <w:t>põhimõtteid</w:t>
      </w:r>
      <w:r>
        <w:t>. Sihiks on leida võimalused turu tegevust võimalikult vähe häirides leevendada selle negatiivseid kõrvalmõjusid, kuid samal ajal võimendades selle positiivseid mõjusid nii majutussektoris kui ka väljapool seda teistes ühiskonna sfäärides.</w:t>
      </w:r>
    </w:p>
    <w:p w14:paraId="7FB5EC71" w14:textId="1B0B1F7F" w:rsidR="00D51E49" w:rsidRPr="00E14EBC" w:rsidRDefault="00D51E49" w:rsidP="00D51E49">
      <w:pPr>
        <w:pStyle w:val="Heading2"/>
        <w:rPr>
          <w:rFonts w:hint="eastAsia"/>
        </w:rPr>
      </w:pPr>
      <w:bookmarkStart w:id="142" w:name="_Toc208991630"/>
      <w:r w:rsidRPr="00E14EBC">
        <w:lastRenderedPageBreak/>
        <w:t xml:space="preserve">Sekkumiste </w:t>
      </w:r>
      <w:r w:rsidR="002A5B6B">
        <w:t>kirjeldus</w:t>
      </w:r>
      <w:r w:rsidR="0030699F">
        <w:t>ed</w:t>
      </w:r>
      <w:r w:rsidR="002A5B6B">
        <w:t xml:space="preserve"> ja </w:t>
      </w:r>
      <w:r w:rsidRPr="00E14EBC">
        <w:t>põhjendused</w:t>
      </w:r>
      <w:bookmarkEnd w:id="142"/>
      <w:r w:rsidRPr="00E14EBC">
        <w:t xml:space="preserve"> </w:t>
      </w:r>
    </w:p>
    <w:p w14:paraId="5B4090F9" w14:textId="417B2CCF" w:rsidR="00872DC3" w:rsidRPr="00E14EBC" w:rsidRDefault="00872DC3" w:rsidP="00D51E49">
      <w:pPr>
        <w:pStyle w:val="Heading3"/>
        <w:ind w:left="540"/>
        <w:rPr>
          <w:rFonts w:hint="eastAsia"/>
        </w:rPr>
      </w:pPr>
      <w:bookmarkStart w:id="143" w:name="_Toc208991631"/>
      <w:r w:rsidRPr="00E14EBC">
        <w:t>Lühiajalise üüri teenuse määratlemine ja sellele kohalduva</w:t>
      </w:r>
      <w:r w:rsidR="00386F69">
        <w:t>te</w:t>
      </w:r>
      <w:r w:rsidRPr="00E14EBC">
        <w:t xml:space="preserve"> normid</w:t>
      </w:r>
      <w:r w:rsidR="00386F69">
        <w:t>e selgitamine</w:t>
      </w:r>
      <w:bookmarkEnd w:id="143"/>
    </w:p>
    <w:p w14:paraId="0288D83B" w14:textId="6EE4EF2E" w:rsidR="00F278D1" w:rsidRDefault="54B6E299" w:rsidP="00872DC3">
      <w:pPr>
        <w:jc w:val="both"/>
      </w:pPr>
      <w:r w:rsidRPr="288A3578">
        <w:rPr>
          <w:b/>
          <w:bCs/>
        </w:rPr>
        <w:t>Teema</w:t>
      </w:r>
      <w:r w:rsidR="001A2661">
        <w:rPr>
          <w:b/>
          <w:bCs/>
        </w:rPr>
        <w:t xml:space="preserve"> </w:t>
      </w:r>
      <w:r w:rsidR="001A2661" w:rsidRPr="1688D34F">
        <w:rPr>
          <w:b/>
        </w:rPr>
        <w:t>|</w:t>
      </w:r>
      <w:r w:rsidR="001A2661">
        <w:rPr>
          <w:b/>
        </w:rPr>
        <w:t xml:space="preserve"> </w:t>
      </w:r>
      <w:r>
        <w:t xml:space="preserve">Lühiajalise üüri teenus kui nähtus on seotud nii eluaseme üürimise kui ka majutusteenuse pakkumisega. Ühelt poolt kasutatakse lühiajaliseks üürimiseks tüüpiliselt eluruumiks mõeldud ruume, kuid seda tehakse majutusteenuse vormis. Seetõttu on selle nähtuse määratlemine olnud keeruline nii terminoloogiliselt, õiguslikult kui ka sisuliselt. </w:t>
      </w:r>
      <w:r w:rsidR="005353B4">
        <w:t>TurS-</w:t>
      </w:r>
      <w:r w:rsidR="000A3F76">
        <w:t>i</w:t>
      </w:r>
      <w:r w:rsidR="005353B4">
        <w:t xml:space="preserve">s </w:t>
      </w:r>
      <w:r>
        <w:t xml:space="preserve">liigitub lühiajalise üürimise vormis osutatav majutusteenus üldjuhul külaliskorteri ja kodumajutuse vormis pakutavaks teenuseks. Samas </w:t>
      </w:r>
      <w:r w:rsidR="00916FA7">
        <w:t>on seadusandja mõte olnud</w:t>
      </w:r>
      <w:r>
        <w:t xml:space="preserve"> </w:t>
      </w:r>
      <w:r w:rsidR="005353B4">
        <w:t>TurS</w:t>
      </w:r>
      <w:r w:rsidR="00F90C38">
        <w:t>-ga määratleda</w:t>
      </w:r>
      <w:r w:rsidR="005353B4">
        <w:t xml:space="preserve"> </w:t>
      </w:r>
      <w:r>
        <w:t>majutusettevõtteks üksnes ne</w:t>
      </w:r>
      <w:r w:rsidR="00DF7E1B">
        <w:t>e</w:t>
      </w:r>
      <w:r>
        <w:t xml:space="preserve">d üksused, mille kaudu ettevõtja osutab majutusteenust oma majandus- või kutsetegevuse raames. </w:t>
      </w:r>
      <w:r w:rsidR="00046EFA">
        <w:t>Seetõttu ei kohald</w:t>
      </w:r>
      <w:r w:rsidR="00C138D8">
        <w:t>ata</w:t>
      </w:r>
      <w:r w:rsidR="00046EFA">
        <w:t xml:space="preserve"> neile ka majutusteenustele TurS-ga kehtestatud norm</w:t>
      </w:r>
      <w:r w:rsidR="00447307">
        <w:t>e</w:t>
      </w:r>
      <w:r w:rsidR="00046EFA">
        <w:t xml:space="preserve">. </w:t>
      </w:r>
      <w:r w:rsidR="004D45D0">
        <w:t xml:space="preserve">Meie õigusanalüüs näitas aga, et </w:t>
      </w:r>
      <w:r w:rsidR="00611027">
        <w:t xml:space="preserve">majutusteenuse osutaja määramisel ei ole </w:t>
      </w:r>
      <w:r w:rsidR="00324DFB">
        <w:t xml:space="preserve">olulised selle majanduslik iseloom ega püsivus, mistõttu </w:t>
      </w:r>
      <w:r w:rsidR="002250B4">
        <w:t xml:space="preserve">võib </w:t>
      </w:r>
      <w:r w:rsidR="0080240F">
        <w:t xml:space="preserve">ka juhuslikku laadi majutamine olla majutusteenus. </w:t>
      </w:r>
    </w:p>
    <w:p w14:paraId="570685E9" w14:textId="306C2E77" w:rsidR="00872DC3" w:rsidRPr="00E14EBC" w:rsidRDefault="00971B76" w:rsidP="00872DC3">
      <w:pPr>
        <w:jc w:val="both"/>
      </w:pPr>
      <w:r>
        <w:t>Lisaks tuleb arvesse võtta, et lühiajalise üüri teenus</w:t>
      </w:r>
      <w:r w:rsidR="0052728E">
        <w:t>e</w:t>
      </w:r>
      <w:r>
        <w:t xml:space="preserve"> pakku</w:t>
      </w:r>
      <w:r w:rsidR="0052728E">
        <w:t>mine</w:t>
      </w:r>
      <w:r w:rsidR="002E4C6E">
        <w:t xml:space="preserve"> võibki toimuda sageli</w:t>
      </w:r>
      <w:r>
        <w:t xml:space="preserve"> ajutiselt</w:t>
      </w:r>
      <w:r w:rsidR="002E4C6E">
        <w:t xml:space="preserve">, aga ka siis </w:t>
      </w:r>
      <w:r>
        <w:t xml:space="preserve">tulu saamise eesmärgil. Sisuliselt ongi sellest tegevusvormist kujunenud eraldi majandustegevuse liik, üks jagamismajanduse ja majutussektori allsektor, mis sisulises mõttes on majutusteenus ja konkureerib traditsiooniliste majutusteenuste osutajatega, sh hotellidega, isegi kui tegemist on ebaregulaarse ja ajutise tegevusega. </w:t>
      </w:r>
      <w:r w:rsidR="003B1A8A">
        <w:t>Seega</w:t>
      </w:r>
      <w:r w:rsidR="005D5A16">
        <w:t>, kuigi</w:t>
      </w:r>
      <w:r w:rsidR="003B1A8A">
        <w:t xml:space="preserve"> </w:t>
      </w:r>
      <w:r w:rsidR="005D5A16">
        <w:t>k</w:t>
      </w:r>
      <w:r w:rsidR="003B1A8A">
        <w:t>ehtiv TurS</w:t>
      </w:r>
      <w:r w:rsidR="54B6E299">
        <w:t xml:space="preserve"> võimaldab paljudel lühiajalise üüri teenust osutavatel majutusteenuse pakkujatel määratleda </w:t>
      </w:r>
      <w:r w:rsidR="00E11A79">
        <w:t>ennast</w:t>
      </w:r>
      <w:r w:rsidR="54B6E299">
        <w:t xml:space="preserve"> mittemajutusettevõt</w:t>
      </w:r>
      <w:r w:rsidR="00E11A79">
        <w:t>jana</w:t>
      </w:r>
      <w:r w:rsidR="54B6E299">
        <w:t>, kuna teenust osutatakse pigem ebaregulaarse</w:t>
      </w:r>
      <w:r w:rsidR="00D35C9E">
        <w:t>lt</w:t>
      </w:r>
      <w:r w:rsidR="54B6E299">
        <w:t xml:space="preserve"> ja mittepüsivalt ehk väljaspool kutse- ja majandustegevust</w:t>
      </w:r>
      <w:r w:rsidR="005D5A16">
        <w:t xml:space="preserve">, </w:t>
      </w:r>
      <w:r w:rsidR="008D40D8">
        <w:t xml:space="preserve">valitseb turul </w:t>
      </w:r>
      <w:r w:rsidR="00320B32">
        <w:t xml:space="preserve">selles osas </w:t>
      </w:r>
      <w:r w:rsidR="008D40D8">
        <w:t>õiguslik ebaselgus</w:t>
      </w:r>
      <w:r w:rsidR="00C979BB">
        <w:t xml:space="preserve"> ning seadusandja mõte ebaregulaarse</w:t>
      </w:r>
      <w:r w:rsidR="00F278D1">
        <w:t>t</w:t>
      </w:r>
      <w:r w:rsidR="00C979BB">
        <w:t xml:space="preserve"> </w:t>
      </w:r>
      <w:r w:rsidR="00F278D1">
        <w:t>majutus</w:t>
      </w:r>
      <w:r w:rsidR="00C979BB">
        <w:t>tegevus</w:t>
      </w:r>
      <w:r w:rsidR="00F278D1">
        <w:t>t</w:t>
      </w:r>
      <w:r w:rsidR="00C979BB">
        <w:t xml:space="preserve"> </w:t>
      </w:r>
      <w:r w:rsidR="008C295E">
        <w:t>TurS-ga mitte reguleerida läheb vastuollu tegeliku turuolukorraga</w:t>
      </w:r>
      <w:r w:rsidR="00F97E77">
        <w:t>.</w:t>
      </w:r>
      <w:r w:rsidR="004B4628">
        <w:t xml:space="preserve"> </w:t>
      </w:r>
      <w:r w:rsidR="54B6E299">
        <w:t xml:space="preserve"> </w:t>
      </w:r>
    </w:p>
    <w:p w14:paraId="304C133D" w14:textId="44579C9E" w:rsidR="00872DC3" w:rsidRPr="00E14EBC" w:rsidRDefault="54B6E299" w:rsidP="00872DC3">
      <w:pPr>
        <w:jc w:val="both"/>
      </w:pPr>
      <w:r>
        <w:t>Eraldi probleem on kortermajade muutumine majutushooneteks ja nendele kehtiva</w:t>
      </w:r>
      <w:r w:rsidR="006F0E90">
        <w:t>te</w:t>
      </w:r>
      <w:r>
        <w:t xml:space="preserve"> tuleohutusnõu</w:t>
      </w:r>
      <w:r w:rsidR="006F0E90">
        <w:t>ete täitmine</w:t>
      </w:r>
      <w:r>
        <w:t>. Majutushooneid käsitletakse</w:t>
      </w:r>
      <w:r w:rsidR="00F763EB">
        <w:t xml:space="preserve"> üldjuhul</w:t>
      </w:r>
      <w:r>
        <w:t xml:space="preserve"> tuleohutusnõuete vaatenurgast </w:t>
      </w:r>
      <w:r w:rsidR="00634472">
        <w:t xml:space="preserve">eluhoonetest erinevalt ja neile </w:t>
      </w:r>
      <w:r>
        <w:t>kehtivad spetsiifilised nõuded</w:t>
      </w:r>
      <w:r w:rsidR="00634472">
        <w:t>, nt</w:t>
      </w:r>
      <w:r>
        <w:t xml:space="preserve"> tulenevalt sellest, et hoones viibivad isikud ei tunne hoonet</w:t>
      </w:r>
      <w:r w:rsidR="00634472">
        <w:t xml:space="preserve"> sama hästi kui </w:t>
      </w:r>
      <w:r w:rsidR="00C67712">
        <w:t>püsielanikud oma eluhoonet</w:t>
      </w:r>
      <w:r>
        <w:t>.</w:t>
      </w:r>
      <w:r w:rsidR="00172F9B">
        <w:t xml:space="preserve"> S</w:t>
      </w:r>
      <w:r w:rsidR="0081030D">
        <w:t xml:space="preserve">eetõttu </w:t>
      </w:r>
      <w:r w:rsidR="3CEB2381">
        <w:t>peab</w:t>
      </w:r>
      <w:r w:rsidR="0081030D">
        <w:t xml:space="preserve"> ka </w:t>
      </w:r>
      <w:r w:rsidR="00F87194">
        <w:t xml:space="preserve">enam kui kümne voodikohaga </w:t>
      </w:r>
      <w:r w:rsidR="00597417">
        <w:t>eluhoone</w:t>
      </w:r>
      <w:r w:rsidR="00F87194">
        <w:t xml:space="preserve"> TurS-i järgi vastama </w:t>
      </w:r>
      <w:r w:rsidR="00AE203D" w:rsidRPr="00AE203D">
        <w:t>evakuatsiooni ning tuleohutuspaigaldiste nõuete osas</w:t>
      </w:r>
      <w:r w:rsidR="00AE203D">
        <w:t xml:space="preserve"> majutushoonele kehtivatele tuleohutusnõuetele. </w:t>
      </w:r>
      <w:r w:rsidR="00851585">
        <w:t xml:space="preserve">Praktikas </w:t>
      </w:r>
      <w:r w:rsidR="00D9797B">
        <w:t xml:space="preserve">täidetakse neid nõudeid </w:t>
      </w:r>
      <w:r w:rsidR="00851585">
        <w:t xml:space="preserve">aga </w:t>
      </w:r>
      <w:r w:rsidR="00D9797B">
        <w:t xml:space="preserve">ainult osaliselt </w:t>
      </w:r>
      <w:r w:rsidR="00ED6196">
        <w:t>või üldse mitte. Näiteks evakuatsiooniteid puudutava nõude täitmine ei olegi</w:t>
      </w:r>
      <w:r w:rsidR="006E6F89">
        <w:t xml:space="preserve"> paljude</w:t>
      </w:r>
      <w:r w:rsidR="00F32119">
        <w:t>s</w:t>
      </w:r>
      <w:r w:rsidR="006E6F89">
        <w:t xml:space="preserve"> hoonetes </w:t>
      </w:r>
      <w:r w:rsidR="00ED6196">
        <w:t>realistlik ja eeldaks kortermajades suuremahulis</w:t>
      </w:r>
      <w:r w:rsidR="00F32119">
        <w:t>t</w:t>
      </w:r>
      <w:r w:rsidR="00ED6196">
        <w:t xml:space="preserve"> ümberehitus</w:t>
      </w:r>
      <w:r w:rsidR="00F32119">
        <w:t>t</w:t>
      </w:r>
      <w:r w:rsidR="00ED6196">
        <w:t>.</w:t>
      </w:r>
    </w:p>
    <w:p w14:paraId="718ACB99" w14:textId="70201FAE" w:rsidR="00872DC3" w:rsidRPr="00E14EBC" w:rsidRDefault="00872DC3" w:rsidP="00872DC3">
      <w:pPr>
        <w:jc w:val="both"/>
      </w:pPr>
      <w:r w:rsidRPr="00E14EBC">
        <w:rPr>
          <w:b/>
          <w:bCs/>
        </w:rPr>
        <w:t>Soovitus</w:t>
      </w:r>
      <w:r w:rsidR="001A2661">
        <w:rPr>
          <w:b/>
          <w:bCs/>
        </w:rPr>
        <w:t xml:space="preserve"> </w:t>
      </w:r>
      <w:r w:rsidR="001A2661" w:rsidRPr="1688D34F">
        <w:rPr>
          <w:b/>
        </w:rPr>
        <w:t>|</w:t>
      </w:r>
      <w:r w:rsidRPr="00E14EBC">
        <w:t xml:space="preserve"> </w:t>
      </w:r>
      <w:r w:rsidR="00E42E17">
        <w:t>Suurendada</w:t>
      </w:r>
      <w:r w:rsidRPr="00E14EBC">
        <w:t xml:space="preserve"> nii õigusselgust kui ka turuosaliste teadlikkust lühiajalise üüri turu regulatsioonide osas. Selle saavutamiseks soovitame järgmist: </w:t>
      </w:r>
    </w:p>
    <w:p w14:paraId="74B18E83" w14:textId="6951FEBD" w:rsidR="00872DC3" w:rsidRPr="00E14EBC" w:rsidRDefault="54B6E299" w:rsidP="00872DC3">
      <w:pPr>
        <w:jc w:val="both"/>
      </w:pPr>
      <w:r>
        <w:t xml:space="preserve">(i) Muuta </w:t>
      </w:r>
      <w:r w:rsidR="007F7D21">
        <w:t xml:space="preserve">Majandus- ja Kommunikatsiooniministeeriumi eestvedamisel </w:t>
      </w:r>
      <w:r w:rsidR="00B74952">
        <w:t>Tur</w:t>
      </w:r>
      <w:r w:rsidR="002E6A3A">
        <w:t>S-i</w:t>
      </w:r>
      <w:r w:rsidR="00B74952">
        <w:t xml:space="preserve"> </w:t>
      </w:r>
      <w:r>
        <w:t>§17 l</w:t>
      </w:r>
      <w:r w:rsidR="002A71D5">
        <w:t>g</w:t>
      </w:r>
      <w:r>
        <w:t xml:space="preserve">2 </w:t>
      </w:r>
      <w:r w:rsidR="00500F02">
        <w:t>järgmiselt</w:t>
      </w:r>
      <w:r>
        <w:t>: „Majutusteenus on ajutise ööbimisvõimaluse pakkumine</w:t>
      </w:r>
      <w:r w:rsidR="0071343C">
        <w:t xml:space="preserve"> tasu eest</w:t>
      </w:r>
      <w:r>
        <w:t xml:space="preserve"> majandus- või kutsetegevuse raames või väljaspool seda.</w:t>
      </w:r>
    </w:p>
    <w:p w14:paraId="5AB52103" w14:textId="7E9AC64C" w:rsidR="00872DC3" w:rsidRPr="00E14EBC" w:rsidRDefault="00872DC3" w:rsidP="00872DC3">
      <w:pPr>
        <w:jc w:val="both"/>
      </w:pPr>
      <w:r w:rsidRPr="00E14EBC">
        <w:t xml:space="preserve">(ii) </w:t>
      </w:r>
      <w:r w:rsidR="003C568B">
        <w:t>MKM-il</w:t>
      </w:r>
      <w:r w:rsidR="007F7D21">
        <w:t xml:space="preserve"> ja teemast huvitatud KOV-del t</w:t>
      </w:r>
      <w:r w:rsidRPr="00E14EBC">
        <w:t xml:space="preserve">öötada välja </w:t>
      </w:r>
      <w:r w:rsidR="00650EA3">
        <w:t>juhendmaterjalid</w:t>
      </w:r>
      <w:r w:rsidRPr="00E14EBC">
        <w:t xml:space="preserve"> lühiajalise üüri turul teenuse osutajatele nende õigustest ja kohustustest</w:t>
      </w:r>
      <w:r w:rsidR="00625769">
        <w:t xml:space="preserve">, sh </w:t>
      </w:r>
      <w:r w:rsidR="00F70677">
        <w:t>soovituslik vorm ja viis majutusteenuse kasutajate</w:t>
      </w:r>
      <w:r w:rsidR="003718F6">
        <w:t xml:space="preserve"> andmete edastamise</w:t>
      </w:r>
      <w:r w:rsidR="00F048B0">
        <w:t>ks</w:t>
      </w:r>
      <w:r w:rsidR="008D20BA">
        <w:t xml:space="preserve"> PPA-le</w:t>
      </w:r>
      <w:r w:rsidRPr="00E14EBC">
        <w:t>.</w:t>
      </w:r>
    </w:p>
    <w:p w14:paraId="71C05FCE" w14:textId="5D17693F" w:rsidR="00872DC3" w:rsidRDefault="54B6E299" w:rsidP="00872DC3">
      <w:pPr>
        <w:jc w:val="both"/>
      </w:pPr>
      <w:r>
        <w:lastRenderedPageBreak/>
        <w:t xml:space="preserve">(iii) </w:t>
      </w:r>
      <w:r w:rsidR="003C568B">
        <w:t>MKM-i</w:t>
      </w:r>
      <w:r w:rsidR="00246164">
        <w:t xml:space="preserve">, </w:t>
      </w:r>
      <w:r w:rsidR="003C568B">
        <w:t xml:space="preserve">SiM-i </w:t>
      </w:r>
      <w:r w:rsidR="00246164">
        <w:t>ja P</w:t>
      </w:r>
      <w:r w:rsidR="003C568B">
        <w:t>A</w:t>
      </w:r>
      <w:r w:rsidR="00246164">
        <w:t xml:space="preserve"> koostöös </w:t>
      </w:r>
      <w:r w:rsidR="001D6055">
        <w:t>algatada</w:t>
      </w:r>
      <w:r>
        <w:t xml:space="preserve"> </w:t>
      </w:r>
      <w:r w:rsidR="002E6A3A">
        <w:t xml:space="preserve">TurS-i </w:t>
      </w:r>
      <w:r>
        <w:t>§19 l</w:t>
      </w:r>
      <w:r w:rsidR="00883570">
        <w:t>g</w:t>
      </w:r>
      <w:r>
        <w:t>3 alusel majutusteenuse osutamise</w:t>
      </w:r>
      <w:r w:rsidR="00261F9F">
        <w:t>le kehtestatud</w:t>
      </w:r>
      <w:r>
        <w:t xml:space="preserve"> </w:t>
      </w:r>
      <w:r w:rsidR="00A0733A">
        <w:t>tuleohutus</w:t>
      </w:r>
      <w:r>
        <w:t>nõu</w:t>
      </w:r>
      <w:r w:rsidR="00A97810">
        <w:t>ete muutmine</w:t>
      </w:r>
      <w:r>
        <w:t xml:space="preserve"> </w:t>
      </w:r>
      <w:r w:rsidR="00EB0DA4">
        <w:t>selliselt</w:t>
      </w:r>
      <w:r>
        <w:t xml:space="preserve">, </w:t>
      </w:r>
      <w:r w:rsidR="00EB0DA4">
        <w:t xml:space="preserve">et </w:t>
      </w:r>
      <w:r w:rsidR="00563622">
        <w:t xml:space="preserve">nende täitmine oleks </w:t>
      </w:r>
      <w:r w:rsidR="00AF1EEC">
        <w:t>realistlik</w:t>
      </w:r>
      <w:r w:rsidR="00563622">
        <w:t xml:space="preserve"> ka kortermajades</w:t>
      </w:r>
      <w:r w:rsidR="00D368C3">
        <w:t xml:space="preserve"> (</w:t>
      </w:r>
      <w:r w:rsidR="00563622">
        <w:t>kus osutatakse lühiajalis</w:t>
      </w:r>
      <w:r w:rsidR="004775EF">
        <w:t>e</w:t>
      </w:r>
      <w:r w:rsidR="00563622">
        <w:t xml:space="preserve"> üüri teenust</w:t>
      </w:r>
      <w:r w:rsidR="00D368C3">
        <w:t>)</w:t>
      </w:r>
      <w:r w:rsidR="00D74BD8">
        <w:t xml:space="preserve"> ja mis</w:t>
      </w:r>
      <w:r w:rsidR="004775EF">
        <w:t xml:space="preserve"> </w:t>
      </w:r>
      <w:r w:rsidR="002A2137">
        <w:t>tagaks</w:t>
      </w:r>
      <w:r w:rsidR="007505CC">
        <w:t xml:space="preserve"> </w:t>
      </w:r>
      <w:r w:rsidR="003F42F2">
        <w:t xml:space="preserve">vastavuse tegelikele </w:t>
      </w:r>
      <w:r w:rsidR="007505CC">
        <w:t>tule</w:t>
      </w:r>
      <w:r w:rsidR="006E4F1A">
        <w:t>ohutuse</w:t>
      </w:r>
      <w:r w:rsidR="007505CC">
        <w:t xml:space="preserve"> risk</w:t>
      </w:r>
      <w:r w:rsidR="00F50784">
        <w:t>i</w:t>
      </w:r>
      <w:r w:rsidR="006E4F1A">
        <w:t>dele</w:t>
      </w:r>
      <w:r w:rsidR="00A25FB2">
        <w:t>.</w:t>
      </w:r>
      <w:r w:rsidR="0085415A">
        <w:t xml:space="preserve"> </w:t>
      </w:r>
      <w:r w:rsidR="00A25FB2">
        <w:t>V</w:t>
      </w:r>
      <w:r w:rsidR="00477C2A">
        <w:t>ajadusel</w:t>
      </w:r>
      <w:r w:rsidR="00A25FB2">
        <w:t xml:space="preserve"> tuleks</w:t>
      </w:r>
      <w:r w:rsidR="00477C2A">
        <w:t xml:space="preserve"> </w:t>
      </w:r>
      <w:r w:rsidR="00B04403">
        <w:t xml:space="preserve">kaaluda </w:t>
      </w:r>
      <w:r w:rsidR="00A25FB2">
        <w:t xml:space="preserve">ka </w:t>
      </w:r>
      <w:r w:rsidR="00B04403">
        <w:t>n</w:t>
      </w:r>
      <w:r w:rsidR="0085415A">
        <w:t>õuete</w:t>
      </w:r>
      <w:r w:rsidR="00B04403">
        <w:t xml:space="preserve"> leebemaks muutmist</w:t>
      </w:r>
      <w:r w:rsidR="00A25FB2">
        <w:t xml:space="preserve">, lähtudes tegelikest </w:t>
      </w:r>
      <w:r w:rsidR="007F26E9">
        <w:t xml:space="preserve">vastavates hoonetes esinevatest </w:t>
      </w:r>
      <w:r w:rsidR="00A25FB2">
        <w:t>riskidest</w:t>
      </w:r>
      <w:r w:rsidR="00045E9C">
        <w:t>.</w:t>
      </w:r>
      <w:r w:rsidR="00B44CB6">
        <w:t xml:space="preserve"> Nõuete täpsustamine vajab </w:t>
      </w:r>
      <w:r w:rsidR="00E023AE">
        <w:t>täiendavat tuleohutuse alast analüüsi või minimaalse</w:t>
      </w:r>
      <w:r w:rsidR="00FA55C3">
        <w:t>l</w:t>
      </w:r>
      <w:r w:rsidR="00E023AE">
        <w:t>t eksperthinnangut.</w:t>
      </w:r>
    </w:p>
    <w:p w14:paraId="7C285B5E" w14:textId="4C475D0D" w:rsidR="00872DC3" w:rsidRPr="00E14EBC" w:rsidRDefault="00872DC3" w:rsidP="00872DC3">
      <w:pPr>
        <w:jc w:val="both"/>
      </w:pPr>
      <w:r w:rsidRPr="00E14EBC">
        <w:rPr>
          <w:b/>
          <w:bCs/>
        </w:rPr>
        <w:t>Adressaat</w:t>
      </w:r>
      <w:r w:rsidR="001A2661">
        <w:rPr>
          <w:b/>
          <w:bCs/>
        </w:rPr>
        <w:t xml:space="preserve"> </w:t>
      </w:r>
      <w:r w:rsidR="001A2661" w:rsidRPr="1688D34F">
        <w:rPr>
          <w:b/>
        </w:rPr>
        <w:t>|</w:t>
      </w:r>
      <w:r w:rsidRPr="00E14EBC">
        <w:t xml:space="preserve"> </w:t>
      </w:r>
      <w:r w:rsidR="002C1CBE">
        <w:t>MKM</w:t>
      </w:r>
      <w:r w:rsidRPr="00E14EBC">
        <w:t xml:space="preserve">, </w:t>
      </w:r>
      <w:r w:rsidR="002C1CBE">
        <w:t>PA</w:t>
      </w:r>
      <w:r w:rsidRPr="00E14EBC">
        <w:t>, Si</w:t>
      </w:r>
      <w:r w:rsidR="002C1CBE">
        <w:t>M</w:t>
      </w:r>
      <w:r w:rsidRPr="00E14EBC">
        <w:t>,</w:t>
      </w:r>
      <w:r w:rsidR="00796EB6">
        <w:t xml:space="preserve"> </w:t>
      </w:r>
      <w:r w:rsidRPr="00E14EBC">
        <w:t>KOV-d.</w:t>
      </w:r>
    </w:p>
    <w:p w14:paraId="1E0973A5" w14:textId="1BEDFF49" w:rsidR="008E3015" w:rsidRDefault="54B6E299" w:rsidP="00872DC3">
      <w:pPr>
        <w:jc w:val="both"/>
      </w:pPr>
      <w:r w:rsidRPr="1C92C443">
        <w:rPr>
          <w:b/>
          <w:bCs/>
        </w:rPr>
        <w:t>Soovituse põhjendus</w:t>
      </w:r>
      <w:r w:rsidR="001A2661">
        <w:rPr>
          <w:b/>
          <w:bCs/>
        </w:rPr>
        <w:t xml:space="preserve"> </w:t>
      </w:r>
      <w:r w:rsidR="001A2661" w:rsidRPr="1688D34F">
        <w:rPr>
          <w:b/>
        </w:rPr>
        <w:t>|</w:t>
      </w:r>
      <w:r>
        <w:t xml:space="preserve"> Turu efektiivse toimimise üheks oluliseks eeltingimuseks on, et kõik turul tegutsevad osapooled on teadlikud oma õigustest ja kohustustest. Hetkel valitseb turul ebaselgus, kus osad turul tegutsevad majutusettevõtjad tunnetavad ebaõiglast konkurentsi, kuna leiavad, et ne</w:t>
      </w:r>
      <w:r w:rsidR="0072310A">
        <w:t>i</w:t>
      </w:r>
      <w:r>
        <w:t xml:space="preserve">le kehtivad rangemad reeglid kui lühiajalise üüri turul teenust osutavatele ettevõtjatele. Samal ajal </w:t>
      </w:r>
      <w:r w:rsidR="00EA1FDA">
        <w:t xml:space="preserve">on </w:t>
      </w:r>
      <w:r>
        <w:t xml:space="preserve">lühiajalise üüri turul </w:t>
      </w:r>
      <w:r w:rsidR="006E0B79">
        <w:t xml:space="preserve">teenuse pakkujate seas </w:t>
      </w:r>
      <w:r w:rsidR="00E21076">
        <w:t xml:space="preserve">ka </w:t>
      </w:r>
      <w:r w:rsidR="00EA1FDA">
        <w:t xml:space="preserve">üsna levinud praktika, et </w:t>
      </w:r>
      <w:r w:rsidR="00E21076">
        <w:t xml:space="preserve">isegi </w:t>
      </w:r>
      <w:r w:rsidR="00781568">
        <w:t xml:space="preserve">küllalt </w:t>
      </w:r>
      <w:r w:rsidR="00E21076">
        <w:t xml:space="preserve">selgelt </w:t>
      </w:r>
      <w:r w:rsidR="00703E6D">
        <w:t xml:space="preserve">määratletud nõuded </w:t>
      </w:r>
      <w:r>
        <w:t>jä</w:t>
      </w:r>
      <w:r w:rsidR="0017642D">
        <w:t>etakse</w:t>
      </w:r>
      <w:r>
        <w:t xml:space="preserve"> </w:t>
      </w:r>
      <w:r w:rsidR="00703E6D">
        <w:t xml:space="preserve">nende ebarealistlikkuse või järelevalve puudumise tõttu </w:t>
      </w:r>
      <w:r>
        <w:t>täitmata.</w:t>
      </w:r>
      <w:r w:rsidR="006E0B79">
        <w:t xml:space="preserve"> Selle põhjuseks võib olla </w:t>
      </w:r>
      <w:r w:rsidR="00703E6D">
        <w:t xml:space="preserve">ka </w:t>
      </w:r>
      <w:r w:rsidR="000D08E0">
        <w:t xml:space="preserve">see, et ennast ei käsitleta majutusettevõtjana </w:t>
      </w:r>
      <w:r w:rsidR="002E6A3A">
        <w:t xml:space="preserve">TurS-i </w:t>
      </w:r>
      <w:r w:rsidR="000D08E0">
        <w:t>tähenduses</w:t>
      </w:r>
      <w:r w:rsidR="00F3061B">
        <w:t>, aga teatud nõudeid ka ei suudeta täita (nt evakuatsiooniteid puudutav tuleohutusnõue).</w:t>
      </w:r>
    </w:p>
    <w:p w14:paraId="334616F7" w14:textId="036D419D" w:rsidR="00872DC3" w:rsidRPr="00E14EBC" w:rsidRDefault="54B6E299" w:rsidP="00872DC3">
      <w:pPr>
        <w:jc w:val="both"/>
      </w:pPr>
      <w:r>
        <w:t>Sellistes tingimustes võivad osad teenuse osutajad oma teenustele kehtestada tegelikust ühiskondlikust piirkulust</w:t>
      </w:r>
      <w:r w:rsidR="00CB6D65">
        <w:t xml:space="preserve"> (mis hõlmaks </w:t>
      </w:r>
      <w:r w:rsidR="003D3D96">
        <w:t xml:space="preserve">nt </w:t>
      </w:r>
      <w:r w:rsidR="00CB6D65">
        <w:t>ka tuleohutusriske)</w:t>
      </w:r>
      <w:r>
        <w:t xml:space="preserve"> madalamad hinnad</w:t>
      </w:r>
      <w:r w:rsidR="00474068">
        <w:t>.</w:t>
      </w:r>
      <w:r>
        <w:t xml:space="preserve"> </w:t>
      </w:r>
      <w:r w:rsidR="00474068">
        <w:t>See</w:t>
      </w:r>
      <w:r>
        <w:t xml:space="preserve"> toob kaasa ressursside ebaefektiivse kasutamise, nt alainvesteerimise teenuste kvaliteeti või nõudluse suurenemise teenustele, mille tegeliku</w:t>
      </w:r>
      <w:r w:rsidR="3A05E17F">
        <w:t>d</w:t>
      </w:r>
      <w:r>
        <w:t xml:space="preserve"> kulud ühiskonnale on suuremad kui konkureerivatel teenustel</w:t>
      </w:r>
      <w:r w:rsidR="00474068">
        <w:t>, mi</w:t>
      </w:r>
      <w:r w:rsidR="3C418959">
        <w:t>lle</w:t>
      </w:r>
      <w:r w:rsidR="00474068">
        <w:t xml:space="preserve"> osuta</w:t>
      </w:r>
      <w:r w:rsidR="537CDE0C">
        <w:t>misel</w:t>
      </w:r>
      <w:r w:rsidR="00474068">
        <w:t xml:space="preserve"> järgitakse kehtivaid nõudeid</w:t>
      </w:r>
      <w:r>
        <w:t>. Nt intervjuudes hindasid hotellisektori esindajad hotelli ja hotelliks kujundatud kort</w:t>
      </w:r>
      <w:r w:rsidR="00541509">
        <w:t>er</w:t>
      </w:r>
      <w:r>
        <w:t>maja (lühiajalise üüri vormis) ehituskulu erinevust ligikaudu 20% juurde</w:t>
      </w:r>
      <w:r w:rsidR="008C5556">
        <w:t>.</w:t>
      </w:r>
      <w:r w:rsidR="00696ABF">
        <w:rPr>
          <w:rStyle w:val="FootnoteReference"/>
        </w:rPr>
        <w:footnoteReference w:id="169"/>
      </w:r>
      <w:r>
        <w:t xml:space="preserve"> Selles uuringus me tegelikku moonutuse suurust eraldi ei hinnanud, samuti puudub meil kvantitatiivne hinnang selle</w:t>
      </w:r>
      <w:r w:rsidR="00DC3B74">
        <w:t xml:space="preserve"> kohta</w:t>
      </w:r>
      <w:r>
        <w:t xml:space="preserve">, kui suur osa lühiajalise üüri turul teenuse pakkujatest erinevaid nõudeid täitmata jätavad. </w:t>
      </w:r>
      <w:r w:rsidR="00695155">
        <w:t>Samas o</w:t>
      </w:r>
      <w:r>
        <w:t>leme uuringu mõjude hindamise osas esitanud moonutuste potentsiaalse suuruse, mis ulatub miljonitesse eurodesse</w:t>
      </w:r>
      <w:r w:rsidR="001377F8">
        <w:t xml:space="preserve"> ning võivad </w:t>
      </w:r>
      <w:r w:rsidR="00A92D83">
        <w:t>lühiajalise üürimise levikuga veelgi suureneda</w:t>
      </w:r>
      <w:r w:rsidR="001377F8">
        <w:t>.</w:t>
      </w:r>
      <w:r>
        <w:t xml:space="preserve"> </w:t>
      </w:r>
      <w:r w:rsidR="00A92D83">
        <w:t>Seega</w:t>
      </w:r>
      <w:r>
        <w:t xml:space="preserve"> on </w:t>
      </w:r>
      <w:r w:rsidR="00AC0079">
        <w:t>ajakohane suuremate kahjude ärahoidmiseks juba praegu selle probleemiga ennetavalt tegeleda</w:t>
      </w:r>
      <w:r>
        <w:t xml:space="preserve">. </w:t>
      </w:r>
    </w:p>
    <w:p w14:paraId="34DE95E4" w14:textId="3D336591" w:rsidR="00C568F5" w:rsidRDefault="00872DC3" w:rsidP="00872DC3">
      <w:pPr>
        <w:jc w:val="both"/>
      </w:pPr>
      <w:r>
        <w:t xml:space="preserve">Suurema õigusselguse loomine tagab, et teenuste turuhinnad peegeldaksid täpsemalt nende teenustega tegelikult loodavat väärtust ja selleks tehtud </w:t>
      </w:r>
      <w:r w:rsidR="00A84A60">
        <w:t xml:space="preserve">ühiskondlikke </w:t>
      </w:r>
      <w:r>
        <w:t xml:space="preserve">kulusid. </w:t>
      </w:r>
      <w:r w:rsidR="00954EC1">
        <w:t xml:space="preserve">Eelkõige soovitame </w:t>
      </w:r>
      <w:r w:rsidR="002E6A3A" w:rsidRPr="00514229">
        <w:rPr>
          <w:b/>
          <w:bCs/>
        </w:rPr>
        <w:t>TurS-</w:t>
      </w:r>
      <w:r w:rsidR="00883570" w:rsidRPr="00514229">
        <w:rPr>
          <w:b/>
          <w:bCs/>
        </w:rPr>
        <w:t>i</w:t>
      </w:r>
      <w:r w:rsidR="002E6A3A" w:rsidRPr="00514229">
        <w:rPr>
          <w:b/>
          <w:bCs/>
        </w:rPr>
        <w:t xml:space="preserve">s </w:t>
      </w:r>
      <w:r w:rsidR="00313EF8" w:rsidRPr="00514229">
        <w:rPr>
          <w:b/>
          <w:bCs/>
        </w:rPr>
        <w:t>täpsustada majutusteenuse mõistet</w:t>
      </w:r>
      <w:r w:rsidR="00313EF8">
        <w:t xml:space="preserve"> selliselt, et see hõlmaks </w:t>
      </w:r>
      <w:r w:rsidR="00B03306">
        <w:t xml:space="preserve">senisest selgemalt ka </w:t>
      </w:r>
      <w:r w:rsidR="00313EF8">
        <w:t>lühiajalise üüri teenust</w:t>
      </w:r>
      <w:r w:rsidR="003C7FC5">
        <w:t xml:space="preserve"> pakkuvaid isikuid</w:t>
      </w:r>
      <w:r w:rsidR="005F4433">
        <w:t xml:space="preserve">, eelkõige </w:t>
      </w:r>
      <w:r w:rsidR="003C7FC5">
        <w:t xml:space="preserve">neid, kes teevad seda </w:t>
      </w:r>
      <w:r w:rsidR="00972385">
        <w:t>ebaregulaarselt ja väljaspool majandustegevust</w:t>
      </w:r>
      <w:r w:rsidR="00C440A0">
        <w:t xml:space="preserve"> (soovitus i)</w:t>
      </w:r>
      <w:r w:rsidR="00313EF8">
        <w:t>.</w:t>
      </w:r>
      <w:r w:rsidR="00867850">
        <w:t xml:space="preserve"> Samas tuleb selle muudatusega samaaegselt </w:t>
      </w:r>
      <w:r w:rsidR="00686524" w:rsidRPr="00514229">
        <w:rPr>
          <w:b/>
          <w:bCs/>
        </w:rPr>
        <w:t>kohandada</w:t>
      </w:r>
      <w:r w:rsidR="00A83821" w:rsidRPr="00514229">
        <w:rPr>
          <w:b/>
          <w:bCs/>
        </w:rPr>
        <w:t xml:space="preserve"> ka majutusteenus</w:t>
      </w:r>
      <w:r w:rsidR="00DE52F7" w:rsidRPr="00514229">
        <w:rPr>
          <w:b/>
          <w:bCs/>
        </w:rPr>
        <w:t>e osutamise</w:t>
      </w:r>
      <w:r w:rsidR="00A83821" w:rsidRPr="00514229">
        <w:rPr>
          <w:b/>
          <w:bCs/>
        </w:rPr>
        <w:t xml:space="preserve"> tuleohutusnõudeid</w:t>
      </w:r>
      <w:r w:rsidR="00DE52F7">
        <w:t>,</w:t>
      </w:r>
      <w:r w:rsidR="00AF1A3D">
        <w:t xml:space="preserve"> et need oleksid praktikas mõistliku kuluga rakendatavad</w:t>
      </w:r>
      <w:r w:rsidR="0085704D">
        <w:t xml:space="preserve"> (soovitus iii)</w:t>
      </w:r>
      <w:r w:rsidR="00AF1A3D">
        <w:t>.</w:t>
      </w:r>
      <w:r w:rsidR="005E22D4">
        <w:t xml:space="preserve"> </w:t>
      </w:r>
      <w:r w:rsidR="00DB33E2">
        <w:t>Alla 10 voodikohaga ettevõtete majutushoonetele</w:t>
      </w:r>
      <w:r w:rsidR="00010701">
        <w:t xml:space="preserve"> </w:t>
      </w:r>
      <w:r w:rsidR="00CE4DEB">
        <w:t xml:space="preserve">kehtivad nõuded </w:t>
      </w:r>
      <w:r w:rsidR="00D62215">
        <w:t xml:space="preserve">on </w:t>
      </w:r>
      <w:r w:rsidR="00602F2F">
        <w:t xml:space="preserve">seda </w:t>
      </w:r>
      <w:r w:rsidR="00D62215">
        <w:t>juba praegu</w:t>
      </w:r>
      <w:r w:rsidR="009B64AF">
        <w:t xml:space="preserve">, kuid kui kortermajas on rohkem kui üks või kaks teenuse osutajat, suureneb </w:t>
      </w:r>
      <w:r w:rsidR="00443060">
        <w:t xml:space="preserve">nõuete täitmise kulu oluliselt ning nende järgimine pole </w:t>
      </w:r>
      <w:r w:rsidR="00FC2F8E">
        <w:t>enamus kortermajades</w:t>
      </w:r>
      <w:r w:rsidR="00831B69">
        <w:t xml:space="preserve"> teenuse pakkujatele</w:t>
      </w:r>
      <w:r w:rsidR="00443060">
        <w:t xml:space="preserve"> jõukohane</w:t>
      </w:r>
      <w:r w:rsidR="00FC2F8E">
        <w:t>.</w:t>
      </w:r>
      <w:r w:rsidR="00E42654">
        <w:t xml:space="preserve"> </w:t>
      </w:r>
    </w:p>
    <w:p w14:paraId="60FF2762" w14:textId="1CF99621" w:rsidR="0094496F" w:rsidRDefault="00E42654" w:rsidP="00872DC3">
      <w:pPr>
        <w:jc w:val="both"/>
      </w:pPr>
      <w:r>
        <w:lastRenderedPageBreak/>
        <w:t xml:space="preserve">Seega </w:t>
      </w:r>
      <w:r w:rsidR="00D527ED">
        <w:t xml:space="preserve">on turu arengu toetamiseks vajalik </w:t>
      </w:r>
      <w:r w:rsidR="00A66C88">
        <w:t xml:space="preserve">teha </w:t>
      </w:r>
      <w:r w:rsidR="00DA4509" w:rsidRPr="00514229">
        <w:rPr>
          <w:b/>
          <w:bCs/>
        </w:rPr>
        <w:t>täiendav</w:t>
      </w:r>
      <w:r w:rsidR="00A66C88" w:rsidRPr="00514229">
        <w:rPr>
          <w:b/>
          <w:bCs/>
        </w:rPr>
        <w:t xml:space="preserve"> </w:t>
      </w:r>
      <w:r w:rsidR="00DA4509" w:rsidRPr="00514229">
        <w:rPr>
          <w:b/>
          <w:bCs/>
        </w:rPr>
        <w:t>tuleohutuse alane analüüs</w:t>
      </w:r>
      <w:r w:rsidR="00DA4509">
        <w:t>, et leida optimaalne lahendus vastavalt hoonete</w:t>
      </w:r>
      <w:r w:rsidR="1910B16D">
        <w:t>le</w:t>
      </w:r>
      <w:r w:rsidR="00DA4509">
        <w:t xml:space="preserve"> ja </w:t>
      </w:r>
      <w:r w:rsidR="00A66C88">
        <w:t>nende</w:t>
      </w:r>
      <w:r w:rsidR="00DA4509">
        <w:t xml:space="preserve"> kasutamise </w:t>
      </w:r>
      <w:r w:rsidR="006F74E7">
        <w:t>viisidele, arvestades ka kortermajades majutusteenuse pakkumise praktikaga</w:t>
      </w:r>
      <w:r w:rsidR="000E0CE6">
        <w:t xml:space="preserve">. </w:t>
      </w:r>
      <w:r w:rsidR="008E7160">
        <w:t>Sealhulgas tuleb s</w:t>
      </w:r>
      <w:r w:rsidR="000E0CE6">
        <w:t xml:space="preserve">elgelt </w:t>
      </w:r>
      <w:r w:rsidR="00DD2738">
        <w:t>reguleerida ka teenust ühekordselt või ebaregulaarselt osutajatele kehtivad nõuded</w:t>
      </w:r>
      <w:r w:rsidR="00C2599A">
        <w:t>.</w:t>
      </w:r>
      <w:r w:rsidR="004D7B62">
        <w:t xml:space="preserve"> </w:t>
      </w:r>
      <w:r w:rsidR="00F12D94">
        <w:t xml:space="preserve">Kuigi </w:t>
      </w:r>
      <w:r w:rsidR="00F5480C">
        <w:t>väga suurt</w:t>
      </w:r>
      <w:r w:rsidR="0060373E">
        <w:t xml:space="preserve"> konkurentsimoo</w:t>
      </w:r>
      <w:r w:rsidR="00B43E49">
        <w:t>n</w:t>
      </w:r>
      <w:r w:rsidR="0060373E">
        <w:t>unu</w:t>
      </w:r>
      <w:r w:rsidR="00B43E49">
        <w:t>tust</w:t>
      </w:r>
      <w:r w:rsidR="004D7B62">
        <w:t xml:space="preserve"> </w:t>
      </w:r>
      <w:r w:rsidR="0060373E">
        <w:t xml:space="preserve">see grupp </w:t>
      </w:r>
      <w:r w:rsidR="00B43E49">
        <w:t>oma suhteliselt väikese turuosa tõttu ei põhjusta</w:t>
      </w:r>
      <w:r w:rsidR="00A740CE">
        <w:t>,</w:t>
      </w:r>
      <w:r w:rsidR="00F12D94">
        <w:t xml:space="preserve"> </w:t>
      </w:r>
      <w:r w:rsidR="00092CD5">
        <w:t xml:space="preserve">puudutab see </w:t>
      </w:r>
      <w:r w:rsidR="00231A46">
        <w:t xml:space="preserve">siiski </w:t>
      </w:r>
      <w:r w:rsidR="00092CD5">
        <w:t>potentsiaalselt</w:t>
      </w:r>
      <w:r w:rsidR="006616DB">
        <w:t xml:space="preserve"> </w:t>
      </w:r>
      <w:r w:rsidR="00231A46">
        <w:t xml:space="preserve">väga </w:t>
      </w:r>
      <w:r w:rsidR="007D3A3C">
        <w:t xml:space="preserve">suurt  osa turul tegutsevatest isikutest, sest </w:t>
      </w:r>
      <w:r w:rsidR="00231A46">
        <w:t>tüüpiline teenus</w:t>
      </w:r>
      <w:r w:rsidR="000D2483">
        <w:t>t</w:t>
      </w:r>
      <w:r w:rsidR="00231A46">
        <w:t xml:space="preserve"> osuta</w:t>
      </w:r>
      <w:r w:rsidR="000D2483">
        <w:t>v isik</w:t>
      </w:r>
      <w:r w:rsidR="00231A46">
        <w:t xml:space="preserve"> </w:t>
      </w:r>
      <w:r w:rsidR="00C13CF8">
        <w:t>üürib</w:t>
      </w:r>
      <w:r w:rsidR="00765689">
        <w:t>ki</w:t>
      </w:r>
      <w:r w:rsidR="00C13CF8">
        <w:t xml:space="preserve"> välja </w:t>
      </w:r>
      <w:r w:rsidR="00765689">
        <w:t xml:space="preserve">ainult </w:t>
      </w:r>
      <w:r w:rsidR="00C13CF8">
        <w:t>ühte korterit</w:t>
      </w:r>
      <w:r w:rsidR="00092CD5">
        <w:t>.</w:t>
      </w:r>
      <w:r w:rsidR="006616DB">
        <w:t xml:space="preserve"> </w:t>
      </w:r>
      <w:r w:rsidR="00296132">
        <w:t>Lisaks,</w:t>
      </w:r>
      <w:r w:rsidR="00A740CE">
        <w:t xml:space="preserve"> nõu</w:t>
      </w:r>
      <w:r w:rsidR="0058039C">
        <w:t xml:space="preserve">ete </w:t>
      </w:r>
      <w:r w:rsidR="008F4215">
        <w:t>mitte</w:t>
      </w:r>
      <w:r w:rsidR="0058039C">
        <w:t>täitmisega</w:t>
      </w:r>
      <w:r w:rsidR="00A740CE">
        <w:t xml:space="preserve"> </w:t>
      </w:r>
      <w:r w:rsidR="00296132">
        <w:t xml:space="preserve">kaasnevad </w:t>
      </w:r>
      <w:r w:rsidR="00A740CE">
        <w:t>risk</w:t>
      </w:r>
      <w:r w:rsidR="0093224B">
        <w:t>id,</w:t>
      </w:r>
      <w:r w:rsidR="00A740CE">
        <w:t xml:space="preserve"> mille realiseerumisel on kahjud väga suured.</w:t>
      </w:r>
      <w:r w:rsidR="004769BD">
        <w:t xml:space="preserve"> </w:t>
      </w:r>
    </w:p>
    <w:p w14:paraId="361E02E7" w14:textId="74CDA200" w:rsidR="00A577CA" w:rsidRDefault="004769BD" w:rsidP="00872DC3">
      <w:pPr>
        <w:jc w:val="both"/>
      </w:pPr>
      <w:r>
        <w:t>Samas</w:t>
      </w:r>
      <w:r w:rsidR="003B3324">
        <w:t xml:space="preserve"> tuleb nõuete kehtestamisel </w:t>
      </w:r>
      <w:r w:rsidR="0058039C">
        <w:t>arves</w:t>
      </w:r>
      <w:r w:rsidR="00F80827">
        <w:t>tada</w:t>
      </w:r>
      <w:r w:rsidR="004B74DF">
        <w:t xml:space="preserve">, kes neid </w:t>
      </w:r>
      <w:r w:rsidR="00684C45">
        <w:t>nõudeid</w:t>
      </w:r>
      <w:r w:rsidR="004B74DF">
        <w:t xml:space="preserve"> </w:t>
      </w:r>
      <w:r w:rsidR="00684C45">
        <w:t xml:space="preserve">täitma </w:t>
      </w:r>
      <w:r w:rsidR="004B74DF">
        <w:t>hakka</w:t>
      </w:r>
      <w:r w:rsidR="00A84400">
        <w:t>vad</w:t>
      </w:r>
      <w:r w:rsidR="00684C45">
        <w:t xml:space="preserve"> – valdavalt on tegemist</w:t>
      </w:r>
      <w:r w:rsidR="00A75BB7">
        <w:t xml:space="preserve"> ühte</w:t>
      </w:r>
      <w:r w:rsidR="00471259">
        <w:t>-kahte</w:t>
      </w:r>
      <w:r w:rsidR="00A75BB7">
        <w:t xml:space="preserve"> korterit lühiajaliselt välja üürivate</w:t>
      </w:r>
      <w:r w:rsidR="00684C45">
        <w:t xml:space="preserve"> füüsiliste isikutega –</w:t>
      </w:r>
      <w:r w:rsidR="004B74DF">
        <w:t xml:space="preserve"> ja milliseid kulusid tuleb selleks teha</w:t>
      </w:r>
      <w:r w:rsidR="00A75BB7">
        <w:t xml:space="preserve">. </w:t>
      </w:r>
      <w:r w:rsidR="00A75BB7" w:rsidRPr="00514229">
        <w:rPr>
          <w:b/>
          <w:bCs/>
        </w:rPr>
        <w:t xml:space="preserve">Oluline on </w:t>
      </w:r>
      <w:r w:rsidR="001E59D4" w:rsidRPr="00514229">
        <w:rPr>
          <w:b/>
          <w:bCs/>
        </w:rPr>
        <w:t>jälgida,</w:t>
      </w:r>
      <w:r w:rsidR="00A93483" w:rsidRPr="00514229">
        <w:rPr>
          <w:b/>
          <w:bCs/>
        </w:rPr>
        <w:t xml:space="preserve"> et asjatult karmide reeglitega turul segadust </w:t>
      </w:r>
      <w:r w:rsidR="001E59D4" w:rsidRPr="00514229">
        <w:rPr>
          <w:b/>
          <w:bCs/>
        </w:rPr>
        <w:t xml:space="preserve">ei </w:t>
      </w:r>
      <w:r w:rsidR="00A93483" w:rsidRPr="00514229">
        <w:rPr>
          <w:b/>
          <w:bCs/>
        </w:rPr>
        <w:t>tekita</w:t>
      </w:r>
      <w:r w:rsidR="001E59D4" w:rsidRPr="00514229">
        <w:rPr>
          <w:b/>
          <w:bCs/>
        </w:rPr>
        <w:t>taks</w:t>
      </w:r>
      <w:r w:rsidR="00A93483" w:rsidRPr="00514229">
        <w:rPr>
          <w:b/>
          <w:bCs/>
        </w:rPr>
        <w:t xml:space="preserve"> ja</w:t>
      </w:r>
      <w:r w:rsidR="00164F38" w:rsidRPr="00514229">
        <w:rPr>
          <w:b/>
          <w:bCs/>
        </w:rPr>
        <w:t xml:space="preserve"> </w:t>
      </w:r>
      <w:r w:rsidR="002A22E6" w:rsidRPr="00514229">
        <w:rPr>
          <w:b/>
          <w:bCs/>
        </w:rPr>
        <w:t xml:space="preserve">suure nõudlusega teenuse </w:t>
      </w:r>
      <w:r w:rsidR="005D6DDD" w:rsidRPr="00514229">
        <w:rPr>
          <w:b/>
          <w:bCs/>
        </w:rPr>
        <w:t xml:space="preserve">turule </w:t>
      </w:r>
      <w:r w:rsidR="00F80827" w:rsidRPr="00514229">
        <w:rPr>
          <w:b/>
          <w:bCs/>
        </w:rPr>
        <w:t>ebamõistlik</w:t>
      </w:r>
      <w:r w:rsidR="001E59D4" w:rsidRPr="00514229">
        <w:rPr>
          <w:b/>
          <w:bCs/>
        </w:rPr>
        <w:t>ku</w:t>
      </w:r>
      <w:r w:rsidR="00F80827" w:rsidRPr="00514229">
        <w:rPr>
          <w:b/>
          <w:bCs/>
        </w:rPr>
        <w:t xml:space="preserve"> sisenemisbarjäär</w:t>
      </w:r>
      <w:r w:rsidR="001E59D4" w:rsidRPr="00514229">
        <w:rPr>
          <w:b/>
          <w:bCs/>
        </w:rPr>
        <w:t>i ei loodaks</w:t>
      </w:r>
      <w:r w:rsidR="00F80827" w:rsidRPr="00514229">
        <w:rPr>
          <w:b/>
          <w:bCs/>
        </w:rPr>
        <w:t>.</w:t>
      </w:r>
      <w:r w:rsidR="002A22E6">
        <w:t xml:space="preserve"> </w:t>
      </w:r>
      <w:r w:rsidR="00D95FE0">
        <w:t>Selles vaates k</w:t>
      </w:r>
      <w:r w:rsidR="00D95FE0" w:rsidRPr="00D95FE0">
        <w:t>ülaliste registreerimine ei tohiks olla majanduslikult liiga koormav, kuna seda on võimalik korraldada tehniliselt kõigile kättesaadavate vahenditega. Samas on ka praegu suurte hotellide poolt PPA-le edastatud andmetes kvaliteediprobleeme, mida aitaks lahendada ühtse vormi ja andmete edastamise viisi puudutavad juhised. Selgete juhiste olemasolu lihtsustaks ka väiksemate ja teenust harva pakkuvate isikute jaoks nõuete täitmist.</w:t>
      </w:r>
    </w:p>
    <w:p w14:paraId="0C8DCFBE" w14:textId="46BA41D3" w:rsidR="009309DA" w:rsidRDefault="00313EF8" w:rsidP="00872DC3">
      <w:pPr>
        <w:jc w:val="both"/>
      </w:pPr>
      <w:r>
        <w:t>Me ei pea vajalikuks eraldi lühiajalise üürimise mõiste defineerimist seaduses</w:t>
      </w:r>
      <w:r w:rsidR="009319B5">
        <w:t xml:space="preserve">, sest selle eristamine teistest majutusteenustest on õiguslikult </w:t>
      </w:r>
      <w:r w:rsidR="00A630BA">
        <w:t>keeruline ja ka ebavajalik.</w:t>
      </w:r>
      <w:r>
        <w:t xml:space="preserve"> </w:t>
      </w:r>
      <w:r w:rsidR="003E371C">
        <w:t>Eraldi soovitame</w:t>
      </w:r>
      <w:r w:rsidR="00872DC3">
        <w:t xml:space="preserve"> </w:t>
      </w:r>
      <w:r w:rsidR="00872DC3" w:rsidRPr="00514229">
        <w:rPr>
          <w:b/>
          <w:bCs/>
        </w:rPr>
        <w:t>välja töötada juhised</w:t>
      </w:r>
      <w:r w:rsidR="0085704D">
        <w:t xml:space="preserve"> (soovitus ii)</w:t>
      </w:r>
      <w:r w:rsidR="003E371C">
        <w:t>, mis</w:t>
      </w:r>
      <w:r w:rsidR="00872DC3">
        <w:t xml:space="preserve"> aitaks kaasa turu läbipaistvuse suurendamisele ning teenuse osutajate teadlikkuse kasvule kehtivatest reeglitest ja nende õigest tõlgendamisest. </w:t>
      </w:r>
      <w:r w:rsidR="003E371C">
        <w:t xml:space="preserve">Arvestades, et turul on ka palju neid, kes pakuvad majutusteenust ebaregulaarset ja mittepõhitegevusena, </w:t>
      </w:r>
      <w:r w:rsidR="00744E7D">
        <w:t>võiva</w:t>
      </w:r>
      <w:r w:rsidR="037066AF">
        <w:t>d</w:t>
      </w:r>
      <w:r w:rsidR="00744E7D">
        <w:t xml:space="preserve"> selged ja lihtsalt mõistetavad juhised turul osalejate õiguskuulekust oluliselt parandada.</w:t>
      </w:r>
    </w:p>
    <w:p w14:paraId="4AC238F1" w14:textId="51CD7586" w:rsidR="00452F19" w:rsidRDefault="54B6E299" w:rsidP="00872DC3">
      <w:pPr>
        <w:jc w:val="both"/>
      </w:pPr>
      <w:r w:rsidRPr="288A3578">
        <w:rPr>
          <w:b/>
          <w:bCs/>
        </w:rPr>
        <w:t>Soovituse mõjud</w:t>
      </w:r>
      <w:r w:rsidR="00CC2819">
        <w:rPr>
          <w:b/>
          <w:bCs/>
        </w:rPr>
        <w:t xml:space="preserve"> </w:t>
      </w:r>
      <w:r w:rsidR="00CC2819" w:rsidRPr="1688D34F">
        <w:rPr>
          <w:b/>
        </w:rPr>
        <w:t>|</w:t>
      </w:r>
      <w:r w:rsidR="00CC2819" w:rsidRPr="288A3578">
        <w:rPr>
          <w:b/>
          <w:bCs/>
        </w:rPr>
        <w:t xml:space="preserve"> </w:t>
      </w:r>
      <w:r>
        <w:t>Õigusselguse loomisel mõistavad turuosalised paremini oma õiguseid ja kohustusi</w:t>
      </w:r>
      <w:r w:rsidR="00D51298">
        <w:t>, mis loob eeldused ka käitumise muutuseks,</w:t>
      </w:r>
      <w:r w:rsidR="00541509">
        <w:t xml:space="preserve"> </w:t>
      </w:r>
      <w:r>
        <w:t>selle</w:t>
      </w:r>
      <w:r w:rsidR="00D51298">
        <w:t>st tulenevalt</w:t>
      </w:r>
      <w:r>
        <w:t xml:space="preserve"> vähenevad konkurentsimoonutused ning suureneb tuleohutus ja julgeolekuasutuste võimekus kuritegevuse tõkestamisel. Mõjude avaldumise eelduseks on praegu ennast majutusettevõtjana mittemääratletavate ja </w:t>
      </w:r>
      <w:r w:rsidR="002E6A3A">
        <w:t xml:space="preserve">TurS-ga </w:t>
      </w:r>
      <w:r>
        <w:t xml:space="preserve">rakenduvaid nõudeid mittetäitvate lühiajalise üüri turu teenuse pakkujate õiguskuulekus. Selle tagamiseks peavad koostatavad juhendid ning nende kommunikatsioon olema selged ja arusaadavad. </w:t>
      </w:r>
      <w:r w:rsidR="00452F19">
        <w:t>Peamiselt mõjutab selle soovituse rakendamine ligikaudu 1600</w:t>
      </w:r>
      <w:r w:rsidR="000E2344">
        <w:t xml:space="preserve"> füüsilisest isikust</w:t>
      </w:r>
      <w:r w:rsidR="00452F19">
        <w:t xml:space="preserve"> teenuse osutajat</w:t>
      </w:r>
      <w:r w:rsidR="004F5D99">
        <w:t xml:space="preserve">, kes lühiajalisel üüri turul aktiivselt tegutsevad. </w:t>
      </w:r>
      <w:r w:rsidR="00E3047E">
        <w:t>Kuid turu toimimise mõttes on tegemist kogu turgu korrastava soovitusega</w:t>
      </w:r>
      <w:r w:rsidR="00AC1915">
        <w:t>.</w:t>
      </w:r>
    </w:p>
    <w:p w14:paraId="4CD4C767" w14:textId="764B5D86" w:rsidR="00872DC3" w:rsidRPr="00E14EBC" w:rsidRDefault="54B6E299" w:rsidP="00872DC3">
      <w:pPr>
        <w:jc w:val="both"/>
      </w:pPr>
      <w:r>
        <w:t xml:space="preserve">Peamiseks riskiks on ebapiisava järelevalve tegemine ja osade teenuse osutajate </w:t>
      </w:r>
      <w:r w:rsidR="001711A3">
        <w:t xml:space="preserve">võimalik </w:t>
      </w:r>
      <w:r>
        <w:t>tahtlik kohustustest kõrvalehiilimine. Rangemate nõuete tulemusel võivad osa</w:t>
      </w:r>
      <w:r w:rsidR="0A3E169A">
        <w:t>d</w:t>
      </w:r>
      <w:r>
        <w:t xml:space="preserve"> lühiajalise üüri turul osalejad, eriti need, kes teevad seda väga ebaregulaarselt, ka sellelt turul lahkuda</w:t>
      </w:r>
      <w:r w:rsidR="001E529A">
        <w:t xml:space="preserve">, sest täiendav majanduslik koormus võib </w:t>
      </w:r>
      <w:r w:rsidR="00440830">
        <w:t>võrreldes teenuse osutamisest saadava kasuga osutuda ebaproportsionaalselt suureks.</w:t>
      </w:r>
      <w:r>
        <w:t xml:space="preserve"> Nende soovimatute mõjude minimeerimiseks on oluline koostada juhendid, mis sisaldavad ka soovitusi, kuidas kõige lihtsamini kehtivaid nõudeid täita selliselt, et see oleks kooskõlas seadusega ja tagaks teenuse kasutajate ohutuse. Lisaks, hetkeolukorda arvestades võib reeglite täitmata jätmine puudutada suhteliselt väikest osa turust, kuid tegemist </w:t>
      </w:r>
      <w:r>
        <w:lastRenderedPageBreak/>
        <w:t xml:space="preserve">on väga dünaamilise turuga ja selle ulatus võib kiiresti muutuda.  </w:t>
      </w:r>
      <w:r w:rsidR="00793A93">
        <w:t>Potentsiaalselt</w:t>
      </w:r>
      <w:r>
        <w:t xml:space="preserve"> võib ka väike arv õnnetusi põhjustada suurt kahju, sh mainekahju Eesti majutussektorile. Seega saab selle soovituse rakendamise mõju lugeda tervikuna oluliseks.</w:t>
      </w:r>
    </w:p>
    <w:p w14:paraId="19F28952" w14:textId="444FE4B3" w:rsidR="00872DC3" w:rsidRPr="00E14EBC" w:rsidRDefault="00872DC3" w:rsidP="00872DC3">
      <w:pPr>
        <w:jc w:val="both"/>
      </w:pPr>
      <w:r w:rsidRPr="00E14EBC">
        <w:rPr>
          <w:b/>
          <w:bCs/>
        </w:rPr>
        <w:t>Soovitatav elluviimise periood</w:t>
      </w:r>
      <w:r w:rsidR="00CC2819">
        <w:rPr>
          <w:b/>
          <w:bCs/>
        </w:rPr>
        <w:t xml:space="preserve"> </w:t>
      </w:r>
      <w:r w:rsidR="00CC2819" w:rsidRPr="1688D34F">
        <w:rPr>
          <w:b/>
        </w:rPr>
        <w:t>|</w:t>
      </w:r>
      <w:r w:rsidRPr="00E14EBC">
        <w:rPr>
          <w:b/>
          <w:bCs/>
        </w:rPr>
        <w:t xml:space="preserve"> </w:t>
      </w:r>
      <w:r w:rsidRPr="00E14EBC">
        <w:t>Koheselt.</w:t>
      </w:r>
    </w:p>
    <w:p w14:paraId="664CC5CE" w14:textId="48058D28" w:rsidR="00916614" w:rsidRPr="00E14EBC" w:rsidRDefault="0C5EF2BE" w:rsidP="00C7081D">
      <w:pPr>
        <w:jc w:val="both"/>
        <w:rPr>
          <w:b/>
          <w:bCs/>
        </w:rPr>
      </w:pPr>
      <w:r w:rsidRPr="288A3578">
        <w:rPr>
          <w:b/>
          <w:bCs/>
        </w:rPr>
        <w:t>Sekkumise rahaline kulu</w:t>
      </w:r>
      <w:r w:rsidR="00CC2819">
        <w:rPr>
          <w:b/>
          <w:bCs/>
        </w:rPr>
        <w:t xml:space="preserve"> </w:t>
      </w:r>
      <w:r w:rsidR="00CC2819" w:rsidRPr="1688D34F">
        <w:rPr>
          <w:b/>
        </w:rPr>
        <w:t>|</w:t>
      </w:r>
      <w:r w:rsidR="54B6E299" w:rsidRPr="288A3578">
        <w:rPr>
          <w:b/>
          <w:bCs/>
        </w:rPr>
        <w:t xml:space="preserve"> </w:t>
      </w:r>
      <w:r w:rsidR="51312431">
        <w:t>Sek</w:t>
      </w:r>
      <w:r w:rsidR="50CC8D45">
        <w:t xml:space="preserve">kumine toob kaasa lisakoormuse </w:t>
      </w:r>
      <w:r w:rsidR="00250CE2">
        <w:t>peamiselt</w:t>
      </w:r>
      <w:r w:rsidR="50CC8D45">
        <w:t xml:space="preserve"> tööjõukuluna</w:t>
      </w:r>
      <w:r w:rsidR="16E4777E">
        <w:t xml:space="preserve"> (juhendite koostamine, tuleohutusalase analüüsi koostamine)</w:t>
      </w:r>
      <w:r w:rsidR="50CC8D45">
        <w:t>,</w:t>
      </w:r>
      <w:r w:rsidR="00250CE2">
        <w:t xml:space="preserve"> </w:t>
      </w:r>
      <w:r w:rsidR="00995D85">
        <w:t>mõningane rahal</w:t>
      </w:r>
      <w:r w:rsidR="003D0528">
        <w:t xml:space="preserve">ine kulu võib kaasneda ka tuleohutusanalüüsi </w:t>
      </w:r>
      <w:r w:rsidR="0084513A">
        <w:t>tellimisel</w:t>
      </w:r>
      <w:r w:rsidR="003D0528">
        <w:t xml:space="preserve"> (</w:t>
      </w:r>
      <w:r w:rsidR="0084513A">
        <w:t>mille põhjal täpsustada majutusteenustele rakenduvaid tuleohutusnõudeid)</w:t>
      </w:r>
      <w:r w:rsidR="003D0528">
        <w:t>, kui selleks peaks vajadus tekkima</w:t>
      </w:r>
      <w:r w:rsidR="0084513A">
        <w:t>.</w:t>
      </w:r>
      <w:r w:rsidR="0072182F">
        <w:t xml:space="preserve"> Paljudele teenuse pakkujatele toob </w:t>
      </w:r>
      <w:r w:rsidR="00F92A08">
        <w:t xml:space="preserve">nõuete </w:t>
      </w:r>
      <w:r w:rsidR="00771AA0">
        <w:t>täpsustamine</w:t>
      </w:r>
      <w:r w:rsidR="00F92A08">
        <w:t xml:space="preserve"> kaasa rahalise kulu. Kuna tuleohutusnõuete </w:t>
      </w:r>
      <w:r w:rsidR="00B44CB6">
        <w:t>osas soovitame teha täiendava</w:t>
      </w:r>
      <w:r w:rsidR="006B1384">
        <w:t xml:space="preserve"> analüüsi, siis kulude suuruse hindamine jääb selle analüüsi piiridest väljapoole.</w:t>
      </w:r>
      <w:r w:rsidR="00A37031">
        <w:t xml:space="preserve"> Külaliste registreerimise nõude täitmisega seonduv kulu sõltub teenuse osutaja valikust, see võib </w:t>
      </w:r>
      <w:r w:rsidR="002B0476">
        <w:t>piirduda mõningase täiendava tö</w:t>
      </w:r>
      <w:r w:rsidR="007452B2">
        <w:t>öajakuluga (nt käsitsi mingit laadi kaustiku pidamine)</w:t>
      </w:r>
      <w:r w:rsidR="00682A7E">
        <w:t>, kuid võib tähendada ka investeeringut vastavasse tarkvarasse.</w:t>
      </w:r>
    </w:p>
    <w:p w14:paraId="449DF349" w14:textId="7DE22F77" w:rsidR="00872DC3" w:rsidRPr="00E14EBC" w:rsidRDefault="00872DC3" w:rsidP="00F754B8">
      <w:pPr>
        <w:pStyle w:val="Heading3"/>
        <w:ind w:left="540"/>
        <w:rPr>
          <w:rFonts w:hint="eastAsia"/>
        </w:rPr>
      </w:pPr>
      <w:bookmarkStart w:id="144" w:name="_Toc208991632"/>
      <w:r w:rsidRPr="00E14EBC">
        <w:t>Võimekus turuseireks ja järelevalveks</w:t>
      </w:r>
      <w:bookmarkEnd w:id="144"/>
    </w:p>
    <w:p w14:paraId="7A8B12B4" w14:textId="46D39131" w:rsidR="00872DC3" w:rsidRPr="00E14EBC" w:rsidRDefault="00872DC3" w:rsidP="00872DC3">
      <w:pPr>
        <w:jc w:val="both"/>
        <w:rPr>
          <w:b/>
          <w:bCs/>
        </w:rPr>
      </w:pPr>
      <w:r w:rsidRPr="1C92C443">
        <w:rPr>
          <w:b/>
          <w:bCs/>
        </w:rPr>
        <w:t>Teema</w:t>
      </w:r>
      <w:r w:rsidR="00CC2819">
        <w:rPr>
          <w:b/>
          <w:bCs/>
        </w:rPr>
        <w:t xml:space="preserve"> </w:t>
      </w:r>
      <w:r w:rsidR="00CC2819" w:rsidRPr="1688D34F">
        <w:rPr>
          <w:b/>
        </w:rPr>
        <w:t>|</w:t>
      </w:r>
      <w:r w:rsidRPr="1C92C443">
        <w:rPr>
          <w:b/>
          <w:bCs/>
        </w:rPr>
        <w:t xml:space="preserve"> </w:t>
      </w:r>
      <w:r>
        <w:t xml:space="preserve">Hetkel on teatud piiratud võimekus lühiajalise üüri turu olukorra analüüsimiseks üksnes üksikutes omavalitsustes, nt Tallinnas. Enamus omavalitsusi aga selle teemaga süsteemselt ei tegele, puudub piisav andmestik ning võimekus turul toimuva järelevalveks ja mõjude hindamiseks. </w:t>
      </w:r>
      <w:r w:rsidR="00101245">
        <w:t>Sama kehtib ka teiste</w:t>
      </w:r>
      <w:r>
        <w:t xml:space="preserve"> järelevalveasutus</w:t>
      </w:r>
      <w:r w:rsidR="00101245">
        <w:t>te</w:t>
      </w:r>
      <w:r>
        <w:t xml:space="preserve"> (</w:t>
      </w:r>
      <w:r w:rsidR="00D31ADF">
        <w:t>PA</w:t>
      </w:r>
      <w:r>
        <w:t xml:space="preserve">, </w:t>
      </w:r>
      <w:r w:rsidR="00D31ADF">
        <w:t>TA</w:t>
      </w:r>
      <w:r>
        <w:t xml:space="preserve">, PPA) </w:t>
      </w:r>
      <w:r w:rsidR="00D27AA2">
        <w:t>kohta,</w:t>
      </w:r>
      <w:r>
        <w:t xml:space="preserve"> </w:t>
      </w:r>
      <w:r w:rsidR="00D27AA2">
        <w:t xml:space="preserve">kellel </w:t>
      </w:r>
      <w:r>
        <w:t xml:space="preserve">puudub praegu </w:t>
      </w:r>
      <w:r w:rsidR="00D27AA2">
        <w:t xml:space="preserve">piisav </w:t>
      </w:r>
      <w:r>
        <w:t xml:space="preserve">ülevaade turust, mille üle nad seaduse alusel järelevalvet </w:t>
      </w:r>
      <w:r w:rsidR="00412DB5">
        <w:t>tegema peaksid</w:t>
      </w:r>
      <w:r w:rsidR="59A30A34">
        <w:t>.</w:t>
      </w:r>
      <w:r>
        <w:t xml:space="preserve"> Seega on keeruline teha ka tulemuslikku ennetustegevust ning pigem tegeletakse tagajärgedega</w:t>
      </w:r>
      <w:r w:rsidR="00D27AA2">
        <w:t xml:space="preserve">, mille </w:t>
      </w:r>
      <w:r w:rsidR="00331691">
        <w:t xml:space="preserve">avaldumise </w:t>
      </w:r>
      <w:r w:rsidR="00D27AA2">
        <w:t xml:space="preserve">kohta me uuringuga </w:t>
      </w:r>
      <w:r w:rsidR="00331691">
        <w:t>küll tõendeid ei leidnud.</w:t>
      </w:r>
    </w:p>
    <w:p w14:paraId="445985C4" w14:textId="3D75CE75" w:rsidR="00872DC3" w:rsidRPr="00E14EBC" w:rsidRDefault="00872DC3" w:rsidP="00872DC3">
      <w:pPr>
        <w:jc w:val="both"/>
      </w:pPr>
      <w:r w:rsidRPr="00E14EBC">
        <w:rPr>
          <w:b/>
          <w:bCs/>
        </w:rPr>
        <w:t>Soovitus</w:t>
      </w:r>
      <w:r w:rsidR="00CC2819">
        <w:rPr>
          <w:b/>
          <w:bCs/>
        </w:rPr>
        <w:t xml:space="preserve"> </w:t>
      </w:r>
      <w:r w:rsidR="00CC2819" w:rsidRPr="1688D34F">
        <w:rPr>
          <w:b/>
        </w:rPr>
        <w:t>|</w:t>
      </w:r>
      <w:r w:rsidRPr="00E14EBC">
        <w:t xml:space="preserve"> Parandada võimekust lühiajalise üüri</w:t>
      </w:r>
      <w:r w:rsidR="00375F98">
        <w:t xml:space="preserve"> </w:t>
      </w:r>
      <w:r w:rsidRPr="00E14EBC">
        <w:t xml:space="preserve">turu seiramiseks ning järelevalveks. Selle saavutamiseks soovitame järgmist: </w:t>
      </w:r>
    </w:p>
    <w:p w14:paraId="396D8C24" w14:textId="6B7E272F" w:rsidR="00872DC3" w:rsidRPr="00E14EBC" w:rsidRDefault="00872DC3" w:rsidP="00872DC3">
      <w:pPr>
        <w:jc w:val="both"/>
      </w:pPr>
      <w:r w:rsidRPr="00E14EBC">
        <w:t xml:space="preserve">(i) </w:t>
      </w:r>
      <w:r w:rsidR="00722F01">
        <w:t>KOV-del</w:t>
      </w:r>
      <w:r w:rsidRPr="00E14EBC">
        <w:t>, kelle territooriumil toimub aktiivne turismi- ja sellega seonduv majutusteenuste osutamise alane tegevus, arendada välja võimekus regulaarseks turuseireks ja mõjude hindamiseks</w:t>
      </w:r>
      <w:r w:rsidR="0020510E">
        <w:t>, kasutades vajadusel abivahendina uuringu raames väljapakutud tööriista</w:t>
      </w:r>
      <w:r w:rsidRPr="00E14EBC">
        <w:t>.</w:t>
      </w:r>
    </w:p>
    <w:p w14:paraId="3AA6160C" w14:textId="227178EF" w:rsidR="00872DC3" w:rsidRPr="00E14EBC" w:rsidRDefault="54B6E299" w:rsidP="00872DC3">
      <w:pPr>
        <w:jc w:val="both"/>
      </w:pPr>
      <w:r>
        <w:t xml:space="preserve">(ii) </w:t>
      </w:r>
      <w:r w:rsidR="00722F01">
        <w:t>MTA-l</w:t>
      </w:r>
      <w:r>
        <w:t xml:space="preserve"> koostöös </w:t>
      </w:r>
      <w:r w:rsidR="00722F01">
        <w:t xml:space="preserve">RM-i </w:t>
      </w:r>
      <w:r w:rsidR="00717702">
        <w:t xml:space="preserve">ja </w:t>
      </w:r>
      <w:r w:rsidR="00722F01">
        <w:t>MKM-ga</w:t>
      </w:r>
      <w:r>
        <w:t xml:space="preserve"> otsida nii õiguslikke kui ka tehnilisi võimalusi platvormialase teabe automaat</w:t>
      </w:r>
      <w:r w:rsidR="41B70F58">
        <w:t>s</w:t>
      </w:r>
      <w:r>
        <w:t>e vahetus</w:t>
      </w:r>
      <w:r w:rsidR="7FDA1631">
        <w:t>e</w:t>
      </w:r>
      <w:r>
        <w:t xml:space="preserve"> (DAC7) raames vahetatavate andmete jagamiseks KOV-dele või nende andmete põhjal regulaarsete ülevaadete koostamiseks.</w:t>
      </w:r>
    </w:p>
    <w:p w14:paraId="10A8A374" w14:textId="0BB6FCD7" w:rsidR="00872DC3" w:rsidRPr="00E14EBC" w:rsidRDefault="54B6E299" w:rsidP="00872DC3">
      <w:pPr>
        <w:jc w:val="both"/>
      </w:pPr>
      <w:r>
        <w:t xml:space="preserve">(iii) </w:t>
      </w:r>
      <w:r w:rsidR="00722F01">
        <w:t xml:space="preserve">SA-l </w:t>
      </w:r>
      <w:r>
        <w:t xml:space="preserve">koostöös </w:t>
      </w:r>
      <w:r w:rsidR="00722F01">
        <w:t>MKM-ga</w:t>
      </w:r>
      <w:r>
        <w:t xml:space="preserve"> otsida võimalusi Eurostati avaldatavate lühiajalise üüri turu statistika jagamiseks KOV-dele.</w:t>
      </w:r>
    </w:p>
    <w:p w14:paraId="30934B7E" w14:textId="07B44598" w:rsidR="00872DC3" w:rsidRPr="00E14EBC" w:rsidRDefault="54B6E299" w:rsidP="00872DC3">
      <w:pPr>
        <w:jc w:val="both"/>
      </w:pPr>
      <w:r>
        <w:t xml:space="preserve">(iv) </w:t>
      </w:r>
      <w:r w:rsidR="00173A37">
        <w:t xml:space="preserve">Vajadusel võiksid </w:t>
      </w:r>
      <w:r w:rsidR="00722F01">
        <w:t>KOV-d</w:t>
      </w:r>
      <w:r>
        <w:t xml:space="preserve"> </w:t>
      </w:r>
      <w:r w:rsidR="00D32509">
        <w:t xml:space="preserve">andmevajaduse rahuldamiseks </w:t>
      </w:r>
      <w:r>
        <w:t>suurendada koostööd digitaalsete platvormidega andmevahetuse</w:t>
      </w:r>
      <w:r w:rsidR="0086357B">
        <w:t xml:space="preserve"> ja järelevalve</w:t>
      </w:r>
      <w:r>
        <w:t xml:space="preserve"> eesmärgil</w:t>
      </w:r>
      <w:r w:rsidR="6C033313">
        <w:t xml:space="preserve"> või hanki</w:t>
      </w:r>
      <w:r w:rsidR="649ED99E">
        <w:t>d</w:t>
      </w:r>
      <w:r w:rsidR="6C033313">
        <w:t>a</w:t>
      </w:r>
      <w:r w:rsidR="04D97302">
        <w:t xml:space="preserve"> infot</w:t>
      </w:r>
      <w:r w:rsidR="6C033313">
        <w:t xml:space="preserve"> </w:t>
      </w:r>
      <w:r w:rsidR="469EF52C">
        <w:t>andme</w:t>
      </w:r>
      <w:r w:rsidR="65E0E03D">
        <w:t>- ja analüüsiteenuseid pakkuvatelt ettevõtetelt</w:t>
      </w:r>
      <w:r w:rsidR="008A6677">
        <w:t xml:space="preserve">, sh vajadusel arendada ka </w:t>
      </w:r>
      <w:r w:rsidR="00722F01">
        <w:t xml:space="preserve">KOV-de </w:t>
      </w:r>
      <w:r w:rsidR="008A6677">
        <w:t>vahelist koostööd</w:t>
      </w:r>
      <w:r w:rsidR="00A474AE">
        <w:t xml:space="preserve"> platvormidega suhtlemisel</w:t>
      </w:r>
      <w:r>
        <w:t>.</w:t>
      </w:r>
    </w:p>
    <w:p w14:paraId="1DC3FD03" w14:textId="29DE869A" w:rsidR="00872DC3" w:rsidRPr="00E14EBC" w:rsidRDefault="54B6E299" w:rsidP="00872DC3">
      <w:pPr>
        <w:jc w:val="both"/>
      </w:pPr>
      <w:r w:rsidRPr="288A3578">
        <w:rPr>
          <w:b/>
          <w:bCs/>
        </w:rPr>
        <w:t>Tegevus</w:t>
      </w:r>
      <w:r w:rsidR="00CC2819">
        <w:rPr>
          <w:b/>
          <w:bCs/>
        </w:rPr>
        <w:t xml:space="preserve"> </w:t>
      </w:r>
      <w:r w:rsidR="00CC2819" w:rsidRPr="1688D34F">
        <w:rPr>
          <w:b/>
        </w:rPr>
        <w:t>|</w:t>
      </w:r>
      <w:r w:rsidRPr="288A3578">
        <w:rPr>
          <w:b/>
          <w:bCs/>
        </w:rPr>
        <w:t xml:space="preserve"> </w:t>
      </w:r>
      <w:r>
        <w:t xml:space="preserve">Kohalikud omavalitsused hindavad majutusteenuste turu olukorda ja vajadust regulaarsete turuülevaadete koostamiseks. Vajadusel hakatakse koostama regulaarseid turuülevaateid, juhindudes nt antud uuringus soovitatud digitaalse tööriista loogikast või mõnest </w:t>
      </w:r>
      <w:r>
        <w:lastRenderedPageBreak/>
        <w:t>muust juba kasutusel olevast või antud omavalitsuse analüütilisele pädevusele vastavast analüüs</w:t>
      </w:r>
      <w:r w:rsidR="00A90323">
        <w:t>i</w:t>
      </w:r>
      <w:r>
        <w:t>raamistikust. Statistikaamet, Maksu- ja Tolliamet ning Majandus- ja Kommunikatsiooniministeerium loovad töörühma, et leida lahendused õiguslike ja tehniliste piirangute ületamiseks lühiajalise üüri turu kohta kogutavate andmete lihtsamaks vahetamiseks.</w:t>
      </w:r>
    </w:p>
    <w:p w14:paraId="02CE2693" w14:textId="78CC3B27" w:rsidR="00872DC3" w:rsidRPr="00E14EBC" w:rsidRDefault="00872DC3" w:rsidP="00872DC3">
      <w:pPr>
        <w:jc w:val="both"/>
      </w:pPr>
      <w:r w:rsidRPr="00E14EBC">
        <w:rPr>
          <w:b/>
          <w:bCs/>
        </w:rPr>
        <w:t>Adressaat</w:t>
      </w:r>
      <w:r w:rsidR="00CC2819">
        <w:rPr>
          <w:b/>
          <w:bCs/>
        </w:rPr>
        <w:t xml:space="preserve"> </w:t>
      </w:r>
      <w:r w:rsidR="00CC2819" w:rsidRPr="1688D34F">
        <w:rPr>
          <w:b/>
        </w:rPr>
        <w:t>|</w:t>
      </w:r>
      <w:r w:rsidRPr="00E14EBC">
        <w:t xml:space="preserve"> </w:t>
      </w:r>
      <w:r w:rsidR="007A3906">
        <w:t>MKM</w:t>
      </w:r>
      <w:r w:rsidRPr="00E14EBC">
        <w:t>,</w:t>
      </w:r>
      <w:r w:rsidR="0053153C">
        <w:t xml:space="preserve"> </w:t>
      </w:r>
      <w:r w:rsidR="007A3906">
        <w:t>RM</w:t>
      </w:r>
      <w:r w:rsidR="0053153C">
        <w:t>,</w:t>
      </w:r>
      <w:r w:rsidRPr="00E14EBC">
        <w:t xml:space="preserve"> </w:t>
      </w:r>
      <w:r w:rsidR="007A3906">
        <w:t>MTA</w:t>
      </w:r>
      <w:r w:rsidRPr="00E14EBC">
        <w:t xml:space="preserve">, </w:t>
      </w:r>
      <w:r w:rsidR="007A3906">
        <w:t>SA</w:t>
      </w:r>
      <w:r w:rsidRPr="00E14EBC">
        <w:t>, KOV-d.</w:t>
      </w:r>
    </w:p>
    <w:p w14:paraId="39AA77A5" w14:textId="4E064220" w:rsidR="00872DC3" w:rsidRPr="00E14EBC" w:rsidRDefault="54B6E299" w:rsidP="00872DC3">
      <w:pPr>
        <w:jc w:val="both"/>
      </w:pPr>
      <w:r w:rsidRPr="288A3578">
        <w:rPr>
          <w:b/>
          <w:bCs/>
        </w:rPr>
        <w:t>Põhjendus</w:t>
      </w:r>
      <w:r w:rsidR="00CC2819">
        <w:rPr>
          <w:b/>
          <w:bCs/>
        </w:rPr>
        <w:t xml:space="preserve"> </w:t>
      </w:r>
      <w:r w:rsidR="00CC2819" w:rsidRPr="1688D34F">
        <w:rPr>
          <w:b/>
        </w:rPr>
        <w:t>|</w:t>
      </w:r>
      <w:r>
        <w:t xml:space="preserve"> Lühiajalise üüri turuga kaasnevad probleemid on lokaalse iseloomuga. Tänasel päeval on lühiajalise üüri turu mõju nt elukeskkonnale avaldunud pigem üksikutes piirkondades Eestis, nagu nt Tallinna </w:t>
      </w:r>
      <w:r w:rsidR="002337CE">
        <w:t>v</w:t>
      </w:r>
      <w:r>
        <w:t>analinn või Pärnu linn. Seega eeldab nende tuvastamine ning ulatuse ja sageduse hindamine analüüsi, mis arvestaks kohaliku elu eripärade ja kontekstiga. Uuringud teistes riikides on näidanud, et lühiajalise üüri turu kasv mõjutab tuntavalt eluasemete kättesaadavust ning tõstab ka nende hinnataset. Piirkondlik mõju on suurim turistidele atraktiivsetes piirkondades. Ökonomeetriliste mudelitega leidsime ka selles uuringus tõendeid lühiajalise üüri turu mõjust nii hindadele kui ka pakkumisele eluasemeturul. Kuigi hetkel hindame lühiajalise üüri</w:t>
      </w:r>
      <w:r w:rsidR="00A07CB5">
        <w:t xml:space="preserve"> </w:t>
      </w:r>
      <w:r>
        <w:t>turust tulenevaid probleeme eluaseme kättesaadavuse osas pigem ebaoluliseks, siis võib see tulevikus tuntavalt suureneda. Juba praegu on lühiajalisel turul pindade üürimahud suhtena riigi rahvaarvu võrreldav</w:t>
      </w:r>
      <w:r w:rsidR="2611C1A5">
        <w:t>ad</w:t>
      </w:r>
      <w:r>
        <w:t xml:space="preserve"> Euroopa riikide keskmisega, kusjuures see on kõrgem kui Saksamaal, Šveitsis, Poolas või Tšehhis.</w:t>
      </w:r>
      <w:r w:rsidR="00E9772E">
        <w:t xml:space="preserve"> </w:t>
      </w:r>
      <w:r w:rsidR="00C20694">
        <w:t xml:space="preserve">Seega tasub </w:t>
      </w:r>
      <w:r w:rsidR="00757195">
        <w:t>selles uuringus teostatud mudeldamise ülesannet korrata mõne aja pärast uuesti.</w:t>
      </w:r>
    </w:p>
    <w:p w14:paraId="5BBCCF28" w14:textId="5B746C71" w:rsidR="00872DC3" w:rsidRPr="00E14EBC" w:rsidRDefault="54B6E299" w:rsidP="00872DC3">
      <w:pPr>
        <w:jc w:val="both"/>
      </w:pPr>
      <w:r>
        <w:t>Arvestades ka Eestis teatud piirkondades eluaseme nappust eriti just üüriturul, siis soovitame seda valdkonda süsteemselt seirata ja vajadusel kavandada sekkumismeetmed vastavalt KOV eluasemepoliitikale. Samas tuleb arvestada, et eluasemeturu passiivsus on Eesti paljudes piirkondades struktuurne probleem ja lühiajalise üüri turu reguleerimine seda ei lahendada, vaid võib üksnes leevendada. Samas või</w:t>
      </w:r>
      <w:r w:rsidR="2499E5A2">
        <w:t>b</w:t>
      </w:r>
      <w:r>
        <w:t xml:space="preserve"> lühiajalise üürimise kontsentreerumi</w:t>
      </w:r>
      <w:r w:rsidR="17DB65E5">
        <w:t>ne</w:t>
      </w:r>
      <w:r>
        <w:t xml:space="preserve"> teatud piirkondadesse siiski põhjustada akuutset eluaseme defitsiiti, kuhu kohalikul omavalitsusel peab olema õigus ja võimalus sekkuda, et täita oma funktsiooni kohaliku elukeskkonna ja majanduse arendamisel.</w:t>
      </w:r>
    </w:p>
    <w:p w14:paraId="756416AE" w14:textId="6123A24F" w:rsidR="00872DC3" w:rsidRPr="00E14EBC" w:rsidRDefault="006C7F13" w:rsidP="00872DC3">
      <w:pPr>
        <w:jc w:val="both"/>
      </w:pPr>
      <w:r>
        <w:t>TurS</w:t>
      </w:r>
      <w:r w:rsidR="00883570">
        <w:t>-i</w:t>
      </w:r>
      <w:r>
        <w:t xml:space="preserve"> </w:t>
      </w:r>
      <w:r w:rsidR="54B6E299">
        <w:t>alusel (</w:t>
      </w:r>
      <w:r w:rsidR="00AF7581">
        <w:t>§</w:t>
      </w:r>
      <w:r w:rsidR="54B6E299">
        <w:t>30, lg2, p4) on kohalikele omavalitsustele pandud kohustus oma haldusterritooriumil teostada järelevalvet majutusteenuse osutamisele kehtestatud nõuete täitmise üle. Kuigi lühiajalise üüri turu kohta on praegu andmete kättesaadavus piiratud, on siiski võimalik ka juba praegu teatud näitajate kohta regulaarse</w:t>
      </w:r>
      <w:r w:rsidR="54D51FA5">
        <w:t>id</w:t>
      </w:r>
      <w:r w:rsidR="54B6E299">
        <w:t xml:space="preserve"> ülevaa</w:t>
      </w:r>
      <w:r w:rsidR="766C8684">
        <w:t>teid</w:t>
      </w:r>
      <w:r w:rsidR="54B6E299">
        <w:t xml:space="preserve"> koosta</w:t>
      </w:r>
      <w:r w:rsidR="521CB3B3">
        <w:t>da</w:t>
      </w:r>
      <w:r w:rsidR="54B6E299">
        <w:t xml:space="preserve"> vähemalt maakonna tasandil ning erinevate lühiajalise üüri turuga seotud valdkondades </w:t>
      </w:r>
      <w:r w:rsidR="5E260E78">
        <w:t xml:space="preserve">(nt pikaajalise üüri turu, kohaliku tööturu, </w:t>
      </w:r>
      <w:r w:rsidR="004914FE" w:rsidRPr="00BE179D">
        <w:t>toimepandud süütegude</w:t>
      </w:r>
      <w:r w:rsidR="5E260E78" w:rsidRPr="004914FE">
        <w:t>)</w:t>
      </w:r>
      <w:r w:rsidR="5E260E78">
        <w:t xml:space="preserve"> </w:t>
      </w:r>
      <w:r w:rsidR="54B6E299">
        <w:t>toimuva kohta ka omavalitsusüksuste tasandil. Samas on KOV-del võimalik koguda olukorra kaardistamiseks teavet ka teistelt kohalikul tasandil tegutsevatelt ja lühiajalise üüri turu võim</w:t>
      </w:r>
      <w:r w:rsidR="2519215F">
        <w:t>a</w:t>
      </w:r>
      <w:r w:rsidR="54B6E299">
        <w:t xml:space="preserve">like negatiivsete mõjudega kokkupuutuvatelt osapooltelt (PPA, korteriühistud, </w:t>
      </w:r>
      <w:r w:rsidR="00D31ADF">
        <w:t>PA</w:t>
      </w:r>
      <w:r w:rsidR="54B6E299">
        <w:t>), luues selleks vajadusel vastavad teabe edastamise kanalid (nt tõstes kohalike elanike teadlik</w:t>
      </w:r>
      <w:r w:rsidR="2C67002A">
        <w:t>k</w:t>
      </w:r>
      <w:r w:rsidR="54B6E299">
        <w:t>ust erinevat liiki häiringute kohta teavituste edastamise võimalustest KOV-le). Samuti saab primaarandmeid koguda majutusteenust vahendavatest portaalidest vähemalt oma piirkonnast piste</w:t>
      </w:r>
      <w:r w:rsidR="739FBAC3">
        <w:t>l</w:t>
      </w:r>
      <w:r w:rsidR="54B6E299">
        <w:t>iste ülevaadete koostamiseks.</w:t>
      </w:r>
    </w:p>
    <w:p w14:paraId="1BC719A8" w14:textId="5CC011B9" w:rsidR="00872DC3" w:rsidRPr="00E14EBC" w:rsidRDefault="54B6E299" w:rsidP="00872DC3">
      <w:pPr>
        <w:jc w:val="both"/>
      </w:pPr>
      <w:r>
        <w:t>Uuringu põhjal loeme kõige usaldusväärsemaks ja täpsemaks andmeallikaks Eurostati koostatavat ja Statistikaameti vahendatud eksperimentaalstatistikat lühiajalise üüri teenuse kasutamise</w:t>
      </w:r>
      <w:r w:rsidR="04BFE8C4">
        <w:t>st</w:t>
      </w:r>
      <w:r>
        <w:t xml:space="preserve"> ning Maksu- ja Tolliameti vahendatud andmeid, mida kogutakse platvormialase </w:t>
      </w:r>
      <w:r>
        <w:lastRenderedPageBreak/>
        <w:t>teabe automaatne vahetuse raames. Samas on mõlema andmestiku kasutusel piirangud. Kui esimene andmestik annab ülevaate turu nõudluse poolest, siis teine pigem teenuse osutajatest ehk pakkumisest. Eurostat ise avaldab nõudluse andmeid üksnes Eesti kohta tervikuna, kuid Statistikaameti vahendusel oli võimalik hankida ka maakonna tasandi andmeid. Veelgi paremini kasutatavad oleksid andmed omavalitsusüksuste lõikes, see võimaldaks igal omavalitsusel enda piirkonnast saada paremat ülevaadet</w:t>
      </w:r>
      <w:r w:rsidR="005511A1">
        <w:t xml:space="preserve">, kuigi hetkeseisuga </w:t>
      </w:r>
      <w:r w:rsidR="00C13B09">
        <w:t>pole see SA hinnangul realistlik.</w:t>
      </w:r>
      <w:r>
        <w:t xml:space="preserve"> MTA vahendusel saadud platvormide andmetel seab aga piirangu loa küsimise nõue teistelt maksuhalduritelt</w:t>
      </w:r>
      <w:r w:rsidR="00DA3A17">
        <w:rPr>
          <w:rStyle w:val="FootnoteReference"/>
        </w:rPr>
        <w:footnoteReference w:id="170"/>
      </w:r>
      <w:r>
        <w:t>, mis on administratiivselt koormav, lisaks ka andmete töötlemise koormus nende jagamiseks sobivale kujule. Seetõttu meie ettepanek on edasi uurida võimalusi nende andmete jagamiseks võimalikult väikest administratiivset koormust tekitavas vormis, vajadusel selleks muuta ka maksukorralduse seadust.</w:t>
      </w:r>
      <w:r w:rsidR="001A5368">
        <w:t xml:space="preserve"> See aitaks vältida pidevatele päringutele vastamist, mis oleks koormav nii päringu tegijatele kui ka </w:t>
      </w:r>
      <w:r w:rsidR="00516764">
        <w:t>andmete jagajale.</w:t>
      </w:r>
    </w:p>
    <w:p w14:paraId="40301307" w14:textId="00C47BCE" w:rsidR="00872DC3" w:rsidRPr="00E14EBC" w:rsidRDefault="54B6E299" w:rsidP="00872DC3">
      <w:pPr>
        <w:jc w:val="both"/>
      </w:pPr>
      <w:r>
        <w:t>Tiheda</w:t>
      </w:r>
      <w:r w:rsidR="00C82527">
        <w:t>m</w:t>
      </w:r>
      <w:r>
        <w:t xml:space="preserve"> koostöö majutusteenust vahendavate platvormidega on täiendav võimalus ligipääsu andmetele parandada, nt Airbnb City Portali kaudu. Platvormid aitavad juba praegu erinevates riikides nt regulatiivsete piirangute rakendamise</w:t>
      </w:r>
      <w:r w:rsidR="5993DE81">
        <w:t>l</w:t>
      </w:r>
      <w:r>
        <w:t xml:space="preserve">, aga ka maksude kogumisel. See kinnitab, et neil on valmisolek teha avaliku sektoriga koostööd. </w:t>
      </w:r>
      <w:r w:rsidR="00A474AE">
        <w:t>Kohalike omavalitsuste omavahelise</w:t>
      </w:r>
      <w:r w:rsidR="007B7796">
        <w:t xml:space="preserve"> (</w:t>
      </w:r>
      <w:r w:rsidR="00A474AE">
        <w:t>sh rahvusvahelise</w:t>
      </w:r>
      <w:r w:rsidR="007B7796">
        <w:t>)</w:t>
      </w:r>
      <w:r w:rsidR="00A474AE">
        <w:t xml:space="preserve"> koostöö</w:t>
      </w:r>
      <w:r w:rsidR="007B7796">
        <w:t xml:space="preserve"> kaudu oleks ilmselt võimalik seda veelgi tõhustada.</w:t>
      </w:r>
      <w:r w:rsidR="00A474AE">
        <w:t xml:space="preserve"> </w:t>
      </w:r>
      <w:r>
        <w:t>Selle uuringu raames ei leidnud me sobivat ja kuluefektiivset ning Eesti konteksti sobivat võimalust nende andmete kasutamiseks mõjude hindamisel. Platvormidega tihedamat koostööd tehes ja oma ootusi ja vajadusi neile selgitades, lisaks võttes arvesse arenguid masinõppe ja andmetöötuse valdkonnas, võib avada uusi võimalusi asjakohaste andmete saamiseks, miks mitte ka reaalajas andmete vahetamise võimaluste loomisel. Alternatiiviks on ka erinevate andme- ja analüüsiteenuseid pakkuvad ettevõtted, kes ise turuandmeid platvormide</w:t>
      </w:r>
      <w:r w:rsidR="7327B516">
        <w:t>st</w:t>
      </w:r>
      <w:r>
        <w:t xml:space="preserve"> koguvad ja turuanalüüsid ette valmistavad (nt AirDNA, Inside Airbnb, Lighthouse jt). Kuigi </w:t>
      </w:r>
      <w:r w:rsidR="007A1AC1">
        <w:t xml:space="preserve">detailsemate </w:t>
      </w:r>
      <w:r>
        <w:t xml:space="preserve">andmete hankimine nendelt võib olla ebamõistlikult kallis, siis KOV-dele jõukohase tasu eest on suuremate linnade kohta kirjeldavate ülevaadete koostamist võimaldavaid andmeid võimalik suhteliselt kuluefektiivselt hankida juba praegu. </w:t>
      </w:r>
    </w:p>
    <w:p w14:paraId="0F56DAF3" w14:textId="2F16A4FD" w:rsidR="00872DC3" w:rsidRPr="00E14EBC" w:rsidRDefault="54B6E299" w:rsidP="00872DC3">
      <w:pPr>
        <w:jc w:val="both"/>
      </w:pPr>
      <w:r w:rsidRPr="288A3578">
        <w:rPr>
          <w:b/>
          <w:bCs/>
        </w:rPr>
        <w:t>Mõjud</w:t>
      </w:r>
      <w:r w:rsidR="00CC2819">
        <w:rPr>
          <w:b/>
          <w:bCs/>
        </w:rPr>
        <w:t xml:space="preserve"> </w:t>
      </w:r>
      <w:r w:rsidR="00CC2819" w:rsidRPr="1688D34F">
        <w:rPr>
          <w:b/>
        </w:rPr>
        <w:t>|</w:t>
      </w:r>
      <w:r>
        <w:t xml:space="preserve"> Turuseire võimekuse parandamine nõuab küll ressurssi, kuid samas võimaldab teha ka paremaid ja tõenduspõhiseid otsuseid. Omavalitsustes, kus lühiajali</w:t>
      </w:r>
      <w:r w:rsidR="278DC519">
        <w:t>s</w:t>
      </w:r>
      <w:r>
        <w:t>e üüri turg ei ole suuremahuline ja märgatav, soovitame selliseid analüüse teha harvem (nt korra 5 aasta jooksul või kui on viiteid, et olukord on oluliselt muutumas)</w:t>
      </w:r>
      <w:r w:rsidR="4CCAB9A0">
        <w:t>,</w:t>
      </w:r>
      <w:r>
        <w:t xml:space="preserve"> kuna nendega loodav lisaväärtus on väiksem ning turu seiramiseks piisab ka juba praegu kättesaadavatest andmetest. Kuid nendes piirkondades, kus lühiajali</w:t>
      </w:r>
      <w:r w:rsidR="7BF0F600">
        <w:t>s</w:t>
      </w:r>
      <w:r>
        <w:t>e üüri turg on elukeskkonda, majutussektorit ning turvalisust juba tuntavalt mõjutamas, aitab regulaarsete ülevaadete koostamine (nt korra aastas või poolaastas) rakendada sobivaid meetmeid probleemide lahendamisel ja ka nende ennetamisel. Tõenduspõhised lähenemised aitavad vähendada ka erinevate sekkumistega kaasnevaid soovimatuid kõrvalmõjusid, kuna võimaldavad sekkumist paremini sihistada. Seega üldistatult on selle soovitus</w:t>
      </w:r>
      <w:r w:rsidR="7AA6FB53">
        <w:t>e</w:t>
      </w:r>
      <w:r>
        <w:t xml:space="preserve"> rakendamise peamiseks mõjuks KOV ametnike suurem teadlikkus oma piirkonna probleemidest ning nende lahendusvõimalustest.</w:t>
      </w:r>
    </w:p>
    <w:p w14:paraId="121A42DE" w14:textId="12C45428" w:rsidR="00872DC3" w:rsidRPr="00E14EBC" w:rsidRDefault="00872DC3" w:rsidP="00872DC3">
      <w:pPr>
        <w:jc w:val="both"/>
      </w:pPr>
      <w:r w:rsidRPr="00E14EBC">
        <w:rPr>
          <w:b/>
          <w:bCs/>
        </w:rPr>
        <w:lastRenderedPageBreak/>
        <w:t>Soovitatav elluviimise periood</w:t>
      </w:r>
      <w:r w:rsidR="00CC2819">
        <w:rPr>
          <w:b/>
          <w:bCs/>
        </w:rPr>
        <w:t xml:space="preserve"> </w:t>
      </w:r>
      <w:r w:rsidR="00CC2819" w:rsidRPr="1688D34F">
        <w:rPr>
          <w:b/>
        </w:rPr>
        <w:t>|</w:t>
      </w:r>
      <w:r w:rsidRPr="00E14EBC">
        <w:rPr>
          <w:b/>
          <w:bCs/>
        </w:rPr>
        <w:t xml:space="preserve"> </w:t>
      </w:r>
      <w:r w:rsidRPr="00E14EBC">
        <w:t>Koheselt.</w:t>
      </w:r>
    </w:p>
    <w:p w14:paraId="76FB4ADF" w14:textId="44BED549" w:rsidR="00916614" w:rsidRPr="00102F68" w:rsidRDefault="60B66FAF" w:rsidP="00102F68">
      <w:pPr>
        <w:jc w:val="both"/>
      </w:pPr>
      <w:r w:rsidRPr="288A3578">
        <w:rPr>
          <w:b/>
          <w:bCs/>
        </w:rPr>
        <w:t>Sekkumise</w:t>
      </w:r>
      <w:r w:rsidR="54B6E299" w:rsidRPr="288A3578">
        <w:rPr>
          <w:b/>
          <w:bCs/>
        </w:rPr>
        <w:t xml:space="preserve"> rahaline </w:t>
      </w:r>
      <w:r w:rsidRPr="288A3578">
        <w:rPr>
          <w:b/>
          <w:bCs/>
        </w:rPr>
        <w:t>kulu</w:t>
      </w:r>
      <w:r w:rsidR="00CC2819">
        <w:rPr>
          <w:b/>
          <w:bCs/>
        </w:rPr>
        <w:t xml:space="preserve"> </w:t>
      </w:r>
      <w:r w:rsidR="00CC2819" w:rsidRPr="1688D34F">
        <w:rPr>
          <w:b/>
        </w:rPr>
        <w:t>|</w:t>
      </w:r>
      <w:r w:rsidR="54B6E299" w:rsidRPr="288A3578">
        <w:rPr>
          <w:b/>
          <w:bCs/>
        </w:rPr>
        <w:t xml:space="preserve"> </w:t>
      </w:r>
      <w:r w:rsidR="54B6E299">
        <w:t>Mõõdukad (kuid KOV-dele kindlasti jõukohased) kulud kaasnevad juhul, kui otsustatakse andmeid os</w:t>
      </w:r>
      <w:r w:rsidR="4E31519D">
        <w:t>ta</w:t>
      </w:r>
      <w:r w:rsidR="54B6E299">
        <w:t>.</w:t>
      </w:r>
      <w:r>
        <w:t xml:space="preserve"> Muus osas toob sekkumine kaasa lisakoormuse </w:t>
      </w:r>
      <w:r w:rsidR="009B6B75">
        <w:t>peamiselt</w:t>
      </w:r>
      <w:r>
        <w:t xml:space="preserve"> tööjõukuluna</w:t>
      </w:r>
      <w:r w:rsidR="00E478CD">
        <w:t>.</w:t>
      </w:r>
    </w:p>
    <w:p w14:paraId="4FCCAF7E" w14:textId="36F2A0F1" w:rsidR="00872DC3" w:rsidRPr="00E14EBC" w:rsidRDefault="00872DC3" w:rsidP="00F754B8">
      <w:pPr>
        <w:pStyle w:val="Heading3"/>
        <w:ind w:left="450"/>
        <w:rPr>
          <w:rFonts w:hint="eastAsia"/>
        </w:rPr>
      </w:pPr>
      <w:bookmarkStart w:id="145" w:name="_Toc208991633"/>
      <w:r w:rsidRPr="00E14EBC">
        <w:t>Nõustamine ja koostöö</w:t>
      </w:r>
      <w:bookmarkEnd w:id="145"/>
    </w:p>
    <w:p w14:paraId="7A755ECB" w14:textId="11D257E0" w:rsidR="00872DC3" w:rsidRPr="00E14EBC" w:rsidRDefault="00872DC3" w:rsidP="00872DC3">
      <w:pPr>
        <w:jc w:val="both"/>
        <w:rPr>
          <w:b/>
          <w:bCs/>
        </w:rPr>
      </w:pPr>
      <w:r w:rsidRPr="00E14EBC">
        <w:rPr>
          <w:b/>
          <w:bCs/>
        </w:rPr>
        <w:t>Teema</w:t>
      </w:r>
      <w:r w:rsidR="00CC2819">
        <w:rPr>
          <w:b/>
          <w:bCs/>
        </w:rPr>
        <w:t xml:space="preserve"> </w:t>
      </w:r>
      <w:r w:rsidR="00CC2819" w:rsidRPr="1688D34F">
        <w:rPr>
          <w:b/>
        </w:rPr>
        <w:t>|</w:t>
      </w:r>
      <w:r w:rsidRPr="00E14EBC">
        <w:rPr>
          <w:b/>
          <w:bCs/>
        </w:rPr>
        <w:t xml:space="preserve"> </w:t>
      </w:r>
      <w:r w:rsidRPr="00E14EBC">
        <w:t>Lühiajalise üüri turul ilmnev keskne probleem on negatiivne välismõju, mis tähendab, et teenusega kaasnevat negatiivset koormust ja kulu kannavad kolmandad osapooled, kellele seda ei kompenseerita. Näited mõjudest, mille kohta leidsime ka Eestis tõendeid, on häiringud kortermajades või tuleohutusega seotud riskid pindadel, kus ei järgita tuleohutuse nõudeid.</w:t>
      </w:r>
    </w:p>
    <w:p w14:paraId="03C292C7" w14:textId="4D81E89E" w:rsidR="00872DC3" w:rsidRPr="00E14EBC" w:rsidRDefault="54B6E299" w:rsidP="00872DC3">
      <w:pPr>
        <w:jc w:val="both"/>
      </w:pPr>
      <w:r w:rsidRPr="288A3578">
        <w:rPr>
          <w:b/>
          <w:bCs/>
        </w:rPr>
        <w:t>Soovitus</w:t>
      </w:r>
      <w:r w:rsidR="00CC2819">
        <w:rPr>
          <w:b/>
          <w:bCs/>
        </w:rPr>
        <w:t xml:space="preserve"> </w:t>
      </w:r>
      <w:r w:rsidR="00CC2819" w:rsidRPr="1688D34F">
        <w:rPr>
          <w:b/>
        </w:rPr>
        <w:t>|</w:t>
      </w:r>
      <w:r w:rsidRPr="288A3578">
        <w:rPr>
          <w:b/>
          <w:bCs/>
        </w:rPr>
        <w:t xml:space="preserve"> </w:t>
      </w:r>
      <w:r>
        <w:t>Soovitame KOV-dele, kelle haldusüksuses on juba ilmnenud või võivad lähiaastatel ilmneda märgatavad probleemid lühiajalise üürimisega, kaaluda järgmisi sekkumisi:</w:t>
      </w:r>
    </w:p>
    <w:p w14:paraId="5A8587AD" w14:textId="2CD60A61" w:rsidR="00872DC3" w:rsidRPr="00E14EBC" w:rsidRDefault="00872DC3" w:rsidP="00872DC3">
      <w:pPr>
        <w:jc w:val="both"/>
      </w:pPr>
      <w:r w:rsidRPr="00E14EBC">
        <w:t xml:space="preserve">(i) </w:t>
      </w:r>
      <w:r w:rsidR="00144498">
        <w:t>T</w:t>
      </w:r>
      <w:r w:rsidRPr="00E14EBC">
        <w:t>öötada välja lihtne, visuaalne ja kasutajasõbralik juhend</w:t>
      </w:r>
      <w:r w:rsidR="00D87200">
        <w:t xml:space="preserve"> (tuginedes</w:t>
      </w:r>
      <w:r w:rsidR="00DF31C8">
        <w:t xml:space="preserve"> muuhulgas ka</w:t>
      </w:r>
      <w:r w:rsidR="00D87200">
        <w:t xml:space="preserve"> MKM-i</w:t>
      </w:r>
      <w:r w:rsidR="00DF31C8">
        <w:t xml:space="preserve"> koostatud</w:t>
      </w:r>
      <w:r w:rsidR="00D87200">
        <w:t xml:space="preserve"> </w:t>
      </w:r>
      <w:r w:rsidR="00DF31C8">
        <w:t>üldisemale juhendmaterjalile)</w:t>
      </w:r>
      <w:r w:rsidRPr="00E14EBC">
        <w:t>, mis tutvustab vastutustundliku lühiajalise üürimise põhimõtteid.</w:t>
      </w:r>
    </w:p>
    <w:p w14:paraId="4FB2D834" w14:textId="2FEEB270" w:rsidR="00872DC3" w:rsidRPr="00E14EBC" w:rsidRDefault="00872DC3" w:rsidP="00872DC3">
      <w:pPr>
        <w:jc w:val="both"/>
      </w:pPr>
      <w:r>
        <w:t xml:space="preserve">(ii) </w:t>
      </w:r>
      <w:r w:rsidR="00991283">
        <w:t>L</w:t>
      </w:r>
      <w:r>
        <w:t>uua tagasisidemehhanismid elanikele, et tuvastada ja registreerida erinevaid häiringuid, millele saaks reageerida enne nende eskaleerumist, pakkudes samal ajal</w:t>
      </w:r>
      <w:r w:rsidR="007D4DF1">
        <w:t xml:space="preserve"> lühiajalise üüri pakkujatele</w:t>
      </w:r>
      <w:r w:rsidR="5930D51C">
        <w:t xml:space="preserve"> </w:t>
      </w:r>
      <w:r>
        <w:t>nõustamist</w:t>
      </w:r>
      <w:r w:rsidR="00C668A5">
        <w:t xml:space="preserve"> (seda soovitust saaksid rakendada ka korteriühistud)</w:t>
      </w:r>
      <w:r>
        <w:t>.</w:t>
      </w:r>
    </w:p>
    <w:p w14:paraId="1B1D335C" w14:textId="6B4F3679" w:rsidR="00872DC3" w:rsidRPr="00E14EBC" w:rsidRDefault="00872DC3" w:rsidP="00872DC3">
      <w:pPr>
        <w:jc w:val="both"/>
      </w:pPr>
      <w:r w:rsidRPr="00E14EBC">
        <w:t xml:space="preserve">(iii) </w:t>
      </w:r>
      <w:r w:rsidR="00991283">
        <w:t>K</w:t>
      </w:r>
      <w:r w:rsidRPr="00E14EBC">
        <w:t xml:space="preserve">orraldada kogukonnapõhiseid kohtumisi ja töötubasid, et luua võimalused aruteluks ja vastastikuseks mõistmiseks </w:t>
      </w:r>
      <w:r w:rsidR="00553D43">
        <w:t>majutusteenuse osutajate</w:t>
      </w:r>
      <w:r w:rsidR="00553D43" w:rsidRPr="00E14EBC">
        <w:t xml:space="preserve"> </w:t>
      </w:r>
      <w:r w:rsidRPr="00E14EBC">
        <w:t>ja naabrite vahel. See aitab tõsta usaldust ja vähendada vastandumist ning leida mõlemale poolele sobivaimad lahendused probleemide ennetamisel ja lahendamisel.</w:t>
      </w:r>
    </w:p>
    <w:p w14:paraId="4A481C8C" w14:textId="082F33DA" w:rsidR="00872DC3" w:rsidRPr="00E14EBC" w:rsidRDefault="00872DC3" w:rsidP="00872DC3">
      <w:pPr>
        <w:jc w:val="both"/>
      </w:pPr>
      <w:r w:rsidRPr="00E14EBC">
        <w:t xml:space="preserve">(iv) </w:t>
      </w:r>
      <w:r w:rsidR="00991283">
        <w:t>A</w:t>
      </w:r>
      <w:r w:rsidRPr="00E14EBC">
        <w:t>rendada koostööd teiste lühiajalise üüri turu üle järelevalvet tegevate asutustega (</w:t>
      </w:r>
      <w:r w:rsidR="00D31ADF">
        <w:t>PPA</w:t>
      </w:r>
      <w:r w:rsidRPr="00E14EBC">
        <w:t xml:space="preserve">, </w:t>
      </w:r>
      <w:r w:rsidR="00D31ADF">
        <w:t>PA</w:t>
      </w:r>
      <w:r w:rsidRPr="00E14EBC">
        <w:t xml:space="preserve">, </w:t>
      </w:r>
      <w:r w:rsidR="00D31ADF">
        <w:t>TA</w:t>
      </w:r>
      <w:r w:rsidRPr="00E14EBC">
        <w:t xml:space="preserve">, </w:t>
      </w:r>
      <w:r w:rsidR="00D31ADF">
        <w:t>MTA</w:t>
      </w:r>
      <w:r w:rsidRPr="00E14EBC">
        <w:t>) info vahetamise ja probleemide ennetamise vaates, korraldades ühiseid koostöökohtumisi ja jagades ressurssi järelevalve teostamisel.</w:t>
      </w:r>
    </w:p>
    <w:p w14:paraId="4B7C15AE" w14:textId="25C1E159" w:rsidR="00872DC3" w:rsidRPr="00E14EBC" w:rsidRDefault="00872DC3" w:rsidP="00872DC3">
      <w:pPr>
        <w:jc w:val="both"/>
      </w:pPr>
      <w:r>
        <w:t xml:space="preserve">(v) </w:t>
      </w:r>
      <w:r w:rsidR="00991283">
        <w:t>K</w:t>
      </w:r>
      <w:r w:rsidR="001D5420">
        <w:t xml:space="preserve">aaluda eespool </w:t>
      </w:r>
      <w:r w:rsidR="00501607">
        <w:t>kirjeldatud sekkumisi täiendada</w:t>
      </w:r>
      <w:r>
        <w:t xml:space="preserve"> </w:t>
      </w:r>
      <w:r w:rsidR="00517BA6">
        <w:t xml:space="preserve">selge ja positiivse sõnumiga </w:t>
      </w:r>
      <w:r>
        <w:t>teavituskampaania</w:t>
      </w:r>
      <w:r w:rsidR="00501607">
        <w:t>tega</w:t>
      </w:r>
      <w:r w:rsidR="005F0FBC">
        <w:rPr>
          <w:rStyle w:val="FootnoteReference"/>
        </w:rPr>
        <w:footnoteReference w:id="171"/>
      </w:r>
      <w:r w:rsidR="00554F20">
        <w:t xml:space="preserve"> </w:t>
      </w:r>
      <w:r>
        <w:t>lühiajalise üürimisega kaasnevate negatiivse</w:t>
      </w:r>
      <w:r w:rsidR="28195653">
        <w:t>te</w:t>
      </w:r>
      <w:r>
        <w:t xml:space="preserve"> mõjude (nt müra, turvatunde vähenemine jms) kohta, aidates </w:t>
      </w:r>
      <w:r w:rsidR="00D24DF7">
        <w:t xml:space="preserve">turuosalistel paremini </w:t>
      </w:r>
      <w:r>
        <w:t xml:space="preserve">mõista, kuidas nende valikud </w:t>
      </w:r>
      <w:r w:rsidR="00D24DF7">
        <w:t xml:space="preserve">kogukonda </w:t>
      </w:r>
      <w:r>
        <w:t>mõjutavad.</w:t>
      </w:r>
    </w:p>
    <w:p w14:paraId="7258807C" w14:textId="19EEE23C" w:rsidR="00872DC3" w:rsidRPr="00E14EBC" w:rsidRDefault="54B6E299" w:rsidP="00872DC3">
      <w:pPr>
        <w:jc w:val="both"/>
      </w:pPr>
      <w:r>
        <w:t xml:space="preserve">(vi) </w:t>
      </w:r>
      <w:r w:rsidR="00991283">
        <w:t>K</w:t>
      </w:r>
      <w:r>
        <w:t>aaluda vabatahtliku teavitussüsteemi loomist, et lühiajalise üüri teenuse pakkujatel oleks võimalik mugavalt ja lihtsalt sellest omavalitsust teavitada. KOV võiks selle süsteemi toimimiseks pakku</w:t>
      </w:r>
      <w:r w:rsidR="425ADB8A">
        <w:t>d</w:t>
      </w:r>
      <w:r>
        <w:t>a teenuse osutajatele vastu nt omavalitsuse turismiportaalis (</w:t>
      </w:r>
      <w:r w:rsidR="00016AC7">
        <w:t xml:space="preserve">või koostöös </w:t>
      </w:r>
      <w:r w:rsidR="0042310B">
        <w:t>EIS-ga puhkaeestis.ee veebisaidil</w:t>
      </w:r>
      <w:r>
        <w:t>) teenuse osutaja kohta info jagamist, millest saaksid kasu mõlemad osapooled: teenuse osutaja nähtavus paraneb, KOV saab aga infot teenuse osutajate paiknemise kohta.</w:t>
      </w:r>
    </w:p>
    <w:p w14:paraId="484611CD" w14:textId="184BB6F9" w:rsidR="00872DC3" w:rsidRPr="00E14EBC" w:rsidRDefault="00872DC3" w:rsidP="00872DC3">
      <w:pPr>
        <w:jc w:val="both"/>
        <w:rPr>
          <w:b/>
          <w:bCs/>
        </w:rPr>
      </w:pPr>
      <w:r w:rsidRPr="00E14EBC">
        <w:rPr>
          <w:b/>
          <w:bCs/>
        </w:rPr>
        <w:lastRenderedPageBreak/>
        <w:t>Tegevus</w:t>
      </w:r>
      <w:r w:rsidR="00CC2819">
        <w:rPr>
          <w:b/>
          <w:bCs/>
        </w:rPr>
        <w:t xml:space="preserve"> </w:t>
      </w:r>
      <w:r w:rsidR="00CC2819" w:rsidRPr="1688D34F">
        <w:rPr>
          <w:b/>
        </w:rPr>
        <w:t>|</w:t>
      </w:r>
      <w:r w:rsidRPr="00E14EBC">
        <w:rPr>
          <w:b/>
          <w:bCs/>
        </w:rPr>
        <w:t xml:space="preserve"> </w:t>
      </w:r>
      <w:r w:rsidR="001E7408" w:rsidRPr="00BE179D">
        <w:t xml:space="preserve">KOV-del </w:t>
      </w:r>
      <w:r w:rsidR="001E7408" w:rsidRPr="001E7408">
        <w:t>h</w:t>
      </w:r>
      <w:r w:rsidRPr="001E7408">
        <w:t>innata</w:t>
      </w:r>
      <w:r w:rsidRPr="00E14EBC">
        <w:t xml:space="preserve"> kirjeldatud meetmete vajadust ja sobivust oma omavalitsusüksuses ning sellest lähtuvalt otsustada tegevuskava koostamine nende rakendamiseks.</w:t>
      </w:r>
      <w:r w:rsidR="00362ED5">
        <w:t xml:space="preserve"> </w:t>
      </w:r>
      <w:r w:rsidR="00D31ADF">
        <w:t>PPA-l</w:t>
      </w:r>
      <w:r w:rsidR="00362ED5">
        <w:t xml:space="preserve">, </w:t>
      </w:r>
      <w:r w:rsidR="00D31ADF">
        <w:t>TA-l</w:t>
      </w:r>
      <w:r w:rsidR="00362ED5">
        <w:t xml:space="preserve">, </w:t>
      </w:r>
      <w:r w:rsidR="00D31ADF">
        <w:t>MTA-l</w:t>
      </w:r>
      <w:r w:rsidR="00362ED5">
        <w:t xml:space="preserve"> ja </w:t>
      </w:r>
      <w:r w:rsidR="00D31ADF">
        <w:t xml:space="preserve">PA-l </w:t>
      </w:r>
      <w:r w:rsidR="002D467A">
        <w:t>tagada valmisolek koostööks kohalike omavalitsustega lühiajalis</w:t>
      </w:r>
      <w:r w:rsidR="008A6936">
        <w:t>t</w:t>
      </w:r>
      <w:r w:rsidR="002D467A">
        <w:t xml:space="preserve"> üüri turgu puudutava </w:t>
      </w:r>
      <w:r w:rsidR="008A6936">
        <w:t>teabe osas.</w:t>
      </w:r>
      <w:r w:rsidRPr="00E14EBC">
        <w:t xml:space="preserve"> </w:t>
      </w:r>
      <w:r w:rsidR="00E53817">
        <w:t>Ju</w:t>
      </w:r>
      <w:r w:rsidR="008A7DD4">
        <w:t>h</w:t>
      </w:r>
      <w:r w:rsidR="00E53817">
        <w:t>endmaterjali väljatöötamis</w:t>
      </w:r>
      <w:r w:rsidR="008D6B5D">
        <w:t xml:space="preserve">e otsustab iga KOV </w:t>
      </w:r>
      <w:r w:rsidR="00ED49BC">
        <w:t>lähtuvalt tegelikust</w:t>
      </w:r>
      <w:r w:rsidR="00DB3EE7">
        <w:t xml:space="preserve"> olukorra</w:t>
      </w:r>
      <w:r w:rsidR="00ED49BC">
        <w:t xml:space="preserve">st ja </w:t>
      </w:r>
      <w:r w:rsidR="007D7EAE">
        <w:t>vajaduses</w:t>
      </w:r>
      <w:r w:rsidR="06BAC797">
        <w:t>t</w:t>
      </w:r>
      <w:r>
        <w:t>.</w:t>
      </w:r>
    </w:p>
    <w:p w14:paraId="4325CFF2" w14:textId="54FAB51D" w:rsidR="00872DC3" w:rsidRPr="00E14EBC" w:rsidRDefault="00872DC3" w:rsidP="00872DC3">
      <w:pPr>
        <w:jc w:val="both"/>
        <w:rPr>
          <w:b/>
          <w:bCs/>
        </w:rPr>
      </w:pPr>
      <w:r w:rsidRPr="00E14EBC">
        <w:rPr>
          <w:b/>
          <w:bCs/>
        </w:rPr>
        <w:t>Adressaat</w:t>
      </w:r>
      <w:r w:rsidR="00CC2819">
        <w:rPr>
          <w:b/>
          <w:bCs/>
        </w:rPr>
        <w:t xml:space="preserve"> </w:t>
      </w:r>
      <w:r w:rsidR="00CC2819" w:rsidRPr="1688D34F">
        <w:rPr>
          <w:b/>
        </w:rPr>
        <w:t>|</w:t>
      </w:r>
      <w:r w:rsidRPr="00E14EBC">
        <w:rPr>
          <w:b/>
          <w:bCs/>
        </w:rPr>
        <w:t xml:space="preserve"> </w:t>
      </w:r>
      <w:r w:rsidRPr="00E14EBC">
        <w:t>KOV-d</w:t>
      </w:r>
      <w:r w:rsidR="00BC5FB0">
        <w:t xml:space="preserve">, </w:t>
      </w:r>
      <w:r w:rsidR="007A3906">
        <w:t>PPA</w:t>
      </w:r>
      <w:r w:rsidR="00BC5FB0">
        <w:t xml:space="preserve">, </w:t>
      </w:r>
      <w:r w:rsidR="007A3906">
        <w:t>TA</w:t>
      </w:r>
      <w:r w:rsidR="00BC5FB0">
        <w:t xml:space="preserve">, </w:t>
      </w:r>
      <w:r w:rsidR="007A3906">
        <w:t>MTA</w:t>
      </w:r>
      <w:r w:rsidR="00BC5FB0">
        <w:t xml:space="preserve">, </w:t>
      </w:r>
      <w:r w:rsidR="007A3906">
        <w:t>PA</w:t>
      </w:r>
      <w:r w:rsidR="00223695">
        <w:t xml:space="preserve">, </w:t>
      </w:r>
      <w:r w:rsidR="007A3906">
        <w:t>EIS</w:t>
      </w:r>
      <w:r w:rsidR="00223695">
        <w:t>.</w:t>
      </w:r>
    </w:p>
    <w:p w14:paraId="2B6369CF" w14:textId="3102EC7B" w:rsidR="00C956BE" w:rsidRDefault="54B6E299" w:rsidP="00872DC3">
      <w:pPr>
        <w:jc w:val="both"/>
      </w:pPr>
      <w:r w:rsidRPr="1C92C443">
        <w:rPr>
          <w:b/>
          <w:bCs/>
        </w:rPr>
        <w:t>Põhjendus</w:t>
      </w:r>
      <w:r w:rsidR="00CC2819">
        <w:rPr>
          <w:b/>
          <w:bCs/>
        </w:rPr>
        <w:t xml:space="preserve"> </w:t>
      </w:r>
      <w:r w:rsidR="00CC2819" w:rsidRPr="1688D34F">
        <w:rPr>
          <w:b/>
        </w:rPr>
        <w:t>|</w:t>
      </w:r>
      <w:r>
        <w:t xml:space="preserve"> Negatiivsete mõjude ilmnemise põhjused on seotud turuosaliste valikute ja käitumisega. Seega probleemide leevendamiseks on vaja leida viisid negatiivset mõju põhjustava käitumise muut</w:t>
      </w:r>
      <w:r w:rsidR="19869FF8">
        <w:t>miseks</w:t>
      </w:r>
      <w:r>
        <w:t>. Kaasaegsed käitumisteooriad ja empiirilised uuringud kinnitavad, et kõige tõhusamalt ja püsivamalt on võimalik inimeste käitumist mõjutada läbi inimeste igapäevaste valikute suunamise ilma otsese sunnita (nügimine), ühiskondlikult kahjulike valikute muutmise ka valikute tegijate jaoks ebasoodsamaks (institutsiooniökonoomika) või inimeste teadlikkuse suurendamine nende valikute negatiivsetest mõjudest ka neile endile (otsustusvõime arendamine). Sisuliselt on tegemist lähenemistega, mis piirangute ja keeldud</w:t>
      </w:r>
      <w:r w:rsidR="73DEAD49">
        <w:t>e</w:t>
      </w:r>
      <w:r>
        <w:t xml:space="preserve"> ülalt alla rakendamise asemel seavad fookuse indiviidide otsustusprotsessi kujundamisele, seda kas otsust mõjutavate tegurite mõjutamise või inimeste pädevuse ja teadlikkuse suurendamise</w:t>
      </w:r>
      <w:r w:rsidR="007C005E">
        <w:t xml:space="preserve"> kaudu</w:t>
      </w:r>
      <w:r>
        <w:t xml:space="preserve">. </w:t>
      </w:r>
    </w:p>
    <w:p w14:paraId="1CA75507" w14:textId="3A2ED540" w:rsidR="00872DC3" w:rsidRPr="00E14EBC" w:rsidRDefault="54B6E299" w:rsidP="00872DC3">
      <w:pPr>
        <w:jc w:val="both"/>
        <w:rPr>
          <w:b/>
          <w:bCs/>
        </w:rPr>
      </w:pPr>
      <w:r>
        <w:t>Kuigi sellis</w:t>
      </w:r>
      <w:r w:rsidR="3C1FC648">
        <w:t>ed</w:t>
      </w:r>
      <w:r>
        <w:t xml:space="preserve"> lähenemised on tüüpiliselt aeganõudvamad, sest inimeste harjumuste ja hoiakute muutmine võib võtta aastaid, siis on need oluliselt püsivamad, sest sisuliselt on tegemist inimeste vabatahtlike valikutega.</w:t>
      </w:r>
      <w:r w:rsidR="00AE3C2F">
        <w:t xml:space="preserve"> Me ei soovita rakendada tingimata kõiki </w:t>
      </w:r>
      <w:r w:rsidR="004B6D38">
        <w:t>soovituste all nimetatud tegevusi samaaegselt, iga kohalik omavalitsus peaks lähtuvalt seatud eesmärkidest ja turuolukorrast leidma sobivaima</w:t>
      </w:r>
      <w:r w:rsidR="00223695">
        <w:t xml:space="preserve"> ja maksimaalselt ära kasutama juba toimivaid mehhanisme.</w:t>
      </w:r>
      <w:r w:rsidR="00F34484">
        <w:t xml:space="preserve"> </w:t>
      </w:r>
      <w:r w:rsidR="00776FDD">
        <w:t>Näiteks teav</w:t>
      </w:r>
      <w:r w:rsidR="00B200D6">
        <w:t>i</w:t>
      </w:r>
      <w:r w:rsidR="00776FDD">
        <w:t>tuskampaaniate rakendamine on otstarbekas ilmselt üksnes suuremates linnades, kuna selleks, et need mõju avaldaks</w:t>
      </w:r>
      <w:r w:rsidR="00147258">
        <w:t xml:space="preserve"> ja ennast ära tasuks</w:t>
      </w:r>
      <w:r w:rsidR="00776FDD">
        <w:t xml:space="preserve">, </w:t>
      </w:r>
      <w:r w:rsidR="000849B7">
        <w:t>peaks sihtrühm olema piisavalt suur ning nende</w:t>
      </w:r>
      <w:r w:rsidR="00B200D6">
        <w:t xml:space="preserve"> kavandamisel ja rakendamisel </w:t>
      </w:r>
      <w:r w:rsidR="000849B7">
        <w:t xml:space="preserve">tuleks eeldatavasti </w:t>
      </w:r>
      <w:r w:rsidR="00B200D6">
        <w:t xml:space="preserve">kasutada professionaalide </w:t>
      </w:r>
      <w:r w:rsidR="000849B7">
        <w:t>abi</w:t>
      </w:r>
      <w:r w:rsidR="00B200D6">
        <w:t>.</w:t>
      </w:r>
    </w:p>
    <w:p w14:paraId="5A75A66A" w14:textId="58370772" w:rsidR="00872DC3" w:rsidRPr="00E14EBC" w:rsidRDefault="54B6E299" w:rsidP="00872DC3">
      <w:pPr>
        <w:jc w:val="both"/>
      </w:pPr>
      <w:r w:rsidRPr="288A3578">
        <w:rPr>
          <w:b/>
          <w:bCs/>
        </w:rPr>
        <w:t>Mõjud</w:t>
      </w:r>
      <w:r w:rsidR="00CC2819">
        <w:rPr>
          <w:b/>
          <w:bCs/>
        </w:rPr>
        <w:t xml:space="preserve"> </w:t>
      </w:r>
      <w:r w:rsidR="00CC2819" w:rsidRPr="1688D34F">
        <w:rPr>
          <w:b/>
        </w:rPr>
        <w:t>|</w:t>
      </w:r>
      <w:r w:rsidRPr="288A3578">
        <w:rPr>
          <w:b/>
          <w:bCs/>
        </w:rPr>
        <w:t xml:space="preserve"> </w:t>
      </w:r>
      <w:r>
        <w:t>Nõustamise ja koostöö mõjud avalduvad pikema aja jooksul, kuid see on üks viis negatiivsete välismõjude kui turutõrkega toimetulekuks. Tulemusliku nõustamise ja koostöö kaudu muudetakse inimeste teadlikkust, suhtumist ja hoiakuid, mille tulemusel teevad nad edaspidi valikuid, mis on enam kooskõlas ühiskondlike vajadustega. Läbi inimeste teadlikkuse kasvu toimunud muutused käitumises kalduvad olema püsivamad kui keeldude ja piirangutega saavutatavad lühiajalised mõjud. Sellise lähenemise riskiks on aga inimeste väga tugevalt välja kujunenud hoiakud ja suhtumine, mille muutmine sageli pole võimalik või võtab see lii</w:t>
      </w:r>
      <w:r w:rsidR="495199FF">
        <w:t>g</w:t>
      </w:r>
      <w:r>
        <w:t xml:space="preserve">a kaua aega. Seega väga ulatuslike probleemide korral, eriti kui need on juba avaldunud, ei pruugi need olla piisavad vahendid eesmärkide saavutamiseks. Kuid kui turul tervikuna on suudetud saavutada piisavalt kõrge teadlikkuse tase ja headele tavadele tuginevad toimimise mudelid, siis probleeme tekitavad pigem üksikjuhtumid, millega kaasneb tervikuna vähem häiringuid ning millega toimetulek on samuti lihtsam nii kogukonna kui ka omavalitsuse tasandil. </w:t>
      </w:r>
    </w:p>
    <w:p w14:paraId="6E7E052D" w14:textId="5225754F" w:rsidR="00872DC3" w:rsidRPr="00E14EBC" w:rsidRDefault="00872DC3" w:rsidP="00872DC3">
      <w:pPr>
        <w:jc w:val="both"/>
      </w:pPr>
      <w:r w:rsidRPr="00E14EBC">
        <w:rPr>
          <w:b/>
          <w:bCs/>
        </w:rPr>
        <w:t>Soovitatav elluviimise periood</w:t>
      </w:r>
      <w:r w:rsidR="00CC2819">
        <w:rPr>
          <w:b/>
          <w:bCs/>
        </w:rPr>
        <w:t xml:space="preserve"> </w:t>
      </w:r>
      <w:r w:rsidR="00CC2819" w:rsidRPr="1688D34F">
        <w:rPr>
          <w:b/>
        </w:rPr>
        <w:t>|</w:t>
      </w:r>
      <w:r w:rsidRPr="00E14EBC">
        <w:rPr>
          <w:b/>
          <w:bCs/>
        </w:rPr>
        <w:t xml:space="preserve"> </w:t>
      </w:r>
      <w:r w:rsidRPr="00E14EBC">
        <w:t>Koheselt.</w:t>
      </w:r>
    </w:p>
    <w:p w14:paraId="42FF8B8C" w14:textId="7DFFE47D" w:rsidR="009033A0" w:rsidRPr="00644C9D" w:rsidRDefault="5A33B860" w:rsidP="00644C9D">
      <w:pPr>
        <w:jc w:val="both"/>
      </w:pPr>
      <w:r w:rsidRPr="1C92C443">
        <w:rPr>
          <w:b/>
          <w:bCs/>
        </w:rPr>
        <w:t>Sekkumise</w:t>
      </w:r>
      <w:r w:rsidR="54B6E299" w:rsidRPr="1C92C443">
        <w:rPr>
          <w:b/>
          <w:bCs/>
        </w:rPr>
        <w:t xml:space="preserve"> rahaline </w:t>
      </w:r>
      <w:r w:rsidRPr="1C92C443">
        <w:rPr>
          <w:b/>
          <w:bCs/>
        </w:rPr>
        <w:t>kul</w:t>
      </w:r>
      <w:r w:rsidR="54B6E299" w:rsidRPr="1C92C443">
        <w:rPr>
          <w:b/>
          <w:bCs/>
        </w:rPr>
        <w:t>u</w:t>
      </w:r>
      <w:r w:rsidR="00C863B2">
        <w:rPr>
          <w:b/>
          <w:bCs/>
        </w:rPr>
        <w:t xml:space="preserve"> </w:t>
      </w:r>
      <w:r w:rsidR="00C863B2" w:rsidRPr="1688D34F">
        <w:rPr>
          <w:b/>
        </w:rPr>
        <w:t>|</w:t>
      </w:r>
      <w:r w:rsidR="54B6E299" w:rsidRPr="1C92C443">
        <w:rPr>
          <w:b/>
          <w:bCs/>
        </w:rPr>
        <w:t xml:space="preserve"> </w:t>
      </w:r>
      <w:r>
        <w:t>S</w:t>
      </w:r>
      <w:r w:rsidR="1915407E">
        <w:t xml:space="preserve">ekkumine toob kaasa lisakoormuse </w:t>
      </w:r>
      <w:r w:rsidR="00265648">
        <w:t>peamiselt</w:t>
      </w:r>
      <w:r w:rsidR="1915407E">
        <w:t xml:space="preserve"> tööjõukuluna</w:t>
      </w:r>
      <w:r w:rsidR="00B07B9E">
        <w:t>.</w:t>
      </w:r>
      <w:r w:rsidR="00BC5778">
        <w:t xml:space="preserve"> </w:t>
      </w:r>
      <w:r w:rsidR="00B31535">
        <w:t>Mõningane r</w:t>
      </w:r>
      <w:r w:rsidR="00883D23">
        <w:t>ahaline</w:t>
      </w:r>
      <w:r w:rsidR="00BC5778">
        <w:t xml:space="preserve"> kulu võib kaasneda juhendmaterjalide kujundamise ja printimise</w:t>
      </w:r>
      <w:r w:rsidR="00BA1AAD">
        <w:t>, töötubade korraldamise</w:t>
      </w:r>
      <w:r w:rsidR="00883D23">
        <w:t xml:space="preserve"> või</w:t>
      </w:r>
      <w:r w:rsidR="00BC5778">
        <w:t xml:space="preserve"> </w:t>
      </w:r>
      <w:r w:rsidR="00883D23">
        <w:t>KOV-de kodule</w:t>
      </w:r>
      <w:r w:rsidR="00720D7B">
        <w:t>htede arendamisega</w:t>
      </w:r>
      <w:r w:rsidR="00B31535">
        <w:t>.</w:t>
      </w:r>
      <w:r w:rsidR="00883D23">
        <w:t xml:space="preserve"> </w:t>
      </w:r>
      <w:r w:rsidR="00687892">
        <w:t xml:space="preserve">Teavituskampaaniate korraldamisel võib </w:t>
      </w:r>
      <w:r w:rsidR="00687892">
        <w:lastRenderedPageBreak/>
        <w:t>tekkida vajadus ka vastava teenuse sisse</w:t>
      </w:r>
      <w:r w:rsidR="00BB2B89">
        <w:t xml:space="preserve"> </w:t>
      </w:r>
      <w:r w:rsidR="00687892">
        <w:t xml:space="preserve">ostmiseks, </w:t>
      </w:r>
      <w:r w:rsidR="006E5363">
        <w:t xml:space="preserve">mille maksumus </w:t>
      </w:r>
      <w:r w:rsidR="00CE226D">
        <w:t>sõltub kampaania sisust ja ulatusest, kui</w:t>
      </w:r>
      <w:r w:rsidR="00886233">
        <w:t>d</w:t>
      </w:r>
      <w:r w:rsidR="00CE226D">
        <w:t xml:space="preserve"> </w:t>
      </w:r>
      <w:r w:rsidR="00886233">
        <w:t>on teostatav</w:t>
      </w:r>
      <w:r w:rsidR="00990A19">
        <w:t xml:space="preserve"> ka suuremates omavalitsustes</w:t>
      </w:r>
      <w:r w:rsidR="00886233">
        <w:t xml:space="preserve"> hinnanguliselt </w:t>
      </w:r>
      <w:r w:rsidR="001B158A">
        <w:t>10</w:t>
      </w:r>
      <w:r w:rsidR="00990A19">
        <w:t> </w:t>
      </w:r>
      <w:r w:rsidR="001B158A">
        <w:t>000</w:t>
      </w:r>
      <w:r w:rsidR="00990A19">
        <w:t xml:space="preserve"> – 20 000 euroga.</w:t>
      </w:r>
    </w:p>
    <w:p w14:paraId="4685394B" w14:textId="5C190105" w:rsidR="00872DC3" w:rsidRPr="00E14EBC" w:rsidRDefault="00872DC3" w:rsidP="00F754B8">
      <w:pPr>
        <w:pStyle w:val="Heading3"/>
        <w:ind w:left="540"/>
        <w:rPr>
          <w:rFonts w:hint="eastAsia"/>
        </w:rPr>
      </w:pPr>
      <w:bookmarkStart w:id="146" w:name="_Toc208991634"/>
      <w:r w:rsidRPr="00E14EBC">
        <w:t>Korteriühistute õigused</w:t>
      </w:r>
      <w:bookmarkEnd w:id="146"/>
    </w:p>
    <w:p w14:paraId="61014DCB" w14:textId="35DB3A7D" w:rsidR="00CD01E2" w:rsidRDefault="00872DC3" w:rsidP="00CD01E2">
      <w:pPr>
        <w:jc w:val="both"/>
      </w:pPr>
      <w:r w:rsidRPr="00E14EBC">
        <w:rPr>
          <w:b/>
          <w:bCs/>
        </w:rPr>
        <w:t>Teema</w:t>
      </w:r>
      <w:r w:rsidR="00C863B2">
        <w:rPr>
          <w:b/>
          <w:bCs/>
        </w:rPr>
        <w:t xml:space="preserve"> </w:t>
      </w:r>
      <w:r w:rsidR="00C863B2" w:rsidRPr="1688D34F">
        <w:rPr>
          <w:b/>
        </w:rPr>
        <w:t>|</w:t>
      </w:r>
      <w:r w:rsidRPr="00E14EBC">
        <w:rPr>
          <w:b/>
          <w:bCs/>
        </w:rPr>
        <w:t xml:space="preserve"> </w:t>
      </w:r>
      <w:r w:rsidRPr="00E14EBC">
        <w:t>Lühiajalise üüri</w:t>
      </w:r>
      <w:r w:rsidR="00F45C52">
        <w:t xml:space="preserve"> teenuse kasutajad kasutavad kortermaja üldpinda üldjuhul rohkem kui püsielanikud</w:t>
      </w:r>
      <w:r w:rsidR="00535124">
        <w:t xml:space="preserve">, kuna </w:t>
      </w:r>
      <w:r w:rsidR="005577B2">
        <w:t>liiguvad sageli suuremate gruppidena, kasutavad uksi intensi</w:t>
      </w:r>
      <w:r w:rsidR="00546B85">
        <w:t>ivsemalt</w:t>
      </w:r>
      <w:r w:rsidR="000F60E3">
        <w:t xml:space="preserve">, tekitavad rohkem prügi ja ka müra. Seega oleks õigustatud ka </w:t>
      </w:r>
      <w:r w:rsidR="006C2EBB">
        <w:t xml:space="preserve">oma korterit lühiajaliselt välja üürivate </w:t>
      </w:r>
      <w:r w:rsidR="00B8715C">
        <w:t>korteriomanike</w:t>
      </w:r>
      <w:r w:rsidR="000F60E3">
        <w:t xml:space="preserve"> suurem panu</w:t>
      </w:r>
      <w:r w:rsidR="00C11A01">
        <w:t>s ühistu kulude katmisse</w:t>
      </w:r>
      <w:r w:rsidRPr="00E14EBC">
        <w:t xml:space="preserve">. Hetkel on </w:t>
      </w:r>
      <w:r w:rsidR="008E5A8F">
        <w:t>korteriühistute</w:t>
      </w:r>
      <w:r w:rsidR="008E5A8F" w:rsidRPr="00E14EBC">
        <w:t xml:space="preserve"> </w:t>
      </w:r>
      <w:r w:rsidRPr="00E14EBC">
        <w:t xml:space="preserve">võimalused </w:t>
      </w:r>
      <w:r w:rsidR="00C11A01">
        <w:t>selleks</w:t>
      </w:r>
      <w:r w:rsidRPr="00E14EBC">
        <w:t xml:space="preserve"> õiguslikult lahendada piiratud. </w:t>
      </w:r>
      <w:r w:rsidR="00CD01E2">
        <w:t xml:space="preserve">Kehtiv korteriomandi ja korteriühistu seadus </w:t>
      </w:r>
      <w:r w:rsidR="00C243EF">
        <w:t xml:space="preserve">(KrtS §40 lg2) </w:t>
      </w:r>
      <w:r w:rsidR="00CD01E2">
        <w:t>näeb ette, et majandamiskulude katmiseks peavad korteriomanikud tegema ettemakseid vastavalt oma kaasomandi osa suurusele. Korteriühistu põhikirjaga võib ette näha erineva kohustuste jaotuse aluse ja tasumise korra. Eelkõige võib põhikirjaga ette näha, et tegelikust tarbimisest sõltuvad majandamiskulud tasub korteriomanik pärast kulude suuruse selgumist kas vastavalt oma kaasomandi osa suurusele või vastavalt tema poolt tarbitud teenuse mahule. Seega on korteriühistutel olemas seadusest tulenev alus majanduskulude katmiseks vastavalt tarbitud teenuse mahule.</w:t>
      </w:r>
    </w:p>
    <w:p w14:paraId="2CA182CD" w14:textId="1D19E93F" w:rsidR="000A3C09" w:rsidRPr="00E14EBC" w:rsidRDefault="000A3C09" w:rsidP="000A3C09">
      <w:pPr>
        <w:jc w:val="both"/>
      </w:pPr>
      <w:r>
        <w:t>Kuid</w:t>
      </w:r>
      <w:r w:rsidRPr="00E14EBC">
        <w:t xml:space="preserve"> praktikas</w:t>
      </w:r>
      <w:r>
        <w:t xml:space="preserve"> on</w:t>
      </w:r>
      <w:r w:rsidR="00C97D3F">
        <w:t xml:space="preserve"> lühiajalise teenuse osutajatelt nende ühistule põhjustatud kulude</w:t>
      </w:r>
      <w:r w:rsidRPr="00E14EBC">
        <w:t xml:space="preserve"> sisse nõud</w:t>
      </w:r>
      <w:r w:rsidR="00C97D3F">
        <w:t>mine osutunud ühistute jaoks keeruliseks ülesandeks</w:t>
      </w:r>
      <w:r w:rsidRPr="00E14EBC">
        <w:t xml:space="preserve">. </w:t>
      </w:r>
      <w:r w:rsidR="00C243EF">
        <w:t xml:space="preserve">Näiteks </w:t>
      </w:r>
      <w:r>
        <w:t>on valdav enamus korteriühistuid loodud ajal, mil lühiajalise majutusteenuse osutamine väljaspool majutusasutusi oli pigem harv juhus</w:t>
      </w:r>
      <w:r w:rsidR="00912071">
        <w:t>, mistõttu sellist sätet põhikirjas üldjuhul ei ole</w:t>
      </w:r>
      <w:r>
        <w:t>.</w:t>
      </w:r>
      <w:r w:rsidR="00912071">
        <w:t xml:space="preserve"> </w:t>
      </w:r>
      <w:r w:rsidR="00094635">
        <w:t>Isegi kui põhikirja vastava muudatuse tegemise osas saadakse kokkuleppele, siis selle rakendamin</w:t>
      </w:r>
      <w:r w:rsidR="002F4E69">
        <w:t>e ei pruugi õnnestuda lühiajalise üüri teenust osutavate korteriomanike vastuseisu tõttu.</w:t>
      </w:r>
      <w:r>
        <w:t xml:space="preserve"> </w:t>
      </w:r>
      <w:r w:rsidR="008D5B76" w:rsidRPr="00E14EBC">
        <w:t xml:space="preserve">Korteriühistul pole </w:t>
      </w:r>
      <w:r w:rsidR="008D5B76">
        <w:t xml:space="preserve">ka </w:t>
      </w:r>
      <w:r w:rsidR="008D5B76" w:rsidRPr="00E14EBC">
        <w:t>otsest pädevust keelata majutusteenuse osutamist, kui see ei too otseselt kaasa kahju või häiringuid teistele korteriühistu liikmetele või maja elanikele. See tähendab, et korteriomanik võib oma korteriomandit kasutada ärilisel eesmärgil, välja arvatud juhul, kui see rikub teiste õigusi.</w:t>
      </w:r>
      <w:r w:rsidR="008D5B76">
        <w:t xml:space="preserve"> </w:t>
      </w:r>
      <w:r w:rsidRPr="00E14EBC">
        <w:t>Korteriomandi ja korteriühistu seadus annab teatud äärmuslikud võimalused</w:t>
      </w:r>
      <w:r w:rsidR="002F4E69">
        <w:t xml:space="preserve"> selliste</w:t>
      </w:r>
      <w:r w:rsidRPr="00E14EBC">
        <w:t xml:space="preserve"> probleemidega </w:t>
      </w:r>
      <w:r>
        <w:t>toimetulemiseks</w:t>
      </w:r>
      <w:r w:rsidRPr="00E14EBC">
        <w:t>, nt korteriomandi sundvõõrandamise kaudu. Praktikas on ühistute võimekus neid võimalusi kasutada osutunud ebapiisavaks ja vajaks probleemi mõistliku koormusega lahendamiseks muutmist või täpsustamist.</w:t>
      </w:r>
      <w:r w:rsidR="00ED45F0" w:rsidRPr="00ED45F0">
        <w:t xml:space="preserve"> </w:t>
      </w:r>
    </w:p>
    <w:p w14:paraId="081CB7EE" w14:textId="77AD3AD4" w:rsidR="00872DC3" w:rsidRPr="00E14EBC" w:rsidRDefault="00872DC3" w:rsidP="00872DC3">
      <w:pPr>
        <w:jc w:val="both"/>
      </w:pPr>
      <w:r w:rsidRPr="00E14EBC">
        <w:rPr>
          <w:b/>
          <w:bCs/>
        </w:rPr>
        <w:t>Soovitus</w:t>
      </w:r>
      <w:r w:rsidR="00C863B2">
        <w:rPr>
          <w:b/>
          <w:bCs/>
        </w:rPr>
        <w:t xml:space="preserve"> </w:t>
      </w:r>
      <w:r w:rsidR="00C863B2" w:rsidRPr="1688D34F">
        <w:rPr>
          <w:b/>
        </w:rPr>
        <w:t>|</w:t>
      </w:r>
      <w:r w:rsidRPr="00E14EBC">
        <w:t xml:space="preserve"> Võimaldamaks korteriühistul ise otsustada, millises mahus nende majas tohib pakkuda majutusteenust (nt Airbnb-laadne tegevus) ning nõuda lühiajalise üüri teenusega</w:t>
      </w:r>
      <w:r w:rsidR="007D2914">
        <w:t xml:space="preserve"> ühistule</w:t>
      </w:r>
      <w:r w:rsidRPr="00E14EBC">
        <w:t xml:space="preserve"> kaasnevate kulude kandmist teenuse osutaja poolt, soovitame teha muudatusi korteriomandi- ja korteriühistuseaduses (KrtS). </w:t>
      </w:r>
      <w:r w:rsidR="00AD682B">
        <w:t xml:space="preserve">Vastavalt </w:t>
      </w:r>
      <w:r w:rsidR="003C141F">
        <w:t>p</w:t>
      </w:r>
      <w:r w:rsidR="00AD682B">
        <w:t>õhiseaduse §19 on võimalik seadusega piirata õigust vabale eneseteostusele tagamaks teiste inimeste õiguste ja vabaduste austamine ja arvestamine. Samuti võimaldab Põhiseaduse §32 l</w:t>
      </w:r>
      <w:r w:rsidR="00FF6F75">
        <w:t>g2</w:t>
      </w:r>
      <w:r w:rsidR="00AD682B">
        <w:t xml:space="preserve"> seada omandile seadusega kitsendusi. </w:t>
      </w:r>
      <w:r w:rsidR="00C238AA">
        <w:t xml:space="preserve">Kuna tegemist on omandile seatavate kitsendustega, siis tuleb vastav õigus ka kvoorumi osas sätestada seadusega. </w:t>
      </w:r>
      <w:r w:rsidR="003A6587">
        <w:t xml:space="preserve">Seega soovitame </w:t>
      </w:r>
      <w:r w:rsidR="00722F01">
        <w:t>JDM-</w:t>
      </w:r>
      <w:r w:rsidR="004506FD">
        <w:t>i</w:t>
      </w:r>
      <w:r w:rsidR="00722F01">
        <w:t>l</w:t>
      </w:r>
      <w:r w:rsidR="003A6587">
        <w:t xml:space="preserve"> kaaluda </w:t>
      </w:r>
      <w:r w:rsidRPr="00E14EBC">
        <w:t>KrtS</w:t>
      </w:r>
      <w:r w:rsidR="000B4C43">
        <w:t>-i</w:t>
      </w:r>
      <w:r w:rsidRPr="00E14EBC">
        <w:t xml:space="preserve"> muudatus</w:t>
      </w:r>
      <w:r w:rsidR="003A6587">
        <w:t>te algatamist, mille tulemusel</w:t>
      </w:r>
      <w:r w:rsidRPr="00E14EBC">
        <w:t xml:space="preserve"> lubada korteriühistul (nt 2/3 või 3/4 häälteenamusega) põhjendatult ja üldistes huvides võtta vastu järgmisi otsuseid: </w:t>
      </w:r>
    </w:p>
    <w:p w14:paraId="50C8DC28" w14:textId="77777777" w:rsidR="00872DC3" w:rsidRPr="00E14EBC" w:rsidRDefault="00872DC3" w:rsidP="00872DC3">
      <w:pPr>
        <w:jc w:val="both"/>
      </w:pPr>
      <w:r w:rsidRPr="00E14EBC">
        <w:t xml:space="preserve">(i) piirata või reguleerida majas pakutava majutusteenuse mahtu (nt külastajate arvu ühe korteri kohta); </w:t>
      </w:r>
    </w:p>
    <w:p w14:paraId="44B2DB4C" w14:textId="0EBCE493" w:rsidR="00872DC3" w:rsidRPr="00E14EBC" w:rsidRDefault="00872DC3" w:rsidP="00872DC3">
      <w:pPr>
        <w:jc w:val="both"/>
      </w:pPr>
      <w:r w:rsidRPr="00E14EBC">
        <w:lastRenderedPageBreak/>
        <w:t>(ii) keelata majutusteenuse pakkumine</w:t>
      </w:r>
      <w:r w:rsidR="009A547E">
        <w:t xml:space="preserve"> juhul, kui teenuse osutaja on korduvalt rikkunud </w:t>
      </w:r>
      <w:r w:rsidR="00F80C01">
        <w:t>korteriühistu</w:t>
      </w:r>
      <w:r w:rsidR="00636B2D">
        <w:t>s</w:t>
      </w:r>
      <w:r w:rsidR="00DC2F5E">
        <w:t xml:space="preserve"> </w:t>
      </w:r>
      <w:r w:rsidR="00F80C01">
        <w:t>kokkulepitud reegleid</w:t>
      </w:r>
      <w:r w:rsidR="00714CBD">
        <w:t xml:space="preserve"> lühiajalise üürimise kohta</w:t>
      </w:r>
      <w:r w:rsidRPr="00E14EBC">
        <w:t>;</w:t>
      </w:r>
    </w:p>
    <w:p w14:paraId="1C93DA9D" w14:textId="53D37945" w:rsidR="00872DC3" w:rsidRPr="00E14EBC" w:rsidRDefault="00872DC3" w:rsidP="00872DC3">
      <w:pPr>
        <w:jc w:val="both"/>
      </w:pPr>
      <w:r w:rsidRPr="00E14EBC">
        <w:t>(iii) nõuda korteri omanikult, kelle korterit kasutatakse majutusteenuse osutamiseks, kõikide majutusteenuse osutamisega, sh majutusteenuse osutamisest tulenevate ehitisele kehtestatud nõuete täitmisega, seotud kulude kandmist.</w:t>
      </w:r>
    </w:p>
    <w:p w14:paraId="169A2781" w14:textId="4BB6DD10" w:rsidR="00872DC3" w:rsidRPr="00E14EBC" w:rsidRDefault="00872DC3" w:rsidP="00872DC3">
      <w:pPr>
        <w:jc w:val="both"/>
        <w:rPr>
          <w:b/>
          <w:bCs/>
        </w:rPr>
      </w:pPr>
      <w:r w:rsidRPr="00E14EBC">
        <w:rPr>
          <w:b/>
          <w:bCs/>
        </w:rPr>
        <w:t>Tegevus</w:t>
      </w:r>
      <w:r w:rsidR="00C863B2">
        <w:rPr>
          <w:b/>
          <w:bCs/>
        </w:rPr>
        <w:t xml:space="preserve"> </w:t>
      </w:r>
      <w:r w:rsidR="00C863B2" w:rsidRPr="1688D34F">
        <w:rPr>
          <w:b/>
        </w:rPr>
        <w:t>|</w:t>
      </w:r>
      <w:r w:rsidRPr="00E14EBC">
        <w:rPr>
          <w:b/>
          <w:bCs/>
        </w:rPr>
        <w:t xml:space="preserve"> </w:t>
      </w:r>
      <w:r w:rsidRPr="00E14EBC">
        <w:t>Algatada vastavad seadusemuudatused.</w:t>
      </w:r>
    </w:p>
    <w:p w14:paraId="32EA4852" w14:textId="09870330" w:rsidR="00872DC3" w:rsidRPr="00E14EBC" w:rsidRDefault="54B6E299" w:rsidP="00872DC3">
      <w:pPr>
        <w:jc w:val="both"/>
      </w:pPr>
      <w:r w:rsidRPr="288A3578">
        <w:rPr>
          <w:b/>
          <w:bCs/>
        </w:rPr>
        <w:t>Adressaat</w:t>
      </w:r>
      <w:r w:rsidR="00C863B2">
        <w:rPr>
          <w:b/>
          <w:bCs/>
        </w:rPr>
        <w:t xml:space="preserve"> </w:t>
      </w:r>
      <w:r w:rsidR="00C863B2" w:rsidRPr="1688D34F">
        <w:rPr>
          <w:b/>
        </w:rPr>
        <w:t>|</w:t>
      </w:r>
      <w:r>
        <w:t xml:space="preserve"> </w:t>
      </w:r>
      <w:r w:rsidR="007A3906">
        <w:t>JDM</w:t>
      </w:r>
      <w:r>
        <w:t xml:space="preserve">. </w:t>
      </w:r>
    </w:p>
    <w:p w14:paraId="60E53E10" w14:textId="1B920967" w:rsidR="00872DC3" w:rsidRPr="00E14EBC" w:rsidRDefault="00872DC3" w:rsidP="00872DC3">
      <w:pPr>
        <w:jc w:val="both"/>
      </w:pPr>
      <w:r w:rsidRPr="00E14EBC">
        <w:rPr>
          <w:b/>
          <w:bCs/>
        </w:rPr>
        <w:t>Põhjendus</w:t>
      </w:r>
      <w:r w:rsidR="00C863B2">
        <w:rPr>
          <w:b/>
          <w:bCs/>
        </w:rPr>
        <w:t xml:space="preserve"> </w:t>
      </w:r>
      <w:r w:rsidR="00C863B2" w:rsidRPr="1688D34F">
        <w:rPr>
          <w:b/>
        </w:rPr>
        <w:t>|</w:t>
      </w:r>
      <w:r w:rsidRPr="00E14EBC">
        <w:t xml:space="preserve"> Uuringu intervjuudest selgus, et korteriühistud on püüdnud lühiajalise üürimisega seonduvaid probleeme ka ise lahendada. Samas pole see neil tulemuslikult õnnestunud just õiguslike piirangute tõttu, mistõttu ettepanek seadusemuudatusteks esitati ka teemaga kokku puutunud intervjueeritavate poolt. Kuna korterelamu elanikud kogevad kõige vahetumalt teatud liiki lühiajalise üürimise mõjusid, on nemad ka kõige õigem grupp hindama nende tõsidust ja sekkumise vajadust. Sisuliselt on ühistute puhul tegemist kogukonna valitsemise vormiga, kus lepitakse ühiselt kokku reeglid ja põhimõtted, kuidas hoonet ühiselt majandada. Sellisel moel alt üles reeglite piirangute kehtestamine on pikaajalises vaates üldjuhul tõhusam võrreldes ülalt alla lähenemisega, kuna otsuse tegemisel saavad osaleda kõik liikmed ning seeläbi kaldutakse ka paremini ja püsivamalt kokkulepitud reegleid järgima. Lisaks, ülalt alla lähenemisega on alati ka oht, et piirangud ja keelud on vähemalt osaliselt ebaproportsionaalsed, mõjutades ka neid, kelle suhtes neid ei ole rakendatud. Ühistu tasandil seda probleemi üldjuhul ei teki, sest otsus puudutab vahetult üksnes ühte kortermaja.</w:t>
      </w:r>
    </w:p>
    <w:p w14:paraId="1D8CCC4C" w14:textId="51878DEB" w:rsidR="00934D92" w:rsidRDefault="54B6E299" w:rsidP="00872DC3">
      <w:pPr>
        <w:jc w:val="both"/>
      </w:pPr>
      <w:r w:rsidRPr="288A3578">
        <w:rPr>
          <w:b/>
          <w:bCs/>
        </w:rPr>
        <w:t>Mõjud</w:t>
      </w:r>
      <w:r w:rsidR="00C863B2">
        <w:rPr>
          <w:b/>
          <w:bCs/>
        </w:rPr>
        <w:t xml:space="preserve"> </w:t>
      </w:r>
      <w:r w:rsidR="00C863B2" w:rsidRPr="1688D34F">
        <w:rPr>
          <w:b/>
        </w:rPr>
        <w:t>|</w:t>
      </w:r>
      <w:r w:rsidRPr="288A3578">
        <w:rPr>
          <w:b/>
          <w:bCs/>
        </w:rPr>
        <w:t xml:space="preserve"> </w:t>
      </w:r>
      <w:r>
        <w:t xml:space="preserve">Parandab lühiajalise üüri teenuse osutajatega samas kortermajas elavate inimeste heaolu, kuna annab neile õiguse piirata </w:t>
      </w:r>
      <w:r w:rsidR="59222EB8">
        <w:t>tegevus</w:t>
      </w:r>
      <w:r>
        <w:t>, millega nende elukeskkonda negatiivselt mõjutatakse. See loob suurema selguse</w:t>
      </w:r>
      <w:r w:rsidR="004D5658">
        <w:t xml:space="preserve"> erinevatele osapooltele nende õiguste ja kohustuste osas ning </w:t>
      </w:r>
      <w:r w:rsidR="00DD6912">
        <w:t xml:space="preserve">tasakaalustab </w:t>
      </w:r>
      <w:r w:rsidR="00DE3046">
        <w:t>otsuste tegemise protsessi, mis kehtivas õiguses on kaldu individuaalsete huvide kaitsmise poole</w:t>
      </w:r>
      <w:r>
        <w:t xml:space="preserve">. Seega </w:t>
      </w:r>
      <w:r w:rsidR="00DE3046">
        <w:t>tekivad</w:t>
      </w:r>
      <w:r>
        <w:t xml:space="preserve"> paremad võimalused omavaheliseks suhtluseks elanike ja lühiajalise üüri teenuse osutajate vahel, kuna teenuse osutamise õiguse </w:t>
      </w:r>
      <w:r w:rsidR="007F5D43">
        <w:t>tagamiseks</w:t>
      </w:r>
      <w:r w:rsidR="00430160">
        <w:t xml:space="preserve"> </w:t>
      </w:r>
      <w:r>
        <w:t xml:space="preserve">on vaja korteriühistuga reeglid kokku leppida. Samuti väheneks sellega ka avaliku sektori koormus lühiajalise üürimisega seotud probleemide lahendamisel, sest need lahendatakse juba korteriühistute tasandil. </w:t>
      </w:r>
    </w:p>
    <w:p w14:paraId="189A269D" w14:textId="58DA0806" w:rsidR="001F3A98" w:rsidRDefault="00A20D06" w:rsidP="00872DC3">
      <w:pPr>
        <w:jc w:val="both"/>
      </w:pPr>
      <w:r>
        <w:t>Samas piirab se</w:t>
      </w:r>
      <w:r w:rsidR="00004BE4">
        <w:t>lle ettepan</w:t>
      </w:r>
      <w:r w:rsidR="2301FE8B">
        <w:t>e</w:t>
      </w:r>
      <w:r w:rsidR="00004BE4">
        <w:t>ku</w:t>
      </w:r>
      <w:r w:rsidR="00D27696">
        <w:t xml:space="preserve"> teatud punktid</w:t>
      </w:r>
      <w:r w:rsidR="17FC19EF">
        <w:t>e</w:t>
      </w:r>
      <w:r w:rsidR="00D27696">
        <w:t xml:space="preserve"> (eelkõige õigus keelata teenuse osutamist)</w:t>
      </w:r>
      <w:r w:rsidR="00004BE4">
        <w:t xml:space="preserve"> rakendamine</w:t>
      </w:r>
      <w:r>
        <w:t xml:space="preserve"> korteriomanike õigusi oma omandit vabalt soovitud viisil kasutada</w:t>
      </w:r>
      <w:r w:rsidR="00C06D68">
        <w:t>.</w:t>
      </w:r>
      <w:r w:rsidR="00C80EF7">
        <w:t xml:space="preserve"> </w:t>
      </w:r>
      <w:r w:rsidR="00C06D68">
        <w:t>Seega</w:t>
      </w:r>
      <w:r w:rsidR="00C80EF7">
        <w:t xml:space="preserve"> </w:t>
      </w:r>
      <w:r w:rsidR="006058DE">
        <w:t xml:space="preserve">võib see olla vastuolus </w:t>
      </w:r>
      <w:r w:rsidR="00C06D68">
        <w:t>põhiseadusega, mille järgi on igaühel õigus enda omandit vabalt vallata, kasutada ja käsutada.</w:t>
      </w:r>
      <w:r w:rsidR="00B261B7">
        <w:t xml:space="preserve"> Selle põhjalik analüüsimine jääb antud uuringu piiridest välja</w:t>
      </w:r>
      <w:r w:rsidR="008400EE">
        <w:t>.</w:t>
      </w:r>
      <w:r w:rsidR="00B261B7">
        <w:t xml:space="preserve"> </w:t>
      </w:r>
      <w:r w:rsidR="008400EE">
        <w:t>K</w:t>
      </w:r>
      <w:r w:rsidR="00B261B7">
        <w:t xml:space="preserve">uid </w:t>
      </w:r>
      <w:r w:rsidR="00E00317">
        <w:t xml:space="preserve">ettepanek põhineb loogikal, et lühiajalise üüri teenuse pakkumine ei ole võimalik </w:t>
      </w:r>
      <w:r w:rsidR="00A2632A">
        <w:t xml:space="preserve">ilma korteriomanike kaasomandisse kuuluvate hooneosade (nt trepikojad) kasutamiseta. Seega </w:t>
      </w:r>
      <w:r w:rsidR="00105863">
        <w:t xml:space="preserve">võidakse oluliselt kahjustada </w:t>
      </w:r>
      <w:r w:rsidR="000312AD">
        <w:t>teiste ühistu liikmete huve</w:t>
      </w:r>
      <w:r w:rsidR="00C95494">
        <w:t>. Keelamine peaks küll olema võimalik äärmusliku abinõuna, analoogselt juba KrtS-</w:t>
      </w:r>
      <w:r w:rsidR="000B4C43">
        <w:t>i</w:t>
      </w:r>
      <w:r w:rsidR="00C95494">
        <w:t>s</w:t>
      </w:r>
      <w:r w:rsidR="00E20CFE">
        <w:t xml:space="preserve"> (</w:t>
      </w:r>
      <w:r w:rsidR="00E20CFE" w:rsidRPr="1C92C443">
        <w:t>§</w:t>
      </w:r>
      <w:r w:rsidR="00E20CFE">
        <w:t>32)</w:t>
      </w:r>
      <w:r w:rsidR="00C95494">
        <w:t xml:space="preserve"> </w:t>
      </w:r>
      <w:r w:rsidR="00B50A7A">
        <w:t xml:space="preserve">sisalduva võimalusega </w:t>
      </w:r>
      <w:r w:rsidR="00E20CFE">
        <w:t xml:space="preserve">korteriomandi võõrandamise nõude esitamisega. </w:t>
      </w:r>
    </w:p>
    <w:p w14:paraId="558AE891" w14:textId="31EE0413" w:rsidR="00872DC3" w:rsidRPr="00E14EBC" w:rsidRDefault="006432BA" w:rsidP="00872DC3">
      <w:pPr>
        <w:jc w:val="both"/>
        <w:rPr>
          <w:b/>
          <w:bCs/>
        </w:rPr>
      </w:pPr>
      <w:r>
        <w:t>Peamise r</w:t>
      </w:r>
      <w:r w:rsidR="54B6E299">
        <w:t>iski</w:t>
      </w:r>
      <w:r>
        <w:t>na näeme</w:t>
      </w:r>
      <w:r w:rsidR="54B6E299">
        <w:t>, et korteriühistutel ei pruugi olla võimekust kõikide probleemidega ise tegeleda</w:t>
      </w:r>
      <w:r>
        <w:t>.</w:t>
      </w:r>
      <w:r w:rsidR="54B6E299">
        <w:t xml:space="preserve"> </w:t>
      </w:r>
      <w:r>
        <w:t>K</w:t>
      </w:r>
      <w:r w:rsidR="54B6E299">
        <w:t xml:space="preserve">uid eeldatavalt inimeste elukorraldust olulisel määral mõjutavate probleemide, toimiva korteriühistu ja selgete õiguslike võimaluste loomisel on ühistu vähese võimekusega seotud riskid </w:t>
      </w:r>
      <w:r w:rsidR="54B6E299">
        <w:lastRenderedPageBreak/>
        <w:t>madalad.</w:t>
      </w:r>
      <w:r w:rsidR="00990979">
        <w:t xml:space="preserve"> Mõningane oht on ka kalduvus liigseks sekkumiseks</w:t>
      </w:r>
      <w:r w:rsidR="00707154">
        <w:t>, kui naabrite</w:t>
      </w:r>
      <w:r w:rsidR="00F70D0F">
        <w:t xml:space="preserve"> </w:t>
      </w:r>
      <w:r w:rsidR="00707154">
        <w:t>vahelised suhte</w:t>
      </w:r>
      <w:r w:rsidR="00F70D0F">
        <w:t>d</w:t>
      </w:r>
      <w:r w:rsidR="00707154">
        <w:t xml:space="preserve"> on </w:t>
      </w:r>
      <w:r w:rsidR="00F70D0F">
        <w:t xml:space="preserve">juba </w:t>
      </w:r>
      <w:r w:rsidR="00707154">
        <w:t xml:space="preserve">muude asjaoludega seoses </w:t>
      </w:r>
      <w:r w:rsidR="00F70D0F">
        <w:t>halvad.</w:t>
      </w:r>
      <w:r w:rsidR="003A747A">
        <w:t xml:space="preserve"> See võib takistada lühiajalise üüri turu võimaluste ärakasutamist indiviidide tasemel tekkinud konfliktide tõttu.</w:t>
      </w:r>
      <w:r w:rsidR="000347F5">
        <w:t xml:space="preserve"> Samas kui </w:t>
      </w:r>
      <w:r w:rsidR="00D83C89">
        <w:t>piirangute seadmine eeldab vähemalt 2/3 ühistu liikmete poolthäält</w:t>
      </w:r>
      <w:r w:rsidR="29258A38">
        <w:t>est</w:t>
      </w:r>
      <w:r w:rsidR="00D83C89">
        <w:t xml:space="preserve">, on nende </w:t>
      </w:r>
      <w:r w:rsidR="00934D92">
        <w:t xml:space="preserve">tekkimine vähetõenäoline ja võrreldes õiguste andmisega </w:t>
      </w:r>
      <w:r w:rsidR="002F0457">
        <w:t>kaasnevate</w:t>
      </w:r>
      <w:r w:rsidR="00934D92">
        <w:t xml:space="preserve"> kasudega väheoluline.</w:t>
      </w:r>
      <w:r w:rsidR="000347F5">
        <w:t xml:space="preserve"> </w:t>
      </w:r>
    </w:p>
    <w:p w14:paraId="4D08ED13" w14:textId="585C5BAB" w:rsidR="00872DC3" w:rsidRPr="00E14EBC" w:rsidRDefault="00872DC3" w:rsidP="00872DC3">
      <w:pPr>
        <w:jc w:val="both"/>
      </w:pPr>
      <w:r w:rsidRPr="00E14EBC">
        <w:rPr>
          <w:b/>
          <w:bCs/>
        </w:rPr>
        <w:t>Soovitatav elluviimise periood</w:t>
      </w:r>
      <w:r w:rsidR="00C863B2">
        <w:rPr>
          <w:b/>
          <w:bCs/>
        </w:rPr>
        <w:t xml:space="preserve"> </w:t>
      </w:r>
      <w:r w:rsidR="00C863B2" w:rsidRPr="1688D34F">
        <w:rPr>
          <w:b/>
        </w:rPr>
        <w:t>|</w:t>
      </w:r>
      <w:r w:rsidRPr="00E14EBC">
        <w:rPr>
          <w:b/>
          <w:bCs/>
        </w:rPr>
        <w:t xml:space="preserve"> </w:t>
      </w:r>
      <w:r w:rsidRPr="00E14EBC">
        <w:t>Koheselt.</w:t>
      </w:r>
    </w:p>
    <w:p w14:paraId="54E9DDFE" w14:textId="7AFE48E9" w:rsidR="00916614" w:rsidRPr="002225C1" w:rsidRDefault="5A33B860" w:rsidP="002225C1">
      <w:pPr>
        <w:jc w:val="both"/>
      </w:pPr>
      <w:r w:rsidRPr="39F9F431">
        <w:rPr>
          <w:b/>
          <w:bCs/>
        </w:rPr>
        <w:t>Sekkumise</w:t>
      </w:r>
      <w:r w:rsidR="54B6E299" w:rsidRPr="39F9F431">
        <w:rPr>
          <w:b/>
          <w:bCs/>
        </w:rPr>
        <w:t xml:space="preserve"> rahaline </w:t>
      </w:r>
      <w:r w:rsidRPr="39F9F431">
        <w:rPr>
          <w:b/>
          <w:bCs/>
        </w:rPr>
        <w:t>kulu</w:t>
      </w:r>
      <w:r w:rsidR="00C863B2">
        <w:rPr>
          <w:b/>
          <w:bCs/>
        </w:rPr>
        <w:t xml:space="preserve"> </w:t>
      </w:r>
      <w:r w:rsidR="00C863B2" w:rsidRPr="1688D34F">
        <w:rPr>
          <w:b/>
        </w:rPr>
        <w:t>|</w:t>
      </w:r>
      <w:r w:rsidR="54B6E299" w:rsidRPr="39F9F431">
        <w:rPr>
          <w:b/>
          <w:bCs/>
        </w:rPr>
        <w:t xml:space="preserve"> </w:t>
      </w:r>
      <w:r w:rsidR="00267B4D">
        <w:t>Õiguste kasutamisel</w:t>
      </w:r>
      <w:r w:rsidR="00091100">
        <w:t>, kui ühistud hakkavad teenuse osutamist piirama või lühiajalise üürimisega kaasneva</w:t>
      </w:r>
      <w:r w:rsidR="009542C6">
        <w:t>id</w:t>
      </w:r>
      <w:r w:rsidR="00091100">
        <w:t xml:space="preserve"> kulusid sisse nõudma,</w:t>
      </w:r>
      <w:r w:rsidR="00267B4D">
        <w:t xml:space="preserve"> võivad tekkida </w:t>
      </w:r>
      <w:r w:rsidR="00E3586E">
        <w:t xml:space="preserve">märkimisväärsed </w:t>
      </w:r>
      <w:r w:rsidR="00267B4D">
        <w:t xml:space="preserve">kulud </w:t>
      </w:r>
      <w:r w:rsidR="00091100">
        <w:t>teenuse osutajatele</w:t>
      </w:r>
      <w:r w:rsidR="00E3586E">
        <w:t xml:space="preserve"> (sh saamata jäänud tuludena)</w:t>
      </w:r>
      <w:r w:rsidR="003A2553">
        <w:t xml:space="preserve">. Samas eeldades, et oma õigusi kasutatakse </w:t>
      </w:r>
      <w:r w:rsidR="00825A95">
        <w:t>eelkõige</w:t>
      </w:r>
      <w:r w:rsidR="00DE42BA">
        <w:t xml:space="preserve"> oluliste häiringute korral ja </w:t>
      </w:r>
      <w:r w:rsidR="00825A95">
        <w:t xml:space="preserve">piirangute rakendamiseks </w:t>
      </w:r>
      <w:r w:rsidR="14A8138C">
        <w:t xml:space="preserve">on </w:t>
      </w:r>
      <w:r w:rsidR="00DE42BA">
        <w:t xml:space="preserve">vajalik suur häälteenamus, siis tervikuna </w:t>
      </w:r>
      <w:r w:rsidR="00825A95">
        <w:t>on sellega kaasnevad kasud kuludest suuremad.</w:t>
      </w:r>
      <w:r w:rsidR="00091100">
        <w:t xml:space="preserve"> </w:t>
      </w:r>
    </w:p>
    <w:p w14:paraId="0D4DE6FE" w14:textId="134508A5" w:rsidR="00872DC3" w:rsidRDefault="5CA0E03F" w:rsidP="00F754B8">
      <w:pPr>
        <w:pStyle w:val="Heading3"/>
        <w:ind w:left="540"/>
        <w:rPr>
          <w:rFonts w:hint="eastAsia"/>
        </w:rPr>
      </w:pPr>
      <w:bookmarkStart w:id="147" w:name="_Toc208991635"/>
      <w:r>
        <w:t>Planeeringud, kaitsekorrad ja kasutusotstarve</w:t>
      </w:r>
      <w:bookmarkEnd w:id="147"/>
    </w:p>
    <w:p w14:paraId="018D583D" w14:textId="5CEBDDE6" w:rsidR="009B16F1" w:rsidRDefault="00931D8C" w:rsidP="003C0C4E">
      <w:pPr>
        <w:jc w:val="both"/>
      </w:pPr>
      <w:r w:rsidRPr="1C92C443">
        <w:rPr>
          <w:b/>
          <w:bCs/>
        </w:rPr>
        <w:t>Teema</w:t>
      </w:r>
      <w:r w:rsidR="00C863B2">
        <w:rPr>
          <w:b/>
          <w:bCs/>
        </w:rPr>
        <w:t xml:space="preserve"> </w:t>
      </w:r>
      <w:r w:rsidR="00C863B2" w:rsidRPr="1688D34F">
        <w:rPr>
          <w:b/>
        </w:rPr>
        <w:t>|</w:t>
      </w:r>
      <w:r>
        <w:t xml:space="preserve"> </w:t>
      </w:r>
      <w:r w:rsidR="0016489C">
        <w:t xml:space="preserve">Planeerimisseaduse eesmärk </w:t>
      </w:r>
      <w:r w:rsidR="2F89D888">
        <w:t xml:space="preserve">on </w:t>
      </w:r>
      <w:r w:rsidR="0016489C">
        <w:t xml:space="preserve">luua ruumilise planeerimise kaudu eeldused ühiskonnaliikmete vajadusi ja huve arvestava, demokraatliku, pikaajalise, tasakaalustatud ruumilise arengu, maakasutuse, kvaliteetse elu- ning ehitatud keskkonna kujunemiseks, soodustades keskkonnahoidlikku ning majanduslikult, kultuuriliselt ja sotsiaalselt jätkusuutlikku arengut. </w:t>
      </w:r>
      <w:r w:rsidR="772C82EF">
        <w:t>See</w:t>
      </w:r>
      <w:r w:rsidR="0881513B">
        <w:t>tõttu</w:t>
      </w:r>
      <w:r w:rsidR="295C1E18">
        <w:t xml:space="preserve"> on</w:t>
      </w:r>
      <w:r w:rsidR="0016489C">
        <w:t xml:space="preserve"> sisulises vaates planeerimisseadus asjakohane</w:t>
      </w:r>
      <w:r w:rsidR="1828DAC8">
        <w:t xml:space="preserve"> alus ja planeeringud sobiv vahend</w:t>
      </w:r>
      <w:r w:rsidR="0016489C">
        <w:t xml:space="preserve">, et </w:t>
      </w:r>
      <w:r w:rsidR="1828DAC8">
        <w:t xml:space="preserve">maakasutuse suunamisega </w:t>
      </w:r>
      <w:r w:rsidR="0016489C">
        <w:t>hoida ära elukeskkonda kahjustava olukorra kujunemist</w:t>
      </w:r>
      <w:r w:rsidR="005129FE">
        <w:t xml:space="preserve">, </w:t>
      </w:r>
      <w:r w:rsidR="00417E28">
        <w:t>mida</w:t>
      </w:r>
      <w:r w:rsidR="005129FE">
        <w:t xml:space="preserve"> lühiajalise üüri tur</w:t>
      </w:r>
      <w:r w:rsidR="00B851E8">
        <w:t xml:space="preserve">u </w:t>
      </w:r>
      <w:r w:rsidR="00A80449">
        <w:t xml:space="preserve">areng </w:t>
      </w:r>
      <w:r w:rsidR="00B851E8">
        <w:t>võib kaasa tuua</w:t>
      </w:r>
      <w:r w:rsidR="00485571">
        <w:t xml:space="preserve"> ja on seda mõnes </w:t>
      </w:r>
      <w:r w:rsidR="478E535C">
        <w:t xml:space="preserve">üksikus </w:t>
      </w:r>
      <w:r w:rsidR="00485571">
        <w:t xml:space="preserve">Eesti piirkonnas </w:t>
      </w:r>
      <w:r w:rsidR="05097F62">
        <w:t xml:space="preserve">ilmselt </w:t>
      </w:r>
      <w:r w:rsidR="00485571">
        <w:t>ka juba teinud</w:t>
      </w:r>
      <w:r w:rsidR="00732BF5">
        <w:t>.</w:t>
      </w:r>
    </w:p>
    <w:p w14:paraId="477A000D" w14:textId="3939691E" w:rsidR="0016489C" w:rsidRDefault="4548B935" w:rsidP="003C0C4E">
      <w:pPr>
        <w:jc w:val="both"/>
      </w:pPr>
      <w:r>
        <w:t xml:space="preserve">Eesti kogemus on kinnitanud ka seda, et majutusteenuste, sh lühiajalise </w:t>
      </w:r>
      <w:r w:rsidR="00EC0ED1">
        <w:t xml:space="preserve">üüri </w:t>
      </w:r>
      <w:r>
        <w:t>teenuste, surve on kõige suurem linnade ajaloolistes ja arhitektuurselt väärtuslikes linnasüdametes</w:t>
      </w:r>
      <w:r w:rsidR="7ABF0D02">
        <w:t>,</w:t>
      </w:r>
      <w:r>
        <w:t xml:space="preserve"> n</w:t>
      </w:r>
      <w:r w:rsidR="6DEA625D">
        <w:t>-</w:t>
      </w:r>
      <w:r>
        <w:t>ö vanalinnades. Probleemiks on vanalinnades kohaliku elu hääbumine – st elanike, töökohtade ja igapäevaste (avalike) teenuste kadumine ja asendumine turismisektori ettevõtlusega (piirkondade turististumine).</w:t>
      </w:r>
      <w:r w:rsidDel="4548B935">
        <w:t xml:space="preserve"> </w:t>
      </w:r>
      <w:r w:rsidR="14FA7517">
        <w:t>Seega, k</w:t>
      </w:r>
      <w:r w:rsidR="3DB76035">
        <w:t xml:space="preserve">uigi riiklikul tasandil ei ole lühiajalise üüri turu suunamiseks </w:t>
      </w:r>
      <w:r w:rsidR="1E207685">
        <w:t xml:space="preserve">KOV-dele </w:t>
      </w:r>
      <w:r w:rsidR="6FD83A60">
        <w:t xml:space="preserve">eraldi </w:t>
      </w:r>
      <w:r w:rsidR="1E207685">
        <w:t>õiguslikku alust antud</w:t>
      </w:r>
      <w:r w:rsidR="38320051">
        <w:t xml:space="preserve">, saavad </w:t>
      </w:r>
      <w:r w:rsidR="58DE00F0">
        <w:t xml:space="preserve">KOV-d </w:t>
      </w:r>
      <w:r w:rsidR="6FD83A60">
        <w:t xml:space="preserve">ka praegu </w:t>
      </w:r>
      <w:r w:rsidR="58DE00F0">
        <w:t>planeeringutega suunata hoonete kasutusotstarvet</w:t>
      </w:r>
      <w:r w:rsidR="6FD83A60">
        <w:t>.</w:t>
      </w:r>
      <w:r w:rsidR="1E0C0330">
        <w:t xml:space="preserve"> Lisaks, kuna ajaloolised linnasüdamed on Eestis kõik ühtlasi muinsuskaitsealad, mille kaitsmiseks on vastavalt muinsuskaitseseadusele Vabariigi Valitsuse otsusega kehtestatud põhimäärus või kaitsekord, võimaldavad nimetatud dokumendid seada kaitse eesmärgist lähtuvaid erinevaid piiranguid</w:t>
      </w:r>
      <w:r w:rsidR="04FECA2D">
        <w:t xml:space="preserve"> eespool viidatud probleemide lahendamiseks.</w:t>
      </w:r>
    </w:p>
    <w:p w14:paraId="2761A420" w14:textId="17E31DA8" w:rsidR="00E9772E" w:rsidRDefault="3F702BFC" w:rsidP="74F5D6F8">
      <w:pPr>
        <w:jc w:val="both"/>
      </w:pPr>
      <w:r>
        <w:t xml:space="preserve">Eluruumide kasutusotstarbe planeeringule vastavuse hindamiseks ja kasutusotstarbe muutmiseks on olemas </w:t>
      </w:r>
      <w:r w:rsidR="009D3B45">
        <w:t>EhS-</w:t>
      </w:r>
      <w:r w:rsidR="00615470">
        <w:t>i</w:t>
      </w:r>
      <w:r w:rsidR="009D3B45">
        <w:t xml:space="preserve">s </w:t>
      </w:r>
      <w:r>
        <w:t xml:space="preserve">kasutusteatise ja kasutusloa menetlused. </w:t>
      </w:r>
      <w:r w:rsidR="52D3610C">
        <w:t xml:space="preserve">Olemasolevate </w:t>
      </w:r>
      <w:r w:rsidR="340A0141">
        <w:t xml:space="preserve">(juba kasutusele võetud) </w:t>
      </w:r>
      <w:r w:rsidR="52D3610C">
        <w:t>e</w:t>
      </w:r>
      <w:r w:rsidR="4820880F">
        <w:t xml:space="preserve">luruumide </w:t>
      </w:r>
      <w:r w:rsidR="7869640C">
        <w:t xml:space="preserve">tegeliku </w:t>
      </w:r>
      <w:r w:rsidR="4820880F">
        <w:t>kasutamise planeeringule</w:t>
      </w:r>
      <w:r w:rsidR="44AF018B">
        <w:t xml:space="preserve"> </w:t>
      </w:r>
      <w:r w:rsidR="6450EC02">
        <w:t>ja kaitsekorrale</w:t>
      </w:r>
      <w:r w:rsidR="44AF018B">
        <w:t xml:space="preserve"> </w:t>
      </w:r>
      <w:r w:rsidR="4820880F">
        <w:t xml:space="preserve">vastavuse </w:t>
      </w:r>
      <w:r w:rsidR="44AF018B">
        <w:t xml:space="preserve">kontrollimiseks puudub </w:t>
      </w:r>
      <w:r w:rsidR="094086C5">
        <w:t xml:space="preserve">aga </w:t>
      </w:r>
      <w:r w:rsidR="44AF018B">
        <w:t>toimiv süsteem.</w:t>
      </w:r>
      <w:r w:rsidR="4820880F">
        <w:t xml:space="preserve"> </w:t>
      </w:r>
      <w:r w:rsidR="0A3386D0">
        <w:t xml:space="preserve">Samuti ei </w:t>
      </w:r>
      <w:r w:rsidR="56840216">
        <w:t>ole</w:t>
      </w:r>
      <w:r w:rsidR="0A3386D0">
        <w:t xml:space="preserve"> e</w:t>
      </w:r>
      <w:r w:rsidR="0EFF7674">
        <w:t>luruumi kasutamine külaliskorterina</w:t>
      </w:r>
      <w:r w:rsidR="2B569A8E">
        <w:t>, kodukontorina</w:t>
      </w:r>
      <w:r w:rsidR="0EFF7674">
        <w:t xml:space="preserve"> või mõnel teisel otstarbel otseselt keelatud</w:t>
      </w:r>
      <w:r w:rsidR="076D70A8">
        <w:t xml:space="preserve"> ega eelda kasutusotstarbe muutmist</w:t>
      </w:r>
      <w:r w:rsidR="001E1FE9">
        <w:t>.</w:t>
      </w:r>
      <w:r w:rsidR="00A05A97">
        <w:t xml:space="preserve"> </w:t>
      </w:r>
      <w:r w:rsidR="00894BA2">
        <w:t>Kuid lühiajalise üüri turu arengu ja levikuga</w:t>
      </w:r>
      <w:r w:rsidR="00B27990">
        <w:t xml:space="preserve"> on </w:t>
      </w:r>
      <w:r w:rsidR="000F751A">
        <w:t xml:space="preserve">tekkinud vajadus eluruumides lühiajalist üürimist selle põhjustatud häiringute tõttu osades piirkondades </w:t>
      </w:r>
      <w:r w:rsidR="006406B9">
        <w:t>piirata, mida on võimalik saavutada kasutusotsta</w:t>
      </w:r>
      <w:r w:rsidR="00842043">
        <w:t>rbe muutmise kriteeriumite täpsema määratlemise kaudu.</w:t>
      </w:r>
    </w:p>
    <w:p w14:paraId="100275F8" w14:textId="7D133632" w:rsidR="0067076B" w:rsidRDefault="30B196E8" w:rsidP="003C0C4E">
      <w:pPr>
        <w:jc w:val="both"/>
      </w:pPr>
      <w:r w:rsidRPr="1C92C443">
        <w:rPr>
          <w:b/>
          <w:bCs/>
        </w:rPr>
        <w:lastRenderedPageBreak/>
        <w:t>Soovitus</w:t>
      </w:r>
      <w:r w:rsidR="00C863B2">
        <w:rPr>
          <w:b/>
          <w:bCs/>
        </w:rPr>
        <w:t xml:space="preserve"> </w:t>
      </w:r>
      <w:r w:rsidR="00C863B2" w:rsidRPr="1688D34F">
        <w:rPr>
          <w:b/>
        </w:rPr>
        <w:t>|</w:t>
      </w:r>
      <w:r>
        <w:t xml:space="preserve"> </w:t>
      </w:r>
      <w:r w:rsidR="004506FD">
        <w:t>KOV-del</w:t>
      </w:r>
      <w:r w:rsidR="17BEF7F9">
        <w:t xml:space="preserve">, </w:t>
      </w:r>
      <w:r w:rsidR="09E4CA3E">
        <w:t>kellel on tekkinud või võib tulevikus tekkida vajadus</w:t>
      </w:r>
      <w:r w:rsidR="1B818589">
        <w:t xml:space="preserve"> </w:t>
      </w:r>
      <w:r w:rsidR="0966576D">
        <w:t xml:space="preserve">suunata </w:t>
      </w:r>
      <w:r w:rsidR="1828DAC8">
        <w:t xml:space="preserve">lühiajalist majutusteenust </w:t>
      </w:r>
      <w:r w:rsidR="19883BDE">
        <w:t>omavalitsuse territooriumil</w:t>
      </w:r>
      <w:r w:rsidR="79135EF2">
        <w:t>,</w:t>
      </w:r>
      <w:r w:rsidR="1828DAC8">
        <w:t xml:space="preserve"> nt</w:t>
      </w:r>
      <w:r w:rsidR="19014F28">
        <w:t xml:space="preserve"> saavutada</w:t>
      </w:r>
      <w:r w:rsidR="032491AE">
        <w:t xml:space="preserve"> ja hoida</w:t>
      </w:r>
      <w:r w:rsidR="100B57A8">
        <w:t xml:space="preserve"> tasakaalu eluruumide ja majutusruumide vahel</w:t>
      </w:r>
      <w:r w:rsidR="032491AE">
        <w:t>, soovitame järgmis</w:t>
      </w:r>
      <w:r w:rsidR="6405A267">
        <w:t>t:</w:t>
      </w:r>
    </w:p>
    <w:p w14:paraId="7CE7E3F7" w14:textId="43EF1A1A" w:rsidR="00A97CFA" w:rsidRDefault="00A97CFA" w:rsidP="003C0C4E">
      <w:pPr>
        <w:jc w:val="both"/>
      </w:pPr>
      <w:r>
        <w:t xml:space="preserve">(i) </w:t>
      </w:r>
      <w:r w:rsidR="5E3DFC9B">
        <w:t xml:space="preserve">Kaaluda </w:t>
      </w:r>
      <w:r w:rsidR="5E3E8266">
        <w:t>üldplaneeringutes</w:t>
      </w:r>
      <w:r w:rsidR="00405172">
        <w:t xml:space="preserve"> </w:t>
      </w:r>
      <w:r w:rsidR="00505FB1">
        <w:t>maa-alade</w:t>
      </w:r>
      <w:r w:rsidR="4761A869">
        <w:t xml:space="preserve"> </w:t>
      </w:r>
      <w:r w:rsidR="58883804">
        <w:t>maakasutuse</w:t>
      </w:r>
      <w:r w:rsidR="304C462E">
        <w:t xml:space="preserve"> </w:t>
      </w:r>
      <w:r w:rsidR="4761A869">
        <w:t xml:space="preserve">juhtotstarvete </w:t>
      </w:r>
      <w:r w:rsidR="7CA500FD">
        <w:t>määramise</w:t>
      </w:r>
      <w:r w:rsidR="4761A869">
        <w:t xml:space="preserve"> </w:t>
      </w:r>
      <w:r w:rsidR="25FBD514">
        <w:t>ja/või miljööalade planeeri</w:t>
      </w:r>
      <w:r w:rsidR="7A264757">
        <w:t>ngutingimuste ka</w:t>
      </w:r>
      <w:r w:rsidR="25FBD514">
        <w:t xml:space="preserve">udu </w:t>
      </w:r>
      <w:r w:rsidR="1220CE24">
        <w:t>majutusteenuse piiramise võimalust ja otstarbekust</w:t>
      </w:r>
      <w:r w:rsidR="0090638D">
        <w:t xml:space="preserve"> </w:t>
      </w:r>
      <w:r w:rsidR="00515AA3">
        <w:t>(</w:t>
      </w:r>
      <w:r w:rsidR="10D48E6A">
        <w:t>sh konkreetsetes</w:t>
      </w:r>
      <w:r w:rsidR="361FAB23">
        <w:t xml:space="preserve"> piirkondades</w:t>
      </w:r>
      <w:r w:rsidR="00515AA3">
        <w:t>)</w:t>
      </w:r>
      <w:r w:rsidR="361FAB23">
        <w:t xml:space="preserve"> </w:t>
      </w:r>
      <w:r w:rsidR="16A3062E">
        <w:t>olemasoleva</w:t>
      </w:r>
      <w:r w:rsidR="000402E0">
        <w:t xml:space="preserve"> </w:t>
      </w:r>
      <w:r w:rsidR="5E3DFC9B">
        <w:t>linnaruumi</w:t>
      </w:r>
      <w:r w:rsidR="16A3062E">
        <w:t xml:space="preserve"> </w:t>
      </w:r>
      <w:r w:rsidR="000402E0">
        <w:t>arengu suunamise</w:t>
      </w:r>
      <w:r w:rsidR="203DF94E">
        <w:t>ks</w:t>
      </w:r>
      <w:r w:rsidR="042C008A">
        <w:t xml:space="preserve"> </w:t>
      </w:r>
      <w:r w:rsidR="00515AA3">
        <w:t>(</w:t>
      </w:r>
      <w:r w:rsidR="042C008A">
        <w:t xml:space="preserve">sh olemasolevate hoonete kasutuse </w:t>
      </w:r>
      <w:r w:rsidR="203DF94E">
        <w:t>suunamiseks</w:t>
      </w:r>
      <w:r w:rsidR="00515AA3" w:rsidRPr="00B54A22">
        <w:rPr>
          <w:rStyle w:val="CommentReference"/>
          <w:sz w:val="24"/>
          <w:szCs w:val="24"/>
        </w:rPr>
        <w:t>)</w:t>
      </w:r>
      <w:r w:rsidR="0079038A">
        <w:rPr>
          <w:rStyle w:val="CommentReference"/>
          <w:sz w:val="24"/>
          <w:szCs w:val="24"/>
        </w:rPr>
        <w:t>.</w:t>
      </w:r>
    </w:p>
    <w:p w14:paraId="218D72B0" w14:textId="46C93B66" w:rsidR="19A47197" w:rsidRDefault="19A47197" w:rsidP="19A47197">
      <w:pPr>
        <w:jc w:val="both"/>
      </w:pPr>
      <w:r>
        <w:t>(ii) Kaaluda detailplaneeringutes</w:t>
      </w:r>
      <w:r w:rsidR="54938308">
        <w:t xml:space="preserve"> </w:t>
      </w:r>
      <w:r w:rsidR="46D3AE3A">
        <w:t>planeeritava ala</w:t>
      </w:r>
      <w:r w:rsidR="304C462E">
        <w:t xml:space="preserve"> hoonete ja kvartalite </w:t>
      </w:r>
      <w:r w:rsidR="10D48E6A">
        <w:t xml:space="preserve">kasutusotstarbe </w:t>
      </w:r>
      <w:r w:rsidR="46D3AE3A">
        <w:t>reguleerimist</w:t>
      </w:r>
      <w:r w:rsidR="00615BBF">
        <w:t xml:space="preserve"> </w:t>
      </w:r>
      <w:r w:rsidR="55347446">
        <w:t>konkreetselt lühiajalise majutusteenuse/</w:t>
      </w:r>
      <w:r w:rsidR="6B4C9C69">
        <w:t>külaliskorterite</w:t>
      </w:r>
      <w:r w:rsidR="00615BBF">
        <w:t xml:space="preserve"> </w:t>
      </w:r>
      <w:r w:rsidR="46D3AE3A">
        <w:t>piiramiseks või keelamiseks</w:t>
      </w:r>
      <w:r w:rsidR="5817F753">
        <w:t xml:space="preserve"> ning asjakohaste elukeskkonda tag</w:t>
      </w:r>
      <w:r w:rsidR="5C551B45">
        <w:t>a</w:t>
      </w:r>
      <w:r w:rsidR="5817F753">
        <w:t>vate</w:t>
      </w:r>
      <w:r w:rsidR="3BFA5408">
        <w:t xml:space="preserve"> arhitektuurinõuete seadmist</w:t>
      </w:r>
      <w:r w:rsidR="00615BBF">
        <w:t>.</w:t>
      </w:r>
      <w:r w:rsidR="54938308">
        <w:t xml:space="preserve"> </w:t>
      </w:r>
      <w:r w:rsidR="5F7F833B">
        <w:t xml:space="preserve">Detailplaneeringutega kasutusotstarvete suunamine on </w:t>
      </w:r>
      <w:r w:rsidR="030B3DAB">
        <w:t>võimalik eelkõige uusarendustes</w:t>
      </w:r>
      <w:r w:rsidR="5F7F833B">
        <w:t>.</w:t>
      </w:r>
    </w:p>
    <w:p w14:paraId="78597CF4" w14:textId="52138905" w:rsidR="008332CE" w:rsidRDefault="00375265" w:rsidP="19A47197">
      <w:pPr>
        <w:jc w:val="both"/>
      </w:pPr>
      <w:r>
        <w:t>Lisaks soovitame järgmist:</w:t>
      </w:r>
    </w:p>
    <w:p w14:paraId="051C9D90" w14:textId="620BE705" w:rsidR="00AF3B3E" w:rsidRDefault="5F3D0D7C" w:rsidP="1C92C443">
      <w:pPr>
        <w:jc w:val="both"/>
        <w:rPr>
          <w:rFonts w:eastAsiaTheme="minorEastAsia"/>
        </w:rPr>
      </w:pPr>
      <w:r w:rsidRPr="1C92C443">
        <w:rPr>
          <w:rFonts w:eastAsiaTheme="minorEastAsia"/>
        </w:rPr>
        <w:t>(iii</w:t>
      </w:r>
      <w:r w:rsidR="408FD2A6" w:rsidRPr="1C92C443">
        <w:rPr>
          <w:rFonts w:eastAsiaTheme="minorEastAsia"/>
        </w:rPr>
        <w:t>)</w:t>
      </w:r>
      <w:r w:rsidR="5D78FB8F" w:rsidRPr="1C92C443">
        <w:rPr>
          <w:rFonts w:eastAsiaTheme="minorEastAsia"/>
        </w:rPr>
        <w:t xml:space="preserve"> </w:t>
      </w:r>
      <w:r w:rsidR="004506FD">
        <w:rPr>
          <w:rFonts w:eastAsiaTheme="minorEastAsia"/>
        </w:rPr>
        <w:t>MKA-l</w:t>
      </w:r>
      <w:r w:rsidR="004506FD" w:rsidRPr="1C92C443">
        <w:rPr>
          <w:rFonts w:eastAsiaTheme="minorEastAsia"/>
        </w:rPr>
        <w:t xml:space="preserve"> </w:t>
      </w:r>
      <w:r w:rsidR="0042531F" w:rsidRPr="1C92C443">
        <w:rPr>
          <w:rFonts w:eastAsiaTheme="minorEastAsia"/>
        </w:rPr>
        <w:t xml:space="preserve">koostöös </w:t>
      </w:r>
      <w:r w:rsidR="00C85F3F">
        <w:rPr>
          <w:rFonts w:eastAsiaTheme="minorEastAsia"/>
        </w:rPr>
        <w:t>huvitatud</w:t>
      </w:r>
      <w:r w:rsidR="00C85F3F" w:rsidRPr="1C92C443">
        <w:rPr>
          <w:rFonts w:eastAsiaTheme="minorEastAsia"/>
        </w:rPr>
        <w:t xml:space="preserve"> </w:t>
      </w:r>
      <w:r w:rsidR="00442FE6">
        <w:rPr>
          <w:rFonts w:eastAsiaTheme="minorEastAsia"/>
        </w:rPr>
        <w:t>KOV-dega</w:t>
      </w:r>
      <w:r w:rsidR="00C85F3F" w:rsidRPr="1C92C443">
        <w:rPr>
          <w:rFonts w:eastAsiaTheme="minorEastAsia"/>
        </w:rPr>
        <w:t xml:space="preserve"> </w:t>
      </w:r>
      <w:r w:rsidR="007B0FDF">
        <w:rPr>
          <w:rFonts w:eastAsiaTheme="minorEastAsia"/>
        </w:rPr>
        <w:t xml:space="preserve">vajadusel </w:t>
      </w:r>
      <w:r w:rsidR="001A7729" w:rsidRPr="1C92C443">
        <w:rPr>
          <w:rFonts w:eastAsiaTheme="minorEastAsia"/>
        </w:rPr>
        <w:t>k</w:t>
      </w:r>
      <w:r w:rsidR="00FE4AC3" w:rsidRPr="1C92C443">
        <w:rPr>
          <w:rFonts w:eastAsiaTheme="minorEastAsia"/>
        </w:rPr>
        <w:t xml:space="preserve">aaluda </w:t>
      </w:r>
      <w:r w:rsidR="004130DA" w:rsidRPr="1C92C443">
        <w:rPr>
          <w:rFonts w:eastAsiaTheme="minorEastAsia"/>
        </w:rPr>
        <w:t>muinsuskaitsealade kaitsekordades</w:t>
      </w:r>
      <w:r w:rsidR="004130DA">
        <w:rPr>
          <w:rFonts w:eastAsiaTheme="minorEastAsia"/>
        </w:rPr>
        <w:t xml:space="preserve"> </w:t>
      </w:r>
      <w:r w:rsidR="00F92366">
        <w:rPr>
          <w:rFonts w:eastAsiaTheme="minorEastAsia"/>
        </w:rPr>
        <w:t xml:space="preserve">piirangute seadmist </w:t>
      </w:r>
      <w:r w:rsidR="00AB6E18">
        <w:rPr>
          <w:rFonts w:eastAsiaTheme="minorEastAsia"/>
        </w:rPr>
        <w:t>elamutes majutusteenuse pakkumisele</w:t>
      </w:r>
      <w:r w:rsidR="00AF3B3E" w:rsidRPr="1C92C443">
        <w:rPr>
          <w:rFonts w:eastAsiaTheme="minorEastAsia"/>
        </w:rPr>
        <w:t>.</w:t>
      </w:r>
    </w:p>
    <w:p w14:paraId="0EA7B17C" w14:textId="44A507BA" w:rsidR="000306AC" w:rsidRDefault="1828DAC8" w:rsidP="00BE179D">
      <w:pPr>
        <w:spacing w:before="0"/>
        <w:jc w:val="both"/>
        <w:rPr>
          <w:rFonts w:ascii="Aptos" w:eastAsia="Aptos" w:hAnsi="Aptos" w:cs="Aptos"/>
          <w:lang w:val="et"/>
        </w:rPr>
      </w:pPr>
      <w:r w:rsidRPr="1C92C443">
        <w:rPr>
          <w:rFonts w:eastAsiaTheme="minorEastAsia"/>
        </w:rPr>
        <w:t>(</w:t>
      </w:r>
      <w:r w:rsidR="19A47197" w:rsidRPr="1C92C443">
        <w:rPr>
          <w:rFonts w:eastAsiaTheme="minorEastAsia"/>
        </w:rPr>
        <w:t>i</w:t>
      </w:r>
      <w:r w:rsidR="00106426">
        <w:rPr>
          <w:rFonts w:eastAsiaTheme="minorEastAsia"/>
        </w:rPr>
        <w:t>v</w:t>
      </w:r>
      <w:r w:rsidRPr="1C92C443">
        <w:rPr>
          <w:rFonts w:eastAsiaTheme="minorEastAsia"/>
        </w:rPr>
        <w:t xml:space="preserve">) </w:t>
      </w:r>
      <w:r w:rsidR="004506FD">
        <w:rPr>
          <w:rFonts w:eastAsiaTheme="minorEastAsia"/>
        </w:rPr>
        <w:t xml:space="preserve">KliM-il </w:t>
      </w:r>
      <w:r w:rsidR="00907A7F">
        <w:rPr>
          <w:rFonts w:eastAsiaTheme="minorEastAsia"/>
        </w:rPr>
        <w:t>koostöös</w:t>
      </w:r>
      <w:r w:rsidR="00F142C5">
        <w:rPr>
          <w:rFonts w:eastAsiaTheme="minorEastAsia"/>
        </w:rPr>
        <w:t xml:space="preserve"> </w:t>
      </w:r>
      <w:r w:rsidR="00907A7F">
        <w:rPr>
          <w:rFonts w:eastAsiaTheme="minorEastAsia"/>
        </w:rPr>
        <w:t>huvitatud KOV-dega</w:t>
      </w:r>
      <w:r w:rsidR="00C46B83">
        <w:rPr>
          <w:rFonts w:eastAsiaTheme="minorEastAsia"/>
        </w:rPr>
        <w:t xml:space="preserve"> ja </w:t>
      </w:r>
      <w:r w:rsidR="004506FD">
        <w:rPr>
          <w:rFonts w:eastAsiaTheme="minorEastAsia"/>
        </w:rPr>
        <w:t>MKM-ga</w:t>
      </w:r>
      <w:r w:rsidR="00907A7F">
        <w:rPr>
          <w:rFonts w:eastAsiaTheme="minorEastAsia"/>
        </w:rPr>
        <w:t xml:space="preserve"> </w:t>
      </w:r>
      <w:r w:rsidR="00D06B17">
        <w:rPr>
          <w:rFonts w:eastAsiaTheme="minorEastAsia"/>
        </w:rPr>
        <w:t xml:space="preserve">(vajadusel KuM-ga) </w:t>
      </w:r>
      <w:r w:rsidR="00907A7F">
        <w:rPr>
          <w:rFonts w:eastAsiaTheme="minorEastAsia"/>
        </w:rPr>
        <w:t>k</w:t>
      </w:r>
      <w:r w:rsidR="00B403F3" w:rsidRPr="00B403F3">
        <w:rPr>
          <w:rFonts w:eastAsiaTheme="minorEastAsia"/>
        </w:rPr>
        <w:t>aaluda EhS</w:t>
      </w:r>
      <w:r w:rsidR="0032283E">
        <w:rPr>
          <w:rFonts w:eastAsiaTheme="minorEastAsia"/>
        </w:rPr>
        <w:t>-i</w:t>
      </w:r>
      <w:r w:rsidR="005E6E84">
        <w:rPr>
          <w:rFonts w:eastAsiaTheme="minorEastAsia"/>
        </w:rPr>
        <w:t xml:space="preserve"> </w:t>
      </w:r>
      <w:r w:rsidR="0032283E">
        <w:rPr>
          <w:rFonts w:eastAsiaTheme="minorEastAsia"/>
        </w:rPr>
        <w:t>m</w:t>
      </w:r>
      <w:r w:rsidR="005E6E84">
        <w:rPr>
          <w:rFonts w:eastAsiaTheme="minorEastAsia"/>
        </w:rPr>
        <w:t>uutmise algatamist</w:t>
      </w:r>
      <w:r w:rsidR="00F03FC5">
        <w:rPr>
          <w:rFonts w:eastAsiaTheme="minorEastAsia"/>
        </w:rPr>
        <w:t>, millega antakse</w:t>
      </w:r>
      <w:r w:rsidR="006F06FB">
        <w:rPr>
          <w:rFonts w:eastAsiaTheme="minorEastAsia"/>
        </w:rPr>
        <w:t xml:space="preserve"> KOV</w:t>
      </w:r>
      <w:r w:rsidR="00864508">
        <w:rPr>
          <w:rFonts w:eastAsiaTheme="minorEastAsia"/>
        </w:rPr>
        <w:t xml:space="preserve">-le </w:t>
      </w:r>
      <w:r w:rsidR="00B403F3" w:rsidRPr="00B403F3">
        <w:rPr>
          <w:rFonts w:eastAsiaTheme="minorEastAsia"/>
        </w:rPr>
        <w:t xml:space="preserve">õigus kehtestada määrusega enda haldusüksuses eluruumide kasutusotstarbe muutmise kohustuslikud kriteeriumid. Kasutusotstarbe muutmise kriteeriumid võiksid olla seotud </w:t>
      </w:r>
      <w:r w:rsidR="00A869E4">
        <w:rPr>
          <w:rFonts w:eastAsiaTheme="minorEastAsia"/>
        </w:rPr>
        <w:t xml:space="preserve">kvaliteetse elukeskkonna tagamise </w:t>
      </w:r>
      <w:r w:rsidR="00211A9B">
        <w:rPr>
          <w:rFonts w:eastAsiaTheme="minorEastAsia"/>
        </w:rPr>
        <w:t xml:space="preserve">(nt </w:t>
      </w:r>
      <w:r w:rsidR="00B403F3" w:rsidRPr="00B403F3">
        <w:rPr>
          <w:rFonts w:eastAsiaTheme="minorEastAsia"/>
        </w:rPr>
        <w:t>häiringute ulatusega, mida majutusteenuse kasutamine võib põhjustada, aga ka ohutusalaste asjaoludega</w:t>
      </w:r>
      <w:r w:rsidR="00211A9B">
        <w:rPr>
          <w:rFonts w:eastAsiaTheme="minorEastAsia"/>
        </w:rPr>
        <w:t>) ja muinsuskaitsealade kaitsmisega</w:t>
      </w:r>
      <w:r w:rsidR="00B95086">
        <w:rPr>
          <w:rFonts w:eastAsiaTheme="minorEastAsia"/>
        </w:rPr>
        <w:t>.</w:t>
      </w:r>
    </w:p>
    <w:p w14:paraId="3823F08F" w14:textId="5273785C" w:rsidR="00DC3861" w:rsidRPr="00B54A22" w:rsidRDefault="13D5911E" w:rsidP="1C92C443">
      <w:pPr>
        <w:spacing w:before="0"/>
        <w:jc w:val="both"/>
        <w:rPr>
          <w:rFonts w:eastAsiaTheme="minorEastAsia"/>
          <w:lang w:val="nl"/>
        </w:rPr>
      </w:pPr>
      <w:r w:rsidRPr="1C92C443">
        <w:rPr>
          <w:b/>
          <w:bCs/>
        </w:rPr>
        <w:t>Adressaat</w:t>
      </w:r>
      <w:r w:rsidR="00C863B2">
        <w:rPr>
          <w:b/>
          <w:bCs/>
        </w:rPr>
        <w:t xml:space="preserve"> </w:t>
      </w:r>
      <w:r w:rsidR="00C863B2" w:rsidRPr="1688D34F">
        <w:rPr>
          <w:b/>
        </w:rPr>
        <w:t>|</w:t>
      </w:r>
      <w:r w:rsidRPr="00BE179D">
        <w:rPr>
          <w:rFonts w:eastAsiaTheme="minorEastAsia"/>
          <w:b/>
        </w:rPr>
        <w:t xml:space="preserve"> </w:t>
      </w:r>
      <w:r w:rsidR="1EFA1653" w:rsidRPr="1C92C443">
        <w:rPr>
          <w:rFonts w:eastAsiaTheme="minorEastAsia"/>
        </w:rPr>
        <w:t>KOV-d</w:t>
      </w:r>
      <w:r w:rsidR="00E94B94" w:rsidRPr="1C92C443">
        <w:rPr>
          <w:rFonts w:eastAsiaTheme="minorEastAsia"/>
        </w:rPr>
        <w:t>,</w:t>
      </w:r>
      <w:r w:rsidR="1EFA1653" w:rsidRPr="1C92C443">
        <w:rPr>
          <w:rFonts w:eastAsiaTheme="minorEastAsia"/>
        </w:rPr>
        <w:t xml:space="preserve"> </w:t>
      </w:r>
      <w:r w:rsidR="007A3906">
        <w:rPr>
          <w:rFonts w:eastAsiaTheme="minorEastAsia"/>
          <w:lang w:val="et"/>
        </w:rPr>
        <w:t>MKA</w:t>
      </w:r>
      <w:r w:rsidR="00BA3EB2" w:rsidRPr="1C92C443">
        <w:rPr>
          <w:rFonts w:eastAsiaTheme="minorEastAsia"/>
          <w:lang w:val="et"/>
        </w:rPr>
        <w:t>,</w:t>
      </w:r>
      <w:r w:rsidR="00F83737" w:rsidRPr="1C92C443">
        <w:rPr>
          <w:rFonts w:eastAsiaTheme="minorEastAsia"/>
          <w:lang w:val="et"/>
        </w:rPr>
        <w:t xml:space="preserve"> </w:t>
      </w:r>
      <w:r w:rsidR="007A3906">
        <w:rPr>
          <w:rFonts w:eastAsiaTheme="minorEastAsia"/>
          <w:lang w:val="et"/>
        </w:rPr>
        <w:t>KuM</w:t>
      </w:r>
      <w:r w:rsidR="00F83737" w:rsidRPr="1C92C443">
        <w:rPr>
          <w:rFonts w:eastAsiaTheme="minorEastAsia"/>
          <w:lang w:val="et"/>
        </w:rPr>
        <w:t>,</w:t>
      </w:r>
      <w:r w:rsidR="052A42A8" w:rsidRPr="1C92C443">
        <w:rPr>
          <w:rFonts w:eastAsiaTheme="minorEastAsia"/>
          <w:lang w:val="et"/>
        </w:rPr>
        <w:t xml:space="preserve"> </w:t>
      </w:r>
      <w:r w:rsidR="007A3906">
        <w:rPr>
          <w:rFonts w:eastAsiaTheme="minorEastAsia"/>
          <w:lang w:val="nl"/>
        </w:rPr>
        <w:t>KliM</w:t>
      </w:r>
      <w:r w:rsidR="33EE75CB" w:rsidRPr="00B54A22">
        <w:rPr>
          <w:rFonts w:eastAsiaTheme="minorEastAsia"/>
          <w:lang w:val="nl"/>
        </w:rPr>
        <w:t xml:space="preserve">, </w:t>
      </w:r>
      <w:r w:rsidR="007A3906">
        <w:rPr>
          <w:rFonts w:eastAsiaTheme="minorEastAsia"/>
          <w:lang w:val="nl"/>
        </w:rPr>
        <w:t>MaRu</w:t>
      </w:r>
      <w:r w:rsidR="004640CB">
        <w:rPr>
          <w:rFonts w:eastAsiaTheme="minorEastAsia"/>
          <w:lang w:val="nl"/>
        </w:rPr>
        <w:t xml:space="preserve">, </w:t>
      </w:r>
      <w:r w:rsidR="007A3906">
        <w:rPr>
          <w:rFonts w:eastAsiaTheme="minorEastAsia"/>
          <w:lang w:val="nl"/>
        </w:rPr>
        <w:t>MKM</w:t>
      </w:r>
      <w:r w:rsidR="0006599B" w:rsidRPr="00B54A22">
        <w:rPr>
          <w:rFonts w:eastAsiaTheme="minorEastAsia"/>
          <w:lang w:val="nl"/>
        </w:rPr>
        <w:t>.</w:t>
      </w:r>
    </w:p>
    <w:p w14:paraId="1B17E85D" w14:textId="32DD3412" w:rsidR="006F07F8" w:rsidRPr="00BE179D" w:rsidRDefault="30B196E8" w:rsidP="6112B96E">
      <w:pPr>
        <w:jc w:val="both"/>
        <w:rPr>
          <w:rFonts w:ascii="Arial" w:eastAsia="Arial" w:hAnsi="Arial" w:cs="Arial"/>
        </w:rPr>
      </w:pPr>
      <w:r w:rsidRPr="1C92C443">
        <w:rPr>
          <w:b/>
          <w:bCs/>
        </w:rPr>
        <w:t>Põhjendus</w:t>
      </w:r>
      <w:r w:rsidR="00C863B2">
        <w:rPr>
          <w:b/>
          <w:bCs/>
        </w:rPr>
        <w:t xml:space="preserve"> </w:t>
      </w:r>
      <w:r w:rsidR="00C863B2" w:rsidRPr="1688D34F">
        <w:rPr>
          <w:b/>
        </w:rPr>
        <w:t>|</w:t>
      </w:r>
      <w:r>
        <w:t xml:space="preserve"> </w:t>
      </w:r>
      <w:r w:rsidR="00050682">
        <w:t>Kuna h</w:t>
      </w:r>
      <w:r w:rsidR="5C6964E7">
        <w:t xml:space="preserve">oonete kasutus peab olema kooskõlas </w:t>
      </w:r>
      <w:r w:rsidR="58F790AB" w:rsidRPr="00B54A22">
        <w:rPr>
          <w:b/>
          <w:bCs/>
        </w:rPr>
        <w:t xml:space="preserve">detailplaneeringus määratud </w:t>
      </w:r>
      <w:r w:rsidR="66B2D85E" w:rsidRPr="00B54A22">
        <w:rPr>
          <w:b/>
          <w:bCs/>
        </w:rPr>
        <w:t>krundi</w:t>
      </w:r>
      <w:r w:rsidR="6822D546" w:rsidRPr="00B54A22">
        <w:rPr>
          <w:b/>
          <w:bCs/>
        </w:rPr>
        <w:t xml:space="preserve"> kasutusotstarbega</w:t>
      </w:r>
      <w:r w:rsidR="004E4089">
        <w:t>, miljööväärtuslike alade piiride</w:t>
      </w:r>
      <w:r w:rsidR="4E62B950">
        <w:t xml:space="preserve"> ja</w:t>
      </w:r>
      <w:r w:rsidR="58F790AB">
        <w:t>/või</w:t>
      </w:r>
      <w:r w:rsidR="4E62B950">
        <w:t xml:space="preserve"> </w:t>
      </w:r>
      <w:r w:rsidR="5C6964E7" w:rsidRPr="00B54A22">
        <w:rPr>
          <w:b/>
          <w:bCs/>
        </w:rPr>
        <w:t>üldplaneeringu maakasutuse juhtotstarbega</w:t>
      </w:r>
      <w:r w:rsidR="002B73BF">
        <w:t xml:space="preserve">, on majutusteenuse </w:t>
      </w:r>
      <w:r w:rsidR="00FE2D8C">
        <w:t>keelamine või piiramine</w:t>
      </w:r>
      <w:r w:rsidR="00124A04">
        <w:t xml:space="preserve"> (soovitus i</w:t>
      </w:r>
      <w:r w:rsidR="00DF33BF">
        <w:t xml:space="preserve"> ja ii</w:t>
      </w:r>
      <w:r w:rsidR="00124A04">
        <w:t>)</w:t>
      </w:r>
      <w:r w:rsidR="00FE2D8C">
        <w:t xml:space="preserve"> </w:t>
      </w:r>
      <w:r w:rsidR="005131BA">
        <w:t xml:space="preserve">nende kaudu </w:t>
      </w:r>
      <w:r w:rsidR="00FE2D8C">
        <w:t>võimalik.</w:t>
      </w:r>
      <w:r w:rsidR="09651FC7">
        <w:t xml:space="preserve"> Detailplaneeringuid</w:t>
      </w:r>
      <w:r w:rsidR="27B6EEE1">
        <w:t xml:space="preserve"> koostatakse</w:t>
      </w:r>
      <w:r w:rsidR="5C6964E7">
        <w:t xml:space="preserve"> </w:t>
      </w:r>
      <w:r w:rsidR="005131BA">
        <w:t>tüüpiliselt</w:t>
      </w:r>
      <w:r w:rsidR="73FDD939">
        <w:t xml:space="preserve"> </w:t>
      </w:r>
      <w:r w:rsidR="1957782C">
        <w:t>uute hoonete püstitamiseks</w:t>
      </w:r>
      <w:r w:rsidR="00C43A8A">
        <w:t>, mistõttu saab nendega mõjutada eelkõige uusarendusi.</w:t>
      </w:r>
      <w:r w:rsidR="00CE2F49">
        <w:t xml:space="preserve"> Keerukus seisneb aga selles, et l</w:t>
      </w:r>
      <w:r w:rsidR="40877A93">
        <w:t>innakeskustes</w:t>
      </w:r>
      <w:r w:rsidR="0D42823B">
        <w:t>,</w:t>
      </w:r>
      <w:r w:rsidR="5C6964E7">
        <w:t xml:space="preserve"> kus enamasti on </w:t>
      </w:r>
      <w:r w:rsidR="328A48A7">
        <w:t>lühiajalise üüri teenuse</w:t>
      </w:r>
      <w:r w:rsidR="5C6964E7">
        <w:t xml:space="preserve"> kontsentratsioon </w:t>
      </w:r>
      <w:r w:rsidR="40877A93">
        <w:t>ja reguleerimise vajadus suurim, on</w:t>
      </w:r>
      <w:r w:rsidR="5C6964E7">
        <w:t xml:space="preserve"> monofunktsionaalsed hooned linnaehituslikult ebatüüpilised ja mittesoovitavad, sest esimese korruse osas eeldatakse ja soositakse tänavale avatud teenustega äripindade rajamist ja kasutuse säilimist. Linnakeskustes on omane maa-alade segafunktsiooniline juhtotstarve, mis harilikult seab tingimuseks nii äri</w:t>
      </w:r>
      <w:r w:rsidR="2C6A2DDA">
        <w:t>-</w:t>
      </w:r>
      <w:r w:rsidR="5C6964E7">
        <w:t xml:space="preserve"> kui ka elamisfunktsiooni olemasolu. Enamasti üldplaneering ei täpsusta, </w:t>
      </w:r>
      <w:r w:rsidR="1C41C925">
        <w:t>kas</w:t>
      </w:r>
      <w:r w:rsidR="5C6964E7">
        <w:t xml:space="preserve"> segafunktsiooniline peab olema kvartal või iga hoone</w:t>
      </w:r>
      <w:r w:rsidR="1CC3E73E">
        <w:t>, mis</w:t>
      </w:r>
      <w:r w:rsidR="6DD95DFC">
        <w:t xml:space="preserve">tõttu on </w:t>
      </w:r>
      <w:r w:rsidR="0180CEE6">
        <w:t xml:space="preserve">üksikute hoonete või hooneosade kasutuse suunamine </w:t>
      </w:r>
      <w:r w:rsidR="769EA4B2">
        <w:t>raskendatud.</w:t>
      </w:r>
      <w:r w:rsidR="0180CEE6">
        <w:t xml:space="preserve"> </w:t>
      </w:r>
      <w:r w:rsidR="5C6964E7">
        <w:t>Samuti</w:t>
      </w:r>
      <w:r w:rsidR="6244E979">
        <w:t xml:space="preserve"> on</w:t>
      </w:r>
      <w:r w:rsidR="5C6964E7">
        <w:t xml:space="preserve"> nii hotellid kui tegelikult ka </w:t>
      </w:r>
      <w:r w:rsidR="328A48A7">
        <w:t>lühiajali</w:t>
      </w:r>
      <w:r w:rsidR="4D3A1147">
        <w:t xml:space="preserve">ne </w:t>
      </w:r>
      <w:r w:rsidR="764C5005">
        <w:t>majutusteenus</w:t>
      </w:r>
      <w:r w:rsidR="5C6964E7">
        <w:t xml:space="preserve"> linnakeskustes </w:t>
      </w:r>
      <w:r w:rsidR="6244E979">
        <w:t xml:space="preserve">põhimõtteliselt </w:t>
      </w:r>
      <w:r w:rsidR="3C0A4AB3">
        <w:t xml:space="preserve">linnaehituslikult </w:t>
      </w:r>
      <w:r w:rsidR="5C6964E7">
        <w:t xml:space="preserve">sobivad kasutusviisid. </w:t>
      </w:r>
    </w:p>
    <w:p w14:paraId="3E16DFA5" w14:textId="30947FA9" w:rsidR="00570A45" w:rsidRDefault="2A0DE60F" w:rsidP="00A35EB0">
      <w:pPr>
        <w:jc w:val="both"/>
      </w:pPr>
      <w:r w:rsidRPr="00B54A22">
        <w:rPr>
          <w:b/>
          <w:bCs/>
        </w:rPr>
        <w:t>Muinsuskaitsealade</w:t>
      </w:r>
      <w:r w:rsidR="223B0A5B" w:rsidRPr="00B54A22">
        <w:rPr>
          <w:b/>
          <w:bCs/>
        </w:rPr>
        <w:t xml:space="preserve"> k</w:t>
      </w:r>
      <w:r w:rsidR="3CA5E51F" w:rsidRPr="00B54A22">
        <w:rPr>
          <w:b/>
          <w:bCs/>
        </w:rPr>
        <w:t>aitsekordadega</w:t>
      </w:r>
      <w:r w:rsidR="3CA5E51F">
        <w:t xml:space="preserve"> seotud sekkumise</w:t>
      </w:r>
      <w:r w:rsidR="00124A04">
        <w:t xml:space="preserve"> (soovitus ii</w:t>
      </w:r>
      <w:r w:rsidR="00DF33BF">
        <w:t>i</w:t>
      </w:r>
      <w:r w:rsidR="00124A04">
        <w:t>)</w:t>
      </w:r>
      <w:r w:rsidR="3CA5E51F">
        <w:t xml:space="preserve"> </w:t>
      </w:r>
      <w:r w:rsidR="7E857E82">
        <w:t>soovi</w:t>
      </w:r>
      <w:r w:rsidR="001C94C3">
        <w:t>tus</w:t>
      </w:r>
      <w:r w:rsidR="3CA5E51F">
        <w:t xml:space="preserve"> </w:t>
      </w:r>
      <w:r w:rsidR="7E857E82">
        <w:t xml:space="preserve">põhineb </w:t>
      </w:r>
      <w:r w:rsidR="2E431C46">
        <w:t>vanalinnad</w:t>
      </w:r>
      <w:r w:rsidR="2C57E234">
        <w:t>e</w:t>
      </w:r>
      <w:r w:rsidR="2E431C46">
        <w:t xml:space="preserve"> atraktiivsusel</w:t>
      </w:r>
      <w:r w:rsidR="43048E72">
        <w:t xml:space="preserve"> lühiajalise üüri teenuse vaates, mistõttu </w:t>
      </w:r>
      <w:r w:rsidR="394BC787">
        <w:t xml:space="preserve">tuleks otsida ka lahendusi, mis oleks sihistatud just </w:t>
      </w:r>
      <w:r w:rsidR="38414F2D">
        <w:t xml:space="preserve">linna südames paiknevate vanalinnade ruumilise </w:t>
      </w:r>
      <w:r w:rsidR="524F86CA">
        <w:t>arengu suunamisele.</w:t>
      </w:r>
      <w:r w:rsidR="38414F2D">
        <w:t xml:space="preserve"> </w:t>
      </w:r>
      <w:r w:rsidR="37508058">
        <w:t>Atraktiivsus tuleneb mitmest põh</w:t>
      </w:r>
      <w:r w:rsidR="2D280996">
        <w:t>j</w:t>
      </w:r>
      <w:r w:rsidR="37508058">
        <w:t xml:space="preserve">usest. </w:t>
      </w:r>
      <w:r w:rsidR="2E431C46">
        <w:t>Esiteks on vanalinnad peamine sihtkoht linnade külastajatele</w:t>
      </w:r>
      <w:r w:rsidR="1EFA1653">
        <w:t xml:space="preserve"> ning keskne asukoht tagab hea ligipääsu kõigile peamistele vaatamisväärsustele ja </w:t>
      </w:r>
      <w:r w:rsidR="1EFA1653">
        <w:lastRenderedPageBreak/>
        <w:t>tõmbekeskustele.</w:t>
      </w:r>
      <w:r w:rsidR="00D7524E">
        <w:t xml:space="preserve"> </w:t>
      </w:r>
      <w:r w:rsidR="1EFA1653">
        <w:t>Teiseks</w:t>
      </w:r>
      <w:r w:rsidR="2E431C46">
        <w:t xml:space="preserve"> on ajaloolised hooned majutusruumidena atraktiivsed</w:t>
      </w:r>
      <w:r w:rsidR="233F9091">
        <w:t>,</w:t>
      </w:r>
      <w:r w:rsidR="2E431C46">
        <w:t xml:space="preserve"> </w:t>
      </w:r>
      <w:r w:rsidR="1EFA1653">
        <w:t>võimaldades kogeda</w:t>
      </w:r>
      <w:r w:rsidR="2E431C46">
        <w:t xml:space="preserve"> paiga eripära.</w:t>
      </w:r>
      <w:r w:rsidR="1EFA1653">
        <w:t xml:space="preserve"> Kolmandaks</w:t>
      </w:r>
      <w:r w:rsidR="2E431C46">
        <w:t xml:space="preserve"> on paljud ajaloolised hooned pikaajaliseks elamiseks ja ka büroodena kasutamiseks väheatraktiivsed, sest ei vasta tänapäevastele mugavus-</w:t>
      </w:r>
      <w:r w:rsidR="22F79A56">
        <w:t>,</w:t>
      </w:r>
      <w:r w:rsidR="2E431C46">
        <w:t xml:space="preserve"> ruumi-, ligipääsetavuse ja energiatõhususe ootustele.</w:t>
      </w:r>
      <w:r w:rsidR="1EFA1653">
        <w:t xml:space="preserve"> Neljandaks</w:t>
      </w:r>
      <w:r w:rsidR="2E431C46">
        <w:t xml:space="preserve"> on hotellide ehitamine vanalinnades ehitustehniliste ja muinsuskaitseliste piirangute tõttu suhteliselt keeruline ja kallis, </w:t>
      </w:r>
      <w:r w:rsidR="30759458">
        <w:t xml:space="preserve">kuid </w:t>
      </w:r>
      <w:r w:rsidR="2E431C46">
        <w:t xml:space="preserve">seni on see </w:t>
      </w:r>
      <w:r w:rsidR="22F79A56">
        <w:t>lühiajalisele üürimisele</w:t>
      </w:r>
      <w:r w:rsidR="2E431C46">
        <w:t xml:space="preserve"> olnud võrdlemisi lihtne ja seetõttu kujunenud massiliseks.</w:t>
      </w:r>
      <w:r w:rsidR="219F0D55">
        <w:t xml:space="preserve"> </w:t>
      </w:r>
      <w:r w:rsidR="56AA254B" w:rsidRPr="00514229">
        <w:t>Seega</w:t>
      </w:r>
      <w:r w:rsidR="6BAF1A2F">
        <w:t xml:space="preserve"> on </w:t>
      </w:r>
      <w:r w:rsidR="6BAF1A2F" w:rsidRPr="00514229">
        <w:t>lüh</w:t>
      </w:r>
      <w:r w:rsidR="6BAF1A2F">
        <w:t>iajaline üüriteenus</w:t>
      </w:r>
      <w:r w:rsidR="1EAB7832">
        <w:t xml:space="preserve"> vanalinnades </w:t>
      </w:r>
      <w:r w:rsidR="4A3DAEE0">
        <w:t xml:space="preserve">linnaelu </w:t>
      </w:r>
      <w:r w:rsidR="4886EA84">
        <w:t>ja pärandi hoidmisel</w:t>
      </w:r>
      <w:r w:rsidR="4A3DAEE0">
        <w:t xml:space="preserve"> samaaegselt</w:t>
      </w:r>
      <w:r w:rsidR="401D6DE1">
        <w:t xml:space="preserve"> nii </w:t>
      </w:r>
      <w:r w:rsidR="25B6A0E6">
        <w:t>probleemiks</w:t>
      </w:r>
      <w:r w:rsidR="401D6DE1">
        <w:t xml:space="preserve"> kui ka </w:t>
      </w:r>
      <w:r w:rsidR="25B6A0E6">
        <w:t>võimaluseks</w:t>
      </w:r>
      <w:r w:rsidR="401D6DE1">
        <w:t xml:space="preserve"> </w:t>
      </w:r>
      <w:r w:rsidR="437CD5A4">
        <w:t>sõltuvalt selle</w:t>
      </w:r>
      <w:r w:rsidR="0E942776">
        <w:t xml:space="preserve"> </w:t>
      </w:r>
      <w:r w:rsidR="56AA254B">
        <w:t xml:space="preserve">mahust ja suhtest eluruumidesse </w:t>
      </w:r>
      <w:r w:rsidR="0E942776" w:rsidRPr="00514229">
        <w:t>ning piirangud ja meetmed peaksid sellega arvestama</w:t>
      </w:r>
      <w:r w:rsidR="0E942776">
        <w:t xml:space="preserve">.  </w:t>
      </w:r>
    </w:p>
    <w:p w14:paraId="4CE62EAE" w14:textId="7692C319" w:rsidR="00A35EB0" w:rsidRDefault="1E75B071" w:rsidP="00A35EB0">
      <w:pPr>
        <w:jc w:val="both"/>
      </w:pPr>
      <w:r>
        <w:t>Kaitsekordade</w:t>
      </w:r>
      <w:r w:rsidR="20C17EA0">
        <w:t>ga rakendatakse</w:t>
      </w:r>
      <w:r w:rsidR="3AB00285">
        <w:t xml:space="preserve"> </w:t>
      </w:r>
      <w:r w:rsidR="1518015C">
        <w:t>piirangu</w:t>
      </w:r>
      <w:r w:rsidR="3AB00285">
        <w:t>i</w:t>
      </w:r>
      <w:r w:rsidR="1518015C">
        <w:t xml:space="preserve">d </w:t>
      </w:r>
      <w:r w:rsidR="1EFA1653">
        <w:t>pärandi kaitsmiseks</w:t>
      </w:r>
      <w:r w:rsidR="002229E6">
        <w:t>,</w:t>
      </w:r>
      <w:r w:rsidR="1EFA1653">
        <w:t xml:space="preserve"> sh </w:t>
      </w:r>
      <w:r w:rsidR="1518015C">
        <w:t>hoonete ümberehitamisele</w:t>
      </w:r>
      <w:r w:rsidR="3AB00285">
        <w:t>,</w:t>
      </w:r>
      <w:r w:rsidR="1518015C">
        <w:t xml:space="preserve"> tehnorajatiste paigaldamisele, krundi piiride muutmisele, siltidele ja reklaamidele jms. </w:t>
      </w:r>
      <w:r w:rsidR="2B16A025">
        <w:t xml:space="preserve">Värskelt </w:t>
      </w:r>
      <w:r w:rsidR="222277E6">
        <w:t xml:space="preserve">koostatud </w:t>
      </w:r>
      <w:r w:rsidR="1518015C">
        <w:t>vanalinna muinsuskaitsealade kaitsekordades (nt Tallinn</w:t>
      </w:r>
      <w:r w:rsidRPr="1EFA1653">
        <w:rPr>
          <w:rStyle w:val="FootnoteReference"/>
        </w:rPr>
        <w:footnoteReference w:id="172"/>
      </w:r>
      <w:r w:rsidR="1518015C">
        <w:t>, Kuressaare, Pärnu) on seatud eesmärgina ka hoonete kasutuse suunamine. Nii on kaitse eesmärgina nimetatud</w:t>
      </w:r>
      <w:r w:rsidR="5C2A88D6">
        <w:t>, et</w:t>
      </w:r>
      <w:r w:rsidR="00C02729" w:rsidDel="1518015C">
        <w:t xml:space="preserve"> </w:t>
      </w:r>
      <w:r w:rsidR="5C2A88D6">
        <w:t>„</w:t>
      </w:r>
      <w:r w:rsidR="1518015C">
        <w:t>muinsuskaitseala mitmekesist kasutust hoitakse ning soodustatakse ajalooliselt avalikus kasutuses olnud hoonete, kinnistute ja maa-alade jätkuva avaliku kasutamisega</w:t>
      </w:r>
      <w:r w:rsidR="5C2A88D6">
        <w:t>“.</w:t>
      </w:r>
      <w:r w:rsidR="1518015C">
        <w:t xml:space="preserve"> Tallinna vanalinna kehtivas põhimääruses ja kaitsekorra eelnõus on aga selged eesmärgid seatud ka eluruumide kasutuse säilitamisele ja majutusteenuse vältimisele</w:t>
      </w:r>
      <w:r w:rsidR="2BC3C362">
        <w:t>:</w:t>
      </w:r>
      <w:r w:rsidR="1518015C">
        <w:t xml:space="preserve"> </w:t>
      </w:r>
      <w:r w:rsidR="2BC3C362">
        <w:t>„</w:t>
      </w:r>
      <w:r w:rsidR="1518015C">
        <w:t>muinsuskaitseala mitmekesist kasutust säilitatakse: jätkatakse avalikus kasutuses olevate hoonete ja kinnistute avalikku kasutust ning hoonete kasutust eluruumidena. Elamumaa, ühiskondlike ehitiste maa ega üldkasutatava maa sihtotstarbeid üldjuhul ei muudeta, välditakse majutusteenuste ja müra tekitavate asutuste levikut.</w:t>
      </w:r>
      <w:r w:rsidR="2BC3C362">
        <w:t>“</w:t>
      </w:r>
    </w:p>
    <w:p w14:paraId="65D598F3" w14:textId="2BA00C2F" w:rsidR="00A35EB0" w:rsidRDefault="00A35EB0" w:rsidP="00A35EB0">
      <w:pPr>
        <w:jc w:val="both"/>
      </w:pPr>
      <w:r>
        <w:t xml:space="preserve">Kaitsekorra seletuskirja kohaselt on Tallinna vanalinna muinsuskaitseala kaitse-eesmärk tagada Tallinna vanalinna kui kultuuriväärtusliku linnaehitusliku terviku ning seda kujundavate iseloomulike ajastu- ja kohatunnetust loovate väärtuste säilitamine, uurimine ja esiletoomine, selle mitmekesises kasutuses hoidmine atraktiivse elukeskkonna ja kesklinna osana ning linnaruumi kestlik areng. Tegemist on ülekaaluka avaliku huviga, mis annab riigile õiguse seada omandile kitsendusi ning omandiõigust õiglases ulatuses piirata. Muinsuskaitselised avalik-õiguslikud piirangud võivad üheaegselt mõjutada nii omaniku õigusi kui kohustusi, seades nendel kinnistutel omandiõiguse realiseerimisele </w:t>
      </w:r>
      <w:r w:rsidR="00F50E05">
        <w:t>muinsuskaitseseadusest</w:t>
      </w:r>
      <w:r>
        <w:t xml:space="preserve"> tulenevad kitsendused.</w:t>
      </w:r>
    </w:p>
    <w:p w14:paraId="1FD4BA55" w14:textId="7E2858E7" w:rsidR="00F24A39" w:rsidRDefault="1EFA1653" w:rsidP="00F24A39">
      <w:pPr>
        <w:jc w:val="both"/>
        <w:rPr>
          <w:rFonts w:eastAsiaTheme="minorEastAsia"/>
          <w:lang w:val="et"/>
        </w:rPr>
      </w:pPr>
      <w:r>
        <w:t xml:space="preserve">Üks kaitsekorras välja toodud sekkumise võimalus on, et muinsuskaitseamet saab põhjendatud juhul keelduda elamumaa, ühiskondlike ehitiste maa ja üldkasutatava maa sihtotstarbe muutmisest, vältides eelkõige majutusteenust ja müra tekitavaid asutusi. Probleem on aga selles, et lühiajalise üüri teenuse pakkumine olemasolevas eluruumis ei eelda täna muinsuskaitseameti luba. Suurema sekkumise eelduseks on regulatsioonide muutmine selliselt, et lühiajalise üüri teenuse pakkumine </w:t>
      </w:r>
      <w:r w:rsidR="00ED5956">
        <w:t xml:space="preserve">muinsuskaitsealadel </w:t>
      </w:r>
      <w:r>
        <w:t xml:space="preserve">eeldaks mingisugust loamenetlust, </w:t>
      </w:r>
      <w:r w:rsidRPr="00514229">
        <w:t>nt</w:t>
      </w:r>
      <w:r w:rsidRPr="00B54A22">
        <w:rPr>
          <w:b/>
          <w:bCs/>
        </w:rPr>
        <w:t xml:space="preserve"> </w:t>
      </w:r>
      <w:r w:rsidR="00C16616" w:rsidRPr="00B54A22">
        <w:rPr>
          <w:b/>
          <w:bCs/>
        </w:rPr>
        <w:t xml:space="preserve">EhS-i </w:t>
      </w:r>
      <w:r w:rsidRPr="00B54A22">
        <w:rPr>
          <w:b/>
          <w:bCs/>
        </w:rPr>
        <w:t>kasutusteatise menetlus</w:t>
      </w:r>
      <w:r w:rsidR="00DF33BF">
        <w:t xml:space="preserve"> (soovitus iv)</w:t>
      </w:r>
      <w:r>
        <w:t>. Vaja on välja töötada konkreetsed kriteeriumid, millest lähtuvalt hinnata majutusteenuse võimalikkust.</w:t>
      </w:r>
    </w:p>
    <w:p w14:paraId="5C433F75" w14:textId="6CE7833C" w:rsidR="00F2926C" w:rsidRPr="00BE179D" w:rsidRDefault="1EFA1653" w:rsidP="00514229">
      <w:pPr>
        <w:jc w:val="both"/>
        <w:rPr>
          <w:rFonts w:ascii="Aptos" w:eastAsia="Aptos" w:hAnsi="Aptos" w:cs="Aptos"/>
          <w:lang w:val="et"/>
        </w:rPr>
      </w:pPr>
      <w:r w:rsidRPr="2555AC81">
        <w:rPr>
          <w:rFonts w:eastAsiaTheme="minorEastAsia"/>
          <w:lang w:val="et"/>
        </w:rPr>
        <w:t>Tallinna vanalinnas oleks kohene sekkumine mõnevõrra lihtsam, sest lisaks kehtivale põhimäärusele</w:t>
      </w:r>
      <w:r w:rsidR="004770B8">
        <w:rPr>
          <w:rFonts w:eastAsiaTheme="minorEastAsia"/>
          <w:lang w:val="et"/>
        </w:rPr>
        <w:t>,</w:t>
      </w:r>
      <w:r w:rsidRPr="2555AC81">
        <w:rPr>
          <w:rFonts w:eastAsiaTheme="minorEastAsia"/>
          <w:lang w:val="et"/>
        </w:rPr>
        <w:t xml:space="preserve"> koostatavale kaitsekorrale ja seal sisalduvatele konkreetsetele eesmärkidele </w:t>
      </w:r>
      <w:r w:rsidRPr="2555AC81">
        <w:rPr>
          <w:rFonts w:eastAsiaTheme="minorEastAsia"/>
          <w:lang w:val="et"/>
        </w:rPr>
        <w:lastRenderedPageBreak/>
        <w:t>lühiajalise majutusteenuse ohjeldamiseks, on kehtivas Tallinna üldplaneeringus (2001) vanalinna maakasutuse juhtotstarbena määratud „vanalinna põhimäärusega kaitstud ala“, mis meie hinnangul annab planeerimisseaduse toe hoonete kasutusotstarbe suunamiseks, muinsuskaitseameti (Tallinna Linnaplaneerimise Ameti osakonna) menetlusse kaasamiseks ning igakordseks majutusteenuse kui funktsiooni sobilikkuse kaalumiseks.</w:t>
      </w:r>
      <w:r>
        <w:t xml:space="preserve"> </w:t>
      </w:r>
    </w:p>
    <w:p w14:paraId="0875C8B1" w14:textId="02FC3F8E" w:rsidR="54B1EF67" w:rsidRDefault="523FCFF3" w:rsidP="54B1EF67">
      <w:pPr>
        <w:jc w:val="both"/>
      </w:pPr>
      <w:r>
        <w:t xml:space="preserve">Juhul kui kehtiv (üld-)planeering ei anna väga konkreetset keeldumise alust, siis </w:t>
      </w:r>
      <w:r w:rsidR="00C16616">
        <w:t xml:space="preserve">EhS-i </w:t>
      </w:r>
      <w:r w:rsidR="1EFA1653">
        <w:t>alusel anta</w:t>
      </w:r>
      <w:r w:rsidR="1EFA1653" w:rsidRPr="1C92C443">
        <w:rPr>
          <w:rFonts w:eastAsiaTheme="minorEastAsia"/>
        </w:rPr>
        <w:t>va</w:t>
      </w:r>
      <w:r w:rsidR="5BE9AF37" w:rsidRPr="1C92C443">
        <w:rPr>
          <w:rFonts w:eastAsiaTheme="minorEastAsia"/>
        </w:rPr>
        <w:t xml:space="preserve"> projekteerimistingimuste ja</w:t>
      </w:r>
      <w:r w:rsidR="1EFA1653" w:rsidRPr="1C92C443">
        <w:rPr>
          <w:rFonts w:eastAsiaTheme="minorEastAsia"/>
        </w:rPr>
        <w:t xml:space="preserve"> kasutusteatise/kasutusloa andmisest saab keelduda üksnes seaduses toodud alustel</w:t>
      </w:r>
      <w:r w:rsidR="48F94006" w:rsidRPr="1C92C443">
        <w:rPr>
          <w:rFonts w:eastAsiaTheme="minorEastAsia"/>
        </w:rPr>
        <w:t>,</w:t>
      </w:r>
      <w:r w:rsidR="1EFA1653" w:rsidRPr="1C92C443">
        <w:rPr>
          <w:rFonts w:eastAsiaTheme="minorEastAsia"/>
        </w:rPr>
        <w:t xml:space="preserve"> kaaludes ehitise ohtlikkust, mõju avalikule ruumile ja isikute õigustele. </w:t>
      </w:r>
      <w:r w:rsidR="63613507" w:rsidRPr="1C92C443">
        <w:rPr>
          <w:rFonts w:eastAsiaTheme="minorEastAsia"/>
        </w:rPr>
        <w:t>Omaaegne p</w:t>
      </w:r>
      <w:r w:rsidR="1EFA1653" w:rsidRPr="1C92C443">
        <w:rPr>
          <w:rFonts w:eastAsiaTheme="minorEastAsia"/>
          <w:lang w:val="et"/>
        </w:rPr>
        <w:t xml:space="preserve">laneerimisseaduse ja </w:t>
      </w:r>
      <w:r w:rsidR="00C16616">
        <w:rPr>
          <w:rFonts w:eastAsiaTheme="minorEastAsia"/>
          <w:lang w:val="et"/>
        </w:rPr>
        <w:t>EhS-i</w:t>
      </w:r>
      <w:r w:rsidR="00C16616" w:rsidRPr="1C92C443">
        <w:rPr>
          <w:rFonts w:eastAsiaTheme="minorEastAsia"/>
          <w:lang w:val="et"/>
        </w:rPr>
        <w:t xml:space="preserve"> </w:t>
      </w:r>
      <w:r w:rsidR="1EFA1653" w:rsidRPr="1C92C443">
        <w:rPr>
          <w:rFonts w:eastAsiaTheme="minorEastAsia"/>
          <w:lang w:val="et"/>
        </w:rPr>
        <w:t xml:space="preserve">eraldamine kaheks eraldi seaduseks </w:t>
      </w:r>
      <w:r w:rsidR="20369212" w:rsidRPr="1C92C443">
        <w:rPr>
          <w:rFonts w:eastAsiaTheme="minorEastAsia"/>
          <w:lang w:val="et"/>
        </w:rPr>
        <w:t xml:space="preserve">seab piirangud </w:t>
      </w:r>
      <w:r w:rsidR="1EFA1653" w:rsidRPr="1C92C443">
        <w:rPr>
          <w:rFonts w:eastAsiaTheme="minorEastAsia"/>
          <w:lang w:val="et"/>
        </w:rPr>
        <w:t>olemasoleva keskkonna muutumise suunamis</w:t>
      </w:r>
      <w:r w:rsidR="28448329" w:rsidRPr="1C92C443">
        <w:rPr>
          <w:rFonts w:eastAsiaTheme="minorEastAsia"/>
          <w:lang w:val="et"/>
        </w:rPr>
        <w:t>ele</w:t>
      </w:r>
      <w:r w:rsidR="1EFA1653" w:rsidRPr="1C92C443">
        <w:rPr>
          <w:rFonts w:eastAsiaTheme="minorEastAsia"/>
          <w:lang w:val="et"/>
        </w:rPr>
        <w:t xml:space="preserve">, sest </w:t>
      </w:r>
      <w:r w:rsidR="00C16616">
        <w:rPr>
          <w:rFonts w:eastAsiaTheme="minorEastAsia"/>
          <w:lang w:val="et"/>
        </w:rPr>
        <w:t>EhS-</w:t>
      </w:r>
      <w:r w:rsidR="00AA2676">
        <w:rPr>
          <w:rFonts w:eastAsiaTheme="minorEastAsia"/>
          <w:lang w:val="et"/>
        </w:rPr>
        <w:t>i</w:t>
      </w:r>
      <w:r w:rsidR="00C16616">
        <w:rPr>
          <w:rFonts w:eastAsiaTheme="minorEastAsia"/>
          <w:lang w:val="et"/>
        </w:rPr>
        <w:t>s</w:t>
      </w:r>
      <w:r w:rsidR="00C16616" w:rsidRPr="1C92C443">
        <w:rPr>
          <w:rFonts w:eastAsiaTheme="minorEastAsia"/>
          <w:lang w:val="et"/>
        </w:rPr>
        <w:t xml:space="preserve"> </w:t>
      </w:r>
      <w:r w:rsidR="1EFA1653" w:rsidRPr="1C92C443">
        <w:rPr>
          <w:rFonts w:eastAsiaTheme="minorEastAsia"/>
          <w:lang w:val="et"/>
        </w:rPr>
        <w:t>puuduvad kvaliteetse elukeskkonna</w:t>
      </w:r>
      <w:r w:rsidR="13DA68BB" w:rsidRPr="1C92C443">
        <w:rPr>
          <w:rFonts w:eastAsiaTheme="minorEastAsia"/>
          <w:lang w:val="et"/>
        </w:rPr>
        <w:t>,</w:t>
      </w:r>
      <w:r w:rsidR="1EFA1653" w:rsidRPr="1C92C443">
        <w:rPr>
          <w:rFonts w:eastAsiaTheme="minorEastAsia"/>
          <w:lang w:val="et"/>
        </w:rPr>
        <w:t xml:space="preserve"> </w:t>
      </w:r>
      <w:r w:rsidR="13DA68BB" w:rsidRPr="1C92C443">
        <w:rPr>
          <w:rFonts w:eastAsiaTheme="minorEastAsia"/>
          <w:lang w:val="et"/>
        </w:rPr>
        <w:t>sh avaliku ruumi</w:t>
      </w:r>
      <w:r w:rsidR="3687CA38" w:rsidRPr="1C92C443">
        <w:rPr>
          <w:rFonts w:eastAsiaTheme="minorEastAsia"/>
          <w:lang w:val="et"/>
        </w:rPr>
        <w:t xml:space="preserve"> </w:t>
      </w:r>
      <w:r w:rsidR="1EFA1653" w:rsidRPr="1C92C443">
        <w:rPr>
          <w:rFonts w:eastAsiaTheme="minorEastAsia"/>
          <w:lang w:val="et"/>
        </w:rPr>
        <w:t xml:space="preserve">kavandamise põhimõtted ja nõuded. </w:t>
      </w:r>
      <w:r w:rsidR="7FF021B8" w:rsidRPr="1C92C443">
        <w:rPr>
          <w:rFonts w:eastAsiaTheme="minorEastAsia"/>
        </w:rPr>
        <w:t>K</w:t>
      </w:r>
      <w:r w:rsidR="4746FF96" w:rsidRPr="1C92C443">
        <w:rPr>
          <w:rFonts w:eastAsiaTheme="minorEastAsia"/>
        </w:rPr>
        <w:t>ehtiva</w:t>
      </w:r>
      <w:r w:rsidR="1EFA1653" w:rsidRPr="1C92C443">
        <w:rPr>
          <w:rFonts w:eastAsiaTheme="minorEastAsia"/>
        </w:rPr>
        <w:t xml:space="preserve"> seaduse alusel </w:t>
      </w:r>
      <w:r w:rsidR="4D5DC247" w:rsidRPr="1C92C443">
        <w:rPr>
          <w:rFonts w:eastAsiaTheme="minorEastAsia"/>
        </w:rPr>
        <w:t xml:space="preserve">saab </w:t>
      </w:r>
      <w:r w:rsidR="43152545" w:rsidRPr="1C92C443">
        <w:rPr>
          <w:rFonts w:eastAsiaTheme="minorEastAsia"/>
        </w:rPr>
        <w:t xml:space="preserve">kasutusteatise/-loa </w:t>
      </w:r>
      <w:r w:rsidR="3D57418A" w:rsidRPr="1C92C443">
        <w:rPr>
          <w:rFonts w:eastAsiaTheme="minorEastAsia"/>
        </w:rPr>
        <w:t xml:space="preserve">andmist kaaluda </w:t>
      </w:r>
      <w:r w:rsidR="31DA04FF" w:rsidRPr="1C92C443">
        <w:rPr>
          <w:rFonts w:eastAsiaTheme="minorEastAsia"/>
        </w:rPr>
        <w:t>eelkõige</w:t>
      </w:r>
      <w:r w:rsidR="7764636C" w:rsidRPr="1C92C443">
        <w:rPr>
          <w:rFonts w:eastAsiaTheme="minorEastAsia"/>
        </w:rPr>
        <w:t xml:space="preserve"> </w:t>
      </w:r>
      <w:r w:rsidR="7430F1A0" w:rsidRPr="1C92C443">
        <w:rPr>
          <w:rFonts w:eastAsiaTheme="minorEastAsia"/>
        </w:rPr>
        <w:t>muinsuskaitseala</w:t>
      </w:r>
      <w:r w:rsidR="1EFA1653" w:rsidRPr="1C92C443">
        <w:rPr>
          <w:rFonts w:eastAsiaTheme="minorEastAsia"/>
        </w:rPr>
        <w:t xml:space="preserve"> kaitsekor</w:t>
      </w:r>
      <w:r w:rsidR="74D3EC5F" w:rsidRPr="1C92C443">
        <w:rPr>
          <w:rFonts w:eastAsiaTheme="minorEastAsia"/>
        </w:rPr>
        <w:t>ra tingimustele</w:t>
      </w:r>
      <w:r w:rsidR="601BFD12" w:rsidRPr="1C92C443">
        <w:rPr>
          <w:rFonts w:eastAsiaTheme="minorEastAsia"/>
        </w:rPr>
        <w:t>,</w:t>
      </w:r>
      <w:r w:rsidR="1EFA1653" w:rsidRPr="1C92C443">
        <w:rPr>
          <w:rFonts w:eastAsiaTheme="minorEastAsia"/>
        </w:rPr>
        <w:t xml:space="preserve"> </w:t>
      </w:r>
      <w:r w:rsidR="3687CA38" w:rsidRPr="1C92C443">
        <w:rPr>
          <w:rFonts w:eastAsiaTheme="minorEastAsia"/>
        </w:rPr>
        <w:t>tuleohutuse</w:t>
      </w:r>
      <w:r w:rsidR="155DAF79" w:rsidRPr="1C92C443">
        <w:rPr>
          <w:rFonts w:eastAsiaTheme="minorEastAsia"/>
        </w:rPr>
        <w:t xml:space="preserve">nõuetele </w:t>
      </w:r>
      <w:r w:rsidR="1EFA1653" w:rsidRPr="1C92C443">
        <w:rPr>
          <w:rFonts w:eastAsiaTheme="minorEastAsia"/>
        </w:rPr>
        <w:t>ja majutusruumile esitata</w:t>
      </w:r>
      <w:r w:rsidR="1EFA1653">
        <w:t xml:space="preserve">vatele nõuetele </w:t>
      </w:r>
      <w:r w:rsidR="4746FF96">
        <w:t>vastavus</w:t>
      </w:r>
      <w:r w:rsidR="175CA593">
        <w:t>e hindami</w:t>
      </w:r>
      <w:r w:rsidR="43349C50">
        <w:t>s</w:t>
      </w:r>
      <w:r w:rsidR="175CA593">
        <w:t>e</w:t>
      </w:r>
      <w:r w:rsidR="7B5B71D8">
        <w:t>l</w:t>
      </w:r>
      <w:r w:rsidR="4746FF96">
        <w:t>.</w:t>
      </w:r>
      <w:r w:rsidR="1EFA1653">
        <w:t xml:space="preserve"> </w:t>
      </w:r>
      <w:r w:rsidR="5F3DFAD5">
        <w:t xml:space="preserve">Laiema linnaruumilise </w:t>
      </w:r>
      <w:r w:rsidR="359CEA7B">
        <w:t>sobivuse</w:t>
      </w:r>
      <w:r w:rsidR="5F3DFAD5">
        <w:t xml:space="preserve"> kaalumise võim</w:t>
      </w:r>
      <w:r w:rsidR="2D3B80B7">
        <w:t>a</w:t>
      </w:r>
      <w:r w:rsidR="5F3DFAD5">
        <w:t xml:space="preserve">ldamiseks oleks </w:t>
      </w:r>
      <w:r w:rsidR="43F3F109">
        <w:t>v</w:t>
      </w:r>
      <w:r w:rsidR="1EFA1653">
        <w:t xml:space="preserve">ajalik </w:t>
      </w:r>
      <w:r w:rsidR="00C16616" w:rsidRPr="00B54A22">
        <w:rPr>
          <w:b/>
          <w:bCs/>
        </w:rPr>
        <w:t xml:space="preserve">EhS-i </w:t>
      </w:r>
      <w:r w:rsidR="00BB006A">
        <w:rPr>
          <w:b/>
          <w:bCs/>
        </w:rPr>
        <w:t xml:space="preserve">alusel </w:t>
      </w:r>
      <w:r w:rsidR="00AF121D">
        <w:rPr>
          <w:b/>
          <w:bCs/>
        </w:rPr>
        <w:t xml:space="preserve">luua õiguslikud </w:t>
      </w:r>
      <w:r w:rsidR="00324544">
        <w:rPr>
          <w:b/>
          <w:bCs/>
        </w:rPr>
        <w:t>võimalused</w:t>
      </w:r>
      <w:r w:rsidR="00AF121D">
        <w:rPr>
          <w:b/>
          <w:bCs/>
        </w:rPr>
        <w:t xml:space="preserve"> </w:t>
      </w:r>
      <w:r w:rsidR="1EFA1653" w:rsidRPr="00B54A22">
        <w:rPr>
          <w:b/>
          <w:bCs/>
        </w:rPr>
        <w:t>kvaliteetse elukeskkonna kriteeriumi</w:t>
      </w:r>
      <w:r w:rsidR="00AF121D">
        <w:rPr>
          <w:b/>
          <w:bCs/>
        </w:rPr>
        <w:t>te kehtestamiseks</w:t>
      </w:r>
      <w:r w:rsidR="0009757B">
        <w:t xml:space="preserve"> (soovitus iv)</w:t>
      </w:r>
      <w:r w:rsidR="1EFA1653">
        <w:t>.</w:t>
      </w:r>
    </w:p>
    <w:p w14:paraId="2020139D" w14:textId="1397816D" w:rsidR="54B1EF67" w:rsidRDefault="16EA6DBE" w:rsidP="65575BAE">
      <w:pPr>
        <w:spacing w:before="0"/>
        <w:jc w:val="both"/>
        <w:rPr>
          <w:rFonts w:eastAsiaTheme="minorEastAsia"/>
          <w:lang w:val="et"/>
        </w:rPr>
      </w:pPr>
      <w:r w:rsidRPr="65575BAE">
        <w:rPr>
          <w:rFonts w:eastAsiaTheme="minorEastAsia"/>
          <w:lang w:val="et"/>
        </w:rPr>
        <w:t xml:space="preserve">Olemasolevate elamute ruumide (korterite või majaosade) kasutamisel äriotstarbeliselt, </w:t>
      </w:r>
      <w:r w:rsidR="429A2F77" w:rsidRPr="0BDC0BD0">
        <w:rPr>
          <w:rFonts w:eastAsiaTheme="minorEastAsia"/>
          <w:lang w:val="et"/>
        </w:rPr>
        <w:t>millega ei kaasne</w:t>
      </w:r>
      <w:r w:rsidRPr="65575BAE">
        <w:rPr>
          <w:rFonts w:eastAsiaTheme="minorEastAsia"/>
          <w:lang w:val="et"/>
        </w:rPr>
        <w:t xml:space="preserve"> loamenetluslikku ehitustegevust (kande- või piirdekonstruktsioonide muutmist või hoone kui terviku tehnovõrkude muutmist)</w:t>
      </w:r>
      <w:r w:rsidR="00706EB2">
        <w:rPr>
          <w:rFonts w:eastAsiaTheme="minorEastAsia"/>
          <w:lang w:val="et"/>
        </w:rPr>
        <w:t>,</w:t>
      </w:r>
      <w:r w:rsidRPr="65575BAE">
        <w:rPr>
          <w:rFonts w:eastAsiaTheme="minorEastAsia"/>
          <w:lang w:val="et"/>
        </w:rPr>
        <w:t xml:space="preserve"> ei ole loamenetlus üldjuhul nõutud </w:t>
      </w:r>
      <w:r w:rsidR="3916367C" w:rsidRPr="0BDC0BD0">
        <w:rPr>
          <w:rFonts w:eastAsiaTheme="minorEastAsia"/>
          <w:lang w:val="et"/>
        </w:rPr>
        <w:t>ning</w:t>
      </w:r>
      <w:r w:rsidRPr="65575BAE">
        <w:rPr>
          <w:rFonts w:eastAsiaTheme="minorEastAsia"/>
          <w:lang w:val="et"/>
        </w:rPr>
        <w:t xml:space="preserve"> sellega üldjuhul ei kaasne hoone kasutusotstarbe ja/või krundi sihtotstarbe </w:t>
      </w:r>
      <w:r w:rsidRPr="0A3DA53D">
        <w:rPr>
          <w:rFonts w:eastAsiaTheme="minorEastAsia"/>
          <w:lang w:val="et"/>
        </w:rPr>
        <w:t>muut</w:t>
      </w:r>
      <w:r w:rsidR="6680B11D" w:rsidRPr="0A3DA53D">
        <w:rPr>
          <w:rFonts w:eastAsiaTheme="minorEastAsia"/>
          <w:lang w:val="et"/>
        </w:rPr>
        <w:t>mise vajadust</w:t>
      </w:r>
      <w:r w:rsidRPr="0A3DA53D">
        <w:rPr>
          <w:rFonts w:eastAsiaTheme="minorEastAsia"/>
          <w:lang w:val="et"/>
        </w:rPr>
        <w:t>.</w:t>
      </w:r>
      <w:r w:rsidRPr="65575BAE">
        <w:rPr>
          <w:rFonts w:eastAsiaTheme="minorEastAsia"/>
          <w:lang w:val="et"/>
        </w:rPr>
        <w:t xml:space="preserve"> Eluruumis ettevõtte pidamine on </w:t>
      </w:r>
      <w:r w:rsidR="00D3090B">
        <w:rPr>
          <w:rFonts w:eastAsiaTheme="minorEastAsia"/>
          <w:lang w:val="et"/>
        </w:rPr>
        <w:t xml:space="preserve">tavapärane ja </w:t>
      </w:r>
      <w:r w:rsidRPr="65575BAE">
        <w:rPr>
          <w:rFonts w:eastAsiaTheme="minorEastAsia"/>
          <w:lang w:val="et"/>
        </w:rPr>
        <w:t xml:space="preserve">legaalne </w:t>
      </w:r>
      <w:r w:rsidR="00D3090B">
        <w:rPr>
          <w:rFonts w:eastAsiaTheme="minorEastAsia"/>
          <w:lang w:val="et"/>
        </w:rPr>
        <w:t xml:space="preserve">praktika </w:t>
      </w:r>
      <w:r w:rsidR="00453DB6">
        <w:rPr>
          <w:rFonts w:eastAsiaTheme="minorEastAsia"/>
          <w:lang w:val="et"/>
        </w:rPr>
        <w:t>ning hinnanguliselt</w:t>
      </w:r>
      <w:r w:rsidRPr="65575BAE">
        <w:rPr>
          <w:rFonts w:eastAsiaTheme="minorEastAsia"/>
          <w:lang w:val="et"/>
        </w:rPr>
        <w:t xml:space="preserve"> ligi 95 protsenti Eesti ettevõtetest on mikroettevõtted, millel pole tihti vajagi eraldi kontoripinda ega müügisaali</w:t>
      </w:r>
      <w:r w:rsidR="0095231D">
        <w:rPr>
          <w:rFonts w:eastAsiaTheme="minorEastAsia"/>
          <w:lang w:val="et"/>
        </w:rPr>
        <w:t>.</w:t>
      </w:r>
    </w:p>
    <w:p w14:paraId="0D536308" w14:textId="57AFB1E2" w:rsidR="00AB3507" w:rsidRDefault="35E54C84" w:rsidP="1C92C443">
      <w:pPr>
        <w:spacing w:before="0"/>
        <w:jc w:val="both"/>
        <w:rPr>
          <w:rFonts w:eastAsiaTheme="minorEastAsia"/>
          <w:lang w:val="et"/>
        </w:rPr>
      </w:pPr>
      <w:r w:rsidRPr="1C92C443">
        <w:rPr>
          <w:rFonts w:eastAsiaTheme="minorEastAsia"/>
          <w:lang w:val="et"/>
        </w:rPr>
        <w:t>Lühiajalise majutusteenuse pakkumise</w:t>
      </w:r>
      <w:r w:rsidR="3852AF55" w:rsidRPr="1C92C443">
        <w:rPr>
          <w:rFonts w:eastAsiaTheme="minorEastAsia"/>
          <w:lang w:val="et"/>
        </w:rPr>
        <w:t>ks</w:t>
      </w:r>
      <w:r w:rsidRPr="1C92C443">
        <w:rPr>
          <w:rFonts w:eastAsiaTheme="minorEastAsia"/>
          <w:lang w:val="et"/>
        </w:rPr>
        <w:t xml:space="preserve"> eluruumi kasutusotstarbe kohustuslik muutmi</w:t>
      </w:r>
      <w:r w:rsidR="000D7C89" w:rsidRPr="1C92C443">
        <w:rPr>
          <w:rFonts w:eastAsiaTheme="minorEastAsia"/>
          <w:lang w:val="et"/>
        </w:rPr>
        <w:t>ne</w:t>
      </w:r>
      <w:r w:rsidRPr="1C92C443">
        <w:rPr>
          <w:rFonts w:eastAsiaTheme="minorEastAsia"/>
          <w:lang w:val="et"/>
        </w:rPr>
        <w:t xml:space="preserve"> </w:t>
      </w:r>
      <w:r w:rsidR="382E8422" w:rsidRPr="1C92C443">
        <w:rPr>
          <w:rFonts w:eastAsiaTheme="minorEastAsia"/>
          <w:lang w:val="et"/>
        </w:rPr>
        <w:t xml:space="preserve">ei ole </w:t>
      </w:r>
      <w:r w:rsidR="000D7C89" w:rsidRPr="1C92C443">
        <w:rPr>
          <w:rFonts w:eastAsiaTheme="minorEastAsia"/>
          <w:lang w:val="et"/>
        </w:rPr>
        <w:t xml:space="preserve">meie hinnangul </w:t>
      </w:r>
      <w:r w:rsidR="65E09040" w:rsidRPr="1C92C443">
        <w:rPr>
          <w:rFonts w:eastAsiaTheme="minorEastAsia"/>
          <w:lang w:val="et"/>
        </w:rPr>
        <w:t>mõistlik</w:t>
      </w:r>
      <w:r w:rsidR="165E1211" w:rsidRPr="1C92C443">
        <w:rPr>
          <w:rFonts w:eastAsiaTheme="minorEastAsia"/>
          <w:lang w:val="et"/>
        </w:rPr>
        <w:t>.</w:t>
      </w:r>
      <w:r w:rsidRPr="1C92C443">
        <w:rPr>
          <w:rFonts w:eastAsiaTheme="minorEastAsia"/>
          <w:lang w:val="et"/>
        </w:rPr>
        <w:t xml:space="preserve"> </w:t>
      </w:r>
      <w:r w:rsidR="005C78E8">
        <w:rPr>
          <w:rFonts w:eastAsiaTheme="minorEastAsia"/>
          <w:lang w:val="et"/>
        </w:rPr>
        <w:t>Lühiajaline üürimise tugevus ongi selle paindlikkus, mis suudab turuolukorrale kiiresti reageerida</w:t>
      </w:r>
      <w:r w:rsidR="00FA2CFA">
        <w:rPr>
          <w:rFonts w:eastAsiaTheme="minorEastAsia"/>
          <w:lang w:val="et"/>
        </w:rPr>
        <w:t xml:space="preserve">, nt </w:t>
      </w:r>
      <w:r w:rsidR="00EB0C62">
        <w:rPr>
          <w:rFonts w:eastAsiaTheme="minorEastAsia"/>
          <w:lang w:val="et"/>
        </w:rPr>
        <w:t xml:space="preserve">hakata eluruumi </w:t>
      </w:r>
      <w:r w:rsidR="00FA2CFA">
        <w:rPr>
          <w:rFonts w:eastAsiaTheme="minorEastAsia"/>
          <w:lang w:val="et"/>
        </w:rPr>
        <w:t>lühiajalise üüri</w:t>
      </w:r>
      <w:r w:rsidR="00EB0C62">
        <w:rPr>
          <w:rFonts w:eastAsiaTheme="minorEastAsia"/>
          <w:lang w:val="et"/>
        </w:rPr>
        <w:t>mise asemel kasutama püsivaks elamiseks</w:t>
      </w:r>
      <w:r w:rsidR="001D160C">
        <w:rPr>
          <w:rFonts w:eastAsiaTheme="minorEastAsia"/>
          <w:lang w:val="et"/>
        </w:rPr>
        <w:t xml:space="preserve"> ja vastupidi</w:t>
      </w:r>
      <w:r w:rsidR="00EB0C62">
        <w:rPr>
          <w:rFonts w:eastAsiaTheme="minorEastAsia"/>
          <w:lang w:val="et"/>
        </w:rPr>
        <w:t xml:space="preserve">. </w:t>
      </w:r>
      <w:r w:rsidR="001A08A9">
        <w:rPr>
          <w:rFonts w:eastAsiaTheme="minorEastAsia"/>
          <w:lang w:val="et"/>
        </w:rPr>
        <w:t>Kuid l</w:t>
      </w:r>
      <w:r w:rsidR="1495371F" w:rsidRPr="1C92C443">
        <w:rPr>
          <w:rFonts w:eastAsiaTheme="minorEastAsia"/>
          <w:lang w:val="et"/>
        </w:rPr>
        <w:t>ü</w:t>
      </w:r>
      <w:r w:rsidR="009BFC9A" w:rsidRPr="1C92C443">
        <w:rPr>
          <w:rFonts w:eastAsiaTheme="minorEastAsia"/>
          <w:lang w:val="et"/>
        </w:rPr>
        <w:t>hiajalise majutusteenuse puhul</w:t>
      </w:r>
      <w:r w:rsidR="233F7D45" w:rsidRPr="1C92C443">
        <w:rPr>
          <w:rFonts w:eastAsiaTheme="minorEastAsia"/>
          <w:lang w:val="et"/>
        </w:rPr>
        <w:t xml:space="preserve"> võiks </w:t>
      </w:r>
      <w:r w:rsidR="009BFC9A" w:rsidRPr="1C92C443">
        <w:rPr>
          <w:rFonts w:eastAsiaTheme="minorEastAsia"/>
          <w:lang w:val="et"/>
        </w:rPr>
        <w:t>k</w:t>
      </w:r>
      <w:r w:rsidR="233F7D45" w:rsidRPr="1C92C443">
        <w:rPr>
          <w:rFonts w:eastAsiaTheme="minorEastAsia"/>
          <w:lang w:val="et"/>
        </w:rPr>
        <w:t>aaluda</w:t>
      </w:r>
      <w:r w:rsidR="00706EB2" w:rsidRPr="1C92C443">
        <w:rPr>
          <w:rFonts w:eastAsiaTheme="minorEastAsia"/>
          <w:lang w:val="et"/>
        </w:rPr>
        <w:t xml:space="preserve"> </w:t>
      </w:r>
      <w:r w:rsidR="006134BD">
        <w:rPr>
          <w:rFonts w:eastAsiaTheme="minorEastAsia"/>
          <w:lang w:val="et"/>
        </w:rPr>
        <w:t>nende teenuse osutajate</w:t>
      </w:r>
      <w:r w:rsidR="69E36809" w:rsidRPr="1C92C443">
        <w:rPr>
          <w:rFonts w:eastAsiaTheme="minorEastAsia"/>
          <w:lang w:val="et"/>
        </w:rPr>
        <w:t xml:space="preserve"> eristamist</w:t>
      </w:r>
      <w:r w:rsidR="00337F8E">
        <w:rPr>
          <w:rFonts w:eastAsiaTheme="minorEastAsia"/>
          <w:lang w:val="et"/>
        </w:rPr>
        <w:t xml:space="preserve">, kelle tegevusega kaasnevad olulised häiringud </w:t>
      </w:r>
      <w:r w:rsidR="0007223F">
        <w:rPr>
          <w:rFonts w:eastAsiaTheme="minorEastAsia"/>
          <w:lang w:val="et"/>
        </w:rPr>
        <w:t>ning ohutuse ja turvalisuse riskid</w:t>
      </w:r>
      <w:r w:rsidR="00FD6966">
        <w:rPr>
          <w:rFonts w:eastAsiaTheme="minorEastAsia"/>
          <w:lang w:val="et"/>
        </w:rPr>
        <w:t xml:space="preserve"> </w:t>
      </w:r>
      <w:r w:rsidR="00C629FB">
        <w:rPr>
          <w:rFonts w:eastAsiaTheme="minorEastAsia"/>
          <w:lang w:val="et"/>
        </w:rPr>
        <w:t>kohalike</w:t>
      </w:r>
      <w:r w:rsidR="0007223F">
        <w:rPr>
          <w:rFonts w:eastAsiaTheme="minorEastAsia"/>
          <w:lang w:val="et"/>
        </w:rPr>
        <w:t>le</w:t>
      </w:r>
      <w:r w:rsidR="00C629FB">
        <w:rPr>
          <w:rFonts w:eastAsiaTheme="minorEastAsia"/>
          <w:lang w:val="et"/>
        </w:rPr>
        <w:t xml:space="preserve"> elanike</w:t>
      </w:r>
      <w:r w:rsidR="00140989">
        <w:rPr>
          <w:rFonts w:eastAsiaTheme="minorEastAsia"/>
          <w:lang w:val="et"/>
        </w:rPr>
        <w:t>le.</w:t>
      </w:r>
      <w:r w:rsidR="007C50E2">
        <w:rPr>
          <w:rFonts w:eastAsiaTheme="minorEastAsia"/>
          <w:lang w:val="et"/>
        </w:rPr>
        <w:t xml:space="preserve"> Eristamise aluseks võib olla nt </w:t>
      </w:r>
      <w:r w:rsidR="003936E9">
        <w:rPr>
          <w:rFonts w:eastAsiaTheme="minorEastAsia"/>
          <w:lang w:val="et"/>
        </w:rPr>
        <w:t xml:space="preserve">teenuse osutamine </w:t>
      </w:r>
      <w:r w:rsidR="00EB6BF7">
        <w:rPr>
          <w:rFonts w:eastAsiaTheme="minorEastAsia"/>
          <w:lang w:val="et"/>
        </w:rPr>
        <w:t xml:space="preserve">põhielukohana mittekasutatavas eluruumis </w:t>
      </w:r>
      <w:r w:rsidR="006A7B4B">
        <w:rPr>
          <w:rFonts w:eastAsiaTheme="minorEastAsia"/>
          <w:lang w:val="et"/>
        </w:rPr>
        <w:t xml:space="preserve">koos teiste </w:t>
      </w:r>
      <w:r w:rsidR="0000007A">
        <w:rPr>
          <w:rFonts w:eastAsiaTheme="minorEastAsia"/>
          <w:lang w:val="et"/>
        </w:rPr>
        <w:t>asjakohaste kriteeriumitega</w:t>
      </w:r>
      <w:r w:rsidR="00646A59">
        <w:rPr>
          <w:rFonts w:eastAsiaTheme="minorEastAsia"/>
          <w:lang w:val="et"/>
        </w:rPr>
        <w:t xml:space="preserve">, mis indikeerivad püsivat ja </w:t>
      </w:r>
      <w:r w:rsidR="00BF656E">
        <w:rPr>
          <w:rFonts w:eastAsiaTheme="minorEastAsia"/>
          <w:lang w:val="et"/>
        </w:rPr>
        <w:t>potentsiaalselt oluliste häiringutega teenuse kas</w:t>
      </w:r>
      <w:r w:rsidR="00EB2119">
        <w:rPr>
          <w:rFonts w:eastAsiaTheme="minorEastAsia"/>
          <w:lang w:val="et"/>
        </w:rPr>
        <w:t>u</w:t>
      </w:r>
      <w:r w:rsidR="00BF656E">
        <w:rPr>
          <w:rFonts w:eastAsiaTheme="minorEastAsia"/>
          <w:lang w:val="et"/>
        </w:rPr>
        <w:t>tamist</w:t>
      </w:r>
      <w:r w:rsidR="0000007A">
        <w:rPr>
          <w:rFonts w:eastAsiaTheme="minorEastAsia"/>
          <w:lang w:val="et"/>
        </w:rPr>
        <w:t xml:space="preserve"> (nt </w:t>
      </w:r>
      <w:r w:rsidR="00EB6BF7">
        <w:rPr>
          <w:rFonts w:eastAsiaTheme="minorEastAsia"/>
          <w:lang w:val="et"/>
        </w:rPr>
        <w:t>voodikohtade arv</w:t>
      </w:r>
      <w:r w:rsidR="00646A59">
        <w:rPr>
          <w:rFonts w:eastAsiaTheme="minorEastAsia"/>
          <w:lang w:val="et"/>
        </w:rPr>
        <w:t>, aastaringne teenuse osutamine jms</w:t>
      </w:r>
      <w:r w:rsidR="00461943">
        <w:rPr>
          <w:rFonts w:eastAsiaTheme="minorEastAsia"/>
          <w:lang w:val="et"/>
        </w:rPr>
        <w:t>).</w:t>
      </w:r>
      <w:r w:rsidR="00140989">
        <w:rPr>
          <w:rFonts w:eastAsiaTheme="minorEastAsia"/>
          <w:lang w:val="et"/>
        </w:rPr>
        <w:t xml:space="preserve"> </w:t>
      </w:r>
    </w:p>
    <w:p w14:paraId="7C8A23A4" w14:textId="35598DA9" w:rsidR="54B1EF67" w:rsidRDefault="00140989" w:rsidP="31C7E248">
      <w:pPr>
        <w:spacing w:before="0"/>
        <w:jc w:val="both"/>
        <w:rPr>
          <w:rFonts w:eastAsiaTheme="minorEastAsia"/>
          <w:lang w:val="et"/>
        </w:rPr>
      </w:pPr>
      <w:r w:rsidRPr="31C7E248">
        <w:rPr>
          <w:rFonts w:eastAsiaTheme="minorEastAsia"/>
          <w:lang w:val="et"/>
        </w:rPr>
        <w:t>Ühe lahendusena näeme</w:t>
      </w:r>
      <w:r w:rsidR="00C629FB" w:rsidRPr="31C7E248">
        <w:rPr>
          <w:rFonts w:eastAsiaTheme="minorEastAsia"/>
          <w:lang w:val="et"/>
        </w:rPr>
        <w:t xml:space="preserve"> </w:t>
      </w:r>
      <w:r w:rsidR="0024221F" w:rsidRPr="31C7E248">
        <w:rPr>
          <w:rFonts w:eastAsiaTheme="minorEastAsia"/>
          <w:lang w:val="et"/>
        </w:rPr>
        <w:t>nendel juhtudel</w:t>
      </w:r>
      <w:r w:rsidR="1EFA1653" w:rsidRPr="31C7E248">
        <w:rPr>
          <w:rFonts w:eastAsiaTheme="minorEastAsia"/>
          <w:lang w:val="et"/>
        </w:rPr>
        <w:t xml:space="preserve"> </w:t>
      </w:r>
      <w:r w:rsidR="1EFA1653" w:rsidRPr="009C3902">
        <w:rPr>
          <w:rFonts w:eastAsiaTheme="minorEastAsia"/>
          <w:b/>
          <w:bCs/>
          <w:lang w:val="et"/>
        </w:rPr>
        <w:t xml:space="preserve">üksiku eluruumi/korteri </w:t>
      </w:r>
      <w:r w:rsidR="7C891703" w:rsidRPr="009C3902">
        <w:rPr>
          <w:rFonts w:eastAsiaTheme="minorEastAsia"/>
          <w:b/>
          <w:bCs/>
          <w:lang w:val="et"/>
        </w:rPr>
        <w:t xml:space="preserve">kasutusotstarbe </w:t>
      </w:r>
      <w:r w:rsidR="0024221F" w:rsidRPr="009C3902">
        <w:rPr>
          <w:rFonts w:eastAsiaTheme="minorEastAsia"/>
          <w:b/>
          <w:bCs/>
          <w:lang w:val="et"/>
        </w:rPr>
        <w:t xml:space="preserve">majutusruumiks </w:t>
      </w:r>
      <w:r w:rsidR="1EFA1653" w:rsidRPr="009C3902">
        <w:rPr>
          <w:rFonts w:eastAsiaTheme="minorEastAsia"/>
          <w:b/>
          <w:bCs/>
          <w:lang w:val="et"/>
        </w:rPr>
        <w:t>muutmis</w:t>
      </w:r>
      <w:r w:rsidR="36115EF8" w:rsidRPr="009C3902">
        <w:rPr>
          <w:rFonts w:eastAsiaTheme="minorEastAsia"/>
          <w:b/>
          <w:bCs/>
          <w:lang w:val="et"/>
        </w:rPr>
        <w:t>eks</w:t>
      </w:r>
      <w:r w:rsidR="0024221F" w:rsidRPr="009C3902">
        <w:rPr>
          <w:rFonts w:eastAsiaTheme="minorEastAsia"/>
          <w:b/>
          <w:bCs/>
          <w:lang w:val="et"/>
        </w:rPr>
        <w:t xml:space="preserve"> kohustust</w:t>
      </w:r>
      <w:r w:rsidR="6C38305C" w:rsidRPr="009C3902">
        <w:rPr>
          <w:rFonts w:eastAsiaTheme="minorEastAsia"/>
          <w:b/>
          <w:bCs/>
          <w:lang w:val="et"/>
        </w:rPr>
        <w:t>.</w:t>
      </w:r>
      <w:r w:rsidR="00784E2D" w:rsidRPr="00784E2D">
        <w:t xml:space="preserve"> </w:t>
      </w:r>
      <w:r w:rsidR="00784E2D">
        <w:t xml:space="preserve">Samas </w:t>
      </w:r>
      <w:r w:rsidR="21355951">
        <w:t>k</w:t>
      </w:r>
      <w:r w:rsidR="00784E2D" w:rsidRPr="31C7E248">
        <w:rPr>
          <w:rFonts w:eastAsiaTheme="minorEastAsia"/>
          <w:lang w:val="et"/>
        </w:rPr>
        <w:t>asutusloa/-teatise menetlus on küllalt jõuline sekkumine, mida võiks kaaluda ühe alternatiivina üldisele majutusteenuse pakkujate registreerimiskohustusele ja</w:t>
      </w:r>
      <w:r w:rsidR="007704EF" w:rsidRPr="31C7E248">
        <w:rPr>
          <w:rFonts w:eastAsiaTheme="minorEastAsia"/>
          <w:lang w:val="et"/>
        </w:rPr>
        <w:t>/või</w:t>
      </w:r>
      <w:r w:rsidR="00855A38" w:rsidRPr="31C7E248">
        <w:rPr>
          <w:rFonts w:eastAsiaTheme="minorEastAsia"/>
          <w:lang w:val="et"/>
        </w:rPr>
        <w:t xml:space="preserve"> teenuse osutamist puudutavate piirangute ja tasu kehtestamisele</w:t>
      </w:r>
      <w:r w:rsidR="001D089D" w:rsidRPr="31C7E248">
        <w:rPr>
          <w:rFonts w:eastAsiaTheme="minorEastAsia"/>
          <w:lang w:val="et"/>
        </w:rPr>
        <w:t xml:space="preserve"> (nende kohta vt alapeatükk 4.2.7.)</w:t>
      </w:r>
      <w:r w:rsidR="00784E2D" w:rsidRPr="31C7E248">
        <w:rPr>
          <w:rFonts w:eastAsiaTheme="minorEastAsia"/>
          <w:lang w:val="et"/>
        </w:rPr>
        <w:t xml:space="preserve">. Dubleerivana ei ole neid süsteeme põhjust </w:t>
      </w:r>
      <w:r w:rsidR="00FC025C" w:rsidRPr="31C7E248">
        <w:rPr>
          <w:rFonts w:eastAsiaTheme="minorEastAsia"/>
          <w:lang w:val="et"/>
        </w:rPr>
        <w:t xml:space="preserve">üldjuhul </w:t>
      </w:r>
      <w:r w:rsidR="00784E2D" w:rsidRPr="31C7E248">
        <w:rPr>
          <w:rFonts w:eastAsiaTheme="minorEastAsia"/>
          <w:lang w:val="et"/>
        </w:rPr>
        <w:t>rakendada, kui selleks pole just selget vajadust</w:t>
      </w:r>
      <w:r w:rsidR="00AB4566">
        <w:rPr>
          <w:rFonts w:eastAsiaTheme="minorEastAsia"/>
          <w:lang w:val="et"/>
        </w:rPr>
        <w:t>.</w:t>
      </w:r>
      <w:r w:rsidR="00C8038D" w:rsidRPr="31C7E248">
        <w:rPr>
          <w:rStyle w:val="FootnoteReference"/>
          <w:rFonts w:eastAsiaTheme="minorEastAsia"/>
          <w:lang w:val="et"/>
        </w:rPr>
        <w:footnoteReference w:id="173"/>
      </w:r>
      <w:r w:rsidR="00DE6DAC" w:rsidRPr="31C7E248">
        <w:rPr>
          <w:rFonts w:eastAsiaTheme="minorEastAsia"/>
          <w:lang w:val="et"/>
        </w:rPr>
        <w:t xml:space="preserve"> </w:t>
      </w:r>
      <w:r w:rsidR="006A4204" w:rsidRPr="31C7E248">
        <w:rPr>
          <w:rFonts w:eastAsiaTheme="minorEastAsia"/>
          <w:lang w:val="et"/>
        </w:rPr>
        <w:t xml:space="preserve">Võrreldes väga täpselt sihistatud </w:t>
      </w:r>
      <w:r w:rsidR="00413EFE" w:rsidRPr="31C7E248">
        <w:rPr>
          <w:rFonts w:eastAsiaTheme="minorEastAsia"/>
          <w:lang w:val="et"/>
        </w:rPr>
        <w:t xml:space="preserve">spetsiifiliste </w:t>
      </w:r>
      <w:r w:rsidR="006A4204" w:rsidRPr="31C7E248">
        <w:rPr>
          <w:rFonts w:eastAsiaTheme="minorEastAsia"/>
          <w:lang w:val="et"/>
        </w:rPr>
        <w:t>piirangutega (nt teatud tsoonides teenuse osutamise keelamine</w:t>
      </w:r>
      <w:r w:rsidR="00820EE7" w:rsidRPr="31C7E248">
        <w:rPr>
          <w:rFonts w:eastAsiaTheme="minorEastAsia"/>
          <w:lang w:val="et"/>
        </w:rPr>
        <w:t>, tasu kehtestamine voodikohtade arvu alusel</w:t>
      </w:r>
      <w:r w:rsidR="006533C3" w:rsidRPr="31C7E248">
        <w:rPr>
          <w:rFonts w:eastAsiaTheme="minorEastAsia"/>
          <w:lang w:val="et"/>
        </w:rPr>
        <w:t xml:space="preserve"> </w:t>
      </w:r>
      <w:r w:rsidR="006533C3" w:rsidRPr="31C7E248">
        <w:rPr>
          <w:rFonts w:eastAsiaTheme="minorEastAsia"/>
          <w:lang w:val="et"/>
        </w:rPr>
        <w:lastRenderedPageBreak/>
        <w:t xml:space="preserve">jne) on kasutusotstarbe muutmise kohustuse </w:t>
      </w:r>
      <w:r w:rsidR="00BC61CF" w:rsidRPr="31C7E248">
        <w:rPr>
          <w:rFonts w:eastAsiaTheme="minorEastAsia"/>
          <w:lang w:val="et"/>
        </w:rPr>
        <w:t xml:space="preserve">suunatud </w:t>
      </w:r>
      <w:r w:rsidR="00F13352" w:rsidRPr="31C7E248">
        <w:rPr>
          <w:rFonts w:eastAsiaTheme="minorEastAsia"/>
          <w:lang w:val="et"/>
        </w:rPr>
        <w:t xml:space="preserve">turu korrastamisele, </w:t>
      </w:r>
      <w:r w:rsidR="008765CF" w:rsidRPr="31C7E248">
        <w:rPr>
          <w:rFonts w:eastAsiaTheme="minorEastAsia"/>
          <w:lang w:val="et"/>
        </w:rPr>
        <w:t xml:space="preserve">millega saaks </w:t>
      </w:r>
      <w:r w:rsidR="00E7609A">
        <w:rPr>
          <w:rFonts w:eastAsiaTheme="minorEastAsia"/>
          <w:lang w:val="et"/>
        </w:rPr>
        <w:t xml:space="preserve">KOV </w:t>
      </w:r>
      <w:r w:rsidR="008765CF" w:rsidRPr="31C7E248">
        <w:rPr>
          <w:rFonts w:eastAsiaTheme="minorEastAsia"/>
          <w:lang w:val="et"/>
        </w:rPr>
        <w:t>kontrollida või vältida suuremate häiringute ja riskide avaldumist.</w:t>
      </w:r>
      <w:r w:rsidR="00014049" w:rsidRPr="31C7E248">
        <w:rPr>
          <w:rFonts w:eastAsiaTheme="minorEastAsia"/>
          <w:lang w:val="et"/>
        </w:rPr>
        <w:t xml:space="preserve"> </w:t>
      </w:r>
      <w:r w:rsidR="009A01D5" w:rsidRPr="31C7E248">
        <w:rPr>
          <w:rFonts w:eastAsiaTheme="minorEastAsia"/>
          <w:lang w:val="et"/>
        </w:rPr>
        <w:t xml:space="preserve">Samas </w:t>
      </w:r>
      <w:r w:rsidR="00717263" w:rsidRPr="31C7E248">
        <w:rPr>
          <w:rFonts w:eastAsiaTheme="minorEastAsia"/>
          <w:lang w:val="et"/>
        </w:rPr>
        <w:t xml:space="preserve">teatud </w:t>
      </w:r>
      <w:r w:rsidR="009A01D5" w:rsidRPr="31C7E248">
        <w:rPr>
          <w:rFonts w:eastAsiaTheme="minorEastAsia"/>
          <w:lang w:val="et"/>
        </w:rPr>
        <w:t xml:space="preserve">paindlikkust </w:t>
      </w:r>
      <w:r w:rsidR="00717263" w:rsidRPr="31C7E248">
        <w:rPr>
          <w:rFonts w:eastAsiaTheme="minorEastAsia"/>
          <w:lang w:val="et"/>
        </w:rPr>
        <w:t>võimalda</w:t>
      </w:r>
      <w:r w:rsidR="146DAB7D" w:rsidRPr="31C7E248">
        <w:rPr>
          <w:rFonts w:eastAsiaTheme="minorEastAsia"/>
          <w:lang w:val="et"/>
        </w:rPr>
        <w:t>vad</w:t>
      </w:r>
      <w:r w:rsidR="00717263" w:rsidRPr="31C7E248">
        <w:rPr>
          <w:rFonts w:eastAsiaTheme="minorEastAsia"/>
          <w:lang w:val="et"/>
        </w:rPr>
        <w:t xml:space="preserve"> siin</w:t>
      </w:r>
      <w:r w:rsidR="009A01D5" w:rsidRPr="31C7E248">
        <w:rPr>
          <w:rFonts w:eastAsiaTheme="minorEastAsia"/>
          <w:lang w:val="et"/>
        </w:rPr>
        <w:t xml:space="preserve"> </w:t>
      </w:r>
      <w:r w:rsidR="00F727BA" w:rsidRPr="31C7E248">
        <w:rPr>
          <w:rFonts w:eastAsiaTheme="minorEastAsia"/>
          <w:lang w:val="et"/>
        </w:rPr>
        <w:t xml:space="preserve">kasutusotstarbe muutmise vajadust kirjeldavad kriteeriumid, mille kaudu on </w:t>
      </w:r>
      <w:r w:rsidR="00DC6720" w:rsidRPr="31C7E248">
        <w:rPr>
          <w:rFonts w:eastAsiaTheme="minorEastAsia"/>
          <w:lang w:val="et"/>
        </w:rPr>
        <w:t xml:space="preserve">igal KOV-l </w:t>
      </w:r>
      <w:r w:rsidR="00AF0E04">
        <w:rPr>
          <w:rFonts w:eastAsiaTheme="minorEastAsia"/>
          <w:lang w:val="et"/>
        </w:rPr>
        <w:t xml:space="preserve">võimalik </w:t>
      </w:r>
      <w:r w:rsidR="0039069D" w:rsidRPr="31C7E248">
        <w:rPr>
          <w:rFonts w:eastAsiaTheme="minorEastAsia"/>
          <w:lang w:val="et"/>
        </w:rPr>
        <w:t xml:space="preserve">turgu </w:t>
      </w:r>
      <w:r w:rsidR="00AF0E04" w:rsidRPr="31C7E248">
        <w:rPr>
          <w:rFonts w:eastAsiaTheme="minorEastAsia"/>
          <w:lang w:val="et"/>
        </w:rPr>
        <w:t xml:space="preserve">suunata </w:t>
      </w:r>
      <w:r w:rsidR="0039069D" w:rsidRPr="31C7E248">
        <w:rPr>
          <w:rFonts w:eastAsiaTheme="minorEastAsia"/>
          <w:lang w:val="et"/>
        </w:rPr>
        <w:t>piirkonna eripäradest lähtuvalt.</w:t>
      </w:r>
      <w:r w:rsidR="00F727BA" w:rsidRPr="31C7E248">
        <w:rPr>
          <w:rFonts w:eastAsiaTheme="minorEastAsia"/>
          <w:lang w:val="et"/>
        </w:rPr>
        <w:t xml:space="preserve"> </w:t>
      </w:r>
      <w:r w:rsidR="00A17A6F" w:rsidRPr="31C7E248">
        <w:rPr>
          <w:rFonts w:eastAsiaTheme="minorEastAsia"/>
          <w:lang w:val="et"/>
        </w:rPr>
        <w:t xml:space="preserve">Seega võiks selline lähenemine hästi sobida </w:t>
      </w:r>
      <w:r w:rsidR="00AB726E">
        <w:rPr>
          <w:rFonts w:eastAsiaTheme="minorEastAsia"/>
          <w:lang w:val="et"/>
        </w:rPr>
        <w:t xml:space="preserve">ka </w:t>
      </w:r>
      <w:r w:rsidR="00A17A6F" w:rsidRPr="31C7E248">
        <w:rPr>
          <w:rFonts w:eastAsiaTheme="minorEastAsia"/>
          <w:lang w:val="et"/>
        </w:rPr>
        <w:t>mõnes väiksema</w:t>
      </w:r>
      <w:r w:rsidR="65BE7B0E" w:rsidRPr="31C7E248">
        <w:rPr>
          <w:rFonts w:eastAsiaTheme="minorEastAsia"/>
          <w:lang w:val="et"/>
        </w:rPr>
        <w:t>s</w:t>
      </w:r>
      <w:r w:rsidR="00A17A6F" w:rsidRPr="31C7E248">
        <w:rPr>
          <w:rFonts w:eastAsiaTheme="minorEastAsia"/>
          <w:lang w:val="et"/>
        </w:rPr>
        <w:t xml:space="preserve"> kohalikus omavalitsuses</w:t>
      </w:r>
      <w:r w:rsidR="009740FB" w:rsidRPr="31C7E248">
        <w:rPr>
          <w:rFonts w:eastAsiaTheme="minorEastAsia"/>
          <w:lang w:val="et"/>
        </w:rPr>
        <w:t>, kus lühiajaline üüriturg on hakanud teatud piirkondades põhjustama elukeskkonna häiringuid.</w:t>
      </w:r>
    </w:p>
    <w:p w14:paraId="06E3D955" w14:textId="7A89D274" w:rsidR="00402B88" w:rsidRPr="004937E2" w:rsidRDefault="46992329" w:rsidP="1C92C443">
      <w:pPr>
        <w:spacing w:before="0"/>
        <w:jc w:val="both"/>
        <w:rPr>
          <w:rFonts w:eastAsiaTheme="minorEastAsia"/>
          <w:lang w:val="et"/>
        </w:rPr>
      </w:pPr>
      <w:r w:rsidRPr="1C92C443">
        <w:rPr>
          <w:b/>
          <w:bCs/>
        </w:rPr>
        <w:t>Mõju</w:t>
      </w:r>
      <w:r w:rsidR="00C863B2">
        <w:rPr>
          <w:b/>
          <w:bCs/>
        </w:rPr>
        <w:t xml:space="preserve"> </w:t>
      </w:r>
      <w:r w:rsidR="00C863B2" w:rsidRPr="1688D34F">
        <w:rPr>
          <w:b/>
        </w:rPr>
        <w:t>|</w:t>
      </w:r>
      <w:r w:rsidR="6D741A2A">
        <w:t xml:space="preserve"> </w:t>
      </w:r>
      <w:r w:rsidR="25B52021">
        <w:t>P</w:t>
      </w:r>
      <w:r w:rsidR="6A168134">
        <w:t>laneeringute</w:t>
      </w:r>
      <w:r w:rsidR="6C38305C">
        <w:t xml:space="preserve">, </w:t>
      </w:r>
      <w:r w:rsidR="1D5245BB">
        <w:t>projekteerimistingimuste,</w:t>
      </w:r>
      <w:r w:rsidR="6A168134">
        <w:t xml:space="preserve"> </w:t>
      </w:r>
      <w:r w:rsidR="1EFA1653">
        <w:t xml:space="preserve">loamenetluse </w:t>
      </w:r>
      <w:r w:rsidR="4BAAD3C8">
        <w:t>ja</w:t>
      </w:r>
      <w:r w:rsidR="1EFA1653">
        <w:t xml:space="preserve"> kaitsekordade (kombineeritud) rakendamine on riigi- ja</w:t>
      </w:r>
      <w:r w:rsidR="1E00ECB7">
        <w:t xml:space="preserve"> </w:t>
      </w:r>
      <w:r w:rsidR="66044C90">
        <w:t>kohaliku tasandi võimalused</w:t>
      </w:r>
      <w:r w:rsidR="3D57E3FA">
        <w:t>, kuid senine kogemus viitab, et nende kaudu mõju saavutamine on pigem pikaajaline protsess</w:t>
      </w:r>
      <w:r w:rsidR="505FE2D5">
        <w:t xml:space="preserve">. Samas sõltub nende tõhusus </w:t>
      </w:r>
      <w:r w:rsidR="6343B227">
        <w:t xml:space="preserve">palju ka sellest, kuidas </w:t>
      </w:r>
      <w:r w:rsidR="1828DAC8">
        <w:t>planeeringutes</w:t>
      </w:r>
      <w:r w:rsidR="032B2A7C">
        <w:t xml:space="preserve"> ja </w:t>
      </w:r>
      <w:r w:rsidR="1828DAC8">
        <w:t>kordades</w:t>
      </w:r>
      <w:r w:rsidR="032B2A7C">
        <w:t xml:space="preserve"> vastavad piirangud sõnastatakse, et säiliks paindlikku</w:t>
      </w:r>
      <w:r w:rsidR="6463C0B0">
        <w:t>s</w:t>
      </w:r>
      <w:r w:rsidR="032B2A7C">
        <w:t xml:space="preserve"> nende rakendamisel.</w:t>
      </w:r>
      <w:r w:rsidR="505FE2D5">
        <w:t xml:space="preserve"> </w:t>
      </w:r>
      <w:r w:rsidR="3F090785">
        <w:t xml:space="preserve">Neid sekkumisi tasuks eelkõige kaaluda linnasüdamete </w:t>
      </w:r>
      <w:r w:rsidR="1828DAC8">
        <w:t>ruumilise arengu suunamiseks</w:t>
      </w:r>
      <w:r w:rsidR="3F090785">
        <w:t xml:space="preserve">, </w:t>
      </w:r>
      <w:r w:rsidR="2D6B75C2">
        <w:t xml:space="preserve">kus </w:t>
      </w:r>
      <w:r w:rsidR="3DD6E053">
        <w:t xml:space="preserve">suur </w:t>
      </w:r>
      <w:r w:rsidR="3DD6E053" w:rsidRPr="1C92C443">
        <w:rPr>
          <w:rFonts w:eastAsiaTheme="minorEastAsia"/>
        </w:rPr>
        <w:t>turismiaktiivsus võib</w:t>
      </w:r>
      <w:r w:rsidR="2D6B75C2" w:rsidRPr="1C92C443">
        <w:rPr>
          <w:rFonts w:eastAsiaTheme="minorEastAsia"/>
        </w:rPr>
        <w:t xml:space="preserve"> </w:t>
      </w:r>
      <w:r w:rsidR="3DD6E053" w:rsidRPr="1C92C443">
        <w:rPr>
          <w:rFonts w:eastAsiaTheme="minorEastAsia"/>
        </w:rPr>
        <w:t>olulist mõju avaldada.</w:t>
      </w:r>
      <w:r w:rsidR="7D7B13CB" w:rsidRPr="1C92C443">
        <w:rPr>
          <w:rFonts w:eastAsiaTheme="minorEastAsia"/>
        </w:rPr>
        <w:t xml:space="preserve"> </w:t>
      </w:r>
      <w:r w:rsidR="1EECA61A" w:rsidRPr="1C92C443">
        <w:rPr>
          <w:rFonts w:eastAsiaTheme="minorEastAsia"/>
        </w:rPr>
        <w:t>Planeeringute kaudu lühiajalise majutusteenuse suunamisel on positiivne planeerimismenetluse avatud ja kaasav olemus</w:t>
      </w:r>
      <w:r w:rsidR="00EE5A0E" w:rsidRPr="1C92C443">
        <w:rPr>
          <w:rFonts w:eastAsiaTheme="minorEastAsia"/>
        </w:rPr>
        <w:t>.</w:t>
      </w:r>
      <w:r w:rsidR="1EECA61A" w:rsidRPr="1C92C443">
        <w:rPr>
          <w:rFonts w:eastAsiaTheme="minorEastAsia"/>
        </w:rPr>
        <w:t xml:space="preserve"> Sageli </w:t>
      </w:r>
      <w:r w:rsidR="5DB9C4BB" w:rsidRPr="1C92C443">
        <w:rPr>
          <w:rFonts w:eastAsiaTheme="minorEastAsia"/>
        </w:rPr>
        <w:t>on</w:t>
      </w:r>
      <w:r w:rsidR="1EECA61A" w:rsidRPr="1C92C443">
        <w:rPr>
          <w:rFonts w:eastAsiaTheme="minorEastAsia"/>
        </w:rPr>
        <w:t xml:space="preserve"> planeeringu koost</w:t>
      </w:r>
      <w:r w:rsidR="679D692E" w:rsidRPr="1C92C443">
        <w:rPr>
          <w:rFonts w:eastAsiaTheme="minorEastAsia"/>
        </w:rPr>
        <w:t>amise protsess, arutelud ja osapoolte kokku toomine vii</w:t>
      </w:r>
      <w:r w:rsidR="2208AF87" w:rsidRPr="1C92C443">
        <w:rPr>
          <w:rFonts w:eastAsiaTheme="minorEastAsia"/>
        </w:rPr>
        <w:t xml:space="preserve">nud erinevates keerulistes ruumi kasutuse küsimustes </w:t>
      </w:r>
      <w:r w:rsidR="679D692E" w:rsidRPr="1C92C443">
        <w:rPr>
          <w:rFonts w:eastAsiaTheme="minorEastAsia"/>
        </w:rPr>
        <w:t>lahendusteni</w:t>
      </w:r>
      <w:r w:rsidR="49BB6DF9" w:rsidRPr="1C92C443">
        <w:rPr>
          <w:rFonts w:eastAsiaTheme="minorEastAsia"/>
        </w:rPr>
        <w:t xml:space="preserve"> või aidanud välja selgitada spetsiifilisi aspekte, millega tingimuste seadmisel arvestada.</w:t>
      </w:r>
      <w:r w:rsidR="426C2CEF" w:rsidRPr="1C92C443">
        <w:rPr>
          <w:rFonts w:eastAsiaTheme="minorEastAsia"/>
        </w:rPr>
        <w:t xml:space="preserve"> </w:t>
      </w:r>
    </w:p>
    <w:p w14:paraId="519C9665" w14:textId="620854AE" w:rsidR="00402B88" w:rsidRPr="00BE179D" w:rsidRDefault="785FC78A" w:rsidP="1C92C443">
      <w:pPr>
        <w:spacing w:before="0"/>
        <w:jc w:val="both"/>
        <w:rPr>
          <w:rFonts w:eastAsiaTheme="minorEastAsia"/>
          <w:lang w:val="et"/>
        </w:rPr>
      </w:pPr>
      <w:r w:rsidRPr="1C92C443">
        <w:rPr>
          <w:rFonts w:eastAsiaTheme="minorEastAsia"/>
          <w:lang w:val="et"/>
        </w:rPr>
        <w:t xml:space="preserve">Loamenetluse kohustuslikuks muutmine </w:t>
      </w:r>
      <w:r w:rsidR="00983283">
        <w:rPr>
          <w:rFonts w:eastAsiaTheme="minorEastAsia"/>
          <w:lang w:val="et"/>
        </w:rPr>
        <w:t xml:space="preserve">kasutusotstarbe </w:t>
      </w:r>
      <w:r w:rsidR="005E7455">
        <w:rPr>
          <w:rFonts w:eastAsiaTheme="minorEastAsia"/>
          <w:lang w:val="et"/>
        </w:rPr>
        <w:t xml:space="preserve">muutmise kohustuslike kriteeriumite rakendamise kaudu </w:t>
      </w:r>
      <w:r w:rsidRPr="1C92C443">
        <w:rPr>
          <w:rFonts w:eastAsiaTheme="minorEastAsia"/>
          <w:lang w:val="et"/>
        </w:rPr>
        <w:t xml:space="preserve">võimaldab KOV-il saada ülevaate </w:t>
      </w:r>
      <w:r w:rsidR="009B5226">
        <w:rPr>
          <w:rFonts w:eastAsiaTheme="minorEastAsia"/>
          <w:lang w:val="et"/>
        </w:rPr>
        <w:t xml:space="preserve">kehtestatud kriteeriumitele vastavate </w:t>
      </w:r>
      <w:r w:rsidRPr="1C92C443">
        <w:rPr>
          <w:rFonts w:eastAsiaTheme="minorEastAsia"/>
          <w:lang w:val="et"/>
        </w:rPr>
        <w:t xml:space="preserve">lühiajalise majutusteenuse pakkujate arvust ja paiknemisest ning kaasata </w:t>
      </w:r>
      <w:r w:rsidR="006F6E6E">
        <w:rPr>
          <w:rFonts w:eastAsiaTheme="minorEastAsia"/>
          <w:lang w:val="et"/>
        </w:rPr>
        <w:t>otsu</w:t>
      </w:r>
      <w:r w:rsidR="00B010BA">
        <w:rPr>
          <w:rFonts w:eastAsiaTheme="minorEastAsia"/>
          <w:lang w:val="et"/>
        </w:rPr>
        <w:t>stusprotsessi</w:t>
      </w:r>
      <w:r w:rsidR="006F6E6E" w:rsidRPr="1C92C443">
        <w:rPr>
          <w:rFonts w:eastAsiaTheme="minorEastAsia"/>
          <w:lang w:val="et"/>
        </w:rPr>
        <w:t xml:space="preserve"> </w:t>
      </w:r>
      <w:r w:rsidRPr="1C92C443">
        <w:rPr>
          <w:rFonts w:eastAsiaTheme="minorEastAsia"/>
          <w:lang w:val="et"/>
        </w:rPr>
        <w:t>teisi osapooli, nt M</w:t>
      </w:r>
      <w:r w:rsidR="007122C2">
        <w:rPr>
          <w:rFonts w:eastAsiaTheme="minorEastAsia"/>
          <w:lang w:val="et"/>
        </w:rPr>
        <w:t>KA-d</w:t>
      </w:r>
      <w:r w:rsidRPr="1C92C443">
        <w:rPr>
          <w:rFonts w:eastAsiaTheme="minorEastAsia"/>
          <w:lang w:val="et"/>
        </w:rPr>
        <w:t xml:space="preserve">, kes saab anda seisukoha vanalinnade kaitsekordade eesmärkidest lähtuvalt, </w:t>
      </w:r>
      <w:r w:rsidR="00B724D0">
        <w:rPr>
          <w:rFonts w:eastAsiaTheme="minorEastAsia"/>
          <w:lang w:val="et"/>
        </w:rPr>
        <w:t xml:space="preserve">ning </w:t>
      </w:r>
      <w:r w:rsidRPr="1C92C443">
        <w:rPr>
          <w:rFonts w:eastAsiaTheme="minorEastAsia"/>
          <w:lang w:val="et"/>
        </w:rPr>
        <w:t>P</w:t>
      </w:r>
      <w:r w:rsidR="007122C2">
        <w:rPr>
          <w:rFonts w:eastAsiaTheme="minorEastAsia"/>
          <w:lang w:val="et"/>
        </w:rPr>
        <w:t>A-d</w:t>
      </w:r>
      <w:r w:rsidRPr="1C92C443">
        <w:rPr>
          <w:rFonts w:eastAsiaTheme="minorEastAsia"/>
          <w:lang w:val="et"/>
        </w:rPr>
        <w:t>, kes saab kontrollida tuleohutuse nõuete täitmist. Loamenetluses on võimalik kaasata ka kaasomanikke</w:t>
      </w:r>
      <w:r w:rsidR="1800FD02" w:rsidRPr="1C92C443">
        <w:rPr>
          <w:rFonts w:eastAsiaTheme="minorEastAsia"/>
          <w:lang w:val="et"/>
        </w:rPr>
        <w:t>,</w:t>
      </w:r>
      <w:r w:rsidRPr="1C92C443">
        <w:rPr>
          <w:rFonts w:eastAsiaTheme="minorEastAsia"/>
          <w:lang w:val="et"/>
        </w:rPr>
        <w:t xml:space="preserve"> küsides nende arvamust</w:t>
      </w:r>
      <w:r w:rsidR="00E80164">
        <w:rPr>
          <w:rFonts w:eastAsiaTheme="minorEastAsia"/>
          <w:lang w:val="et"/>
        </w:rPr>
        <w:t xml:space="preserve">, </w:t>
      </w:r>
      <w:r w:rsidR="000232D9">
        <w:rPr>
          <w:rFonts w:eastAsiaTheme="minorEastAsia"/>
          <w:lang w:val="et"/>
        </w:rPr>
        <w:t>mis aitab</w:t>
      </w:r>
      <w:r w:rsidR="00E80164">
        <w:rPr>
          <w:rFonts w:eastAsiaTheme="minorEastAsia"/>
          <w:lang w:val="et"/>
        </w:rPr>
        <w:t xml:space="preserve"> teha </w:t>
      </w:r>
      <w:r w:rsidR="000232D9">
        <w:rPr>
          <w:rFonts w:eastAsiaTheme="minorEastAsia"/>
          <w:lang w:val="et"/>
        </w:rPr>
        <w:t>kõigi osapoolte huve arvestav otsus</w:t>
      </w:r>
      <w:r w:rsidRPr="1C92C443">
        <w:rPr>
          <w:rFonts w:eastAsiaTheme="minorEastAsia"/>
          <w:lang w:val="et"/>
        </w:rPr>
        <w:t>.</w:t>
      </w:r>
      <w:r w:rsidR="00B4467C" w:rsidRPr="1C92C443">
        <w:rPr>
          <w:rFonts w:eastAsiaTheme="minorEastAsia"/>
          <w:lang w:val="et"/>
        </w:rPr>
        <w:t xml:space="preserve"> </w:t>
      </w:r>
      <w:r w:rsidR="288022D8" w:rsidRPr="1C92C443">
        <w:rPr>
          <w:rFonts w:eastAsiaTheme="minorEastAsia"/>
          <w:lang w:val="et"/>
        </w:rPr>
        <w:t>Loamenetluse rakendamine</w:t>
      </w:r>
      <w:r w:rsidR="31425743" w:rsidRPr="1C92C443">
        <w:rPr>
          <w:rFonts w:eastAsiaTheme="minorEastAsia"/>
          <w:lang w:val="et"/>
        </w:rPr>
        <w:t xml:space="preserve"> ja kaasnev bürokraatia</w:t>
      </w:r>
      <w:r w:rsidR="73815659" w:rsidRPr="1C92C443">
        <w:rPr>
          <w:rFonts w:eastAsiaTheme="minorEastAsia"/>
          <w:lang w:val="et"/>
        </w:rPr>
        <w:t xml:space="preserve"> võib </w:t>
      </w:r>
      <w:r w:rsidR="00965BCE">
        <w:rPr>
          <w:rFonts w:eastAsiaTheme="minorEastAsia"/>
          <w:lang w:val="et"/>
        </w:rPr>
        <w:t xml:space="preserve">aga </w:t>
      </w:r>
      <w:r w:rsidR="73815659" w:rsidRPr="1C92C443">
        <w:rPr>
          <w:rFonts w:eastAsiaTheme="minorEastAsia"/>
          <w:lang w:val="et"/>
        </w:rPr>
        <w:t xml:space="preserve">turult </w:t>
      </w:r>
      <w:r w:rsidR="00965BCE">
        <w:rPr>
          <w:rFonts w:eastAsiaTheme="minorEastAsia"/>
          <w:lang w:val="et"/>
        </w:rPr>
        <w:t xml:space="preserve">potentsiaalselt </w:t>
      </w:r>
      <w:r w:rsidR="73815659" w:rsidRPr="1C92C443">
        <w:rPr>
          <w:rFonts w:eastAsiaTheme="minorEastAsia"/>
          <w:lang w:val="et"/>
        </w:rPr>
        <w:t>välja tõrjuda väikesed ja omanäolise</w:t>
      </w:r>
      <w:r w:rsidR="561E4E9C" w:rsidRPr="1C92C443">
        <w:rPr>
          <w:rFonts w:eastAsiaTheme="minorEastAsia"/>
          <w:lang w:val="et"/>
        </w:rPr>
        <w:t>ma</w:t>
      </w:r>
      <w:r w:rsidR="640B305D" w:rsidRPr="1C92C443">
        <w:rPr>
          <w:rFonts w:eastAsiaTheme="minorEastAsia"/>
          <w:lang w:val="et"/>
        </w:rPr>
        <w:t>d teenusepakkujad.</w:t>
      </w:r>
      <w:r w:rsidR="00BB44BC" w:rsidRPr="1C92C443">
        <w:rPr>
          <w:rFonts w:eastAsiaTheme="minorEastAsia"/>
          <w:lang w:val="et"/>
        </w:rPr>
        <w:t xml:space="preserve"> Seetõttu tuleb lühiajalise majutusteenuse suunamiseks rakendatavate meetmete valikul olla kindel, et see ei põhjustaks täiendavat korterite alakasutust ega suurendaks tühjana seisvate eluruumide arvu.</w:t>
      </w:r>
    </w:p>
    <w:p w14:paraId="33B8D1F9" w14:textId="6D8D4844" w:rsidR="00402B88" w:rsidRPr="00402B88" w:rsidRDefault="00402B88" w:rsidP="00B54A22">
      <w:pPr>
        <w:jc w:val="both"/>
        <w:rPr>
          <w:b/>
          <w:bCs/>
        </w:rPr>
      </w:pPr>
      <w:r w:rsidRPr="00402B88">
        <w:rPr>
          <w:b/>
          <w:bCs/>
        </w:rPr>
        <w:t>Sekkumise elluviimise periood</w:t>
      </w:r>
      <w:r w:rsidR="00C863B2">
        <w:rPr>
          <w:b/>
          <w:bCs/>
        </w:rPr>
        <w:t xml:space="preserve"> </w:t>
      </w:r>
      <w:r w:rsidR="00C863B2" w:rsidRPr="1688D34F">
        <w:rPr>
          <w:b/>
        </w:rPr>
        <w:t>|</w:t>
      </w:r>
      <w:r w:rsidR="00DD35CD">
        <w:rPr>
          <w:b/>
          <w:bCs/>
        </w:rPr>
        <w:t xml:space="preserve"> </w:t>
      </w:r>
      <w:r w:rsidR="002F6612">
        <w:t>Seda soovituste plokki näeme alternatiiv</w:t>
      </w:r>
      <w:r w:rsidR="00A84F82">
        <w:t>se lähenemis</w:t>
      </w:r>
      <w:r w:rsidR="00756E54">
        <w:t>ena</w:t>
      </w:r>
      <w:r w:rsidR="002D67EF">
        <w:t xml:space="preserve"> </w:t>
      </w:r>
      <w:r w:rsidR="007A0A74">
        <w:t xml:space="preserve">(eelkõige </w:t>
      </w:r>
      <w:r w:rsidR="001D089D">
        <w:t>alapeatükis</w:t>
      </w:r>
      <w:r w:rsidR="002D67EF">
        <w:t xml:space="preserve"> 4.2.7. kirjeldatud </w:t>
      </w:r>
      <w:r w:rsidR="00A84F82">
        <w:t>soovitustele</w:t>
      </w:r>
      <w:r w:rsidR="007A0A74">
        <w:t>).</w:t>
      </w:r>
      <w:r w:rsidR="00B51E14">
        <w:t xml:space="preserve"> </w:t>
      </w:r>
      <w:r w:rsidR="007A0A74">
        <w:t>T</w:t>
      </w:r>
      <w:r w:rsidR="00D93DA7">
        <w:t xml:space="preserve">õhusaks rakendamiseks </w:t>
      </w:r>
      <w:r w:rsidR="007A0A74">
        <w:t xml:space="preserve">eeldavad need </w:t>
      </w:r>
      <w:r w:rsidR="00D93DA7">
        <w:t>ka seadusandlikke muudatusi.</w:t>
      </w:r>
    </w:p>
    <w:p w14:paraId="6C047BEB" w14:textId="16F62CFD" w:rsidR="00416C0C" w:rsidRDefault="2EFBC60A" w:rsidP="003C0C4E">
      <w:pPr>
        <w:jc w:val="both"/>
      </w:pPr>
      <w:r w:rsidRPr="288A3578">
        <w:rPr>
          <w:b/>
          <w:bCs/>
        </w:rPr>
        <w:t>Sekkumise rahaline kulu</w:t>
      </w:r>
      <w:r w:rsidR="00C863B2">
        <w:rPr>
          <w:b/>
          <w:bCs/>
        </w:rPr>
        <w:t xml:space="preserve"> </w:t>
      </w:r>
      <w:r w:rsidR="00C863B2" w:rsidRPr="1688D34F">
        <w:rPr>
          <w:b/>
        </w:rPr>
        <w:t>|</w:t>
      </w:r>
      <w:r w:rsidR="2E9CE37D">
        <w:t xml:space="preserve"> </w:t>
      </w:r>
      <w:r w:rsidR="005221CC">
        <w:t xml:space="preserve">Kasutusotstarbe muutmise </w:t>
      </w:r>
      <w:r w:rsidR="00EA5C5E">
        <w:t>menetlusega kaasneb</w:t>
      </w:r>
      <w:r w:rsidR="00820702">
        <w:t xml:space="preserve"> </w:t>
      </w:r>
      <w:r w:rsidR="004520B2">
        <w:t xml:space="preserve">nii </w:t>
      </w:r>
      <w:r w:rsidR="000B643F">
        <w:t>suurem</w:t>
      </w:r>
      <w:r w:rsidR="004520B2">
        <w:t xml:space="preserve"> </w:t>
      </w:r>
      <w:r w:rsidR="00820702">
        <w:t>halduskulu</w:t>
      </w:r>
      <w:r w:rsidR="00E47BBD">
        <w:t xml:space="preserve"> </w:t>
      </w:r>
      <w:r w:rsidR="00216A3F">
        <w:t>avalikule sektorile</w:t>
      </w:r>
      <w:r w:rsidR="0024576E">
        <w:t xml:space="preserve"> (nt kasutusotstarbe muutmise menetluses osalevatele asutustele)</w:t>
      </w:r>
      <w:r w:rsidR="00216A3F">
        <w:t xml:space="preserve"> kui ka täiendav halduskoormus erasektorile</w:t>
      </w:r>
      <w:r w:rsidR="0024576E">
        <w:t xml:space="preserve"> (menetluses osalevatele majutusteenuse pakkujatele)</w:t>
      </w:r>
      <w:r w:rsidR="00216A3F">
        <w:t>.</w:t>
      </w:r>
      <w:r w:rsidR="2E9CE37D">
        <w:t xml:space="preserve"> </w:t>
      </w:r>
      <w:r w:rsidR="0024576E">
        <w:t>T</w:t>
      </w:r>
      <w:r w:rsidR="00440B11">
        <w:t xml:space="preserve">urult väljatõrjutud </w:t>
      </w:r>
      <w:r w:rsidR="00A45ED1">
        <w:t xml:space="preserve">ajutise </w:t>
      </w:r>
      <w:r w:rsidR="0051168E">
        <w:t>majutuse</w:t>
      </w:r>
      <w:r w:rsidR="00A45ED1">
        <w:t xml:space="preserve"> pakkujad</w:t>
      </w:r>
      <w:r w:rsidR="003B0B33">
        <w:t xml:space="preserve"> </w:t>
      </w:r>
      <w:r w:rsidR="0024576E">
        <w:t xml:space="preserve">kannavad </w:t>
      </w:r>
      <w:r w:rsidR="00AB43EC">
        <w:t xml:space="preserve">majanduslikku koormust </w:t>
      </w:r>
      <w:r w:rsidR="00440B11">
        <w:t>saamata jäänud tulu</w:t>
      </w:r>
      <w:r w:rsidR="00523AEC">
        <w:t>de</w:t>
      </w:r>
      <w:r w:rsidR="0051168E">
        <w:t xml:space="preserve"> näol</w:t>
      </w:r>
      <w:r w:rsidR="00416C0C">
        <w:t>.</w:t>
      </w:r>
    </w:p>
    <w:p w14:paraId="38BA545C" w14:textId="0A266060" w:rsidR="00A20F5A" w:rsidRPr="00931D8C" w:rsidRDefault="00931D8C" w:rsidP="00BE179D">
      <w:pPr>
        <w:pStyle w:val="Heading3"/>
        <w:rPr>
          <w:rFonts w:hint="eastAsia"/>
        </w:rPr>
      </w:pPr>
      <w:bookmarkStart w:id="148" w:name="_Toc208991636"/>
      <w:r>
        <w:t>Stiimuli</w:t>
      </w:r>
      <w:r w:rsidR="00BA57F0">
        <w:t>te</w:t>
      </w:r>
      <w:r>
        <w:t xml:space="preserve"> tekitamine</w:t>
      </w:r>
      <w:bookmarkEnd w:id="148"/>
    </w:p>
    <w:p w14:paraId="00A35F04" w14:textId="6B7E88B9" w:rsidR="00872DC3" w:rsidRPr="00E14EBC" w:rsidRDefault="54B6E299" w:rsidP="00872DC3">
      <w:pPr>
        <w:jc w:val="both"/>
        <w:rPr>
          <w:b/>
          <w:bCs/>
        </w:rPr>
      </w:pPr>
      <w:r w:rsidRPr="288A3578">
        <w:rPr>
          <w:b/>
          <w:bCs/>
        </w:rPr>
        <w:t>Teema</w:t>
      </w:r>
      <w:r w:rsidR="00C863B2">
        <w:rPr>
          <w:b/>
          <w:bCs/>
        </w:rPr>
        <w:t xml:space="preserve"> </w:t>
      </w:r>
      <w:r w:rsidR="00C863B2" w:rsidRPr="1688D34F">
        <w:rPr>
          <w:b/>
        </w:rPr>
        <w:t>|</w:t>
      </w:r>
      <w:r w:rsidRPr="288A3578">
        <w:rPr>
          <w:b/>
          <w:bCs/>
        </w:rPr>
        <w:t xml:space="preserve"> </w:t>
      </w:r>
      <w:r>
        <w:t>Kohalikud omavalitsused ega ka keskvalitsus ei ole seni poliitikakujundamise</w:t>
      </w:r>
      <w:r w:rsidR="717E3AF7">
        <w:t>l</w:t>
      </w:r>
      <w:r>
        <w:t xml:space="preserve"> pööranud erilist tähelepanu lühiajalise üüri turu ühiskondlikult sobivas suunas mõjutamisele. On püütud küll korrastada vastavaid regulatsioone (nt eelkõige </w:t>
      </w:r>
      <w:r w:rsidR="002E6A3A">
        <w:t>TurS</w:t>
      </w:r>
      <w:r>
        <w:t>), kuid pigem on see valdkond jäetud täielikult turumehhanismide koordineerida. Nagu uuringus oleme kirjeldanud, siis esineb lühiajalise üüri turul mitmeid turutõrkeid, mistõttu vaba turg ebaõnnestub selles sektoris ressurss</w:t>
      </w:r>
      <w:r w:rsidR="005B4E61">
        <w:t>ide</w:t>
      </w:r>
      <w:r>
        <w:t xml:space="preserve"> efektiivsel </w:t>
      </w:r>
      <w:r>
        <w:lastRenderedPageBreak/>
        <w:t>kasutam</w:t>
      </w:r>
      <w:r w:rsidR="005B4E61">
        <w:t>isel</w:t>
      </w:r>
      <w:r>
        <w:t xml:space="preserve">. </w:t>
      </w:r>
      <w:r w:rsidR="00D61F1C">
        <w:t xml:space="preserve">Selle tagajärjel </w:t>
      </w:r>
      <w:r w:rsidR="00264CDD">
        <w:t>kaldu</w:t>
      </w:r>
      <w:r w:rsidR="009C0F26">
        <w:t>b liiga suur hulk</w:t>
      </w:r>
      <w:r w:rsidR="00FB79AC">
        <w:t xml:space="preserve"> ressurs</w:t>
      </w:r>
      <w:r w:rsidR="009C0F26">
        <w:t>se</w:t>
      </w:r>
      <w:r w:rsidR="00FB79AC">
        <w:t xml:space="preserve"> liikuma</w:t>
      </w:r>
      <w:r w:rsidR="001036D2">
        <w:t xml:space="preserve"> ära tegevusvaldkondadest</w:t>
      </w:r>
      <w:r w:rsidR="00C7241F">
        <w:t xml:space="preserve"> (nt</w:t>
      </w:r>
      <w:r w:rsidR="003C1C30">
        <w:t xml:space="preserve"> eluruumide turul</w:t>
      </w:r>
      <w:r w:rsidR="001F45B2">
        <w:t>t</w:t>
      </w:r>
      <w:r w:rsidR="003C1C30">
        <w:t>)</w:t>
      </w:r>
      <w:r w:rsidR="001036D2">
        <w:t xml:space="preserve">, kus nad </w:t>
      </w:r>
      <w:r w:rsidR="001F45B2">
        <w:t xml:space="preserve">loovad </w:t>
      </w:r>
      <w:r w:rsidR="001036D2">
        <w:t>ühiskonnale suurimat väärtust,</w:t>
      </w:r>
      <w:r w:rsidR="00FB79AC">
        <w:t xml:space="preserve"> </w:t>
      </w:r>
      <w:r w:rsidR="001036D2">
        <w:t>sinna, kus</w:t>
      </w:r>
      <w:r w:rsidR="00C7241F">
        <w:t xml:space="preserve"> nad nii suurt </w:t>
      </w:r>
      <w:r w:rsidR="003C1C30">
        <w:t xml:space="preserve">ühiskondlikku </w:t>
      </w:r>
      <w:r w:rsidR="00C7241F">
        <w:t>väärtust ei loo</w:t>
      </w:r>
      <w:r w:rsidR="003C1C30">
        <w:t xml:space="preserve"> (</w:t>
      </w:r>
      <w:r w:rsidR="001F45B2">
        <w:t xml:space="preserve">nt </w:t>
      </w:r>
      <w:r w:rsidR="003C1C30">
        <w:t>majutusturule)</w:t>
      </w:r>
      <w:r w:rsidR="00C7241F">
        <w:t>.</w:t>
      </w:r>
      <w:r w:rsidR="00FB79AC">
        <w:t xml:space="preserve"> </w:t>
      </w:r>
      <w:r>
        <w:t xml:space="preserve">Üheks suhteliselt </w:t>
      </w:r>
      <w:r w:rsidR="00272273">
        <w:t>lihtsaks</w:t>
      </w:r>
      <w:r>
        <w:t xml:space="preserve"> sekkumise vormiks </w:t>
      </w:r>
      <w:r w:rsidR="00272273">
        <w:t xml:space="preserve">sedalaadi probleemidega tegelemisel </w:t>
      </w:r>
      <w:r>
        <w:t>on luua turuosalistele erineva</w:t>
      </w:r>
      <w:r w:rsidR="00272273">
        <w:t>id</w:t>
      </w:r>
      <w:r>
        <w:t xml:space="preserve"> stiimuleid, millega inimeste käitumist ja valikuid soovitud suunas mõjutada. Näeme, et seda võimalust pole praktikas kasutatud ja meile teadaolevalt isegi tõsiselt kaalutud.</w:t>
      </w:r>
    </w:p>
    <w:p w14:paraId="1680CD89" w14:textId="48A95E4F" w:rsidR="00872DC3" w:rsidRPr="00E14EBC" w:rsidRDefault="54B6E299" w:rsidP="00872DC3">
      <w:pPr>
        <w:jc w:val="both"/>
      </w:pPr>
      <w:r w:rsidRPr="288A3578">
        <w:rPr>
          <w:b/>
          <w:bCs/>
        </w:rPr>
        <w:t>Soovitus</w:t>
      </w:r>
      <w:r w:rsidR="00C863B2">
        <w:rPr>
          <w:b/>
          <w:bCs/>
        </w:rPr>
        <w:t xml:space="preserve"> </w:t>
      </w:r>
      <w:r w:rsidR="00C863B2" w:rsidRPr="1688D34F">
        <w:rPr>
          <w:b/>
        </w:rPr>
        <w:t>|</w:t>
      </w:r>
      <w:r w:rsidRPr="288A3578">
        <w:rPr>
          <w:b/>
          <w:bCs/>
        </w:rPr>
        <w:t xml:space="preserve"> </w:t>
      </w:r>
      <w:r w:rsidR="004506FD">
        <w:t>KOV-del</w:t>
      </w:r>
      <w:r>
        <w:t>, kelle territooriumil ilmnevad tõsised lühiajalise üürimisega kaasnevad probleemid</w:t>
      </w:r>
      <w:r w:rsidR="000058B6">
        <w:t xml:space="preserve"> (nt eluaseme kättesaadavus</w:t>
      </w:r>
      <w:r w:rsidR="00B45F32">
        <w:t>, kohalike elanike väljatõrjumine jms)</w:t>
      </w:r>
      <w:r>
        <w:t>, analüüsida järgmise sekkumise teostatavust:</w:t>
      </w:r>
    </w:p>
    <w:p w14:paraId="1A3F53BE" w14:textId="3364551F" w:rsidR="00872DC3" w:rsidRPr="00E14EBC" w:rsidRDefault="00375265" w:rsidP="00BE179D">
      <w:pPr>
        <w:jc w:val="both"/>
      </w:pPr>
      <w:r>
        <w:t xml:space="preserve">(i) </w:t>
      </w:r>
      <w:r w:rsidR="00872DC3">
        <w:t xml:space="preserve">luua rahalised stiimulid </w:t>
      </w:r>
      <w:r w:rsidR="00BE3FCE">
        <w:t>lühiajalise üüri turgu mõjutavatele osapooltele (</w:t>
      </w:r>
      <w:r w:rsidR="00872DC3">
        <w:t>korteriühistu</w:t>
      </w:r>
      <w:r w:rsidR="00BE3FCE">
        <w:t xml:space="preserve">d, </w:t>
      </w:r>
      <w:r w:rsidR="00AA0329">
        <w:t>kinnisvara arenda</w:t>
      </w:r>
      <w:r w:rsidR="00BC4D13">
        <w:t>ja</w:t>
      </w:r>
      <w:r w:rsidR="720F005B">
        <w:t>d</w:t>
      </w:r>
      <w:r w:rsidR="0039102C">
        <w:t xml:space="preserve"> jt)</w:t>
      </w:r>
      <w:r w:rsidR="00872DC3">
        <w:t>, mille</w:t>
      </w:r>
      <w:r w:rsidR="00454A20">
        <w:t>ga</w:t>
      </w:r>
      <w:r w:rsidR="00872DC3">
        <w:t xml:space="preserve"> toetatakse</w:t>
      </w:r>
      <w:r w:rsidR="11F759B7">
        <w:t xml:space="preserve"> </w:t>
      </w:r>
      <w:r w:rsidR="00872DC3">
        <w:t>(nt renoveerimistoetus, kortermaja naabruskonda investeerimine</w:t>
      </w:r>
      <w:r w:rsidR="00483149">
        <w:t>, muinsuskaitse</w:t>
      </w:r>
      <w:r w:rsidR="00A74840">
        <w:t>alaste kohustuste täitmine</w:t>
      </w:r>
      <w:r w:rsidR="00872DC3">
        <w:t xml:space="preserve"> jne)</w:t>
      </w:r>
      <w:r w:rsidR="00536A02">
        <w:t xml:space="preserve"> </w:t>
      </w:r>
      <w:r w:rsidR="00454A20">
        <w:t xml:space="preserve">nende </w:t>
      </w:r>
      <w:r w:rsidR="007A2BC6">
        <w:t xml:space="preserve">valikuid või käitumist, mis on kooskõlas kohaliku omavalitsuse </w:t>
      </w:r>
      <w:r w:rsidR="00646F78">
        <w:t xml:space="preserve">poolt püstitatud </w:t>
      </w:r>
      <w:r w:rsidR="00872DC3">
        <w:t>lühiajalis</w:t>
      </w:r>
      <w:r w:rsidR="00A95D65">
        <w:t>e</w:t>
      </w:r>
      <w:r w:rsidR="00872DC3">
        <w:t xml:space="preserve"> üüri</w:t>
      </w:r>
      <w:r w:rsidR="00275B78">
        <w:t xml:space="preserve"> turu arengut</w:t>
      </w:r>
      <w:r w:rsidR="00872DC3">
        <w:t xml:space="preserve"> puudutavate </w:t>
      </w:r>
      <w:r w:rsidR="00A95D65">
        <w:t>eesmärkidega</w:t>
      </w:r>
      <w:r w:rsidR="00927B9D">
        <w:t xml:space="preserve"> (</w:t>
      </w:r>
      <w:r w:rsidR="002F21DF">
        <w:t xml:space="preserve">nt mingites piirkondades </w:t>
      </w:r>
      <w:r w:rsidR="00927B9D">
        <w:t xml:space="preserve">elukeskkonna </w:t>
      </w:r>
      <w:r w:rsidR="000B47FA">
        <w:t>hoidmine,</w:t>
      </w:r>
      <w:r w:rsidR="00927B9D">
        <w:t xml:space="preserve"> </w:t>
      </w:r>
      <w:r w:rsidR="000B47FA">
        <w:t>eluruumide kättesaadavuse tagamine j</w:t>
      </w:r>
      <w:r w:rsidR="002F21DF">
        <w:t>ne</w:t>
      </w:r>
      <w:r w:rsidR="000B47FA">
        <w:t xml:space="preserve">). </w:t>
      </w:r>
    </w:p>
    <w:p w14:paraId="6305D458" w14:textId="569A3DCE" w:rsidR="00872DC3" w:rsidRPr="00E14EBC" w:rsidRDefault="00872DC3" w:rsidP="00872DC3">
      <w:pPr>
        <w:jc w:val="both"/>
        <w:rPr>
          <w:b/>
          <w:bCs/>
        </w:rPr>
      </w:pPr>
      <w:r w:rsidRPr="00E14EBC">
        <w:rPr>
          <w:b/>
          <w:bCs/>
        </w:rPr>
        <w:t>Tegevus</w:t>
      </w:r>
      <w:r w:rsidR="00C863B2">
        <w:rPr>
          <w:b/>
          <w:bCs/>
        </w:rPr>
        <w:t xml:space="preserve"> </w:t>
      </w:r>
      <w:r w:rsidR="00C863B2" w:rsidRPr="1688D34F">
        <w:rPr>
          <w:b/>
        </w:rPr>
        <w:t>|</w:t>
      </w:r>
      <w:r w:rsidRPr="00E14EBC">
        <w:rPr>
          <w:b/>
          <w:bCs/>
        </w:rPr>
        <w:t xml:space="preserve"> </w:t>
      </w:r>
      <w:r w:rsidR="004506FD">
        <w:t>KOV-d</w:t>
      </w:r>
      <w:r w:rsidRPr="00E14EBC">
        <w:t>, kus esineb probleeme lühiajalise üüri turuga seonduvalt, kaardistavad nii eelarvelised kui ka oma regulatiivsed võimalused omavalitsuse elu juhtimisel ja korraldamisel, mida saaks kasutada lühiajalise üüri turu mõjutamisel.</w:t>
      </w:r>
    </w:p>
    <w:p w14:paraId="71B02B67" w14:textId="7641E139" w:rsidR="00872DC3" w:rsidRPr="00E14EBC" w:rsidRDefault="54B6E299" w:rsidP="00872DC3">
      <w:pPr>
        <w:jc w:val="both"/>
        <w:rPr>
          <w:b/>
          <w:bCs/>
        </w:rPr>
      </w:pPr>
      <w:r w:rsidRPr="288A3578">
        <w:rPr>
          <w:b/>
          <w:bCs/>
        </w:rPr>
        <w:t>Adressaat</w:t>
      </w:r>
      <w:r w:rsidR="00C863B2">
        <w:rPr>
          <w:b/>
          <w:bCs/>
        </w:rPr>
        <w:t xml:space="preserve"> </w:t>
      </w:r>
      <w:r w:rsidR="00C863B2" w:rsidRPr="1688D34F">
        <w:rPr>
          <w:b/>
        </w:rPr>
        <w:t>|</w:t>
      </w:r>
      <w:r w:rsidRPr="288A3578">
        <w:rPr>
          <w:b/>
          <w:bCs/>
        </w:rPr>
        <w:t xml:space="preserve"> </w:t>
      </w:r>
      <w:r w:rsidRPr="00BE179D">
        <w:t>KOV-d.</w:t>
      </w:r>
    </w:p>
    <w:p w14:paraId="34E4D17B" w14:textId="586A3C4B" w:rsidR="00EB1648" w:rsidRDefault="54B6E299" w:rsidP="00872DC3">
      <w:pPr>
        <w:jc w:val="both"/>
      </w:pPr>
      <w:r w:rsidRPr="1C92C443">
        <w:rPr>
          <w:b/>
          <w:bCs/>
        </w:rPr>
        <w:t>Põhjendus</w:t>
      </w:r>
      <w:r w:rsidR="00C863B2">
        <w:rPr>
          <w:b/>
          <w:bCs/>
        </w:rPr>
        <w:t xml:space="preserve"> </w:t>
      </w:r>
      <w:r w:rsidR="00C863B2" w:rsidRPr="1688D34F">
        <w:rPr>
          <w:b/>
        </w:rPr>
        <w:t>|</w:t>
      </w:r>
      <w:r w:rsidRPr="1C92C443">
        <w:rPr>
          <w:b/>
          <w:bCs/>
        </w:rPr>
        <w:t xml:space="preserve"> </w:t>
      </w:r>
      <w:r>
        <w:t xml:space="preserve">Majanduslikust vaatenurgast hakatakse eluruumides majutusteenust osutama sellepärast, et see on </w:t>
      </w:r>
      <w:r w:rsidR="00437CA7">
        <w:t>rahaliselt</w:t>
      </w:r>
      <w:r>
        <w:t xml:space="preserve"> tasuvam, kui seda pikaajaliselt välja üürida ehk ilmneb positiivse välismõju probleem, mille tulemusel pikaajaline üürimine on rahaliselt vähem tasuvam. </w:t>
      </w:r>
      <w:r w:rsidR="00A16635">
        <w:t>Tagajärjeks võib olla</w:t>
      </w:r>
      <w:r w:rsidR="003F71DD">
        <w:t xml:space="preserve"> eluruumide madalam kättesaadavus, </w:t>
      </w:r>
      <w:r w:rsidR="006D0499">
        <w:t>kohalike elanike</w:t>
      </w:r>
      <w:r w:rsidR="00D91B73">
        <w:t xml:space="preserve"> häiri</w:t>
      </w:r>
      <w:r w:rsidR="00F56280">
        <w:t>mine</w:t>
      </w:r>
      <w:r w:rsidR="00D91B73">
        <w:t xml:space="preserve"> (nt suurem müra, rohkem prügi</w:t>
      </w:r>
      <w:r w:rsidR="00F56280">
        <w:t>, parkimisprobleemid</w:t>
      </w:r>
      <w:r w:rsidR="00D91B73">
        <w:t xml:space="preserve">). </w:t>
      </w:r>
      <w:r>
        <w:t>Tüüpiline lahendus positiivsete välismõjude korrigeerimiseks on erinevad rahalised stiimulid ja toetused</w:t>
      </w:r>
      <w:r w:rsidR="00275B78">
        <w:t>.</w:t>
      </w:r>
      <w:r>
        <w:t xml:space="preserve"> </w:t>
      </w:r>
      <w:r w:rsidR="00AC4BE8">
        <w:t xml:space="preserve">Näiteks võib kohalik omavalitsus </w:t>
      </w:r>
      <w:r w:rsidR="00CC1951">
        <w:t>aidata rahastada kortermaja renoveerimist</w:t>
      </w:r>
      <w:r w:rsidR="003A1845">
        <w:t xml:space="preserve"> või rajada kergliiklustee</w:t>
      </w:r>
      <w:r w:rsidR="00CC1951">
        <w:t xml:space="preserve">, kui </w:t>
      </w:r>
      <w:r w:rsidR="009467B5">
        <w:t>ühistu otsustab lühiajalise üüri teenust selles majas mitte pakkuda</w:t>
      </w:r>
      <w:r w:rsidR="003A1845">
        <w:t xml:space="preserve"> või pakkuda seda </w:t>
      </w:r>
      <w:r w:rsidR="003671C3">
        <w:t xml:space="preserve">teatud kokkulepitud reegleid </w:t>
      </w:r>
      <w:r w:rsidR="4BCFA2BE">
        <w:t xml:space="preserve">järgides </w:t>
      </w:r>
      <w:r w:rsidR="003671C3">
        <w:t>(</w:t>
      </w:r>
      <w:r w:rsidR="00FA4924">
        <w:t xml:space="preserve">nt </w:t>
      </w:r>
      <w:r w:rsidR="00A47164">
        <w:t>minimaalne ööbimise pikkus</w:t>
      </w:r>
      <w:r w:rsidR="00FA4924">
        <w:t>,</w:t>
      </w:r>
      <w:r w:rsidR="00A47164">
        <w:t xml:space="preserve"> maksimaalne voodikohtade arv või</w:t>
      </w:r>
      <w:r w:rsidR="00FA4924">
        <w:t xml:space="preserve"> teenuse osutaja põhielukoha nõue</w:t>
      </w:r>
      <w:r w:rsidR="00505E60">
        <w:t xml:space="preserve"> vms</w:t>
      </w:r>
      <w:r w:rsidR="00FA4924">
        <w:t>)</w:t>
      </w:r>
      <w:r w:rsidR="009467B5">
        <w:t>.</w:t>
      </w:r>
      <w:r w:rsidR="00CC1951">
        <w:t xml:space="preserve"> </w:t>
      </w:r>
    </w:p>
    <w:p w14:paraId="0E7DFCCA" w14:textId="4A1A7B11" w:rsidR="00872DC3" w:rsidRPr="00E14EBC" w:rsidRDefault="00EB1648" w:rsidP="00872DC3">
      <w:pPr>
        <w:jc w:val="both"/>
      </w:pPr>
      <w:r>
        <w:t>Rahaliste stiimulite rakendamine</w:t>
      </w:r>
      <w:r w:rsidR="54B6E299">
        <w:t xml:space="preserve"> on fiskaalselt kuluka</w:t>
      </w:r>
      <w:r>
        <w:t>s</w:t>
      </w:r>
      <w:r w:rsidR="54B6E299">
        <w:t>, kuid võimalda</w:t>
      </w:r>
      <w:r>
        <w:t>b</w:t>
      </w:r>
      <w:r w:rsidR="54B6E299">
        <w:t xml:space="preserve"> vältida erinevate keeldude ja piirangute kehtestamis</w:t>
      </w:r>
      <w:r w:rsidR="00544259">
        <w:t>t</w:t>
      </w:r>
      <w:r w:rsidR="54B6E299">
        <w:t xml:space="preserve">, millega kaasneb samamoodi, veidi küll varjatumal moel, omavalitsustele majanduslik koormus nende regulatsioonide järelevalve korraldamisel. </w:t>
      </w:r>
      <w:r w:rsidR="0095579D">
        <w:t>Kui</w:t>
      </w:r>
      <w:r w:rsidR="54B6E299">
        <w:t xml:space="preserve"> regulatiivsete piirangute kehtestamine</w:t>
      </w:r>
      <w:r w:rsidR="00C43C43">
        <w:t xml:space="preserve"> (mida käsitleme allpool)</w:t>
      </w:r>
      <w:r w:rsidR="54B6E299">
        <w:t xml:space="preserve"> </w:t>
      </w:r>
      <w:r w:rsidR="00C43C43">
        <w:t xml:space="preserve">tähendaks </w:t>
      </w:r>
      <w:r w:rsidR="54B6E299">
        <w:t xml:space="preserve">sisuliselt </w:t>
      </w:r>
      <w:r w:rsidR="00522E2B">
        <w:t xml:space="preserve">ka </w:t>
      </w:r>
      <w:r w:rsidR="54B6E299">
        <w:t>elanike teatud liik</w:t>
      </w:r>
      <w:r w:rsidR="39F52616">
        <w:t>i</w:t>
      </w:r>
      <w:r w:rsidR="54B6E299">
        <w:t xml:space="preserve"> käitumise</w:t>
      </w:r>
      <w:r w:rsidR="0643CA41">
        <w:t>le</w:t>
      </w:r>
      <w:r w:rsidR="54B6E299">
        <w:t xml:space="preserve"> sundimist, mis oma olemuselt on kõige äärmuslikum sekkumise vorm</w:t>
      </w:r>
      <w:r w:rsidR="00C43C43">
        <w:t>, siis</w:t>
      </w:r>
      <w:r w:rsidR="54B6E299">
        <w:t xml:space="preserve"> stiimulite loomi</w:t>
      </w:r>
      <w:r w:rsidR="00843221">
        <w:t xml:space="preserve">ne aitab tulemusi saavutada </w:t>
      </w:r>
      <w:r w:rsidR="00D75769">
        <w:t>turupõhiste vahenditega. S</w:t>
      </w:r>
      <w:r w:rsidR="54B6E299">
        <w:t>eda</w:t>
      </w:r>
      <w:r w:rsidR="00D75769">
        <w:t xml:space="preserve"> peaks</w:t>
      </w:r>
      <w:r w:rsidR="00544259">
        <w:t xml:space="preserve"> aga</w:t>
      </w:r>
      <w:r w:rsidR="54B6E299">
        <w:t xml:space="preserve"> tegema pikaajalise programmi alusel, lühiajaliselt ja juhuslikult seda rakendades see häid ja nähtavaid tulemusi ei anna.</w:t>
      </w:r>
      <w:r w:rsidR="00D84047">
        <w:t xml:space="preserve"> Kuna stiimulite rakendamine on pikaajaline</w:t>
      </w:r>
      <w:r w:rsidR="007666B3">
        <w:t xml:space="preserve"> protsess, siis on see kõige sobilikum eelkõige probleemide ennetamisel</w:t>
      </w:r>
      <w:r w:rsidR="00D26619">
        <w:t>.</w:t>
      </w:r>
      <w:r w:rsidR="007666B3">
        <w:t xml:space="preserve"> </w:t>
      </w:r>
      <w:r w:rsidR="00D26619">
        <w:t xml:space="preserve">Näiteks </w:t>
      </w:r>
      <w:r w:rsidR="007666B3">
        <w:t>kui mingi</w:t>
      </w:r>
      <w:r w:rsidR="00A31805">
        <w:t>s piirkonnas soovitakse vältida lühiajalise üüri teenuse suurt levikut ja säilitada se</w:t>
      </w:r>
      <w:r w:rsidR="009E4F6B">
        <w:t>e pigem</w:t>
      </w:r>
      <w:r w:rsidR="00A31805">
        <w:t xml:space="preserve"> kohalike elanike</w:t>
      </w:r>
      <w:r w:rsidR="009E4F6B">
        <w:t xml:space="preserve"> piirkonnana</w:t>
      </w:r>
      <w:r w:rsidR="00D26619">
        <w:t xml:space="preserve"> või kohalike elanike </w:t>
      </w:r>
      <w:r w:rsidR="00D26619">
        <w:lastRenderedPageBreak/>
        <w:t>osakaalu suurendada, võiks kaaluda ka potentsiaalseid rahalisi stiimuleid selle arengu toetamiseks</w:t>
      </w:r>
      <w:r w:rsidR="009E4F6B">
        <w:t>.</w:t>
      </w:r>
      <w:r w:rsidR="00A31805">
        <w:t xml:space="preserve"> </w:t>
      </w:r>
    </w:p>
    <w:p w14:paraId="58047DE7" w14:textId="2792EAC4" w:rsidR="002D551D" w:rsidRDefault="54B6E299" w:rsidP="00872DC3">
      <w:pPr>
        <w:jc w:val="both"/>
      </w:pPr>
      <w:r w:rsidRPr="288A3578">
        <w:rPr>
          <w:b/>
          <w:bCs/>
        </w:rPr>
        <w:t>Mõjud</w:t>
      </w:r>
      <w:r w:rsidR="00C863B2">
        <w:rPr>
          <w:b/>
          <w:bCs/>
        </w:rPr>
        <w:t xml:space="preserve"> </w:t>
      </w:r>
      <w:r w:rsidR="00C863B2" w:rsidRPr="1688D34F">
        <w:rPr>
          <w:b/>
        </w:rPr>
        <w:t>|</w:t>
      </w:r>
      <w:r w:rsidRPr="288A3578">
        <w:rPr>
          <w:b/>
          <w:bCs/>
        </w:rPr>
        <w:t xml:space="preserve"> </w:t>
      </w:r>
      <w:r>
        <w:t>Mõjud avalduvad vastavalt valitud sekkumisele</w:t>
      </w:r>
      <w:r w:rsidR="00C77B0A">
        <w:t>.</w:t>
      </w:r>
      <w:r w:rsidR="009243A0">
        <w:rPr>
          <w:rStyle w:val="FootnoteReference"/>
        </w:rPr>
        <w:footnoteReference w:id="174"/>
      </w:r>
      <w:r>
        <w:t xml:space="preserve"> </w:t>
      </w:r>
      <w:r w:rsidR="3F7F7C06">
        <w:t xml:space="preserve">Seda liiki sekkumised </w:t>
      </w:r>
      <w:r w:rsidR="74C76033">
        <w:t>tunduvad sageli</w:t>
      </w:r>
      <w:r w:rsidR="3F7F7C06">
        <w:t xml:space="preserve"> küll</w:t>
      </w:r>
      <w:r w:rsidR="74C76033">
        <w:t xml:space="preserve"> poliitikakujundajatele</w:t>
      </w:r>
      <w:r w:rsidR="58F4F7E1">
        <w:t xml:space="preserve"> finantsiliselt koormavamad</w:t>
      </w:r>
      <w:r w:rsidR="3F7F7C06">
        <w:t xml:space="preserve"> </w:t>
      </w:r>
      <w:r w:rsidR="58F4F7E1">
        <w:t>erinevalt laiapõhjaliste keeldude ja tasude kehtestamise</w:t>
      </w:r>
      <w:r w:rsidR="7855BD5D">
        <w:t>st</w:t>
      </w:r>
      <w:r w:rsidR="3A1100DF">
        <w:t xml:space="preserve">, </w:t>
      </w:r>
      <w:r w:rsidR="58F4F7E1">
        <w:t>kuid nende tulemuslikkus</w:t>
      </w:r>
      <w:r w:rsidR="36691AB7">
        <w:t xml:space="preserve">e saavutamine </w:t>
      </w:r>
      <w:r w:rsidR="010D390D">
        <w:t xml:space="preserve">on </w:t>
      </w:r>
      <w:r w:rsidR="36691AB7">
        <w:t xml:space="preserve">lihtsam, kuna </w:t>
      </w:r>
      <w:r w:rsidR="125AAD10">
        <w:t xml:space="preserve">inimeste käitumist </w:t>
      </w:r>
      <w:r w:rsidR="18C0A65F">
        <w:t xml:space="preserve">on </w:t>
      </w:r>
      <w:r w:rsidR="125AAD10">
        <w:t>läbi stiimulite lihtsam muuta. Lisaks, võrreldes keeldude ja piirangute</w:t>
      </w:r>
      <w:r w:rsidR="7F8E20FE">
        <w:t>ga</w:t>
      </w:r>
      <w:r w:rsidR="6F0E4BF5">
        <w:t xml:space="preserve"> on selle meetme puhul järelevalve koormus väiksem</w:t>
      </w:r>
      <w:r w:rsidR="74379EA0">
        <w:t xml:space="preserve"> ja tegemist on väga täpselt sihistatud sekkumisega.</w:t>
      </w:r>
      <w:r w:rsidR="1D82644C">
        <w:t xml:space="preserve"> </w:t>
      </w:r>
    </w:p>
    <w:p w14:paraId="45C6D89B" w14:textId="5D3B803E" w:rsidR="00872DC3" w:rsidRPr="00E14EBC" w:rsidRDefault="00F8406A" w:rsidP="00872DC3">
      <w:pPr>
        <w:jc w:val="both"/>
        <w:rPr>
          <w:b/>
          <w:bCs/>
        </w:rPr>
      </w:pPr>
      <w:r>
        <w:t>S</w:t>
      </w:r>
      <w:r w:rsidR="290573E3">
        <w:t xml:space="preserve">eda meedet </w:t>
      </w:r>
      <w:r w:rsidR="6B572E42">
        <w:t xml:space="preserve">saab </w:t>
      </w:r>
      <w:r w:rsidR="290573E3">
        <w:t xml:space="preserve">rakendada viisil, mis saavutab kaks eesmärki samaaegselt. Kui nt planeeritakse </w:t>
      </w:r>
      <w:r w:rsidR="72BE4C3C">
        <w:t xml:space="preserve">igal juhul </w:t>
      </w:r>
      <w:r w:rsidR="004A2F32">
        <w:t>maksta</w:t>
      </w:r>
      <w:r w:rsidR="290573E3">
        <w:t xml:space="preserve"> toetusi </w:t>
      </w:r>
      <w:r w:rsidR="004A2F32">
        <w:t xml:space="preserve">korteriühistutele </w:t>
      </w:r>
      <w:r w:rsidR="72BE4C3C">
        <w:t xml:space="preserve">linnakeskkonna arendamise eesmärgil </w:t>
      </w:r>
      <w:r w:rsidR="736769E5">
        <w:t xml:space="preserve">või </w:t>
      </w:r>
      <w:r w:rsidR="5813FE19">
        <w:t xml:space="preserve">rahastada </w:t>
      </w:r>
      <w:r w:rsidR="736769E5">
        <w:t>arendusi, mis teatud piirkonna elanikke vahetult mõjuta</w:t>
      </w:r>
      <w:r w:rsidR="66F4BA32">
        <w:t>vad</w:t>
      </w:r>
      <w:r w:rsidR="3B80F7D1">
        <w:t xml:space="preserve"> (parkide rajamine/korrastamine, </w:t>
      </w:r>
      <w:r w:rsidR="7F059621">
        <w:t>kergliiklusteede rajamine jms)</w:t>
      </w:r>
      <w:r w:rsidR="72BE4C3C">
        <w:t>, saaks</w:t>
      </w:r>
      <w:r w:rsidR="00BC4E56">
        <w:t xml:space="preserve"> </w:t>
      </w:r>
      <w:r w:rsidR="00CC6FC2">
        <w:t>toetuste saamise</w:t>
      </w:r>
      <w:r w:rsidR="00714AA4">
        <w:t>ks</w:t>
      </w:r>
      <w:r w:rsidR="00CC6FC2">
        <w:t xml:space="preserve"> seada </w:t>
      </w:r>
      <w:r w:rsidR="00714AA4">
        <w:t>täiendavad nõuded lühiajalise üürimisega seonduvalt.</w:t>
      </w:r>
      <w:r w:rsidR="001147E5">
        <w:t xml:space="preserve"> </w:t>
      </w:r>
      <w:r w:rsidR="00C83EF3">
        <w:t>Seega kui ühistu liikmetel on valida, kas jätkata lühiajalise üüri teenuse pakkumist või tõsta oma korteriomandi väärtust</w:t>
      </w:r>
      <w:r w:rsidR="00BE0BF7">
        <w:t xml:space="preserve"> KOV-i toel renoveerides,</w:t>
      </w:r>
      <w:r w:rsidR="004E6976">
        <w:t xml:space="preserve"> võidakse pigem otsustada renoveerimise kasuks.</w:t>
      </w:r>
      <w:r w:rsidR="00545EBE">
        <w:t xml:space="preserve"> Samas jätab see neile endiselt vaba valiku ja kui nende kasu lühiajalisest üürimisest on niivõrd suur, et eelistatakse seda, on see ka </w:t>
      </w:r>
      <w:r w:rsidR="00733EF1">
        <w:t xml:space="preserve">üldjuhul </w:t>
      </w:r>
      <w:r w:rsidR="00545EBE">
        <w:t>ühiskondlikus vaates õige otsus.</w:t>
      </w:r>
      <w:r w:rsidR="004E6976">
        <w:t xml:space="preserve"> </w:t>
      </w:r>
      <w:r w:rsidR="00733EF1">
        <w:t>Sisuliselt aitab s</w:t>
      </w:r>
      <w:r w:rsidR="00545EBE">
        <w:t>elline stiimulite süsteem lühiajalise</w:t>
      </w:r>
      <w:r w:rsidR="006B3A7D">
        <w:t>st</w:t>
      </w:r>
      <w:r w:rsidR="00545EBE">
        <w:t xml:space="preserve"> üürimise</w:t>
      </w:r>
      <w:r w:rsidR="006B3A7D">
        <w:t>st loobumisega</w:t>
      </w:r>
      <w:r w:rsidR="00545EBE">
        <w:t xml:space="preserve"> kaasnevate positiivsete välismõjude</w:t>
      </w:r>
      <w:r w:rsidR="006B3A7D">
        <w:t xml:space="preserve"> (vähem häiringuid, </w:t>
      </w:r>
      <w:r w:rsidR="003A61B9">
        <w:t>eluruumide suurem kättesaadavus jne)</w:t>
      </w:r>
      <w:r w:rsidR="00545EBE">
        <w:t xml:space="preserve"> kompenseerimist </w:t>
      </w:r>
      <w:r w:rsidR="006B3A7D">
        <w:t>korteriomanikele</w:t>
      </w:r>
      <w:r w:rsidR="003A61B9">
        <w:t>.</w:t>
      </w:r>
      <w:r w:rsidR="72BE4C3C">
        <w:t xml:space="preserve"> </w:t>
      </w:r>
      <w:r w:rsidR="66C8D874">
        <w:t xml:space="preserve">Seega </w:t>
      </w:r>
      <w:r w:rsidR="003A61B9">
        <w:t>kokkuvõttes</w:t>
      </w:r>
      <w:r w:rsidR="66C8D874">
        <w:t xml:space="preserve"> võib see meede ka finantsiliselt osutuda väga kulutõhusaks.</w:t>
      </w:r>
      <w:r w:rsidR="3A1100DF">
        <w:t xml:space="preserve"> </w:t>
      </w:r>
    </w:p>
    <w:p w14:paraId="78709656" w14:textId="4A451BDF" w:rsidR="00872DC3" w:rsidRPr="00E14EBC" w:rsidRDefault="00872DC3" w:rsidP="00872DC3">
      <w:pPr>
        <w:jc w:val="both"/>
        <w:rPr>
          <w:b/>
          <w:bCs/>
        </w:rPr>
      </w:pPr>
      <w:r w:rsidRPr="00E14EBC">
        <w:rPr>
          <w:b/>
          <w:bCs/>
        </w:rPr>
        <w:t>Soovitav elluviimise periood</w:t>
      </w:r>
      <w:r w:rsidR="00C863B2">
        <w:rPr>
          <w:b/>
          <w:bCs/>
        </w:rPr>
        <w:t xml:space="preserve"> </w:t>
      </w:r>
      <w:r w:rsidR="00C863B2" w:rsidRPr="1688D34F">
        <w:rPr>
          <w:b/>
        </w:rPr>
        <w:t>|</w:t>
      </w:r>
      <w:r w:rsidRPr="00E14EBC">
        <w:rPr>
          <w:b/>
          <w:bCs/>
        </w:rPr>
        <w:t xml:space="preserve"> </w:t>
      </w:r>
      <w:r w:rsidRPr="00E14EBC">
        <w:t>Vastavalt vajadusele.</w:t>
      </w:r>
    </w:p>
    <w:p w14:paraId="1540FCEA" w14:textId="584B1C77" w:rsidR="00BA57F0" w:rsidRPr="00102F68" w:rsidRDefault="00E71C1E" w:rsidP="00102F68">
      <w:pPr>
        <w:jc w:val="both"/>
      </w:pPr>
      <w:r>
        <w:rPr>
          <w:b/>
          <w:bCs/>
        </w:rPr>
        <w:t>Sekkumise rahaline kulu</w:t>
      </w:r>
      <w:r w:rsidR="00C863B2">
        <w:rPr>
          <w:b/>
          <w:bCs/>
        </w:rPr>
        <w:t xml:space="preserve"> </w:t>
      </w:r>
      <w:r w:rsidR="00C863B2" w:rsidRPr="1688D34F">
        <w:rPr>
          <w:b/>
        </w:rPr>
        <w:t>|</w:t>
      </w:r>
      <w:r w:rsidR="00872DC3" w:rsidRPr="00E14EBC">
        <w:rPr>
          <w:b/>
          <w:bCs/>
        </w:rPr>
        <w:t xml:space="preserve"> </w:t>
      </w:r>
      <w:r w:rsidR="00872DC3" w:rsidRPr="00E14EBC">
        <w:t xml:space="preserve">Vastavalt stiimulile tuleks </w:t>
      </w:r>
      <w:r w:rsidR="0000178C">
        <w:t xml:space="preserve">kulu </w:t>
      </w:r>
      <w:r w:rsidR="00872DC3" w:rsidRPr="00E14EBC">
        <w:t xml:space="preserve">eraldi hinnata, </w:t>
      </w:r>
      <w:r w:rsidR="0000178C">
        <w:t xml:space="preserve">aga </w:t>
      </w:r>
      <w:r w:rsidR="00872DC3" w:rsidRPr="00E14EBC">
        <w:t>neid saaks omavalitsus rakendada eelarvevõimalustest ja oma strateegilistest eesmärkidest lähtuvalt</w:t>
      </w:r>
      <w:r w:rsidR="002F36DC">
        <w:t xml:space="preserve"> ning sõltuvalt sellest, kui suurt stiimulit on soovitud muutuse saavutamiseks vaja rakendada.</w:t>
      </w:r>
    </w:p>
    <w:p w14:paraId="29C003A9" w14:textId="0C8602CA" w:rsidR="00872DC3" w:rsidRPr="00E14EBC" w:rsidRDefault="54B6E299" w:rsidP="00F754B8">
      <w:pPr>
        <w:pStyle w:val="Heading3"/>
        <w:ind w:left="540"/>
        <w:rPr>
          <w:rFonts w:hint="eastAsia"/>
        </w:rPr>
      </w:pPr>
      <w:bookmarkStart w:id="149" w:name="_Toc208991637"/>
      <w:r>
        <w:t>Kohalike</w:t>
      </w:r>
      <w:r w:rsidR="6540A37A">
        <w:t>le</w:t>
      </w:r>
      <w:r>
        <w:t xml:space="preserve"> omavalitsuste</w:t>
      </w:r>
      <w:r w:rsidR="118AAE98">
        <w:t>le</w:t>
      </w:r>
      <w:r w:rsidR="0A90094D">
        <w:t xml:space="preserve"> uute</w:t>
      </w:r>
      <w:r>
        <w:t xml:space="preserve"> õiguslik</w:t>
      </w:r>
      <w:r w:rsidR="0A90094D">
        <w:t>e</w:t>
      </w:r>
      <w:r>
        <w:t xml:space="preserve"> võimalus</w:t>
      </w:r>
      <w:r w:rsidR="0A90094D">
        <w:t>t</w:t>
      </w:r>
      <w:r>
        <w:t>e</w:t>
      </w:r>
      <w:r w:rsidR="0A90094D">
        <w:t xml:space="preserve"> andmine</w:t>
      </w:r>
      <w:bookmarkEnd w:id="149"/>
      <w:r w:rsidR="0A90094D">
        <w:t xml:space="preserve"> </w:t>
      </w:r>
    </w:p>
    <w:p w14:paraId="55B67EF3" w14:textId="5653D9D6" w:rsidR="005E48AD" w:rsidRPr="00543472" w:rsidRDefault="54B6E299" w:rsidP="00872DC3">
      <w:pPr>
        <w:jc w:val="both"/>
      </w:pPr>
      <w:r w:rsidRPr="00E14EBC">
        <w:rPr>
          <w:b/>
          <w:bCs/>
        </w:rPr>
        <w:t>Teema</w:t>
      </w:r>
      <w:r w:rsidR="008C30DF">
        <w:rPr>
          <w:b/>
          <w:bCs/>
        </w:rPr>
        <w:t xml:space="preserve"> </w:t>
      </w:r>
      <w:r w:rsidR="008C30DF" w:rsidRPr="1688D34F">
        <w:rPr>
          <w:b/>
        </w:rPr>
        <w:t>|</w:t>
      </w:r>
      <w:r w:rsidR="008C30DF" w:rsidRPr="00E14EBC">
        <w:rPr>
          <w:b/>
          <w:bCs/>
        </w:rPr>
        <w:t xml:space="preserve"> </w:t>
      </w:r>
      <w:r w:rsidRPr="00E14EBC">
        <w:t xml:space="preserve">Eestis on </w:t>
      </w:r>
      <w:r w:rsidR="003724E4">
        <w:t>üksikutes</w:t>
      </w:r>
      <w:r w:rsidR="003724E4" w:rsidRPr="00E14EBC">
        <w:t xml:space="preserve"> </w:t>
      </w:r>
      <w:r w:rsidR="003724E4">
        <w:t>linnades</w:t>
      </w:r>
      <w:r w:rsidR="003724E4" w:rsidRPr="00E14EBC">
        <w:t xml:space="preserve"> </w:t>
      </w:r>
      <w:r w:rsidRPr="00E14EBC">
        <w:t xml:space="preserve">juba </w:t>
      </w:r>
      <w:r w:rsidR="0029425A">
        <w:t xml:space="preserve">avaldunud mõned </w:t>
      </w:r>
      <w:r w:rsidRPr="00E14EBC">
        <w:t xml:space="preserve">klassikalised </w:t>
      </w:r>
      <w:r w:rsidR="0029425A" w:rsidRPr="00E14EBC">
        <w:t xml:space="preserve">lühiajalise üüri turuga </w:t>
      </w:r>
      <w:r w:rsidR="0029425A">
        <w:t xml:space="preserve">kaasnevad </w:t>
      </w:r>
      <w:r w:rsidRPr="00E14EBC">
        <w:t>probleemid</w:t>
      </w:r>
      <w:r w:rsidR="00572223">
        <w:t xml:space="preserve">, </w:t>
      </w:r>
      <w:r w:rsidR="00FC0518">
        <w:t>mis mõjuta</w:t>
      </w:r>
      <w:r w:rsidR="00557A41">
        <w:t>vad</w:t>
      </w:r>
      <w:r w:rsidR="00FC0518">
        <w:t xml:space="preserve"> negatiivselt</w:t>
      </w:r>
      <w:r w:rsidR="00A14D03">
        <w:t xml:space="preserve"> kohalike elanike elukeskkon</w:t>
      </w:r>
      <w:r w:rsidR="003724E4">
        <w:t>da</w:t>
      </w:r>
      <w:r w:rsidR="00FC0518">
        <w:t>.</w:t>
      </w:r>
      <w:r w:rsidRPr="00E14EBC">
        <w:t xml:space="preserve"> </w:t>
      </w:r>
      <w:r w:rsidR="001D56D5">
        <w:t xml:space="preserve">Näiteks </w:t>
      </w:r>
      <w:r w:rsidR="001D56D5" w:rsidRPr="00E14EBC">
        <w:t>Tallinna linn on seadnud eesmärgiks kujundada vanalinnas atraktiivne elukeskkond</w:t>
      </w:r>
      <w:r w:rsidR="001D56D5" w:rsidRPr="00E14EBC">
        <w:rPr>
          <w:rStyle w:val="FootnoteReference"/>
        </w:rPr>
        <w:footnoteReference w:id="175"/>
      </w:r>
      <w:r w:rsidR="005C131B">
        <w:t>,</w:t>
      </w:r>
      <w:r w:rsidR="001D56D5" w:rsidRPr="00E14EBC">
        <w:t xml:space="preserve"> </w:t>
      </w:r>
      <w:r w:rsidR="005C131B">
        <w:t xml:space="preserve">mille saavutamine tugeva suunava sekkumiseta paistab hetkeolukorda arvestades vähemalt lähiaastatel ebarealistlik. </w:t>
      </w:r>
      <w:r w:rsidR="001D56D5" w:rsidRPr="00E14EBC">
        <w:t xml:space="preserve">Kuid praegu kohalikel omavalitsustel klassikalisi poliitikainstrumente erinevate piirangute ja maksude vormis kasutada pole </w:t>
      </w:r>
      <w:r w:rsidR="005E48AD" w:rsidRPr="00E14EBC">
        <w:t xml:space="preserve">sisuliselt </w:t>
      </w:r>
      <w:r w:rsidR="001D56D5" w:rsidRPr="00E14EBC">
        <w:t>võimalik.</w:t>
      </w:r>
      <w:r w:rsidR="001D56D5">
        <w:t xml:space="preserve"> </w:t>
      </w:r>
      <w:r w:rsidRPr="00E14EBC">
        <w:t xml:space="preserve">Empiirilisi tõendeid leidsime </w:t>
      </w:r>
      <w:r w:rsidR="00B24041">
        <w:t xml:space="preserve">Eestis </w:t>
      </w:r>
      <w:r w:rsidRPr="00E14EBC">
        <w:t>ka mõjude kohta</w:t>
      </w:r>
      <w:r w:rsidR="0070632E">
        <w:t xml:space="preserve"> eluasemeturul</w:t>
      </w:r>
      <w:r w:rsidRPr="00E14EBC">
        <w:t xml:space="preserve">, </w:t>
      </w:r>
      <w:r w:rsidR="007D620B">
        <w:t>mille</w:t>
      </w:r>
      <w:r w:rsidR="007007F9">
        <w:t xml:space="preserve">le </w:t>
      </w:r>
      <w:r w:rsidR="007D620B">
        <w:t xml:space="preserve">on </w:t>
      </w:r>
      <w:r w:rsidR="007D620B" w:rsidRPr="00E14EBC">
        <w:t>lühiajalise üüri teenuse osutamisele</w:t>
      </w:r>
      <w:r w:rsidR="007D620B" w:rsidRPr="00E14EBC" w:rsidDel="007D620B">
        <w:t xml:space="preserve"> </w:t>
      </w:r>
      <w:r w:rsidRPr="00E14EBC">
        <w:t>erineva</w:t>
      </w:r>
      <w:r w:rsidR="007D620B">
        <w:t>te</w:t>
      </w:r>
      <w:r w:rsidRPr="00E14EBC">
        <w:t xml:space="preserve"> piirangu</w:t>
      </w:r>
      <w:r w:rsidR="007D620B">
        <w:t>te</w:t>
      </w:r>
      <w:r w:rsidRPr="00E14EBC">
        <w:t xml:space="preserve"> </w:t>
      </w:r>
      <w:r w:rsidR="007D620B" w:rsidRPr="00E14EBC">
        <w:t>kehtesta</w:t>
      </w:r>
      <w:r w:rsidR="007D620B">
        <w:t>misel</w:t>
      </w:r>
      <w:r w:rsidR="00831245">
        <w:t xml:space="preserve"> tuginetud paljudes Euroopa linnades</w:t>
      </w:r>
      <w:r w:rsidRPr="00E14EBC">
        <w:t xml:space="preserve">. </w:t>
      </w:r>
      <w:r w:rsidR="0061768E">
        <w:t>K</w:t>
      </w:r>
      <w:r w:rsidRPr="00E14EBC">
        <w:t xml:space="preserve">uigi eluruumide puudus pole Eestis veel kuigi akuutne probleem, võib siiski juba täheldada </w:t>
      </w:r>
      <w:r w:rsidR="00CB697F">
        <w:t xml:space="preserve">lühiajalise üürimise </w:t>
      </w:r>
      <w:r w:rsidRPr="00E14EBC">
        <w:t>väikest mõju nii pakkumisele kui ka hindadele pikaajalisel eluasemete turul.</w:t>
      </w:r>
      <w:r w:rsidR="001D56D5">
        <w:t xml:space="preserve"> See trend võib lähitulevikus </w:t>
      </w:r>
      <w:r w:rsidR="001D56D5">
        <w:lastRenderedPageBreak/>
        <w:t>veelgi süveneda</w:t>
      </w:r>
      <w:r w:rsidR="00222366">
        <w:t>, mistõttu peab omavalitsustele looma õiguslikud võimalused nendega vajadusel juba ennetavalt tegeleda.</w:t>
      </w:r>
    </w:p>
    <w:p w14:paraId="6939C7DD" w14:textId="6A74E23F" w:rsidR="00872DC3" w:rsidRDefault="54B6E299" w:rsidP="288A3578">
      <w:pPr>
        <w:jc w:val="both"/>
      </w:pPr>
      <w:r w:rsidRPr="288A3578">
        <w:rPr>
          <w:b/>
          <w:bCs/>
        </w:rPr>
        <w:t>Soovitus</w:t>
      </w:r>
      <w:r w:rsidR="008C30DF">
        <w:rPr>
          <w:b/>
          <w:bCs/>
        </w:rPr>
        <w:t xml:space="preserve"> </w:t>
      </w:r>
      <w:r w:rsidR="008C30DF" w:rsidRPr="1688D34F">
        <w:rPr>
          <w:b/>
        </w:rPr>
        <w:t>|</w:t>
      </w:r>
      <w:r w:rsidRPr="288A3578">
        <w:rPr>
          <w:b/>
          <w:bCs/>
        </w:rPr>
        <w:t xml:space="preserve"> </w:t>
      </w:r>
      <w:r w:rsidRPr="288A3578">
        <w:t>Luua KOV-dele õiguslik alus kohalikul tasandil regulatsioonide kehtestamiseks lühiajalise üüri turu teenuse osutamise suunamiseks</w:t>
      </w:r>
      <w:r w:rsidR="34FFA669" w:rsidRPr="288A3578">
        <w:t>,</w:t>
      </w:r>
      <w:r w:rsidRPr="288A3578">
        <w:t xml:space="preserve"> kohalike elanike huvide kaitsmisel</w:t>
      </w:r>
      <w:r w:rsidR="00102965">
        <w:t xml:space="preserve"> (nt eluaseme kättesaadavuse tagamisel, </w:t>
      </w:r>
      <w:r w:rsidR="00CA2E12">
        <w:t>atraktiivse elukeskkonna säilitamisel jne)</w:t>
      </w:r>
      <w:r w:rsidRPr="288A3578">
        <w:t xml:space="preserve"> ja </w:t>
      </w:r>
      <w:r w:rsidR="00CA2E12">
        <w:t xml:space="preserve">teiste </w:t>
      </w:r>
      <w:r w:rsidRPr="288A3578">
        <w:t>omavalitsusele seatud ülesannete täitmisel. Soovitame luua KOV-dele järgmised õiguslikud alused:</w:t>
      </w:r>
    </w:p>
    <w:p w14:paraId="68B55BB3" w14:textId="0878BA5A" w:rsidR="00872DC3" w:rsidRPr="00E14EBC" w:rsidRDefault="54B6E299" w:rsidP="288A3578">
      <w:pPr>
        <w:jc w:val="both"/>
      </w:pPr>
      <w:r w:rsidRPr="288A3578">
        <w:t xml:space="preserve">(i) </w:t>
      </w:r>
      <w:r w:rsidR="00951223">
        <w:t>MKM-il</w:t>
      </w:r>
      <w:r w:rsidR="00202453">
        <w:t xml:space="preserve"> koostöös </w:t>
      </w:r>
      <w:r w:rsidR="00951223">
        <w:t>REM-ga</w:t>
      </w:r>
      <w:r w:rsidR="0089157A">
        <w:t xml:space="preserve"> </w:t>
      </w:r>
      <w:r w:rsidR="00BF424B">
        <w:t xml:space="preserve">algatada </w:t>
      </w:r>
      <w:r w:rsidR="00DD7533">
        <w:t>TurS-i</w:t>
      </w:r>
      <w:r w:rsidR="002E4455">
        <w:t xml:space="preserve"> muutmine, millega</w:t>
      </w:r>
      <w:r w:rsidR="00E968CA">
        <w:t xml:space="preserve"> </w:t>
      </w:r>
      <w:r w:rsidR="00EB5987">
        <w:t>anda</w:t>
      </w:r>
      <w:r w:rsidR="00EB5987" w:rsidRPr="288A3578">
        <w:t xml:space="preserve"> </w:t>
      </w:r>
      <w:r w:rsidRPr="288A3578">
        <w:t>KOV-dele õigus</w:t>
      </w:r>
      <w:r w:rsidR="00F21C94">
        <w:t xml:space="preserve"> </w:t>
      </w:r>
      <w:r w:rsidRPr="288A3578">
        <w:t>rakendada lühiajalise üüri teenuse osutajatele</w:t>
      </w:r>
      <w:r w:rsidR="00483A97">
        <w:t xml:space="preserve"> </w:t>
      </w:r>
      <w:r w:rsidRPr="288A3578">
        <w:t>registreerimise kohustus</w:t>
      </w:r>
      <w:r w:rsidR="4B6B6908" w:rsidRPr="288A3578">
        <w:t xml:space="preserve">, kasutades ära </w:t>
      </w:r>
      <w:r w:rsidR="7FB47FDA" w:rsidRPr="288A3578">
        <w:t xml:space="preserve">praegu toimivat </w:t>
      </w:r>
      <w:r w:rsidR="007B1B8C">
        <w:t>TTJA</w:t>
      </w:r>
      <w:r w:rsidR="4F2E6A94" w:rsidRPr="288A3578">
        <w:t xml:space="preserve"> infosüsteemi põhist</w:t>
      </w:r>
      <w:r w:rsidR="187462E5" w:rsidRPr="288A3578">
        <w:t xml:space="preserve"> </w:t>
      </w:r>
      <w:r w:rsidR="7FB47FDA" w:rsidRPr="288A3578">
        <w:t xml:space="preserve">majandustegevuse registrit või </w:t>
      </w:r>
      <w:r w:rsidR="007B1B8C">
        <w:t>KOV-i</w:t>
      </w:r>
      <w:r w:rsidR="007B1B8C" w:rsidRPr="288A3578">
        <w:t xml:space="preserve"> </w:t>
      </w:r>
      <w:r w:rsidR="23D45F55" w:rsidRPr="288A3578">
        <w:t xml:space="preserve">enda kasutatavat </w:t>
      </w:r>
      <w:r w:rsidR="09A3848B">
        <w:t xml:space="preserve">infosüsteemi </w:t>
      </w:r>
      <w:r w:rsidR="1ECFA298">
        <w:t xml:space="preserve">või </w:t>
      </w:r>
      <w:r w:rsidR="4C6EA6C3">
        <w:t>luua</w:t>
      </w:r>
      <w:r w:rsidR="23D45F55" w:rsidRPr="288A3578">
        <w:t xml:space="preserve"> selleks otstarbeks eraldi infosüsteem</w:t>
      </w:r>
      <w:r w:rsidR="153CC664" w:rsidRPr="288A3578">
        <w:t>.</w:t>
      </w:r>
      <w:r w:rsidR="7FB47FDA" w:rsidRPr="288A3578">
        <w:t xml:space="preserve"> </w:t>
      </w:r>
    </w:p>
    <w:p w14:paraId="108BC9E2" w14:textId="575436EA" w:rsidR="00872DC3" w:rsidRPr="00E14EBC" w:rsidRDefault="54B6E299" w:rsidP="288A3578">
      <w:pPr>
        <w:jc w:val="both"/>
      </w:pPr>
      <w:r w:rsidRPr="288A3578">
        <w:t xml:space="preserve">(ii) </w:t>
      </w:r>
      <w:r w:rsidR="007B1B8C">
        <w:t xml:space="preserve">RM-i </w:t>
      </w:r>
      <w:r w:rsidR="008D65E9">
        <w:t>eestvedamisel kaaluda</w:t>
      </w:r>
      <w:r w:rsidRPr="288A3578">
        <w:t xml:space="preserve"> kohalike maksude seaduse</w:t>
      </w:r>
      <w:r w:rsidR="003B7241">
        <w:t xml:space="preserve"> täiendamist,</w:t>
      </w:r>
      <w:r w:rsidR="007752FA">
        <w:t xml:space="preserve"> andes KOV-dele</w:t>
      </w:r>
      <w:r w:rsidRPr="288A3578">
        <w:t xml:space="preserve"> lisaks reklaamimaksu</w:t>
      </w:r>
      <w:r w:rsidR="00473EB1">
        <w:t>le</w:t>
      </w:r>
      <w:r w:rsidRPr="288A3578">
        <w:t>, teede ja tänavete sulgemise maksu</w:t>
      </w:r>
      <w:r w:rsidR="00473EB1">
        <w:t>le</w:t>
      </w:r>
      <w:r w:rsidRPr="288A3578">
        <w:t>, loomapidamismaksu</w:t>
      </w:r>
      <w:r w:rsidR="00473EB1">
        <w:t>le</w:t>
      </w:r>
      <w:r w:rsidRPr="288A3578">
        <w:t>, lõbustusmaksu</w:t>
      </w:r>
      <w:r w:rsidR="00473EB1">
        <w:t>le</w:t>
      </w:r>
      <w:r w:rsidRPr="288A3578">
        <w:t xml:space="preserve"> ja parkimistasu</w:t>
      </w:r>
      <w:r w:rsidR="00473EB1">
        <w:t>le</w:t>
      </w:r>
      <w:r w:rsidR="007752FA">
        <w:t xml:space="preserve"> </w:t>
      </w:r>
      <w:r w:rsidR="00377D54">
        <w:t>võimalus kehtestada</w:t>
      </w:r>
      <w:r w:rsidRPr="288A3578">
        <w:t xml:space="preserve"> eluruumis majutusteenuse osutamise tasu. Maksu kirjeldavasse paragrahvi tuleb sätestada KOV-i õigus otsustada, millisele KOV-i piirkonnale </w:t>
      </w:r>
      <w:r w:rsidR="00AC0CE1">
        <w:t xml:space="preserve">ning kui suur </w:t>
      </w:r>
      <w:r w:rsidRPr="288A3578">
        <w:t>tasu kehtestada. Vastavalt tuleb muuta maksukohustuslaste registri põhimäärust ja luua sinna majutusteenus</w:t>
      </w:r>
      <w:r w:rsidR="00DA4776">
        <w:t>e</w:t>
      </w:r>
      <w:r w:rsidRPr="288A3578">
        <w:t xml:space="preserve"> tasu rakendus. </w:t>
      </w:r>
    </w:p>
    <w:p w14:paraId="5DCC8D23" w14:textId="1B0A74CC" w:rsidR="00872DC3" w:rsidRPr="00E14EBC" w:rsidRDefault="54B6E299" w:rsidP="288A3578">
      <w:pPr>
        <w:jc w:val="both"/>
      </w:pPr>
      <w:r w:rsidRPr="288A3578">
        <w:t xml:space="preserve">(iii) </w:t>
      </w:r>
      <w:r w:rsidR="00AC0CE1">
        <w:t>MKM-il</w:t>
      </w:r>
      <w:r w:rsidR="00EE7DA6">
        <w:t xml:space="preserve"> algatada </w:t>
      </w:r>
      <w:r w:rsidR="00DD7533">
        <w:t>TurS-i</w:t>
      </w:r>
      <w:r w:rsidR="00EE7DA6">
        <w:t xml:space="preserve"> muutmine, millega </w:t>
      </w:r>
      <w:r w:rsidR="001307C0">
        <w:t xml:space="preserve">anda </w:t>
      </w:r>
      <w:r w:rsidR="00EE7DA6">
        <w:t xml:space="preserve">KOV-dele õigus </w:t>
      </w:r>
      <w:r w:rsidR="00B230F8">
        <w:t xml:space="preserve">rakendada </w:t>
      </w:r>
      <w:r w:rsidR="00AC0CE1">
        <w:t xml:space="preserve">KOV-i </w:t>
      </w:r>
      <w:r w:rsidR="00B230F8">
        <w:t>territooriumil piiranguid</w:t>
      </w:r>
      <w:r w:rsidR="007D1FCF">
        <w:t xml:space="preserve"> </w:t>
      </w:r>
      <w:r w:rsidR="002315D4">
        <w:t xml:space="preserve">eluruumides </w:t>
      </w:r>
      <w:r w:rsidRPr="288A3578">
        <w:t>majutusteenuse osutamise</w:t>
      </w:r>
      <w:r w:rsidR="00193E54">
        <w:t>l</w:t>
      </w:r>
      <w:r w:rsidR="003727D4">
        <w:t xml:space="preserve"> v</w:t>
      </w:r>
      <w:r w:rsidRPr="288A3578">
        <w:t xml:space="preserve">astavalt hoone kasutusotstarbele ja elanike turvalisusele. </w:t>
      </w:r>
      <w:r w:rsidR="002F6EB9">
        <w:t>Siin on mõeldud</w:t>
      </w:r>
      <w:r w:rsidR="00307EE0">
        <w:t xml:space="preserve"> eelkõige</w:t>
      </w:r>
      <w:r w:rsidRPr="288A3578">
        <w:t xml:space="preserve"> KOV-i õigust kehtestada</w:t>
      </w:r>
      <w:r w:rsidR="00AB45F1">
        <w:t xml:space="preserve"> lühiajalise üüri teenuse</w:t>
      </w:r>
      <w:r w:rsidRPr="288A3578">
        <w:t xml:space="preserve"> tsoone, kus lühiajalist üüri teenus</w:t>
      </w:r>
      <w:r w:rsidR="227EFA15" w:rsidRPr="288A3578">
        <w:t>t</w:t>
      </w:r>
      <w:r w:rsidRPr="288A3578">
        <w:t xml:space="preserve"> eluruumide</w:t>
      </w:r>
      <w:r w:rsidR="04BFC38F" w:rsidRPr="288A3578">
        <w:t>s</w:t>
      </w:r>
      <w:r w:rsidRPr="288A3578">
        <w:t xml:space="preserve"> osutada ei tohi</w:t>
      </w:r>
      <w:r w:rsidR="788514A1" w:rsidRPr="288A3578">
        <w:t>.</w:t>
      </w:r>
      <w:r w:rsidR="035FC89A" w:rsidRPr="288A3578">
        <w:t xml:space="preserve"> </w:t>
      </w:r>
      <w:r w:rsidR="788514A1" w:rsidRPr="288A3578">
        <w:t>A</w:t>
      </w:r>
      <w:r w:rsidR="035FC89A" w:rsidRPr="288A3578">
        <w:t xml:space="preserve">ga </w:t>
      </w:r>
      <w:r w:rsidR="788514A1" w:rsidRPr="288A3578">
        <w:t xml:space="preserve">soovitame kaaluda </w:t>
      </w:r>
      <w:r w:rsidR="035FC89A" w:rsidRPr="288A3578">
        <w:t>ka täpsemalt sihistatud piiranguid</w:t>
      </w:r>
      <w:r w:rsidR="5E1105C7" w:rsidRPr="288A3578">
        <w:t xml:space="preserve">, </w:t>
      </w:r>
      <w:r w:rsidR="3A34847C" w:rsidRPr="288A3578">
        <w:t>sh</w:t>
      </w:r>
      <w:r w:rsidR="788514A1" w:rsidRPr="288A3578">
        <w:t xml:space="preserve"> </w:t>
      </w:r>
      <w:r w:rsidR="7EFDC2C3" w:rsidRPr="288A3578">
        <w:t xml:space="preserve">minimaalne </w:t>
      </w:r>
      <w:r w:rsidR="1AD784BC" w:rsidRPr="288A3578">
        <w:t>ööbimise pikkus</w:t>
      </w:r>
      <w:r w:rsidR="58A21801" w:rsidRPr="288A3578">
        <w:t xml:space="preserve"> (</w:t>
      </w:r>
      <w:r w:rsidR="42C08D15" w:rsidRPr="288A3578">
        <w:t>nt 3 päeva</w:t>
      </w:r>
      <w:r w:rsidR="1AD784BC" w:rsidRPr="288A3578">
        <w:t>)</w:t>
      </w:r>
      <w:r w:rsidR="784C3EDD" w:rsidRPr="288A3578">
        <w:t>,</w:t>
      </w:r>
      <w:r w:rsidR="1AD784BC" w:rsidRPr="288A3578">
        <w:t xml:space="preserve"> maksimaalne </w:t>
      </w:r>
      <w:r w:rsidR="1D4A416D" w:rsidRPr="288A3578">
        <w:t>voodikohtade</w:t>
      </w:r>
      <w:r w:rsidR="1AD784BC" w:rsidRPr="288A3578">
        <w:t xml:space="preserve"> arv</w:t>
      </w:r>
      <w:r w:rsidR="1BBDCE6A" w:rsidRPr="288A3578">
        <w:t>,</w:t>
      </w:r>
      <w:r w:rsidR="0D012C5E" w:rsidRPr="288A3578">
        <w:t xml:space="preserve"> </w:t>
      </w:r>
      <w:r w:rsidR="167BE1EC" w:rsidRPr="288A3578">
        <w:t xml:space="preserve">teenusepakkuja </w:t>
      </w:r>
      <w:r w:rsidR="0D012C5E" w:rsidRPr="288A3578">
        <w:t>koha</w:t>
      </w:r>
      <w:r w:rsidR="00585715">
        <w:t>l</w:t>
      </w:r>
      <w:r w:rsidR="0D012C5E" w:rsidRPr="288A3578">
        <w:t>olu</w:t>
      </w:r>
      <w:r w:rsidR="42C08D15" w:rsidRPr="288A3578">
        <w:t xml:space="preserve"> </w:t>
      </w:r>
      <w:r w:rsidR="6500BC72" w:rsidRPr="288A3578">
        <w:t xml:space="preserve">või põhielukoha </w:t>
      </w:r>
      <w:r w:rsidR="7801239E" w:rsidRPr="288A3578">
        <w:t>kohustus.</w:t>
      </w:r>
    </w:p>
    <w:p w14:paraId="228DF2D8" w14:textId="71A85DBE" w:rsidR="009232A4" w:rsidRPr="00E14EBC" w:rsidRDefault="009232A4" w:rsidP="004070CF">
      <w:pPr>
        <w:jc w:val="both"/>
        <w:rPr>
          <w:rFonts w:cstheme="minorHAnsi"/>
        </w:rPr>
      </w:pPr>
      <w:r w:rsidRPr="009232A4">
        <w:rPr>
          <w:rFonts w:cstheme="minorHAnsi"/>
        </w:rPr>
        <w:t>Luua KOV-dele õiguslik alus</w:t>
      </w:r>
      <w:r>
        <w:rPr>
          <w:rFonts w:cstheme="minorHAnsi"/>
        </w:rPr>
        <w:t xml:space="preserve"> pakkuda ka </w:t>
      </w:r>
      <w:r w:rsidR="004340B6">
        <w:rPr>
          <w:rFonts w:cstheme="minorHAnsi"/>
        </w:rPr>
        <w:t xml:space="preserve">järgmisi </w:t>
      </w:r>
      <w:r>
        <w:rPr>
          <w:rFonts w:cstheme="minorHAnsi"/>
        </w:rPr>
        <w:t xml:space="preserve">soodustusi lühiajalise üüri turu </w:t>
      </w:r>
      <w:r w:rsidR="0088129B">
        <w:rPr>
          <w:rFonts w:cstheme="minorHAnsi"/>
        </w:rPr>
        <w:t xml:space="preserve">mõjutamiseks kohaliku elu- ja ettevõtluskeskkonna </w:t>
      </w:r>
      <w:r w:rsidR="006D4855">
        <w:rPr>
          <w:rFonts w:cstheme="minorHAnsi"/>
        </w:rPr>
        <w:t>vaates</w:t>
      </w:r>
      <w:r w:rsidR="0088129B">
        <w:rPr>
          <w:rFonts w:cstheme="minorHAnsi"/>
        </w:rPr>
        <w:t xml:space="preserve"> soovitud suunas</w:t>
      </w:r>
      <w:r w:rsidR="004340B6">
        <w:rPr>
          <w:rFonts w:cstheme="minorHAnsi"/>
        </w:rPr>
        <w:t>:</w:t>
      </w:r>
    </w:p>
    <w:p w14:paraId="0B4F4DBC" w14:textId="2DC941E1" w:rsidR="00872DC3" w:rsidRPr="00E14EBC" w:rsidRDefault="00872DC3" w:rsidP="00872DC3">
      <w:pPr>
        <w:jc w:val="both"/>
      </w:pPr>
      <w:r w:rsidRPr="3E482406">
        <w:t>(</w:t>
      </w:r>
      <w:r w:rsidR="0043437D">
        <w:t>i</w:t>
      </w:r>
      <w:r w:rsidRPr="3E482406">
        <w:t xml:space="preserve">v) </w:t>
      </w:r>
      <w:r w:rsidR="00CC5D13">
        <w:t>Kõikide</w:t>
      </w:r>
      <w:r w:rsidR="00090D56">
        <w:t xml:space="preserve"> kohustuste,</w:t>
      </w:r>
      <w:r w:rsidR="00CC5D13">
        <w:t xml:space="preserve"> </w:t>
      </w:r>
      <w:r w:rsidR="00090D56">
        <w:t>p</w:t>
      </w:r>
      <w:r w:rsidRPr="3E482406">
        <w:t>iirangute ja tasude kehtestamise</w:t>
      </w:r>
      <w:r w:rsidR="00D83844">
        <w:t>l soovitame kaaluda</w:t>
      </w:r>
      <w:r w:rsidRPr="3E482406">
        <w:t xml:space="preserve"> soodsama</w:t>
      </w:r>
      <w:r w:rsidR="00D83844">
        <w:t>te</w:t>
      </w:r>
      <w:r w:rsidRPr="3E482406">
        <w:t xml:space="preserve"> tingimus</w:t>
      </w:r>
      <w:r w:rsidR="00D83844">
        <w:t>te</w:t>
      </w:r>
      <w:r w:rsidRPr="3E482406">
        <w:t xml:space="preserve"> (või piirangutest ja tasudest vabasta</w:t>
      </w:r>
      <w:r w:rsidR="001F003D">
        <w:t>mist</w:t>
      </w:r>
      <w:r w:rsidRPr="3E482406">
        <w:t>)</w:t>
      </w:r>
      <w:r w:rsidR="00D83844">
        <w:t xml:space="preserve"> rakendamist</w:t>
      </w:r>
      <w:r w:rsidRPr="3E482406">
        <w:t xml:space="preserve"> ne</w:t>
      </w:r>
      <w:r w:rsidR="003C7BBE" w:rsidRPr="3E482406">
        <w:t>ndele</w:t>
      </w:r>
      <w:r w:rsidRPr="3E482406">
        <w:t xml:space="preserve"> lühiajalise üüri teenuse osutaja</w:t>
      </w:r>
      <w:r w:rsidR="00DA52AF" w:rsidRPr="3E482406">
        <w:t>tele</w:t>
      </w:r>
      <w:r w:rsidRPr="3E482406">
        <w:t>, kes teevad seda eluruumis, mida kasutavad oma põhielukohana</w:t>
      </w:r>
      <w:r w:rsidR="009B2C89">
        <w:t>.</w:t>
      </w:r>
      <w:r w:rsidR="001C0418">
        <w:rPr>
          <w:rStyle w:val="FootnoteReference"/>
        </w:rPr>
        <w:footnoteReference w:id="176"/>
      </w:r>
    </w:p>
    <w:p w14:paraId="7C65ECDA" w14:textId="60F6B32D" w:rsidR="00872DC3" w:rsidRPr="00E14EBC" w:rsidRDefault="00872DC3" w:rsidP="00872DC3">
      <w:pPr>
        <w:jc w:val="both"/>
      </w:pPr>
      <w:r>
        <w:t xml:space="preserve">(v) </w:t>
      </w:r>
      <w:r w:rsidR="009B2C89">
        <w:t xml:space="preserve">RM-i </w:t>
      </w:r>
      <w:r w:rsidR="00927035">
        <w:t>eestvedamisel algatada maamaksuseaduse muu</w:t>
      </w:r>
      <w:r w:rsidR="0023791B">
        <w:t xml:space="preserve">tmine, mille kohaselt oleks KOV-del õiguslik alus </w:t>
      </w:r>
      <w:r w:rsidR="00B14851">
        <w:t>rakendada</w:t>
      </w:r>
      <w:r>
        <w:t xml:space="preserve"> maamaksuseadusega kehtestatud kodualuse maa maamaksusoodustust omanikele, kelle eluruumid on pikaajaliselt välja üüritud</w:t>
      </w:r>
      <w:r w:rsidR="00F4219B">
        <w:t xml:space="preserve"> ja </w:t>
      </w:r>
      <w:r w:rsidR="796E322D">
        <w:t xml:space="preserve">kes </w:t>
      </w:r>
      <w:r w:rsidR="00F4219B">
        <w:t>suuda</w:t>
      </w:r>
      <w:r w:rsidR="72D914DC">
        <w:t>vad</w:t>
      </w:r>
      <w:r w:rsidR="00F4219B">
        <w:t xml:space="preserve"> seda </w:t>
      </w:r>
      <w:r w:rsidR="00C87ECF">
        <w:t xml:space="preserve">KOV-le </w:t>
      </w:r>
      <w:r w:rsidR="00F4219B">
        <w:t>tõendada</w:t>
      </w:r>
      <w:r>
        <w:t>.</w:t>
      </w:r>
    </w:p>
    <w:p w14:paraId="6D3C52F1" w14:textId="7344BC68" w:rsidR="00872DC3" w:rsidRPr="00E14EBC" w:rsidRDefault="00872DC3" w:rsidP="00872DC3">
      <w:pPr>
        <w:jc w:val="both"/>
        <w:rPr>
          <w:b/>
          <w:bCs/>
        </w:rPr>
      </w:pPr>
      <w:r w:rsidRPr="00E14EBC">
        <w:rPr>
          <w:b/>
          <w:bCs/>
        </w:rPr>
        <w:t>Tegevus</w:t>
      </w:r>
      <w:r w:rsidR="008C30DF">
        <w:rPr>
          <w:b/>
          <w:bCs/>
        </w:rPr>
        <w:t xml:space="preserve"> </w:t>
      </w:r>
      <w:r w:rsidR="008C30DF" w:rsidRPr="1688D34F">
        <w:rPr>
          <w:b/>
        </w:rPr>
        <w:t>|</w:t>
      </w:r>
      <w:r w:rsidRPr="00E14EBC">
        <w:rPr>
          <w:b/>
          <w:bCs/>
        </w:rPr>
        <w:t xml:space="preserve"> </w:t>
      </w:r>
      <w:r w:rsidRPr="00E14EBC">
        <w:t>Lühiajalise üüri turuga avaldunud probleemide lahendamisel alustada selles uuringus esitatud eespool toodud soovitustest ning alles seejärel kaaluda ka regulatsioonide ja tasude kehtestamis</w:t>
      </w:r>
      <w:r w:rsidR="00BF61FB">
        <w:t>t</w:t>
      </w:r>
      <w:r w:rsidRPr="00E14EBC">
        <w:t>.</w:t>
      </w:r>
      <w:r w:rsidRPr="00E14EBC">
        <w:rPr>
          <w:b/>
          <w:bCs/>
        </w:rPr>
        <w:t xml:space="preserve"> </w:t>
      </w:r>
    </w:p>
    <w:p w14:paraId="3E46C92F" w14:textId="6E6EAECB" w:rsidR="00872DC3" w:rsidRPr="00E14EBC" w:rsidRDefault="00872DC3" w:rsidP="00872DC3">
      <w:pPr>
        <w:jc w:val="both"/>
        <w:rPr>
          <w:b/>
          <w:bCs/>
        </w:rPr>
      </w:pPr>
      <w:r w:rsidRPr="00E14EBC">
        <w:rPr>
          <w:b/>
          <w:bCs/>
        </w:rPr>
        <w:t>Adressaat</w:t>
      </w:r>
      <w:r w:rsidR="008C30DF">
        <w:rPr>
          <w:b/>
          <w:bCs/>
        </w:rPr>
        <w:t xml:space="preserve"> </w:t>
      </w:r>
      <w:r w:rsidR="008C30DF" w:rsidRPr="1688D34F">
        <w:rPr>
          <w:b/>
        </w:rPr>
        <w:t>|</w:t>
      </w:r>
      <w:r w:rsidRPr="00E14EBC">
        <w:rPr>
          <w:b/>
          <w:bCs/>
        </w:rPr>
        <w:t xml:space="preserve"> </w:t>
      </w:r>
      <w:r w:rsidR="007A3906">
        <w:t>MKM</w:t>
      </w:r>
      <w:r w:rsidRPr="00E14EBC">
        <w:t xml:space="preserve">, </w:t>
      </w:r>
      <w:r w:rsidR="007A3906">
        <w:t>REM</w:t>
      </w:r>
      <w:r w:rsidR="001B768D">
        <w:t xml:space="preserve">, </w:t>
      </w:r>
      <w:r w:rsidR="007A3906">
        <w:t>RM</w:t>
      </w:r>
      <w:r w:rsidRPr="00E14EBC">
        <w:t>.</w:t>
      </w:r>
    </w:p>
    <w:p w14:paraId="3CA0DDA0" w14:textId="246A502C" w:rsidR="00872DC3" w:rsidRPr="00E14EBC" w:rsidRDefault="54B6E299" w:rsidP="00872DC3">
      <w:pPr>
        <w:jc w:val="both"/>
      </w:pPr>
      <w:r w:rsidRPr="288A3578">
        <w:rPr>
          <w:b/>
          <w:bCs/>
        </w:rPr>
        <w:lastRenderedPageBreak/>
        <w:t>Põhjendus</w:t>
      </w:r>
      <w:r w:rsidR="008C30DF">
        <w:rPr>
          <w:b/>
          <w:bCs/>
        </w:rPr>
        <w:t xml:space="preserve"> </w:t>
      </w:r>
      <w:r w:rsidR="008C30DF" w:rsidRPr="1688D34F">
        <w:rPr>
          <w:b/>
        </w:rPr>
        <w:t>|</w:t>
      </w:r>
      <w:r>
        <w:t xml:space="preserve"> Selle soovituse eesmärk on anda KOV-dele regulatiivne võimalus vajadusel aegsasti turule sekkuda, et sellega kaitsta oma haldusüksuse elanike sotsiaalseid, kultuurilisi, majanduslikke ja teisi igapäevast elukorraldust puudutavaid huve. Samas peame neid soovitusi Eesti kontekstis hetkel suhteliselt äärmuslikeks lahendusteks ja soovitame esmalt rakendada teisi soovitusi. Selle uuringu põhjal on Eestis ainsa</w:t>
      </w:r>
      <w:r w:rsidR="4ADF10A9">
        <w:t>te</w:t>
      </w:r>
      <w:r>
        <w:t>ks piirkon</w:t>
      </w:r>
      <w:r w:rsidR="11FEB35C">
        <w:t>dadeks</w:t>
      </w:r>
      <w:r>
        <w:t xml:space="preserve">, kus KOV-i poolset sekkumist läbi regulatsioonide ja tasude võiks </w:t>
      </w:r>
      <w:r w:rsidR="009B0939">
        <w:t xml:space="preserve">koheselt </w:t>
      </w:r>
      <w:r>
        <w:t xml:space="preserve">kaaluda, Tallinna </w:t>
      </w:r>
      <w:r w:rsidR="00AD4126">
        <w:t>v</w:t>
      </w:r>
      <w:r>
        <w:t>analinn</w:t>
      </w:r>
      <w:r w:rsidR="00091183">
        <w:t>, osaliselt ka Pärnu linn</w:t>
      </w:r>
      <w:r>
        <w:t xml:space="preserve">. </w:t>
      </w:r>
      <w:r w:rsidR="00BA3718">
        <w:t>Sarnase järeldusele Tallinna vanalinna kohta on jõutud ka ühes varasemas uuringus</w:t>
      </w:r>
      <w:r w:rsidR="00C77B0A">
        <w:t>.</w:t>
      </w:r>
      <w:r w:rsidR="00BA3718">
        <w:rPr>
          <w:rStyle w:val="FootnoteReference"/>
        </w:rPr>
        <w:footnoteReference w:id="177"/>
      </w:r>
      <w:r w:rsidR="00BA3718">
        <w:t xml:space="preserve"> </w:t>
      </w:r>
      <w:r>
        <w:t>Samas ka seal soovitame esmalt katsetada aeganõudvamaid, kuid püsivamaid tulemusi andvaid lahendusi.</w:t>
      </w:r>
      <w:r w:rsidR="005C62B2">
        <w:t xml:space="preserve"> </w:t>
      </w:r>
      <w:r>
        <w:t>Teistele KOV-dele me hetkel selliste regulatiivsete õiguste andmise vajadust ei näe, kuid tuleviku vaates võib see tekkida ning selli</w:t>
      </w:r>
      <w:r w:rsidR="29E67589">
        <w:t>ne</w:t>
      </w:r>
      <w:r>
        <w:t xml:space="preserve"> õiguslik lahendus, kus piirangute ja tasu kehtestamise õigus antakse ainult ühele või osadele omavalitsustele, oleks poliitiliselt raskesti teostatav. </w:t>
      </w:r>
      <w:r w:rsidR="00361769">
        <w:t>Seega ei ole selle soovitus</w:t>
      </w:r>
      <w:r w:rsidR="005C3E62">
        <w:t>e</w:t>
      </w:r>
      <w:r w:rsidR="00361769">
        <w:t xml:space="preserve"> mõte lühiajalise turu piiramine, vaid anda omavalitsustele võimalus </w:t>
      </w:r>
      <w:r w:rsidR="00D0580B">
        <w:t>selle kaalumiseks</w:t>
      </w:r>
      <w:r w:rsidR="00361769">
        <w:t>, kui vajadus</w:t>
      </w:r>
      <w:r w:rsidR="00D0580B">
        <w:t xml:space="preserve"> peaks ilmnema</w:t>
      </w:r>
      <w:r w:rsidR="00361769">
        <w:t xml:space="preserve">. </w:t>
      </w:r>
      <w:r>
        <w:t xml:space="preserve">Põhimõtteliselt võiks kaaluda selle võimaluse andmist kohalikele omavalitsustele üksnes teatud tingimustel, nt kui lühiajalise üürimise maht ületab teatud piirmäära (suhtena haldusüksuse rahvaarvu), et vältida nende rakendamist muudel eesmärkidel </w:t>
      </w:r>
      <w:r w:rsidR="5838804D">
        <w:t>(</w:t>
      </w:r>
      <w:r>
        <w:t>mis kohalikku ettevõtlustegevust või regionaalset arengut liialt takistaks), kuid ei oleks vastuolus kohaliku omavalitsuse autonoomia printsiibiga.</w:t>
      </w:r>
    </w:p>
    <w:p w14:paraId="02631CE5" w14:textId="713D5531" w:rsidR="00872DC3" w:rsidRPr="00E14EBC" w:rsidRDefault="54B6E299" w:rsidP="00872DC3">
      <w:pPr>
        <w:jc w:val="both"/>
      </w:pPr>
      <w:r>
        <w:t>Esimese võimaliku sekkumisena</w:t>
      </w:r>
      <w:r w:rsidR="009E359E">
        <w:t xml:space="preserve"> (soovitus i)</w:t>
      </w:r>
      <w:r>
        <w:t xml:space="preserve"> soovitame kaaluda mingit laadi </w:t>
      </w:r>
      <w:r w:rsidRPr="00BE179D">
        <w:rPr>
          <w:b/>
          <w:bCs/>
        </w:rPr>
        <w:t>registreerimissüsteemi</w:t>
      </w:r>
      <w:r>
        <w:t xml:space="preserve"> loomist. Selle kaudu on võimalik koguda infot otse teenuse pakkujatelt ning saada ülevaade ka nende ruumilisest paiknemisest. Seda infot saavad omavalitsused kasutada ka oma seirevõimekuse suurendamiseks ja mõjude hindamiseks, seega oleks see kasutatav ka üksnes oma seirevõimekuse suurendamiseks. Samas võib selle sihiks olla hoopis mõne regulatiivse piirangu või tasu kehtestamise üle järelevalve </w:t>
      </w:r>
      <w:r w:rsidR="209FBC87">
        <w:t>tegemine</w:t>
      </w:r>
      <w:r>
        <w:t xml:space="preserve">. </w:t>
      </w:r>
      <w:r w:rsidR="001725C4">
        <w:t>O</w:t>
      </w:r>
      <w:r>
        <w:t xml:space="preserve">leme selle sekkumise paigutanud sekkumiste </w:t>
      </w:r>
      <w:r w:rsidR="002124CC">
        <w:t>järjestuses</w:t>
      </w:r>
      <w:r>
        <w:t xml:space="preserve"> klassikaliste sekkumiste juurde, kuna hindame seda </w:t>
      </w:r>
      <w:r w:rsidR="00056824">
        <w:t xml:space="preserve">suhteliselt jõuliseks </w:t>
      </w:r>
      <w:r>
        <w:t>sekkumiseks</w:t>
      </w:r>
      <w:r w:rsidR="000056D6" w:rsidRPr="000056D6">
        <w:t xml:space="preserve"> </w:t>
      </w:r>
      <w:r w:rsidR="000056D6">
        <w:t>ettevõtluskeskkonda</w:t>
      </w:r>
      <w:r>
        <w:t>, mille raames on teenuse osutajale asetatud koormus tegevuse alustamisest eraldi kedagi teavitada või registreerimise kaudu sisuliselt luba hankida. Seega tekitab see täiendava halduskoormuse nii teenuse osutajale kui ka selle süsteemi loojale ja haldajale.</w:t>
      </w:r>
      <w:r w:rsidR="007A2CD2">
        <w:t xml:space="preserve"> Samas võivad KOV-d </w:t>
      </w:r>
      <w:r w:rsidR="00611C29">
        <w:t xml:space="preserve">rakendada seda kohustust üksnes osale teenuse osutajatele. Näiteks oma põhielukohta ebaregulaarselt väljaüürivatele </w:t>
      </w:r>
      <w:r w:rsidR="005131C8">
        <w:t>majapidamistele selle rakendamine ei ole kuigi mõistlik. See võib nende huvi teenuse osutamiseks oluliselt kahandada, kuigi nende tegevusega</w:t>
      </w:r>
      <w:r w:rsidR="00F079F1">
        <w:t xml:space="preserve"> majutusturul ühiskond pigem võidab, sest kaasnevad </w:t>
      </w:r>
      <w:r w:rsidR="00B85CC3">
        <w:t xml:space="preserve">negatiivsed </w:t>
      </w:r>
      <w:r w:rsidR="00724538">
        <w:t>kõrvalmõjud on üldjuhul võrreldes saadavate kasudega väikesed.</w:t>
      </w:r>
    </w:p>
    <w:p w14:paraId="08A12215" w14:textId="1D927C5B" w:rsidR="002C0A5B" w:rsidRDefault="00371CDC" w:rsidP="00872DC3">
      <w:pPr>
        <w:jc w:val="both"/>
      </w:pPr>
      <w:r>
        <w:t>A</w:t>
      </w:r>
      <w:r w:rsidR="00872DC3">
        <w:t>lternatiivseid võimalus</w:t>
      </w:r>
      <w:r>
        <w:t>ed</w:t>
      </w:r>
      <w:r w:rsidR="00872DC3">
        <w:t xml:space="preserve"> selle praktikas rakendamiseks</w:t>
      </w:r>
      <w:r>
        <w:t xml:space="preserve"> </w:t>
      </w:r>
      <w:r w:rsidR="00EA1FCB">
        <w:t>oleme ülevaatlikult koondanud tabelisse 13</w:t>
      </w:r>
      <w:r w:rsidR="00ED6E76">
        <w:t>.</w:t>
      </w:r>
      <w:r w:rsidR="00B035D4">
        <w:t xml:space="preserve"> Kõige lihtsam võimalus seda teha on </w:t>
      </w:r>
      <w:r w:rsidR="00A71474">
        <w:t>kohalikul omavalitsuse oma juba kasutusel oleva infosüsteemi kaudu</w:t>
      </w:r>
      <w:r w:rsidR="003A14FA">
        <w:t>. Sel juhul</w:t>
      </w:r>
      <w:r w:rsidR="00B035D4">
        <w:t xml:space="preserve"> isik, kes soovib eluruumis majutusteenust osutada, peab sellest omavalitsust mingi digitaalse rakenduse kaudu teavitama ja võib kohe </w:t>
      </w:r>
      <w:r w:rsidR="00A362A8">
        <w:t xml:space="preserve">pärast registreerimiskinnituse saamist </w:t>
      </w:r>
      <w:r w:rsidR="00B035D4">
        <w:t xml:space="preserve">alustada teenuse osutamisega. </w:t>
      </w:r>
      <w:r w:rsidR="001D661C">
        <w:t xml:space="preserve">Samas saaks ära kasutada ka juba toimivat </w:t>
      </w:r>
      <w:r w:rsidR="006B458E">
        <w:t xml:space="preserve">Tarbijakaitse ja Tehnilise Järelevalve Ameti </w:t>
      </w:r>
      <w:r w:rsidR="00895873">
        <w:t>majandustege</w:t>
      </w:r>
      <w:r w:rsidR="007362F3">
        <w:t>vuse registrit</w:t>
      </w:r>
      <w:r w:rsidR="0054578C">
        <w:t>, mille</w:t>
      </w:r>
      <w:r w:rsidR="0009204D">
        <w:t>s ühe majandustegevuse teate</w:t>
      </w:r>
      <w:r w:rsidR="0054578C">
        <w:t xml:space="preserve"> arenduskulud jääksid kõige lihtsama lahenduse juures 10 000 euro </w:t>
      </w:r>
      <w:r w:rsidR="0054578C">
        <w:lastRenderedPageBreak/>
        <w:t>juurde</w:t>
      </w:r>
      <w:r w:rsidR="002C36C8">
        <w:rPr>
          <w:rStyle w:val="FootnoteReference"/>
        </w:rPr>
        <w:footnoteReference w:id="178"/>
      </w:r>
      <w:r w:rsidR="000C5EA2">
        <w:t>, millele lisanduvad iga-aastased halduskulud</w:t>
      </w:r>
      <w:r w:rsidR="0054578C">
        <w:t xml:space="preserve">. </w:t>
      </w:r>
      <w:r w:rsidR="00506748">
        <w:t>Kolmas alternatiiv on liituda EL-i tasandil rakenduva süsteemiga, millega kaasnevad juba oluliselt suuremad kulud, mis jäävad hinnanguliselt 3-4 miljoni euro juurde</w:t>
      </w:r>
      <w:r w:rsidR="00204DF3">
        <w:t>.</w:t>
      </w:r>
      <w:r w:rsidR="0066186F">
        <w:rPr>
          <w:rStyle w:val="FootnoteReference"/>
        </w:rPr>
        <w:footnoteReference w:id="179"/>
      </w:r>
      <w:r w:rsidR="00506748">
        <w:t xml:space="preserve"> </w:t>
      </w:r>
      <w:r w:rsidR="008F25B6">
        <w:t>Selle lahenduse suhteliselt suured kulud on seotud sellega, et lisaks registri</w:t>
      </w:r>
      <w:r w:rsidR="00C15688">
        <w:t xml:space="preserve"> loomisele</w:t>
      </w:r>
      <w:r w:rsidR="005D6D8F">
        <w:t xml:space="preserve"> tuleb välja arendada </w:t>
      </w:r>
      <w:r w:rsidR="00A45B15">
        <w:t>üleriigiline digitaalne kontaktpunkt, mille kaudu platvormid saavad andmeid esitada</w:t>
      </w:r>
      <w:r w:rsidR="00264FB8">
        <w:t>, aga samuti ka erinevad liidestused</w:t>
      </w:r>
      <w:r w:rsidR="005B4320">
        <w:t xml:space="preserve"> platvormide ja registri vahel andmete edastamiseks, pädevate asutuste ja registri vahel andmete kasutamiseks</w:t>
      </w:r>
      <w:r w:rsidR="00C15688">
        <w:t xml:space="preserve">, aga ka </w:t>
      </w:r>
      <w:r w:rsidR="0056410D">
        <w:t>liidestus EL-i ühtse digiväravaga (</w:t>
      </w:r>
      <w:r w:rsidR="0064249E">
        <w:t>ing</w:t>
      </w:r>
      <w:r w:rsidR="581438CB">
        <w:t>l</w:t>
      </w:r>
      <w:r w:rsidR="0064249E">
        <w:t xml:space="preserve"> </w:t>
      </w:r>
      <w:r w:rsidR="0064249E" w:rsidRPr="1C92C443">
        <w:rPr>
          <w:i/>
          <w:iCs/>
        </w:rPr>
        <w:t>Single Digital Gateway</w:t>
      </w:r>
      <w:r w:rsidR="0064249E">
        <w:t>).</w:t>
      </w:r>
      <w:r w:rsidR="00264FB8">
        <w:t xml:space="preserve"> </w:t>
      </w:r>
    </w:p>
    <w:p w14:paraId="38BE668F" w14:textId="17B976C5" w:rsidR="00371CDC" w:rsidRDefault="009D30F5" w:rsidP="00872DC3">
      <w:pPr>
        <w:jc w:val="both"/>
      </w:pPr>
      <w:r>
        <w:t>Selle</w:t>
      </w:r>
      <w:r w:rsidR="00612168">
        <w:t>s süsteemis</w:t>
      </w:r>
      <w:r w:rsidR="002C0A5B">
        <w:t xml:space="preserve">, mille miinimumnõudeid reguleerib </w:t>
      </w:r>
      <w:r w:rsidR="009C0520">
        <w:t>EL-i määrus 2024/1028,</w:t>
      </w:r>
      <w:r w:rsidR="00612168">
        <w:t xml:space="preserve"> </w:t>
      </w:r>
      <w:r w:rsidR="009C0520">
        <w:t xml:space="preserve">registreerivad </w:t>
      </w:r>
      <w:r w:rsidR="00A51162">
        <w:t xml:space="preserve">platvormide kaudu </w:t>
      </w:r>
      <w:r w:rsidR="00432F44">
        <w:t xml:space="preserve">lühiajalise üüri </w:t>
      </w:r>
      <w:r w:rsidR="00612168">
        <w:t>teenus</w:t>
      </w:r>
      <w:r w:rsidR="00606D48">
        <w:t>t</w:t>
      </w:r>
      <w:r w:rsidR="00612168">
        <w:t xml:space="preserve"> pakku</w:t>
      </w:r>
      <w:r w:rsidR="00606D48">
        <w:t>vad isikud</w:t>
      </w:r>
      <w:r w:rsidR="00612168">
        <w:t xml:space="preserve"> enda tegevuse </w:t>
      </w:r>
      <w:r w:rsidR="002973C4">
        <w:t>selleks eraldi</w:t>
      </w:r>
      <w:r w:rsidR="00601975">
        <w:t xml:space="preserve"> loodud registris, kuid </w:t>
      </w:r>
      <w:r w:rsidR="00E47E79">
        <w:t xml:space="preserve">teenuse osutamise kohta edastaksid </w:t>
      </w:r>
      <w:r w:rsidR="00601975">
        <w:t>andme</w:t>
      </w:r>
      <w:r w:rsidR="00AF7832">
        <w:t xml:space="preserve">id </w:t>
      </w:r>
      <w:r w:rsidR="00B92905">
        <w:t xml:space="preserve">pädevatele asutustele platvormid. </w:t>
      </w:r>
      <w:r w:rsidR="00DD45A6">
        <w:t>Registreerimine oleks KOV-põhine, st see oleks kohustuslik üksnes seal, kus KOV-d on sellise nõude kehtestanud</w:t>
      </w:r>
      <w:r w:rsidR="23AF19B9">
        <w:t>.</w:t>
      </w:r>
      <w:r w:rsidR="00DD45A6">
        <w:t xml:space="preserve"> </w:t>
      </w:r>
      <w:r w:rsidR="00E47E79">
        <w:t>Pädevatel asutustel oleks loomulikult juurdepääs ka registriandmetele, mis annaks infot eelkõige teenuse pakkumise mahu kohta. Samas</w:t>
      </w:r>
      <w:r w:rsidR="00B035D4" w:rsidRPr="00B035D4">
        <w:t xml:space="preserve"> </w:t>
      </w:r>
      <w:r w:rsidR="00E47E79">
        <w:t>on see lahendus suunatud</w:t>
      </w:r>
      <w:r w:rsidR="00B035D4" w:rsidRPr="00B035D4">
        <w:t xml:space="preserve"> </w:t>
      </w:r>
      <w:r w:rsidR="00E47E79">
        <w:t>eelkõige</w:t>
      </w:r>
      <w:r w:rsidR="00B035D4" w:rsidRPr="00B035D4">
        <w:t xml:space="preserve"> platvormide kaudu t</w:t>
      </w:r>
      <w:r w:rsidR="00E47E79">
        <w:t>urust ülevaate saamiseks</w:t>
      </w:r>
      <w:r w:rsidR="00B035D4" w:rsidRPr="00B035D4">
        <w:t xml:space="preserve">, </w:t>
      </w:r>
      <w:r w:rsidR="003D5165">
        <w:t>mistõttu</w:t>
      </w:r>
      <w:r w:rsidR="00B035D4" w:rsidRPr="00B035D4">
        <w:t xml:space="preserve"> ei pea me otstarbekaks sellist süsteemi Eestis </w:t>
      </w:r>
      <w:r w:rsidR="00145506">
        <w:t>rakendada</w:t>
      </w:r>
      <w:r w:rsidR="00B035D4" w:rsidRPr="00B035D4">
        <w:t>, kuna lühiajalise üüri turg võib toim</w:t>
      </w:r>
      <w:r w:rsidR="00145506">
        <w:t>i</w:t>
      </w:r>
      <w:r w:rsidR="00B035D4" w:rsidRPr="00B035D4">
        <w:t>da ka selle väliselt. Lisaks eksisteerib Eestis selle vajadus üksnes üksikutes piirkondades ja nende kohta andmete kogumine selles määruses sätestatud vormis</w:t>
      </w:r>
      <w:r w:rsidR="00145506">
        <w:t xml:space="preserve"> ja kuludega</w:t>
      </w:r>
      <w:r w:rsidR="00B035D4" w:rsidRPr="00B035D4">
        <w:t xml:space="preserve"> oleks meie hinnangul ebaproportsionaalselt koormav.</w:t>
      </w:r>
    </w:p>
    <w:p w14:paraId="6C7E7C23" w14:textId="410E1086" w:rsidR="003D5165" w:rsidRDefault="003D5165" w:rsidP="00872DC3">
      <w:pPr>
        <w:jc w:val="both"/>
      </w:pPr>
      <w:r>
        <w:t xml:space="preserve">Samas vajab </w:t>
      </w:r>
      <w:r w:rsidR="00DA4713">
        <w:t>siseriikliku registreerimissüsteemi loomine</w:t>
      </w:r>
      <w:r w:rsidR="00EB2D68">
        <w:t xml:space="preserve"> ilma, et see vastaks määruse 2024/1028 miinimu</w:t>
      </w:r>
      <w:r w:rsidR="004F6634">
        <w:t>m</w:t>
      </w:r>
      <w:r w:rsidR="00EB2D68">
        <w:t xml:space="preserve">nõuetele, täiendavat õiguslikku hinnangut. Meie esialgse </w:t>
      </w:r>
      <w:r w:rsidR="00AB30DC">
        <w:t>hinnangu</w:t>
      </w:r>
      <w:r w:rsidR="00EB2D68">
        <w:t xml:space="preserve"> kohaselt </w:t>
      </w:r>
      <w:r w:rsidR="004F6634">
        <w:t xml:space="preserve">ei </w:t>
      </w:r>
      <w:r w:rsidR="000D7298">
        <w:t xml:space="preserve">pea </w:t>
      </w:r>
      <w:r w:rsidR="004F6634">
        <w:t xml:space="preserve">üksnes pakkujate registreerimise eesmärgil loodud siseriiklik </w:t>
      </w:r>
      <w:r w:rsidR="006236C7">
        <w:t>teavitus</w:t>
      </w:r>
      <w:r w:rsidR="007F2416">
        <w:t>süsteem</w:t>
      </w:r>
      <w:r w:rsidR="000D7298">
        <w:t xml:space="preserve"> vastama EL-i määruses kirjeldatud nõuetele, kui se</w:t>
      </w:r>
      <w:r w:rsidR="00B43581">
        <w:t xml:space="preserve">e ei ole loodud üksnes platvormide kaudu majutusteenuse osutajate registreerimiseks ega hõlma ka </w:t>
      </w:r>
      <w:r w:rsidR="00C0646E">
        <w:t>andmevahetust platvormide ja pädevate asutuste vahel. Samas vajaks see aspekt täiendavat õiguslikku analüüsi</w:t>
      </w:r>
      <w:r w:rsidR="006D3C72">
        <w:t>, mis jääb selle uuringu piiride</w:t>
      </w:r>
      <w:r w:rsidR="000301C9">
        <w:t>st</w:t>
      </w:r>
      <w:r w:rsidR="006D3C72">
        <w:t xml:space="preserve"> välja. Kui täiendav analüüs ikkagi kinnitab, et igasuguse lühiajalise üüri teenuse registreerimissüsteemi rakendamine peab vastama EL-i määruse</w:t>
      </w:r>
      <w:r w:rsidR="078F7FB1">
        <w:t>le</w:t>
      </w:r>
      <w:r w:rsidR="006D3C72">
        <w:t xml:space="preserve">, </w:t>
      </w:r>
      <w:r w:rsidR="00EC59B8">
        <w:t xml:space="preserve">sh </w:t>
      </w:r>
      <w:r w:rsidR="000301C9">
        <w:t xml:space="preserve">hõlmama </w:t>
      </w:r>
      <w:r w:rsidR="00EC59B8">
        <w:t xml:space="preserve">erinevaid tehnilisi lahendusi </w:t>
      </w:r>
      <w:r w:rsidR="000301C9">
        <w:t>ELi ühtse digiväravaga</w:t>
      </w:r>
      <w:r w:rsidR="00EC59B8">
        <w:t xml:space="preserve"> liidestumiseks ja digitaalse kontaktpunkti loomiseks, siis tuleb</w:t>
      </w:r>
      <w:r w:rsidR="000301C9">
        <w:t xml:space="preserve"> riigil</w:t>
      </w:r>
      <w:r w:rsidR="00EC59B8">
        <w:t xml:space="preserve"> </w:t>
      </w:r>
      <w:r w:rsidR="000301C9">
        <w:t>registreerimise õigusliku võimaluse loomisel</w:t>
      </w:r>
      <w:r w:rsidR="00EC59B8">
        <w:t xml:space="preserve"> arvestada</w:t>
      </w:r>
      <w:r w:rsidR="008275CF">
        <w:t xml:space="preserve"> täiendava kuluga, mis ulatu</w:t>
      </w:r>
      <w:r w:rsidR="00730976">
        <w:t>b</w:t>
      </w:r>
      <w:r w:rsidR="008275CF">
        <w:t xml:space="preserve"> 3-4</w:t>
      </w:r>
      <w:r w:rsidR="00EC59B8">
        <w:t xml:space="preserve"> miljoni</w:t>
      </w:r>
      <w:r w:rsidR="008275CF">
        <w:t xml:space="preserve"> euroni</w:t>
      </w:r>
      <w:r w:rsidR="008E5F05">
        <w:t>.</w:t>
      </w:r>
      <w:r w:rsidR="00B11494">
        <w:t xml:space="preserve"> Isegi kui see täiendav kulu teha üksnes Tallinna vanalinnas ilmnenud probleemid</w:t>
      </w:r>
      <w:r w:rsidR="00D457E0">
        <w:t>e</w:t>
      </w:r>
      <w:r w:rsidR="00B11494">
        <w:t xml:space="preserve"> lahendamiseks, </w:t>
      </w:r>
      <w:r w:rsidR="00CF3F14">
        <w:t>tasuks</w:t>
      </w:r>
      <w:r w:rsidR="00B11494">
        <w:t xml:space="preserve"> see </w:t>
      </w:r>
      <w:r w:rsidR="00CF3F14">
        <w:t xml:space="preserve">suure tõenäosusega pikema perioodi jooksul ennast ära. </w:t>
      </w:r>
      <w:r w:rsidR="002330E0">
        <w:t>Näiteks a</w:t>
      </w:r>
      <w:r w:rsidR="00CF3F14">
        <w:t xml:space="preserve">rvestades, et Tallinn on seadnud </w:t>
      </w:r>
      <w:r w:rsidR="002330E0">
        <w:t xml:space="preserve">oma pikaajaliseks eesmärgiks </w:t>
      </w:r>
      <w:r w:rsidR="00CF3F14">
        <w:t xml:space="preserve">suurendada </w:t>
      </w:r>
      <w:r w:rsidR="00A62FF5">
        <w:t>vanalinna elanike arvu 5000 inimeseni</w:t>
      </w:r>
      <w:r w:rsidR="00DE72A5">
        <w:rPr>
          <w:rStyle w:val="FootnoteReference"/>
        </w:rPr>
        <w:footnoteReference w:id="180"/>
      </w:r>
      <w:r w:rsidR="001230C8">
        <w:t xml:space="preserve">, siis kui suudetakse </w:t>
      </w:r>
      <w:r w:rsidR="00CD4AB3">
        <w:t xml:space="preserve">loodava registreerimissüsteemi kaudu </w:t>
      </w:r>
      <w:r w:rsidR="001230C8">
        <w:t xml:space="preserve">pikema perioodi jooksul iga vanalinna </w:t>
      </w:r>
      <w:r w:rsidR="00CD4AB3">
        <w:t xml:space="preserve">tänase ja potentsiaalse </w:t>
      </w:r>
      <w:r w:rsidR="0059249B">
        <w:t>püsi</w:t>
      </w:r>
      <w:r w:rsidR="001230C8">
        <w:t>elanik</w:t>
      </w:r>
      <w:r w:rsidR="00CD4AB3">
        <w:t>u heaolusse panustada 1000 euro</w:t>
      </w:r>
      <w:r w:rsidR="004C6C90">
        <w:t xml:space="preserve"> väärtuses</w:t>
      </w:r>
      <w:r w:rsidR="004C6C90">
        <w:rPr>
          <w:rStyle w:val="FootnoteReference"/>
        </w:rPr>
        <w:footnoteReference w:id="181"/>
      </w:r>
      <w:r w:rsidR="00A55DC9">
        <w:t xml:space="preserve"> (arvestamata </w:t>
      </w:r>
      <w:r w:rsidR="00A55DC9">
        <w:lastRenderedPageBreak/>
        <w:t>laiemaid mõjusid teiste</w:t>
      </w:r>
      <w:r w:rsidR="008962BF">
        <w:t>le Eesti elanikele ja võimalusi lühiajalise üürimisega kaasnevate probleemide lahendamiseks</w:t>
      </w:r>
      <w:r w:rsidR="00A55DC9">
        <w:t xml:space="preserve"> </w:t>
      </w:r>
      <w:r w:rsidR="008962BF">
        <w:t xml:space="preserve">teistes </w:t>
      </w:r>
      <w:r w:rsidR="00A55DC9">
        <w:t>piirkondades</w:t>
      </w:r>
      <w:r w:rsidR="7F174325">
        <w:t>,</w:t>
      </w:r>
      <w:r w:rsidR="008962BF">
        <w:t xml:space="preserve"> nagu Pärnu või Tartu</w:t>
      </w:r>
      <w:r w:rsidR="00A55DC9">
        <w:t>)</w:t>
      </w:r>
      <w:r w:rsidR="00CD4AB3">
        <w:t xml:space="preserve">, </w:t>
      </w:r>
      <w:r w:rsidR="00A55DC9">
        <w:t xml:space="preserve">oleks see kulu </w:t>
      </w:r>
      <w:r w:rsidR="002E11F6">
        <w:t xml:space="preserve">majanduslikult </w:t>
      </w:r>
      <w:r w:rsidR="00A55DC9">
        <w:t>juba õigustatud.</w:t>
      </w:r>
    </w:p>
    <w:p w14:paraId="28CA3698" w14:textId="06D682EB" w:rsidR="00ED6E76" w:rsidRDefault="00ED6E76" w:rsidP="00430D4A">
      <w:pPr>
        <w:pStyle w:val="TableTitle"/>
      </w:pPr>
      <w:r>
        <w:t xml:space="preserve">Tabel </w:t>
      </w:r>
      <w:r w:rsidR="00430D4A">
        <w:t>13: Sekkumiste alternatiivid</w:t>
      </w:r>
    </w:p>
    <w:tbl>
      <w:tblPr>
        <w:tblStyle w:val="ListTable3-Accent1"/>
        <w:tblW w:w="0" w:type="auto"/>
        <w:tblLook w:val="04A0" w:firstRow="1" w:lastRow="0" w:firstColumn="1" w:lastColumn="0" w:noHBand="0" w:noVBand="1"/>
      </w:tblPr>
      <w:tblGrid>
        <w:gridCol w:w="2263"/>
        <w:gridCol w:w="4932"/>
        <w:gridCol w:w="3021"/>
      </w:tblGrid>
      <w:tr w:rsidR="006B1E5D" w:rsidRPr="005B00DE" w14:paraId="65DC5355" w14:textId="77777777" w:rsidTr="00102F6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263" w:type="dxa"/>
            <w:tcBorders>
              <w:bottom w:val="single" w:sz="4" w:space="0" w:color="auto"/>
            </w:tcBorders>
          </w:tcPr>
          <w:p w14:paraId="2AC0B17A" w14:textId="77777777" w:rsidR="00371CDC" w:rsidRPr="005B00DE" w:rsidRDefault="00371CDC" w:rsidP="00751041">
            <w:pPr>
              <w:jc w:val="center"/>
              <w:rPr>
                <w:sz w:val="20"/>
                <w:szCs w:val="20"/>
              </w:rPr>
            </w:pPr>
            <w:r w:rsidRPr="005B00DE">
              <w:rPr>
                <w:sz w:val="20"/>
                <w:szCs w:val="20"/>
              </w:rPr>
              <w:t>Sekkumise vorm</w:t>
            </w:r>
          </w:p>
        </w:tc>
        <w:tc>
          <w:tcPr>
            <w:tcW w:w="4932" w:type="dxa"/>
            <w:tcBorders>
              <w:bottom w:val="single" w:sz="4" w:space="0" w:color="auto"/>
            </w:tcBorders>
          </w:tcPr>
          <w:p w14:paraId="3D6554EF" w14:textId="77777777" w:rsidR="00371CDC" w:rsidRPr="005B00DE" w:rsidRDefault="00371CDC" w:rsidP="00751041">
            <w:pPr>
              <w:jc w:val="center"/>
              <w:cnfStyle w:val="100000000000" w:firstRow="1" w:lastRow="0" w:firstColumn="0" w:lastColumn="0" w:oddVBand="0" w:evenVBand="0" w:oddHBand="0" w:evenHBand="0" w:firstRowFirstColumn="0" w:firstRowLastColumn="0" w:lastRowFirstColumn="0" w:lastRowLastColumn="0"/>
              <w:rPr>
                <w:sz w:val="20"/>
                <w:szCs w:val="20"/>
              </w:rPr>
            </w:pPr>
            <w:r w:rsidRPr="005B00DE">
              <w:rPr>
                <w:sz w:val="20"/>
                <w:szCs w:val="20"/>
              </w:rPr>
              <w:t>Sisu</w:t>
            </w:r>
          </w:p>
        </w:tc>
        <w:tc>
          <w:tcPr>
            <w:tcW w:w="3021" w:type="dxa"/>
            <w:tcBorders>
              <w:bottom w:val="single" w:sz="4" w:space="0" w:color="auto"/>
            </w:tcBorders>
          </w:tcPr>
          <w:p w14:paraId="737836D4" w14:textId="7B409D93" w:rsidR="00371CDC" w:rsidRPr="005B00DE" w:rsidRDefault="00371CDC" w:rsidP="00751041">
            <w:pPr>
              <w:jc w:val="center"/>
              <w:cnfStyle w:val="100000000000" w:firstRow="1" w:lastRow="0" w:firstColumn="0" w:lastColumn="0" w:oddVBand="0" w:evenVBand="0" w:oddHBand="0" w:evenHBand="0" w:firstRowFirstColumn="0" w:firstRowLastColumn="0" w:lastRowFirstColumn="0" w:lastRowLastColumn="0"/>
              <w:rPr>
                <w:sz w:val="20"/>
                <w:szCs w:val="20"/>
              </w:rPr>
            </w:pPr>
            <w:r w:rsidRPr="005B00DE">
              <w:rPr>
                <w:sz w:val="20"/>
                <w:szCs w:val="20"/>
              </w:rPr>
              <w:t>Millal soovitame kasutada?</w:t>
            </w:r>
          </w:p>
        </w:tc>
      </w:tr>
      <w:tr w:rsidR="00E00693" w:rsidRPr="005B00DE" w14:paraId="3E46CD65" w14:textId="77777777" w:rsidTr="3E4824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tcPr>
          <w:p w14:paraId="5075C882" w14:textId="6521189F" w:rsidR="00870059" w:rsidRPr="00B54A22" w:rsidRDefault="00082AC5" w:rsidP="000E61CC">
            <w:pPr>
              <w:rPr>
                <w:b w:val="0"/>
                <w:bCs w:val="0"/>
                <w:sz w:val="20"/>
                <w:szCs w:val="20"/>
              </w:rPr>
            </w:pPr>
            <w:r>
              <w:rPr>
                <w:sz w:val="20"/>
                <w:szCs w:val="20"/>
              </w:rPr>
              <w:t>Registreerimine</w:t>
            </w:r>
            <w:r w:rsidR="002923D8">
              <w:rPr>
                <w:sz w:val="20"/>
                <w:szCs w:val="20"/>
              </w:rPr>
              <w:t xml:space="preserve"> KOV infosüsteemis</w:t>
            </w:r>
            <w:r w:rsidR="00870059">
              <w:rPr>
                <w:sz w:val="20"/>
                <w:szCs w:val="20"/>
              </w:rPr>
              <w:t xml:space="preserve"> (KOV-põhine, ei eelda riigi osalust)</w:t>
            </w:r>
          </w:p>
        </w:tc>
        <w:tc>
          <w:tcPr>
            <w:tcW w:w="4932" w:type="dxa"/>
            <w:tcBorders>
              <w:top w:val="single" w:sz="4" w:space="0" w:color="auto"/>
              <w:left w:val="single" w:sz="4" w:space="0" w:color="auto"/>
              <w:bottom w:val="single" w:sz="4" w:space="0" w:color="auto"/>
              <w:right w:val="single" w:sz="4" w:space="0" w:color="auto"/>
            </w:tcBorders>
          </w:tcPr>
          <w:p w14:paraId="5199FAE4" w14:textId="1F178995" w:rsidR="00371CDC" w:rsidRPr="005B00DE" w:rsidRDefault="00371CDC" w:rsidP="000E61CC">
            <w:pPr>
              <w:cnfStyle w:val="000000100000" w:firstRow="0" w:lastRow="0" w:firstColumn="0" w:lastColumn="0" w:oddVBand="0" w:evenVBand="0" w:oddHBand="1" w:evenHBand="0" w:firstRowFirstColumn="0" w:firstRowLastColumn="0" w:lastRowFirstColumn="0" w:lastRowLastColumn="0"/>
              <w:rPr>
                <w:sz w:val="20"/>
                <w:szCs w:val="20"/>
              </w:rPr>
            </w:pPr>
            <w:r w:rsidRPr="005B00DE">
              <w:rPr>
                <w:sz w:val="20"/>
                <w:szCs w:val="20"/>
              </w:rPr>
              <w:t xml:space="preserve">Teenuse osutamise õigus tekib kohe pärast </w:t>
            </w:r>
            <w:r w:rsidR="002923D8">
              <w:rPr>
                <w:sz w:val="20"/>
                <w:szCs w:val="20"/>
              </w:rPr>
              <w:t>registreerimiskinnituse saamist</w:t>
            </w:r>
            <w:r w:rsidRPr="005B00DE">
              <w:rPr>
                <w:sz w:val="20"/>
                <w:szCs w:val="20"/>
              </w:rPr>
              <w:t>, teave</w:t>
            </w:r>
            <w:r w:rsidR="007F2E3F">
              <w:rPr>
                <w:sz w:val="20"/>
                <w:szCs w:val="20"/>
              </w:rPr>
              <w:t>t nõudluse kohta ei</w:t>
            </w:r>
            <w:r w:rsidRPr="005B00DE">
              <w:rPr>
                <w:sz w:val="20"/>
                <w:szCs w:val="20"/>
              </w:rPr>
              <w:t xml:space="preserve"> koguta</w:t>
            </w:r>
            <w:r w:rsidR="00F9509C">
              <w:rPr>
                <w:sz w:val="20"/>
                <w:szCs w:val="20"/>
              </w:rPr>
              <w:t>, pakkumise teave saadakse infosüsteemist</w:t>
            </w:r>
          </w:p>
        </w:tc>
        <w:tc>
          <w:tcPr>
            <w:tcW w:w="3021" w:type="dxa"/>
            <w:tcBorders>
              <w:top w:val="single" w:sz="4" w:space="0" w:color="auto"/>
              <w:left w:val="single" w:sz="4" w:space="0" w:color="auto"/>
              <w:bottom w:val="single" w:sz="4" w:space="0" w:color="auto"/>
              <w:right w:val="single" w:sz="4" w:space="0" w:color="auto"/>
            </w:tcBorders>
          </w:tcPr>
          <w:p w14:paraId="4D94B04A" w14:textId="539CBDEB" w:rsidR="00371CDC" w:rsidRDefault="00371CDC" w:rsidP="000E61CC">
            <w:pPr>
              <w:cnfStyle w:val="000000100000" w:firstRow="0" w:lastRow="0" w:firstColumn="0" w:lastColumn="0" w:oddVBand="0" w:evenVBand="0" w:oddHBand="1" w:evenHBand="0" w:firstRowFirstColumn="0" w:firstRowLastColumn="0" w:lastRowFirstColumn="0" w:lastRowLastColumn="0"/>
              <w:rPr>
                <w:sz w:val="20"/>
                <w:szCs w:val="20"/>
              </w:rPr>
            </w:pPr>
            <w:r w:rsidRPr="005B00DE">
              <w:rPr>
                <w:sz w:val="20"/>
                <w:szCs w:val="20"/>
              </w:rPr>
              <w:t>- Tea</w:t>
            </w:r>
            <w:r w:rsidR="00C93844">
              <w:rPr>
                <w:sz w:val="20"/>
                <w:szCs w:val="20"/>
              </w:rPr>
              <w:t>be kogumiseks</w:t>
            </w:r>
            <w:r w:rsidRPr="005B00DE">
              <w:rPr>
                <w:sz w:val="20"/>
                <w:szCs w:val="20"/>
              </w:rPr>
              <w:t xml:space="preserve"> ja järelevalve</w:t>
            </w:r>
            <w:r w:rsidR="00C93844">
              <w:rPr>
                <w:sz w:val="20"/>
                <w:szCs w:val="20"/>
              </w:rPr>
              <w:t xml:space="preserve"> tegemiseks</w:t>
            </w:r>
          </w:p>
          <w:p w14:paraId="336014B1" w14:textId="3F2EC706" w:rsidR="001B5220" w:rsidRDefault="001B5220" w:rsidP="000E61C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Piirangute, keeldude ja tasu rakendami</w:t>
            </w:r>
            <w:r w:rsidR="00EB4FA6">
              <w:rPr>
                <w:sz w:val="20"/>
                <w:szCs w:val="20"/>
              </w:rPr>
              <w:t>sel</w:t>
            </w:r>
          </w:p>
          <w:p w14:paraId="1B3AEA9A" w14:textId="16515A94" w:rsidR="00836261" w:rsidRPr="005B00DE" w:rsidRDefault="00CA3883" w:rsidP="000E61C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Kui</w:t>
            </w:r>
            <w:r w:rsidR="00590277">
              <w:rPr>
                <w:sz w:val="20"/>
                <w:szCs w:val="20"/>
              </w:rPr>
              <w:t xml:space="preserve"> KOVi</w:t>
            </w:r>
            <w:r>
              <w:rPr>
                <w:sz w:val="20"/>
                <w:szCs w:val="20"/>
              </w:rPr>
              <w:t>l on</w:t>
            </w:r>
            <w:r w:rsidR="00590277">
              <w:rPr>
                <w:sz w:val="20"/>
                <w:szCs w:val="20"/>
              </w:rPr>
              <w:t xml:space="preserve"> võimekust ise registreerimine korraldada</w:t>
            </w:r>
          </w:p>
        </w:tc>
      </w:tr>
      <w:tr w:rsidR="00E00693" w:rsidRPr="005B00DE" w14:paraId="51639808" w14:textId="77777777" w:rsidTr="3E482406">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tcPr>
          <w:p w14:paraId="3D425F0D" w14:textId="6505CF86" w:rsidR="00371CDC" w:rsidRPr="005B00DE" w:rsidRDefault="00371CDC" w:rsidP="000E61CC">
            <w:pPr>
              <w:rPr>
                <w:sz w:val="20"/>
                <w:szCs w:val="20"/>
              </w:rPr>
            </w:pPr>
            <w:r w:rsidRPr="005B00DE">
              <w:rPr>
                <w:sz w:val="20"/>
                <w:szCs w:val="20"/>
              </w:rPr>
              <w:t>Registreerimine</w:t>
            </w:r>
            <w:r w:rsidR="002923D8">
              <w:rPr>
                <w:sz w:val="20"/>
                <w:szCs w:val="20"/>
              </w:rPr>
              <w:t xml:space="preserve"> riigi infosüsteemis</w:t>
            </w:r>
            <w:r w:rsidR="006E7454">
              <w:rPr>
                <w:sz w:val="20"/>
                <w:szCs w:val="20"/>
              </w:rPr>
              <w:t xml:space="preserve"> (TTJA </w:t>
            </w:r>
            <w:r w:rsidR="00DE64D3">
              <w:rPr>
                <w:sz w:val="20"/>
                <w:szCs w:val="20"/>
              </w:rPr>
              <w:t>majandustegevuse regist</w:t>
            </w:r>
            <w:r w:rsidR="00870059">
              <w:rPr>
                <w:sz w:val="20"/>
                <w:szCs w:val="20"/>
              </w:rPr>
              <w:t>ris, seega eeldab riigi osalust</w:t>
            </w:r>
            <w:r w:rsidR="006E7454">
              <w:rPr>
                <w:sz w:val="20"/>
                <w:szCs w:val="20"/>
              </w:rPr>
              <w:t>)</w:t>
            </w:r>
          </w:p>
        </w:tc>
        <w:tc>
          <w:tcPr>
            <w:tcW w:w="4932" w:type="dxa"/>
            <w:tcBorders>
              <w:top w:val="single" w:sz="4" w:space="0" w:color="auto"/>
              <w:left w:val="single" w:sz="4" w:space="0" w:color="auto"/>
              <w:bottom w:val="single" w:sz="4" w:space="0" w:color="auto"/>
              <w:right w:val="single" w:sz="4" w:space="0" w:color="auto"/>
            </w:tcBorders>
          </w:tcPr>
          <w:p w14:paraId="36455AE0" w14:textId="2AF742F0" w:rsidR="00371CDC" w:rsidRPr="005B00DE" w:rsidRDefault="00371CDC" w:rsidP="000E61CC">
            <w:pPr>
              <w:cnfStyle w:val="000000000000" w:firstRow="0" w:lastRow="0" w:firstColumn="0" w:lastColumn="0" w:oddVBand="0" w:evenVBand="0" w:oddHBand="0" w:evenHBand="0" w:firstRowFirstColumn="0" w:firstRowLastColumn="0" w:lastRowFirstColumn="0" w:lastRowLastColumn="0"/>
              <w:rPr>
                <w:sz w:val="20"/>
                <w:szCs w:val="20"/>
              </w:rPr>
            </w:pPr>
            <w:r w:rsidRPr="005B00DE">
              <w:rPr>
                <w:sz w:val="20"/>
                <w:szCs w:val="20"/>
              </w:rPr>
              <w:t xml:space="preserve">Teenuse osutamise õigus tekib </w:t>
            </w:r>
            <w:r w:rsidR="002923D8">
              <w:rPr>
                <w:sz w:val="20"/>
                <w:szCs w:val="20"/>
              </w:rPr>
              <w:t xml:space="preserve">kohe </w:t>
            </w:r>
            <w:r w:rsidRPr="005B00DE">
              <w:rPr>
                <w:sz w:val="20"/>
                <w:szCs w:val="20"/>
              </w:rPr>
              <w:t>pärast registreerimiskinnituse saamist, teave</w:t>
            </w:r>
            <w:r w:rsidR="007F2E3F">
              <w:rPr>
                <w:sz w:val="20"/>
                <w:szCs w:val="20"/>
              </w:rPr>
              <w:t>t nõudluse kohta ei koguta</w:t>
            </w:r>
            <w:r w:rsidR="00F9509C">
              <w:rPr>
                <w:sz w:val="20"/>
                <w:szCs w:val="20"/>
              </w:rPr>
              <w:t>, pakkumise teave saadakse registrist</w:t>
            </w:r>
          </w:p>
        </w:tc>
        <w:tc>
          <w:tcPr>
            <w:tcW w:w="3021" w:type="dxa"/>
            <w:tcBorders>
              <w:top w:val="single" w:sz="4" w:space="0" w:color="auto"/>
              <w:left w:val="single" w:sz="4" w:space="0" w:color="auto"/>
              <w:bottom w:val="single" w:sz="4" w:space="0" w:color="auto"/>
              <w:right w:val="single" w:sz="4" w:space="0" w:color="auto"/>
            </w:tcBorders>
          </w:tcPr>
          <w:p w14:paraId="1DBC2575" w14:textId="4A0CA154" w:rsidR="00371CDC" w:rsidRPr="005B00DE" w:rsidRDefault="00371CDC" w:rsidP="000E61CC">
            <w:pPr>
              <w:cnfStyle w:val="000000000000" w:firstRow="0" w:lastRow="0" w:firstColumn="0" w:lastColumn="0" w:oddVBand="0" w:evenVBand="0" w:oddHBand="0" w:evenHBand="0" w:firstRowFirstColumn="0" w:firstRowLastColumn="0" w:lastRowFirstColumn="0" w:lastRowLastColumn="0"/>
              <w:rPr>
                <w:sz w:val="20"/>
                <w:szCs w:val="20"/>
              </w:rPr>
            </w:pPr>
            <w:r w:rsidRPr="005B00DE">
              <w:rPr>
                <w:sz w:val="20"/>
                <w:szCs w:val="20"/>
              </w:rPr>
              <w:t>- Tea</w:t>
            </w:r>
            <w:r w:rsidR="00420183">
              <w:rPr>
                <w:sz w:val="20"/>
                <w:szCs w:val="20"/>
              </w:rPr>
              <w:t>be kogumiseks</w:t>
            </w:r>
            <w:r w:rsidRPr="005B00DE">
              <w:rPr>
                <w:sz w:val="20"/>
                <w:szCs w:val="20"/>
              </w:rPr>
              <w:t xml:space="preserve"> ja järelevalve</w:t>
            </w:r>
            <w:r w:rsidR="00420183">
              <w:rPr>
                <w:sz w:val="20"/>
                <w:szCs w:val="20"/>
              </w:rPr>
              <w:t xml:space="preserve"> tegemiseks</w:t>
            </w:r>
          </w:p>
          <w:p w14:paraId="1D6D288A" w14:textId="6195F662" w:rsidR="00371CDC" w:rsidRDefault="00371CDC" w:rsidP="000E61CC">
            <w:pPr>
              <w:cnfStyle w:val="000000000000" w:firstRow="0" w:lastRow="0" w:firstColumn="0" w:lastColumn="0" w:oddVBand="0" w:evenVBand="0" w:oddHBand="0" w:evenHBand="0" w:firstRowFirstColumn="0" w:firstRowLastColumn="0" w:lastRowFirstColumn="0" w:lastRowLastColumn="0"/>
              <w:rPr>
                <w:sz w:val="20"/>
                <w:szCs w:val="20"/>
              </w:rPr>
            </w:pPr>
            <w:r w:rsidRPr="005B00DE">
              <w:rPr>
                <w:sz w:val="20"/>
                <w:szCs w:val="20"/>
              </w:rPr>
              <w:t>- Piirangute</w:t>
            </w:r>
            <w:r w:rsidR="00E54223">
              <w:rPr>
                <w:sz w:val="20"/>
                <w:szCs w:val="20"/>
              </w:rPr>
              <w:t>,</w:t>
            </w:r>
            <w:r w:rsidRPr="005B00DE">
              <w:rPr>
                <w:sz w:val="20"/>
                <w:szCs w:val="20"/>
              </w:rPr>
              <w:t xml:space="preserve"> keeldude</w:t>
            </w:r>
            <w:r w:rsidR="00E54223">
              <w:rPr>
                <w:sz w:val="20"/>
                <w:szCs w:val="20"/>
              </w:rPr>
              <w:t xml:space="preserve"> ja tasu</w:t>
            </w:r>
            <w:r w:rsidRPr="005B00DE">
              <w:rPr>
                <w:sz w:val="20"/>
                <w:szCs w:val="20"/>
              </w:rPr>
              <w:t xml:space="preserve"> rakendami</w:t>
            </w:r>
            <w:r w:rsidR="00420183">
              <w:rPr>
                <w:sz w:val="20"/>
                <w:szCs w:val="20"/>
              </w:rPr>
              <w:t>seks</w:t>
            </w:r>
          </w:p>
          <w:p w14:paraId="55F5CA6D" w14:textId="4FA8AEFC" w:rsidR="00945082" w:rsidRPr="005B00DE" w:rsidRDefault="00945082" w:rsidP="000E61C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Asjakohane, kui KOV-l endal registreerimise korraldamise võimekus on madal või </w:t>
            </w:r>
            <w:r w:rsidR="00D77091">
              <w:rPr>
                <w:sz w:val="20"/>
                <w:szCs w:val="20"/>
              </w:rPr>
              <w:t>registreerimist soovib rakendada rohkem kui 1-2 KOV-i.</w:t>
            </w:r>
          </w:p>
        </w:tc>
      </w:tr>
      <w:tr w:rsidR="00E00693" w:rsidRPr="005B00DE" w14:paraId="265599FB" w14:textId="77777777" w:rsidTr="3E4824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tcPr>
          <w:p w14:paraId="74CC3BFA" w14:textId="572CB13E" w:rsidR="00371CDC" w:rsidRPr="005B00DE" w:rsidRDefault="00371CDC" w:rsidP="000E61CC">
            <w:pPr>
              <w:rPr>
                <w:sz w:val="20"/>
                <w:szCs w:val="20"/>
              </w:rPr>
            </w:pPr>
            <w:r w:rsidRPr="005B00DE">
              <w:rPr>
                <w:sz w:val="20"/>
                <w:szCs w:val="20"/>
              </w:rPr>
              <w:t>Registreerimine määruse (EL) 2024/1028 raamistikus</w:t>
            </w:r>
            <w:r w:rsidR="00870059">
              <w:rPr>
                <w:sz w:val="20"/>
                <w:szCs w:val="20"/>
              </w:rPr>
              <w:t xml:space="preserve"> (eeldab riigi osalust)</w:t>
            </w:r>
          </w:p>
        </w:tc>
        <w:tc>
          <w:tcPr>
            <w:tcW w:w="4932" w:type="dxa"/>
            <w:tcBorders>
              <w:top w:val="single" w:sz="4" w:space="0" w:color="auto"/>
              <w:left w:val="single" w:sz="4" w:space="0" w:color="auto"/>
              <w:bottom w:val="single" w:sz="4" w:space="0" w:color="auto"/>
              <w:right w:val="single" w:sz="4" w:space="0" w:color="auto"/>
            </w:tcBorders>
          </w:tcPr>
          <w:p w14:paraId="5A25D430" w14:textId="017213B7" w:rsidR="00371CDC" w:rsidRPr="005B00DE" w:rsidRDefault="00371CDC" w:rsidP="000E61CC">
            <w:pPr>
              <w:cnfStyle w:val="000000100000" w:firstRow="0" w:lastRow="0" w:firstColumn="0" w:lastColumn="0" w:oddVBand="0" w:evenVBand="0" w:oddHBand="1" w:evenHBand="0" w:firstRowFirstColumn="0" w:firstRowLastColumn="0" w:lastRowFirstColumn="0" w:lastRowLastColumn="0"/>
              <w:rPr>
                <w:sz w:val="20"/>
                <w:szCs w:val="20"/>
              </w:rPr>
            </w:pPr>
            <w:r w:rsidRPr="005B00DE">
              <w:rPr>
                <w:sz w:val="20"/>
                <w:szCs w:val="20"/>
              </w:rPr>
              <w:t xml:space="preserve">Teenuse osutamise õigus tekib pärast registreerimiskinnituse saamist, teave </w:t>
            </w:r>
            <w:r w:rsidR="00CC47F1">
              <w:rPr>
                <w:sz w:val="20"/>
                <w:szCs w:val="20"/>
              </w:rPr>
              <w:t xml:space="preserve">nõudluse </w:t>
            </w:r>
            <w:r w:rsidR="615370F3" w:rsidRPr="1D793FCD">
              <w:rPr>
                <w:sz w:val="20"/>
                <w:szCs w:val="20"/>
              </w:rPr>
              <w:t>kohta</w:t>
            </w:r>
            <w:r w:rsidR="6E995DAE" w:rsidRPr="1D793FCD">
              <w:rPr>
                <w:sz w:val="20"/>
                <w:szCs w:val="20"/>
              </w:rPr>
              <w:t xml:space="preserve"> </w:t>
            </w:r>
            <w:r w:rsidRPr="005B00DE">
              <w:rPr>
                <w:sz w:val="20"/>
                <w:szCs w:val="20"/>
              </w:rPr>
              <w:t>kogutakse platvormidelt</w:t>
            </w:r>
            <w:r w:rsidR="00F9509C">
              <w:rPr>
                <w:sz w:val="20"/>
                <w:szCs w:val="20"/>
              </w:rPr>
              <w:t>, pakkumise teave saadakse registrist</w:t>
            </w:r>
          </w:p>
        </w:tc>
        <w:tc>
          <w:tcPr>
            <w:tcW w:w="3021" w:type="dxa"/>
            <w:tcBorders>
              <w:top w:val="single" w:sz="4" w:space="0" w:color="auto"/>
              <w:left w:val="single" w:sz="4" w:space="0" w:color="auto"/>
              <w:bottom w:val="single" w:sz="4" w:space="0" w:color="auto"/>
              <w:right w:val="single" w:sz="4" w:space="0" w:color="auto"/>
            </w:tcBorders>
          </w:tcPr>
          <w:p w14:paraId="784A24B4" w14:textId="5119EE1C" w:rsidR="00371CDC" w:rsidRPr="005B00DE" w:rsidRDefault="00371CDC" w:rsidP="000E61CC">
            <w:pPr>
              <w:cnfStyle w:val="000000100000" w:firstRow="0" w:lastRow="0" w:firstColumn="0" w:lastColumn="0" w:oddVBand="0" w:evenVBand="0" w:oddHBand="1" w:evenHBand="0" w:firstRowFirstColumn="0" w:firstRowLastColumn="0" w:lastRowFirstColumn="0" w:lastRowLastColumn="0"/>
              <w:rPr>
                <w:sz w:val="20"/>
                <w:szCs w:val="20"/>
              </w:rPr>
            </w:pPr>
            <w:r w:rsidRPr="005B00DE">
              <w:rPr>
                <w:sz w:val="20"/>
                <w:szCs w:val="20"/>
              </w:rPr>
              <w:t>- Tea</w:t>
            </w:r>
            <w:r w:rsidR="00420183">
              <w:rPr>
                <w:sz w:val="20"/>
                <w:szCs w:val="20"/>
              </w:rPr>
              <w:t>be kogumiseks</w:t>
            </w:r>
            <w:r w:rsidRPr="005B00DE">
              <w:rPr>
                <w:sz w:val="20"/>
                <w:szCs w:val="20"/>
              </w:rPr>
              <w:t xml:space="preserve"> ja järelevalve</w:t>
            </w:r>
            <w:r w:rsidR="00420183">
              <w:rPr>
                <w:sz w:val="20"/>
                <w:szCs w:val="20"/>
              </w:rPr>
              <w:t xml:space="preserve"> tegemiseks</w:t>
            </w:r>
          </w:p>
          <w:p w14:paraId="4F6F037A" w14:textId="6AD08036" w:rsidR="00371CDC" w:rsidRDefault="00371CDC" w:rsidP="000E61CC">
            <w:pPr>
              <w:cnfStyle w:val="000000100000" w:firstRow="0" w:lastRow="0" w:firstColumn="0" w:lastColumn="0" w:oddVBand="0" w:evenVBand="0" w:oddHBand="1" w:evenHBand="0" w:firstRowFirstColumn="0" w:firstRowLastColumn="0" w:lastRowFirstColumn="0" w:lastRowLastColumn="0"/>
              <w:rPr>
                <w:sz w:val="20"/>
                <w:szCs w:val="20"/>
              </w:rPr>
            </w:pPr>
            <w:r w:rsidRPr="005B00DE">
              <w:rPr>
                <w:sz w:val="20"/>
                <w:szCs w:val="20"/>
              </w:rPr>
              <w:t>-</w:t>
            </w:r>
            <w:r w:rsidR="00795C50">
              <w:rPr>
                <w:sz w:val="20"/>
                <w:szCs w:val="20"/>
              </w:rPr>
              <w:t xml:space="preserve"> </w:t>
            </w:r>
            <w:r w:rsidRPr="005B00DE">
              <w:rPr>
                <w:sz w:val="20"/>
                <w:szCs w:val="20"/>
              </w:rPr>
              <w:t>Piirangute</w:t>
            </w:r>
            <w:r w:rsidR="00E54223">
              <w:rPr>
                <w:sz w:val="20"/>
                <w:szCs w:val="20"/>
              </w:rPr>
              <w:t>,</w:t>
            </w:r>
            <w:r w:rsidRPr="005B00DE">
              <w:rPr>
                <w:sz w:val="20"/>
                <w:szCs w:val="20"/>
              </w:rPr>
              <w:t xml:space="preserve"> keeldude</w:t>
            </w:r>
            <w:r w:rsidR="00E54223">
              <w:rPr>
                <w:sz w:val="20"/>
                <w:szCs w:val="20"/>
              </w:rPr>
              <w:t xml:space="preserve"> ja tasu</w:t>
            </w:r>
            <w:r w:rsidRPr="005B00DE">
              <w:rPr>
                <w:sz w:val="20"/>
                <w:szCs w:val="20"/>
              </w:rPr>
              <w:t xml:space="preserve"> rakendami</w:t>
            </w:r>
            <w:r w:rsidR="00420183">
              <w:rPr>
                <w:sz w:val="20"/>
                <w:szCs w:val="20"/>
              </w:rPr>
              <w:t>seks</w:t>
            </w:r>
          </w:p>
          <w:p w14:paraId="51347512" w14:textId="5BD381DD" w:rsidR="001B5220" w:rsidRPr="005B00DE" w:rsidRDefault="001B5220" w:rsidP="000E61C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420183">
              <w:rPr>
                <w:sz w:val="20"/>
                <w:szCs w:val="20"/>
              </w:rPr>
              <w:t>Kui s</w:t>
            </w:r>
            <w:r>
              <w:rPr>
                <w:sz w:val="20"/>
                <w:szCs w:val="20"/>
              </w:rPr>
              <w:t>oovitakse koguda ka nõudluse andmeid</w:t>
            </w:r>
          </w:p>
          <w:p w14:paraId="70E54359" w14:textId="4F295888" w:rsidR="00371CDC" w:rsidRPr="005B00DE" w:rsidRDefault="00371CDC" w:rsidP="000E61CC">
            <w:pPr>
              <w:cnfStyle w:val="000000100000" w:firstRow="0" w:lastRow="0" w:firstColumn="0" w:lastColumn="0" w:oddVBand="0" w:evenVBand="0" w:oddHBand="1" w:evenHBand="0" w:firstRowFirstColumn="0" w:firstRowLastColumn="0" w:lastRowFirstColumn="0" w:lastRowLastColumn="0"/>
              <w:rPr>
                <w:sz w:val="20"/>
                <w:szCs w:val="20"/>
              </w:rPr>
            </w:pPr>
            <w:r w:rsidRPr="005B00DE">
              <w:rPr>
                <w:sz w:val="20"/>
                <w:szCs w:val="20"/>
              </w:rPr>
              <w:t>-</w:t>
            </w:r>
            <w:r w:rsidR="00795C50">
              <w:rPr>
                <w:sz w:val="20"/>
                <w:szCs w:val="20"/>
              </w:rPr>
              <w:t xml:space="preserve"> </w:t>
            </w:r>
            <w:r w:rsidR="00CA3883">
              <w:rPr>
                <w:sz w:val="20"/>
                <w:szCs w:val="20"/>
              </w:rPr>
              <w:t>Eesmärk on h</w:t>
            </w:r>
            <w:r w:rsidRPr="005B00DE">
              <w:rPr>
                <w:sz w:val="20"/>
                <w:szCs w:val="20"/>
              </w:rPr>
              <w:t>õlma</w:t>
            </w:r>
            <w:r w:rsidR="00CA3883">
              <w:rPr>
                <w:sz w:val="20"/>
                <w:szCs w:val="20"/>
              </w:rPr>
              <w:t>ta</w:t>
            </w:r>
            <w:r w:rsidR="006E7454" w:rsidRPr="005B00DE">
              <w:rPr>
                <w:sz w:val="20"/>
                <w:szCs w:val="20"/>
              </w:rPr>
              <w:t xml:space="preserve"> </w:t>
            </w:r>
            <w:r w:rsidRPr="005B00DE">
              <w:rPr>
                <w:sz w:val="20"/>
                <w:szCs w:val="20"/>
              </w:rPr>
              <w:t xml:space="preserve">platvormide kaudu </w:t>
            </w:r>
            <w:r w:rsidR="008C1CFD">
              <w:rPr>
                <w:sz w:val="20"/>
                <w:szCs w:val="20"/>
              </w:rPr>
              <w:t xml:space="preserve">teenuse </w:t>
            </w:r>
            <w:r w:rsidRPr="005B00DE">
              <w:rPr>
                <w:sz w:val="20"/>
                <w:szCs w:val="20"/>
              </w:rPr>
              <w:t>pakkujaid</w:t>
            </w:r>
          </w:p>
        </w:tc>
      </w:tr>
    </w:tbl>
    <w:p w14:paraId="2F582188" w14:textId="7CD99886" w:rsidR="00B035D4" w:rsidRDefault="00B035D4" w:rsidP="00872DC3">
      <w:pPr>
        <w:jc w:val="both"/>
      </w:pPr>
    </w:p>
    <w:p w14:paraId="3E160D9B" w14:textId="04A73E48" w:rsidR="00FD4A0E" w:rsidRDefault="00D21178" w:rsidP="00872DC3">
      <w:pPr>
        <w:jc w:val="both"/>
      </w:pPr>
      <w:r w:rsidRPr="00BE179D">
        <w:rPr>
          <w:b/>
          <w:bCs/>
        </w:rPr>
        <w:t>Eluruumi</w:t>
      </w:r>
      <w:r w:rsidR="00440C6C" w:rsidRPr="00BE179D">
        <w:rPr>
          <w:b/>
          <w:bCs/>
        </w:rPr>
        <w:t xml:space="preserve">s majutusteenuse </w:t>
      </w:r>
      <w:r w:rsidR="00721720" w:rsidRPr="00BE179D">
        <w:rPr>
          <w:b/>
          <w:bCs/>
        </w:rPr>
        <w:t>osutamise tasu</w:t>
      </w:r>
      <w:r w:rsidR="00DA49E2">
        <w:t xml:space="preserve"> (soovitus ii)</w:t>
      </w:r>
      <w:r w:rsidR="00721720">
        <w:t xml:space="preserve"> </w:t>
      </w:r>
      <w:r w:rsidR="00034582">
        <w:t xml:space="preserve">kehtestamise </w:t>
      </w:r>
      <w:r w:rsidR="00721720">
        <w:t xml:space="preserve">võimalus täidaks </w:t>
      </w:r>
      <w:r w:rsidR="00231BE8">
        <w:t xml:space="preserve">mitte fiskaalset, vaid </w:t>
      </w:r>
      <w:r w:rsidR="00721720">
        <w:t>regulatiivset rolli</w:t>
      </w:r>
      <w:r w:rsidR="00231BE8">
        <w:t xml:space="preserve">. </w:t>
      </w:r>
      <w:r w:rsidR="0061262D">
        <w:t xml:space="preserve">Sellel põhjusel nimetame seda tasuks, mitte maksuks, </w:t>
      </w:r>
      <w:r w:rsidR="000F4048">
        <w:t>kuna</w:t>
      </w:r>
      <w:r w:rsidR="0061262D">
        <w:t xml:space="preserve"> eesmärk </w:t>
      </w:r>
      <w:r w:rsidR="000F4048">
        <w:t xml:space="preserve">ei </w:t>
      </w:r>
      <w:r w:rsidR="0061262D">
        <w:t>oleks tulude kogumine</w:t>
      </w:r>
      <w:r w:rsidR="000F4048">
        <w:t xml:space="preserve">, kuigi </w:t>
      </w:r>
      <w:r w:rsidR="006C24BD">
        <w:t>fiskaalne efekt</w:t>
      </w:r>
      <w:r w:rsidR="000F4048">
        <w:t xml:space="preserve"> võib </w:t>
      </w:r>
      <w:r w:rsidR="006C24BD">
        <w:t>selle rakendamisel olla oluli</w:t>
      </w:r>
      <w:r w:rsidR="00323202">
        <w:t>ne</w:t>
      </w:r>
      <w:r w:rsidR="006C24BD">
        <w:t xml:space="preserve"> </w:t>
      </w:r>
      <w:r w:rsidR="000F4048">
        <w:t>lisa</w:t>
      </w:r>
      <w:r w:rsidR="00323202">
        <w:t>kasu</w:t>
      </w:r>
      <w:r w:rsidR="0061262D">
        <w:t>.</w:t>
      </w:r>
      <w:r w:rsidR="005127C7">
        <w:t xml:space="preserve"> </w:t>
      </w:r>
      <w:r w:rsidR="00693045">
        <w:t>T</w:t>
      </w:r>
      <w:r w:rsidR="005127C7">
        <w:t xml:space="preserve">eiste riikide praktikate analüüs näitas, et eraldi maksu lühiajalisele </w:t>
      </w:r>
      <w:r w:rsidR="007C4731">
        <w:t xml:space="preserve">üürimisele on </w:t>
      </w:r>
      <w:r w:rsidR="007C4731">
        <w:lastRenderedPageBreak/>
        <w:t xml:space="preserve">rakendatud harva, </w:t>
      </w:r>
      <w:r w:rsidR="00220304">
        <w:t>samas teenuse osutajana registreerimise eest tasu maksmise kohustus on pigem tavapärane.</w:t>
      </w:r>
      <w:r w:rsidR="0047588D">
        <w:t xml:space="preserve"> </w:t>
      </w:r>
      <w:r w:rsidR="00220304">
        <w:t>Eesti kontekstis s</w:t>
      </w:r>
      <w:r w:rsidR="0047588D">
        <w:t xml:space="preserve">oovitusena pakutud tasu oleks oma </w:t>
      </w:r>
      <w:r w:rsidR="00C164C5">
        <w:t>majandusteoreetilistelt omadustelt</w:t>
      </w:r>
      <w:r w:rsidR="0047588D">
        <w:t xml:space="preserve"> klassikaline </w:t>
      </w:r>
      <w:r w:rsidR="001366A7">
        <w:t>negatiivseid välismõjusid korrigeeriv</w:t>
      </w:r>
      <w:r w:rsidR="0047588D">
        <w:t xml:space="preserve"> maks</w:t>
      </w:r>
      <w:r w:rsidR="00814FD9">
        <w:t>, mis</w:t>
      </w:r>
      <w:r w:rsidR="009B298D">
        <w:t xml:space="preserve"> </w:t>
      </w:r>
      <w:r w:rsidR="00F32677">
        <w:t xml:space="preserve">muudaks </w:t>
      </w:r>
      <w:r w:rsidR="009B298D">
        <w:t xml:space="preserve">lühiajalise üüri teenuse osutajate ja kasutajate </w:t>
      </w:r>
      <w:r w:rsidR="00F32677">
        <w:t xml:space="preserve">kolmandatele osapooltele </w:t>
      </w:r>
      <w:r w:rsidR="009B298D">
        <w:t>põhjustatud</w:t>
      </w:r>
      <w:r w:rsidR="00F32677">
        <w:t xml:space="preserve"> kulud </w:t>
      </w:r>
      <w:r w:rsidR="00762B75">
        <w:t>ka nende endi poolt selgemalt tajutavaks</w:t>
      </w:r>
      <w:r w:rsidR="00081F59">
        <w:t>. Ühtlasi aitaks see parandada</w:t>
      </w:r>
      <w:r w:rsidR="001A00CD">
        <w:t xml:space="preserve"> pikaajalise üürimise</w:t>
      </w:r>
      <w:r w:rsidR="00081F59">
        <w:t xml:space="preserve"> atraktiivsust, </w:t>
      </w:r>
      <w:r w:rsidR="0073025E">
        <w:t xml:space="preserve">mis tulenevalt turutõrgetest </w:t>
      </w:r>
      <w:r w:rsidR="00796BC2">
        <w:t xml:space="preserve">näib eluruumide omanikele madalam kui see tegelikult on </w:t>
      </w:r>
      <w:r w:rsidR="009B07D6">
        <w:t xml:space="preserve">selle piirkonna </w:t>
      </w:r>
      <w:r w:rsidR="00796BC2">
        <w:t xml:space="preserve">kogukonnale </w:t>
      </w:r>
      <w:r w:rsidR="009B07D6">
        <w:t xml:space="preserve">või ühiskonnale </w:t>
      </w:r>
      <w:r w:rsidR="00796BC2">
        <w:t>tervikuna</w:t>
      </w:r>
      <w:r w:rsidR="00E006FD">
        <w:t>.</w:t>
      </w:r>
      <w:r w:rsidR="0073025E">
        <w:t xml:space="preserve"> </w:t>
      </w:r>
    </w:p>
    <w:p w14:paraId="599DB7B9" w14:textId="00364B14" w:rsidR="0052150A" w:rsidRDefault="00DB7520" w:rsidP="00872DC3">
      <w:pPr>
        <w:jc w:val="both"/>
      </w:pPr>
      <w:r>
        <w:t xml:space="preserve">Kuna ka turismimaksu </w:t>
      </w:r>
      <w:r w:rsidR="00000731">
        <w:t xml:space="preserve">saab </w:t>
      </w:r>
      <w:r w:rsidR="00F454AA">
        <w:t>teoreetili</w:t>
      </w:r>
      <w:r w:rsidR="00000731">
        <w:t>selt</w:t>
      </w:r>
      <w:r w:rsidR="00F454AA">
        <w:t xml:space="preserve"> põhjend</w:t>
      </w:r>
      <w:r w:rsidR="00000731">
        <w:t>ada</w:t>
      </w:r>
      <w:r w:rsidR="00F454AA">
        <w:t xml:space="preserve"> sama loogika</w:t>
      </w:r>
      <w:r w:rsidR="00000731">
        <w:t>ga</w:t>
      </w:r>
      <w:r w:rsidR="00B13381">
        <w:rPr>
          <w:rStyle w:val="FootnoteReference"/>
        </w:rPr>
        <w:footnoteReference w:id="182"/>
      </w:r>
      <w:r w:rsidR="00F454AA">
        <w:t xml:space="preserve">, võib seda </w:t>
      </w:r>
      <w:r w:rsidR="00000731">
        <w:t>tasu käsitleda ka teatud tüüpi turismimaksuna</w:t>
      </w:r>
      <w:r w:rsidR="00807273">
        <w:t xml:space="preserve">. Kuid kui tavapäraselt </w:t>
      </w:r>
      <w:r w:rsidR="004B0082">
        <w:t xml:space="preserve">on turismimaks suunatud turismile laiemalt, siis </w:t>
      </w:r>
      <w:r w:rsidR="00ED566E">
        <w:t xml:space="preserve">antud kontekstis on tasu kehtestamine </w:t>
      </w:r>
      <w:r w:rsidR="007405EC">
        <w:t>põhjendatav</w:t>
      </w:r>
      <w:r w:rsidR="00ED566E">
        <w:t xml:space="preserve"> mõjudega</w:t>
      </w:r>
      <w:r w:rsidR="007405EC">
        <w:t xml:space="preserve">, mis tekivad just eluruumides majutusteenuse osutamisega. See tähendab sisuliselt seda, et lisaks sellele tasule </w:t>
      </w:r>
      <w:r w:rsidR="00840E0D">
        <w:t xml:space="preserve">võib </w:t>
      </w:r>
      <w:r w:rsidR="00064FBA">
        <w:t xml:space="preserve">täiendavalt kaaluda ka </w:t>
      </w:r>
      <w:r w:rsidR="00D73B1B">
        <w:t xml:space="preserve">klassikalise </w:t>
      </w:r>
      <w:r w:rsidR="00064FBA">
        <w:t>turismimaksu ra</w:t>
      </w:r>
      <w:r w:rsidR="002458D6">
        <w:t>k</w:t>
      </w:r>
      <w:r w:rsidR="00064FBA">
        <w:t>endamist kõikidele majutusteenustele</w:t>
      </w:r>
      <w:r w:rsidR="00353775">
        <w:t>.</w:t>
      </w:r>
      <w:r w:rsidR="002952EE">
        <w:t xml:space="preserve"> </w:t>
      </w:r>
      <w:r w:rsidR="00037669">
        <w:t xml:space="preserve">Seni ei ole seda vajalikuks peetud, mis võtab Eestis kohalikel omavalitsustel ka võimaluse lühiajalise üürimisega kaasnevaid probleeme maksupoliitika kaudu korrigeerida. Seetõttu eluruumis majutusteenuse osutamise tasu oleks </w:t>
      </w:r>
      <w:r w:rsidR="00185AF8">
        <w:t>üheks võimaluseks seda lünka täita.</w:t>
      </w:r>
      <w:r w:rsidR="00FD4A0E">
        <w:t xml:space="preserve"> Erinevalt turis</w:t>
      </w:r>
      <w:r w:rsidR="00371120">
        <w:t xml:space="preserve">mimaksust, mida kogutakse tüüpiliselt </w:t>
      </w:r>
      <w:r w:rsidR="006124AB">
        <w:t xml:space="preserve">majutusasutustes ööbimiste </w:t>
      </w:r>
      <w:r w:rsidR="00CD5DCD">
        <w:t xml:space="preserve">ehk nõudluse </w:t>
      </w:r>
      <w:r w:rsidR="006124AB">
        <w:t>põhiselt</w:t>
      </w:r>
      <w:r w:rsidR="006B1522">
        <w:t>, siis eluruumis majutusteenuse osutamise tasu soovitame rakendada</w:t>
      </w:r>
      <w:r w:rsidR="00D222EC">
        <w:t xml:space="preserve"> </w:t>
      </w:r>
      <w:r w:rsidR="00C63C11">
        <w:t>h</w:t>
      </w:r>
      <w:r w:rsidR="002440FF">
        <w:t>oone</w:t>
      </w:r>
      <w:r w:rsidR="00D222EC">
        <w:t xml:space="preserve"> </w:t>
      </w:r>
      <w:r w:rsidR="6025BE2E">
        <w:t>kasut</w:t>
      </w:r>
      <w:r w:rsidR="04623575">
        <w:t>us</w:t>
      </w:r>
      <w:r w:rsidR="52B046EA">
        <w:t>otstar</w:t>
      </w:r>
      <w:r w:rsidR="21D15D5E">
        <w:t>b</w:t>
      </w:r>
      <w:r w:rsidR="52B046EA">
        <w:t>e</w:t>
      </w:r>
      <w:r w:rsidR="00C63C11">
        <w:t xml:space="preserve"> ning</w:t>
      </w:r>
      <w:r w:rsidR="006B1522">
        <w:t xml:space="preserve"> </w:t>
      </w:r>
      <w:r w:rsidR="00CD5DCD">
        <w:t>pakkumise põhiselt</w:t>
      </w:r>
      <w:r w:rsidR="00C65835">
        <w:t xml:space="preserve">, näiteks </w:t>
      </w:r>
      <w:r w:rsidR="00F855E9">
        <w:t>aastamaksuna</w:t>
      </w:r>
      <w:r w:rsidR="00C63C11">
        <w:t xml:space="preserve"> korterelamutes teenuse osutami</w:t>
      </w:r>
      <w:r w:rsidR="00E0093F">
        <w:t>sel</w:t>
      </w:r>
      <w:r w:rsidR="00F855E9">
        <w:t>, mille suurus sõltu</w:t>
      </w:r>
      <w:r w:rsidR="00E0093F">
        <w:t>b</w:t>
      </w:r>
      <w:r w:rsidR="00F855E9">
        <w:t xml:space="preserve"> voodikohtade arvust.</w:t>
      </w:r>
      <w:r w:rsidR="0091022C">
        <w:t xml:space="preserve"> Lisaks soovitame tasust vabastada </w:t>
      </w:r>
      <w:r w:rsidR="00767EC1">
        <w:t>(</w:t>
      </w:r>
      <w:r w:rsidR="0091022C">
        <w:t xml:space="preserve">või </w:t>
      </w:r>
      <w:r w:rsidR="00767EC1">
        <w:t xml:space="preserve">vähemalt </w:t>
      </w:r>
      <w:r w:rsidR="00C774CE">
        <w:t>rakendada alandatud määrasid</w:t>
      </w:r>
      <w:r w:rsidR="00767EC1">
        <w:t>)</w:t>
      </w:r>
      <w:r w:rsidR="00C774CE">
        <w:t xml:space="preserve"> teenu</w:t>
      </w:r>
      <w:r w:rsidR="00143405">
        <w:t>se</w:t>
      </w:r>
      <w:r w:rsidR="00C774CE">
        <w:t xml:space="preserve"> ajuti</w:t>
      </w:r>
      <w:r w:rsidR="00C6620E">
        <w:t>ne</w:t>
      </w:r>
      <w:r w:rsidR="001A2DB7">
        <w:t>,</w:t>
      </w:r>
      <w:r w:rsidR="00C774CE">
        <w:t xml:space="preserve"> ebaregulaar</w:t>
      </w:r>
      <w:r w:rsidR="00C6620E">
        <w:t>ne</w:t>
      </w:r>
      <w:r w:rsidR="001A2DB7">
        <w:t xml:space="preserve"> ja/või oma põhielukohas</w:t>
      </w:r>
      <w:r w:rsidR="005644BB">
        <w:t xml:space="preserve"> osutami</w:t>
      </w:r>
      <w:r w:rsidR="00C6620E">
        <w:t>ne</w:t>
      </w:r>
      <w:r w:rsidR="00B144DF">
        <w:t>, et vältida teenust jagamismajanduse vormis osutajate turult väljatõrjumist.</w:t>
      </w:r>
      <w:r w:rsidR="00C774CE">
        <w:t xml:space="preserve"> </w:t>
      </w:r>
    </w:p>
    <w:p w14:paraId="1F624113" w14:textId="4F20A8BE" w:rsidR="00AE1300" w:rsidRDefault="0052150A" w:rsidP="00872DC3">
      <w:pPr>
        <w:jc w:val="both"/>
      </w:pPr>
      <w:r>
        <w:t>Lühiajalise üürimise tasu puhul</w:t>
      </w:r>
      <w:r w:rsidR="008A4929">
        <w:t xml:space="preserve"> oleks </w:t>
      </w:r>
      <w:r w:rsidR="49704F90">
        <w:t xml:space="preserve">tegemist </w:t>
      </w:r>
      <w:r w:rsidR="008A4929">
        <w:t xml:space="preserve">sisuliselt turupõhise lähenemisega, kus otseselt lühiajalist üürimist ei keelata, kuid </w:t>
      </w:r>
      <w:r w:rsidR="00B965C9">
        <w:t xml:space="preserve">luuakse tingimused üksnes nendes piirkondades selle pakkumiseks, kus </w:t>
      </w:r>
      <w:r w:rsidR="00DF2F00">
        <w:t xml:space="preserve">lühiajalise </w:t>
      </w:r>
      <w:r w:rsidR="00DD0461">
        <w:t>üürimise kasumlikkus</w:t>
      </w:r>
      <w:r w:rsidR="00B965C9">
        <w:t xml:space="preserve"> on piisavalt suur. </w:t>
      </w:r>
      <w:r w:rsidR="00AC0F9B">
        <w:t xml:space="preserve">Seda tasu saaks kehtestada </w:t>
      </w:r>
      <w:r w:rsidR="00B965C9">
        <w:t xml:space="preserve">ka üksnes </w:t>
      </w:r>
      <w:r w:rsidR="00AC0F9B">
        <w:t>konkreetsetele tsoonidele,</w:t>
      </w:r>
      <w:r w:rsidR="00B965C9">
        <w:t xml:space="preserve"> mis annab üsna sihitud vahendi nii linnaruumi</w:t>
      </w:r>
      <w:r w:rsidR="000C13AF">
        <w:t xml:space="preserve"> arengu</w:t>
      </w:r>
      <w:r w:rsidR="00B965C9">
        <w:t xml:space="preserve"> kui ka kohaliku omavalitsuse territooriumil lühiajalise teenuse leviku suunamiseks.</w:t>
      </w:r>
      <w:r w:rsidR="00E112AB">
        <w:t xml:space="preserve"> Teatud vaates on tegemist sekkumisega, mille võiks liigitada ka stiimulite soovituste kimpu, kuid kuna see eeldab </w:t>
      </w:r>
      <w:r w:rsidR="00257097">
        <w:t xml:space="preserve">kohalike maksude seaduse muutmist ja on pigem piirava suunitlusega, oleme selle </w:t>
      </w:r>
      <w:r w:rsidR="009F65FB">
        <w:t>paigutanud</w:t>
      </w:r>
      <w:r w:rsidR="00257097">
        <w:t xml:space="preserve"> </w:t>
      </w:r>
      <w:r w:rsidR="00D36AF0">
        <w:t>regulatiivsete piirangute</w:t>
      </w:r>
      <w:r w:rsidR="009F65FB">
        <w:t xml:space="preserve"> juurde</w:t>
      </w:r>
      <w:r w:rsidR="003042DA">
        <w:t>.</w:t>
      </w:r>
      <w:r w:rsidR="000306AC">
        <w:t xml:space="preserve"> </w:t>
      </w:r>
    </w:p>
    <w:p w14:paraId="61F0A232" w14:textId="181BE609" w:rsidR="00872DC3" w:rsidRDefault="00872DC3" w:rsidP="00BE179D">
      <w:pPr>
        <w:jc w:val="both"/>
      </w:pPr>
      <w:r w:rsidRPr="1C92C443">
        <w:rPr>
          <w:b/>
          <w:bCs/>
        </w:rPr>
        <w:t>Regulatsioonide ja piirangute</w:t>
      </w:r>
      <w:r>
        <w:t xml:space="preserve"> kasutami</w:t>
      </w:r>
      <w:r w:rsidR="006E6DCF">
        <w:t>n</w:t>
      </w:r>
      <w:r>
        <w:t>e</w:t>
      </w:r>
      <w:r w:rsidR="006E6DCF">
        <w:t xml:space="preserve"> (soovitus iii)</w:t>
      </w:r>
      <w:r>
        <w:t xml:space="preserve"> on kõige tõhusam siis, kui mõjud on juba ulatuslikud ja muutusi on vaja suhteliselt kiiresti ellu viia. Samas kitsaskohaks on järelevalve </w:t>
      </w:r>
      <w:r w:rsidR="0CAB711B">
        <w:t>teostamine</w:t>
      </w:r>
      <w:r>
        <w:t>, mis võib osutuda ka üsna ressursimahukaks. Ka teiste riikide kogemused ja selle kohta tehtud teadusuuringud kinnitavad, et regulatiivse sekkumise kaudu on võimalik turgu üsna kiiresti mõjutada ja kutsuda esile soovitud muutused. Meie soovituse järgi võiks omavalitsustel olla võimalik tsoonides</w:t>
      </w:r>
      <w:r w:rsidR="00C26324">
        <w:t xml:space="preserve"> (mis võivad olla </w:t>
      </w:r>
      <w:r w:rsidR="00331BC7">
        <w:t>loodud eraldi lühiajalise üürimise reguleerimiseks)</w:t>
      </w:r>
      <w:r w:rsidR="00B1680D">
        <w:t>, kus soovitakse lühiajalist üürimist piirata, nt püsielanike arvu suurendamise</w:t>
      </w:r>
      <w:r w:rsidR="00F04B5C">
        <w:t xml:space="preserve"> või elukeskkonna säilimise eesmärgil,</w:t>
      </w:r>
      <w:r>
        <w:t xml:space="preserve"> rakendada eluruumis </w:t>
      </w:r>
      <w:r w:rsidR="64372F96">
        <w:t xml:space="preserve">lühiajalise </w:t>
      </w:r>
      <w:r>
        <w:t>üüri teenuse pakkumise keeldu</w:t>
      </w:r>
      <w:r w:rsidR="07283EC2">
        <w:t xml:space="preserve"> </w:t>
      </w:r>
      <w:r>
        <w:t xml:space="preserve">(ajendatud eelkõige Tallinna </w:t>
      </w:r>
      <w:r w:rsidR="00AB154A">
        <w:t>v</w:t>
      </w:r>
      <w:r>
        <w:t xml:space="preserve">analinna olukorrast). Praktikas rakendatakse paljudes riikides ka mitmekihilisemaid reegleid. Nt täieliku keelu kõrval võiks kaaluda ka piirata päevade arvu aastas (muudab korteri </w:t>
      </w:r>
      <w:r>
        <w:lastRenderedPageBreak/>
        <w:t>lühiajaliselt väljaüüri</w:t>
      </w:r>
      <w:r w:rsidR="00A9442F">
        <w:t>m</w:t>
      </w:r>
      <w:r>
        <w:t xml:space="preserve">ise vähem tasuvaks) või hoopis majutatute või voodikohtade arvu üüripinna suuruse alusel (piirab majutatute arvu ja nende poolt tekitatavat kahju naabritele). Samas tuleb arvestada, et mida keerukamaid piirangud kehtestatakse, seda keerulisem on ka nende üle järelevalvet pidada. Lisaks, meie kogu soovituste komplekti hinnates peaks nt majutatute arvu piiramise õigus olema eelkõige korteriühistul, kuna eelkõige mõjutab see vahetult sama kortermaja elanikke. </w:t>
      </w:r>
    </w:p>
    <w:p w14:paraId="022CFCBA" w14:textId="53ADE088" w:rsidR="00625E0E" w:rsidRPr="00E14EBC" w:rsidRDefault="00850EA4" w:rsidP="00872DC3">
      <w:pPr>
        <w:spacing w:before="240" w:after="120"/>
        <w:jc w:val="both"/>
      </w:pPr>
      <w:r>
        <w:t xml:space="preserve">Samas esineb olukordi, kus hoones juba on ülekaalus lühiajaliselt korterit välja üürivad omanikud, sellisel juhul on korteriühistud võimetud ka juhul, kui nende õigusi </w:t>
      </w:r>
      <w:r w:rsidR="007552DC">
        <w:t>suurendada. Seetõttu olemegi soovitustes välja pakkunud ka regulatiivsed sekkumise võimalused, mille kaudu saab olukorda vajadusel sekkuda ka KOV tasandil.</w:t>
      </w:r>
      <w:r w:rsidR="003B3D68">
        <w:t xml:space="preserve"> Eest</w:t>
      </w:r>
      <w:r w:rsidR="00401098">
        <w:t>i</w:t>
      </w:r>
      <w:r w:rsidR="003B3D68">
        <w:t xml:space="preserve"> kontekstis </w:t>
      </w:r>
      <w:r w:rsidR="00B67B4D">
        <w:t xml:space="preserve">oleme regulatiivsed soovitused teinud eelkõige Tallinna </w:t>
      </w:r>
      <w:r w:rsidR="00AB154A">
        <w:t>v</w:t>
      </w:r>
      <w:r w:rsidR="00B67B4D">
        <w:t xml:space="preserve">analinna olukorda silmas pidades. Seega </w:t>
      </w:r>
      <w:r w:rsidR="00243549">
        <w:t xml:space="preserve">aitab </w:t>
      </w:r>
      <w:r w:rsidR="00B67B4D">
        <w:t xml:space="preserve">piirang </w:t>
      </w:r>
      <w:r w:rsidR="006849DD">
        <w:t>väljaüürimise minimaalsele pikkuse</w:t>
      </w:r>
      <w:r w:rsidR="001D420F">
        <w:t>le ja voodikohtade arvule vähendada pidutsemise eesmärgil korterite üürimist</w:t>
      </w:r>
      <w:r w:rsidR="00C5456D">
        <w:t xml:space="preserve">, juhul kui turg sellega piisavalt edukalt </w:t>
      </w:r>
      <w:r w:rsidR="00F420CB">
        <w:t>ise toime ei tule.</w:t>
      </w:r>
      <w:r w:rsidR="001D420F">
        <w:t xml:space="preserve"> </w:t>
      </w:r>
      <w:r w:rsidR="006333EF">
        <w:t>O</w:t>
      </w:r>
      <w:r w:rsidR="001D420F">
        <w:t>maniku kohaolu</w:t>
      </w:r>
      <w:r w:rsidR="00356487">
        <w:t xml:space="preserve"> või eluruumi põhielukohana kasutamise</w:t>
      </w:r>
      <w:r w:rsidR="001D420F">
        <w:t xml:space="preserve"> kohustus </w:t>
      </w:r>
      <w:r w:rsidR="006333EF">
        <w:t xml:space="preserve">võimaldab </w:t>
      </w:r>
      <w:r w:rsidR="001D420F">
        <w:t>aga häiringute korral tõhusamat sekkumist omaniku poolt</w:t>
      </w:r>
      <w:r w:rsidR="00702181">
        <w:t xml:space="preserve"> ja soodustaks jagamismajanduse vormis </w:t>
      </w:r>
      <w:r w:rsidR="3438952B">
        <w:t>mittekutseliste</w:t>
      </w:r>
      <w:r w:rsidR="00702181">
        <w:t xml:space="preserve"> teenuse pakkujate </w:t>
      </w:r>
      <w:r w:rsidR="00037D45">
        <w:t>tegevust</w:t>
      </w:r>
      <w:r w:rsidR="001D420F">
        <w:t>.</w:t>
      </w:r>
    </w:p>
    <w:p w14:paraId="678B4DCD" w14:textId="002FBFB2" w:rsidR="00872DC3" w:rsidRPr="00E14EBC" w:rsidRDefault="00440095">
      <w:pPr>
        <w:jc w:val="both"/>
      </w:pPr>
      <w:r>
        <w:t>Eeldatavalt</w:t>
      </w:r>
      <w:r w:rsidR="54B6E299">
        <w:t xml:space="preserve"> võiks </w:t>
      </w:r>
      <w:r w:rsidR="5DA02A03">
        <w:t>need piirangud</w:t>
      </w:r>
      <w:r w:rsidR="54B6E299">
        <w:t xml:space="preserve"> põhimõtteliselt soodustada seda, et ruumi kasutataks ka püsiva elukohana, kuna turutingimustes või</w:t>
      </w:r>
      <w:r w:rsidR="5DA02A03">
        <w:t>b</w:t>
      </w:r>
      <w:r w:rsidR="54B6E299">
        <w:t xml:space="preserve"> lühiajalisel üürimisel olla siin eelis. Samas võib</w:t>
      </w:r>
      <w:r w:rsidR="5DA02A03">
        <w:t xml:space="preserve"> sekkumine</w:t>
      </w:r>
      <w:r w:rsidR="54B6E299">
        <w:t xml:space="preserve"> viia hoopis selleni, et </w:t>
      </w:r>
      <w:r w:rsidR="5DA02A03">
        <w:t>korter jääb pikemaks ajaks tühjaks</w:t>
      </w:r>
      <w:r w:rsidR="54B6E299">
        <w:t>, mistõttu selle piirangu rakendamise edukus sõltub paljuski ka muudest teguritest, nt kui atraktiivne vastav piirkond püsiva elukohana on. Eraldi küsimusena tuleb lahendada ka järelevalve, kuna võrreldes keeluga, kus tuleb kontrollida üksnes teenuse osutamise fakti, tuleb siin pidada arvestust ka päevad</w:t>
      </w:r>
      <w:r w:rsidR="6ECCC4CC">
        <w:t>e üle</w:t>
      </w:r>
      <w:r w:rsidR="54B6E299">
        <w:t xml:space="preserve">. Seda oleks ilmselt osaliselt võimalik teha koostöös platvormidega, kelle </w:t>
      </w:r>
      <w:r w:rsidR="788D75F7">
        <w:t xml:space="preserve">kätte </w:t>
      </w:r>
      <w:r w:rsidR="54B6E299">
        <w:t xml:space="preserve">koguneb teave selle kohta, mitu päeva </w:t>
      </w:r>
      <w:r w:rsidR="00426A64">
        <w:t xml:space="preserve">on </w:t>
      </w:r>
      <w:r w:rsidR="54B6E299">
        <w:t>ruumi</w:t>
      </w:r>
      <w:r w:rsidR="00426A64">
        <w:t xml:space="preserve"> platvormide vahendusel</w:t>
      </w:r>
      <w:r w:rsidR="54B6E299">
        <w:t xml:space="preserve"> välja renditud. Keerukamate lahenduste tugevuseks on see, et nendega saab sekkumist paremini sihistada ja leida seeläbi optimaalsemaid lahendusi. </w:t>
      </w:r>
    </w:p>
    <w:p w14:paraId="6634920E" w14:textId="7D7622BC" w:rsidR="00872DC3" w:rsidRPr="00E14EBC" w:rsidRDefault="54B6E299" w:rsidP="00872DC3">
      <w:pPr>
        <w:jc w:val="both"/>
      </w:pPr>
      <w:r>
        <w:t>Regulatiivsete piirangute ja keeldudega valitseb võrreldes teiste sekkumistega suurem oht, et mõjutatakse ka neid, keda ei taheta, nt lühiajalis</w:t>
      </w:r>
      <w:r w:rsidR="00896B09">
        <w:t>e</w:t>
      </w:r>
      <w:r>
        <w:t xml:space="preserve"> üüri teenust oma põhielukohas pakkuvaid isikuid, kelle tegevus on majutusteenuste turgu pigem tugevdav ja loob seal rohkem paindlik</w:t>
      </w:r>
      <w:r w:rsidR="004872CB">
        <w:t>k</w:t>
      </w:r>
      <w:r>
        <w:t xml:space="preserve">ust, häirimata samal ajal eluasemeturgu. Selle probleemi vältimiseks soovitamegi rakendada </w:t>
      </w:r>
      <w:r w:rsidRPr="00BE179D">
        <w:rPr>
          <w:b/>
          <w:bCs/>
        </w:rPr>
        <w:t>leevendusi</w:t>
      </w:r>
      <w:r w:rsidR="0099485B" w:rsidRPr="00BE179D">
        <w:rPr>
          <w:b/>
          <w:bCs/>
        </w:rPr>
        <w:t xml:space="preserve"> </w:t>
      </w:r>
      <w:r w:rsidR="0099485B">
        <w:t>(</w:t>
      </w:r>
      <w:r w:rsidR="00C1018B">
        <w:t xml:space="preserve">soovitus </w:t>
      </w:r>
      <w:r w:rsidR="00B666D7">
        <w:t>i</w:t>
      </w:r>
      <w:r w:rsidR="0099485B">
        <w:t>v)</w:t>
      </w:r>
      <w:r>
        <w:t xml:space="preserve"> oma põhielukohta välja üürivatele isikutele, kuna see on pigem positiivne ja majanduslikku efektiivsust suurendav nähtus, mis on ka pigem lühiajaline, ei vähenda pakkumist pikaajalisel turul ega suurenda ka seetõttu hinnatase</w:t>
      </w:r>
      <w:r w:rsidR="27472FB7">
        <w:t>t</w:t>
      </w:r>
      <w:r>
        <w:t xml:space="preserve"> ning põhjustab ka erinevaid häiringuid ebaolulises ulatuses. </w:t>
      </w:r>
      <w:r w:rsidR="00FB075C">
        <w:t>Leevendustena võiks neile registreerimiskohustust</w:t>
      </w:r>
      <w:r w:rsidR="00D73439">
        <w:t>, tsoonikeeldu</w:t>
      </w:r>
      <w:r w:rsidR="00666EBC">
        <w:t xml:space="preserve"> või</w:t>
      </w:r>
      <w:r w:rsidR="00D73439">
        <w:t xml:space="preserve"> </w:t>
      </w:r>
      <w:r w:rsidR="00575A0F">
        <w:t>eluruumis majutusteenuse osutamise tasu</w:t>
      </w:r>
      <w:r w:rsidR="00FB075C">
        <w:t xml:space="preserve"> mitte laiendada</w:t>
      </w:r>
      <w:r w:rsidR="00BE24F7">
        <w:t>.</w:t>
      </w:r>
      <w:r w:rsidR="00FB075C">
        <w:t xml:space="preserve"> </w:t>
      </w:r>
      <w:r>
        <w:t>Siin võiks kaaluda ka teisi lähenemisi, nt rakendada soodustusi selle järgi, kas üüri teenuse osutamine on lühiajaline, ebaregulaarne ja tulude mahult ebaolulise suurusega</w:t>
      </w:r>
      <w:r w:rsidR="0054571C">
        <w:t>. Samas</w:t>
      </w:r>
      <w:r>
        <w:t xml:space="preserve"> põhielukoha kriteeriumit on lihtsam praktikas rakendada ja on ka selgemalt seotud jagamismajanduse kontseptsiooniga.</w:t>
      </w:r>
    </w:p>
    <w:p w14:paraId="09D40219" w14:textId="76B0D591" w:rsidR="00872DC3" w:rsidRPr="00E14EBC" w:rsidRDefault="54B6E299" w:rsidP="00872DC3">
      <w:pPr>
        <w:jc w:val="both"/>
      </w:pPr>
      <w:r>
        <w:t>Kehtivat õigust arvestades jõudsime ka soovituseni</w:t>
      </w:r>
      <w:r w:rsidR="007B4E6F">
        <w:t xml:space="preserve"> v</w:t>
      </w:r>
      <w:r w:rsidR="00AD165E">
        <w:t xml:space="preserve"> ehk</w:t>
      </w:r>
      <w:r>
        <w:t xml:space="preserve"> </w:t>
      </w:r>
      <w:r w:rsidRPr="1C92C443">
        <w:rPr>
          <w:b/>
          <w:bCs/>
        </w:rPr>
        <w:t>laiendada maamaksuvabastust</w:t>
      </w:r>
      <w:r>
        <w:t xml:space="preserve"> lisaks eluruumi koduna kasutavatele omanikele ka ruume pikaajaliselt välja üürivate omanikele. Selle lahenduse puhul on põhiline kitsaskoht ja risk samuti järelevalve, kuna ilmselt soodustaks see fiktiivsete pikaajaliste üürnike teket. Kuid see annaks omavalitsustele täiendava instrumendi </w:t>
      </w:r>
      <w:r>
        <w:lastRenderedPageBreak/>
        <w:t>mingis strateegiliselt olulises piirkonnas sellis</w:t>
      </w:r>
      <w:r w:rsidR="083C9B8E">
        <w:t>t</w:t>
      </w:r>
      <w:r>
        <w:t>e soodustus</w:t>
      </w:r>
      <w:r w:rsidR="10D4F9D2">
        <w:t>te</w:t>
      </w:r>
      <w:r>
        <w:t xml:space="preserve"> rakenda</w:t>
      </w:r>
      <w:r w:rsidR="513F6B6F">
        <w:t>miseks</w:t>
      </w:r>
      <w:r>
        <w:t xml:space="preserve"> ja järelevalve</w:t>
      </w:r>
      <w:r w:rsidR="7B1D605E">
        <w:t>ks</w:t>
      </w:r>
      <w:r>
        <w:t xml:space="preserve">. </w:t>
      </w:r>
      <w:r w:rsidR="00271FA9">
        <w:t>Selle rakendamise</w:t>
      </w:r>
      <w:r w:rsidR="003A6545">
        <w:t xml:space="preserve">l soovitame </w:t>
      </w:r>
      <w:r w:rsidR="00743942">
        <w:t>lähtuda</w:t>
      </w:r>
      <w:r w:rsidR="003A6545">
        <w:t xml:space="preserve"> tulumaksuseaduses </w:t>
      </w:r>
      <w:r w:rsidR="00891585">
        <w:t>juba kehtiva</w:t>
      </w:r>
      <w:r w:rsidR="0F28C961">
        <w:t>s</w:t>
      </w:r>
      <w:r w:rsidR="00891585">
        <w:t>t maksu</w:t>
      </w:r>
      <w:r w:rsidR="00743942">
        <w:t>vabastu</w:t>
      </w:r>
      <w:r w:rsidR="08D4F2DE">
        <w:t>se</w:t>
      </w:r>
      <w:r w:rsidR="00743942">
        <w:t>st</w:t>
      </w:r>
      <w:r w:rsidR="00891585">
        <w:t xml:space="preserve"> </w:t>
      </w:r>
      <w:r w:rsidR="002C1538">
        <w:t>elu</w:t>
      </w:r>
      <w:r w:rsidR="00743942">
        <w:t xml:space="preserve">ruumina kasutuses </w:t>
      </w:r>
      <w:r w:rsidR="00B5218F">
        <w:t>olnud ki</w:t>
      </w:r>
      <w:r w:rsidR="00712649">
        <w:t>nnisasja võõrandamisest saadud kasule.</w:t>
      </w:r>
      <w:r w:rsidR="002C1538">
        <w:t xml:space="preserve"> </w:t>
      </w:r>
      <w:r w:rsidR="00C82A09">
        <w:t>Näiteks p</w:t>
      </w:r>
      <w:r>
        <w:t xml:space="preserve">ikaajalise üürimise tõendamise </w:t>
      </w:r>
      <w:r w:rsidR="00C82A09">
        <w:t>kohustus peaks jääma</w:t>
      </w:r>
      <w:r>
        <w:t xml:space="preserve"> soodustuse saaja</w:t>
      </w:r>
      <w:r w:rsidR="00C82A09">
        <w:t>le.</w:t>
      </w:r>
      <w:r>
        <w:t xml:space="preserve"> </w:t>
      </w:r>
      <w:r w:rsidR="00C82A09">
        <w:t>S</w:t>
      </w:r>
      <w:r>
        <w:t>elleks võiks nõuda n</w:t>
      </w:r>
      <w:r w:rsidR="00C82A09">
        <w:t>äiteks</w:t>
      </w:r>
      <w:r>
        <w:t xml:space="preserve"> rahvastikuregistris vastaval aadressil registreerimist või ka muude lisatõendite esitamist.</w:t>
      </w:r>
    </w:p>
    <w:p w14:paraId="256138D9" w14:textId="78FE22B2" w:rsidR="00872DC3" w:rsidRPr="00E14EBC" w:rsidRDefault="54B6E299" w:rsidP="00872DC3">
      <w:pPr>
        <w:jc w:val="both"/>
      </w:pPr>
      <w:r w:rsidRPr="1C92C443">
        <w:rPr>
          <w:b/>
          <w:bCs/>
        </w:rPr>
        <w:t>Mõjud</w:t>
      </w:r>
      <w:r w:rsidR="008C30DF">
        <w:rPr>
          <w:b/>
          <w:bCs/>
        </w:rPr>
        <w:t xml:space="preserve"> </w:t>
      </w:r>
      <w:r w:rsidR="008C30DF" w:rsidRPr="1688D34F">
        <w:rPr>
          <w:b/>
        </w:rPr>
        <w:t>|</w:t>
      </w:r>
      <w:r w:rsidRPr="1C92C443">
        <w:rPr>
          <w:b/>
          <w:bCs/>
        </w:rPr>
        <w:t xml:space="preserve"> </w:t>
      </w:r>
      <w:r>
        <w:t>Klassikaliste sekkumismeetmete</w:t>
      </w:r>
      <w:r w:rsidR="3D55B6FF">
        <w:t>,</w:t>
      </w:r>
      <w:r>
        <w:t xml:space="preserve"> nagu regulatsioonide ja maksude või tasude kehtestamine</w:t>
      </w:r>
      <w:r w:rsidR="598FC1B3">
        <w:t>,</w:t>
      </w:r>
      <w:r>
        <w:t xml:space="preserve"> annab üldjuhul üsna kiire tulemuse. Seda on ka uuringu</w:t>
      </w:r>
      <w:r w:rsidR="60B1A395">
        <w:t>d</w:t>
      </w:r>
      <w:r>
        <w:t xml:space="preserve"> teistes riikide</w:t>
      </w:r>
      <w:r w:rsidR="1A79AA02">
        <w:t>s</w:t>
      </w:r>
      <w:r>
        <w:t xml:space="preserve"> näidanud. Seega annab selle soovituse rakendamine KOV-dele võimaluse kiiresti lühiajalise üüri turuga kaasnevate</w:t>
      </w:r>
      <w:r w:rsidR="104F0841">
        <w:t>le</w:t>
      </w:r>
      <w:r>
        <w:t xml:space="preserve"> probleemidele reageeri</w:t>
      </w:r>
      <w:r w:rsidR="6F59B948">
        <w:t>da</w:t>
      </w:r>
      <w:r>
        <w:t>. Seega eelkõige on tegemist poliitikasoovitusega, mille sihiks on anda võimalus probleemidega efektiivselt tegeleda kohalikul tasandil ning eeldusel, et selleks on piisavalt pädevust. Seega saab see meede toimida edukalt eelkõige siis, kui omavalitsus rakendab ka soovitus</w:t>
      </w:r>
      <w:r w:rsidR="35F11EB8">
        <w:t>t</w:t>
      </w:r>
      <w:r>
        <w:t xml:space="preserve"> oma turuseire võimekuse arendamise kohta</w:t>
      </w:r>
      <w:r w:rsidR="00AF3319">
        <w:t xml:space="preserve">, vastasel juhul </w:t>
      </w:r>
      <w:r w:rsidR="001F3A01">
        <w:t>võidakse turgu oluliselt kahjustada, nt turul</w:t>
      </w:r>
      <w:r w:rsidR="1471806B">
        <w:t>t</w:t>
      </w:r>
      <w:r w:rsidR="001F3A01">
        <w:t xml:space="preserve"> välja tõrjuda </w:t>
      </w:r>
      <w:r w:rsidR="00C8460D">
        <w:t>suure positiivse ühiskondliku mõjuga teenusepakkujad</w:t>
      </w:r>
      <w:r>
        <w:t>.</w:t>
      </w:r>
      <w:r w:rsidR="00A81053">
        <w:t xml:space="preserve"> </w:t>
      </w:r>
      <w:r w:rsidR="00C8460D">
        <w:t xml:space="preserve">Ühe eeltingimusena selliste sekkumiste rakendamisel </w:t>
      </w:r>
      <w:r w:rsidR="0004582B">
        <w:t xml:space="preserve">võiks kasutada ka turu </w:t>
      </w:r>
      <w:r w:rsidR="00A81053">
        <w:t xml:space="preserve">piisavat </w:t>
      </w:r>
      <w:r w:rsidR="0004582B">
        <w:t>suurust</w:t>
      </w:r>
      <w:r w:rsidR="00BA5242">
        <w:t xml:space="preserve">, kuna sel juhul on sellest saadav kasu suurem ja ületab suurema tõenäosusega </w:t>
      </w:r>
      <w:r w:rsidR="009B0F6E">
        <w:t xml:space="preserve">paratamatult teatud ulatuses ilmnevad negatiivsed mõjud. </w:t>
      </w:r>
      <w:r w:rsidR="00463DDB">
        <w:t xml:space="preserve">Näiteks </w:t>
      </w:r>
      <w:r w:rsidR="00D03E99">
        <w:t>Tallinna linn on sead</w:t>
      </w:r>
      <w:r w:rsidR="00B95872">
        <w:t>nu</w:t>
      </w:r>
      <w:r w:rsidR="00D03E99">
        <w:t>d eesmärgiks</w:t>
      </w:r>
      <w:r w:rsidR="00B95872">
        <w:t xml:space="preserve"> </w:t>
      </w:r>
      <w:r w:rsidR="008466F5">
        <w:t xml:space="preserve">oluliselt </w:t>
      </w:r>
      <w:r w:rsidR="00B95872">
        <w:t>suurendada vanalinnas püsielanike arvu</w:t>
      </w:r>
      <w:r w:rsidR="008466F5">
        <w:t xml:space="preserve">, mis arvestades eluruumide </w:t>
      </w:r>
      <w:r w:rsidR="009A1D8A">
        <w:t>arvu</w:t>
      </w:r>
      <w:r w:rsidR="6C8AE31E">
        <w:t>,</w:t>
      </w:r>
      <w:r w:rsidR="009A1D8A">
        <w:t xml:space="preserve"> eeldab lühiajalise üürimise olulist vähenemist, mille saavutamine ilma klassikaliste </w:t>
      </w:r>
      <w:r w:rsidR="00D87888">
        <w:t>piiranguteta ei ole ilmselt saavutatav.</w:t>
      </w:r>
    </w:p>
    <w:p w14:paraId="1DCEA66A" w14:textId="5528FBE4" w:rsidR="00872DC3" w:rsidRPr="00E14EBC" w:rsidRDefault="54B6E299" w:rsidP="00872DC3">
      <w:pPr>
        <w:jc w:val="both"/>
      </w:pPr>
      <w:r>
        <w:t xml:space="preserve">Teavitus- või registreerimissüsteemi loomine suurendaks omavalitsuste võimekust lühiajalise üüri turu seiramisel ja järelevalve tegemisel, millest saaksid kasu ka teised järelevalveasutused. KOV-d saaksid kogutud andmeid nendega jagada ja ka seeläbi järelevalve tegevust koordineeritult teostada. Seega oleks tõhusam järelevalve kõikide majutusteenustele kehtestatud nõuete üle, mis aitaks vähendada riske seoses nii tuleohutuse kui ka julgeolekuga laiemalt. Samas looks teavitus- või registreerimissüsteemi olemasolu hea aluse ka täiendavate piirangute kehtestamiseks ja nende mõjude hindamiseks. Samas ei ole selle rakendamine tingimata möödapääsmatu eeldus mingit liiki tasu või piirangute kehtestamisel, kui teenuse osutajate seadusekuulekus on hea ja/või suudetakse leida teisi võimalusi kehtestatud reeglite piisaval määral järgmise tagamiseks. </w:t>
      </w:r>
    </w:p>
    <w:p w14:paraId="5773F0AB" w14:textId="20542E80" w:rsidR="00B906FF" w:rsidRDefault="54B6E299" w:rsidP="00872DC3">
      <w:pPr>
        <w:jc w:val="both"/>
      </w:pPr>
      <w:r>
        <w:t>Kui KOV otsustab kasutada õigust kehtestada tasusid või piiranguid, siis selle mõju sõltub valitud regulatsioonist, kas kehtestatakse tasu, keelatakse mõnes tsoonis lühiajalise üüri teenuse osutamine või rakendatakse maamaksuvabastust. Tasu kehtestamisel võib paraneda ka kohaliku omavalitsuse fiskaalpositsioon ja võimekus ka teiste omavalitsuse ülesannete täitmis</w:t>
      </w:r>
      <w:r w:rsidR="551ECB1C">
        <w:t>eks</w:t>
      </w:r>
      <w:r>
        <w:t xml:space="preserve">. Samas pole tasu kehtestamise valik antud probleemi lahendamisel mitte fiskaalse, vaid regulatiivse eesmärgiga meede ning tulude kogumine võib olla küll olulise lisamõjuga, kuid siiski teisejärgulise tähtsusega. </w:t>
      </w:r>
    </w:p>
    <w:p w14:paraId="25270F65" w14:textId="0C147DB3" w:rsidR="00370CFF" w:rsidRDefault="00B906FF" w:rsidP="00872DC3">
      <w:pPr>
        <w:jc w:val="both"/>
      </w:pPr>
      <w:r>
        <w:t>Nii k</w:t>
      </w:r>
      <w:r w:rsidR="54B6E299">
        <w:t xml:space="preserve">eelutsoonide </w:t>
      </w:r>
      <w:r>
        <w:t xml:space="preserve">kui tasu </w:t>
      </w:r>
      <w:r w:rsidR="54B6E299">
        <w:t>kehtestami</w:t>
      </w:r>
      <w:r w:rsidR="007D3150">
        <w:t>ne</w:t>
      </w:r>
      <w:r w:rsidR="54B6E299">
        <w:t xml:space="preserve"> eesmärgi</w:t>
      </w:r>
      <w:r w:rsidR="007D3150">
        <w:t>ga</w:t>
      </w:r>
      <w:r w:rsidR="54B6E299">
        <w:t xml:space="preserve"> soodustada seal pikaajalist elamist, võib anda </w:t>
      </w:r>
      <w:r>
        <w:t xml:space="preserve">ka soovimatuid </w:t>
      </w:r>
      <w:r w:rsidR="54B6E299">
        <w:t>tulemus</w:t>
      </w:r>
      <w:r>
        <w:t>i.</w:t>
      </w:r>
      <w:r w:rsidR="54B6E299">
        <w:t xml:space="preserve"> </w:t>
      </w:r>
      <w:r>
        <w:t>Näiteks</w:t>
      </w:r>
      <w:r w:rsidR="54B6E299">
        <w:t xml:space="preserve"> </w:t>
      </w:r>
      <w:r w:rsidR="003B2ECD">
        <w:t xml:space="preserve">võivad </w:t>
      </w:r>
      <w:r w:rsidR="54B6E299">
        <w:t>need korterid jää</w:t>
      </w:r>
      <w:r w:rsidR="003B2ECD">
        <w:t>da</w:t>
      </w:r>
      <w:r w:rsidR="54B6E299">
        <w:t xml:space="preserve"> </w:t>
      </w:r>
      <w:r>
        <w:t>hoopis</w:t>
      </w:r>
      <w:r w:rsidR="54B6E299">
        <w:t xml:space="preserve"> tühjaks mingil muul põhjusel (nt elukeskkond ei ole sobilik).</w:t>
      </w:r>
      <w:r w:rsidR="03D57992">
        <w:t xml:space="preserve"> </w:t>
      </w:r>
      <w:r w:rsidR="003B2ECD">
        <w:t xml:space="preserve">Lisaks tuleb arvestada, et igasugune </w:t>
      </w:r>
      <w:r w:rsidR="008E6BB5">
        <w:t xml:space="preserve">tsonaalne piiramine </w:t>
      </w:r>
      <w:r w:rsidR="00281734">
        <w:t xml:space="preserve">keeldude või tasude vormis tekitab </w:t>
      </w:r>
      <w:r w:rsidR="008C6758">
        <w:t xml:space="preserve">ruumilise </w:t>
      </w:r>
      <w:r w:rsidR="008712BB">
        <w:t>ümberpaiknemise efekti</w:t>
      </w:r>
      <w:r w:rsidR="00DB2996">
        <w:t>, kus lühiajaline üürimine levib naabertsoonidesse. Seega tuleb tsonaalsete piirangute ja tasude kehtestami</w:t>
      </w:r>
      <w:r w:rsidR="00FB2F45">
        <w:t xml:space="preserve">sel nende </w:t>
      </w:r>
      <w:r w:rsidR="00FB2F45">
        <w:lastRenderedPageBreak/>
        <w:t>mõjudega arvestada</w:t>
      </w:r>
      <w:r w:rsidR="00DC2DCB">
        <w:t xml:space="preserve">. </w:t>
      </w:r>
      <w:r w:rsidR="00F46C7B">
        <w:t xml:space="preserve">Näiteks </w:t>
      </w:r>
      <w:r w:rsidR="00934772">
        <w:t>kui kehtestada keel</w:t>
      </w:r>
      <w:r w:rsidR="6A4DE15C">
        <w:t>d</w:t>
      </w:r>
      <w:r w:rsidR="00934772">
        <w:t xml:space="preserve"> Tallinna vanalinnas, võib üürimine muutuda intensiivsemaks </w:t>
      </w:r>
      <w:r w:rsidR="0026197E">
        <w:t>vanalinnaga piirnevates tsoonides või kvartalites.</w:t>
      </w:r>
    </w:p>
    <w:p w14:paraId="1BD2F239" w14:textId="54D9F166" w:rsidR="00872DC3" w:rsidRPr="00E14EBC" w:rsidRDefault="00F64C78" w:rsidP="00872DC3">
      <w:pPr>
        <w:jc w:val="both"/>
      </w:pPr>
      <w:r>
        <w:t xml:space="preserve">Kuna lühiajalisel üürimisel on palju positiivseid kõrvalmõjusid (ettevõtlusaktiivsuse kasv, alakasutatud ressursside suurem kasutamine, </w:t>
      </w:r>
      <w:r w:rsidR="00471644">
        <w:t>ööbimisvõimaluste mitmekesistumine)</w:t>
      </w:r>
      <w:r>
        <w:t>,</w:t>
      </w:r>
      <w:r w:rsidR="00471644">
        <w:t xml:space="preserve"> </w:t>
      </w:r>
      <w:r w:rsidR="00025A85">
        <w:t xml:space="preserve">siis </w:t>
      </w:r>
      <w:r w:rsidR="00FB61DB">
        <w:t>läbimõtlematu</w:t>
      </w:r>
      <w:r w:rsidR="0051695D">
        <w:t xml:space="preserve"> ja liialt lühikese etteteatamise ajaga</w:t>
      </w:r>
      <w:r w:rsidR="00C319BF">
        <w:t xml:space="preserve"> piirangu</w:t>
      </w:r>
      <w:r w:rsidR="004F595F">
        <w:t xml:space="preserve">te </w:t>
      </w:r>
      <w:r w:rsidR="000D57A7">
        <w:t xml:space="preserve">ja tasude </w:t>
      </w:r>
      <w:r w:rsidR="004F595F">
        <w:t>kehtestamise</w:t>
      </w:r>
      <w:r w:rsidR="00D845AB">
        <w:t>ga</w:t>
      </w:r>
      <w:r w:rsidR="00C319BF">
        <w:t xml:space="preserve"> </w:t>
      </w:r>
      <w:r w:rsidR="00FB61DB">
        <w:t xml:space="preserve">võidakse muuta turul tegutsemine </w:t>
      </w:r>
      <w:r w:rsidR="0051695D">
        <w:t>kahjumlikuks või liialt riskantseks</w:t>
      </w:r>
      <w:r w:rsidR="00D845AB">
        <w:t>.</w:t>
      </w:r>
      <w:r w:rsidR="00123747">
        <w:t xml:space="preserve"> Seega tuleks sellist</w:t>
      </w:r>
      <w:r w:rsidR="00B70686">
        <w:t>est</w:t>
      </w:r>
      <w:r w:rsidR="00123747">
        <w:t xml:space="preserve"> sekkumis</w:t>
      </w:r>
      <w:r w:rsidR="074AE213">
        <w:t>t</w:t>
      </w:r>
      <w:r w:rsidR="00B70686">
        <w:t>es</w:t>
      </w:r>
      <w:r w:rsidR="00123747">
        <w:t>t</w:t>
      </w:r>
      <w:r w:rsidR="00B70686">
        <w:t xml:space="preserve"> turul osalejaid</w:t>
      </w:r>
      <w:r w:rsidR="00123747">
        <w:t xml:space="preserve"> pi</w:t>
      </w:r>
      <w:r w:rsidR="00B70686">
        <w:t>isavalt</w:t>
      </w:r>
      <w:r w:rsidR="00A66E52">
        <w:t xml:space="preserve"> pikalt</w:t>
      </w:r>
      <w:r w:rsidR="00123747">
        <w:t xml:space="preserve"> ette</w:t>
      </w:r>
      <w:r w:rsidR="005F2588">
        <w:t xml:space="preserve"> </w:t>
      </w:r>
      <w:r w:rsidR="00A66E52">
        <w:t>teavitada (soovitavalt vähemalt üks aasta)</w:t>
      </w:r>
      <w:r w:rsidR="000D4F8F">
        <w:t xml:space="preserve"> ning nende rakendamine</w:t>
      </w:r>
      <w:r w:rsidR="00D82BAF">
        <w:t xml:space="preserve"> eelnevalt hoolikalt läbi kaaluda</w:t>
      </w:r>
      <w:r w:rsidR="00A66E52">
        <w:t>.</w:t>
      </w:r>
      <w:r w:rsidR="006920AB">
        <w:t xml:space="preserve"> </w:t>
      </w:r>
      <w:r w:rsidR="5F4E2B84">
        <w:t>Keelu rakendami</w:t>
      </w:r>
      <w:r w:rsidR="49F3E98C">
        <w:t>ne</w:t>
      </w:r>
      <w:r w:rsidR="006920AB">
        <w:t xml:space="preserve"> võib põhjustada teenuse osutajatele märkimisväärset majanduslikku kahju</w:t>
      </w:r>
      <w:r w:rsidR="00F0005E">
        <w:t>, nt saamata jäävate tulude näol</w:t>
      </w:r>
      <w:r w:rsidR="003F5C8A">
        <w:t>, isegi kui otsest rahalist kulu keegi justkui ei kanna.</w:t>
      </w:r>
      <w:r w:rsidR="00CE2645">
        <w:t xml:space="preserve"> Seetõttu on nii jõuliste sekkumistega üsna lihtne tekitada ühiskondlikus vaates rohkem kahju kui kasu</w:t>
      </w:r>
      <w:r w:rsidR="00E341F7">
        <w:t>.</w:t>
      </w:r>
      <w:r w:rsidR="00CE2645">
        <w:t xml:space="preserve"> </w:t>
      </w:r>
      <w:r w:rsidR="006A2892">
        <w:t xml:space="preserve">Näiteks püüdes Tallinna vanalinnas piirangute ja keeldudega püsielanike arvu suurendada, võib see ebaõnnestuda </w:t>
      </w:r>
      <w:r w:rsidR="00151C76">
        <w:t xml:space="preserve">hoopis muudel vanalinna elukeskkonda negatiivselt mõjutavatel põhjustel. </w:t>
      </w:r>
      <w:r w:rsidR="001549F8">
        <w:t xml:space="preserve">Seega võib lõpptulemuseks olla küll lühiajalise üürimise vähenemine, kuid </w:t>
      </w:r>
      <w:r w:rsidR="00147305">
        <w:t xml:space="preserve">ilma püsielanike arvu suurenemiseta. </w:t>
      </w:r>
      <w:r w:rsidR="00E341F7">
        <w:t>S</w:t>
      </w:r>
      <w:r w:rsidR="00CE2645">
        <w:t>ell</w:t>
      </w:r>
      <w:r w:rsidR="00147305">
        <w:t>iste soovimatute tulemuste</w:t>
      </w:r>
      <w:r w:rsidR="00CE2645">
        <w:t xml:space="preserve"> vältimiseks oleks asjakohane </w:t>
      </w:r>
      <w:r w:rsidR="00723A01">
        <w:t xml:space="preserve">teha eelnevalt </w:t>
      </w:r>
      <w:r w:rsidR="00F6449C">
        <w:t xml:space="preserve">iga </w:t>
      </w:r>
      <w:r w:rsidR="002C4131">
        <w:t xml:space="preserve">kavandatava </w:t>
      </w:r>
      <w:r w:rsidR="00723A01">
        <w:t xml:space="preserve">poliitikasekkumise </w:t>
      </w:r>
      <w:r w:rsidR="00892EAE">
        <w:t>mõjude analüüs</w:t>
      </w:r>
      <w:r w:rsidR="00E03857">
        <w:t xml:space="preserve">, lähtudes </w:t>
      </w:r>
      <w:r w:rsidR="00DF664F">
        <w:t>vastava piirkonna eripäradest ja seatu</w:t>
      </w:r>
      <w:r w:rsidR="00740D1E">
        <w:t>d</w:t>
      </w:r>
      <w:r w:rsidR="00DF664F">
        <w:t xml:space="preserve"> eesmärkidest</w:t>
      </w:r>
      <w:r w:rsidR="00723A01">
        <w:t>.</w:t>
      </w:r>
      <w:r w:rsidR="00F0005E">
        <w:t xml:space="preserve"> </w:t>
      </w:r>
    </w:p>
    <w:p w14:paraId="06A333A7" w14:textId="5496FD40" w:rsidR="00872DC3" w:rsidRDefault="54B6E299" w:rsidP="00872DC3">
      <w:pPr>
        <w:jc w:val="both"/>
      </w:pPr>
      <w:r>
        <w:t xml:space="preserve">Kõikide selles soovituses pakutud meetmete rakendamisel on </w:t>
      </w:r>
      <w:r w:rsidR="001B1E34">
        <w:t xml:space="preserve">täiendavaks </w:t>
      </w:r>
      <w:r>
        <w:t xml:space="preserve">raskuseks järelevalve pidamine, mis eeldab selleks täiendava ressursi eraldamist. Üldiselt on Eestis maksumaksjate maksukuulekus ja maksutahe erinevate uuringute põhjal suhteliselt kõrge ja seega tasu rakendamine ja kogumine võiks toimuda tõhusalt, eriti kui seda rakendatakse mõnes üksikus piirkonnas ning arvestades ka seda, et lühiajalise üürimise varjamine on keerulisem kui nt ebaseaduslikult teenitud tulude varjamine. Järelevalve jaoks oleks võimalik koguda infot nii korteriühistutelt, platvormidelt, aga kasutada ka platvormialase teabe automaatse vahenduse raames MTA kasutuses olevat teavet. Samas saaks tasude kogumisel teha koostööd ka platvormidega, kes paljudes riikides lühiajalise üüri teenuse pealt makse koguvad ja maksuhalduritele edastavad. Samamoodi saaks koostööd arendada platvormidega ka </w:t>
      </w:r>
      <w:r w:rsidR="00522BFB">
        <w:t xml:space="preserve">piirangute </w:t>
      </w:r>
      <w:r>
        <w:t xml:space="preserve">rakendamisel, </w:t>
      </w:r>
      <w:r w:rsidR="00046496">
        <w:t xml:space="preserve">nt keelutsoonide loomisel </w:t>
      </w:r>
      <w:r>
        <w:t>nendes tsoonides üüripakkumisi avaldada ei saaks. Seega nende sekkumiste tegelik mõju sõltub palju ka omavalitsuste leidlikkusest ja ettevõtlikkusest ja oskusest erinevate osapooltega koostööd teha, sh teenuse pakkujatega.</w:t>
      </w:r>
    </w:p>
    <w:p w14:paraId="1E2D93E9" w14:textId="3F7E7284" w:rsidR="00872DC3" w:rsidRPr="00E14EBC" w:rsidRDefault="00DE132B" w:rsidP="00872DC3">
      <w:pPr>
        <w:jc w:val="both"/>
      </w:pPr>
      <w:r>
        <w:t xml:space="preserve">Erinevate piirangute kehtestamisel võib tõusetuda </w:t>
      </w:r>
      <w:r w:rsidR="00B27114">
        <w:t xml:space="preserve">põhiõiguste riive küsimus, kuna piiratakse </w:t>
      </w:r>
      <w:r w:rsidR="00DC384C">
        <w:t xml:space="preserve">eraomandi kasutamist. Samas ka põhiseaduse alusel on </w:t>
      </w:r>
      <w:r w:rsidR="00604276">
        <w:t>see lubatud, kui selle</w:t>
      </w:r>
      <w:r w:rsidR="001F7841">
        <w:t xml:space="preserve"> eesmärgiks on teiste inimeste õigustega arvestamine.</w:t>
      </w:r>
      <w:r w:rsidR="00DC384C">
        <w:t xml:space="preserve"> </w:t>
      </w:r>
      <w:r w:rsidR="001F7841">
        <w:t xml:space="preserve">Antud juhul </w:t>
      </w:r>
      <w:r w:rsidR="00837702">
        <w:t xml:space="preserve">on soovitused suunatud just sellele, et </w:t>
      </w:r>
      <w:r w:rsidR="00131166">
        <w:t>kontrollida lühiajalise üüri turu levikuga kaasnevat negatiivset mõju kolmandatele osapooltele oma eraomandi (eluruumide) kasutamisel.</w:t>
      </w:r>
    </w:p>
    <w:p w14:paraId="3E0130F6" w14:textId="480EC519" w:rsidR="00872DC3" w:rsidRPr="00E14EBC" w:rsidRDefault="54B6E299" w:rsidP="00872DC3">
      <w:pPr>
        <w:jc w:val="both"/>
      </w:pPr>
      <w:r w:rsidRPr="1C92C443">
        <w:rPr>
          <w:b/>
          <w:bCs/>
        </w:rPr>
        <w:t>Soovitatav elluviimise periood</w:t>
      </w:r>
      <w:r w:rsidR="008C30DF">
        <w:rPr>
          <w:b/>
          <w:bCs/>
        </w:rPr>
        <w:t xml:space="preserve"> </w:t>
      </w:r>
      <w:r w:rsidR="008C30DF" w:rsidRPr="1688D34F">
        <w:rPr>
          <w:b/>
        </w:rPr>
        <w:t>|</w:t>
      </w:r>
      <w:r w:rsidRPr="1C92C443">
        <w:rPr>
          <w:b/>
          <w:bCs/>
        </w:rPr>
        <w:t xml:space="preserve"> </w:t>
      </w:r>
      <w:r>
        <w:t xml:space="preserve">Pärast esmaste </w:t>
      </w:r>
      <w:r w:rsidR="2AEE0380">
        <w:t xml:space="preserve">meetmete </w:t>
      </w:r>
      <w:r>
        <w:t xml:space="preserve">(õigusselguse ja seirevõimekuse suurendamine, nõustamine ja koostöö, </w:t>
      </w:r>
      <w:r w:rsidR="1B36C982">
        <w:t>ko</w:t>
      </w:r>
      <w:r w:rsidR="00DC23C3">
        <w:t>r</w:t>
      </w:r>
      <w:r w:rsidR="1B36C982">
        <w:t>teriühistute</w:t>
      </w:r>
      <w:r>
        <w:t xml:space="preserve"> õiguste suurendamine, stiimulite, planeeringute ja kordade kasutamine) rakendamist ja nende mittetõhusaks osutumist.</w:t>
      </w:r>
    </w:p>
    <w:p w14:paraId="39A17940" w14:textId="5F7E387E" w:rsidR="00FB0104" w:rsidRDefault="2CB1BFF5" w:rsidP="00102F68">
      <w:pPr>
        <w:jc w:val="both"/>
      </w:pPr>
      <w:r w:rsidRPr="1C92C443">
        <w:rPr>
          <w:b/>
          <w:bCs/>
        </w:rPr>
        <w:t>Sekkumise</w:t>
      </w:r>
      <w:r w:rsidR="54B6E299" w:rsidRPr="1C92C443">
        <w:rPr>
          <w:b/>
          <w:bCs/>
        </w:rPr>
        <w:t xml:space="preserve"> rahaline </w:t>
      </w:r>
      <w:r w:rsidRPr="1C92C443">
        <w:rPr>
          <w:b/>
          <w:bCs/>
        </w:rPr>
        <w:t>kulu</w:t>
      </w:r>
      <w:r w:rsidR="008C30DF">
        <w:rPr>
          <w:b/>
          <w:bCs/>
        </w:rPr>
        <w:t xml:space="preserve"> </w:t>
      </w:r>
      <w:r w:rsidR="008C30DF" w:rsidRPr="1688D34F">
        <w:rPr>
          <w:b/>
        </w:rPr>
        <w:t>|</w:t>
      </w:r>
      <w:r w:rsidR="54B6E299" w:rsidRPr="1C92C443">
        <w:rPr>
          <w:b/>
          <w:bCs/>
        </w:rPr>
        <w:t xml:space="preserve"> </w:t>
      </w:r>
      <w:r w:rsidR="00AF7639" w:rsidRPr="00AF7639">
        <w:t>Erinevate</w:t>
      </w:r>
      <w:r w:rsidR="00AF7639">
        <w:rPr>
          <w:b/>
          <w:bCs/>
        </w:rPr>
        <w:t xml:space="preserve"> </w:t>
      </w:r>
      <w:r w:rsidR="009D71DA" w:rsidRPr="009D71DA">
        <w:t>kohustuste kehtestami</w:t>
      </w:r>
      <w:r w:rsidR="00BF7EEE">
        <w:t>se</w:t>
      </w:r>
      <w:r w:rsidR="009D71DA" w:rsidRPr="009D71DA">
        <w:t xml:space="preserve"> ja nende üle järelevalve</w:t>
      </w:r>
      <w:r w:rsidR="0039194C">
        <w:t xml:space="preserve"> tegemisega</w:t>
      </w:r>
      <w:r w:rsidR="009D71DA" w:rsidRPr="009D71DA">
        <w:t xml:space="preserve"> </w:t>
      </w:r>
      <w:r w:rsidR="00BF7EEE">
        <w:t xml:space="preserve">kaasneb tavapäraselt nii täiendav halduskoormus teenuse pakkujatele kui ka halduskulu </w:t>
      </w:r>
      <w:r w:rsidR="0021242F">
        <w:t>avaliku sektori asutustele.</w:t>
      </w:r>
      <w:r w:rsidR="009D71DA" w:rsidRPr="009D71DA">
        <w:t xml:space="preserve"> </w:t>
      </w:r>
      <w:r w:rsidR="54B6E299" w:rsidRPr="009D71DA">
        <w:t>M</w:t>
      </w:r>
      <w:r w:rsidR="54B6E299">
        <w:t xml:space="preserve">õõdukad </w:t>
      </w:r>
      <w:r w:rsidR="00C16B93">
        <w:t xml:space="preserve">rahalised kulud </w:t>
      </w:r>
      <w:r w:rsidR="54B6E299">
        <w:t>(kuid KOV-dele kindlasti jõukohased</w:t>
      </w:r>
      <w:r w:rsidR="00A91899">
        <w:t>, maksumusega vähem kui 5 000 eurot</w:t>
      </w:r>
      <w:r w:rsidR="54B6E299">
        <w:t xml:space="preserve">) kulud kaasnevad </w:t>
      </w:r>
      <w:r w:rsidR="00C16B93">
        <w:t xml:space="preserve">ka </w:t>
      </w:r>
      <w:r w:rsidR="54B6E299">
        <w:t xml:space="preserve">juhul, kui otsustatakse </w:t>
      </w:r>
      <w:r w:rsidR="54B6E299">
        <w:lastRenderedPageBreak/>
        <w:t xml:space="preserve">osta andmeid platvormidelt ja </w:t>
      </w:r>
      <w:r w:rsidR="43AB086A">
        <w:t>SA-lt</w:t>
      </w:r>
      <w:r w:rsidR="54B6E299">
        <w:t>.</w:t>
      </w:r>
      <w:r>
        <w:t xml:space="preserve"> Registreerimissüsteemi rakendamise kulu sõltub sellest, milli</w:t>
      </w:r>
      <w:r w:rsidR="2558A8FE">
        <w:t xml:space="preserve">ne lahendus valitakse. </w:t>
      </w:r>
      <w:r w:rsidR="6F9267CE">
        <w:t xml:space="preserve">Arvestades, et sellist sekkumist on vaja rakendada KOV-del, kelle piirkonnas </w:t>
      </w:r>
      <w:r w:rsidR="671FB39B">
        <w:t>tegutseb palju teenusepakkuja</w:t>
      </w:r>
      <w:r w:rsidR="00CA4750">
        <w:t>i</w:t>
      </w:r>
      <w:r w:rsidR="671FB39B">
        <w:t>d, siis soovitame kasutada mõnda juba</w:t>
      </w:r>
      <w:r w:rsidR="2E55605E">
        <w:t xml:space="preserve"> omavalitsus</w:t>
      </w:r>
      <w:r w:rsidR="121906FC">
        <w:t>e</w:t>
      </w:r>
      <w:r w:rsidR="671FB39B">
        <w:t xml:space="preserve"> olemasolevat </w:t>
      </w:r>
      <w:r w:rsidR="204D86E3">
        <w:t xml:space="preserve">elektroonilist </w:t>
      </w:r>
      <w:r w:rsidR="121906FC">
        <w:t>infosüsteem</w:t>
      </w:r>
      <w:r w:rsidR="204D86E3">
        <w:t>i</w:t>
      </w:r>
      <w:r w:rsidR="121906FC">
        <w:t>, mille kaudu praegu elanikega infot vahetatakse</w:t>
      </w:r>
      <w:r w:rsidR="41CFBB4D">
        <w:t>.</w:t>
      </w:r>
      <w:r w:rsidR="0CA0D3A7">
        <w:t xml:space="preserve"> Sellisele platvormile lisafunktsionaalsuse </w:t>
      </w:r>
      <w:r w:rsidR="4A2FE0A7">
        <w:t xml:space="preserve">lisamise </w:t>
      </w:r>
      <w:r w:rsidR="0CA0D3A7">
        <w:t xml:space="preserve">kulu sõltub platvormi </w:t>
      </w:r>
      <w:r w:rsidR="22719CBF">
        <w:t>tüübist ja vajaliku arenduse mahust.</w:t>
      </w:r>
      <w:r w:rsidR="41CFBB4D">
        <w:t xml:space="preserve"> </w:t>
      </w:r>
      <w:r w:rsidR="16FCC404">
        <w:t>Alternatiivselt</w:t>
      </w:r>
      <w:r w:rsidR="41CFBB4D">
        <w:t xml:space="preserve"> soovitame </w:t>
      </w:r>
      <w:r w:rsidR="7CFF7B30">
        <w:t xml:space="preserve">kaaluda juba toimivat </w:t>
      </w:r>
      <w:r w:rsidR="16FCC404">
        <w:t xml:space="preserve">majandustegevuse registri </w:t>
      </w:r>
      <w:r w:rsidR="7CFF7B30">
        <w:t xml:space="preserve">infosüsteemi </w:t>
      </w:r>
      <w:r w:rsidR="43AB086A">
        <w:t>TTJA</w:t>
      </w:r>
      <w:r w:rsidR="7CFF7B30">
        <w:t xml:space="preserve"> juures</w:t>
      </w:r>
      <w:r w:rsidR="16FCC404">
        <w:t>.</w:t>
      </w:r>
      <w:r w:rsidR="22719CBF">
        <w:t xml:space="preserve"> Viimasel juhul tuleb funktsionaalsuse</w:t>
      </w:r>
      <w:r w:rsidR="004827C0">
        <w:t>st</w:t>
      </w:r>
      <w:r w:rsidR="22719CBF">
        <w:t xml:space="preserve"> </w:t>
      </w:r>
      <w:r w:rsidR="004827C0">
        <w:t>sõltuvalt</w:t>
      </w:r>
      <w:r w:rsidR="204D86E3">
        <w:t xml:space="preserve"> maksumus</w:t>
      </w:r>
      <w:r w:rsidR="004827C0">
        <w:t xml:space="preserve"> eraldi välja </w:t>
      </w:r>
      <w:r w:rsidR="00C40454">
        <w:t>selgitada.</w:t>
      </w:r>
      <w:r w:rsidR="00AC312F">
        <w:t xml:space="preserve"> </w:t>
      </w:r>
      <w:r w:rsidR="00C40454">
        <w:t xml:space="preserve">Uuringu tegemise ajal hindasid TTJA spetsialistid sellise lahenduse, </w:t>
      </w:r>
      <w:r w:rsidR="00AC312F">
        <w:t xml:space="preserve">mis võimaldab </w:t>
      </w:r>
      <w:r w:rsidR="00F11E7E">
        <w:t xml:space="preserve">koguda andmeid teenuse osutamise asukohtade kohta, </w:t>
      </w:r>
      <w:r w:rsidR="00AC03CF">
        <w:t>kuluks ligikaudu 10 000 eurot</w:t>
      </w:r>
      <w:r w:rsidR="008A3804">
        <w:t xml:space="preserve"> (millele lisandub hoolduskulu)</w:t>
      </w:r>
      <w:r w:rsidR="00AC03CF">
        <w:t>.</w:t>
      </w:r>
      <w:r w:rsidR="00F11E7E">
        <w:t xml:space="preserve"> </w:t>
      </w:r>
      <w:r w:rsidR="00781BEA">
        <w:t xml:space="preserve">Eeldatavalt jääks maksimaalselt samasse suurusjärku ka KOVi enda autonoomse </w:t>
      </w:r>
      <w:r w:rsidR="00A31D51">
        <w:t>infovahetussüsteemi loomine.</w:t>
      </w:r>
      <w:r w:rsidR="001F746B">
        <w:t xml:space="preserve"> Liitu</w:t>
      </w:r>
      <w:r w:rsidR="00036CD7">
        <w:t xml:space="preserve">des EL-i tasandil rakenduva süsteemiga ulatuksid kulud 3-4 </w:t>
      </w:r>
      <w:r w:rsidR="1B3ADFD6">
        <w:t>miljoni</w:t>
      </w:r>
      <w:r w:rsidR="295514F7">
        <w:t xml:space="preserve"> euro</w:t>
      </w:r>
      <w:r w:rsidR="1B3ADFD6">
        <w:t>ni.</w:t>
      </w:r>
    </w:p>
    <w:p w14:paraId="665BF8B8" w14:textId="77777777" w:rsidR="00300805" w:rsidRDefault="00300805" w:rsidP="00102F68">
      <w:pPr>
        <w:jc w:val="both"/>
      </w:pPr>
    </w:p>
    <w:p w14:paraId="2C33BD87" w14:textId="35D37394" w:rsidR="00872DC3" w:rsidRPr="00E14EBC" w:rsidRDefault="00872DC3" w:rsidP="00A15A65">
      <w:pPr>
        <w:pStyle w:val="Heading2"/>
        <w:rPr>
          <w:rFonts w:hint="eastAsia"/>
        </w:rPr>
      </w:pPr>
      <w:bookmarkStart w:id="150" w:name="_Toc208991638"/>
      <w:r w:rsidRPr="00E14EBC">
        <w:t xml:space="preserve">Võimalikud lahendused Tallinna </w:t>
      </w:r>
      <w:r w:rsidR="00C8491A">
        <w:t>v</w:t>
      </w:r>
      <w:r w:rsidRPr="00E14EBC">
        <w:t>analinnas ja Pärnus</w:t>
      </w:r>
      <w:bookmarkEnd w:id="150"/>
      <w:r w:rsidRPr="00E14EBC">
        <w:t xml:space="preserve"> </w:t>
      </w:r>
    </w:p>
    <w:p w14:paraId="57FAA933" w14:textId="504E10E7" w:rsidR="00872DC3" w:rsidRPr="00E14EBC" w:rsidRDefault="54B6E299" w:rsidP="00872DC3">
      <w:pPr>
        <w:jc w:val="both"/>
      </w:pPr>
      <w:r>
        <w:t xml:space="preserve">Uuringu tulemusel saab järeldada, et Eestis on lühiajalise üüri turu arenguga kaasnenud negatiivsed kõrvalmõjud sekkumist vajaval kujul kindlasti Tallinna </w:t>
      </w:r>
      <w:r w:rsidR="22613A6F">
        <w:t>v</w:t>
      </w:r>
      <w:r>
        <w:t xml:space="preserve">analinnas ja Pärnu linnas. Tallinna </w:t>
      </w:r>
      <w:r w:rsidR="22613A6F">
        <w:t>v</w:t>
      </w:r>
      <w:r>
        <w:t>analinnas on põhiprobleemiks lühiajaliste üüripindade ja voodikohtade ebamõistlikult suur arv võrreldes kohalike elanikega, mistõttu esineb seal kohalike elanike elu tugevalt mõjutavaid häiringuid.</w:t>
      </w:r>
      <w:r w:rsidR="00D9584C">
        <w:t xml:space="preserve"> </w:t>
      </w:r>
      <w:r>
        <w:t>Pärnus ilmneb probleem hooajalisusega ehk korterite suuremahulise väljaüürimisega suvehooajal ja nende tühjaks jäämisega muul ajal, mis võib olla majanduslikult otstarbekas valik korteriomanikele, aga mitte linna kui terviku arengule</w:t>
      </w:r>
      <w:r w:rsidR="0088091C">
        <w:t xml:space="preserve"> – nõrgeneb kogukonnatunne</w:t>
      </w:r>
      <w:r w:rsidR="00DB768A">
        <w:t>, väheneda võib kohalike teenuste pakkumine, tekkida võivad eluruumide kütmisega seotud probleemid</w:t>
      </w:r>
      <w:r>
        <w:t>. Kuna mõlemas linnas on lühiajalise üüri teenuse kontsenratsioon suur, siis esinevad seal ka teised selles uuringus välja toodud mõjud (konkurentsimoonutused, tuleohutus</w:t>
      </w:r>
      <w:r w:rsidR="2C918DE8">
        <w:t>)</w:t>
      </w:r>
      <w:r>
        <w:t xml:space="preserve"> kõige intensiivsemal kujul.</w:t>
      </w:r>
      <w:r w:rsidR="00DA6C3B">
        <w:t xml:space="preserve"> Samas tuleb arvestada seda, et lühiajalist üüri turgu puudutab siin üksnes see osa Pärnu suvekorteritest, mis </w:t>
      </w:r>
      <w:r w:rsidR="003238B7">
        <w:t xml:space="preserve">majutusteenuse osutamiseks välja üüritakse. Kortereid, mida kasutavad omanikud ise suvel Pärnus puhkamiseks, </w:t>
      </w:r>
      <w:r w:rsidR="00C76A85">
        <w:t>jäävad väljapoole lühiajalist üüri turgu, kuigi probleemid, mida need kaasa toovad, on üsna sarnased.</w:t>
      </w:r>
    </w:p>
    <w:p w14:paraId="4639FC78" w14:textId="18010434" w:rsidR="00872DC3" w:rsidRPr="00E14EBC" w:rsidRDefault="54B6E299" w:rsidP="00872DC3">
      <w:pPr>
        <w:jc w:val="both"/>
      </w:pPr>
      <w:r w:rsidRPr="0055303C">
        <w:rPr>
          <w:b/>
          <w:bCs/>
        </w:rPr>
        <w:t>Soovitame mõlemal kohalikul omavalitsusel alustada probleemide lahendamist eespool kirjeldatud meetmetest</w:t>
      </w:r>
      <w:r w:rsidR="348BE013" w:rsidRPr="0055303C">
        <w:rPr>
          <w:b/>
          <w:bCs/>
        </w:rPr>
        <w:t>,</w:t>
      </w:r>
      <w:r w:rsidRPr="0055303C">
        <w:rPr>
          <w:b/>
          <w:bCs/>
        </w:rPr>
        <w:t xml:space="preserve"> nagu turu seirevõimekuse arendamine ning nõustamine ja koostöö</w:t>
      </w:r>
      <w:r>
        <w:t>. Riiklikul tasandil on vaja neid piirkondi toetada ka õigusselguse suurendamise ja vastavate juhendmaterjalide loomise ning korteriühistute õiguste suurendamise</w:t>
      </w:r>
      <w:r w:rsidR="00EF262A">
        <w:t xml:space="preserve"> kaudu</w:t>
      </w:r>
      <w:r>
        <w:t>. Kui need sekkumised praktikas loodetud tulemust ei too, soovitame kaaluda järgmisi regulatiivseid lahendusi:</w:t>
      </w:r>
    </w:p>
    <w:p w14:paraId="3997537F" w14:textId="08AE048D" w:rsidR="00872DC3" w:rsidRPr="00E14EBC" w:rsidRDefault="00872DC3" w:rsidP="00872DC3">
      <w:pPr>
        <w:jc w:val="both"/>
      </w:pPr>
      <w:r w:rsidRPr="00E14EBC">
        <w:t xml:space="preserve">(i) Tallinna </w:t>
      </w:r>
      <w:r w:rsidR="0034350D">
        <w:t>v</w:t>
      </w:r>
      <w:r w:rsidRPr="00E14EBC">
        <w:t xml:space="preserve">analinnas tuleks tundlikes tsoonides, kus Tallinna linna eesmärgiks on suurendada või hoida püsielanike arvu, </w:t>
      </w:r>
    </w:p>
    <w:p w14:paraId="0E47105E" w14:textId="7757C68F" w:rsidR="00872DC3" w:rsidRPr="00E14EBC" w:rsidRDefault="00872DC3" w:rsidP="007F08F4">
      <w:pPr>
        <w:pStyle w:val="ListParagraph"/>
        <w:numPr>
          <w:ilvl w:val="0"/>
          <w:numId w:val="42"/>
        </w:numPr>
        <w:jc w:val="both"/>
      </w:pPr>
      <w:r>
        <w:t>laiendada kodualuse maa</w:t>
      </w:r>
      <w:r w:rsidR="42AE50A8">
        <w:t xml:space="preserve"> </w:t>
      </w:r>
      <w:r>
        <w:t>maksuvabastust pikaajaliselt välja üüritud eluruumide omanikele</w:t>
      </w:r>
      <w:r w:rsidR="005E3A73">
        <w:t>, et muuta eluruumi pikaajaliselt välja üürimine</w:t>
      </w:r>
      <w:r w:rsidR="00794BC8">
        <w:t xml:space="preserve"> majanduslikult tasuvamaks</w:t>
      </w:r>
      <w:r>
        <w:t xml:space="preserve"> (kui selline võimalus maamaksuseadusesse luua);</w:t>
      </w:r>
    </w:p>
    <w:p w14:paraId="574B9521" w14:textId="7D93E6EE" w:rsidR="00872DC3" w:rsidRDefault="00872DC3" w:rsidP="007F08F4">
      <w:pPr>
        <w:pStyle w:val="ListParagraph"/>
        <w:numPr>
          <w:ilvl w:val="0"/>
          <w:numId w:val="42"/>
        </w:numPr>
        <w:jc w:val="both"/>
      </w:pPr>
      <w:r w:rsidRPr="00E14EBC">
        <w:lastRenderedPageBreak/>
        <w:t>piirkondades, kus soovitakse vähendada lühiajalise üüri teenuse osutajate tihedust või piirata selle kasvu, kehtestada eluruumides lühiajalise üüri teenuse osutamise tasu</w:t>
      </w:r>
      <w:r w:rsidR="00743043">
        <w:t>;</w:t>
      </w:r>
      <w:r w:rsidRPr="00E14EBC">
        <w:t xml:space="preserve"> </w:t>
      </w:r>
    </w:p>
    <w:p w14:paraId="01E007CC" w14:textId="77777777" w:rsidR="00743043" w:rsidRDefault="008014F2" w:rsidP="007F08F4">
      <w:pPr>
        <w:pStyle w:val="ListParagraph"/>
        <w:numPr>
          <w:ilvl w:val="0"/>
          <w:numId w:val="42"/>
        </w:numPr>
        <w:jc w:val="both"/>
      </w:pPr>
      <w:r>
        <w:t>k</w:t>
      </w:r>
      <w:r w:rsidR="006C4EAB">
        <w:t>ehtestada sihistatud piiranguid piirkondade</w:t>
      </w:r>
      <w:r>
        <w:t xml:space="preserve">s, kus soovitakse soodustada </w:t>
      </w:r>
      <w:r w:rsidR="00E86708">
        <w:t xml:space="preserve">elukeskkonna säilimist, </w:t>
      </w:r>
      <w:r w:rsidR="002621C9">
        <w:t>sh minimaalse ööbimise pikkuse</w:t>
      </w:r>
      <w:r w:rsidR="000630F9">
        <w:t xml:space="preserve"> </w:t>
      </w:r>
      <w:r w:rsidR="008E5CE4">
        <w:t>piirang</w:t>
      </w:r>
      <w:r w:rsidR="000630F9">
        <w:t>,</w:t>
      </w:r>
      <w:r w:rsidR="002621C9">
        <w:t xml:space="preserve"> voodikohtade </w:t>
      </w:r>
      <w:r w:rsidR="000630F9">
        <w:t>arvu</w:t>
      </w:r>
      <w:r w:rsidR="008E5CE4">
        <w:t xml:space="preserve"> piirang</w:t>
      </w:r>
      <w:r w:rsidR="000630F9">
        <w:t>,</w:t>
      </w:r>
      <w:r w:rsidR="002621C9">
        <w:t xml:space="preserve"> </w:t>
      </w:r>
      <w:r w:rsidR="000630F9">
        <w:t>eluruumi põhielukohana kasutamise või</w:t>
      </w:r>
      <w:r w:rsidR="008E5CE4">
        <w:t xml:space="preserve"> eluruumis teenuse osutamise ajal kohal</w:t>
      </w:r>
      <w:r w:rsidR="00CE5B1B">
        <w:t xml:space="preserve"> </w:t>
      </w:r>
      <w:r w:rsidR="008E5CE4">
        <w:t>viibimise kohustus</w:t>
      </w:r>
      <w:r w:rsidR="00743043">
        <w:t>;</w:t>
      </w:r>
    </w:p>
    <w:p w14:paraId="73693DD5" w14:textId="1CF2FF66" w:rsidR="71E1E089" w:rsidRDefault="71E1E089" w:rsidP="1C92C443">
      <w:pPr>
        <w:pStyle w:val="ListParagraph"/>
        <w:numPr>
          <w:ilvl w:val="0"/>
          <w:numId w:val="42"/>
        </w:numPr>
        <w:jc w:val="both"/>
      </w:pPr>
      <w:r>
        <w:t>kehtestada mittepõhielukohana kasutatavates eluruumides lühiajalise üürimise keeld, kui mingit tsooni soovitakse kujundada kohalike elanike jaoks atraktiivse(ma)ks elupaigaks, kus turistidele majutusteenuse osutamine seda ei võimalda.</w:t>
      </w:r>
    </w:p>
    <w:p w14:paraId="09A4E88F" w14:textId="483DBF88" w:rsidR="00872DC3" w:rsidRPr="00E14EBC" w:rsidRDefault="00872DC3" w:rsidP="00872DC3">
      <w:pPr>
        <w:jc w:val="both"/>
      </w:pPr>
      <w:r w:rsidRPr="00E14EBC">
        <w:t>(ii) Pärnus soovitame hooajalisuse mõjude vähendamiseks luua stiimulid, mis suurendaks omanike motivatsiooni korter pikaajaliselt välja üürida. Selleks soovitame kaaluda järgmist:</w:t>
      </w:r>
    </w:p>
    <w:p w14:paraId="167A7A10" w14:textId="0DEF8DBF" w:rsidR="00872DC3" w:rsidRPr="00E14EBC" w:rsidRDefault="00872DC3" w:rsidP="007F08F4">
      <w:pPr>
        <w:pStyle w:val="ListParagraph"/>
        <w:numPr>
          <w:ilvl w:val="0"/>
          <w:numId w:val="41"/>
        </w:numPr>
        <w:jc w:val="both"/>
        <w:rPr>
          <w:b/>
          <w:bCs/>
        </w:rPr>
      </w:pPr>
      <w:r>
        <w:t>laiendada kodualuse maa</w:t>
      </w:r>
      <w:r w:rsidR="6829B24B">
        <w:t xml:space="preserve"> </w:t>
      </w:r>
      <w:r>
        <w:t>maksuvabastust pikaajaliselt välja üüritud eluruumide omanikele (kui selline võimalus maamaksuseadusesse luua).</w:t>
      </w:r>
    </w:p>
    <w:p w14:paraId="73A96F8E" w14:textId="1D03DF2A" w:rsidR="00872DC3" w:rsidRPr="00E14EBC" w:rsidRDefault="00872DC3" w:rsidP="00872DC3">
      <w:pPr>
        <w:jc w:val="both"/>
      </w:pPr>
      <w:r w:rsidRPr="00E14EBC">
        <w:t xml:space="preserve">Samas neid soovitusi klassikaliste regulatiivsete sekkumiste rakendamisel käsitleme nii-öelda viimase abinõuna, kuna kõikide esmaste sekkumiste (õigusselguse suurendamine, seirevõimekuse kasv, nõustamine ja koostöö, korteriühistute õiguste suurendamine) koostoimes ilma KOV tasandil regulatiivse sekkumiseta saaks praegust olukord nii Tallinna </w:t>
      </w:r>
      <w:r w:rsidR="00AB154A">
        <w:t>v</w:t>
      </w:r>
      <w:r w:rsidRPr="00E14EBC">
        <w:t xml:space="preserve">analinnas kui ka Pärnus vähemalt leevendada. Isegi kui ei suudetaks probleemi täielikult lahendada, õpitaks mainitud meetmete rakendamise raames probleemi veelgi paremini tundma, mis aitaks hilisemas faasis regulatiivsete sekkumistega olla tõhusam. </w:t>
      </w:r>
    </w:p>
    <w:p w14:paraId="4629A02F" w14:textId="2C380204" w:rsidR="00872DC3" w:rsidRPr="00E14EBC" w:rsidRDefault="348209F6" w:rsidP="00872DC3">
      <w:pPr>
        <w:jc w:val="both"/>
        <w:rPr>
          <w:b/>
          <w:bCs/>
        </w:rPr>
      </w:pPr>
      <w:r>
        <w:t xml:space="preserve">Paljudel KOV-del </w:t>
      </w:r>
      <w:r w:rsidR="54B6E299">
        <w:t>on kindlasti vähe ressursse omal jõul kõiki soovitusi ellu viia, seetõttu on siin oluline ka MKM-i tugi ja nõustav roll. Seetõttu on ka mõistetav, et omavalitsuspoliitikud eelistaksid pigem regulatiivseid ja kiirema mõjuga sekkumisi, kuid selle õiguse kergekäeline andmine võib luua ka võimalused nende mitteotstarbekaks rakend</w:t>
      </w:r>
      <w:r w:rsidR="070B38A4">
        <w:t>a</w:t>
      </w:r>
      <w:r w:rsidR="54B6E299">
        <w:t>miseks ja seeläbi võidakse jagamismajandust rohkem kahjustada kui positiivsete mõjudega kogukonnale kasu tuua. Seda mainiti ka paljudes intervjuudes, et piirangute ja regulatsioonide rakendamisel võivad paljud majutusteenuse pakkujad turult üldse lahkuda ja sellega kahjustatakse nii turismisektorit kui ka majandust ja ettevõtlust laiemalt. Nendest kaalutlustest lähtuvalt ei soovita m</w:t>
      </w:r>
      <w:r w:rsidR="2ABFF29A">
        <w:t>e</w:t>
      </w:r>
      <w:r w:rsidR="54B6E299">
        <w:t xml:space="preserve"> kohe esmases järjekorras KOV-del piirangute ja tasude kehtestamis</w:t>
      </w:r>
      <w:r w:rsidR="00D92EB5">
        <w:t>t</w:t>
      </w:r>
      <w:r w:rsidR="00012968">
        <w:t>.</w:t>
      </w:r>
      <w:r w:rsidR="54B6E299">
        <w:t xml:space="preserve"> </w:t>
      </w:r>
      <w:r w:rsidR="00012968">
        <w:t>T</w:t>
      </w:r>
      <w:r w:rsidR="54B6E299">
        <w:t xml:space="preserve">änasel päeval oleks nende rakendamise tõsiselt kaalumine vajalik üksnes Tallinna </w:t>
      </w:r>
      <w:r w:rsidR="22613A6F">
        <w:t>v</w:t>
      </w:r>
      <w:r w:rsidR="54B6E299">
        <w:t xml:space="preserve">analinnas. </w:t>
      </w:r>
    </w:p>
    <w:p w14:paraId="45F2FFD1" w14:textId="7F05655F" w:rsidR="00872DC3" w:rsidRDefault="54B6E299" w:rsidP="00872DC3">
      <w:pPr>
        <w:jc w:val="both"/>
      </w:pPr>
      <w:r>
        <w:t xml:space="preserve">Oleme kõikide meetmete mõjusid kirjeldanud eelnevate soovituste all. Tallinna ja Pärnu puhul avalduksid </w:t>
      </w:r>
      <w:r w:rsidR="00000DF4">
        <w:t xml:space="preserve">need </w:t>
      </w:r>
      <w:r>
        <w:t xml:space="preserve">teiste piirkondadega võrreldes kindlasti tugevamalt, kuna nendes kahes piirkonnas on ka negatiivseid probleemid kõige selgemalt nähtavad ja tuvastatavad. </w:t>
      </w:r>
    </w:p>
    <w:p w14:paraId="04D24AB7" w14:textId="77777777" w:rsidR="00DB7638" w:rsidRPr="00E14EBC" w:rsidRDefault="00DB7638" w:rsidP="00DB7638">
      <w:pPr>
        <w:jc w:val="both"/>
      </w:pPr>
    </w:p>
    <w:p w14:paraId="5AB0D0FE" w14:textId="040E200B" w:rsidR="00DB7638" w:rsidRPr="00E14EBC" w:rsidRDefault="00DB7638" w:rsidP="00DB7638">
      <w:pPr>
        <w:sectPr w:rsidR="00DB7638" w:rsidRPr="00E14EBC" w:rsidSect="00D20749">
          <w:headerReference w:type="default" r:id="rId23"/>
          <w:footerReference w:type="default" r:id="rId24"/>
          <w:headerReference w:type="first" r:id="rId25"/>
          <w:footerReference w:type="first" r:id="rId26"/>
          <w:pgSz w:w="11906" w:h="16838"/>
          <w:pgMar w:top="1474" w:right="822" w:bottom="1474" w:left="822" w:header="709" w:footer="709" w:gutter="0"/>
          <w:cols w:space="708"/>
          <w:titlePg/>
          <w:docGrid w:linePitch="360"/>
        </w:sectPr>
      </w:pPr>
    </w:p>
    <w:p w14:paraId="0E093104" w14:textId="343AC71C" w:rsidR="0013025D" w:rsidRPr="00877099" w:rsidRDefault="526E82E2" w:rsidP="00F548F0">
      <w:pPr>
        <w:pStyle w:val="Heading1"/>
        <w:rPr>
          <w:rFonts w:hint="eastAsia"/>
          <w:b/>
          <w:bCs/>
        </w:rPr>
      </w:pPr>
      <w:bookmarkStart w:id="151" w:name="_Toc197718085"/>
      <w:bookmarkStart w:id="152" w:name="_Toc208991639"/>
      <w:r w:rsidRPr="00877099">
        <w:rPr>
          <w:b/>
          <w:bCs/>
        </w:rPr>
        <w:lastRenderedPageBreak/>
        <w:t>Lisad</w:t>
      </w:r>
      <w:bookmarkEnd w:id="151"/>
      <w:bookmarkEnd w:id="152"/>
    </w:p>
    <w:p w14:paraId="0F6DA9D9" w14:textId="77777777" w:rsidR="00211F6F" w:rsidRPr="00E14EBC" w:rsidRDefault="00211F6F" w:rsidP="00116C2D">
      <w:pPr>
        <w:sectPr w:rsidR="00211F6F" w:rsidRPr="00E14EBC" w:rsidSect="00D20749">
          <w:pgSz w:w="11906" w:h="16838"/>
          <w:pgMar w:top="1474" w:right="822" w:bottom="1474" w:left="822" w:header="709" w:footer="709" w:gutter="0"/>
          <w:cols w:space="708"/>
          <w:titlePg/>
          <w:docGrid w:linePitch="360"/>
        </w:sectPr>
      </w:pPr>
    </w:p>
    <w:p w14:paraId="3B88A4DC" w14:textId="5B688293" w:rsidR="006E7D35" w:rsidRPr="00E14EBC" w:rsidRDefault="006E7D35" w:rsidP="006E7D35">
      <w:pPr>
        <w:pStyle w:val="Heading2"/>
        <w:numPr>
          <w:ilvl w:val="0"/>
          <w:numId w:val="0"/>
        </w:numPr>
        <w:rPr>
          <w:rFonts w:hint="eastAsia"/>
        </w:rPr>
      </w:pPr>
      <w:bookmarkStart w:id="153" w:name="_Ref193455978"/>
      <w:bookmarkStart w:id="154" w:name="_Toc197718086"/>
      <w:bookmarkStart w:id="155" w:name="_Toc208991640"/>
      <w:r w:rsidRPr="00E14EBC">
        <w:lastRenderedPageBreak/>
        <w:t>Lisa 1. Ülevaade valitud välisriikide lühiajalise üüri</w:t>
      </w:r>
      <w:r w:rsidR="0046089F">
        <w:t xml:space="preserve"> </w:t>
      </w:r>
      <w:r w:rsidRPr="00E14EBC">
        <w:t>turu toimimisest</w:t>
      </w:r>
      <w:bookmarkEnd w:id="153"/>
      <w:bookmarkEnd w:id="154"/>
      <w:bookmarkEnd w:id="155"/>
      <w:r w:rsidR="00B7799E" w:rsidRPr="00E14EBC">
        <w:t xml:space="preserve"> </w:t>
      </w:r>
    </w:p>
    <w:p w14:paraId="41CC5CCE" w14:textId="577870C4" w:rsidR="00620DC8" w:rsidRPr="00E14EBC" w:rsidRDefault="63207653" w:rsidP="006F10AC">
      <w:pPr>
        <w:jc w:val="both"/>
      </w:pPr>
      <w:r>
        <w:t>Lühiajalise</w:t>
      </w:r>
      <w:r w:rsidR="4F100BA7">
        <w:t xml:space="preserve"> üüri turu</w:t>
      </w:r>
      <w:r w:rsidR="0757BCCB">
        <w:t xml:space="preserve"> toimimise paremaks mõistmiseks analüüsiti </w:t>
      </w:r>
      <w:r w:rsidR="04F1CFED">
        <w:t>põhjalikult</w:t>
      </w:r>
      <w:r w:rsidR="1A073B01">
        <w:t xml:space="preserve"> </w:t>
      </w:r>
      <w:r w:rsidR="7DE3D591">
        <w:t xml:space="preserve">viie </w:t>
      </w:r>
      <w:r w:rsidR="04F1CFED">
        <w:t xml:space="preserve">välisriigi </w:t>
      </w:r>
      <w:r w:rsidR="62B1BE59">
        <w:t>–</w:t>
      </w:r>
      <w:r w:rsidR="561FC077">
        <w:t xml:space="preserve"> </w:t>
      </w:r>
      <w:r w:rsidR="4A697932">
        <w:t xml:space="preserve">Holland, Saksamaa, </w:t>
      </w:r>
      <w:r w:rsidR="50290392">
        <w:t xml:space="preserve">Soome, </w:t>
      </w:r>
      <w:r w:rsidR="08C2D4EE">
        <w:t>Tšehhi ja Šveits</w:t>
      </w:r>
      <w:bookmarkStart w:id="156" w:name="_Toc188273977"/>
      <w:r w:rsidR="04F1CFED">
        <w:t xml:space="preserve"> </w:t>
      </w:r>
      <w:r w:rsidR="799F44D1">
        <w:t>–</w:t>
      </w:r>
      <w:r w:rsidR="1FD15FAE">
        <w:t xml:space="preserve"> </w:t>
      </w:r>
      <w:r w:rsidR="04F1CFED">
        <w:t>seniseid kogemusi</w:t>
      </w:r>
      <w:r w:rsidR="4A3F0B78">
        <w:t xml:space="preserve">. </w:t>
      </w:r>
      <w:r w:rsidR="11446685">
        <w:t>Kokkuvõte nende viie riigi praktikatest on esitatud Lisas 2.</w:t>
      </w:r>
    </w:p>
    <w:p w14:paraId="0F139FED" w14:textId="03CBB76D" w:rsidR="0079430A" w:rsidRPr="00E14EBC" w:rsidRDefault="0079430A" w:rsidP="006F10AC">
      <w:pPr>
        <w:pStyle w:val="Heading3"/>
        <w:numPr>
          <w:ilvl w:val="0"/>
          <w:numId w:val="0"/>
        </w:numPr>
        <w:ind w:left="720" w:hanging="720"/>
        <w:jc w:val="both"/>
        <w:rPr>
          <w:rStyle w:val="PurpleText"/>
          <w:rFonts w:hint="eastAsia"/>
        </w:rPr>
      </w:pPr>
      <w:bookmarkStart w:id="157" w:name="_Toc188273989"/>
      <w:bookmarkStart w:id="158" w:name="_Toc197718087"/>
      <w:bookmarkStart w:id="159" w:name="_Toc208991641"/>
      <w:r w:rsidRPr="00E14EBC">
        <w:rPr>
          <w:rStyle w:val="PurpleText"/>
        </w:rPr>
        <w:t>Holland</w:t>
      </w:r>
      <w:bookmarkEnd w:id="157"/>
      <w:bookmarkEnd w:id="158"/>
      <w:bookmarkEnd w:id="159"/>
      <w:r w:rsidRPr="00E14EBC">
        <w:rPr>
          <w:rStyle w:val="PurpleText"/>
        </w:rPr>
        <w:t xml:space="preserve"> </w:t>
      </w:r>
    </w:p>
    <w:p w14:paraId="7EEB04AF" w14:textId="77777777" w:rsidR="0079430A" w:rsidRPr="00E14EBC" w:rsidRDefault="0079430A" w:rsidP="006F10AC">
      <w:pPr>
        <w:pStyle w:val="Heading5"/>
        <w:numPr>
          <w:ilvl w:val="0"/>
          <w:numId w:val="0"/>
        </w:numPr>
        <w:ind w:left="1077" w:hanging="1077"/>
        <w:jc w:val="both"/>
        <w:rPr>
          <w:rFonts w:asciiTheme="minorHAnsi" w:hAnsiTheme="minorHAnsi" w:cstheme="minorHAnsi"/>
          <w:color w:val="auto"/>
        </w:rPr>
      </w:pPr>
      <w:bookmarkStart w:id="160" w:name="_Toc188273990"/>
      <w:r w:rsidRPr="00E14EBC">
        <w:rPr>
          <w:color w:val="auto"/>
        </w:rPr>
        <w:t>Lühiajalise üüri</w:t>
      </w:r>
      <w:r w:rsidRPr="00E14EBC">
        <w:rPr>
          <w:rFonts w:asciiTheme="minorHAnsi" w:hAnsiTheme="minorHAnsi" w:cstheme="minorHAnsi"/>
          <w:color w:val="auto"/>
        </w:rPr>
        <w:t xml:space="preserve"> </w:t>
      </w:r>
      <w:r w:rsidRPr="00E14EBC">
        <w:rPr>
          <w:rFonts w:asciiTheme="minorHAnsi" w:hAnsiTheme="minorHAnsi" w:cstheme="minorHAnsi"/>
          <w:b/>
          <w:bCs/>
          <w:color w:val="auto"/>
        </w:rPr>
        <w:t>turu mõiste</w:t>
      </w:r>
      <w:bookmarkEnd w:id="160"/>
      <w:r w:rsidRPr="00E14EBC">
        <w:rPr>
          <w:rFonts w:asciiTheme="minorHAnsi" w:hAnsiTheme="minorHAnsi" w:cstheme="minorHAnsi"/>
          <w:color w:val="auto"/>
        </w:rPr>
        <w:t xml:space="preserve"> </w:t>
      </w:r>
    </w:p>
    <w:p w14:paraId="5AF59535" w14:textId="273F92B8" w:rsidR="00E31796" w:rsidRPr="00E14EBC" w:rsidRDefault="0079430A" w:rsidP="006F10AC">
      <w:pPr>
        <w:jc w:val="both"/>
      </w:pPr>
      <w:r w:rsidRPr="00E14EBC">
        <w:t xml:space="preserve">Amsterdami linna kodulehelt leitava info põhjal on lühiajaline üürimine määratletud kui </w:t>
      </w:r>
      <w:r w:rsidRPr="00E14EBC">
        <w:rPr>
          <w:b/>
          <w:bCs/>
        </w:rPr>
        <w:t>eluruumi või paatmaja ajutine üürile andmine turistidele</w:t>
      </w:r>
      <w:r w:rsidRPr="00E14EBC">
        <w:t>, mis on piiratud maksimaalselt 30 ööga kalendriaastas ning korraga võib majutada kuni neli inimest</w:t>
      </w:r>
      <w:r w:rsidR="00B631CD" w:rsidRPr="00E14EBC">
        <w:t>.</w:t>
      </w:r>
      <w:r w:rsidRPr="00E14EBC">
        <w:rPr>
          <w:rStyle w:val="FootnoteReference"/>
        </w:rPr>
        <w:footnoteReference w:id="183"/>
      </w:r>
      <w:r w:rsidR="00B631CD" w:rsidRPr="00E14EBC">
        <w:t xml:space="preserve"> </w:t>
      </w:r>
      <w:r w:rsidR="004E3277" w:rsidRPr="00E14EBC">
        <w:t>Amsterdamis on kaht tüüpi lühiajalise üüri pindasid: puhkemajutus (</w:t>
      </w:r>
      <w:r w:rsidR="00BB4F57" w:rsidRPr="00E14EBC">
        <w:rPr>
          <w:i/>
          <w:iCs/>
        </w:rPr>
        <w:t>vakantieverhuur</w:t>
      </w:r>
      <w:r w:rsidR="00BB4F57" w:rsidRPr="00E14EBC">
        <w:t xml:space="preserve">) ja </w:t>
      </w:r>
      <w:r w:rsidR="00BB4F57" w:rsidRPr="00E14EBC">
        <w:rPr>
          <w:i/>
          <w:iCs/>
        </w:rPr>
        <w:t>Bed and Breakfast</w:t>
      </w:r>
      <w:r w:rsidR="00BB4F57" w:rsidRPr="00E14EBC">
        <w:t xml:space="preserve">-tüüpi ehk </w:t>
      </w:r>
      <w:r w:rsidR="00AC47FA" w:rsidRPr="00E14EBC">
        <w:t>hommikusöögiga majutus.</w:t>
      </w:r>
      <w:r w:rsidRPr="00E14EBC">
        <w:t xml:space="preserve"> </w:t>
      </w:r>
      <w:r w:rsidR="009235D6" w:rsidRPr="00E14EBC">
        <w:t>Mõlemale kehtivad erinevad nõuded</w:t>
      </w:r>
      <w:r w:rsidR="003E34FC" w:rsidRPr="00E14EBC">
        <w:t xml:space="preserve"> ja mõlem</w:t>
      </w:r>
      <w:r w:rsidR="004734BE">
        <w:t>a</w:t>
      </w:r>
      <w:r w:rsidR="003E34FC" w:rsidRPr="00E14EBC">
        <w:t xml:space="preserve">l juhul tuleb pakkujal küsida oma tegevuseks </w:t>
      </w:r>
      <w:r w:rsidR="00E31796" w:rsidRPr="00E14EBC">
        <w:t>vastav luba</w:t>
      </w:r>
      <w:r w:rsidR="003E34FC" w:rsidRPr="00E14EBC">
        <w:t xml:space="preserve">. </w:t>
      </w:r>
    </w:p>
    <w:p w14:paraId="191FB99E" w14:textId="17A974E1" w:rsidR="0079430A" w:rsidRPr="00E14EBC" w:rsidRDefault="0079430A" w:rsidP="006F10AC">
      <w:pPr>
        <w:jc w:val="both"/>
      </w:pPr>
      <w:r w:rsidRPr="00E14EBC">
        <w:t>Lühiajaliseks rendiks (</w:t>
      </w:r>
      <w:r w:rsidR="0045120D" w:rsidRPr="00E14EBC">
        <w:t xml:space="preserve">nimetatud </w:t>
      </w:r>
      <w:r w:rsidRPr="00E14EBC">
        <w:t>ka</w:t>
      </w:r>
      <w:r w:rsidR="002B003F" w:rsidRPr="00E14EBC">
        <w:t xml:space="preserve"> kui</w:t>
      </w:r>
      <w:r w:rsidRPr="00E14EBC">
        <w:t xml:space="preserve"> turismiren</w:t>
      </w:r>
      <w:r w:rsidR="002B003F" w:rsidRPr="00E14EBC">
        <w:t>t</w:t>
      </w:r>
      <w:r w:rsidRPr="00E14EBC">
        <w:t>) on keelatud pakkuda eluruume, mis asuvad omavalitsuse poolt kindlaks määratud piirkonnas. Omavalitsuste eluasememääruses on märgitud piirkonnad, mille puhul on eesmärk säilitada eluruume ja elukeskkonda. See tähendab, et ruume ei tohi välja üürida lühiajaliseks peatumiseks</w:t>
      </w:r>
      <w:r w:rsidR="5C277445" w:rsidRPr="00E14EBC">
        <w:t>,</w:t>
      </w:r>
      <w:r w:rsidRPr="00E14EBC">
        <w:t xml:space="preserve"> kui selleks ei ole väljastatud omavalitsuse poolt luba</w:t>
      </w:r>
      <w:bookmarkStart w:id="161" w:name="_Ref187656088"/>
      <w:r w:rsidR="00B631CD" w:rsidRPr="00E14EBC">
        <w:t>.</w:t>
      </w:r>
      <w:r w:rsidRPr="00E14EBC">
        <w:rPr>
          <w:rStyle w:val="FootnoteReference"/>
        </w:rPr>
        <w:footnoteReference w:id="184"/>
      </w:r>
      <w:bookmarkEnd w:id="161"/>
      <w:r w:rsidRPr="00E14EBC">
        <w:t xml:space="preserve"> </w:t>
      </w:r>
    </w:p>
    <w:p w14:paraId="7120A89B" w14:textId="77777777" w:rsidR="0079430A" w:rsidRPr="00E14EBC" w:rsidRDefault="0129C12C" w:rsidP="288A3578">
      <w:pPr>
        <w:pStyle w:val="Heading5"/>
        <w:numPr>
          <w:ilvl w:val="0"/>
          <w:numId w:val="0"/>
        </w:numPr>
        <w:ind w:left="1077" w:hanging="1077"/>
        <w:jc w:val="both"/>
        <w:rPr>
          <w:rFonts w:asciiTheme="minorHAnsi" w:hAnsiTheme="minorHAnsi" w:cstheme="minorBidi"/>
          <w:b/>
          <w:bCs/>
          <w:color w:val="auto"/>
        </w:rPr>
      </w:pPr>
      <w:bookmarkStart w:id="162" w:name="_Toc188273991"/>
      <w:r w:rsidRPr="288A3578">
        <w:rPr>
          <w:color w:val="auto"/>
        </w:rPr>
        <w:t xml:space="preserve">Üürituru </w:t>
      </w:r>
      <w:r w:rsidRPr="002C5A9D">
        <w:rPr>
          <w:rFonts w:hint="eastAsia"/>
          <w:b/>
          <w:bCs/>
          <w:color w:val="auto"/>
        </w:rPr>
        <w:t>regulatsioonid</w:t>
      </w:r>
      <w:r w:rsidRPr="002C5A9D">
        <w:rPr>
          <w:rFonts w:asciiTheme="minorHAnsi" w:hAnsiTheme="minorHAnsi" w:cstheme="minorBidi"/>
          <w:b/>
          <w:bCs/>
          <w:color w:val="auto"/>
        </w:rPr>
        <w:t xml:space="preserve"> </w:t>
      </w:r>
      <w:r w:rsidRPr="288A3578">
        <w:rPr>
          <w:rFonts w:asciiTheme="minorHAnsi" w:hAnsiTheme="minorHAnsi" w:cstheme="minorBidi"/>
          <w:b/>
          <w:bCs/>
          <w:color w:val="auto"/>
        </w:rPr>
        <w:t>ja osapooled</w:t>
      </w:r>
      <w:bookmarkEnd w:id="162"/>
    </w:p>
    <w:p w14:paraId="0CF123B8" w14:textId="3473AEB0" w:rsidR="0079430A" w:rsidRPr="00E14EBC" w:rsidRDefault="0129C12C" w:rsidP="288A3578">
      <w:pPr>
        <w:jc w:val="both"/>
      </w:pPr>
      <w:r w:rsidRPr="00E14EBC">
        <w:t>Amsterdamis</w:t>
      </w:r>
      <w:r w:rsidR="2E1C9E6E" w:rsidRPr="00E14EBC">
        <w:t xml:space="preserve"> (Hollandis)</w:t>
      </w:r>
      <w:r w:rsidRPr="00E14EBC">
        <w:t xml:space="preserve"> on lühiajalise üürimise puhul vajalik luba. Üürileandjatel on kohustuslik registreeruda </w:t>
      </w:r>
      <w:r w:rsidRPr="00E14EBC">
        <w:rPr>
          <w:rStyle w:val="Strong"/>
        </w:rPr>
        <w:t>riiklikus turismirendi registris</w:t>
      </w:r>
      <w:r w:rsidRPr="00E14EBC">
        <w:t>. Registreerimisnumber peab olema lisatud kõigile kuulutustele (nt Airbnb, Booking.com). Seejuures on oluli</w:t>
      </w:r>
      <w:r w:rsidR="00FBCD14" w:rsidRPr="00E14EBC">
        <w:t>ne</w:t>
      </w:r>
      <w:r w:rsidRPr="00E14EBC">
        <w:t>, et samal aadressil ei ole lubatud pakkuda majutuse ja hommikusöögi teenust, kuna seaduse järgi ei ole tegemist lühiajalise rendiga. Loa taotlemise eest on kohustus tasuda taotlemise hetkel 73,3</w:t>
      </w:r>
      <w:r w:rsidR="0000613F">
        <w:t xml:space="preserve"> </w:t>
      </w:r>
      <w:r w:rsidR="0000613F">
        <w:rPr>
          <w:rFonts w:ascii="Arial" w:eastAsia="Arial" w:hAnsi="Arial" w:cs="Arial"/>
        </w:rPr>
        <w:t>eurot</w:t>
      </w:r>
      <w:r w:rsidRPr="00E14EBC">
        <w:t xml:space="preserve"> ning luba väljastatakse e-kirjaga üldjuhul ühe tunni jooksul pärast taotlemist. Loa taotlemisel ja lühiajalise üüri pakkumisel on oluline, et</w:t>
      </w:r>
      <w:bookmarkStart w:id="163" w:name="_Ref187654240"/>
      <w:r w:rsidR="0079430A" w:rsidRPr="00E14EBC">
        <w:rPr>
          <w:rStyle w:val="FootnoteReference"/>
        </w:rPr>
        <w:footnoteReference w:id="185"/>
      </w:r>
      <w:bookmarkEnd w:id="163"/>
      <w:r w:rsidRPr="00E14EBC">
        <w:t xml:space="preserve">: </w:t>
      </w:r>
    </w:p>
    <w:p w14:paraId="19F4026B" w14:textId="228CD78C" w:rsidR="0079430A" w:rsidRPr="00E14EBC" w:rsidRDefault="0129C12C" w:rsidP="288A3578">
      <w:pPr>
        <w:pStyle w:val="ListBullet"/>
        <w:jc w:val="both"/>
      </w:pPr>
      <w:r w:rsidRPr="288A3578">
        <w:t xml:space="preserve">Elamu oleks üürileandja </w:t>
      </w:r>
      <w:r w:rsidRPr="288A3578">
        <w:rPr>
          <w:b/>
          <w:bCs/>
        </w:rPr>
        <w:t>peamine elukoht</w:t>
      </w:r>
      <w:r w:rsidRPr="288A3578">
        <w:t xml:space="preserve"> ning üürileandja elukoht peab olema sellel aadressil registreeritud Amsterdami omavalitsuse isikuregistris (BRP). Kõik loa taotluses märgitud kaastaotlejad peavad samuti olema samal aadressil registreeritud; </w:t>
      </w:r>
    </w:p>
    <w:p w14:paraId="410D7BAB" w14:textId="77777777" w:rsidR="0079430A" w:rsidRPr="00E14EBC" w:rsidRDefault="0079430A" w:rsidP="00A364B8">
      <w:pPr>
        <w:pStyle w:val="ListBullet"/>
        <w:numPr>
          <w:ilvl w:val="0"/>
          <w:numId w:val="13"/>
        </w:numPr>
        <w:jc w:val="both"/>
        <w:rPr>
          <w:rFonts w:cstheme="minorHAnsi"/>
        </w:rPr>
      </w:pPr>
      <w:r w:rsidRPr="00E14EBC">
        <w:rPr>
          <w:rFonts w:cstheme="minorHAnsi"/>
          <w:b/>
        </w:rPr>
        <w:t xml:space="preserve">Üürikortereid, </w:t>
      </w:r>
      <w:r w:rsidRPr="00E14EBC">
        <w:rPr>
          <w:rFonts w:cstheme="minorHAnsi"/>
        </w:rPr>
        <w:t>mis kuuluvad</w:t>
      </w:r>
      <w:r w:rsidRPr="00E14EBC">
        <w:rPr>
          <w:rFonts w:cstheme="minorHAnsi"/>
          <w:b/>
        </w:rPr>
        <w:t xml:space="preserve"> </w:t>
      </w:r>
      <w:r w:rsidRPr="00E14EBC">
        <w:rPr>
          <w:rFonts w:cstheme="minorHAnsi"/>
        </w:rPr>
        <w:t xml:space="preserve">kellelegi teisele, ei tohi turistidele välja üürida; </w:t>
      </w:r>
    </w:p>
    <w:p w14:paraId="3D4E1CD2" w14:textId="77777777" w:rsidR="0079430A" w:rsidRPr="00E14EBC" w:rsidRDefault="0079430A" w:rsidP="00A364B8">
      <w:pPr>
        <w:pStyle w:val="ListBullet"/>
        <w:numPr>
          <w:ilvl w:val="0"/>
          <w:numId w:val="13"/>
        </w:numPr>
        <w:jc w:val="both"/>
        <w:rPr>
          <w:rFonts w:cstheme="minorHAnsi"/>
        </w:rPr>
      </w:pPr>
      <w:r w:rsidRPr="00E14EBC">
        <w:rPr>
          <w:rFonts w:cstheme="minorHAnsi"/>
          <w:b/>
        </w:rPr>
        <w:t>Välised ruumid</w:t>
      </w:r>
      <w:r w:rsidRPr="00E14EBC">
        <w:rPr>
          <w:rFonts w:cstheme="minorHAnsi"/>
        </w:rPr>
        <w:t xml:space="preserve">, näiteks suvemajad, telgid või paadid, ei kuulu lühiajalise üüri alla; </w:t>
      </w:r>
    </w:p>
    <w:p w14:paraId="78B48BFD" w14:textId="77777777" w:rsidR="0079430A" w:rsidRPr="00E14EBC" w:rsidRDefault="0079430A" w:rsidP="00A364B8">
      <w:pPr>
        <w:pStyle w:val="ListBullet"/>
        <w:numPr>
          <w:ilvl w:val="0"/>
          <w:numId w:val="13"/>
        </w:numPr>
        <w:jc w:val="both"/>
        <w:rPr>
          <w:rFonts w:cstheme="minorHAnsi"/>
        </w:rPr>
      </w:pPr>
      <w:r w:rsidRPr="00E14EBC">
        <w:rPr>
          <w:rFonts w:cstheme="minorHAnsi"/>
        </w:rPr>
        <w:t xml:space="preserve">Luba on ajutine ja kehtib kuni </w:t>
      </w:r>
      <w:r w:rsidRPr="00E14EBC">
        <w:rPr>
          <w:rFonts w:cstheme="minorHAnsi"/>
          <w:b/>
        </w:rPr>
        <w:t>järgmise kalendriaasta 1. aprillini</w:t>
      </w:r>
      <w:r w:rsidRPr="00E14EBC">
        <w:rPr>
          <w:rFonts w:cstheme="minorHAnsi"/>
        </w:rPr>
        <w:t>.</w:t>
      </w:r>
    </w:p>
    <w:p w14:paraId="416B51BC" w14:textId="1021546B" w:rsidR="0079430A" w:rsidRPr="00E14EBC" w:rsidRDefault="0129C12C" w:rsidP="00C55BCB">
      <w:pPr>
        <w:jc w:val="both"/>
        <w:rPr>
          <w:b/>
          <w:bCs/>
        </w:rPr>
      </w:pPr>
      <w:r w:rsidRPr="00E14EBC">
        <w:t xml:space="preserve">Lühiajaliselt on lubatud kinnisvara või paatmaja üürida kuni 30 ööd aastas ning maksimaalne külastajate arv on 4 inimest korraga. Iga üüriperioodi alguses on üürileandjal kohustus teavitada omavalitsust enne külastajate saabumist. Samuti on oluline, et külastajad ei põhjustaks naabritele </w:t>
      </w:r>
      <w:r w:rsidRPr="00E14EBC">
        <w:lastRenderedPageBreak/>
        <w:t xml:space="preserve">ebamugavusi. Üürileandjatel on kohustus maksta </w:t>
      </w:r>
      <w:r w:rsidR="67D6F9EF" w:rsidRPr="00E14EBC">
        <w:t>üü</w:t>
      </w:r>
      <w:r w:rsidR="4B2078A7" w:rsidRPr="00E14EBC">
        <w:t>rijate</w:t>
      </w:r>
      <w:r w:rsidRPr="00E14EBC">
        <w:t xml:space="preserve"> pealt </w:t>
      </w:r>
      <w:r w:rsidRPr="288A3578">
        <w:rPr>
          <w:b/>
          <w:bCs/>
        </w:rPr>
        <w:t xml:space="preserve">turismimaksu </w:t>
      </w:r>
      <w:r w:rsidRPr="00E14EBC">
        <w:t xml:space="preserve">ning </w:t>
      </w:r>
      <w:r w:rsidRPr="288A3578">
        <w:rPr>
          <w:b/>
          <w:bCs/>
        </w:rPr>
        <w:t>tulumaksu</w:t>
      </w:r>
      <w:r w:rsidR="0079430A" w:rsidRPr="288A3578">
        <w:rPr>
          <w:b/>
          <w:bCs/>
        </w:rPr>
        <w:fldChar w:fldCharType="begin"/>
      </w:r>
      <w:r w:rsidR="0079430A" w:rsidRPr="288A3578">
        <w:rPr>
          <w:b/>
          <w:bCs/>
        </w:rPr>
        <w:instrText xml:space="preserve"> NOTEREF _Ref187654240 \f \h </w:instrText>
      </w:r>
      <w:r w:rsidR="006F10AC" w:rsidRPr="288A3578">
        <w:rPr>
          <w:b/>
          <w:bCs/>
        </w:rPr>
        <w:instrText xml:space="preserve"> \* MERGEFORMAT </w:instrText>
      </w:r>
      <w:r w:rsidR="0079430A" w:rsidRPr="288A3578">
        <w:rPr>
          <w:b/>
          <w:bCs/>
        </w:rPr>
      </w:r>
      <w:r w:rsidR="0079430A" w:rsidRPr="288A3578">
        <w:rPr>
          <w:b/>
          <w:bCs/>
        </w:rPr>
        <w:fldChar w:fldCharType="separate"/>
      </w:r>
      <w:r w:rsidR="00C55BCB" w:rsidRPr="00C55BCB">
        <w:rPr>
          <w:rStyle w:val="FootnoteReference"/>
        </w:rPr>
        <w:t>184</w:t>
      </w:r>
      <w:r w:rsidR="0079430A" w:rsidRPr="288A3578">
        <w:rPr>
          <w:b/>
          <w:bCs/>
        </w:rPr>
        <w:fldChar w:fldCharType="end"/>
      </w:r>
      <w:r w:rsidRPr="288A3578">
        <w:rPr>
          <w:b/>
          <w:bCs/>
        </w:rPr>
        <w:t xml:space="preserve">. </w:t>
      </w:r>
    </w:p>
    <w:p w14:paraId="4D2B77A2" w14:textId="2B1CD6EF" w:rsidR="0079430A" w:rsidRPr="00E14EBC" w:rsidRDefault="0079430A" w:rsidP="00C55BCB">
      <w:pPr>
        <w:jc w:val="both"/>
        <w:rPr>
          <w:rFonts w:cstheme="minorHAnsi"/>
        </w:rPr>
      </w:pPr>
      <w:r w:rsidRPr="00E14EBC">
        <w:rPr>
          <w:rFonts w:cstheme="minorHAnsi"/>
        </w:rPr>
        <w:t>Reeglite rikkumise korral võivad üürileandjad saada trahvi. Trahvisummad sõltuvad rikkumise iseloomust ja ulatusest</w:t>
      </w:r>
      <w:r w:rsidRPr="00E14EBC">
        <w:rPr>
          <w:rFonts w:cstheme="minorHAnsi"/>
        </w:rPr>
        <w:fldChar w:fldCharType="begin"/>
      </w:r>
      <w:r w:rsidRPr="00E14EBC">
        <w:rPr>
          <w:rFonts w:cstheme="minorHAnsi"/>
        </w:rPr>
        <w:instrText xml:space="preserve"> NOTEREF _Ref187654240 \f \h </w:instrText>
      </w:r>
      <w:r w:rsidR="006F10AC" w:rsidRPr="00E14EBC">
        <w:rPr>
          <w:rFonts w:cstheme="minorHAnsi"/>
        </w:rPr>
        <w:instrText xml:space="preserve"> \* MERGEFORMAT </w:instrText>
      </w:r>
      <w:r w:rsidRPr="00E14EBC">
        <w:rPr>
          <w:rFonts w:cstheme="minorHAnsi"/>
        </w:rPr>
      </w:r>
      <w:r w:rsidRPr="00E14EBC">
        <w:rPr>
          <w:rFonts w:cstheme="minorHAnsi"/>
        </w:rPr>
        <w:fldChar w:fldCharType="separate"/>
      </w:r>
      <w:r w:rsidR="00C55BCB" w:rsidRPr="00C55BCB">
        <w:rPr>
          <w:rStyle w:val="FootnoteReference"/>
        </w:rPr>
        <w:t>184</w:t>
      </w:r>
      <w:r w:rsidRPr="00E14EBC">
        <w:rPr>
          <w:rFonts w:cstheme="minorHAnsi"/>
        </w:rPr>
        <w:fldChar w:fldCharType="end"/>
      </w:r>
      <w:r w:rsidRPr="00E14EBC">
        <w:rPr>
          <w:rFonts w:cstheme="minorHAnsi"/>
        </w:rPr>
        <w:t>:</w:t>
      </w:r>
    </w:p>
    <w:p w14:paraId="17994FA1" w14:textId="67D5086F" w:rsidR="0079430A" w:rsidRPr="00E14EBC" w:rsidRDefault="0079430A" w:rsidP="00A364B8">
      <w:pPr>
        <w:pStyle w:val="ListBullet"/>
        <w:numPr>
          <w:ilvl w:val="0"/>
          <w:numId w:val="14"/>
        </w:numPr>
        <w:rPr>
          <w:rFonts w:cstheme="minorHAnsi"/>
        </w:rPr>
      </w:pPr>
      <w:r w:rsidRPr="00E14EBC">
        <w:rPr>
          <w:rFonts w:cstheme="minorHAnsi"/>
        </w:rPr>
        <w:t xml:space="preserve">Loa puudumisel on trahv esmakordsel rikkumisel </w:t>
      </w:r>
      <w:r w:rsidRPr="001410FA">
        <w:rPr>
          <w:rFonts w:cstheme="minorHAnsi"/>
        </w:rPr>
        <w:t>1500 eurot</w:t>
      </w:r>
      <w:r w:rsidRPr="00E14EBC">
        <w:rPr>
          <w:rFonts w:cstheme="minorHAnsi"/>
        </w:rPr>
        <w:t xml:space="preserve"> eraisikutele ja </w:t>
      </w:r>
      <w:r w:rsidRPr="001410FA">
        <w:rPr>
          <w:rFonts w:cstheme="minorHAnsi"/>
        </w:rPr>
        <w:t>3000 eurot</w:t>
      </w:r>
      <w:r w:rsidRPr="00E14EBC">
        <w:rPr>
          <w:rFonts w:cstheme="minorHAnsi"/>
        </w:rPr>
        <w:t xml:space="preserve"> kommertsrendile;</w:t>
      </w:r>
    </w:p>
    <w:p w14:paraId="6F909BCB" w14:textId="253F8316" w:rsidR="0079430A" w:rsidRPr="00E14EBC" w:rsidRDefault="0079430A" w:rsidP="00A364B8">
      <w:pPr>
        <w:pStyle w:val="ListBullet"/>
        <w:numPr>
          <w:ilvl w:val="0"/>
          <w:numId w:val="14"/>
        </w:numPr>
        <w:rPr>
          <w:rFonts w:cstheme="minorHAnsi"/>
        </w:rPr>
      </w:pPr>
      <w:r w:rsidRPr="00E14EBC">
        <w:rPr>
          <w:rFonts w:cstheme="minorHAnsi"/>
        </w:rPr>
        <w:t xml:space="preserve">Üüriperioodist ette teatamata jätmisel on trahv </w:t>
      </w:r>
      <w:r w:rsidRPr="001410FA">
        <w:rPr>
          <w:rFonts w:cstheme="minorHAnsi"/>
        </w:rPr>
        <w:t>1500 eurot</w:t>
      </w:r>
      <w:r w:rsidRPr="00E14EBC">
        <w:rPr>
          <w:rFonts w:cstheme="minorHAnsi"/>
        </w:rPr>
        <w:t>;</w:t>
      </w:r>
    </w:p>
    <w:p w14:paraId="19B59F74" w14:textId="4E43616F" w:rsidR="0079430A" w:rsidRPr="00E14EBC" w:rsidRDefault="0079430A" w:rsidP="00A364B8">
      <w:pPr>
        <w:pStyle w:val="ListBullet"/>
        <w:numPr>
          <w:ilvl w:val="0"/>
          <w:numId w:val="14"/>
        </w:numPr>
        <w:rPr>
          <w:rFonts w:cstheme="minorHAnsi"/>
        </w:rPr>
      </w:pPr>
      <w:r w:rsidRPr="00E14EBC">
        <w:rPr>
          <w:rFonts w:cstheme="minorHAnsi"/>
        </w:rPr>
        <w:t xml:space="preserve">Mitme reegli rikkumise korral võib maksimaalne trahv ulatuda kuni </w:t>
      </w:r>
      <w:r w:rsidRPr="001410FA">
        <w:rPr>
          <w:rFonts w:cstheme="minorHAnsi"/>
        </w:rPr>
        <w:t>1</w:t>
      </w:r>
      <w:r w:rsidR="00E25961" w:rsidRPr="001410FA">
        <w:rPr>
          <w:rFonts w:cstheme="minorHAnsi"/>
        </w:rPr>
        <w:t>8</w:t>
      </w:r>
      <w:r w:rsidRPr="001410FA">
        <w:rPr>
          <w:rFonts w:cstheme="minorHAnsi"/>
        </w:rPr>
        <w:t xml:space="preserve"> </w:t>
      </w:r>
      <w:r w:rsidR="00E25961" w:rsidRPr="001410FA">
        <w:rPr>
          <w:rFonts w:cstheme="minorHAnsi"/>
        </w:rPr>
        <w:t>0</w:t>
      </w:r>
      <w:r w:rsidRPr="001410FA">
        <w:rPr>
          <w:rFonts w:cstheme="minorHAnsi"/>
        </w:rPr>
        <w:t>00 euroni</w:t>
      </w:r>
      <w:r w:rsidRPr="00E14EBC">
        <w:rPr>
          <w:rFonts w:cstheme="minorHAnsi"/>
        </w:rPr>
        <w:t>.</w:t>
      </w:r>
    </w:p>
    <w:p w14:paraId="67B2DD69" w14:textId="0198601C" w:rsidR="0079430A" w:rsidRPr="00E14EBC" w:rsidRDefault="0129C12C" w:rsidP="00C55BCB">
      <w:pPr>
        <w:jc w:val="both"/>
      </w:pPr>
      <w:r>
        <w:t>Kohalikul omavalitsusel on seaduse järgi võimalik kehtestada teenuseosutajale keeld eluruume lühiajaliselt rentida maksimaalselt üheks aastaks, kui üürimise nõuete rikkumise eest on vähemalt kahel korral määratud haldustrahv eluasememääruse nõuete rikkumise eest. Samuti on seaduse järgi võimalik anda digitaalse platvormi haldajatele (nt Air</w:t>
      </w:r>
      <w:r w:rsidR="5345475D">
        <w:t>b</w:t>
      </w:r>
      <w:r>
        <w:t>nb) korraldus blokeerida üürileandjate tegevus, kui isikutel on keelatud kinnisvara üürimiseks kasutada</w:t>
      </w:r>
      <w:r w:rsidR="378750C3">
        <w:t>.</w:t>
      </w:r>
      <w:r w:rsidR="0079430A">
        <w:fldChar w:fldCharType="begin"/>
      </w:r>
      <w:r w:rsidR="0079430A">
        <w:instrText xml:space="preserve"> NOTEREF _Ref187656088 \f \h  \* MERGEFORMAT </w:instrText>
      </w:r>
      <w:r w:rsidR="0079430A">
        <w:fldChar w:fldCharType="separate"/>
      </w:r>
      <w:r w:rsidR="00C55BCB" w:rsidRPr="00C55BCB">
        <w:rPr>
          <w:rStyle w:val="FootnoteReference"/>
        </w:rPr>
        <w:t>183</w:t>
      </w:r>
      <w:r w:rsidR="0079430A">
        <w:fldChar w:fldCharType="end"/>
      </w:r>
      <w:r>
        <w:t xml:space="preserve"> </w:t>
      </w:r>
    </w:p>
    <w:p w14:paraId="53E4EECB" w14:textId="4F01630D" w:rsidR="0079430A" w:rsidRPr="00E14EBC" w:rsidRDefault="0079430A" w:rsidP="00C55BCB">
      <w:pPr>
        <w:jc w:val="both"/>
      </w:pPr>
      <w:r w:rsidRPr="00E14EBC">
        <w:t>Üürituru ja lühiajalise üüri turu reguleerimiseks on kaasatud kohalike omavalitsuste esindajad, sh linnapea või vallavanem, erinevad ministeeriumid, ametiasutused, kolledžid ja riigiteenistujad</w:t>
      </w:r>
      <w:r w:rsidRPr="00E14EBC">
        <w:fldChar w:fldCharType="begin"/>
      </w:r>
      <w:r w:rsidRPr="00E14EBC">
        <w:instrText xml:space="preserve"> NOTEREF _Ref187656088 \f \h </w:instrText>
      </w:r>
      <w:r w:rsidR="00DA2B9E" w:rsidRPr="00E14EBC">
        <w:instrText xml:space="preserve"> \* MERGEFORMAT </w:instrText>
      </w:r>
      <w:r w:rsidRPr="00E14EBC">
        <w:fldChar w:fldCharType="separate"/>
      </w:r>
      <w:r w:rsidR="00C55BCB" w:rsidRPr="00C55BCB">
        <w:rPr>
          <w:rStyle w:val="FootnoteReference"/>
        </w:rPr>
        <w:t>183</w:t>
      </w:r>
      <w:r w:rsidRPr="00E14EBC">
        <w:fldChar w:fldCharType="end"/>
      </w:r>
      <w:r w:rsidRPr="00E14EBC">
        <w:t xml:space="preserve">. </w:t>
      </w:r>
      <w:r w:rsidR="00C52830" w:rsidRPr="00E14EBC">
        <w:t>K</w:t>
      </w:r>
      <w:r w:rsidRPr="00E14EBC">
        <w:t xml:space="preserve">aasatud </w:t>
      </w:r>
      <w:r w:rsidR="00C52830" w:rsidRPr="00E14EBC">
        <w:t xml:space="preserve">on ka </w:t>
      </w:r>
      <w:r w:rsidRPr="00E14EBC">
        <w:t>teenusepakkujaid vahendavad platvormid</w:t>
      </w:r>
      <w:r w:rsidR="00C52830" w:rsidRPr="00E14EBC">
        <w:t>.</w:t>
      </w:r>
      <w:r w:rsidR="00674F88" w:rsidRPr="00E14EBC">
        <w:t xml:space="preserve"> </w:t>
      </w:r>
      <w:r w:rsidR="00C52830" w:rsidRPr="00E14EBC">
        <w:t>L</w:t>
      </w:r>
      <w:r w:rsidR="00674F88" w:rsidRPr="00E14EBC">
        <w:t xml:space="preserve">isaks on </w:t>
      </w:r>
      <w:r w:rsidR="00B556EC" w:rsidRPr="00E14EBC">
        <w:t>kohalikel elanikel võimalus esitada kaebuseid vastava veebikeskkonna</w:t>
      </w:r>
      <w:r w:rsidR="000002EF">
        <w:t xml:space="preserve"> kaudu</w:t>
      </w:r>
      <w:r w:rsidR="00C52830" w:rsidRPr="00E14EBC">
        <w:t xml:space="preserve">, </w:t>
      </w:r>
      <w:r w:rsidR="003E7E97" w:rsidRPr="00E14EBC">
        <w:t>mi</w:t>
      </w:r>
      <w:r w:rsidR="00882B20" w:rsidRPr="00E14EBC">
        <w:t xml:space="preserve">da käsitletakse samuti </w:t>
      </w:r>
      <w:r w:rsidR="007B1C5D" w:rsidRPr="00E14EBC">
        <w:t xml:space="preserve">turu </w:t>
      </w:r>
      <w:r w:rsidR="00882B20" w:rsidRPr="00E14EBC">
        <w:t xml:space="preserve">ühe võimaliku </w:t>
      </w:r>
      <w:r w:rsidR="007B1C5D" w:rsidRPr="00E14EBC">
        <w:t>kontrollmehhanismina.</w:t>
      </w:r>
    </w:p>
    <w:p w14:paraId="10A9BFEF" w14:textId="1465DBD7" w:rsidR="0079430A" w:rsidRPr="00E14EBC" w:rsidRDefault="0079430A" w:rsidP="00DA2B9E">
      <w:pPr>
        <w:pStyle w:val="Heading5"/>
        <w:numPr>
          <w:ilvl w:val="0"/>
          <w:numId w:val="0"/>
        </w:numPr>
        <w:ind w:left="1077" w:hanging="1077"/>
        <w:jc w:val="both"/>
        <w:rPr>
          <w:rFonts w:asciiTheme="minorHAnsi" w:hAnsiTheme="minorHAnsi" w:cstheme="minorHAnsi"/>
          <w:b/>
          <w:bCs/>
          <w:color w:val="auto"/>
        </w:rPr>
      </w:pPr>
      <w:bookmarkStart w:id="164" w:name="_Toc188273992"/>
      <w:r w:rsidRPr="00E14EBC">
        <w:rPr>
          <w:b/>
          <w:bCs/>
          <w:color w:val="auto"/>
        </w:rPr>
        <w:t>Üürituruga seotud andmete kogumine ja metoodika</w:t>
      </w:r>
      <w:bookmarkEnd w:id="164"/>
    </w:p>
    <w:p w14:paraId="5B34F3A9" w14:textId="155CEFA8" w:rsidR="0079430A" w:rsidRPr="00E14EBC" w:rsidRDefault="0129C12C" w:rsidP="00DA2B9E">
      <w:pPr>
        <w:jc w:val="both"/>
      </w:pPr>
      <w:r w:rsidRPr="00E14EBC">
        <w:t xml:space="preserve">Hollandis kogutakse üldist statistikat </w:t>
      </w:r>
      <w:r w:rsidR="54B110E1" w:rsidRPr="00E14EBC">
        <w:t xml:space="preserve">nii </w:t>
      </w:r>
      <w:r w:rsidR="006975A2">
        <w:t>eluasem</w:t>
      </w:r>
      <w:r w:rsidR="396B4163" w:rsidRPr="00E14EBC">
        <w:t xml:space="preserve">e omamise kohta kui ka </w:t>
      </w:r>
      <w:r w:rsidRPr="00E14EBC">
        <w:t>majutuste</w:t>
      </w:r>
      <w:r w:rsidR="1FF14EC5" w:rsidRPr="00E14EBC">
        <w:t xml:space="preserve"> kohta</w:t>
      </w:r>
      <w:r w:rsidRPr="00E14EBC">
        <w:t xml:space="preserve"> majutuste mahutavuse, tüübi, voodikohtade arvu ja regiooni järgi</w:t>
      </w:r>
      <w:r w:rsidR="396B4163" w:rsidRPr="00E14EBC">
        <w:t>.</w:t>
      </w:r>
      <w:r w:rsidR="773F8B93" w:rsidRPr="00E14EBC">
        <w:t xml:space="preserve"> </w:t>
      </w:r>
      <w:r w:rsidR="50A8248F" w:rsidRPr="00E14EBC">
        <w:t xml:space="preserve">Samuti on Hollandi statistikaametil ülevaade </w:t>
      </w:r>
      <w:r w:rsidR="4A41FD29" w:rsidRPr="00E14EBC">
        <w:t xml:space="preserve">elamupindade ja </w:t>
      </w:r>
      <w:r w:rsidR="004A18EE" w:rsidRPr="00E14EBC">
        <w:t>üüri hindadest</w:t>
      </w:r>
      <w:r w:rsidR="0D444704" w:rsidRPr="00E14EBC">
        <w:t>.</w:t>
      </w:r>
      <w:r w:rsidR="0908712F" w:rsidRPr="00E14EBC">
        <w:t xml:space="preserve"> Samas ei kajastu statistikas lühiajalise üüri turu andmed, sh teenusepakkujate arv.</w:t>
      </w:r>
      <w:r w:rsidR="04BCAC25" w:rsidRPr="00E14EBC">
        <w:t xml:space="preserve"> Kuigi statistikaandmetes </w:t>
      </w:r>
      <w:r w:rsidR="673F478C" w:rsidRPr="00E14EBC">
        <w:t>(CBS)</w:t>
      </w:r>
      <w:r w:rsidR="04BCAC25" w:rsidRPr="00E14EBC">
        <w:t xml:space="preserve"> on viiteid korterites pakutavale majutusele, ei tähenda see, et andmestik hõlmaks eraisikuid, kes pakuvad oma kodu lühiajaliseks üüriks platvormidel</w:t>
      </w:r>
      <w:r w:rsidR="5B945A82" w:rsidRPr="00E14EBC">
        <w:t>,</w:t>
      </w:r>
      <w:r w:rsidR="04BCAC25" w:rsidRPr="00E14EBC">
        <w:t xml:space="preserve"> </w:t>
      </w:r>
      <w:r w:rsidR="24AF5687" w:rsidRPr="00E14EBC">
        <w:t>näiteks</w:t>
      </w:r>
      <w:r w:rsidR="04BCAC25" w:rsidRPr="00E14EBC">
        <w:t xml:space="preserve"> Airbnb. CBS kajastab </w:t>
      </w:r>
      <w:r w:rsidR="04BCAC25" w:rsidRPr="00E14EBC">
        <w:rPr>
          <w:b/>
          <w:bCs/>
        </w:rPr>
        <w:t>ainult registreeritud majutusettevõtete andmeid</w:t>
      </w:r>
      <w:r w:rsidR="04BCAC25" w:rsidRPr="00E14EBC">
        <w:t xml:space="preserve"> – näiteks ametlik</w:t>
      </w:r>
      <w:r w:rsidR="421E4BEC" w:rsidRPr="00E14EBC">
        <w:t>ud</w:t>
      </w:r>
      <w:r w:rsidR="04BCAC25" w:rsidRPr="00E14EBC">
        <w:t xml:space="preserve"> </w:t>
      </w:r>
      <w:r w:rsidR="04BCAC25" w:rsidRPr="00E14EBC">
        <w:rPr>
          <w:b/>
          <w:bCs/>
        </w:rPr>
        <w:t>hotel</w:t>
      </w:r>
      <w:r w:rsidR="421E4BEC" w:rsidRPr="00E14EBC">
        <w:rPr>
          <w:b/>
          <w:bCs/>
        </w:rPr>
        <w:t>lid</w:t>
      </w:r>
      <w:r w:rsidR="04BCAC25" w:rsidRPr="00E14EBC">
        <w:t xml:space="preserve">, </w:t>
      </w:r>
      <w:r w:rsidR="673F478C" w:rsidRPr="00E14EBC">
        <w:rPr>
          <w:b/>
          <w:bCs/>
        </w:rPr>
        <w:t>hosteleid</w:t>
      </w:r>
      <w:r w:rsidR="04BCAC25" w:rsidRPr="00E14EBC">
        <w:t xml:space="preserve"> või </w:t>
      </w:r>
      <w:r w:rsidR="421E4BEC" w:rsidRPr="00E14EBC">
        <w:rPr>
          <w:b/>
          <w:bCs/>
        </w:rPr>
        <w:t>muud</w:t>
      </w:r>
      <w:r w:rsidR="04BCAC25" w:rsidRPr="00E14EBC">
        <w:rPr>
          <w:b/>
          <w:bCs/>
        </w:rPr>
        <w:t xml:space="preserve"> ärilis</w:t>
      </w:r>
      <w:r w:rsidR="421E4BEC" w:rsidRPr="00E14EBC">
        <w:rPr>
          <w:b/>
          <w:bCs/>
        </w:rPr>
        <w:t>ed</w:t>
      </w:r>
      <w:r w:rsidR="04BCAC25" w:rsidRPr="00E14EBC">
        <w:rPr>
          <w:b/>
          <w:bCs/>
        </w:rPr>
        <w:t xml:space="preserve"> majutusteenuse pakkuja</w:t>
      </w:r>
      <w:r w:rsidR="288E6648" w:rsidRPr="00E14EBC">
        <w:rPr>
          <w:b/>
          <w:bCs/>
        </w:rPr>
        <w:t>d</w:t>
      </w:r>
      <w:r w:rsidR="04BCAC25" w:rsidRPr="00E14EBC">
        <w:t xml:space="preserve">, kellel on </w:t>
      </w:r>
      <w:r w:rsidR="04BCAC25" w:rsidRPr="00E14EBC">
        <w:rPr>
          <w:b/>
          <w:bCs/>
        </w:rPr>
        <w:t>tegevusluba</w:t>
      </w:r>
      <w:r w:rsidR="04BCAC25" w:rsidRPr="00E14EBC">
        <w:t xml:space="preserve"> ning kes </w:t>
      </w:r>
      <w:r w:rsidR="04BCAC25" w:rsidRPr="00E14EBC">
        <w:rPr>
          <w:b/>
          <w:bCs/>
        </w:rPr>
        <w:t>deklareerivad oma majutustegevust</w:t>
      </w:r>
      <w:r w:rsidR="04BCAC25" w:rsidRPr="00E14EBC">
        <w:t>. Seetõttu ei kajastu andmestikus eraisikud, kes üürivad oma korterit või tuba lühiajaliselt turistidele platvormide kaudu, ning see ei anna täielikku ülevaadet nn Airbnb-tüüpi lühiajalise üüri ulatusest ega mõjust.</w:t>
      </w:r>
      <w:r w:rsidR="0D444704" w:rsidRPr="00E14EBC">
        <w:t xml:space="preserve"> </w:t>
      </w:r>
      <w:r w:rsidR="53F69C87" w:rsidRPr="00E14EBC">
        <w:t>Seega ametliku statistika puhul moodustavad</w:t>
      </w:r>
      <w:r w:rsidRPr="00E14EBC">
        <w:t xml:space="preserve"> valimi </w:t>
      </w:r>
      <w:r w:rsidR="4B2078A7" w:rsidRPr="00E14EBC">
        <w:t>korteri</w:t>
      </w:r>
      <w:r w:rsidR="40829A7C" w:rsidRPr="00E14EBC">
        <w:t>d</w:t>
      </w:r>
      <w:r w:rsidRPr="00E14EBC">
        <w:t>, mis pakuvad hotelli teenuseid ning Hollandi regulatsioonide järgi ei ole tegemist ülalmainitud turismirendiga</w:t>
      </w:r>
      <w:r w:rsidR="378750C3" w:rsidRPr="00E14EBC">
        <w:t>.</w:t>
      </w:r>
      <w:r w:rsidR="0079430A" w:rsidRPr="00E14EBC">
        <w:rPr>
          <w:rStyle w:val="FootnoteReference"/>
        </w:rPr>
        <w:footnoteReference w:id="186"/>
      </w:r>
      <w:r w:rsidRPr="00E14EBC">
        <w:t xml:space="preserve"> </w:t>
      </w:r>
    </w:p>
    <w:p w14:paraId="5CB8B771" w14:textId="2962BDA0" w:rsidR="00BB6F23" w:rsidRPr="00E14EBC" w:rsidRDefault="38742BA8" w:rsidP="00DA2B9E">
      <w:pPr>
        <w:jc w:val="both"/>
      </w:pPr>
      <w:r w:rsidRPr="00E14EBC">
        <w:t>Riiklik statistika</w:t>
      </w:r>
      <w:r w:rsidR="7D847E60">
        <w:t xml:space="preserve"> ei kata</w:t>
      </w:r>
      <w:r w:rsidRPr="00E14EBC">
        <w:t xml:space="preserve"> kõiki andmevajadusi, mistõttu kasutab </w:t>
      </w:r>
      <w:r w:rsidR="37DA6A0A" w:rsidRPr="00E14EBC">
        <w:t xml:space="preserve">Amsterdami linnavalitsus </w:t>
      </w:r>
      <w:r w:rsidR="2094E1A4" w:rsidRPr="00E14EBC">
        <w:t xml:space="preserve">enda </w:t>
      </w:r>
      <w:r w:rsidR="1C7380A6" w:rsidRPr="00E14EBC">
        <w:t xml:space="preserve">läbiviidud </w:t>
      </w:r>
      <w:r w:rsidR="0B886C7D" w:rsidRPr="00E14EBC">
        <w:t xml:space="preserve">uuringuid, selgitamaks </w:t>
      </w:r>
      <w:r w:rsidR="56512E46" w:rsidRPr="00E14EBC">
        <w:t>turismi mõjusid</w:t>
      </w:r>
      <w:r w:rsidR="4B727A4A" w:rsidRPr="00E14EBC">
        <w:t xml:space="preserve"> eluasemete rendihindadele</w:t>
      </w:r>
      <w:r w:rsidR="0064540C" w:rsidRPr="00E14EBC">
        <w:rPr>
          <w:rStyle w:val="FootnoteReference"/>
        </w:rPr>
        <w:footnoteReference w:id="187"/>
      </w:r>
      <w:r w:rsidR="4B727A4A" w:rsidRPr="00E14EBC">
        <w:t xml:space="preserve"> ja </w:t>
      </w:r>
      <w:r w:rsidR="0831C437" w:rsidRPr="00E14EBC">
        <w:t>kogumaks regulaarselt andmeid</w:t>
      </w:r>
      <w:r w:rsidR="5E1CDC33" w:rsidRPr="00E14EBC">
        <w:t>,</w:t>
      </w:r>
      <w:r w:rsidR="000369EB" w:rsidRPr="00E14EBC">
        <w:rPr>
          <w:rStyle w:val="FootnoteReference"/>
        </w:rPr>
        <w:footnoteReference w:id="188"/>
      </w:r>
      <w:r w:rsidR="5E1CDC33" w:rsidRPr="00E14EBC">
        <w:t xml:space="preserve"> milline on turistide osakaal erinevate linnaosade lõikes.</w:t>
      </w:r>
      <w:r w:rsidR="0831C437" w:rsidRPr="00E14EBC">
        <w:t xml:space="preserve"> </w:t>
      </w:r>
      <w:r w:rsidR="544CCCA6" w:rsidRPr="00E14EBC">
        <w:t xml:space="preserve">Linnavalitsuse </w:t>
      </w:r>
      <w:r w:rsidR="544CCCA6" w:rsidRPr="00E14EBC">
        <w:lastRenderedPageBreak/>
        <w:t xml:space="preserve">üldine hinnang on, et </w:t>
      </w:r>
      <w:r w:rsidR="0A915D2C" w:rsidRPr="00E14EBC">
        <w:t xml:space="preserve">Amsterdamis on tõsine puudus igat tüüpi eluasemetest, mitte ainult taskukohase hinnaga elamutest. Väikeettevõtjate üüripinnad mõjutavad seejuures kogu eluasemeturgu. </w:t>
      </w:r>
      <w:r w:rsidR="2203F38F" w:rsidRPr="00E14EBC">
        <w:t>Olukorra seiramiseks viib i</w:t>
      </w:r>
      <w:r w:rsidR="0A915D2C" w:rsidRPr="00E14EBC">
        <w:t xml:space="preserve">ga nelja aasta järel </w:t>
      </w:r>
      <w:r w:rsidR="2203F38F" w:rsidRPr="00E14EBC">
        <w:t>linn</w:t>
      </w:r>
      <w:r w:rsidR="0A915D2C" w:rsidRPr="00E14EBC">
        <w:t xml:space="preserve"> läbi nn "nappuse analüüsi" (</w:t>
      </w:r>
      <w:r w:rsidR="0A915D2C" w:rsidRPr="288A3578">
        <w:rPr>
          <w:i/>
          <w:iCs/>
        </w:rPr>
        <w:t>Schaarste-analyse</w:t>
      </w:r>
      <w:r w:rsidR="0A915D2C" w:rsidRPr="00E14EBC">
        <w:t>)</w:t>
      </w:r>
      <w:r w:rsidR="2203F38F" w:rsidRPr="00E14EBC">
        <w:t xml:space="preserve">, mille </w:t>
      </w:r>
      <w:r w:rsidR="0A915D2C" w:rsidRPr="00E14EBC">
        <w:t xml:space="preserve">tulemusi kasutatakse </w:t>
      </w:r>
      <w:r w:rsidR="2203F38F" w:rsidRPr="00E14EBC">
        <w:t>uute regulatsioonide</w:t>
      </w:r>
      <w:r w:rsidR="0A915D2C" w:rsidRPr="00E14EBC">
        <w:t xml:space="preserve"> ja eeskirjade </w:t>
      </w:r>
      <w:r w:rsidR="2203F38F" w:rsidRPr="00E14EBC">
        <w:t>koostamise alusena</w:t>
      </w:r>
      <w:r w:rsidR="0A915D2C" w:rsidRPr="00E14EBC">
        <w:t>, et kaitsta elamufondi ja tagada</w:t>
      </w:r>
      <w:r w:rsidR="2203F38F" w:rsidRPr="00E14EBC">
        <w:t xml:space="preserve"> eluasemete kättesaadavus</w:t>
      </w:r>
      <w:r w:rsidR="0A915D2C" w:rsidRPr="00E14EBC">
        <w:t>.</w:t>
      </w:r>
    </w:p>
    <w:p w14:paraId="1974914F" w14:textId="77777777" w:rsidR="0079430A" w:rsidRPr="00E14EBC" w:rsidRDefault="0079430A" w:rsidP="00DA2B9E">
      <w:pPr>
        <w:pStyle w:val="Heading5"/>
        <w:numPr>
          <w:ilvl w:val="0"/>
          <w:numId w:val="0"/>
        </w:numPr>
        <w:ind w:left="1077" w:hanging="1077"/>
        <w:jc w:val="both"/>
        <w:rPr>
          <w:rFonts w:hint="eastAsia"/>
          <w:b/>
          <w:bCs/>
          <w:color w:val="auto"/>
        </w:rPr>
      </w:pPr>
      <w:bookmarkStart w:id="165" w:name="_Toc188273993"/>
      <w:r w:rsidRPr="00E14EBC">
        <w:rPr>
          <w:b/>
          <w:bCs/>
          <w:color w:val="auto"/>
        </w:rPr>
        <w:t>Sotsiaal-majanduslik vaade</w:t>
      </w:r>
      <w:bookmarkEnd w:id="165"/>
    </w:p>
    <w:p w14:paraId="27F7414B" w14:textId="79905826" w:rsidR="0079430A" w:rsidRPr="00E14EBC" w:rsidRDefault="0079430A" w:rsidP="00DA2B9E">
      <w:pPr>
        <w:jc w:val="both"/>
      </w:pPr>
      <w:r w:rsidRPr="00E14EBC">
        <w:t>Amsterdamis on peamised probleemid seotud üürihindade tõusuga ja elamuasemeturule avalduva survega, mis on seotud eeskätt lühiajalise üürimisega. Lühiajaliste rendipindade, näiteks Airbnb kaudu pakutavate elamispindade kasv on oluliselt vähendanud pikaajaliste elamispindade pakkumist. See on viinud eluaseme puudujäägini ja tõstnud eluasemehindu, mis muudab taskukohase eluaseme leidmise raskemaks kohalikele elanikele. Seejuures on lühiajalisest rendist tulenevalt üürihinnad märgatavalt kasvanud. Lühiajaliste rendipindade populaarsus ja tulusus vähendab saadaval olevate pikaajaliste üüripindade arvu, mis tõstab nõudlust ja hindu ülejäänud eluasemeturu osas</w:t>
      </w:r>
      <w:bookmarkStart w:id="166" w:name="_Ref187659096"/>
      <w:r w:rsidR="00D7311D" w:rsidRPr="00E14EBC">
        <w:t>.</w:t>
      </w:r>
      <w:r w:rsidRPr="00E14EBC">
        <w:rPr>
          <w:rStyle w:val="FootnoteReference"/>
        </w:rPr>
        <w:footnoteReference w:id="189"/>
      </w:r>
      <w:bookmarkEnd w:id="166"/>
    </w:p>
    <w:p w14:paraId="48A9D7D9" w14:textId="38D027BE" w:rsidR="00656AFD" w:rsidRPr="00E14EBC" w:rsidRDefault="00656AFD" w:rsidP="00DA2B9E">
      <w:pPr>
        <w:jc w:val="both"/>
      </w:pPr>
      <w:r w:rsidRPr="00E14EBC">
        <w:t xml:space="preserve">Amsterdami </w:t>
      </w:r>
      <w:r w:rsidR="00AB6EF2" w:rsidRPr="00E14EBC">
        <w:t>linnavalitsuse sõnul on nende eluasemepoliitika sihiks seatud moto „Majad on mõeldud elamiseks, mitte kasumi saamiseks“, mis tuleneb suurest eluasemete kättesaadavuse puudusest.</w:t>
      </w:r>
      <w:r w:rsidR="00660E6B" w:rsidRPr="00E14EBC">
        <w:t xml:space="preserve"> Kõige tugevama surve all on need piirkonnad, mis on ühtlasi </w:t>
      </w:r>
      <w:r w:rsidR="00101891" w:rsidRPr="00E14EBC">
        <w:t>turistide poolt enim külastatumad, nagu</w:t>
      </w:r>
      <w:r w:rsidR="00660E6B" w:rsidRPr="00E14EBC">
        <w:t xml:space="preserve"> </w:t>
      </w:r>
      <w:r w:rsidR="00101891" w:rsidRPr="00E14EBC">
        <w:t>Centrum ja De Pijp.</w:t>
      </w:r>
    </w:p>
    <w:p w14:paraId="5390998F" w14:textId="77777777" w:rsidR="0079430A" w:rsidRPr="00E14EBC" w:rsidRDefault="0079430A" w:rsidP="00DA2B9E">
      <w:pPr>
        <w:jc w:val="both"/>
      </w:pPr>
      <w:r w:rsidRPr="00E14EBC">
        <w:t xml:space="preserve">Lühiajalise üüri tõttu on paljud inimesed sunnitud loobuma teatud piirkondades elamisest, sest üürituru kallinemise tõttu ei ole see nende jaoks majanduslikult võimalik. Madalama sissetulekuga elanike asemele tulevad turistid või jõukamad inimesed, kes saavad endale kõrgeid üürihindu lubada. Pikaajaliste elanike väljatõrjumine ja ajutiste elanike (turistid, diginomaadid) osakaalu suurenemine põhjustab kogukondliku sidususe vähenemist ja suuremat elanikkonna voolavust, millele praegu on üritatud hakata piiri panema. </w:t>
      </w:r>
    </w:p>
    <w:p w14:paraId="6D5FEF71" w14:textId="0C8DE1C6" w:rsidR="0079430A" w:rsidRPr="00E14EBC" w:rsidRDefault="0129C12C" w:rsidP="00C55BCB">
      <w:pPr>
        <w:jc w:val="both"/>
      </w:pPr>
      <w:r w:rsidRPr="288A3578">
        <w:t xml:space="preserve">Amsterdamis on lühiajalise üüri pakkumine avaldanud peamiselt survet elamuasemeturule. </w:t>
      </w:r>
      <w:r>
        <w:t>Airbnb ja teiste lühiajalise rendi platvormide levik on viinud Amsterdamis üürihindade märgatava tõusuni. Turismist tingitud nõudlus on muutnud üüri kallimaks nii pikaajalistele elanikele kui ka potentsiaalsetele uutele üürnikele. Samas on näha ka seda, et koos üüri hindadega tõusevad eluaseme väärtused. Lühiajalise üüri populaarsus põhjustab eluasemehindade tõusu, kuna kinnisvara omanikud näevad võimalust suuremaks tuluks lühiajaliste renditehingutega</w:t>
      </w:r>
      <w:r w:rsidR="0079430A">
        <w:fldChar w:fldCharType="begin"/>
      </w:r>
      <w:r w:rsidR="0079430A">
        <w:instrText xml:space="preserve"> NOTEREF _Ref187659096 \f \h </w:instrText>
      </w:r>
      <w:r w:rsidR="0079430A">
        <w:fldChar w:fldCharType="separate"/>
      </w:r>
      <w:r w:rsidR="00C55BCB" w:rsidRPr="00C55BCB">
        <w:rPr>
          <w:rStyle w:val="FootnoteReference"/>
        </w:rPr>
        <w:t>188</w:t>
      </w:r>
      <w:r w:rsidR="0079430A">
        <w:fldChar w:fldCharType="end"/>
      </w:r>
      <w:r>
        <w:t>. See omakorda põhjustab olukor</w:t>
      </w:r>
      <w:r w:rsidR="32AB6068">
        <w:t>r</w:t>
      </w:r>
      <w:r>
        <w:t xml:space="preserve">a, kus kohalike jaoks võib kinnisvara ostmine osutuda problemaatiliseks. </w:t>
      </w:r>
    </w:p>
    <w:p w14:paraId="1471C2DB" w14:textId="3CE70CE8" w:rsidR="0079430A" w:rsidRPr="00E14EBC" w:rsidRDefault="0129C12C" w:rsidP="00C55BCB">
      <w:pPr>
        <w:jc w:val="both"/>
      </w:pPr>
      <w:r w:rsidRPr="288A3578">
        <w:t xml:space="preserve">Lühiajaliselt kinnisvara rentimine ja erinevate portaalide, näiteks Airbnb, kasutamine on saanud populaarseks eeskätt seetõttu, et kinnisvaraomanikele pakub tegevus märkimisväärset lisasissetulekut. </w:t>
      </w:r>
      <w:r>
        <w:t>Amsterdamis on turismi roll majanduses märkimisväärne ning Airbnb-laadsed platvormid on aidanud sellele kaasa</w:t>
      </w:r>
      <w:r w:rsidR="378750C3">
        <w:t>.</w:t>
      </w:r>
      <w:r w:rsidR="0079430A">
        <w:fldChar w:fldCharType="begin"/>
      </w:r>
      <w:r w:rsidR="0079430A">
        <w:instrText xml:space="preserve"> NOTEREF _Ref187659096 \f \h  \* MERGEFORMAT </w:instrText>
      </w:r>
      <w:r w:rsidR="0079430A">
        <w:fldChar w:fldCharType="separate"/>
      </w:r>
      <w:r w:rsidR="00C55BCB" w:rsidRPr="00C55BCB">
        <w:rPr>
          <w:rStyle w:val="FootnoteReference"/>
        </w:rPr>
        <w:t>188</w:t>
      </w:r>
      <w:r w:rsidR="0079430A">
        <w:fldChar w:fldCharType="end"/>
      </w:r>
    </w:p>
    <w:p w14:paraId="6B4D0853" w14:textId="77777777" w:rsidR="0079430A" w:rsidRPr="00C01817" w:rsidRDefault="0129C12C" w:rsidP="288A3578">
      <w:pPr>
        <w:pStyle w:val="Heading5"/>
        <w:numPr>
          <w:ilvl w:val="0"/>
          <w:numId w:val="0"/>
        </w:numPr>
        <w:ind w:left="1077" w:hanging="1077"/>
        <w:rPr>
          <w:rFonts w:hint="eastAsia"/>
          <w:b/>
          <w:bCs/>
          <w:color w:val="auto"/>
        </w:rPr>
      </w:pPr>
      <w:r w:rsidRPr="00C01817">
        <w:rPr>
          <w:rFonts w:hint="eastAsia"/>
          <w:b/>
          <w:bCs/>
          <w:color w:val="auto"/>
        </w:rPr>
        <w:lastRenderedPageBreak/>
        <w:t>Mõjud (kokkuvõte)</w:t>
      </w:r>
    </w:p>
    <w:p w14:paraId="04517A4F" w14:textId="33C4B766" w:rsidR="009A19AC" w:rsidRPr="00E14EBC" w:rsidRDefault="009A19AC" w:rsidP="00961CDF">
      <w:pPr>
        <w:pStyle w:val="ListParagraph"/>
        <w:numPr>
          <w:ilvl w:val="0"/>
          <w:numId w:val="16"/>
        </w:numPr>
        <w:jc w:val="both"/>
        <w:rPr>
          <w:rFonts w:cstheme="minorHAnsi"/>
        </w:rPr>
      </w:pPr>
      <w:r w:rsidRPr="00E14EBC">
        <w:t xml:space="preserve">Linnavalitsuse hinnangul valitseb Amsterdamis </w:t>
      </w:r>
      <w:r w:rsidRPr="00E14EBC">
        <w:rPr>
          <w:b/>
          <w:bCs/>
        </w:rPr>
        <w:t>tõsine</w:t>
      </w:r>
      <w:r w:rsidRPr="00E14EBC">
        <w:t xml:space="preserve"> </w:t>
      </w:r>
      <w:r w:rsidRPr="00E14EBC">
        <w:rPr>
          <w:b/>
          <w:bCs/>
        </w:rPr>
        <w:t>puudus igat tüüpi eluasemetest</w:t>
      </w:r>
      <w:r w:rsidRPr="00E14EBC">
        <w:t>, mitte ainult taskukohase hinnaga elamutest. Väikeettevõtjate üüripinnad mõjutavad seejuures kogu eluasemeturgu.</w:t>
      </w:r>
    </w:p>
    <w:p w14:paraId="05453DE9" w14:textId="2EA045B3" w:rsidR="0079430A" w:rsidRPr="00E14EBC" w:rsidRDefault="0129C12C" w:rsidP="00961CDF">
      <w:pPr>
        <w:pStyle w:val="ListParagraph"/>
        <w:numPr>
          <w:ilvl w:val="0"/>
          <w:numId w:val="16"/>
        </w:numPr>
        <w:jc w:val="both"/>
      </w:pPr>
      <w:r w:rsidRPr="00E14EBC">
        <w:t>Amsterdami ja Barcelona näitel läbi viidud üürituru uuringu</w:t>
      </w:r>
      <w:r w:rsidR="008D204A" w:rsidRPr="00E14EBC">
        <w:rPr>
          <w:rStyle w:val="FootnoteReference"/>
        </w:rPr>
        <w:footnoteReference w:id="190"/>
      </w:r>
      <w:r w:rsidRPr="00E14EBC">
        <w:t xml:space="preserve"> kohaselt tõstsid Airbnb korterid pikaajalis</w:t>
      </w:r>
      <w:r w:rsidR="55E3A4D9" w:rsidRPr="00E14EBC">
        <w:t>t</w:t>
      </w:r>
      <w:r w:rsidRPr="00E14EBC">
        <w:t>e üürikorterite rendihindu. Uuringu raames analüüsiti 2017</w:t>
      </w:r>
      <w:r w:rsidR="1C82D990" w:rsidRPr="00E14EBC">
        <w:t>–</w:t>
      </w:r>
      <w:r w:rsidRPr="00E14EBC">
        <w:t xml:space="preserve">2019 ajaperioodi üürihindu ning järeldati, et turismi arvukuse tõusu ja Airbnb platvormi pakutud lahenduse tõttu orienteerub Amsterdamis ja Barcelonas turg üha enam pikaajalise üüriteenuse pakkumiselt ümber lühiajalise üüriteenuse pakkumisele. See omakorda vähendab pikaajaliste üürikorterite arvu ja tõstab üürihindu. </w:t>
      </w:r>
      <w:r w:rsidR="1FDC3F95" w:rsidRPr="00E14EBC">
        <w:t xml:space="preserve">See </w:t>
      </w:r>
      <w:r w:rsidR="6918A619" w:rsidRPr="00E14EBC">
        <w:t>a</w:t>
      </w:r>
      <w:r w:rsidRPr="00E14EBC">
        <w:t>valda</w:t>
      </w:r>
      <w:r w:rsidR="06DA87B0" w:rsidRPr="00E14EBC">
        <w:t>b</w:t>
      </w:r>
      <w:r w:rsidRPr="00E14EBC">
        <w:t xml:space="preserve"> kaudsemat mõju ka elanikkonnale, </w:t>
      </w:r>
      <w:r w:rsidR="0DC815DA" w:rsidRPr="00E14EBC">
        <w:t xml:space="preserve">tõrjudes </w:t>
      </w:r>
      <w:r w:rsidRPr="00E14EBC">
        <w:t>turistide seas populaarsemates piirkondades kohalik</w:t>
      </w:r>
      <w:r w:rsidR="4FC40A5E" w:rsidRPr="00E14EBC">
        <w:t>k</w:t>
      </w:r>
      <w:r w:rsidRPr="00E14EBC">
        <w:t>e elanik</w:t>
      </w:r>
      <w:r w:rsidR="5CAEC3D0" w:rsidRPr="00E14EBC">
        <w:t>k</w:t>
      </w:r>
      <w:r w:rsidRPr="00E14EBC">
        <w:t>e välja.</w:t>
      </w:r>
    </w:p>
    <w:p w14:paraId="4C64BA88" w14:textId="77777777" w:rsidR="0079430A" w:rsidRPr="00E14EBC" w:rsidRDefault="0079430A" w:rsidP="00A364B8">
      <w:pPr>
        <w:pStyle w:val="ListParagraph"/>
        <w:numPr>
          <w:ilvl w:val="1"/>
          <w:numId w:val="16"/>
        </w:numPr>
        <w:jc w:val="both"/>
        <w:rPr>
          <w:rFonts w:cstheme="minorHAnsi"/>
        </w:rPr>
      </w:pPr>
      <w:r w:rsidRPr="00E14EBC">
        <w:rPr>
          <w:rFonts w:cstheme="minorHAnsi"/>
          <w:b/>
          <w:bCs/>
        </w:rPr>
        <w:t xml:space="preserve">Kasvava turismimahu ja Airbnb platvormi pakutavate võimaluste koosmõjul suureneb lühiajalise ja väheneb pikemaajalise üüriteenuse pakkumine. </w:t>
      </w:r>
      <w:r w:rsidRPr="00E14EBC">
        <w:rPr>
          <w:rFonts w:cstheme="minorHAnsi"/>
        </w:rPr>
        <w:t>Rentnikel on kasumlikum pakkuda lühiajalist teenust.</w:t>
      </w:r>
    </w:p>
    <w:p w14:paraId="4F54D7A9" w14:textId="77777777" w:rsidR="0079430A" w:rsidRPr="00E14EBC" w:rsidRDefault="0079430A" w:rsidP="00A364B8">
      <w:pPr>
        <w:pStyle w:val="ListParagraph"/>
        <w:numPr>
          <w:ilvl w:val="1"/>
          <w:numId w:val="16"/>
        </w:numPr>
        <w:jc w:val="both"/>
        <w:rPr>
          <w:rFonts w:cstheme="minorHAnsi"/>
        </w:rPr>
      </w:pPr>
      <w:r w:rsidRPr="00E14EBC">
        <w:rPr>
          <w:rFonts w:cstheme="minorHAnsi"/>
          <w:b/>
          <w:bCs/>
        </w:rPr>
        <w:t xml:space="preserve">Lühiajalise üüri turg tõstab turismipiirkondades üürihindu, </w:t>
      </w:r>
      <w:r w:rsidRPr="00E14EBC">
        <w:rPr>
          <w:rFonts w:cstheme="minorHAnsi"/>
        </w:rPr>
        <w:t>kuna turismist tingitud nõudluse tõttu pikemaajaliste üürikorterite arv väheneb ning korterite väärtus piirkonnas kasvab.</w:t>
      </w:r>
    </w:p>
    <w:p w14:paraId="04E24996" w14:textId="77777777" w:rsidR="0079430A" w:rsidRPr="00E14EBC" w:rsidRDefault="0079430A" w:rsidP="00A364B8">
      <w:pPr>
        <w:pStyle w:val="ListParagraph"/>
        <w:numPr>
          <w:ilvl w:val="1"/>
          <w:numId w:val="16"/>
        </w:numPr>
        <w:jc w:val="both"/>
        <w:rPr>
          <w:rFonts w:cstheme="minorHAnsi"/>
        </w:rPr>
      </w:pPr>
      <w:r w:rsidRPr="00E14EBC">
        <w:rPr>
          <w:rFonts w:cstheme="minorHAnsi"/>
          <w:b/>
          <w:bCs/>
        </w:rPr>
        <w:t xml:space="preserve">Lühiajalise üüri turg suurendab kriitilistes linnapiirkondades </w:t>
      </w:r>
      <w:r w:rsidRPr="00E14EBC">
        <w:rPr>
          <w:rFonts w:cstheme="minorHAnsi"/>
        </w:rPr>
        <w:t xml:space="preserve">(kus lühiajalise teenuse pakkujaid on palju) </w:t>
      </w:r>
      <w:r w:rsidRPr="00E14EBC">
        <w:rPr>
          <w:rFonts w:cstheme="minorHAnsi"/>
          <w:b/>
          <w:bCs/>
        </w:rPr>
        <w:t>turistide kontsentratsiooni ning tõrjub välja kohalikku elanikkonda.</w:t>
      </w:r>
    </w:p>
    <w:p w14:paraId="782DB523" w14:textId="77777777" w:rsidR="0079430A" w:rsidRPr="00E14EBC" w:rsidRDefault="0079430A" w:rsidP="00A364B8">
      <w:pPr>
        <w:pStyle w:val="ListParagraph"/>
        <w:numPr>
          <w:ilvl w:val="1"/>
          <w:numId w:val="16"/>
        </w:numPr>
        <w:jc w:val="both"/>
        <w:rPr>
          <w:rFonts w:cstheme="minorHAnsi"/>
        </w:rPr>
      </w:pPr>
      <w:r w:rsidRPr="00E14EBC">
        <w:rPr>
          <w:rFonts w:cstheme="minorHAnsi"/>
          <w:b/>
          <w:bCs/>
        </w:rPr>
        <w:t xml:space="preserve">Lühiajalise üüriteenuse platvormid suurendavad turismi rolli kohaliku omavalitsuse majanduses. </w:t>
      </w:r>
      <w:r w:rsidRPr="00E14EBC">
        <w:rPr>
          <w:rFonts w:cstheme="minorHAnsi"/>
        </w:rPr>
        <w:t>Positiivse mõjuna täheldasid uuringu läbiviijad, et lühiajalise üüriteenuse platvormid, nagu Airbnb, muudavad majutusteenust kättesaadavamaks ja meelitavad seega linna varasemast rohkem turiste, mis omakorda tõstab turismisektori käivet.</w:t>
      </w:r>
    </w:p>
    <w:p w14:paraId="0C8B0205" w14:textId="77777777" w:rsidR="0079430A" w:rsidRPr="00E14EBC" w:rsidRDefault="0079430A" w:rsidP="0079430A">
      <w:pPr>
        <w:pStyle w:val="Heading3"/>
        <w:numPr>
          <w:ilvl w:val="0"/>
          <w:numId w:val="0"/>
        </w:numPr>
        <w:ind w:left="720" w:hanging="720"/>
        <w:rPr>
          <w:rStyle w:val="PurpleText"/>
          <w:rFonts w:hint="eastAsia"/>
        </w:rPr>
      </w:pPr>
      <w:bookmarkStart w:id="167" w:name="_Toc188273995"/>
      <w:bookmarkStart w:id="168" w:name="_Toc197718088"/>
      <w:bookmarkStart w:id="169" w:name="_Toc208991642"/>
      <w:r w:rsidRPr="00E14EBC">
        <w:rPr>
          <w:rStyle w:val="PurpleText"/>
        </w:rPr>
        <w:t>Saksamaa</w:t>
      </w:r>
      <w:bookmarkEnd w:id="167"/>
      <w:bookmarkEnd w:id="168"/>
      <w:bookmarkEnd w:id="169"/>
    </w:p>
    <w:p w14:paraId="4BD9287F" w14:textId="2F3D88DA" w:rsidR="0079430A" w:rsidRPr="00E14EBC" w:rsidRDefault="0079430A" w:rsidP="0079430A">
      <w:pPr>
        <w:pStyle w:val="Heading5"/>
        <w:numPr>
          <w:ilvl w:val="0"/>
          <w:numId w:val="0"/>
        </w:numPr>
        <w:ind w:left="1077" w:hanging="1077"/>
        <w:rPr>
          <w:rFonts w:asciiTheme="minorHAnsi" w:hAnsiTheme="minorHAnsi" w:cstheme="minorHAnsi"/>
          <w:color w:val="auto"/>
        </w:rPr>
      </w:pPr>
      <w:bookmarkStart w:id="170" w:name="_Toc188273996"/>
      <w:r w:rsidRPr="00E14EBC">
        <w:rPr>
          <w:color w:val="auto"/>
        </w:rPr>
        <w:t>Lühiajalise üüri</w:t>
      </w:r>
      <w:r w:rsidRPr="00E14EBC">
        <w:rPr>
          <w:rFonts w:asciiTheme="minorHAnsi" w:hAnsiTheme="minorHAnsi" w:cstheme="minorHAnsi"/>
          <w:color w:val="auto"/>
        </w:rPr>
        <w:t xml:space="preserve"> </w:t>
      </w:r>
      <w:r w:rsidRPr="00E14EBC">
        <w:rPr>
          <w:rFonts w:asciiTheme="minorHAnsi" w:hAnsiTheme="minorHAnsi" w:cstheme="minorHAnsi"/>
          <w:b/>
          <w:bCs/>
          <w:color w:val="auto"/>
        </w:rPr>
        <w:t>turu mõiste</w:t>
      </w:r>
      <w:bookmarkEnd w:id="170"/>
      <w:r w:rsidRPr="00E14EBC">
        <w:rPr>
          <w:rFonts w:asciiTheme="minorHAnsi" w:hAnsiTheme="minorHAnsi" w:cstheme="minorHAnsi"/>
          <w:color w:val="auto"/>
        </w:rPr>
        <w:t xml:space="preserve"> </w:t>
      </w:r>
    </w:p>
    <w:p w14:paraId="64F37031" w14:textId="4D359CBA" w:rsidR="0079430A" w:rsidRPr="00E14EBC" w:rsidRDefault="0079430A" w:rsidP="00C01817">
      <w:pPr>
        <w:jc w:val="both"/>
      </w:pPr>
      <w:r w:rsidRPr="00E14EBC">
        <w:t xml:space="preserve">Saksa tsiviilseadustiku (BGB) paragrahvi 549 järgi tähendab lühiajaline rent üürimist </w:t>
      </w:r>
      <w:r w:rsidRPr="00E14EBC">
        <w:rPr>
          <w:b/>
          <w:bCs/>
        </w:rPr>
        <w:t>ajutiseks kasutamiseks</w:t>
      </w:r>
      <w:r w:rsidRPr="00E14EBC">
        <w:t>, näiteks puhkuse- või ärireisijate majutamiseks</w:t>
      </w:r>
      <w:r w:rsidRPr="00E14EBC">
        <w:rPr>
          <w:rStyle w:val="FootnoteReference"/>
        </w:rPr>
        <w:footnoteReference w:id="191"/>
      </w:r>
      <w:r w:rsidRPr="00E14EBC">
        <w:t>. Üüriperiood on alati alla kuue kuu ja ulatub mõnest päevast mitme nädalani</w:t>
      </w:r>
      <w:r w:rsidRPr="00E14EBC">
        <w:rPr>
          <w:rStyle w:val="FootnoteReference"/>
        </w:rPr>
        <w:footnoteReference w:id="192"/>
      </w:r>
      <w:r w:rsidRPr="00E14EBC">
        <w:t xml:space="preserve">. Kui üüriperiood on pikem kui kuus kuud, liigitub see klassikalise üüri alla. Seejuures on </w:t>
      </w:r>
      <w:r w:rsidR="65299317" w:rsidRPr="00E14EBC">
        <w:t>oluli</w:t>
      </w:r>
      <w:r w:rsidR="1DBD25DC" w:rsidRPr="00E14EBC">
        <w:t>ne</w:t>
      </w:r>
      <w:r w:rsidRPr="00E14EBC">
        <w:t xml:space="preserve">, et lühiajalisel üürimisel pakutakse elamispinda möbleeritult ja </w:t>
      </w:r>
      <w:r w:rsidR="4B438136" w:rsidRPr="00E14EBC">
        <w:t xml:space="preserve">majutuse </w:t>
      </w:r>
      <w:r w:rsidRPr="00E14EBC">
        <w:t xml:space="preserve">arveid esitatakse tavaliselt päevade või ööde eest. Lühiajalise üürimise tulu maksustatakse ainult siis, kui tulud ületavad väikeettevõtlusmääruses sätestatud piirmäära. Kui kasum ületab 24 500 euro piiri, tuleb tasuda ärimaks. </w:t>
      </w:r>
    </w:p>
    <w:p w14:paraId="6A2402C1" w14:textId="00796D55" w:rsidR="0079430A" w:rsidRPr="00E14EBC" w:rsidRDefault="0129C12C" w:rsidP="288A3578">
      <w:pPr>
        <w:pStyle w:val="Heading5"/>
        <w:numPr>
          <w:ilvl w:val="0"/>
          <w:numId w:val="0"/>
        </w:numPr>
        <w:ind w:left="1077" w:hanging="1077"/>
        <w:rPr>
          <w:rFonts w:asciiTheme="minorHAnsi" w:hAnsiTheme="minorHAnsi" w:cstheme="minorBidi"/>
          <w:color w:val="auto"/>
        </w:rPr>
      </w:pPr>
      <w:bookmarkStart w:id="171" w:name="_Toc188273997"/>
      <w:r w:rsidRPr="288A3578">
        <w:rPr>
          <w:color w:val="auto"/>
        </w:rPr>
        <w:lastRenderedPageBreak/>
        <w:t xml:space="preserve">Üürituru </w:t>
      </w:r>
      <w:r w:rsidRPr="00C01817">
        <w:rPr>
          <w:rFonts w:hint="eastAsia"/>
          <w:b/>
          <w:bCs/>
          <w:color w:val="auto"/>
        </w:rPr>
        <w:t>regulatsioonid</w:t>
      </w:r>
      <w:r w:rsidRPr="00C01817">
        <w:rPr>
          <w:rFonts w:asciiTheme="minorHAnsi" w:hAnsiTheme="minorHAnsi" w:cstheme="minorBidi"/>
          <w:b/>
          <w:bCs/>
          <w:color w:val="auto"/>
        </w:rPr>
        <w:t xml:space="preserve"> </w:t>
      </w:r>
      <w:r w:rsidRPr="288A3578">
        <w:rPr>
          <w:rFonts w:asciiTheme="minorHAnsi" w:hAnsiTheme="minorHAnsi" w:cstheme="minorBidi"/>
          <w:b/>
          <w:bCs/>
          <w:color w:val="auto"/>
        </w:rPr>
        <w:t>ja osapooled</w:t>
      </w:r>
      <w:bookmarkEnd w:id="171"/>
    </w:p>
    <w:p w14:paraId="083EBFD4" w14:textId="0DAB0823" w:rsidR="008914D8" w:rsidRPr="00E14EBC" w:rsidRDefault="0129C12C" w:rsidP="6BCDFAD8">
      <w:pPr>
        <w:jc w:val="both"/>
      </w:pPr>
      <w:r>
        <w:t xml:space="preserve">Saksa erinevates seadustes reguleeritakse puhkusekinnisvara (sh nt </w:t>
      </w:r>
      <w:r w:rsidRPr="00C01817">
        <w:t>Airbnb</w:t>
      </w:r>
      <w:r>
        <w:t xml:space="preserve"> üüripindade) üürimist, kuid kogu valdkonna reguleerimiseks on loodud Äriüüriseadus (</w:t>
      </w:r>
      <w:r w:rsidRPr="288A3578">
        <w:rPr>
          <w:i/>
          <w:iCs/>
        </w:rPr>
        <w:t>Gewerbemietrecht</w:t>
      </w:r>
      <w:r>
        <w:t xml:space="preserve">). Seejuures teeb süsteemi keeruliseks asjaolu, et kõikidel </w:t>
      </w:r>
      <w:r w:rsidR="1EEE6DB7">
        <w:t>liidumaadel</w:t>
      </w:r>
      <w:r w:rsidR="49FFC37F">
        <w:t xml:space="preserve"> </w:t>
      </w:r>
      <w:r>
        <w:t xml:space="preserve">võib olla lühiajalise rentimise jaoks eraldi seadusandlus. </w:t>
      </w:r>
      <w:r w:rsidR="3D90DF5C">
        <w:t>Näiteks Berliin lähtub</w:t>
      </w:r>
      <w:r w:rsidR="538B8303">
        <w:t xml:space="preserve"> </w:t>
      </w:r>
      <w:r w:rsidR="09A9C7D5">
        <w:t>elamuvara väärkasutamise keelu seadusest</w:t>
      </w:r>
      <w:r w:rsidR="3D90DF5C">
        <w:t xml:space="preserve"> </w:t>
      </w:r>
      <w:r w:rsidR="09A9C7D5" w:rsidRPr="288A3578">
        <w:rPr>
          <w:i/>
          <w:iCs/>
        </w:rPr>
        <w:t>(</w:t>
      </w:r>
      <w:r w:rsidR="3D90DF5C" w:rsidRPr="288A3578">
        <w:rPr>
          <w:i/>
          <w:iCs/>
        </w:rPr>
        <w:t>Zweckentfremdungsverbot-Gesetz</w:t>
      </w:r>
      <w:r w:rsidR="09A9C7D5" w:rsidRPr="288A3578">
        <w:rPr>
          <w:i/>
          <w:iCs/>
        </w:rPr>
        <w:t>)</w:t>
      </w:r>
      <w:r w:rsidR="1B31FC74" w:rsidRPr="288A3578">
        <w:rPr>
          <w:i/>
          <w:iCs/>
        </w:rPr>
        <w:t xml:space="preserve">, </w:t>
      </w:r>
      <w:r w:rsidR="1B31FC74">
        <w:t>mille</w:t>
      </w:r>
      <w:r w:rsidR="01FA2A5C">
        <w:t xml:space="preserve"> eesmärk on kaitsta </w:t>
      </w:r>
      <w:r w:rsidR="040E0F5C">
        <w:t xml:space="preserve">eluasemeturgu </w:t>
      </w:r>
      <w:r w:rsidR="54E9D3FC">
        <w:t xml:space="preserve">lühiajalise rendi </w:t>
      </w:r>
      <w:r w:rsidR="06BA0FF8">
        <w:t>äritegevuse eest.</w:t>
      </w:r>
      <w:r w:rsidR="3A32F414">
        <w:t xml:space="preserve"> Täpsemalt </w:t>
      </w:r>
      <w:r w:rsidR="5DBFA9A5">
        <w:t xml:space="preserve">piiratakse sellega </w:t>
      </w:r>
      <w:r w:rsidR="14DAB18D">
        <w:t>üüriperioodi pikkust minimaalselt kolme kuuni</w:t>
      </w:r>
      <w:r w:rsidR="1DAC23C0">
        <w:t>.</w:t>
      </w:r>
      <w:r w:rsidR="1A47CB8C">
        <w:t xml:space="preserve"> </w:t>
      </w:r>
      <w:r w:rsidR="37606B70">
        <w:t>J</w:t>
      </w:r>
      <w:r w:rsidR="0EAFB3EF">
        <w:t xml:space="preserve">uhul, kui </w:t>
      </w:r>
      <w:r w:rsidR="3C95DE96">
        <w:t xml:space="preserve">korteri omanik soovib </w:t>
      </w:r>
      <w:r w:rsidR="37606B70">
        <w:t>anda</w:t>
      </w:r>
      <w:r w:rsidR="2E97DE22">
        <w:t xml:space="preserve"> korterit </w:t>
      </w:r>
      <w:r w:rsidR="37606B70">
        <w:t xml:space="preserve">üürile </w:t>
      </w:r>
      <w:r w:rsidR="2E97DE22">
        <w:t xml:space="preserve">vähem kui kolmeks kuuks, tuleb tal </w:t>
      </w:r>
      <w:r w:rsidR="5E658DD3">
        <w:t>selleks</w:t>
      </w:r>
      <w:r w:rsidR="2E97DE22">
        <w:t xml:space="preserve"> taotleda </w:t>
      </w:r>
      <w:r w:rsidR="37ADE2D8">
        <w:t>linnavalitsuselt eraldi luba.</w:t>
      </w:r>
      <w:r w:rsidR="1A77D3FA">
        <w:t xml:space="preserve"> Vastasel </w:t>
      </w:r>
      <w:r w:rsidR="50CCEA30">
        <w:t xml:space="preserve">juhul </w:t>
      </w:r>
      <w:r w:rsidR="711DB487">
        <w:t>võidakse tema tegevust trahvida.</w:t>
      </w:r>
    </w:p>
    <w:p w14:paraId="028AA918" w14:textId="65B36A57" w:rsidR="0079430A" w:rsidRPr="00E14EBC" w:rsidRDefault="0079430A" w:rsidP="6BCDFAD8">
      <w:pPr>
        <w:jc w:val="both"/>
      </w:pPr>
      <w:r w:rsidRPr="00E14EBC">
        <w:t>Peamiselt kätkevad Saksa üüriturgu reguleerivad seadused ja nõuded</w:t>
      </w:r>
      <w:r w:rsidR="00686F49" w:rsidRPr="00E14EBC">
        <w:t>:</w:t>
      </w:r>
      <w:r w:rsidRPr="00E14EBC">
        <w:rPr>
          <w:rStyle w:val="FootnoteReference"/>
        </w:rPr>
        <w:footnoteReference w:id="193"/>
      </w:r>
    </w:p>
    <w:p w14:paraId="1C859E51" w14:textId="3A5C90D4" w:rsidR="0079430A" w:rsidRPr="00E14EBC" w:rsidRDefault="0079430A" w:rsidP="007F08F4">
      <w:pPr>
        <w:pStyle w:val="ListBullet"/>
        <w:numPr>
          <w:ilvl w:val="0"/>
          <w:numId w:val="45"/>
        </w:numPr>
        <w:jc w:val="both"/>
        <w:rPr>
          <w:rFonts w:cstheme="minorHAnsi"/>
        </w:rPr>
      </w:pPr>
      <w:r w:rsidRPr="00E14EBC">
        <w:rPr>
          <w:rFonts w:cstheme="minorHAnsi"/>
        </w:rPr>
        <w:t>Ettevõtte registreerimise nõuet – üüritulu käsitletakse äritegevusena. Ettevõtte registreerimise puhul teavitatakse äriregistri poolt maksuametit või vastavat kaubanduskoda, kes määratlevad äritegevuse ulatuse. Selle põhjal määratakse, kas üürileandjal on kohustus maksta makse</w:t>
      </w:r>
      <w:r w:rsidR="00AD4297" w:rsidRPr="00E14EBC">
        <w:rPr>
          <w:rFonts w:cstheme="minorHAnsi"/>
        </w:rPr>
        <w:t>.</w:t>
      </w:r>
      <w:r w:rsidRPr="00E14EBC">
        <w:rPr>
          <w:rFonts w:cstheme="minorHAnsi"/>
        </w:rPr>
        <w:t xml:space="preserve"> </w:t>
      </w:r>
    </w:p>
    <w:p w14:paraId="4D173D6E" w14:textId="7DE189EC" w:rsidR="0079430A" w:rsidRPr="00E14EBC" w:rsidRDefault="0079430A" w:rsidP="007F08F4">
      <w:pPr>
        <w:pStyle w:val="ListBullet"/>
        <w:numPr>
          <w:ilvl w:val="0"/>
          <w:numId w:val="45"/>
        </w:numPr>
        <w:jc w:val="both"/>
        <w:rPr>
          <w:rFonts w:cstheme="minorHAnsi"/>
          <w:color w:val="232323" w:themeColor="text1"/>
        </w:rPr>
      </w:pPr>
      <w:r w:rsidRPr="00E14EBC">
        <w:rPr>
          <w:rFonts w:cstheme="minorHAnsi"/>
        </w:rPr>
        <w:t xml:space="preserve">Elamispinna kasutusotstarbe registreerimist – elamispinna väljaüürimisel puhkemaja või -korterina </w:t>
      </w:r>
      <w:r w:rsidRPr="00E14EBC">
        <w:rPr>
          <w:rFonts w:cstheme="minorHAnsi"/>
          <w:color w:val="232323" w:themeColor="text1"/>
        </w:rPr>
        <w:t>muutub pinna kasutusviis ning omanikel on kohustus ametkondi sellest teavitada</w:t>
      </w:r>
      <w:r w:rsidR="00AD4297" w:rsidRPr="00E14EBC">
        <w:rPr>
          <w:rFonts w:cstheme="minorHAnsi"/>
          <w:color w:val="232323" w:themeColor="text1"/>
        </w:rPr>
        <w:t>.</w:t>
      </w:r>
      <w:r w:rsidRPr="00E14EBC">
        <w:rPr>
          <w:rFonts w:cstheme="minorHAnsi"/>
          <w:color w:val="232323" w:themeColor="text1"/>
        </w:rPr>
        <w:t xml:space="preserve"> </w:t>
      </w:r>
    </w:p>
    <w:p w14:paraId="0F9C71B1" w14:textId="50759A64" w:rsidR="0079430A" w:rsidRPr="00E14EBC" w:rsidRDefault="0079430A" w:rsidP="007F08F4">
      <w:pPr>
        <w:pStyle w:val="ListBullet"/>
        <w:numPr>
          <w:ilvl w:val="0"/>
          <w:numId w:val="45"/>
        </w:numPr>
        <w:jc w:val="both"/>
        <w:rPr>
          <w:rFonts w:cstheme="minorHAnsi"/>
          <w:color w:val="232323" w:themeColor="text1"/>
        </w:rPr>
      </w:pPr>
      <w:r w:rsidRPr="00E14EBC">
        <w:rPr>
          <w:rFonts w:cstheme="minorHAnsi"/>
          <w:color w:val="232323" w:themeColor="text1"/>
        </w:rPr>
        <w:t xml:space="preserve">Nõudeid eluruumidele - üürile antavate pindade </w:t>
      </w:r>
      <w:r w:rsidRPr="00E14EBC">
        <w:rPr>
          <w:rFonts w:cstheme="minorHAnsi"/>
          <w:color w:val="232323" w:themeColor="text1"/>
          <w:shd w:val="clear" w:color="auto" w:fill="FFFFFF"/>
        </w:rPr>
        <w:t>suurus on sätestatud seadusega. Vastavalt sellele ei tohi üheinimesetuba olla väiksem kui 8 m² ja kahene tuba ei tohi olla väiksem kui 12 m²</w:t>
      </w:r>
      <w:r w:rsidR="00AD4297" w:rsidRPr="00E14EBC">
        <w:rPr>
          <w:rFonts w:cstheme="minorHAnsi"/>
          <w:color w:val="232323" w:themeColor="text1"/>
          <w:shd w:val="clear" w:color="auto" w:fill="FFFFFF"/>
        </w:rPr>
        <w:t>.</w:t>
      </w:r>
      <w:r w:rsidRPr="00E14EBC">
        <w:rPr>
          <w:rFonts w:cstheme="minorHAnsi"/>
          <w:color w:val="232323" w:themeColor="text1"/>
          <w:shd w:val="clear" w:color="auto" w:fill="FFFFFF"/>
        </w:rPr>
        <w:t xml:space="preserve"> </w:t>
      </w:r>
    </w:p>
    <w:p w14:paraId="7FC246C6" w14:textId="5372486F" w:rsidR="0079430A" w:rsidRPr="00E14EBC" w:rsidRDefault="0079430A" w:rsidP="007F08F4">
      <w:pPr>
        <w:pStyle w:val="ListBullet"/>
        <w:numPr>
          <w:ilvl w:val="0"/>
          <w:numId w:val="45"/>
        </w:numPr>
        <w:jc w:val="both"/>
        <w:rPr>
          <w:rFonts w:cstheme="minorHAnsi"/>
          <w:color w:val="232323" w:themeColor="text1"/>
        </w:rPr>
      </w:pPr>
      <w:r w:rsidRPr="00E14EBC">
        <w:rPr>
          <w:rFonts w:cstheme="minorHAnsi"/>
          <w:color w:val="232323" w:themeColor="text1"/>
        </w:rPr>
        <w:t xml:space="preserve">Üürihinna kujundamise nõuet – üürileandjatel on kohustus broneerimissüsteemides ja pakkumistes esitada üürimise eest tasumisele kuuluv lõplik hind (sh maksud ja tasud, nt koristamine). </w:t>
      </w:r>
    </w:p>
    <w:p w14:paraId="5B2211F7" w14:textId="2F0367EB" w:rsidR="0079430A" w:rsidRPr="00E14EBC" w:rsidRDefault="0079430A" w:rsidP="007F08F4">
      <w:pPr>
        <w:pStyle w:val="ListBullet"/>
        <w:numPr>
          <w:ilvl w:val="0"/>
          <w:numId w:val="45"/>
        </w:numPr>
        <w:jc w:val="both"/>
        <w:rPr>
          <w:rFonts w:cstheme="minorHAnsi"/>
          <w:color w:val="232323" w:themeColor="text1"/>
        </w:rPr>
      </w:pPr>
      <w:r w:rsidRPr="00E14EBC">
        <w:rPr>
          <w:rFonts w:cstheme="minorHAnsi"/>
          <w:color w:val="232323" w:themeColor="text1"/>
        </w:rPr>
        <w:t>Tulumaksukohustust – maksuvaba tulu ületamisel tuleb tasuda tulumaks ning mõningatel juhtudel ärimaks</w:t>
      </w:r>
      <w:r w:rsidR="001C7EAD">
        <w:rPr>
          <w:rFonts w:cstheme="minorHAnsi"/>
          <w:color w:val="232323" w:themeColor="text1"/>
        </w:rPr>
        <w:t>.</w:t>
      </w:r>
    </w:p>
    <w:p w14:paraId="45180A45" w14:textId="6251BA91" w:rsidR="0079430A" w:rsidRPr="00E14EBC" w:rsidRDefault="0079430A" w:rsidP="007F08F4">
      <w:pPr>
        <w:pStyle w:val="ListBullet"/>
        <w:numPr>
          <w:ilvl w:val="0"/>
          <w:numId w:val="45"/>
        </w:numPr>
        <w:jc w:val="both"/>
        <w:rPr>
          <w:rFonts w:cstheme="minorHAnsi"/>
          <w:color w:val="232323" w:themeColor="text1"/>
        </w:rPr>
      </w:pPr>
      <w:r w:rsidRPr="00E14EBC">
        <w:rPr>
          <w:rFonts w:cstheme="minorHAnsi"/>
          <w:color w:val="232323" w:themeColor="text1"/>
        </w:rPr>
        <w:t xml:space="preserve">Käibemaksukohustust </w:t>
      </w:r>
      <w:r w:rsidR="00711CA1" w:rsidRPr="00E14EBC">
        <w:rPr>
          <w:rFonts w:cstheme="minorHAnsi"/>
          <w:color w:val="232323" w:themeColor="text1"/>
        </w:rPr>
        <w:t>–</w:t>
      </w:r>
      <w:r w:rsidRPr="00E14EBC">
        <w:rPr>
          <w:rFonts w:cstheme="minorHAnsi"/>
          <w:color w:val="232323" w:themeColor="text1"/>
        </w:rPr>
        <w:t xml:space="preserve"> </w:t>
      </w:r>
      <w:r w:rsidRPr="00E14EBC">
        <w:rPr>
          <w:rFonts w:cstheme="minorHAnsi"/>
          <w:color w:val="232323" w:themeColor="text1"/>
          <w:shd w:val="clear" w:color="auto" w:fill="FFFFFF"/>
        </w:rPr>
        <w:t>kohe, kui aastakäive ületab seaduses sätestatud piirmäära, on üürileandjad järgmisel aastal käibemaksukohustuslased;</w:t>
      </w:r>
    </w:p>
    <w:p w14:paraId="464ED53A" w14:textId="30B673D2" w:rsidR="0079430A" w:rsidRPr="00E14EBC" w:rsidRDefault="0079430A" w:rsidP="007F08F4">
      <w:pPr>
        <w:pStyle w:val="ListBullet"/>
        <w:numPr>
          <w:ilvl w:val="0"/>
          <w:numId w:val="45"/>
        </w:numPr>
        <w:jc w:val="both"/>
        <w:rPr>
          <w:rFonts w:cstheme="minorHAnsi"/>
        </w:rPr>
      </w:pPr>
      <w:r w:rsidRPr="00E14EBC">
        <w:rPr>
          <w:rFonts w:cstheme="minorHAnsi"/>
        </w:rPr>
        <w:t>Ettevõtlusmaksu kohustust – kui rentimine on äriline tegevus ja kasum ületab aastas 24 500 eurot, on kohustus tasuda ärimaksu</w:t>
      </w:r>
      <w:r w:rsidR="0087537D" w:rsidRPr="00E14EBC">
        <w:rPr>
          <w:rFonts w:cstheme="minorHAnsi"/>
        </w:rPr>
        <w:t>.</w:t>
      </w:r>
      <w:r w:rsidRPr="00E14EBC">
        <w:rPr>
          <w:rFonts w:cstheme="minorHAnsi"/>
        </w:rPr>
        <w:t xml:space="preserve"> </w:t>
      </w:r>
      <w:r w:rsidR="00822475">
        <w:rPr>
          <w:rFonts w:cstheme="minorHAnsi"/>
        </w:rPr>
        <w:t>Ärimaksu tasumise kohustus kehtib igasugusele äritegevusele, st see ei ole kehtestatud eraldi ainult rentimisele või üürimisele</w:t>
      </w:r>
      <w:r w:rsidR="0087537D" w:rsidRPr="00E14EBC">
        <w:rPr>
          <w:rFonts w:cstheme="minorHAnsi"/>
        </w:rPr>
        <w:t>.</w:t>
      </w:r>
    </w:p>
    <w:p w14:paraId="5956FBF1" w14:textId="29675E4E" w:rsidR="0079430A" w:rsidRPr="00E14EBC" w:rsidRDefault="0129C12C" w:rsidP="00B77991">
      <w:pPr>
        <w:pStyle w:val="ListBullet"/>
        <w:numPr>
          <w:ilvl w:val="0"/>
          <w:numId w:val="45"/>
        </w:numPr>
        <w:jc w:val="both"/>
      </w:pPr>
      <w:r w:rsidRPr="288A3578">
        <w:t>Aruandluskohustust – aruanded hõlmavad tavaliselt külaliste andmete kogumist: nimi, aadress ja viibimisaeg, mis kohalikele ametiasutustele edastatakse. Seda mitte ainult statistilistel eesmärkidel, vaid ka turvalisuse huvides. Andmekaitsejuhiste järgimiseks tuleb järgida aruandlussüsteemi</w:t>
      </w:r>
      <w:r w:rsidR="00DE5D8C">
        <w:t xml:space="preserve"> </w:t>
      </w:r>
      <w:r w:rsidR="00590580">
        <w:t>reegleid</w:t>
      </w:r>
      <w:r w:rsidRPr="288A3578">
        <w:t xml:space="preserve"> ja hoida külaliste andmeid turvaliselt. Kohustuste täitmata jätmine võib kaasa tuua trahvi. </w:t>
      </w:r>
    </w:p>
    <w:p w14:paraId="790C3FA3" w14:textId="08ADAB65" w:rsidR="0079430A" w:rsidRPr="00E14EBC" w:rsidRDefault="598BB2BE" w:rsidP="007F08F4">
      <w:pPr>
        <w:pStyle w:val="ListBullet"/>
        <w:numPr>
          <w:ilvl w:val="0"/>
          <w:numId w:val="45"/>
        </w:numPr>
        <w:jc w:val="both"/>
      </w:pPr>
      <w:r w:rsidRPr="00E14EBC">
        <w:t>Andmekaitse üldmäärust (IKÜM) – määrus nõuab, et üürileandja haldaks külaliste isikuandmeid turvaliselt ja kasutaks neid ainult ettenähtud otstarbel. See hõlmab nimesid, aadresse, kontaktandmeid ja makseteavet.</w:t>
      </w:r>
    </w:p>
    <w:p w14:paraId="29C0A2F7" w14:textId="52CE0CDF" w:rsidR="0044549C" w:rsidRPr="00E14EBC" w:rsidRDefault="0129C12C" w:rsidP="6BCDFAD8">
      <w:pPr>
        <w:jc w:val="both"/>
      </w:pPr>
      <w:r w:rsidRPr="00E14EBC">
        <w:t xml:space="preserve">Kui eluruumi kasutatakse elamiseks mõeldud eesmärgist erineval viisil, nimetatakse seda </w:t>
      </w:r>
      <w:r w:rsidRPr="00E14EBC">
        <w:rPr>
          <w:rStyle w:val="Strong"/>
        </w:rPr>
        <w:t>ebaotstarbeliseks kasutamiseks</w:t>
      </w:r>
      <w:r w:rsidRPr="00E14EBC">
        <w:t xml:space="preserve"> (</w:t>
      </w:r>
      <w:r w:rsidRPr="288A3578">
        <w:rPr>
          <w:rStyle w:val="Strong"/>
          <w:b w:val="0"/>
          <w:bCs w:val="0"/>
          <w:i/>
          <w:iCs/>
        </w:rPr>
        <w:t>Zweckentfremdung</w:t>
      </w:r>
      <w:r w:rsidRPr="00E14EBC">
        <w:t xml:space="preserve">). Paljudes Saksamaa linnades ja </w:t>
      </w:r>
      <w:r w:rsidRPr="00E14EBC">
        <w:lastRenderedPageBreak/>
        <w:t>omavalitsustes on eluruumide ebaotstarbeline kasutamine keelatud, et tagada elanikele piisav elamispind mõistlike hindadega</w:t>
      </w:r>
      <w:bookmarkStart w:id="172" w:name="_Ref187323696"/>
      <w:r w:rsidR="0079430A" w:rsidRPr="00E14EBC">
        <w:rPr>
          <w:rStyle w:val="FootnoteReference"/>
        </w:rPr>
        <w:footnoteReference w:id="194"/>
      </w:r>
      <w:bookmarkEnd w:id="172"/>
      <w:r w:rsidRPr="00E14EBC">
        <w:t>.</w:t>
      </w:r>
      <w:r w:rsidRPr="00E14EBC">
        <w:rPr>
          <w:rStyle w:val="Strong"/>
          <w:b w:val="0"/>
          <w:bCs w:val="0"/>
        </w:rPr>
        <w:t xml:space="preserve"> Lisaks lühiajalise üüri reguleerimisele rakendus 2015</w:t>
      </w:r>
      <w:r w:rsidR="7C90242B" w:rsidRPr="00E14EBC">
        <w:rPr>
          <w:rStyle w:val="Strong"/>
          <w:b w:val="0"/>
          <w:bCs w:val="0"/>
        </w:rPr>
        <w:t>.</w:t>
      </w:r>
      <w:r w:rsidRPr="00E14EBC">
        <w:rPr>
          <w:rStyle w:val="Strong"/>
          <w:b w:val="0"/>
          <w:bCs w:val="0"/>
        </w:rPr>
        <w:t xml:space="preserve"> aasta 1. juunil Saksamaal ka üürikontroll või üürilimiit (</w:t>
      </w:r>
      <w:r w:rsidRPr="288A3578">
        <w:rPr>
          <w:rStyle w:val="Strong"/>
          <w:b w:val="0"/>
          <w:bCs w:val="0"/>
          <w:i/>
          <w:iCs/>
        </w:rPr>
        <w:t>Mietpreisbremse</w:t>
      </w:r>
      <w:r w:rsidRPr="00E14EBC">
        <w:rPr>
          <w:rStyle w:val="Strong"/>
          <w:b w:val="0"/>
          <w:bCs w:val="0"/>
        </w:rPr>
        <w:t xml:space="preserve">) </w:t>
      </w:r>
      <w:r w:rsidRPr="00E14EBC">
        <w:t>ja seda on karmistatud seadusemuudatusega alates 1. jaanuarist 2019. Tegemist on üle riigi kehtiva regulatsiooniga, mis annab liidumaadele võimaluse piirata olemasolevate korterite uute üürilepingute puhul kehtestatud üürihinda: see ei tohi olla kõrgem kui 10% kohalikust keskmisest üürihinnast. Üürilimiit kehtib piirkondades, kus elamumajanduse turg on pingeline. Iga liidumaa otsustab, kas piirkond kuulub pingelisse turgu, tuginedes viieaastase perioodi jooksul neljale näitajale: rahvastiku kasv, vabanenud elamispindade määr, üürihinna areng ja üürikoormus</w:t>
      </w:r>
      <w:r w:rsidR="0079430A" w:rsidRPr="00E14EBC">
        <w:rPr>
          <w:rStyle w:val="FootnoteReference"/>
        </w:rPr>
        <w:footnoteReference w:id="195"/>
      </w:r>
      <w:r w:rsidRPr="00E14EBC">
        <w:t xml:space="preserve">. </w:t>
      </w:r>
      <w:r w:rsidR="00FD6D56" w:rsidRPr="00FD6D56">
        <w:t>Üürikoormuse all peetakse silmas leibkonna netosissetulekust üürile kuluvat osa. Kui see osakaal on piirkonnas pikaajaliselt kõrge, viitab see eluasemeturul ebapiisavale kättesaadavusele ja kasvavale hinnasurvele.</w:t>
      </w:r>
    </w:p>
    <w:p w14:paraId="215A5109" w14:textId="0EE2C1E9" w:rsidR="00EC1F11" w:rsidRPr="00E14EBC" w:rsidRDefault="09941151" w:rsidP="6BCDFAD8">
      <w:pPr>
        <w:jc w:val="both"/>
      </w:pPr>
      <w:r w:rsidRPr="00E14EBC">
        <w:t xml:space="preserve">Üürilimiidi tõhususe üle on jätkuvalt eriarvamusi, kuid selle mõju hindamine on tänapäeval oluliselt paremini võimalik kui varem. Erinevalt varasematest aastatest on olemas piirkondlikult detailsed andmed üüritasemete kohta, mida koguvad näiteks </w:t>
      </w:r>
      <w:hyperlink r:id="rId27" w:history="1">
        <w:r w:rsidRPr="00E14EBC">
          <w:rPr>
            <w:rStyle w:val="Hyperlink"/>
          </w:rPr>
          <w:t>Immowelt</w:t>
        </w:r>
      </w:hyperlink>
      <w:r w:rsidRPr="00E14EBC">
        <w:t xml:space="preserve">, </w:t>
      </w:r>
      <w:hyperlink r:id="rId28" w:history="1">
        <w:r w:rsidRPr="00E14EBC">
          <w:rPr>
            <w:rStyle w:val="Hyperlink"/>
            <w:noProof/>
          </w:rPr>
          <w:t>Statis</w:t>
        </w:r>
        <w:r w:rsidR="00923C5E">
          <w:rPr>
            <w:rStyle w:val="Hyperlink"/>
            <w:noProof/>
          </w:rPr>
          <w:t>tikaame</w:t>
        </w:r>
        <w:r w:rsidRPr="00E14EBC">
          <w:rPr>
            <w:rStyle w:val="Hyperlink"/>
            <w:noProof/>
          </w:rPr>
          <w:t>t</w:t>
        </w:r>
      </w:hyperlink>
      <w:r w:rsidRPr="00E14EBC">
        <w:t xml:space="preserve"> (Destatis) ning teadusasutused, näiteks </w:t>
      </w:r>
      <w:hyperlink r:id="rId29" w:history="1">
        <w:r w:rsidRPr="00E14EBC">
          <w:rPr>
            <w:rStyle w:val="Hyperlink"/>
          </w:rPr>
          <w:t>DIW Berlin</w:t>
        </w:r>
      </w:hyperlink>
      <w:r w:rsidRPr="00E14EBC">
        <w:t>. Lisaks uuendavad mitmed suuremad linnad, näiteks Berliin, München ja Hamburg, regulaarselt oma ametlikke üürihindade andmestikke. 2022</w:t>
      </w:r>
      <w:r w:rsidR="3B27742D" w:rsidRPr="00E14EBC">
        <w:t>. aastal</w:t>
      </w:r>
      <w:r w:rsidRPr="00E14EBC">
        <w:t xml:space="preserve"> valminud Saksa üüriturgu käsitlevas uuringus leiti, et üürilimiit aitas teataval määral piirata uute üürilepingute hindade kasvu, kuid selle sotsiaalne mõju – taskukohase eluaseme kättesaadavuse paranemine – jäi tagasihoidlikuks</w:t>
      </w:r>
      <w:r w:rsidR="00EC1F11" w:rsidRPr="00E14EBC">
        <w:rPr>
          <w:rStyle w:val="FootnoteReference"/>
        </w:rPr>
        <w:footnoteReference w:id="196"/>
      </w:r>
      <w:r w:rsidRPr="00E14EBC">
        <w:t>. Kuigi varasemad uuringud, peamiselt aastatest 2016–2018, tuginevad sageli simulatsioonidele või teiste riikide kogemustele, jõuavad enamik uuringuid sarnasele järeldusele: kuigi üürilimiit võib mõnevõrra üürihindu alandada, on kaheldav, kas see on toonud soovitud sotsiaalset mõju.</w:t>
      </w:r>
      <w:r w:rsidR="00EC1F11" w:rsidRPr="00E14EBC">
        <w:rPr>
          <w:rStyle w:val="FootnoteReference"/>
        </w:rPr>
        <w:footnoteReference w:id="197"/>
      </w:r>
      <w:r w:rsidRPr="00E14EBC">
        <w:t xml:space="preserve"> </w:t>
      </w:r>
      <w:r w:rsidR="61A63D51" w:rsidRPr="00E14EBC">
        <w:t xml:space="preserve">Aastatel </w:t>
      </w:r>
      <w:r w:rsidRPr="00E14EBC">
        <w:t xml:space="preserve">2021 </w:t>
      </w:r>
      <w:r w:rsidR="0A389DF4" w:rsidRPr="00E14EBC">
        <w:t>ja 2024</w:t>
      </w:r>
      <w:r w:rsidRPr="00E14EBC">
        <w:t xml:space="preserve"> läbi viidud analüüs</w:t>
      </w:r>
      <w:r w:rsidR="0A389DF4" w:rsidRPr="00E14EBC">
        <w:t>id</w:t>
      </w:r>
      <w:r w:rsidRPr="00E14EBC">
        <w:t xml:space="preserve"> näitas</w:t>
      </w:r>
      <w:r w:rsidR="0A389DF4" w:rsidRPr="00E14EBC">
        <w:t>id</w:t>
      </w:r>
      <w:r w:rsidRPr="00E14EBC">
        <w:t>, et kuigi hinnad ajutiselt langesid, tõi meede kaasa ka pakkumise märgatava vähenemise ja investeeringute languse eluasemeturul</w:t>
      </w:r>
      <w:r w:rsidR="6CFFC542" w:rsidRPr="00E14EBC">
        <w:t>.</w:t>
      </w:r>
      <w:r w:rsidR="0A389DF4" w:rsidRPr="00E14EBC">
        <w:t xml:space="preserve"> </w:t>
      </w:r>
      <w:r w:rsidR="39B9FB98" w:rsidRPr="00E14EBC">
        <w:t>2016</w:t>
      </w:r>
      <w:r w:rsidR="529B03C3" w:rsidRPr="00E14EBC">
        <w:t>.</w:t>
      </w:r>
      <w:r w:rsidR="39B9FB98" w:rsidRPr="00E14EBC">
        <w:t xml:space="preserve"> </w:t>
      </w:r>
      <w:r w:rsidR="00585B4D">
        <w:t>aastal rakendatud regulatsioonid</w:t>
      </w:r>
      <w:r w:rsidR="00585B4D" w:rsidRPr="00E14EBC">
        <w:t xml:space="preserve">e </w:t>
      </w:r>
      <w:r w:rsidR="5FDB2FB3" w:rsidRPr="00E14EBC">
        <w:t>jär</w:t>
      </w:r>
      <w:r w:rsidR="00585B4D">
        <w:t>el</w:t>
      </w:r>
      <w:r w:rsidR="5FDB2FB3" w:rsidRPr="00E14EBC">
        <w:t xml:space="preserve"> langes pakkumiste maht 30% ja 2018</w:t>
      </w:r>
      <w:r w:rsidR="04914A5B" w:rsidRPr="00E14EBC">
        <w:t>.</w:t>
      </w:r>
      <w:r w:rsidR="5FDB2FB3" w:rsidRPr="00E14EBC">
        <w:t xml:space="preserve"> </w:t>
      </w:r>
      <w:r w:rsidR="04914A5B" w:rsidRPr="00E14EBC">
        <w:t xml:space="preserve">aastal </w:t>
      </w:r>
      <w:r w:rsidR="4C94D1CD" w:rsidRPr="00E14EBC">
        <w:t>täiendavalt 18%.</w:t>
      </w:r>
      <w:r w:rsidR="774F312F" w:rsidRPr="00E14EBC">
        <w:t xml:space="preserve"> </w:t>
      </w:r>
      <w:r w:rsidR="4D91BC79" w:rsidRPr="00E14EBC">
        <w:t xml:space="preserve">Iga turult </w:t>
      </w:r>
      <w:r w:rsidR="73C25B19" w:rsidRPr="00E14EBC">
        <w:t>kadunud</w:t>
      </w:r>
      <w:r w:rsidR="4D91BC79" w:rsidRPr="00E14EBC">
        <w:t xml:space="preserve"> lühiajalise üüri teenuse </w:t>
      </w:r>
      <w:r w:rsidR="73C25B19" w:rsidRPr="00E14EBC">
        <w:t xml:space="preserve">pakkumus omakorda </w:t>
      </w:r>
      <w:r w:rsidR="49252E5C" w:rsidRPr="00E14EBC">
        <w:t xml:space="preserve">tõstis pikaajaliste üürikorterite kättesaadavust </w:t>
      </w:r>
      <w:r w:rsidR="36BCCB50" w:rsidRPr="00E14EBC">
        <w:t>0,23</w:t>
      </w:r>
      <w:r w:rsidR="7C225089" w:rsidRPr="00E14EBC">
        <w:t>–</w:t>
      </w:r>
      <w:r w:rsidR="36BCCB50" w:rsidRPr="00E14EBC">
        <w:t>0</w:t>
      </w:r>
      <w:r w:rsidR="7C225089" w:rsidRPr="00E14EBC">
        <w:t>,37%.</w:t>
      </w:r>
      <w:r w:rsidR="00EC1F11" w:rsidRPr="00E14EBC">
        <w:rPr>
          <w:rStyle w:val="FootnoteReference"/>
        </w:rPr>
        <w:footnoteReference w:id="198"/>
      </w:r>
      <w:r w:rsidR="6CFFC542" w:rsidRPr="00E14EBC">
        <w:t xml:space="preserve"> </w:t>
      </w:r>
      <w:r w:rsidR="00080A8B">
        <w:t>T</w:t>
      </w:r>
      <w:r w:rsidR="00080A8B" w:rsidRPr="00080A8B">
        <w:t>egemist on lokaalse mõjuga linnaosades, kus iga üksiku objekti lisandumine võib statistiliselt oluliselt mõjutada kogupakkumist.</w:t>
      </w:r>
    </w:p>
    <w:p w14:paraId="1C03EA9F" w14:textId="629B3106" w:rsidR="0079430A" w:rsidRPr="00E14EBC" w:rsidRDefault="0079430A" w:rsidP="00C55BCB">
      <w:pPr>
        <w:jc w:val="both"/>
        <w:rPr>
          <w:rFonts w:cstheme="minorHAnsi"/>
        </w:rPr>
      </w:pPr>
      <w:r w:rsidRPr="00E14EBC">
        <w:rPr>
          <w:rFonts w:cstheme="minorHAnsi"/>
        </w:rPr>
        <w:t>Saksamaa põhiseaduse muudatusega 2006. aastal anti õigusaktide kehtestamise pädevus elamispinna ebaotstarbelise kasutamise valdkonnas liidumaadele. Peaaegu kõik liidumaad on kehtestanud või kaaluvad seadusandlikke muudatusi, et keelata eluruumide ebaotstarbeline kasutamine ja kaitsta elamispinda</w:t>
      </w:r>
      <w:r w:rsidR="009B1D1D" w:rsidRPr="00E14EBC">
        <w:rPr>
          <w:rFonts w:cstheme="minorHAnsi"/>
        </w:rPr>
        <w:t>.</w:t>
      </w:r>
      <w:r w:rsidRPr="00E14EBC">
        <w:rPr>
          <w:rFonts w:cstheme="minorHAnsi"/>
        </w:rPr>
        <w:fldChar w:fldCharType="begin"/>
      </w:r>
      <w:r w:rsidRPr="00E14EBC">
        <w:rPr>
          <w:rFonts w:cstheme="minorHAnsi"/>
        </w:rPr>
        <w:instrText xml:space="preserve"> NOTEREF _Ref187323696 \f \h  \* MERGEFORMAT </w:instrText>
      </w:r>
      <w:r w:rsidRPr="00E14EBC">
        <w:rPr>
          <w:rFonts w:cstheme="minorHAnsi"/>
        </w:rPr>
      </w:r>
      <w:r w:rsidRPr="00E14EBC">
        <w:rPr>
          <w:rFonts w:cstheme="minorHAnsi"/>
        </w:rPr>
        <w:fldChar w:fldCharType="separate"/>
      </w:r>
      <w:r w:rsidR="00C55BCB" w:rsidRPr="00C55BCB">
        <w:rPr>
          <w:rStyle w:val="FootnoteReference"/>
        </w:rPr>
        <w:t>193</w:t>
      </w:r>
      <w:r w:rsidRPr="00E14EBC">
        <w:rPr>
          <w:rFonts w:cstheme="minorHAnsi"/>
        </w:rPr>
        <w:fldChar w:fldCharType="end"/>
      </w:r>
    </w:p>
    <w:p w14:paraId="5D4C8FC1" w14:textId="69831A3F" w:rsidR="0079430A" w:rsidRPr="00E14EBC" w:rsidRDefault="0079430A" w:rsidP="0079430A">
      <w:pPr>
        <w:rPr>
          <w:rFonts w:cstheme="minorHAnsi"/>
        </w:rPr>
      </w:pPr>
      <w:r w:rsidRPr="00E14EBC">
        <w:lastRenderedPageBreak/>
        <w:t>Ebaotstarbelise kasutuse alla kuuluvad eluruumid, kui</w:t>
      </w:r>
      <w:bookmarkStart w:id="173" w:name="_Ref187322940"/>
      <w:r w:rsidR="009B1D1D" w:rsidRPr="00E14EBC">
        <w:t>:</w:t>
      </w:r>
      <w:r w:rsidRPr="00E14EBC">
        <w:rPr>
          <w:rStyle w:val="FootnoteReference"/>
        </w:rPr>
        <w:footnoteReference w:id="199"/>
      </w:r>
      <w:bookmarkEnd w:id="173"/>
      <w:r w:rsidRPr="00E14EBC">
        <w:t xml:space="preserve"> </w:t>
      </w:r>
    </w:p>
    <w:p w14:paraId="5D33CF94" w14:textId="77777777" w:rsidR="0079430A" w:rsidRPr="00E14EBC" w:rsidRDefault="0079430A" w:rsidP="007F08F4">
      <w:pPr>
        <w:pStyle w:val="ListBullet"/>
        <w:numPr>
          <w:ilvl w:val="0"/>
          <w:numId w:val="46"/>
        </w:numPr>
        <w:rPr>
          <w:rFonts w:cstheme="minorHAnsi"/>
        </w:rPr>
      </w:pPr>
      <w:r w:rsidRPr="00E14EBC">
        <w:rPr>
          <w:rFonts w:cstheme="minorHAnsi"/>
        </w:rPr>
        <w:t xml:space="preserve">Üle 50% kogupindalast kasutatakse või renditakse äriliste või ametialaste eesmärkide jaoks; </w:t>
      </w:r>
    </w:p>
    <w:p w14:paraId="27AF5342" w14:textId="77777777" w:rsidR="0079430A" w:rsidRPr="00E14EBC" w:rsidRDefault="0079430A" w:rsidP="007F08F4">
      <w:pPr>
        <w:pStyle w:val="ListBullet"/>
        <w:numPr>
          <w:ilvl w:val="0"/>
          <w:numId w:val="46"/>
        </w:numPr>
        <w:rPr>
          <w:rFonts w:cstheme="minorHAnsi"/>
        </w:rPr>
      </w:pPr>
      <w:r w:rsidRPr="00E14EBC">
        <w:rPr>
          <w:rFonts w:cstheme="minorHAnsi"/>
          <w:b/>
        </w:rPr>
        <w:t>Ruume kasutatakse rohkem kui 8 nädalat kalendriaastas majutuse eesmärkidel, eelkõige tubade või magamiskohtade rentimiseks</w:t>
      </w:r>
      <w:r w:rsidRPr="00E14EBC">
        <w:rPr>
          <w:rFonts w:cstheme="minorHAnsi"/>
        </w:rPr>
        <w:t xml:space="preserve">; </w:t>
      </w:r>
    </w:p>
    <w:p w14:paraId="0C19D370" w14:textId="77777777" w:rsidR="0079430A" w:rsidRPr="00E14EBC" w:rsidRDefault="0079430A" w:rsidP="007F08F4">
      <w:pPr>
        <w:pStyle w:val="ListBullet"/>
        <w:numPr>
          <w:ilvl w:val="0"/>
          <w:numId w:val="46"/>
        </w:numPr>
        <w:rPr>
          <w:rFonts w:cstheme="minorHAnsi"/>
        </w:rPr>
      </w:pPr>
      <w:r w:rsidRPr="00E14EBC">
        <w:rPr>
          <w:rFonts w:cstheme="minorHAnsi"/>
        </w:rPr>
        <w:t xml:space="preserve">On tühjana seisnud üle kuue kuu; </w:t>
      </w:r>
    </w:p>
    <w:p w14:paraId="55D1159A" w14:textId="68CC9F62" w:rsidR="0079430A" w:rsidRPr="00E14EBC" w:rsidRDefault="0079430A" w:rsidP="007F08F4">
      <w:pPr>
        <w:pStyle w:val="ListBullet"/>
        <w:numPr>
          <w:ilvl w:val="0"/>
          <w:numId w:val="46"/>
        </w:numPr>
        <w:rPr>
          <w:rFonts w:cstheme="minorHAnsi"/>
        </w:rPr>
      </w:pPr>
      <w:r w:rsidRPr="00E14EBC">
        <w:rPr>
          <w:rFonts w:cstheme="minorHAnsi"/>
        </w:rPr>
        <w:t>On ehituslikult muudetud või kasutatud selliselt, et ruumid ei ole elamiseks sobilikud</w:t>
      </w:r>
      <w:r w:rsidR="00DD61F4">
        <w:rPr>
          <w:rFonts w:cstheme="minorHAnsi"/>
        </w:rPr>
        <w:t>.</w:t>
      </w:r>
    </w:p>
    <w:p w14:paraId="51368B56" w14:textId="57E89F14" w:rsidR="0079430A" w:rsidRPr="00E14EBC" w:rsidRDefault="0079430A" w:rsidP="00FC5555">
      <w:pPr>
        <w:jc w:val="both"/>
        <w:rPr>
          <w:color w:val="000000"/>
          <w:shd w:val="clear" w:color="auto" w:fill="FFFFFF"/>
        </w:rPr>
      </w:pPr>
      <w:r w:rsidRPr="00E14EBC">
        <w:t xml:space="preserve">Saksamaal on eluruumide ebaotstarbelise kasutamise eest </w:t>
      </w:r>
      <w:r w:rsidR="0D9A93AF" w:rsidRPr="00E14EBC">
        <w:t>liidumaa</w:t>
      </w:r>
      <w:r w:rsidR="007D492F" w:rsidRPr="00E14EBC">
        <w:t xml:space="preserve">de kaupa </w:t>
      </w:r>
      <w:r w:rsidRPr="00E14EBC">
        <w:t>ette nähtud erinevad karistused. Trahvi suurus võib olenevalt omavalitsusest ulatuda kuni 500 000 euroni. Näiteks Potsdamis on põhikirjas sätestatu eiramise eest ette nähtud rahatrahv kuni 100 000 eurot ning seda käsitletakse õigusrikkumisena</w:t>
      </w:r>
      <w:r w:rsidR="00FA3768">
        <w:rPr>
          <w:rStyle w:val="FootnoteReference"/>
        </w:rPr>
        <w:footnoteReference w:id="200"/>
      </w:r>
      <w:r w:rsidRPr="00E14EBC">
        <w:t xml:space="preserve">. </w:t>
      </w:r>
      <w:r w:rsidRPr="00E14EBC">
        <w:rPr>
          <w:color w:val="000000"/>
          <w:shd w:val="clear" w:color="auto" w:fill="FFFFFF"/>
        </w:rPr>
        <w:t xml:space="preserve">Berliinis võib elamispinda kasutada muuks otstarbeks kui elamiseks, näiteks </w:t>
      </w:r>
      <w:r w:rsidRPr="00E14EBC">
        <w:rPr>
          <w:i/>
          <w:iCs/>
          <w:color w:val="000000"/>
          <w:shd w:val="clear" w:color="auto" w:fill="FFFFFF"/>
        </w:rPr>
        <w:t>airbnb</w:t>
      </w:r>
      <w:r w:rsidRPr="00E14EBC">
        <w:rPr>
          <w:color w:val="000000"/>
          <w:shd w:val="clear" w:color="auto" w:fill="FFFFFF"/>
        </w:rPr>
        <w:t xml:space="preserve"> tüüpi majutuse pakkumiseks, ainult vastutava ringkonnaameti loal. Luba tuleb taotleda linnaosa büroost, mille linnaosas korter asub</w:t>
      </w:r>
      <w:r w:rsidRPr="00E14EBC">
        <w:rPr>
          <w:rStyle w:val="FootnoteReference"/>
          <w:color w:val="000000"/>
          <w:shd w:val="clear" w:color="auto" w:fill="FFFFFF"/>
        </w:rPr>
        <w:footnoteReference w:id="201"/>
      </w:r>
      <w:r w:rsidRPr="00E14EBC">
        <w:rPr>
          <w:color w:val="000000"/>
          <w:shd w:val="clear" w:color="auto" w:fill="FFFFFF"/>
        </w:rPr>
        <w:t xml:space="preserve">. </w:t>
      </w:r>
    </w:p>
    <w:p w14:paraId="348C4CA4" w14:textId="44F6F557" w:rsidR="0079430A" w:rsidRPr="00E14EBC" w:rsidRDefault="0079430A" w:rsidP="006D581D">
      <w:pPr>
        <w:jc w:val="both"/>
        <w:rPr>
          <w:rFonts w:cstheme="minorHAnsi"/>
        </w:rPr>
      </w:pPr>
      <w:r w:rsidRPr="00E14EBC">
        <w:rPr>
          <w:color w:val="000000"/>
          <w:shd w:val="clear" w:color="auto" w:fill="FFFFFF"/>
        </w:rPr>
        <w:t>Kõikidel liidumaadel on oma seadusandlus lühiajalise üürimise jaoks. Berliinis on loodud elamispinna väärkasutamise keelu seadus</w:t>
      </w:r>
      <w:r w:rsidR="009B1D1D" w:rsidRPr="00E14EBC">
        <w:rPr>
          <w:color w:val="000000"/>
          <w:shd w:val="clear" w:color="auto" w:fill="FFFFFF"/>
        </w:rPr>
        <w:t>,</w:t>
      </w:r>
      <w:r w:rsidRPr="00E14EBC">
        <w:rPr>
          <w:rStyle w:val="FootnoteReference"/>
          <w:color w:val="000000"/>
          <w:shd w:val="clear" w:color="auto" w:fill="FFFFFF"/>
        </w:rPr>
        <w:footnoteReference w:id="202"/>
      </w:r>
      <w:r w:rsidRPr="00E14EBC">
        <w:rPr>
          <w:color w:val="000000"/>
          <w:shd w:val="clear" w:color="auto" w:fill="FFFFFF"/>
        </w:rPr>
        <w:t xml:space="preserve"> mis kätkeb ka lühiajalise üüri valdkonda. Samuti on linnas reguleeritud puhkemajutuse reklaamimine. Reklaamimise korral tuleb teavitada linna vastutavat asutust ning reklaamis peab olema märgitud majutuskoha täpne asukoht, kuulutuse tegija nimi ja aadress. Juriidilise isiku puhul on lisaks majutuskoha täpsele aadressile kohustus märkida ka isiku nimi, ettevõtte asutamise aadress, õiguslik vorm, volitatud esindajad ning äriregistri number. </w:t>
      </w:r>
    </w:p>
    <w:p w14:paraId="056506B9" w14:textId="77777777" w:rsidR="0079430A" w:rsidRPr="0025428E" w:rsidRDefault="0129C12C" w:rsidP="288A3578">
      <w:pPr>
        <w:pStyle w:val="Heading5"/>
        <w:numPr>
          <w:ilvl w:val="0"/>
          <w:numId w:val="0"/>
        </w:numPr>
        <w:ind w:left="1077" w:hanging="1077"/>
        <w:rPr>
          <w:rFonts w:hint="eastAsia"/>
          <w:b/>
          <w:bCs/>
          <w:color w:val="auto"/>
        </w:rPr>
      </w:pPr>
      <w:bookmarkStart w:id="174" w:name="_Toc188273998"/>
      <w:r w:rsidRPr="0025428E">
        <w:rPr>
          <w:rFonts w:hint="eastAsia"/>
          <w:b/>
          <w:bCs/>
          <w:color w:val="auto"/>
        </w:rPr>
        <w:t>Üürituruga seotud andmete kogumine ja metoodika</w:t>
      </w:r>
      <w:bookmarkEnd w:id="174"/>
    </w:p>
    <w:p w14:paraId="0FBFA434" w14:textId="411B7BF9" w:rsidR="0079430A" w:rsidRPr="00E14EBC" w:rsidRDefault="0079430A" w:rsidP="007E2F5D">
      <w:pPr>
        <w:jc w:val="both"/>
      </w:pPr>
      <w:r w:rsidRPr="00E14EBC">
        <w:t>Turismimajutuse turu kirjeldamine Saksamaal on keeruline, kuna turg on väga killustunud ja avalikult kättesaadavaid andmed on piiratud. Saksamaa Statistikaamet (</w:t>
      </w:r>
      <w:r w:rsidRPr="00E14EBC">
        <w:rPr>
          <w:i/>
        </w:rPr>
        <w:t>Statistisches Bundesamt</w:t>
      </w:r>
      <w:r w:rsidRPr="00E14EBC">
        <w:t>) avaldab igal aastal andmeid ettevõtete kohta, mis pakuvad majutust enam kui kümne voodikohaga (ärilised pakkujad). Eraomanikud jäävad ametliku statistika alt välja.</w:t>
      </w:r>
      <w:r w:rsidR="00EC1F11" w:rsidRPr="00E14EBC">
        <w:t xml:space="preserve"> Lisaks ei kajasta statistika alla 10 kohaga ettevõtteid. </w:t>
      </w:r>
    </w:p>
    <w:p w14:paraId="460B0CD2" w14:textId="5C42E1A6" w:rsidR="0079430A" w:rsidRPr="00E14EBC" w:rsidRDefault="0129C12C" w:rsidP="288A3578">
      <w:pPr>
        <w:jc w:val="both"/>
      </w:pPr>
      <w:r w:rsidRPr="00E14EBC">
        <w:t xml:space="preserve">2015. aastal viis portaal </w:t>
      </w:r>
      <w:r w:rsidRPr="288A3578">
        <w:rPr>
          <w:rStyle w:val="Strong"/>
          <w:b w:val="0"/>
          <w:bCs w:val="0"/>
          <w:i/>
          <w:iCs/>
        </w:rPr>
        <w:t>FeWo-direkt</w:t>
      </w:r>
      <w:r w:rsidRPr="00E14EBC">
        <w:t xml:space="preserve"> koostöös Saksa Puhkemajade Assotsiatsiooniga (</w:t>
      </w:r>
      <w:r w:rsidRPr="288A3578">
        <w:rPr>
          <w:i/>
          <w:iCs/>
        </w:rPr>
        <w:t>Deutscher Ferienhausverband</w:t>
      </w:r>
      <w:r w:rsidRPr="00E14EBC">
        <w:t>) läbi uuringu turismimajutuse turu suuruse ja majandusliku mõju kohta Saksamaal. Tulemused näitasid, et Statistikaameti andmed ei kajasta turu tegelikku ulatust. 2024</w:t>
      </w:r>
      <w:r w:rsidR="281ABD79" w:rsidRPr="00E14EBC">
        <w:t>. aastal</w:t>
      </w:r>
      <w:r w:rsidRPr="00E14EBC">
        <w:t xml:space="preserve"> avaldatud Puhkemajade turu uuringu</w:t>
      </w:r>
      <w:r w:rsidR="0079430A" w:rsidRPr="00E14EBC">
        <w:rPr>
          <w:rStyle w:val="FootnoteReference"/>
        </w:rPr>
        <w:footnoteReference w:id="203"/>
      </w:r>
      <w:r w:rsidRPr="00E14EBC">
        <w:t xml:space="preserve"> raames laiendati analüüsi, et arvestada turismimajutuse maastikul toimunud muutustega. </w:t>
      </w:r>
      <w:r w:rsidR="09941151" w:rsidRPr="00E14EBC">
        <w:t>Uuringust selgus, et 82% puhkemajadest on eraomanike pakutavad majutused ja 18% on äriliste</w:t>
      </w:r>
      <w:r w:rsidR="35AA02AC" w:rsidRPr="00E14EBC">
        <w:t xml:space="preserve"> </w:t>
      </w:r>
      <w:r w:rsidR="09941151" w:rsidRPr="00E14EBC">
        <w:t>üksuste pakutavad majutused.</w:t>
      </w:r>
      <w:r w:rsidRPr="00E14EBC">
        <w:t xml:space="preserve"> Esmakordselt </w:t>
      </w:r>
      <w:r w:rsidRPr="00E14EBC">
        <w:lastRenderedPageBreak/>
        <w:t>toetasid uuringut puhkemajade valdkonna ettevõtted, pakkudes eksklusiivset juurdepääsu oma andmetele, sealhulgas inventari, broneeringute ja hinnainfole.</w:t>
      </w:r>
    </w:p>
    <w:p w14:paraId="30F7BB64" w14:textId="7A569AEE" w:rsidR="0079430A" w:rsidRPr="0025428E" w:rsidRDefault="0129C12C" w:rsidP="288A3578">
      <w:pPr>
        <w:pStyle w:val="Heading5"/>
        <w:numPr>
          <w:ilvl w:val="0"/>
          <w:numId w:val="0"/>
        </w:numPr>
        <w:ind w:left="1077" w:hanging="1077"/>
        <w:rPr>
          <w:rFonts w:hint="eastAsia"/>
          <w:b/>
          <w:bCs/>
          <w:color w:val="auto"/>
        </w:rPr>
      </w:pPr>
      <w:bookmarkStart w:id="177" w:name="_Toc188273999"/>
      <w:r w:rsidRPr="0025428E">
        <w:rPr>
          <w:rFonts w:hint="eastAsia"/>
          <w:b/>
          <w:bCs/>
          <w:color w:val="auto"/>
        </w:rPr>
        <w:t>Sotsiaal-majanduslik vaade</w:t>
      </w:r>
      <w:bookmarkEnd w:id="177"/>
    </w:p>
    <w:p w14:paraId="681C214F" w14:textId="13616087" w:rsidR="001C2EE5" w:rsidRPr="00E14EBC" w:rsidRDefault="0129C12C" w:rsidP="007E2F5D">
      <w:pPr>
        <w:jc w:val="both"/>
      </w:pPr>
      <w:r w:rsidRPr="00E14EBC">
        <w:t xml:space="preserve">Saksamaal, eriti Berliinis, põhjustab lühiajalise üüri turg võrdlemisi suuri probleeme. Näiteks, sarnaselt Amsterdamile, on probleeme kohalike elanike väljatõrjumisega, kuna atraktiivsetes piirkodades keskendutakse lühiajalisele üürimisele ning inimestel on pikaajaliselt piirkonnas elamiseks alternatiive vähe. Samuti on probleemiks illegaalselt rajatud Airbnb-tüüpi korterid. Paljud lühiajalise üüri pakkujad </w:t>
      </w:r>
      <w:r w:rsidR="000425C3">
        <w:t>tegutsevad</w:t>
      </w:r>
      <w:r w:rsidRPr="00E14EBC">
        <w:t xml:space="preserve"> kohalikke regulatsioone täitmata, mistõttu puudub kohalikul omavalitsusel kohati ka ülevaade selle kohta, milline osa elupindadest ei ole sihtotstarbeliselt kasutatud</w:t>
      </w:r>
      <w:r w:rsidR="0079430A" w:rsidRPr="00E14EBC">
        <w:rPr>
          <w:rStyle w:val="FootnoteReference"/>
        </w:rPr>
        <w:footnoteReference w:id="204"/>
      </w:r>
      <w:r w:rsidRPr="00E14EBC">
        <w:t xml:space="preserve">. </w:t>
      </w:r>
      <w:r w:rsidR="45CCAE37" w:rsidRPr="00E14EBC">
        <w:t xml:space="preserve">Berliini </w:t>
      </w:r>
      <w:r w:rsidR="6598576B" w:rsidRPr="00E14EBC">
        <w:t>s</w:t>
      </w:r>
      <w:r w:rsidR="210BAC59" w:rsidRPr="00E14EBC">
        <w:t>enati</w:t>
      </w:r>
      <w:r w:rsidR="551FB639" w:rsidRPr="00E14EBC">
        <w:t xml:space="preserve"> </w:t>
      </w:r>
      <w:r w:rsidR="6598576B" w:rsidRPr="00E14EBC">
        <w:t xml:space="preserve">linnaplaneerimise ja elamumajanduse </w:t>
      </w:r>
      <w:r w:rsidR="5698E620" w:rsidRPr="00E14EBC">
        <w:t xml:space="preserve">osakonna </w:t>
      </w:r>
      <w:r w:rsidR="37529942" w:rsidRPr="00E14EBC">
        <w:t xml:space="preserve">esindajate sõnul </w:t>
      </w:r>
      <w:r w:rsidR="0BD98ABC" w:rsidRPr="00E14EBC">
        <w:t xml:space="preserve">on </w:t>
      </w:r>
      <w:r w:rsidR="55EAC3F8" w:rsidRPr="00E14EBC">
        <w:t xml:space="preserve">peamiseks mureks </w:t>
      </w:r>
      <w:r w:rsidR="0CF27450" w:rsidRPr="00E14EBC">
        <w:t>taskukohaste eluasemete kättesaadavus</w:t>
      </w:r>
      <w:r w:rsidR="51862E51" w:rsidRPr="00E14EBC">
        <w:t xml:space="preserve">. </w:t>
      </w:r>
      <w:r w:rsidR="3D5CE09B" w:rsidRPr="00E14EBC">
        <w:t>Lähtuvalt linna enda analüüsidest</w:t>
      </w:r>
      <w:r w:rsidR="07D8CCB6" w:rsidRPr="00E14EBC">
        <w:t xml:space="preserve"> hinnatakse, et lühiajaline majutus (sh ajutised puhkekodud) </w:t>
      </w:r>
      <w:r w:rsidR="3D323F10" w:rsidRPr="00E14EBC">
        <w:t>mõjutab eluasemete hindasid enim linna</w:t>
      </w:r>
      <w:r w:rsidR="29188CC0" w:rsidRPr="00E14EBC">
        <w:t xml:space="preserve"> keskosades</w:t>
      </w:r>
      <w:r w:rsidR="59B7AD6B" w:rsidRPr="00E14EBC">
        <w:t>.</w:t>
      </w:r>
    </w:p>
    <w:p w14:paraId="7228D86E" w14:textId="13E7FFB1" w:rsidR="0079430A" w:rsidRPr="00E14EBC" w:rsidRDefault="0129C12C" w:rsidP="288A3578">
      <w:pPr>
        <w:jc w:val="both"/>
      </w:pPr>
      <w:r w:rsidRPr="288A3578">
        <w:rPr>
          <w:lang w:eastAsia="en-GB"/>
        </w:rPr>
        <w:t>Saksamaa puhke</w:t>
      </w:r>
      <w:r w:rsidR="6F192BF8" w:rsidRPr="288A3578">
        <w:rPr>
          <w:lang w:eastAsia="en-GB"/>
        </w:rPr>
        <w:t xml:space="preserve">kohtade </w:t>
      </w:r>
      <w:r w:rsidRPr="288A3578">
        <w:rPr>
          <w:lang w:eastAsia="en-GB"/>
        </w:rPr>
        <w:t>majutuse turg hõlma</w:t>
      </w:r>
      <w:r w:rsidR="003C2D30">
        <w:rPr>
          <w:lang w:eastAsia="en-GB"/>
        </w:rPr>
        <w:t>s 2023. aastal</w:t>
      </w:r>
      <w:r w:rsidRPr="288A3578">
        <w:rPr>
          <w:lang w:eastAsia="en-GB"/>
        </w:rPr>
        <w:t xml:space="preserve"> 555 111 majutust. 82% majutustest on eraisikute hallatavad ja nendes on üüripinna kohta kokku alla 10 voodikoha. 18% pindadest on juriidiliste isikute hallatavad (äritegevuslikud hooned) ning üüripinna kohta on kokku üle 10 voodikoha. </w:t>
      </w:r>
      <w:r w:rsidRPr="288A3578">
        <w:t>Suurim hulk puhkemaju asub Mecklenburg-Vorpommernis (99 334 üüripinda), millele järgnevad Schleswig-Holstein (96 715 üüripinda) ja Baierimaa (91 974 üüripinda). 84% eraomanike puhkemajadest turustatakse ja hallatakse iseseisvalt. 2022. aastal suutis Saksamaa puhkemajade turg ainuüksi üürituludest genereerida turukäivet 7,3 miljardit eurot. Aastane turukäibe kasv on Saksamaal prognoositud kuni aastani 2025 5–8%.</w:t>
      </w:r>
      <w:r w:rsidR="003C2D30">
        <w:rPr>
          <w:rStyle w:val="FootnoteReference"/>
        </w:rPr>
        <w:footnoteReference w:id="205"/>
      </w:r>
    </w:p>
    <w:p w14:paraId="2403DE23" w14:textId="7D9E58DC" w:rsidR="0079430A" w:rsidRPr="00E14EBC" w:rsidRDefault="0079430A" w:rsidP="007E2F5D">
      <w:pPr>
        <w:jc w:val="both"/>
        <w:rPr>
          <w:lang w:eastAsia="en-GB"/>
        </w:rPr>
      </w:pPr>
      <w:r w:rsidRPr="00E14EBC">
        <w:rPr>
          <w:lang w:eastAsia="en-GB"/>
        </w:rPr>
        <w:t xml:space="preserve">Saksamaa </w:t>
      </w:r>
      <w:r w:rsidRPr="00E14EBC">
        <w:t>Majandusuuringute Instituudi (</w:t>
      </w:r>
      <w:r w:rsidRPr="00350221">
        <w:rPr>
          <w:i/>
        </w:rPr>
        <w:t>DIW Berlin</w:t>
      </w:r>
      <w:r w:rsidRPr="00E14EBC">
        <w:t>)</w:t>
      </w:r>
      <w:r w:rsidRPr="00E14EBC">
        <w:rPr>
          <w:b/>
          <w:bCs/>
        </w:rPr>
        <w:t xml:space="preserve"> </w:t>
      </w:r>
      <w:r w:rsidRPr="00E14EBC">
        <w:t>2021.</w:t>
      </w:r>
      <w:r w:rsidRPr="00E14EBC">
        <w:rPr>
          <w:b/>
          <w:bCs/>
        </w:rPr>
        <w:t xml:space="preserve"> </w:t>
      </w:r>
      <w:r w:rsidRPr="00E14EBC">
        <w:t>aasta uuringu kohaselt tõstavad Airbnb korterid naabruskonnas olevate korterite üürihindasid seitsme</w:t>
      </w:r>
      <w:r w:rsidR="00EC1F11" w:rsidRPr="00E14EBC">
        <w:t>, mõnes piirkonnas 13</w:t>
      </w:r>
      <w:r w:rsidR="00B7799E" w:rsidRPr="00E14EBC">
        <w:t xml:space="preserve"> </w:t>
      </w:r>
      <w:r w:rsidR="0091073F">
        <w:t>euro</w:t>
      </w:r>
      <w:r w:rsidRPr="00E14EBC">
        <w:t>sendi võrra ruutmeetri kohta. Täiendava analüüsi kohaselt täheldati, et piirkonnad, kus on lühiajalise üüri kortereid vähem, on mõju naabruses olevatele korteritele suurem.</w:t>
      </w:r>
      <w:r w:rsidRPr="00E14EBC">
        <w:rPr>
          <w:rStyle w:val="FootnoteReference"/>
        </w:rPr>
        <w:footnoteReference w:id="206"/>
      </w:r>
    </w:p>
    <w:p w14:paraId="436DA707" w14:textId="77777777" w:rsidR="0079430A" w:rsidRPr="00E14EBC" w:rsidRDefault="0129C12C" w:rsidP="288A3578">
      <w:pPr>
        <w:pStyle w:val="Heading5"/>
        <w:numPr>
          <w:ilvl w:val="0"/>
          <w:numId w:val="0"/>
        </w:numPr>
        <w:ind w:left="1077" w:hanging="1077"/>
        <w:jc w:val="both"/>
        <w:rPr>
          <w:rFonts w:hint="eastAsia"/>
          <w:color w:val="auto"/>
        </w:rPr>
      </w:pPr>
      <w:r w:rsidRPr="00BB19EC">
        <w:rPr>
          <w:rFonts w:hint="eastAsia"/>
          <w:b/>
          <w:bCs/>
          <w:color w:val="auto"/>
        </w:rPr>
        <w:t>Mõjud (kokkuvõte)</w:t>
      </w:r>
    </w:p>
    <w:p w14:paraId="60AD87DD" w14:textId="748CACFD" w:rsidR="0079430A" w:rsidRPr="00E14EBC" w:rsidRDefault="0129C12C" w:rsidP="288A3578">
      <w:pPr>
        <w:pStyle w:val="ListParagraph"/>
        <w:numPr>
          <w:ilvl w:val="0"/>
          <w:numId w:val="17"/>
        </w:numPr>
        <w:jc w:val="both"/>
        <w:rPr>
          <w:lang w:eastAsia="en-GB"/>
        </w:rPr>
      </w:pPr>
      <w:r w:rsidRPr="288A3578">
        <w:rPr>
          <w:lang w:eastAsia="en-GB"/>
        </w:rPr>
        <w:t>Berliini Üürnike Ühingu (</w:t>
      </w:r>
      <w:r w:rsidRPr="00BB19EC">
        <w:rPr>
          <w:i/>
          <w:iCs/>
          <w:lang w:eastAsia="en-GB"/>
        </w:rPr>
        <w:t>Berliner Mieterverein</w:t>
      </w:r>
      <w:r w:rsidRPr="288A3578">
        <w:rPr>
          <w:lang w:eastAsia="en-GB"/>
        </w:rPr>
        <w:t>) ja linnavalitsuse hinnangul suurendab lühialalise üüri turg gentrifikatsiooni ja elanike väljatõrjutust, mis ohustab enim</w:t>
      </w:r>
      <w:r w:rsidR="25158A3D" w:rsidRPr="288A3578">
        <w:rPr>
          <w:lang w:eastAsia="en-GB"/>
        </w:rPr>
        <w:t xml:space="preserve"> kesklinna ja</w:t>
      </w:r>
      <w:r w:rsidRPr="288A3578">
        <w:rPr>
          <w:lang w:eastAsia="en-GB"/>
        </w:rPr>
        <w:t xml:space="preserve"> Berliini vaesemaid linnaosasid, nagu Neukölln, kus on seni üürikorterite hinnad Berliini mõistes madalad olnud. Probleemina nähakse ennekõike seda, et lühiajalise üüri turul tegutsejad ostavad kokku terveid korterelamuid, et muuta sealsed elamupinnad majutuspindadeks. 2014. aastal keelas Berliin kortermajade muutmise lühiajalise majutusteenuse asutuseks, erinevad pakkujad esitasid seepeale linna vastu hagi</w:t>
      </w:r>
      <w:r w:rsidR="1734E7C9" w:rsidRPr="288A3578">
        <w:rPr>
          <w:lang w:eastAsia="en-GB"/>
        </w:rPr>
        <w:t>.</w:t>
      </w:r>
      <w:r w:rsidRPr="288A3578">
        <w:rPr>
          <w:lang w:eastAsia="en-GB"/>
        </w:rPr>
        <w:t xml:space="preserve"> 2016</w:t>
      </w:r>
      <w:r w:rsidR="765BD8F0" w:rsidRPr="288A3578">
        <w:rPr>
          <w:lang w:eastAsia="en-GB"/>
        </w:rPr>
        <w:t>.</w:t>
      </w:r>
      <w:r w:rsidRPr="288A3578">
        <w:rPr>
          <w:lang w:eastAsia="en-GB"/>
        </w:rPr>
        <w:t xml:space="preserve"> aastal sai Berliinis kehtestatud piirang õiguskaitse ja 2024. aastal otsustas Saksamaa Föderaalkohus Berliini kasuks.</w:t>
      </w:r>
    </w:p>
    <w:p w14:paraId="7C421EB2" w14:textId="77777777" w:rsidR="0079430A" w:rsidRPr="00E14EBC" w:rsidRDefault="0079430A" w:rsidP="00A364B8">
      <w:pPr>
        <w:pStyle w:val="ListParagraph"/>
        <w:numPr>
          <w:ilvl w:val="1"/>
          <w:numId w:val="17"/>
        </w:numPr>
        <w:jc w:val="both"/>
        <w:rPr>
          <w:rFonts w:cstheme="minorHAnsi"/>
          <w:lang w:eastAsia="en-GB"/>
        </w:rPr>
      </w:pPr>
      <w:r w:rsidRPr="00E14EBC">
        <w:rPr>
          <w:rFonts w:cstheme="minorHAnsi"/>
          <w:b/>
          <w:bCs/>
          <w:lang w:eastAsia="en-GB"/>
        </w:rPr>
        <w:lastRenderedPageBreak/>
        <w:t xml:space="preserve">Lühiajalise üüriteenuse tulekuga asusid pakkujad ostma kokku terveid korterelamuid eesmärgiga muuta nendes olevad korterid Airbnb külaliskorteriteks. </w:t>
      </w:r>
      <w:r w:rsidRPr="00E14EBC">
        <w:rPr>
          <w:rFonts w:cstheme="minorHAnsi"/>
          <w:lang w:eastAsia="en-GB"/>
        </w:rPr>
        <w:t>Linnavalitsuse ja Berliini Üürnike Ühingu hinnangul põhjustab see elanike väljatõrjumist, ohustades enim soodsamates linnaosades elavaid madalama sissetulekuga inimesi, kes ei oma kinnisvara.</w:t>
      </w:r>
    </w:p>
    <w:p w14:paraId="0FA084B5" w14:textId="54A27550" w:rsidR="0079430A" w:rsidRPr="00E14EBC" w:rsidRDefault="0079430A" w:rsidP="00A364B8">
      <w:pPr>
        <w:pStyle w:val="ListParagraph"/>
        <w:numPr>
          <w:ilvl w:val="1"/>
          <w:numId w:val="17"/>
        </w:numPr>
        <w:jc w:val="both"/>
        <w:rPr>
          <w:rFonts w:cstheme="minorHAnsi"/>
          <w:lang w:eastAsia="en-GB"/>
        </w:rPr>
      </w:pPr>
      <w:r w:rsidRPr="00E14EBC">
        <w:rPr>
          <w:rFonts w:cstheme="minorHAnsi"/>
          <w:b/>
          <w:bCs/>
          <w:lang w:eastAsia="en-GB"/>
        </w:rPr>
        <w:t xml:space="preserve">Linna poolsed ranged piirangud pakkujate tegevusele tõid kaasa kümne aasta pikkuse kohtuvaidluse. </w:t>
      </w:r>
      <w:r w:rsidRPr="00E14EBC">
        <w:rPr>
          <w:rFonts w:cstheme="minorHAnsi"/>
          <w:lang w:eastAsia="en-GB"/>
        </w:rPr>
        <w:t>Saksamaa kõrgeima astme kohtus lahenes kaasus linna kasuks</w:t>
      </w:r>
      <w:r w:rsidR="00F8452F" w:rsidRPr="00E14EBC">
        <w:rPr>
          <w:rFonts w:cstheme="minorHAnsi"/>
          <w:lang w:eastAsia="en-GB"/>
        </w:rPr>
        <w:t>.</w:t>
      </w:r>
      <w:r w:rsidRPr="00E14EBC">
        <w:rPr>
          <w:rFonts w:cstheme="minorHAnsi"/>
          <w:lang w:eastAsia="en-GB"/>
        </w:rPr>
        <w:t xml:space="preserve"> </w:t>
      </w:r>
    </w:p>
    <w:p w14:paraId="1C0FD8EA" w14:textId="53D5539B" w:rsidR="0079430A" w:rsidRPr="00E14EBC" w:rsidRDefault="0129C12C" w:rsidP="288A3578">
      <w:pPr>
        <w:pStyle w:val="ListParagraph"/>
        <w:numPr>
          <w:ilvl w:val="2"/>
          <w:numId w:val="17"/>
        </w:numPr>
        <w:jc w:val="both"/>
        <w:rPr>
          <w:lang w:eastAsia="en-GB"/>
        </w:rPr>
      </w:pPr>
      <w:r w:rsidRPr="288A3578">
        <w:rPr>
          <w:lang w:eastAsia="en-GB"/>
        </w:rPr>
        <w:t>Vt Helsingi näidet. Sarnaselt Berliinile on ka Helsingis päädinud piirangute kehtestamine kohtuvaidlustega, kuigi kõik vaidlused on lahenenud linna kasuks.</w:t>
      </w:r>
    </w:p>
    <w:p w14:paraId="27015596" w14:textId="0F77F7A7" w:rsidR="0079430A" w:rsidRPr="00E14EBC" w:rsidRDefault="0129C12C" w:rsidP="288A3578">
      <w:pPr>
        <w:pStyle w:val="ListParagraph"/>
        <w:numPr>
          <w:ilvl w:val="0"/>
          <w:numId w:val="17"/>
        </w:numPr>
        <w:jc w:val="both"/>
        <w:rPr>
          <w:szCs w:val="24"/>
          <w:lang w:eastAsia="en-GB"/>
        </w:rPr>
      </w:pPr>
      <w:r w:rsidRPr="00E14EBC">
        <w:rPr>
          <w:lang w:eastAsia="en-GB"/>
        </w:rPr>
        <w:t xml:space="preserve">Saksamaa </w:t>
      </w:r>
      <w:r w:rsidRPr="00E14EBC">
        <w:t>Majandusuuringute Instituudi (DIW Berlin)</w:t>
      </w:r>
      <w:r w:rsidRPr="00E14EBC">
        <w:rPr>
          <w:b/>
          <w:bCs/>
        </w:rPr>
        <w:t xml:space="preserve"> </w:t>
      </w:r>
      <w:r w:rsidRPr="00E14EBC">
        <w:t>2021</w:t>
      </w:r>
      <w:r w:rsidR="00EC1F11" w:rsidRPr="00E14EBC">
        <w:rPr>
          <w:rStyle w:val="FootnoteReference"/>
        </w:rPr>
        <w:footnoteReference w:id="207"/>
      </w:r>
      <w:r w:rsidRPr="00E14EBC">
        <w:t>.</w:t>
      </w:r>
      <w:r w:rsidRPr="00E14EBC">
        <w:rPr>
          <w:b/>
          <w:bCs/>
        </w:rPr>
        <w:t xml:space="preserve"> </w:t>
      </w:r>
      <w:r w:rsidRPr="00E14EBC">
        <w:t xml:space="preserve">aasta uuringu kohaselt </w:t>
      </w:r>
      <w:r w:rsidR="06228643" w:rsidRPr="288A3578">
        <w:rPr>
          <w:b/>
          <w:bCs/>
        </w:rPr>
        <w:t xml:space="preserve">tõstsid </w:t>
      </w:r>
      <w:r w:rsidRPr="00E14EBC">
        <w:rPr>
          <w:b/>
          <w:bCs/>
        </w:rPr>
        <w:t>Airbnb korterid naabruskonnas olevate korterite üürihindasid vähemalt seitsme sendi võrra ruutmeetri kohta.</w:t>
      </w:r>
    </w:p>
    <w:p w14:paraId="0F46660B" w14:textId="19998E1B" w:rsidR="009C2A9B" w:rsidRPr="00E14EBC" w:rsidRDefault="614BE2C5" w:rsidP="1C92C443">
      <w:pPr>
        <w:pStyle w:val="ListParagraph"/>
        <w:numPr>
          <w:ilvl w:val="0"/>
          <w:numId w:val="17"/>
        </w:numPr>
        <w:jc w:val="both"/>
        <w:rPr>
          <w:szCs w:val="24"/>
          <w:lang w:eastAsia="en-GB"/>
        </w:rPr>
      </w:pPr>
      <w:r w:rsidRPr="00E14EBC">
        <w:rPr>
          <w:lang w:eastAsia="en-GB"/>
        </w:rPr>
        <w:t>2021</w:t>
      </w:r>
      <w:r w:rsidR="63CD5648" w:rsidRPr="00E14EBC">
        <w:rPr>
          <w:lang w:eastAsia="en-GB"/>
        </w:rPr>
        <w:t>.</w:t>
      </w:r>
      <w:r w:rsidRPr="00E14EBC">
        <w:rPr>
          <w:lang w:eastAsia="en-GB"/>
        </w:rPr>
        <w:t xml:space="preserve"> ja 2024</w:t>
      </w:r>
      <w:r w:rsidR="3010025C" w:rsidRPr="00E14EBC">
        <w:rPr>
          <w:lang w:eastAsia="en-GB"/>
        </w:rPr>
        <w:t>. aastal</w:t>
      </w:r>
      <w:r w:rsidRPr="00E14EBC">
        <w:rPr>
          <w:lang w:eastAsia="en-GB"/>
        </w:rPr>
        <w:t xml:space="preserve"> läbi viidud analüüsid</w:t>
      </w:r>
      <w:r w:rsidR="008C73C9" w:rsidRPr="00E14EBC">
        <w:rPr>
          <w:rStyle w:val="FootnoteReference"/>
          <w:lang w:eastAsia="en-GB"/>
        </w:rPr>
        <w:footnoteReference w:id="208"/>
      </w:r>
      <w:r w:rsidRPr="00E14EBC">
        <w:rPr>
          <w:lang w:eastAsia="en-GB"/>
        </w:rPr>
        <w:t xml:space="preserve"> näitasid, et lühiajalisele üüri turule kohaldatud </w:t>
      </w:r>
      <w:r w:rsidRPr="00E14EBC">
        <w:rPr>
          <w:b/>
          <w:bCs/>
          <w:lang w:eastAsia="en-GB"/>
        </w:rPr>
        <w:t>meetmed tõid kaasa pakkumise märgatava vähenemise ja investeeringute languse eluasemeturul</w:t>
      </w:r>
      <w:r w:rsidRPr="00E14EBC">
        <w:rPr>
          <w:lang w:eastAsia="en-GB"/>
        </w:rPr>
        <w:t>. 2016</w:t>
      </w:r>
      <w:r w:rsidR="00EC67ED">
        <w:rPr>
          <w:lang w:eastAsia="en-GB"/>
        </w:rPr>
        <w:t>. aasta</w:t>
      </w:r>
      <w:r w:rsidR="6FB8BB85" w:rsidRPr="1C92C443">
        <w:rPr>
          <w:lang w:eastAsia="en-GB"/>
        </w:rPr>
        <w:t xml:space="preserve"> meetmete</w:t>
      </w:r>
      <w:r w:rsidRPr="00E14EBC">
        <w:rPr>
          <w:lang w:eastAsia="en-GB"/>
        </w:rPr>
        <w:t xml:space="preserve"> järgselt langes pakkumiste maht 30% ja 2018</w:t>
      </w:r>
      <w:r w:rsidR="76A765C5" w:rsidRPr="00E14EBC">
        <w:rPr>
          <w:lang w:eastAsia="en-GB"/>
        </w:rPr>
        <w:t>.</w:t>
      </w:r>
      <w:r w:rsidRPr="00E14EBC">
        <w:rPr>
          <w:lang w:eastAsia="en-GB"/>
        </w:rPr>
        <w:t xml:space="preserve"> </w:t>
      </w:r>
      <w:r w:rsidR="76A765C5" w:rsidRPr="00E14EBC">
        <w:rPr>
          <w:lang w:eastAsia="en-GB"/>
        </w:rPr>
        <w:t xml:space="preserve">aastal </w:t>
      </w:r>
      <w:r w:rsidRPr="00E14EBC">
        <w:rPr>
          <w:lang w:eastAsia="en-GB"/>
        </w:rPr>
        <w:t>täiendavalt 18%. Iga turult kadunud lühiajalise üüri teenuse pakkumus omakorda tõstis pikaajaliste üürikorterite kättesaadavust 0,23–0,37</w:t>
      </w:r>
      <w:r w:rsidR="00267D1F">
        <w:rPr>
          <w:lang w:eastAsia="en-GB"/>
        </w:rPr>
        <w:t>%</w:t>
      </w:r>
      <w:r w:rsidRPr="00E14EBC">
        <w:rPr>
          <w:lang w:eastAsia="en-GB"/>
        </w:rPr>
        <w:t>.</w:t>
      </w:r>
    </w:p>
    <w:p w14:paraId="585F49ED" w14:textId="75335FAD" w:rsidR="0053135B" w:rsidRPr="00E14EBC" w:rsidRDefault="0053135B" w:rsidP="007E2F5D">
      <w:pPr>
        <w:pStyle w:val="Heading3"/>
        <w:numPr>
          <w:ilvl w:val="0"/>
          <w:numId w:val="0"/>
        </w:numPr>
        <w:ind w:left="720" w:hanging="720"/>
        <w:jc w:val="both"/>
        <w:rPr>
          <w:rStyle w:val="PurpleText"/>
          <w:rFonts w:hint="eastAsia"/>
        </w:rPr>
      </w:pPr>
      <w:bookmarkStart w:id="179" w:name="_Toc197718089"/>
      <w:bookmarkStart w:id="180" w:name="_Toc208991643"/>
      <w:r w:rsidRPr="00E14EBC">
        <w:rPr>
          <w:rStyle w:val="PurpleText"/>
        </w:rPr>
        <w:t>Soome</w:t>
      </w:r>
      <w:bookmarkEnd w:id="156"/>
      <w:bookmarkEnd w:id="179"/>
      <w:bookmarkEnd w:id="180"/>
    </w:p>
    <w:p w14:paraId="5AA3E7BB" w14:textId="014720D8" w:rsidR="0053135B" w:rsidRPr="00E14EBC" w:rsidRDefault="0053135B" w:rsidP="007E2F5D">
      <w:pPr>
        <w:jc w:val="both"/>
        <w:rPr>
          <w:rStyle w:val="Strong"/>
        </w:rPr>
      </w:pPr>
      <w:bookmarkStart w:id="181" w:name="_Toc188273978"/>
      <w:r w:rsidRPr="00E14EBC">
        <w:rPr>
          <w:rStyle w:val="Strong"/>
        </w:rPr>
        <w:t>Lühiajalise üüri turu mõiste</w:t>
      </w:r>
      <w:bookmarkEnd w:id="181"/>
    </w:p>
    <w:p w14:paraId="5CFDDA95" w14:textId="36BEF21E" w:rsidR="0053135B" w:rsidRPr="00E14EBC" w:rsidRDefault="1C8DE455" w:rsidP="007E2F5D">
      <w:pPr>
        <w:jc w:val="both"/>
      </w:pPr>
      <w:r>
        <w:t xml:space="preserve">Soome puhul on nii lühiajalise üüri turu reguleerimine kui ka lühiajalise üüri mõiste defineerimine alles </w:t>
      </w:r>
      <w:r w:rsidR="19201457">
        <w:t>töös</w:t>
      </w:r>
      <w:r w:rsidR="129DE15D">
        <w:t>. L</w:t>
      </w:r>
      <w:r>
        <w:t>ähtuvalt omavalitsuste initsiatiivist</w:t>
      </w:r>
      <w:r w:rsidR="509A9A81">
        <w:t xml:space="preserve"> ja</w:t>
      </w:r>
      <w:r>
        <w:t xml:space="preserve"> senisest kohtupraktikas, on reguleerim</w:t>
      </w:r>
      <w:r w:rsidR="129DE15D">
        <w:t>isel</w:t>
      </w:r>
      <w:r w:rsidR="35AA02AC">
        <w:t xml:space="preserve"> </w:t>
      </w:r>
      <w:r w:rsidR="19201457">
        <w:t xml:space="preserve">võetud sihiks </w:t>
      </w:r>
      <w:r w:rsidR="59EBC5C5">
        <w:t xml:space="preserve">uuendada </w:t>
      </w:r>
      <w:r w:rsidR="6908D843">
        <w:t xml:space="preserve">Soome </w:t>
      </w:r>
      <w:r w:rsidR="00EA6135">
        <w:t>e</w:t>
      </w:r>
      <w:r w:rsidR="6908D843">
        <w:t>hitusseadust</w:t>
      </w:r>
      <w:r w:rsidR="001C0740">
        <w:rPr>
          <w:rStyle w:val="FootnoteReference"/>
        </w:rPr>
        <w:footnoteReference w:id="209"/>
      </w:r>
      <w:r w:rsidR="6908D843">
        <w:t xml:space="preserve"> ja </w:t>
      </w:r>
      <w:r w:rsidR="00F507C8">
        <w:t>m</w:t>
      </w:r>
      <w:r w:rsidR="6908D843">
        <w:t xml:space="preserve">aakasutuse </w:t>
      </w:r>
      <w:r w:rsidR="00F507C8">
        <w:t>s</w:t>
      </w:r>
      <w:r w:rsidR="6908D843">
        <w:t>eadust</w:t>
      </w:r>
      <w:r w:rsidR="007632B1">
        <w:rPr>
          <w:rStyle w:val="FootnoteReference"/>
        </w:rPr>
        <w:footnoteReference w:id="210"/>
      </w:r>
      <w:r>
        <w:t xml:space="preserve">, </w:t>
      </w:r>
      <w:r w:rsidR="406283DC">
        <w:t xml:space="preserve">et </w:t>
      </w:r>
      <w:r w:rsidR="77579FC0">
        <w:t>need arvestaksid edaspidi ka nn lühiajalise üüri tur</w:t>
      </w:r>
      <w:r w:rsidR="008E3B3A">
        <w:t>u</w:t>
      </w:r>
      <w:r w:rsidR="00473A1B">
        <w:t>ga</w:t>
      </w:r>
      <w:r w:rsidR="008E3B3A">
        <w:t xml:space="preserve"> ja </w:t>
      </w:r>
      <w:r w:rsidR="5A61F3CA">
        <w:t xml:space="preserve">annaks täpsema õigusselguse. Hetkepraktika kohaselt </w:t>
      </w:r>
      <w:r>
        <w:t xml:space="preserve">mõeldakse </w:t>
      </w:r>
      <w:r w:rsidR="3825AFF5">
        <w:t xml:space="preserve">lühiajalise üüri all </w:t>
      </w:r>
      <w:r>
        <w:t>enamasti alla nelja nädala pikkust majutusteenust</w:t>
      </w:r>
      <w:r w:rsidR="006924D4">
        <w:t>. O</w:t>
      </w:r>
      <w:r w:rsidR="176DE2D6">
        <w:t xml:space="preserve">mavalitsused lähtuvad kohaliku piirkonna siseste piirangute kehtestamisel </w:t>
      </w:r>
      <w:r w:rsidR="21CEE03C">
        <w:t>korterite kasutusotstarbest</w:t>
      </w:r>
      <w:r w:rsidR="7D864B99">
        <w:t xml:space="preserve">, vaatamata et viimane on õiguslikult ebaselge lähenemine ning toonud kaasa üksjagu </w:t>
      </w:r>
      <w:r w:rsidR="2DBBD307">
        <w:t xml:space="preserve">kohtukaasuseid linnavalitsuse ja </w:t>
      </w:r>
      <w:r w:rsidR="006924D4">
        <w:t>kinnisvara</w:t>
      </w:r>
      <w:r w:rsidR="2DBBD307">
        <w:t>arendajate vahel.</w:t>
      </w:r>
    </w:p>
    <w:p w14:paraId="11B76451" w14:textId="7C540B75" w:rsidR="0053135B" w:rsidRPr="00E14EBC" w:rsidRDefault="0053135B" w:rsidP="007E2F5D">
      <w:pPr>
        <w:jc w:val="both"/>
      </w:pPr>
      <w:r w:rsidRPr="00E14EBC">
        <w:t xml:space="preserve">2024. aasta juunis asus Soome valitsus Keskkonnaministeeriumi juhtimisel koguma arvamusi ehitusseaduse </w:t>
      </w:r>
      <w:r w:rsidR="00365317">
        <w:t xml:space="preserve">ja maakasutuse seaduse </w:t>
      </w:r>
      <w:r w:rsidRPr="00E14EBC">
        <w:t xml:space="preserve">täiendamiseks, et selgitada õiguslikult lahti, mida tähendab eluase ja mida majutus. Valitsuse hinnangul seisneb lühiajalise üüri turu mõiste peamine ebaselgus majutuse ja eluaseme eristamises: </w:t>
      </w:r>
      <w:r w:rsidR="007D337B">
        <w:t>millal</w:t>
      </w:r>
      <w:r w:rsidRPr="00E14EBC">
        <w:t xml:space="preserve"> on tegu ajutise majutusteenuse osutamisega ja millisest hetkest muutub see inimesele eluasemeks. Seaduse muudatus loodetakse jõustada </w:t>
      </w:r>
      <w:r w:rsidRPr="00E14EBC">
        <w:lastRenderedPageBreak/>
        <w:t>1. jaanuariks 2026 ja sellega loodaks üleriigiline ühtne lähenemine lühiajalise üüri turu reguleerimisele.</w:t>
      </w:r>
      <w:r w:rsidRPr="00E14EBC">
        <w:rPr>
          <w:rStyle w:val="FootnoteReference"/>
        </w:rPr>
        <w:footnoteReference w:id="211"/>
      </w:r>
      <w:r w:rsidRPr="00E14EBC">
        <w:t xml:space="preserve"> </w:t>
      </w:r>
    </w:p>
    <w:p w14:paraId="43903744" w14:textId="12FD3C75" w:rsidR="0053135B" w:rsidRPr="00E14EBC" w:rsidRDefault="0053135B" w:rsidP="007E2F5D">
      <w:pPr>
        <w:jc w:val="both"/>
      </w:pPr>
      <w:r w:rsidRPr="00E14EBC">
        <w:t xml:space="preserve">2024. </w:t>
      </w:r>
      <w:r w:rsidR="00D47400">
        <w:t xml:space="preserve">aasta </w:t>
      </w:r>
      <w:r w:rsidRPr="00E14EBC">
        <w:t xml:space="preserve">juunis tehtud Keskkonnaministeeriumi ettepaneku kohaselt võiks lugeda eluasemeks vähemalt nelja nädala pikkust üürimist. Sellest </w:t>
      </w:r>
      <w:r w:rsidR="00B92C08">
        <w:t>lühema perioodi puhul</w:t>
      </w:r>
      <w:r w:rsidR="00B92C08" w:rsidRPr="00E14EBC">
        <w:t xml:space="preserve"> </w:t>
      </w:r>
      <w:r w:rsidRPr="00E14EBC">
        <w:t>oleks tegu majutusteenusega (majutamisega). Lisaks</w:t>
      </w:r>
      <w:r w:rsidR="000051FB">
        <w:t xml:space="preserve"> plaanitakse</w:t>
      </w:r>
      <w:r w:rsidRPr="00E14EBC">
        <w:t xml:space="preserve"> asendada 2017. aastast kehtiv elamu, majutuse ja tööruumi määrus ajakohasemate nõuetega ning koondada üürituru regulatsioonid 2025. aastal jõustunud ehitusseaduse</w:t>
      </w:r>
      <w:r w:rsidR="00122225">
        <w:t>sse</w:t>
      </w:r>
      <w:r w:rsidRPr="00E14EBC">
        <w:t>.</w:t>
      </w:r>
      <w:r w:rsidRPr="00E14EBC">
        <w:rPr>
          <w:rStyle w:val="FootnoteReference"/>
        </w:rPr>
        <w:footnoteReference w:id="212"/>
      </w:r>
    </w:p>
    <w:p w14:paraId="0EA4FC41" w14:textId="060AD49C" w:rsidR="0053135B" w:rsidRPr="00E14EBC" w:rsidRDefault="1C8DE455" w:rsidP="288A3578">
      <w:pPr>
        <w:pStyle w:val="Heading5"/>
        <w:numPr>
          <w:ilvl w:val="0"/>
          <w:numId w:val="0"/>
        </w:numPr>
        <w:ind w:left="1077" w:hanging="1077"/>
        <w:jc w:val="both"/>
        <w:rPr>
          <w:rFonts w:hint="eastAsia"/>
          <w:color w:val="auto"/>
        </w:rPr>
      </w:pPr>
      <w:bookmarkStart w:id="182" w:name="_Toc188273979"/>
      <w:r w:rsidRPr="288A3578">
        <w:rPr>
          <w:color w:val="auto"/>
        </w:rPr>
        <w:t xml:space="preserve">Lühiajalise üüri turu </w:t>
      </w:r>
      <w:r w:rsidRPr="00A946E5">
        <w:rPr>
          <w:rFonts w:hint="eastAsia"/>
          <w:b/>
          <w:bCs/>
          <w:color w:val="auto"/>
        </w:rPr>
        <w:t>regulatsioonid ja osapooled</w:t>
      </w:r>
      <w:bookmarkEnd w:id="182"/>
    </w:p>
    <w:p w14:paraId="6A6E0734" w14:textId="52A812B2" w:rsidR="0053135B" w:rsidRPr="00E14EBC" w:rsidRDefault="0053135B" w:rsidP="007E2F5D">
      <w:pPr>
        <w:jc w:val="both"/>
      </w:pPr>
      <w:r w:rsidRPr="00E14EBC">
        <w:t xml:space="preserve">Arvestades omavalitsuste erinevaid vajadusi ja lähenemisi, peaks Keskkonnaministeeriumi hinnangul jääma </w:t>
      </w:r>
      <w:r w:rsidR="008231D4">
        <w:t xml:space="preserve">lühiajalise üüri turu </w:t>
      </w:r>
      <w:r w:rsidRPr="00E14EBC">
        <w:t xml:space="preserve">reguleerimine kohalikule tasandile. Ehitusseaduse </w:t>
      </w:r>
      <w:r w:rsidR="00365317">
        <w:t xml:space="preserve">ja maakasutuse </w:t>
      </w:r>
      <w:r w:rsidR="534CF2A7">
        <w:t xml:space="preserve">seaduse </w:t>
      </w:r>
      <w:r w:rsidRPr="00E14EBC">
        <w:t>muudatus</w:t>
      </w:r>
      <w:r w:rsidR="00365317">
        <w:t>t</w:t>
      </w:r>
      <w:r w:rsidRPr="00E14EBC">
        <w:t>e järgselt peaks kohalikel omavalitsustel tekkima ehituse ja maakasutuse regulatsioonidele tuginevalt võimalus otsustada, kas nad lubavad alla nelja nädala pikkust üürimist ja/või millistes tsoonides on see lubatud/keelatud. Kui omavalitsus leiab, et sekkumiseks ei ole põhjust, ei pea piiranguid rakendama.</w:t>
      </w:r>
      <w:r w:rsidRPr="00E14EBC">
        <w:rPr>
          <w:rStyle w:val="FootnoteReference"/>
        </w:rPr>
        <w:footnoteReference w:id="213"/>
      </w:r>
    </w:p>
    <w:p w14:paraId="3DC4F140" w14:textId="2EF310DA" w:rsidR="002A5B07" w:rsidRPr="00E14EBC" w:rsidRDefault="1C8DE455" w:rsidP="002A5B07">
      <w:pPr>
        <w:jc w:val="both"/>
      </w:pPr>
      <w:r>
        <w:t xml:space="preserve">Vajadus vastava muudatuse järgi on tingitud hetkeolukorrast, kus üleriigiline ühtne lähenemine puudub, aga suuremad linnad, nagu Helsingi, Tampere, Oulu ja Rovaniemi, on turu reguleerimisse kohalikul tasandil juba sekkunud. </w:t>
      </w:r>
      <w:r w:rsidR="0FAEF3D9">
        <w:t xml:space="preserve">Näiteks saavad turgu sekkuda kohalikud ehitusjärelevalve asutused ehitusloa ja tsoneerimise nõuete mittetäitmise </w:t>
      </w:r>
      <w:r w:rsidR="00E96420">
        <w:t>korral</w:t>
      </w:r>
      <w:r w:rsidR="0FAEF3D9">
        <w:t>.</w:t>
      </w:r>
      <w:r w:rsidR="14D73A1C">
        <w:t xml:space="preserve"> </w:t>
      </w:r>
      <w:r w:rsidR="00085E76">
        <w:t>Kehtiva regulatsiooni järgi tuleb e</w:t>
      </w:r>
      <w:r w:rsidR="14D73A1C">
        <w:t>lamu</w:t>
      </w:r>
      <w:r w:rsidR="66FA1755">
        <w:t>t</w:t>
      </w:r>
      <w:r w:rsidR="14D73A1C">
        <w:t xml:space="preserve"> kasutada </w:t>
      </w:r>
      <w:r w:rsidR="6F29D5FA">
        <w:t>projekteerimise</w:t>
      </w:r>
      <w:r w:rsidR="7D964191">
        <w:t xml:space="preserve"> käigus kokkulepitud otstarbel</w:t>
      </w:r>
      <w:r w:rsidR="14D73A1C">
        <w:t xml:space="preserve">. </w:t>
      </w:r>
      <w:r w:rsidR="00085E76">
        <w:t>K</w:t>
      </w:r>
      <w:r w:rsidR="14D73A1C">
        <w:t xml:space="preserve">ui hoone on </w:t>
      </w:r>
      <w:r w:rsidR="7D964191">
        <w:t>määratud</w:t>
      </w:r>
      <w:r w:rsidR="14D73A1C">
        <w:t xml:space="preserve"> elamuks, kuid seda </w:t>
      </w:r>
      <w:r w:rsidR="4EFFFE43">
        <w:t>kasutatakse majutusteenuse pakkumiseks</w:t>
      </w:r>
      <w:r w:rsidR="14D73A1C">
        <w:t xml:space="preserve">, tuleks </w:t>
      </w:r>
      <w:r w:rsidR="2782C9BD">
        <w:t>esitada</w:t>
      </w:r>
      <w:r w:rsidR="14D73A1C">
        <w:t xml:space="preserve"> </w:t>
      </w:r>
      <w:r w:rsidR="00085E76">
        <w:t>e</w:t>
      </w:r>
      <w:r w:rsidR="2782C9BD">
        <w:t>hitusseaduse</w:t>
      </w:r>
      <w:r w:rsidR="14D73A1C">
        <w:t xml:space="preserve"> kohase</w:t>
      </w:r>
      <w:r w:rsidR="00085E76">
        <w:t>lt</w:t>
      </w:r>
      <w:r w:rsidR="14D73A1C">
        <w:t xml:space="preserve"> kasutusotstarbe muutmis</w:t>
      </w:r>
      <w:r w:rsidR="2782C9BD">
        <w:t>e taotlus</w:t>
      </w:r>
      <w:r w:rsidR="14D73A1C">
        <w:t xml:space="preserve">. Praegu toimub </w:t>
      </w:r>
      <w:r w:rsidR="00317439">
        <w:t xml:space="preserve">kasutusotstarbe </w:t>
      </w:r>
      <w:r w:rsidR="14D73A1C">
        <w:t>hindamine iga juhtumi puhul eraldi, mis muudab protsessi ehitusjärelevalveasutuste jaoks aeganõudvaks.</w:t>
      </w:r>
    </w:p>
    <w:p w14:paraId="58E6D7C9" w14:textId="7564A602" w:rsidR="00114DE9" w:rsidRPr="00E14EBC" w:rsidRDefault="1C8DE455" w:rsidP="007E2F5D">
      <w:pPr>
        <w:jc w:val="both"/>
      </w:pPr>
      <w:r w:rsidRPr="00E14EBC">
        <w:t xml:space="preserve">Helsingi ja Tampere töötasid välja kriteeriumid </w:t>
      </w:r>
      <w:r w:rsidR="00317439">
        <w:t xml:space="preserve">lühiajalise </w:t>
      </w:r>
      <w:r w:rsidRPr="00E14EBC">
        <w:t>üüri</w:t>
      </w:r>
      <w:r w:rsidR="00317439">
        <w:t xml:space="preserve"> </w:t>
      </w:r>
      <w:r w:rsidRPr="00E14EBC">
        <w:t>liigituse hindamiseks, vastavalt millele saab nõuda üürileandjatelt tegevusluba. Seejuures keskendutakse just nendele üürileandjatele, kelle jaoks on lühiajali</w:t>
      </w:r>
      <w:r w:rsidR="00B66E0F">
        <w:t xml:space="preserve">se üüri teenus </w:t>
      </w:r>
      <w:r w:rsidRPr="00E14EBC">
        <w:t>äritegevus, mitte ajutine majutuse pakkumine ajaks, mil nt korteri omanik reisil viibib.</w:t>
      </w:r>
      <w:r w:rsidR="0053135B" w:rsidRPr="00E14EBC">
        <w:rPr>
          <w:rStyle w:val="FootnoteReference"/>
        </w:rPr>
        <w:footnoteReference w:id="214"/>
      </w:r>
      <w:r w:rsidR="5C8E8B64" w:rsidRPr="00E14EBC">
        <w:t xml:space="preserve"> </w:t>
      </w:r>
      <w:r w:rsidR="00413F1A">
        <w:t>S</w:t>
      </w:r>
      <w:r w:rsidR="112871D8" w:rsidRPr="00E14EBC">
        <w:t>uuremad linnad, nagu Helsingi, Tampere, Oulu ja Rovaniemi</w:t>
      </w:r>
      <w:r w:rsidR="052A0D07" w:rsidRPr="00E14EBC">
        <w:t>,</w:t>
      </w:r>
      <w:r w:rsidR="112871D8" w:rsidRPr="00E14EBC">
        <w:t xml:space="preserve"> tuginevad </w:t>
      </w:r>
      <w:r w:rsidR="5A5B069F" w:rsidRPr="00E14EBC">
        <w:t xml:space="preserve">enda poolt </w:t>
      </w:r>
      <w:r w:rsidR="62202B7F" w:rsidRPr="00E14EBC">
        <w:t>välja töötatud kriteeriumitele</w:t>
      </w:r>
      <w:r w:rsidR="5FDB9616" w:rsidRPr="00E14EBC">
        <w:t>. Kriteeriumite</w:t>
      </w:r>
      <w:r w:rsidR="2BE6BCBA" w:rsidRPr="00E14EBC">
        <w:t xml:space="preserve"> alusel </w:t>
      </w:r>
      <w:r w:rsidR="5FDB9616" w:rsidRPr="00E14EBC">
        <w:t xml:space="preserve">hinnatakse, kas </w:t>
      </w:r>
      <w:r w:rsidR="2041A015" w:rsidRPr="00E14EBC">
        <w:t>üürile andja</w:t>
      </w:r>
      <w:r w:rsidR="7B2E32D1" w:rsidRPr="00E14EBC">
        <w:t xml:space="preserve"> tegeleb äritegevusega või </w:t>
      </w:r>
      <w:r w:rsidR="585EF32C" w:rsidRPr="00E14EBC">
        <w:t>ajutise majutuse pakku</w:t>
      </w:r>
      <w:r w:rsidR="083C7870" w:rsidRPr="00E14EBC">
        <w:t>misega.</w:t>
      </w:r>
      <w:r w:rsidR="4D37FEB3" w:rsidRPr="00E14EBC">
        <w:t xml:space="preserve"> Vastava järelevalve </w:t>
      </w:r>
      <w:r w:rsidR="4D37FEB3" w:rsidRPr="00E14EBC">
        <w:lastRenderedPageBreak/>
        <w:t xml:space="preserve">korraldab iga </w:t>
      </w:r>
      <w:r w:rsidR="263967CC" w:rsidRPr="00E14EBC">
        <w:t>oma</w:t>
      </w:r>
      <w:r w:rsidR="4D37FEB3" w:rsidRPr="00E14EBC">
        <w:t>valitsus ise.</w:t>
      </w:r>
      <w:r w:rsidR="2D52830A" w:rsidRPr="00E14EBC">
        <w:t xml:space="preserve"> </w:t>
      </w:r>
      <w:r w:rsidR="6B9C8CC8" w:rsidRPr="00E14EBC">
        <w:t>Kri</w:t>
      </w:r>
      <w:r w:rsidR="4422D9A6" w:rsidRPr="00E14EBC">
        <w:t>teeriumitest (Hel</w:t>
      </w:r>
      <w:r w:rsidR="18F19C1A" w:rsidRPr="00E14EBC">
        <w:t>singi linna näitel) täpsemalt</w:t>
      </w:r>
      <w:r w:rsidR="0DCDA5BB" w:rsidRPr="00E14EBC">
        <w:t xml:space="preserve"> selle</w:t>
      </w:r>
      <w:r w:rsidR="18F19C1A" w:rsidRPr="00E14EBC">
        <w:t xml:space="preserve"> </w:t>
      </w:r>
      <w:r w:rsidR="0DCDA5BB" w:rsidRPr="00E14EBC">
        <w:t>alapeatüki lõpus („Helsingi juhindub elamu- ja majutuspinna eristamisel järgnevatest kriteeriumitest“).</w:t>
      </w:r>
    </w:p>
    <w:p w14:paraId="0855162D" w14:textId="31419682" w:rsidR="0053135B" w:rsidRPr="00E14EBC" w:rsidRDefault="1C8DE455" w:rsidP="007E2F5D">
      <w:pPr>
        <w:jc w:val="both"/>
      </w:pPr>
      <w:r w:rsidRPr="00E14EBC">
        <w:t>Suuremate linnade eeskujul koostas Soome ehitusjärelevalve ühing (</w:t>
      </w:r>
      <w:r w:rsidRPr="00C023EF">
        <w:rPr>
          <w:i/>
        </w:rPr>
        <w:t>Rakennustarkastusyhdistys RTY</w:t>
      </w:r>
      <w:r w:rsidRPr="00E14EBC">
        <w:t xml:space="preserve">) </w:t>
      </w:r>
      <w:r w:rsidR="1B2DB2C8">
        <w:t xml:space="preserve">omakorda </w:t>
      </w:r>
      <w:r w:rsidRPr="00E14EBC">
        <w:t>2023. aastal ühtlustatud juhise, millele saavad tugineda ka teised omavalitsused, kui nad soovivad lühiajalise üüri turgu sekkuda.</w:t>
      </w:r>
      <w:r w:rsidR="0053135B" w:rsidRPr="00E14EBC">
        <w:rPr>
          <w:rStyle w:val="FootnoteReference"/>
        </w:rPr>
        <w:footnoteReference w:id="215"/>
      </w:r>
      <w:r w:rsidRPr="00E14EBC">
        <w:t xml:space="preserve"> Sinna alla kuuluvad nii soovitused tegemaks vahet elamu- ja majutuspindadel kui ka nimekiri regulatsioonidest, millest lühiajalisse üüri turgu sekkumisel juhinduda. Need regulatsioonid on:</w:t>
      </w:r>
      <w:r w:rsidR="0053135B" w:rsidRPr="00E14EBC">
        <w:rPr>
          <w:rStyle w:val="FootnoteReference"/>
        </w:rPr>
        <w:footnoteReference w:id="216"/>
      </w:r>
    </w:p>
    <w:p w14:paraId="4340706C" w14:textId="10C89DDA" w:rsidR="0053135B" w:rsidRPr="00E14EBC" w:rsidRDefault="00884683" w:rsidP="007F08F4">
      <w:pPr>
        <w:pStyle w:val="ListParagraph"/>
        <w:numPr>
          <w:ilvl w:val="0"/>
          <w:numId w:val="47"/>
        </w:numPr>
        <w:jc w:val="both"/>
      </w:pPr>
      <w:r w:rsidRPr="00E14EBC">
        <w:t>M</w:t>
      </w:r>
      <w:r w:rsidR="0053135B" w:rsidRPr="00E14EBC">
        <w:t xml:space="preserve">ajutuse ja </w:t>
      </w:r>
      <w:r w:rsidR="003F7AEC" w:rsidRPr="00E14EBC">
        <w:t>toitlustustegevuse</w:t>
      </w:r>
      <w:r w:rsidR="0053135B" w:rsidRPr="00E14EBC">
        <w:t xml:space="preserve"> seadus (308/2006),</w:t>
      </w:r>
    </w:p>
    <w:p w14:paraId="1A25C24B" w14:textId="5C275EC2" w:rsidR="0053135B" w:rsidRPr="00E14EBC" w:rsidRDefault="003F7AEC" w:rsidP="007F08F4">
      <w:pPr>
        <w:pStyle w:val="ListParagraph"/>
        <w:numPr>
          <w:ilvl w:val="0"/>
          <w:numId w:val="47"/>
        </w:numPr>
        <w:jc w:val="both"/>
      </w:pPr>
      <w:r w:rsidRPr="00E14EBC">
        <w:t>Re</w:t>
      </w:r>
      <w:r w:rsidR="0053135B" w:rsidRPr="00E14EBC">
        <w:t>n</w:t>
      </w:r>
      <w:r w:rsidR="00DA1F9E" w:rsidRPr="00E14EBC">
        <w:t>di</w:t>
      </w:r>
      <w:r w:rsidR="0053135B" w:rsidRPr="00E14EBC">
        <w:t>korterite lepingute seadus (481/1995),</w:t>
      </w:r>
    </w:p>
    <w:p w14:paraId="25713FF2" w14:textId="5D17AD98" w:rsidR="001B6283" w:rsidRDefault="0717CD61" w:rsidP="007F08F4">
      <w:pPr>
        <w:pStyle w:val="ListParagraph"/>
        <w:numPr>
          <w:ilvl w:val="0"/>
          <w:numId w:val="47"/>
        </w:numPr>
        <w:jc w:val="both"/>
      </w:pPr>
      <w:r>
        <w:t>M</w:t>
      </w:r>
      <w:r w:rsidR="1C8DE455">
        <w:t>aakasu</w:t>
      </w:r>
      <w:r>
        <w:t>tus</w:t>
      </w:r>
      <w:r w:rsidR="001B6283">
        <w:t>e seadus</w:t>
      </w:r>
      <w:r w:rsidR="00EF4684">
        <w:t xml:space="preserve"> </w:t>
      </w:r>
      <w:r w:rsidR="00373448">
        <w:t>(</w:t>
      </w:r>
      <w:r w:rsidR="00373448" w:rsidRPr="00373448">
        <w:t>1999/132</w:t>
      </w:r>
      <w:r w:rsidR="00373448">
        <w:t>),</w:t>
      </w:r>
    </w:p>
    <w:p w14:paraId="359B6FAB" w14:textId="19A6312F" w:rsidR="0053135B" w:rsidRPr="00E14EBC" w:rsidRDefault="001B6283" w:rsidP="007F08F4">
      <w:pPr>
        <w:pStyle w:val="ListParagraph"/>
        <w:numPr>
          <w:ilvl w:val="0"/>
          <w:numId w:val="47"/>
        </w:numPr>
        <w:jc w:val="both"/>
      </w:pPr>
      <w:r>
        <w:t xml:space="preserve">Ehitusseadus </w:t>
      </w:r>
      <w:r w:rsidR="1C8DE455">
        <w:t>(</w:t>
      </w:r>
      <w:r w:rsidR="00373448" w:rsidRPr="00373448">
        <w:t>752/2023</w:t>
      </w:r>
      <w:r w:rsidR="1C8DE455">
        <w:t>),</w:t>
      </w:r>
    </w:p>
    <w:p w14:paraId="2717C458" w14:textId="0915F5BA" w:rsidR="0053135B" w:rsidRPr="00E14EBC" w:rsidRDefault="003F7AEC" w:rsidP="007F08F4">
      <w:pPr>
        <w:pStyle w:val="ListParagraph"/>
        <w:numPr>
          <w:ilvl w:val="0"/>
          <w:numId w:val="47"/>
        </w:numPr>
        <w:jc w:val="both"/>
      </w:pPr>
      <w:r w:rsidRPr="00E14EBC">
        <w:t>T</w:t>
      </w:r>
      <w:r w:rsidR="0053135B" w:rsidRPr="00E14EBC">
        <w:t>ervisekaitseseadus (763/1994),</w:t>
      </w:r>
    </w:p>
    <w:p w14:paraId="55D439E9" w14:textId="03F8E34F" w:rsidR="0053135B" w:rsidRPr="00E14EBC" w:rsidRDefault="003F7AEC" w:rsidP="007F08F4">
      <w:pPr>
        <w:pStyle w:val="ListParagraph"/>
        <w:numPr>
          <w:ilvl w:val="0"/>
          <w:numId w:val="47"/>
        </w:numPr>
        <w:jc w:val="both"/>
      </w:pPr>
      <w:r w:rsidRPr="00E14EBC">
        <w:t>Päästeseadus</w:t>
      </w:r>
      <w:r w:rsidR="0053135B" w:rsidRPr="00E14EBC">
        <w:t xml:space="preserve"> (379/2011),</w:t>
      </w:r>
    </w:p>
    <w:p w14:paraId="49BE8699" w14:textId="6512E450" w:rsidR="0053135B" w:rsidRPr="00E14EBC" w:rsidRDefault="007D1BD2" w:rsidP="007F08F4">
      <w:pPr>
        <w:pStyle w:val="ListParagraph"/>
        <w:numPr>
          <w:ilvl w:val="0"/>
          <w:numId w:val="47"/>
        </w:numPr>
        <w:jc w:val="both"/>
      </w:pPr>
      <w:r w:rsidRPr="00E14EBC">
        <w:t>Valitsuse määrus päästeteenuste kohta</w:t>
      </w:r>
      <w:r w:rsidR="0053135B" w:rsidRPr="00E14EBC">
        <w:t xml:space="preserve"> (407/2011),</w:t>
      </w:r>
    </w:p>
    <w:p w14:paraId="2D3E6517" w14:textId="4079C88F" w:rsidR="0053135B" w:rsidRPr="00E14EBC" w:rsidRDefault="00EB440A" w:rsidP="007F08F4">
      <w:pPr>
        <w:pStyle w:val="ListParagraph"/>
        <w:numPr>
          <w:ilvl w:val="0"/>
          <w:numId w:val="47"/>
        </w:numPr>
        <w:jc w:val="both"/>
      </w:pPr>
      <w:r w:rsidRPr="00E14EBC">
        <w:t>Eluasemeühinguseadus</w:t>
      </w:r>
      <w:r w:rsidR="0053135B" w:rsidRPr="00E14EBC">
        <w:t xml:space="preserve"> (1599/2009),</w:t>
      </w:r>
    </w:p>
    <w:p w14:paraId="43031058" w14:textId="4BF36554" w:rsidR="00BF4333" w:rsidRPr="00E14EBC" w:rsidRDefault="00BF4333" w:rsidP="007F08F4">
      <w:pPr>
        <w:pStyle w:val="ListParagraph"/>
        <w:numPr>
          <w:ilvl w:val="0"/>
          <w:numId w:val="47"/>
        </w:numPr>
        <w:jc w:val="both"/>
      </w:pPr>
      <w:r w:rsidRPr="00E14EBC">
        <w:t>Keskkonnaministeeriumi määrus elu-, majutus- ja tööruumide kohta (YmA 1008/2017)</w:t>
      </w:r>
      <w:r w:rsidR="009F26B6">
        <w:t>,</w:t>
      </w:r>
    </w:p>
    <w:p w14:paraId="42E33D2D" w14:textId="64799A12" w:rsidR="00691C66" w:rsidRPr="00E14EBC" w:rsidRDefault="00BF4333" w:rsidP="007F08F4">
      <w:pPr>
        <w:pStyle w:val="ListParagraph"/>
        <w:numPr>
          <w:ilvl w:val="0"/>
          <w:numId w:val="47"/>
        </w:numPr>
        <w:jc w:val="both"/>
      </w:pPr>
      <w:r w:rsidRPr="00E14EBC">
        <w:t>Keskkonnaministeeriumi määrus ehitiste tuleohutuse kohta (YmA 848/2017)</w:t>
      </w:r>
      <w:r w:rsidR="009F26B6">
        <w:t>,</w:t>
      </w:r>
    </w:p>
    <w:p w14:paraId="482D4E82" w14:textId="77777777" w:rsidR="0053135B" w:rsidRPr="00E14EBC" w:rsidRDefault="0053135B" w:rsidP="007F08F4">
      <w:pPr>
        <w:pStyle w:val="ListParagraph"/>
        <w:numPr>
          <w:ilvl w:val="0"/>
          <w:numId w:val="47"/>
        </w:numPr>
        <w:jc w:val="both"/>
      </w:pPr>
      <w:r w:rsidRPr="00E14EBC">
        <w:t>kohtulahendid (riigikohtu otsused 2014:143, 2021:76 ja 2021:77 ning Helsingi halduskohtu otsus 15/2023).</w:t>
      </w:r>
    </w:p>
    <w:p w14:paraId="0D299A83" w14:textId="24BEDFE2" w:rsidR="0053135B" w:rsidRPr="00E14EBC" w:rsidRDefault="1C8DE455" w:rsidP="007E2F5D">
      <w:pPr>
        <w:jc w:val="both"/>
      </w:pPr>
      <w:r w:rsidRPr="00E14EBC">
        <w:t xml:space="preserve">Helsingi lähtub enda poolt välja töötatud kriteeriumitest, mida uuendati viimati 2024. aastal. Kriteeriumite õiguslik alus </w:t>
      </w:r>
      <w:r w:rsidR="25ED1A2E" w:rsidRPr="00E14EBC">
        <w:t xml:space="preserve">tuleneb </w:t>
      </w:r>
      <w:r w:rsidRPr="00E14EBC">
        <w:t>omakorda kohtupraktikast,</w:t>
      </w:r>
      <w:r w:rsidR="0053135B" w:rsidRPr="00E14EBC">
        <w:rPr>
          <w:rStyle w:val="FootnoteReference"/>
        </w:rPr>
        <w:footnoteReference w:id="217"/>
      </w:r>
      <w:r w:rsidRPr="00E14EBC">
        <w:t xml:space="preserve"> täpsemalt kõrgeima halduskohtu otsusest 2024:75 15.05.2024/1382, mille kohaselt ei tohi vaidlusaluses kvartalis osutada majutusteenust, kuna algses detailplaneeringus olid sinna kavandatud elamupinnad.</w:t>
      </w:r>
      <w:r w:rsidR="0053135B" w:rsidRPr="00E14EBC">
        <w:rPr>
          <w:rStyle w:val="FootnoteReference"/>
        </w:rPr>
        <w:footnoteReference w:id="218"/>
      </w:r>
      <w:r w:rsidRPr="00E14EBC">
        <w:t xml:space="preserve"> Vaidlus sai alguse 2013. aastal majutusettevõtte hagist Kotka linnakeskkonna komisjoni vastu, kes keelas ettevõttel lühiajalise üüriteenuse osutamise Seurakuja 6 kvartalis.</w:t>
      </w:r>
      <w:r w:rsidR="0053135B" w:rsidRPr="00E14EBC">
        <w:rPr>
          <w:rStyle w:val="FootnoteReference"/>
        </w:rPr>
        <w:footnoteReference w:id="219"/>
      </w:r>
      <w:r w:rsidRPr="00E14EBC">
        <w:t xml:space="preserve"> 2024. aasta kohtuotsus tugineb maakasutuse ja ehituse seadusele.</w:t>
      </w:r>
      <w:r w:rsidR="0053135B" w:rsidRPr="00E14EBC">
        <w:rPr>
          <w:rStyle w:val="FootnoteReference"/>
        </w:rPr>
        <w:footnoteReference w:id="220"/>
      </w:r>
    </w:p>
    <w:p w14:paraId="1019396F" w14:textId="77777777" w:rsidR="0053135B" w:rsidRPr="00E14EBC" w:rsidRDefault="0053135B" w:rsidP="007E2F5D">
      <w:pPr>
        <w:jc w:val="both"/>
      </w:pPr>
      <w:r w:rsidRPr="00E14EBC">
        <w:t>Helsingi juhindub elamu- ja majutuspinna eristamisel järgnevatest kriteeriumitest.</w:t>
      </w:r>
      <w:r w:rsidRPr="00E14EBC">
        <w:rPr>
          <w:rStyle w:val="FootnoteReference"/>
        </w:rPr>
        <w:footnoteReference w:id="221"/>
      </w:r>
      <w:r w:rsidRPr="00E14EBC">
        <w:t xml:space="preserve"> </w:t>
      </w:r>
    </w:p>
    <w:p w14:paraId="32BD0063" w14:textId="77777777" w:rsidR="0053135B" w:rsidRPr="00E14EBC" w:rsidRDefault="0053135B" w:rsidP="007F08F4">
      <w:pPr>
        <w:pStyle w:val="ListParagraph"/>
        <w:numPr>
          <w:ilvl w:val="0"/>
          <w:numId w:val="48"/>
        </w:numPr>
        <w:jc w:val="both"/>
      </w:pPr>
      <w:r w:rsidRPr="00E14EBC">
        <w:lastRenderedPageBreak/>
        <w:t>Omanik on andnud järelevalveorganile (</w:t>
      </w:r>
      <w:r w:rsidRPr="00C023EF">
        <w:rPr>
          <w:i/>
        </w:rPr>
        <w:t>Helsingin Kaupunkiympäristön toimiala</w:t>
      </w:r>
      <w:r w:rsidRPr="00E14EBC">
        <w:t>) teada, et ta kasutab elamupinda majutusteenuse osutamiseks. Pakutav pind vastab tervisekaitse seaduse nõuetele.</w:t>
      </w:r>
    </w:p>
    <w:p w14:paraId="17C49E20" w14:textId="77777777" w:rsidR="0053135B" w:rsidRPr="00E14EBC" w:rsidRDefault="0053135B" w:rsidP="007F08F4">
      <w:pPr>
        <w:pStyle w:val="ListParagraph"/>
        <w:numPr>
          <w:ilvl w:val="0"/>
          <w:numId w:val="48"/>
        </w:numPr>
        <w:jc w:val="both"/>
      </w:pPr>
      <w:r w:rsidRPr="00E14EBC">
        <w:t>Elamupinnale pole kedagi sisse kirjutatud.</w:t>
      </w:r>
    </w:p>
    <w:p w14:paraId="6CF2E207" w14:textId="77777777" w:rsidR="0053135B" w:rsidRPr="00E14EBC" w:rsidRDefault="0053135B" w:rsidP="007F08F4">
      <w:pPr>
        <w:pStyle w:val="ListParagraph"/>
        <w:numPr>
          <w:ilvl w:val="0"/>
          <w:numId w:val="48"/>
        </w:numPr>
        <w:jc w:val="both"/>
      </w:pPr>
      <w:r w:rsidRPr="00E14EBC">
        <w:t>Pinnaga on seotud majutusteenuse leping.</w:t>
      </w:r>
    </w:p>
    <w:p w14:paraId="3CD60D6C" w14:textId="77777777" w:rsidR="0053135B" w:rsidRPr="00E14EBC" w:rsidRDefault="0053135B" w:rsidP="007F08F4">
      <w:pPr>
        <w:pStyle w:val="ListParagraph"/>
        <w:numPr>
          <w:ilvl w:val="0"/>
          <w:numId w:val="48"/>
        </w:numPr>
        <w:jc w:val="both"/>
      </w:pPr>
      <w:r w:rsidRPr="00E14EBC">
        <w:t>Ruumid on sisustatud.</w:t>
      </w:r>
    </w:p>
    <w:p w14:paraId="7ACDAAD8" w14:textId="77777777" w:rsidR="0053135B" w:rsidRPr="00E14EBC" w:rsidRDefault="0053135B" w:rsidP="007F08F4">
      <w:pPr>
        <w:pStyle w:val="ListParagraph"/>
        <w:numPr>
          <w:ilvl w:val="0"/>
          <w:numId w:val="48"/>
        </w:numPr>
        <w:jc w:val="both"/>
      </w:pPr>
      <w:r w:rsidRPr="00E14EBC">
        <w:t>Majutust pakutakse peamiselt lühikeseks ajaperioodiks.</w:t>
      </w:r>
    </w:p>
    <w:p w14:paraId="3F200CAA" w14:textId="77777777" w:rsidR="0053135B" w:rsidRPr="00E14EBC" w:rsidRDefault="0053135B" w:rsidP="007F08F4">
      <w:pPr>
        <w:pStyle w:val="ListParagraph"/>
        <w:numPr>
          <w:ilvl w:val="0"/>
          <w:numId w:val="48"/>
        </w:numPr>
        <w:jc w:val="both"/>
      </w:pPr>
      <w:r w:rsidRPr="00E14EBC">
        <w:t>Rendi eest küsitatavat hinda arvestatakse päeva või nädala lõikes ja hinnas sisalduvad ka kommunaalteenused ning internet.</w:t>
      </w:r>
    </w:p>
    <w:p w14:paraId="4B92BAB0" w14:textId="2303783B" w:rsidR="0053135B" w:rsidRPr="00E14EBC" w:rsidRDefault="0053135B" w:rsidP="007F08F4">
      <w:pPr>
        <w:pStyle w:val="ListParagraph"/>
        <w:numPr>
          <w:ilvl w:val="0"/>
          <w:numId w:val="48"/>
        </w:numPr>
        <w:jc w:val="both"/>
      </w:pPr>
      <w:r w:rsidRPr="00E14EBC">
        <w:t>Lisaks majutusele osutab pakkuja hotelli tüüpi teenuseid, nagu näiteks hommikusöök, voodite tegemine, hüg</w:t>
      </w:r>
      <w:r w:rsidR="002102F8">
        <w:t>i</w:t>
      </w:r>
      <w:r w:rsidRPr="00E14EBC">
        <w:t>eenitarbed, koristusteenused vms.</w:t>
      </w:r>
    </w:p>
    <w:p w14:paraId="5710BF1D" w14:textId="77777777" w:rsidR="0053135B" w:rsidRPr="00E14EBC" w:rsidRDefault="0053135B" w:rsidP="007F08F4">
      <w:pPr>
        <w:pStyle w:val="ListParagraph"/>
        <w:numPr>
          <w:ilvl w:val="0"/>
          <w:numId w:val="48"/>
        </w:numPr>
      </w:pPr>
      <w:r w:rsidRPr="00E14EBC">
        <w:t>Korterit reklaamitakse läbi agentuuri.</w:t>
      </w:r>
    </w:p>
    <w:p w14:paraId="388098D2" w14:textId="77777777" w:rsidR="0053135B" w:rsidRPr="00E14EBC" w:rsidRDefault="0053135B" w:rsidP="007F08F4">
      <w:pPr>
        <w:pStyle w:val="ListParagraph"/>
        <w:numPr>
          <w:ilvl w:val="0"/>
          <w:numId w:val="48"/>
        </w:numPr>
      </w:pPr>
      <w:r w:rsidRPr="00E14EBC">
        <w:t>Korterit reklaamitakse kui majutuspinda.</w:t>
      </w:r>
    </w:p>
    <w:p w14:paraId="4CAF9612" w14:textId="5B3B079D" w:rsidR="00EA3F5A" w:rsidRPr="00E14EBC" w:rsidRDefault="1C8DE455" w:rsidP="007F08F4">
      <w:pPr>
        <w:pStyle w:val="ListParagraph"/>
        <w:numPr>
          <w:ilvl w:val="0"/>
          <w:numId w:val="48"/>
        </w:numPr>
      </w:pPr>
      <w:r>
        <w:t xml:space="preserve">Vastupidiselt tavalisele üürilepingule on </w:t>
      </w:r>
      <w:r w:rsidR="009F68B1">
        <w:t>kü</w:t>
      </w:r>
      <w:r w:rsidR="00AC4E4B">
        <w:t>lastaja</w:t>
      </w:r>
      <w:r w:rsidR="009F68B1">
        <w:t xml:space="preserve"> </w:t>
      </w:r>
      <w:r>
        <w:t xml:space="preserve">õigused piiratud. Nt </w:t>
      </w:r>
      <w:r w:rsidR="00AC4E4B">
        <w:t xml:space="preserve">külastajal </w:t>
      </w:r>
      <w:r>
        <w:t>puudub ligipääs panipaika või keldrisse.</w:t>
      </w:r>
    </w:p>
    <w:p w14:paraId="4458BC38" w14:textId="4266943D" w:rsidR="0053135B" w:rsidRPr="00FF5F19" w:rsidRDefault="1C8DE455" w:rsidP="288A3578">
      <w:pPr>
        <w:pStyle w:val="Heading5"/>
        <w:numPr>
          <w:ilvl w:val="0"/>
          <w:numId w:val="0"/>
        </w:numPr>
        <w:ind w:left="1077" w:hanging="1077"/>
        <w:rPr>
          <w:rFonts w:hint="eastAsia"/>
          <w:b/>
          <w:bCs/>
          <w:color w:val="auto"/>
        </w:rPr>
      </w:pPr>
      <w:bookmarkStart w:id="183" w:name="_Toc188273980"/>
      <w:r w:rsidRPr="00FF5F19">
        <w:rPr>
          <w:rFonts w:hint="eastAsia"/>
          <w:b/>
          <w:bCs/>
          <w:color w:val="auto"/>
        </w:rPr>
        <w:t>Üürituruga seotud andmete kogumine ja metoodika</w:t>
      </w:r>
      <w:bookmarkEnd w:id="183"/>
    </w:p>
    <w:p w14:paraId="1B398FCE" w14:textId="029FFDC9" w:rsidR="0053135B" w:rsidRPr="00E14EBC" w:rsidRDefault="0053135B" w:rsidP="009B6056">
      <w:pPr>
        <w:jc w:val="both"/>
      </w:pPr>
      <w:r w:rsidRPr="00E14EBC">
        <w:t>Andmete keskne kogumine toimub Soome Maksuameti (</w:t>
      </w:r>
      <w:r w:rsidRPr="00C023EF">
        <w:rPr>
          <w:i/>
        </w:rPr>
        <w:t>Verohallinto</w:t>
      </w:r>
      <w:r w:rsidRPr="00E14EBC">
        <w:t>)</w:t>
      </w:r>
      <w:r w:rsidR="000408A5">
        <w:t xml:space="preserve"> kaudu</w:t>
      </w:r>
      <w:r w:rsidRPr="00E14EBC">
        <w:t>, kuhu koonduvad isikustatud kujul lühiajalise üüri turult laekuvad käibemaksu andmed.</w:t>
      </w:r>
      <w:r w:rsidRPr="00E14EBC">
        <w:rPr>
          <w:rStyle w:val="FootnoteReference"/>
        </w:rPr>
        <w:footnoteReference w:id="222"/>
      </w:r>
      <w:r w:rsidRPr="00E14EBC">
        <w:t xml:space="preserve"> Lisaks koguvad täiendavaid andmeid need omavalitsused, kes soovivad lühiajalise üüri turgu enda haldusüksuse piires reguleerida. </w:t>
      </w:r>
    </w:p>
    <w:p w14:paraId="0A4E950D" w14:textId="44CB4674" w:rsidR="0053135B" w:rsidRPr="00E14EBC" w:rsidRDefault="1C8DE455" w:rsidP="009B6056">
      <w:pPr>
        <w:jc w:val="both"/>
      </w:pPr>
      <w:r w:rsidRPr="00E14EBC">
        <w:t>Helsingi näitel on nendeks linnavalitsuse allüksused ja politsei</w:t>
      </w:r>
      <w:r w:rsidR="59C5A60A" w:rsidRPr="00E14EBC">
        <w:t xml:space="preserve">. </w:t>
      </w:r>
      <w:r w:rsidRPr="00E14EBC">
        <w:t xml:space="preserve">Küll aga on andmete esitamise kohuslased vaid need lühiajalise üüri turul tegutsevad pakkujad, kelle puhul on tegu äritegevusega. Andmed tuleb esitada omanikel endil ja andmete esitamata jätmine on karistatav. Äritegevus tähendab, et lühiajaline väljaüürimine on regulaarne praktika ning liigitub eelmises alapeatükis nimetatud kriteeriumite alla. Kui korteri omanik on näiteks ise korterisse registreeritud ega üüri oma korterit </w:t>
      </w:r>
      <w:r w:rsidR="0086666F">
        <w:t>majutuseteenuse os</w:t>
      </w:r>
      <w:r w:rsidR="00DC6BC1">
        <w:t>u</w:t>
      </w:r>
      <w:r w:rsidR="0086666F">
        <w:t>tamiseks</w:t>
      </w:r>
      <w:r w:rsidRPr="00E14EBC">
        <w:t xml:space="preserve"> regulaarselt välja, ei pea ta oma tegevusest teada andma ning talle ei laiene majutusteenuse regulatsioonid.</w:t>
      </w:r>
      <w:r w:rsidR="0053135B" w:rsidRPr="00E14EBC">
        <w:rPr>
          <w:rStyle w:val="FootnoteReference"/>
        </w:rPr>
        <w:footnoteReference w:id="223"/>
      </w:r>
    </w:p>
    <w:p w14:paraId="03B8C494" w14:textId="77777777" w:rsidR="0053135B" w:rsidRPr="00E14EBC" w:rsidRDefault="0053135B" w:rsidP="009B6056">
      <w:pPr>
        <w:jc w:val="both"/>
      </w:pPr>
      <w:r w:rsidRPr="00E14EBC">
        <w:t>Helsingi linnavalitsuse hoonete järelevalve teenuste eest vastutav üksus väljastab vastavaid lubasid, kui omanik soovib kujundada tervest eluhoonest majutusteenust pakkuvat hoonet. Hoone muutmine eluhoonest ärilisel otstarbel toimivaks majutusasutuseks tähendab seadusandlikult, et hoone senine funktsioon muutub olulisel määral. Seega tuleb omanikul lühiajalise üüri teenuse osutamiseks taotleda eraldi luba, et hoone funktsiooni muuta. Vastasel juhul on linnavalitsusel õigus omaniku tegevus keelata ning teda trahvida vastavalt maa kasutamise ja ehituse seaduse trahvimääradele. Hoone funktsiooni muutmine tähendab ühtlasi, et hoonele hakkavad kehtima rangemad tuleohutuse nõuded.</w:t>
      </w:r>
      <w:r w:rsidRPr="00E14EBC">
        <w:rPr>
          <w:rStyle w:val="FootnoteReference"/>
        </w:rPr>
        <w:footnoteReference w:id="224"/>
      </w:r>
    </w:p>
    <w:p w14:paraId="625A25B9" w14:textId="2AABE250" w:rsidR="0053135B" w:rsidRPr="00E14EBC" w:rsidRDefault="1C8DE455" w:rsidP="009B6056">
      <w:pPr>
        <w:jc w:val="both"/>
      </w:pPr>
      <w:r w:rsidRPr="00E14EBC">
        <w:t xml:space="preserve">Kui küsimus puudutab üksikut või eraldiseisvaid kortereid, mida soovitakse ärilisel otstarbel lühiajaliselt välja üürida, tuleb omanikul anda endast teada keskkonnateenustega tegelevale </w:t>
      </w:r>
      <w:r w:rsidRPr="00E14EBC">
        <w:lastRenderedPageBreak/>
        <w:t>allüksusele, esitades selleks vastav</w:t>
      </w:r>
      <w:r w:rsidR="3D3F77BA" w:rsidRPr="00E14EBC">
        <w:t>a</w:t>
      </w:r>
      <w:r w:rsidRPr="00E14EBC">
        <w:t xml:space="preserve"> taotlus</w:t>
      </w:r>
      <w:r w:rsidR="6335712D" w:rsidRPr="00E14EBC">
        <w:t>e</w:t>
      </w:r>
      <w:r w:rsidRPr="00E14EBC">
        <w:t>. Taotlus peab sisaldama tegevuse kirjeldust, korterite täpseid aadresse ja asukohti (sh mis korrusel jms), ventilatsioonisüsteemi puudutavat teavet ja inimeste mahutavust. Kui omanik soovib majutusteenuse osutamise lõpetada, tuleb tal sellest samuti teada anda. Helsingi keskkonnateenustega tegeleval üksusel lasub lühiajalise üüri turu suhtes järelevalve funktsioon, kes lähtub oma tegevustes majutusteenuse osutajatele kohalduvast tervisekaitse seadusest. Järelevalvet teostatakse etteplaneeritud kohapealsete kontrollidena, vastavalt üksuse sisemisele riskianalüüsile ja laekunud teadetele.</w:t>
      </w:r>
      <w:r w:rsidR="0053135B" w:rsidRPr="00E14EBC">
        <w:rPr>
          <w:rStyle w:val="FootnoteReference"/>
        </w:rPr>
        <w:footnoteReference w:id="225"/>
      </w:r>
    </w:p>
    <w:p w14:paraId="376620BF" w14:textId="102D48BA" w:rsidR="0053135B" w:rsidRPr="00E14EBC" w:rsidRDefault="1C8DE455" w:rsidP="009B6056">
      <w:pPr>
        <w:jc w:val="both"/>
      </w:pPr>
      <w:r w:rsidRPr="00E14EBC">
        <w:t>Helsingis peab lühiajalise üüri teenust (ärilises mõttes) pakkuv korteri omanik ühtlasi teavitama politseid</w:t>
      </w:r>
      <w:r w:rsidR="59C5A60A" w:rsidRPr="00E14EBC">
        <w:t xml:space="preserve"> (lähtuvalt majutus</w:t>
      </w:r>
      <w:r w:rsidR="7B781323" w:rsidRPr="00E14EBC">
        <w:t>-</w:t>
      </w:r>
      <w:r w:rsidR="59C5A60A" w:rsidRPr="00E14EBC">
        <w:t xml:space="preserve"> ja toitlustusasutustele kehtivatest nõuetest)</w:t>
      </w:r>
      <w:r w:rsidRPr="00E14EBC">
        <w:t>,</w:t>
      </w:r>
      <w:r w:rsidR="003F4199" w:rsidRPr="00E14EBC">
        <w:rPr>
          <w:rStyle w:val="FootnoteReference"/>
        </w:rPr>
        <w:footnoteReference w:id="226"/>
      </w:r>
      <w:r w:rsidRPr="00E14EBC">
        <w:t xml:space="preserve"> kes kogub majutusteenuse pakkujatelt andmeid turistide kohta. Kui üürilisega seoses esineb probleeme, tuleb omanikul sellest teavitada nii politseid kui ka kortermaja ühistut või haldajat.</w:t>
      </w:r>
      <w:r w:rsidR="0053135B" w:rsidRPr="00E14EBC">
        <w:rPr>
          <w:rStyle w:val="FootnoteReference"/>
        </w:rPr>
        <w:footnoteReference w:id="227"/>
      </w:r>
    </w:p>
    <w:p w14:paraId="6403007F" w14:textId="14D72C1B" w:rsidR="0053135B" w:rsidRPr="005D080C" w:rsidRDefault="1C8DE455" w:rsidP="288A3578">
      <w:pPr>
        <w:pStyle w:val="Heading5"/>
        <w:numPr>
          <w:ilvl w:val="0"/>
          <w:numId w:val="0"/>
        </w:numPr>
        <w:ind w:left="1077" w:hanging="1077"/>
        <w:jc w:val="both"/>
        <w:rPr>
          <w:rFonts w:hint="eastAsia"/>
          <w:b/>
          <w:bCs/>
          <w:color w:val="auto"/>
        </w:rPr>
      </w:pPr>
      <w:bookmarkStart w:id="184" w:name="_Toc188273981"/>
      <w:r w:rsidRPr="005D080C">
        <w:rPr>
          <w:rFonts w:hint="eastAsia"/>
          <w:b/>
          <w:bCs/>
          <w:color w:val="auto"/>
        </w:rPr>
        <w:t>Sotsiaal-majanduslik vaade</w:t>
      </w:r>
      <w:bookmarkEnd w:id="184"/>
    </w:p>
    <w:p w14:paraId="6237026B" w14:textId="77777777" w:rsidR="0053135B" w:rsidRPr="00E14EBC" w:rsidRDefault="0053135B" w:rsidP="009B6056">
      <w:pPr>
        <w:jc w:val="both"/>
      </w:pPr>
      <w:r w:rsidRPr="00E14EBC">
        <w:t>Lühiajalise üüri teenuse populaarsus on tekitanud segadust nii majutusteenuse pakkujate kui ka kohalike omavalitsuste jaoks. Hetkel kehtivad regulatsioonid ei ole disainitud lühiajalise üüri turgu arvestavalt, mistõttu on turgu sekkutud juhtumi põhiselt. Ebaselgus on toonud kaasa üksjagu hagisid, mille lahenditele suuresti kogu reguleerimine täna põhineb. Olukorra parandamiseks on võetud 2023. aasta valitsuse tööplaanis eesmärgiks, et senine õigusraamistik viiakse vastavusse muutunud olukorraga.</w:t>
      </w:r>
      <w:r w:rsidRPr="00E14EBC">
        <w:rPr>
          <w:rStyle w:val="FootnoteReference"/>
        </w:rPr>
        <w:footnoteReference w:id="228"/>
      </w:r>
    </w:p>
    <w:p w14:paraId="7364AD7E" w14:textId="77777777" w:rsidR="0053135B" w:rsidRPr="00E14EBC" w:rsidRDefault="0053135B" w:rsidP="009B6056">
      <w:pPr>
        <w:jc w:val="both"/>
      </w:pPr>
      <w:r w:rsidRPr="00E14EBC">
        <w:t>Arvestades, et omavalitsused on asunud lühiajalise üüri turgu reguleerima ja esialgsed meetodid selleks on välja töötatud, ei erine valitsuse plaan oluliselt tänaseks välja kujunenud lähenemisest. Reguleerimine jääb tõenäoliselt kohalike omavalitsuste otsustada ning säilitab senise vajaduspõhisuse.</w:t>
      </w:r>
      <w:r w:rsidRPr="00E14EBC">
        <w:rPr>
          <w:rStyle w:val="FootnoteReference"/>
        </w:rPr>
        <w:footnoteReference w:id="229"/>
      </w:r>
    </w:p>
    <w:p w14:paraId="7860A6D1" w14:textId="516CD43B" w:rsidR="0053135B" w:rsidRPr="00E14EBC" w:rsidRDefault="0053135B" w:rsidP="009B6056">
      <w:pPr>
        <w:jc w:val="both"/>
      </w:pPr>
      <w:r w:rsidRPr="00E14EBC">
        <w:t>Lühiajalise üüri turgu on Põhjamaades vähe analüüsitud. Soome kohta on läbi viidud üksikuid uuringuid, nende hulgas Airbnb mõju hotelliturismile ja AirDNA andmetel põhinev Helsingi turu uuring.</w:t>
      </w:r>
      <w:r w:rsidR="00BB2DC4" w:rsidRPr="00E14EBC">
        <w:rPr>
          <w:rStyle w:val="FootnoteReference"/>
        </w:rPr>
        <w:footnoteReference w:id="230"/>
      </w:r>
      <w:r w:rsidRPr="00E14EBC">
        <w:t xml:space="preserve"> </w:t>
      </w:r>
      <w:r w:rsidR="06473235" w:rsidRPr="00E14EBC">
        <w:t>Kuigi</w:t>
      </w:r>
      <w:r w:rsidRPr="00E14EBC">
        <w:t xml:space="preserve"> lühiajalise üüri turgu ei peeta Helsingis sama problemaatiliseks kui näiteks Barcelonas või Lissabonis, moodustas see 2017. aasta andmetel siiski ligi 1/5 Helsingi majutussektorist, omades sealjuures kasvavat trendi.</w:t>
      </w:r>
      <w:r w:rsidRPr="00E14EBC">
        <w:rPr>
          <w:rStyle w:val="FootnoteReference"/>
        </w:rPr>
        <w:footnoteReference w:id="231"/>
      </w:r>
      <w:r w:rsidR="0090710C" w:rsidRPr="00E14EBC">
        <w:t xml:space="preserve"> Soome Keskkonnaministeeriumi hinnangul mõningane mõju lühiajalise üüri teenustel on</w:t>
      </w:r>
      <w:r w:rsidR="00C60661" w:rsidRPr="00E14EBC">
        <w:t xml:space="preserve">, </w:t>
      </w:r>
      <w:r w:rsidR="001631F8" w:rsidRPr="00E14EBC">
        <w:t xml:space="preserve">näiteks Rovaniemi piirkonnas eluasemete </w:t>
      </w:r>
      <w:r w:rsidR="001631F8" w:rsidRPr="00E14EBC">
        <w:lastRenderedPageBreak/>
        <w:t>kättesaadavusele.</w:t>
      </w:r>
      <w:r w:rsidR="0090710C" w:rsidRPr="00E14EBC">
        <w:t xml:space="preserve"> </w:t>
      </w:r>
      <w:r w:rsidR="001631F8" w:rsidRPr="00E14EBC">
        <w:t xml:space="preserve">Küll </w:t>
      </w:r>
      <w:r w:rsidR="0090710C" w:rsidRPr="00E14EBC">
        <w:t>aga</w:t>
      </w:r>
      <w:r w:rsidR="001631F8" w:rsidRPr="00E14EBC">
        <w:t xml:space="preserve"> pole</w:t>
      </w:r>
      <w:r w:rsidR="0090710C" w:rsidRPr="00E14EBC">
        <w:t xml:space="preserve"> </w:t>
      </w:r>
      <w:r w:rsidR="00D2453E" w:rsidRPr="00E14EBC">
        <w:t>teemat piisavalt</w:t>
      </w:r>
      <w:r w:rsidR="00414EBA" w:rsidRPr="00E14EBC">
        <w:t xml:space="preserve"> uuritud</w:t>
      </w:r>
      <w:r w:rsidR="00D2453E" w:rsidRPr="00E14EBC">
        <w:t xml:space="preserve">, et </w:t>
      </w:r>
      <w:r w:rsidR="008C747F" w:rsidRPr="00E14EBC">
        <w:t xml:space="preserve">nad </w:t>
      </w:r>
      <w:r w:rsidR="00E74A6C" w:rsidRPr="00E14EBC">
        <w:t>saaks</w:t>
      </w:r>
      <w:r w:rsidR="00767FCD" w:rsidRPr="00E14EBC">
        <w:t xml:space="preserve">id </w:t>
      </w:r>
      <w:r w:rsidR="00472246" w:rsidRPr="00E14EBC">
        <w:t xml:space="preserve">mõju osas </w:t>
      </w:r>
      <w:r w:rsidR="00FF3825" w:rsidRPr="00E14EBC">
        <w:t xml:space="preserve">põhjapanevaid järeldusi </w:t>
      </w:r>
      <w:r w:rsidR="00A1255E" w:rsidRPr="00E14EBC">
        <w:t>teha.</w:t>
      </w:r>
    </w:p>
    <w:p w14:paraId="2EEC9D6F" w14:textId="35DFE242" w:rsidR="0053135B" w:rsidRPr="00E14EBC" w:rsidRDefault="0053135B" w:rsidP="009B6056">
      <w:pPr>
        <w:jc w:val="both"/>
      </w:pPr>
      <w:r w:rsidRPr="00E14EBC">
        <w:t>Renditulu on Soomes maksustatav ja selle maksumäärad on vastavalt tulude arvestusele kas 30% (kui aastased renditulud jäävad alla 30 000 euro) või 34%.</w:t>
      </w:r>
      <w:r w:rsidRPr="00E14EBC">
        <w:rPr>
          <w:rStyle w:val="FootnoteReference"/>
        </w:rPr>
        <w:footnoteReference w:id="232"/>
      </w:r>
      <w:r w:rsidRPr="00E14EBC">
        <w:t xml:space="preserve"> Lühiajalise üüri teenuse populaarsuse kasvust tingitud majanduslikku mõju ning mõju gentrifikatsioonile on keeruline hinnata, kuna probleemipüstitus on võrdlemisi uus. Näiteks, enne 2020. aastat ei tajunud hotellid Airbnb-s märkimisväärset konkurenti ja kohalikud omavalitsused lähenesid teemale äraootava seisukohaga.</w:t>
      </w:r>
      <w:r w:rsidRPr="00E14EBC">
        <w:rPr>
          <w:rStyle w:val="FootnoteReference"/>
        </w:rPr>
        <w:footnoteReference w:id="233"/>
      </w:r>
      <w:r w:rsidRPr="00E14EBC">
        <w:t xml:space="preserve"> </w:t>
      </w:r>
      <w:r w:rsidR="00F05A8F">
        <w:t>P</w:t>
      </w:r>
      <w:r w:rsidRPr="00E14EBC">
        <w:t>eale COVID-19 pandeemiat on omavalitsuste tasandil hakatud lühiajalise üüri turgu sekkuma ning seda paljuski majanduslikel kaalutlustel, kuna lühiajalise üüri teenusest on saanud uus ettevõtlusvorm.</w:t>
      </w:r>
      <w:r w:rsidRPr="00E14EBC">
        <w:rPr>
          <w:rStyle w:val="FootnoteReference"/>
        </w:rPr>
        <w:footnoteReference w:id="234"/>
      </w:r>
    </w:p>
    <w:p w14:paraId="46606864" w14:textId="5929A992" w:rsidR="0053135B" w:rsidRPr="00E14EBC" w:rsidRDefault="0053135B" w:rsidP="00A557DD">
      <w:pPr>
        <w:jc w:val="both"/>
      </w:pPr>
      <w:r w:rsidRPr="00E14EBC">
        <w:t xml:space="preserve">Üksikuid uusi trende kohtab veel, näiteks ühes 2024. aastal valminud bakalaureuse töös täheldati, et nooremad põlvkonnad paistavad eelistavat paindlikke lahendusi võimaldavaid </w:t>
      </w:r>
      <w:r w:rsidR="006B74BA">
        <w:t xml:space="preserve">majutusteenuseid (ehk nn </w:t>
      </w:r>
      <w:r w:rsidRPr="00E14EBC">
        <w:t>Airbnb-sid</w:t>
      </w:r>
      <w:r w:rsidR="006B74BA">
        <w:t>)</w:t>
      </w:r>
      <w:r w:rsidRPr="00E14EBC">
        <w:t>, samal ajal kui vanemad pigem hindavad hotellide poolt osutatavaid mugavusteenuseid.</w:t>
      </w:r>
      <w:r w:rsidRPr="00E14EBC">
        <w:rPr>
          <w:rStyle w:val="FootnoteReference"/>
        </w:rPr>
        <w:footnoteReference w:id="235"/>
      </w:r>
    </w:p>
    <w:p w14:paraId="7B919F96" w14:textId="77777777" w:rsidR="0053135B" w:rsidRPr="005D080C" w:rsidRDefault="1C8DE455" w:rsidP="288A3578">
      <w:pPr>
        <w:pStyle w:val="Heading5"/>
        <w:numPr>
          <w:ilvl w:val="0"/>
          <w:numId w:val="0"/>
        </w:numPr>
        <w:ind w:left="1077" w:hanging="1077"/>
        <w:rPr>
          <w:rFonts w:hint="eastAsia"/>
          <w:b/>
          <w:bCs/>
          <w:color w:val="auto"/>
        </w:rPr>
      </w:pPr>
      <w:r w:rsidRPr="005D080C">
        <w:rPr>
          <w:rFonts w:hint="eastAsia"/>
          <w:b/>
          <w:bCs/>
          <w:color w:val="auto"/>
        </w:rPr>
        <w:t>Mõjud (kokkuvõte)</w:t>
      </w:r>
    </w:p>
    <w:p w14:paraId="05E7832C" w14:textId="06DD2193" w:rsidR="00002976" w:rsidRPr="00E14EBC" w:rsidRDefault="1C8DE455" w:rsidP="007F08F4">
      <w:pPr>
        <w:pStyle w:val="ListParagraph"/>
        <w:numPr>
          <w:ilvl w:val="0"/>
          <w:numId w:val="49"/>
        </w:numPr>
        <w:jc w:val="both"/>
      </w:pPr>
      <w:r w:rsidRPr="288A3578">
        <w:rPr>
          <w:b/>
          <w:bCs/>
        </w:rPr>
        <w:t>Lähtuvalt maa kasutuse ja ehituse seadusest on kohalikud omavalitsused asunud lühiajalist majutusteenust kui „ärilist laadi majutusteenust“ omaalgatuslikult reguleerima</w:t>
      </w:r>
      <w:r>
        <w:t>. Reguleerimine avaldub piirangute kehtestamises lühiajalise üüri teenuse pakkujate tegevusele. Piirangute õiguslik alus põhineb kohtupraktikatele, mis on lahenenud senimaani KOV-ide kasuks.</w:t>
      </w:r>
      <w:r w:rsidR="3BA5D104">
        <w:t xml:space="preserve"> Samuti on omavalitsustel võimalus sekkuda ehitusjärelevalve asutuste kaudu ehitusloa ja tsoneerimise nõuete mittetäitmise alusel. Elamu</w:t>
      </w:r>
      <w:r w:rsidR="201544A8">
        <w:t>t</w:t>
      </w:r>
      <w:r w:rsidR="3BA5D104">
        <w:t xml:space="preserve"> tuleks kasutada projekteerimise käigus kokkulepitud otstarbel. Ehk kui hoone on määratud elamuks, kuid seda peetakse majutuseks, tuleks esitada kasutusotstarbe muutmise taotlus.</w:t>
      </w:r>
    </w:p>
    <w:p w14:paraId="02703E3E" w14:textId="7FFDCF29" w:rsidR="0053135B" w:rsidRPr="00E14EBC" w:rsidRDefault="0053135B" w:rsidP="007F08F4">
      <w:pPr>
        <w:pStyle w:val="ListParagraph"/>
        <w:numPr>
          <w:ilvl w:val="0"/>
          <w:numId w:val="49"/>
        </w:numPr>
        <w:jc w:val="both"/>
      </w:pPr>
      <w:r w:rsidRPr="00E14EBC">
        <w:rPr>
          <w:b/>
          <w:bCs/>
        </w:rPr>
        <w:t>KOV-ide tegevuse mõjul on asunud Keskkonnaministeerium senist õigusruumi korrastama</w:t>
      </w:r>
      <w:r w:rsidRPr="00E14EBC">
        <w:t xml:space="preserve">, et tagada lühiajalise üüri turu reguleerimiseks ühtne üleriigiline lähenemine ning luua selgus, mida ja kuidas lühiajalise üüri turu puhul täpselt reguleerida soovitakse. </w:t>
      </w:r>
      <w:r w:rsidRPr="00E14EBC">
        <w:rPr>
          <w:b/>
          <w:bCs/>
        </w:rPr>
        <w:t>Lõplik otsus, millisel määral ja/või milliseid piiranguid kehtestatakse, jääb tõenäoliselt siiski iga KOV-i enda otsustada. Riigi huvi on pigem uuendada ja korrastada senist õigusruumi</w:t>
      </w:r>
      <w:r w:rsidRPr="00E14EBC">
        <w:t>, mitte lühiajalise üüri turgu reguleerida</w:t>
      </w:r>
      <w:r w:rsidR="00834CA8" w:rsidRPr="00E14EBC">
        <w:t>.</w:t>
      </w:r>
    </w:p>
    <w:p w14:paraId="271084C0" w14:textId="6C5DC97C" w:rsidR="0053135B" w:rsidRPr="00E14EBC" w:rsidRDefault="0053135B" w:rsidP="007F08F4">
      <w:pPr>
        <w:pStyle w:val="ListParagraph"/>
        <w:numPr>
          <w:ilvl w:val="0"/>
          <w:numId w:val="49"/>
        </w:numPr>
        <w:jc w:val="both"/>
      </w:pPr>
      <w:r w:rsidRPr="00E14EBC">
        <w:t>Lühiajalise üüri turgu on Põhjamaades, sh Soomes, vähe uuritud.</w:t>
      </w:r>
      <w:r w:rsidR="00341979" w:rsidRPr="00E14EBC">
        <w:t xml:space="preserve"> </w:t>
      </w:r>
      <w:r w:rsidR="00F32AE1">
        <w:t xml:space="preserve">Soome </w:t>
      </w:r>
      <w:r w:rsidR="00341979" w:rsidRPr="00E14EBC">
        <w:t>Keskkonnaministeeriumi hinnangul pole seniste andmete põhjal võ</w:t>
      </w:r>
      <w:r w:rsidR="00346442" w:rsidRPr="00E14EBC">
        <w:t>imalik mõju osas selgeid järeldusi</w:t>
      </w:r>
      <w:r w:rsidR="0077577C" w:rsidRPr="00E14EBC">
        <w:t xml:space="preserve"> </w:t>
      </w:r>
      <w:r w:rsidR="007C7383">
        <w:t>teha</w:t>
      </w:r>
      <w:r w:rsidR="0077577C" w:rsidRPr="00E14EBC">
        <w:t>.</w:t>
      </w:r>
    </w:p>
    <w:p w14:paraId="3FC18462" w14:textId="3C0DD1CF" w:rsidR="0053135B" w:rsidRPr="00E14EBC" w:rsidRDefault="0053135B" w:rsidP="005D41F2">
      <w:pPr>
        <w:pStyle w:val="Heading3"/>
        <w:numPr>
          <w:ilvl w:val="0"/>
          <w:numId w:val="0"/>
        </w:numPr>
        <w:ind w:left="720" w:hanging="720"/>
        <w:jc w:val="both"/>
        <w:rPr>
          <w:rStyle w:val="PurpleText"/>
          <w:rFonts w:hint="eastAsia"/>
        </w:rPr>
      </w:pPr>
      <w:bookmarkStart w:id="185" w:name="_Toc188273983"/>
      <w:bookmarkStart w:id="186" w:name="_Toc197718090"/>
      <w:bookmarkStart w:id="187" w:name="_Toc208991644"/>
      <w:r w:rsidRPr="00E14EBC">
        <w:rPr>
          <w:rStyle w:val="PurpleText"/>
        </w:rPr>
        <w:lastRenderedPageBreak/>
        <w:t>Tšehhi</w:t>
      </w:r>
      <w:bookmarkEnd w:id="185"/>
      <w:bookmarkEnd w:id="186"/>
      <w:bookmarkEnd w:id="187"/>
    </w:p>
    <w:p w14:paraId="7E006AC8" w14:textId="42270464" w:rsidR="0053135B" w:rsidRPr="005D080C" w:rsidRDefault="1C8DE455" w:rsidP="288A3578">
      <w:pPr>
        <w:pStyle w:val="Heading5"/>
        <w:numPr>
          <w:ilvl w:val="0"/>
          <w:numId w:val="0"/>
        </w:numPr>
        <w:ind w:left="1077" w:hanging="1077"/>
        <w:jc w:val="both"/>
        <w:rPr>
          <w:rFonts w:hint="eastAsia"/>
          <w:b/>
          <w:bCs/>
          <w:color w:val="auto"/>
        </w:rPr>
      </w:pPr>
      <w:bookmarkStart w:id="188" w:name="_Toc188273984"/>
      <w:r w:rsidRPr="005D080C">
        <w:rPr>
          <w:rFonts w:hint="eastAsia"/>
          <w:b/>
          <w:bCs/>
          <w:color w:val="auto"/>
        </w:rPr>
        <w:t>Lühiajalise üüri</w:t>
      </w:r>
      <w:r w:rsidR="2028A65C" w:rsidRPr="005D080C">
        <w:rPr>
          <w:rFonts w:hint="eastAsia"/>
          <w:b/>
          <w:bCs/>
          <w:color w:val="auto"/>
        </w:rPr>
        <w:t xml:space="preserve"> </w:t>
      </w:r>
      <w:r w:rsidRPr="005D080C">
        <w:rPr>
          <w:rFonts w:hint="eastAsia"/>
          <w:b/>
          <w:bCs/>
          <w:color w:val="auto"/>
        </w:rPr>
        <w:t>turu mõiste</w:t>
      </w:r>
      <w:bookmarkEnd w:id="188"/>
    </w:p>
    <w:p w14:paraId="6819564D" w14:textId="7DEE8D86" w:rsidR="00AA4D7E" w:rsidRPr="00E14EBC" w:rsidRDefault="1C8DE455" w:rsidP="005D41F2">
      <w:pPr>
        <w:jc w:val="both"/>
      </w:pPr>
      <w:r>
        <w:t xml:space="preserve">Tšehhis </w:t>
      </w:r>
      <w:r w:rsidR="7840603F">
        <w:t>pole</w:t>
      </w:r>
      <w:r>
        <w:t xml:space="preserve"> </w:t>
      </w:r>
      <w:r w:rsidR="28AD77DB">
        <w:t xml:space="preserve">ametlikku </w:t>
      </w:r>
      <w:r w:rsidR="7840603F">
        <w:t>definitsiooni</w:t>
      </w:r>
      <w:r w:rsidR="28AD77DB">
        <w:t xml:space="preserve"> lühiajalise üüri teenuse defineerimiseks</w:t>
      </w:r>
      <w:r w:rsidR="7840603F">
        <w:t xml:space="preserve">. Õiguslikult </w:t>
      </w:r>
      <w:r w:rsidR="3224D7FB">
        <w:t>on seni lähtutud</w:t>
      </w:r>
      <w:r w:rsidR="7840603F">
        <w:t xml:space="preserve"> </w:t>
      </w:r>
      <w:r w:rsidR="1FCCE1FB">
        <w:t>majutusteenuse</w:t>
      </w:r>
      <w:r w:rsidR="3224D7FB">
        <w:t xml:space="preserve"> </w:t>
      </w:r>
      <w:r w:rsidR="1E36DD40">
        <w:t>kontseptsioonist</w:t>
      </w:r>
      <w:r w:rsidR="3224D7FB">
        <w:t xml:space="preserve">, </w:t>
      </w:r>
      <w:r w:rsidR="1E36DD40">
        <w:t>kus</w:t>
      </w:r>
      <w:r w:rsidR="1D3C6D66">
        <w:t xml:space="preserve"> </w:t>
      </w:r>
      <w:r w:rsidR="1E36DD40">
        <w:t xml:space="preserve">lühiajalise üüri teenus tähendab sama asja </w:t>
      </w:r>
      <w:r w:rsidR="6A213727">
        <w:t xml:space="preserve">nagu </w:t>
      </w:r>
      <w:r w:rsidR="1E36DD40">
        <w:t>hotelli pakutav majutusteenuski.</w:t>
      </w:r>
    </w:p>
    <w:p w14:paraId="710D69EC" w14:textId="67E70486" w:rsidR="0053135B" w:rsidRPr="00E14EBC" w:rsidRDefault="00AA4D7E" w:rsidP="005D41F2">
      <w:pPr>
        <w:jc w:val="both"/>
      </w:pPr>
      <w:r w:rsidRPr="00E14EBC">
        <w:t>Mitteametlikult on kasutusel j</w:t>
      </w:r>
      <w:r w:rsidR="0053135B" w:rsidRPr="00E14EBC">
        <w:t>agamismajandus</w:t>
      </w:r>
      <w:r w:rsidRPr="00E14EBC">
        <w:t xml:space="preserve"> ja</w:t>
      </w:r>
      <w:r w:rsidR="0053135B" w:rsidRPr="00E14EBC">
        <w:t xml:space="preserve"> k</w:t>
      </w:r>
      <w:r w:rsidR="009572FC" w:rsidRPr="00E14EBC">
        <w:t>asutusel</w:t>
      </w:r>
      <w:r w:rsidR="0053135B" w:rsidRPr="00E14EBC">
        <w:t xml:space="preserve"> Airbnb</w:t>
      </w:r>
      <w:r w:rsidR="009572FC" w:rsidRPr="00E14EBC">
        <w:t xml:space="preserve"> mõiste</w:t>
      </w:r>
      <w:r w:rsidRPr="00E14EBC">
        <w:t>d</w:t>
      </w:r>
      <w:r w:rsidR="0053135B" w:rsidRPr="00E14EBC">
        <w:t>, mille all võidakse mõelda nii Airbnb digitaalset keskkonda/platvormi kui ka laiemalt lühiajaliseks majutusotstarbeks pakutavat korterit või tuba.</w:t>
      </w:r>
      <w:r w:rsidR="0053135B" w:rsidRPr="00E14EBC">
        <w:rPr>
          <w:rStyle w:val="FootnoteReference"/>
        </w:rPr>
        <w:footnoteReference w:id="236"/>
      </w:r>
      <w:r w:rsidR="00081BD2" w:rsidRPr="00E14EBC">
        <w:t xml:space="preserve"> </w:t>
      </w:r>
      <w:r w:rsidR="00DE63A0" w:rsidRPr="00E14EBC">
        <w:t xml:space="preserve">Lühiajalise majutuse (täpsemalt üürilepingu) mõiste on sätestatud üksnes käibemaksuseaduses ning see on seotud maksust vabastamise tingimustega kinnisvara üürimisel. Käibemaksuseaduse kohaselt loetakse lühiajaliseks üüriks </w:t>
      </w:r>
      <w:r w:rsidR="00DE63A0" w:rsidRPr="00E14EBC">
        <w:rPr>
          <w:b/>
          <w:bCs/>
        </w:rPr>
        <w:t>kinnisvara (maa koos sellel asuva hoone, rajatise või üksusega) üürile</w:t>
      </w:r>
      <w:r w:rsidR="008D4895">
        <w:rPr>
          <w:b/>
          <w:bCs/>
        </w:rPr>
        <w:t xml:space="preserve"> </w:t>
      </w:r>
      <w:r w:rsidR="00DE63A0" w:rsidRPr="00E14EBC">
        <w:rPr>
          <w:b/>
          <w:bCs/>
        </w:rPr>
        <w:t>andmist,</w:t>
      </w:r>
      <w:r w:rsidR="00DE63A0" w:rsidRPr="00E14EBC">
        <w:t xml:space="preserve"> millele võib lisanduda </w:t>
      </w:r>
      <w:r w:rsidR="00DE63A0" w:rsidRPr="00E14EBC">
        <w:rPr>
          <w:b/>
          <w:bCs/>
        </w:rPr>
        <w:t>mööbli või muu liikuva vara kasutamise võimalus</w:t>
      </w:r>
      <w:r w:rsidR="00DE63A0" w:rsidRPr="00E14EBC">
        <w:t xml:space="preserve"> ning </w:t>
      </w:r>
      <w:r w:rsidR="00DE63A0" w:rsidRPr="00E14EBC">
        <w:rPr>
          <w:b/>
          <w:bCs/>
        </w:rPr>
        <w:t xml:space="preserve">gaasi, elektri, soojuse, külma või </w:t>
      </w:r>
      <w:r w:rsidR="000725B4">
        <w:rPr>
          <w:b/>
          <w:bCs/>
        </w:rPr>
        <w:t xml:space="preserve">sooja </w:t>
      </w:r>
      <w:r w:rsidR="00DE63A0" w:rsidRPr="00E14EBC">
        <w:rPr>
          <w:b/>
          <w:bCs/>
        </w:rPr>
        <w:t>vee tarbimine</w:t>
      </w:r>
      <w:r w:rsidR="00DE63A0" w:rsidRPr="00E14EBC">
        <w:t xml:space="preserve">. Selline üürileping kvalifitseerub lühiajaliseks, kui selle </w:t>
      </w:r>
      <w:r w:rsidR="00DE63A0" w:rsidRPr="00E14EBC">
        <w:rPr>
          <w:b/>
          <w:bCs/>
        </w:rPr>
        <w:t>kestus ei ületa järjestikku 48 tundi</w:t>
      </w:r>
      <w:r w:rsidR="00DE63A0" w:rsidRPr="00E14EBC">
        <w:t>. Seevastu loetakse üürileping pikaajaliseks, kui see kestab vähemalt 48 tundi järjest</w:t>
      </w:r>
      <w:r w:rsidR="00725837" w:rsidRPr="00E14EBC">
        <w:t>.</w:t>
      </w:r>
      <w:r w:rsidR="00725837" w:rsidRPr="00E14EBC">
        <w:rPr>
          <w:rStyle w:val="FootnoteReference"/>
        </w:rPr>
        <w:footnoteReference w:id="237"/>
      </w:r>
    </w:p>
    <w:p w14:paraId="2AA578E6" w14:textId="129FD94B" w:rsidR="0053135B" w:rsidRPr="00E14EBC" w:rsidRDefault="0053135B" w:rsidP="005D41F2">
      <w:pPr>
        <w:pStyle w:val="Heading5"/>
        <w:numPr>
          <w:ilvl w:val="0"/>
          <w:numId w:val="0"/>
        </w:numPr>
        <w:ind w:left="1077" w:hanging="1077"/>
        <w:jc w:val="both"/>
        <w:rPr>
          <w:rFonts w:hint="eastAsia"/>
          <w:b/>
          <w:bCs/>
          <w:color w:val="auto"/>
        </w:rPr>
      </w:pPr>
      <w:bookmarkStart w:id="189" w:name="_Toc188273985"/>
      <w:r w:rsidRPr="00E14EBC">
        <w:rPr>
          <w:b/>
          <w:bCs/>
          <w:color w:val="auto"/>
        </w:rPr>
        <w:t>Üürituru regulatsioonid ja osapooled</w:t>
      </w:r>
      <w:bookmarkEnd w:id="189"/>
    </w:p>
    <w:p w14:paraId="291BD444" w14:textId="03DD62CF" w:rsidR="0053135B" w:rsidRPr="00E14EBC" w:rsidRDefault="0053135B" w:rsidP="005D41F2">
      <w:pPr>
        <w:jc w:val="both"/>
      </w:pPr>
      <w:r w:rsidRPr="00E14EBC">
        <w:t>Tšehhi on senimaani olnud lühiajalise üüri turu suhtes leebelt sekkuv ja eraldi lühiajalist üüri turgu käsitlevaid regulatsioone ei ole. Näiteks Prahas on piisanud jagamismajanduse teenuse osutajatel vaid enda registreerimisest, et linnavalitsusel oleks üldine ülevaade, kui palju selliseid teenusepakkujaid linnas tegutseb.</w:t>
      </w:r>
      <w:r w:rsidRPr="00E14EBC">
        <w:rPr>
          <w:rStyle w:val="FootnoteReference"/>
        </w:rPr>
        <w:footnoteReference w:id="238"/>
      </w:r>
      <w:r w:rsidRPr="00E14EBC">
        <w:t xml:space="preserve"> </w:t>
      </w:r>
      <w:r w:rsidR="007946A8" w:rsidRPr="00E14EBC">
        <w:t>Praegusel hetkel lähtutakse Kaubanduslitsentside Seadusest ja teatud määral ka Ehitusseadusest, aga kumbki ei kohaldu otseselt lühiajalise üüri teenustele.</w:t>
      </w:r>
    </w:p>
    <w:p w14:paraId="2BAAFDD6" w14:textId="24A56837" w:rsidR="0053135B" w:rsidRPr="00E14EBC" w:rsidRDefault="20186410" w:rsidP="005D41F2">
      <w:pPr>
        <w:jc w:val="both"/>
      </w:pPr>
      <w:r w:rsidRPr="00E14EBC">
        <w:t xml:space="preserve">Lähitulevikus plaanib Tšehhi üle võtta EL </w:t>
      </w:r>
      <w:r w:rsidR="6D32FDC8" w:rsidRPr="00E14EBC">
        <w:t>määruse</w:t>
      </w:r>
      <w:r w:rsidRPr="00E14EBC">
        <w:t xml:space="preserve"> 2024/1028</w:t>
      </w:r>
      <w:r w:rsidR="741BE82A" w:rsidRPr="00E14EBC">
        <w:t xml:space="preserve"> (</w:t>
      </w:r>
      <w:r w:rsidR="6D32FDC8" w:rsidRPr="00E14EBC">
        <w:t>lühiajalise majutuse üüriteenustega seotud andmete kogumis</w:t>
      </w:r>
      <w:r w:rsidR="741BE82A" w:rsidRPr="00E14EBC">
        <w:t>e reguleerimine),</w:t>
      </w:r>
      <w:r w:rsidRPr="00E14EBC">
        <w:t xml:space="preserve"> koos millega</w:t>
      </w:r>
      <w:r w:rsidR="1C8DE455" w:rsidRPr="00E14EBC">
        <w:t xml:space="preserve"> </w:t>
      </w:r>
      <w:r w:rsidR="24264DDD" w:rsidRPr="00E14EBC">
        <w:t>rakendub</w:t>
      </w:r>
      <w:r w:rsidR="1C8DE455" w:rsidRPr="00E14EBC">
        <w:t xml:space="preserve"> jagamismajanduse platvormidel tegutseva</w:t>
      </w:r>
      <w:r w:rsidR="24264DDD" w:rsidRPr="00E14EBC">
        <w:t>tele</w:t>
      </w:r>
      <w:r w:rsidR="1C8DE455" w:rsidRPr="00E14EBC">
        <w:t xml:space="preserve"> pakkuja</w:t>
      </w:r>
      <w:r w:rsidR="24264DDD" w:rsidRPr="00E14EBC">
        <w:t xml:space="preserve">tele </w:t>
      </w:r>
      <w:r w:rsidR="5ECDC18F" w:rsidRPr="00E14EBC">
        <w:t>registreerimiskohustus</w:t>
      </w:r>
      <w:r w:rsidR="1C8DE455" w:rsidRPr="00E14EBC">
        <w:t xml:space="preserve">. </w:t>
      </w:r>
      <w:r w:rsidR="5ECDC18F" w:rsidRPr="00E14EBC">
        <w:t>Selle</w:t>
      </w:r>
      <w:r w:rsidR="1C8DE455" w:rsidRPr="00E14EBC">
        <w:t xml:space="preserve"> kohaselt tuleb kõikidel majutusteenuse osutajatel</w:t>
      </w:r>
      <w:r w:rsidR="5ECDC18F" w:rsidRPr="00E14EBC">
        <w:t xml:space="preserve"> (k.a ülejäänud turi</w:t>
      </w:r>
      <w:r w:rsidR="05EB71E6" w:rsidRPr="00E14EBC">
        <w:t>s</w:t>
      </w:r>
      <w:r w:rsidR="5ECDC18F" w:rsidRPr="00E14EBC">
        <w:t>mimajutussektoril)</w:t>
      </w:r>
      <w:r w:rsidR="1C8DE455" w:rsidRPr="00E14EBC">
        <w:t xml:space="preserve"> registreerida oma rendile andmise korrad e-Turista registris.</w:t>
      </w:r>
      <w:r w:rsidR="0053135B" w:rsidRPr="00E14EBC">
        <w:rPr>
          <w:rStyle w:val="FootnoteReference"/>
        </w:rPr>
        <w:footnoteReference w:id="239"/>
      </w:r>
    </w:p>
    <w:p w14:paraId="3126FD0C" w14:textId="789BD028" w:rsidR="002849E9" w:rsidRPr="00E14EBC" w:rsidRDefault="7B924A7A" w:rsidP="005D41F2">
      <w:pPr>
        <w:jc w:val="both"/>
      </w:pPr>
      <w:r>
        <w:t>E</w:t>
      </w:r>
      <w:r w:rsidR="1C8DE455">
        <w:t xml:space="preserve">-Turista registri näol </w:t>
      </w:r>
      <w:r w:rsidR="4E2F5A12">
        <w:t xml:space="preserve">on </w:t>
      </w:r>
      <w:r w:rsidR="1C8DE455">
        <w:t>tegu Regionaal</w:t>
      </w:r>
      <w:r w:rsidR="69B678D5">
        <w:t>arengu</w:t>
      </w:r>
      <w:r w:rsidR="1C8DE455">
        <w:t>ministeeriumi haldusal</w:t>
      </w:r>
      <w:r w:rsidR="002E2B92">
        <w:t>asse</w:t>
      </w:r>
      <w:r w:rsidR="1C8DE455">
        <w:t xml:space="preserve"> rajatava andmebaasiga, mis peaks valmima 2026. aasta maiks. Register luuakse NextGenerationEU fondi toel, eesmärgiga tekitada avaliku sektori jaoks ühtne läbipaistev andmekogu. </w:t>
      </w:r>
      <w:r>
        <w:t>Täpsemalt</w:t>
      </w:r>
      <w:r w:rsidR="4D331142">
        <w:t xml:space="preserve"> on tegu EL määruse 2024/1028 tehnilise väljundiga, millega on võimalik turust ülevaade saada ja erinevad </w:t>
      </w:r>
      <w:r w:rsidR="4D331142">
        <w:lastRenderedPageBreak/>
        <w:t xml:space="preserve">pakkujad võrdsetele alustele viia. Seejuures ei hakka E-Turista iseenesest turgu reguleerima ega too kaasa piiranguid, vaid </w:t>
      </w:r>
      <w:r w:rsidR="49094D70">
        <w:t>saab olema andmete kogumise aluseks.</w:t>
      </w:r>
      <w:r w:rsidR="7AF14E5E">
        <w:t xml:space="preserve"> E-Turista loomi</w:t>
      </w:r>
      <w:r w:rsidR="408A5AAC">
        <w:t xml:space="preserve">ne maksab riigile hinnanguliselt </w:t>
      </w:r>
      <w:r w:rsidR="2B1363E2">
        <w:t>92,3 miljonit krooni</w:t>
      </w:r>
      <w:r w:rsidR="00AF4BFB">
        <w:t xml:space="preserve"> </w:t>
      </w:r>
      <w:r w:rsidR="00133516">
        <w:t>(</w:t>
      </w:r>
      <w:r w:rsidR="00A32C7A">
        <w:t>3,7 miljonit eurot</w:t>
      </w:r>
      <w:r w:rsidR="00133516">
        <w:t>)</w:t>
      </w:r>
      <w:r w:rsidR="408A5AAC">
        <w:t xml:space="preserve"> ja selle ülesehitamine võtab kokku viis aastat.</w:t>
      </w:r>
    </w:p>
    <w:p w14:paraId="59D8B902" w14:textId="4CC809A6" w:rsidR="0053135B" w:rsidRPr="00E14EBC" w:rsidRDefault="0053135B" w:rsidP="005D41F2">
      <w:pPr>
        <w:jc w:val="both"/>
      </w:pPr>
      <w:r w:rsidRPr="00E14EBC">
        <w:t>Valitsuse plaani kohaselt toimuks majutussektori haldamine edaspidi läbi ühtse riikliku andmebaasi, mida oleks teenusepakkujatel lihtne täita ja kust oleks võimalik saada mh korrektne info tegevuse maksustamise ning tegevuspiirkonda puudutavate nõuete kohta.</w:t>
      </w:r>
      <w:r w:rsidRPr="00E14EBC">
        <w:rPr>
          <w:rStyle w:val="FootnoteReference"/>
        </w:rPr>
        <w:footnoteReference w:id="240"/>
      </w:r>
      <w:r w:rsidRPr="00E14EBC">
        <w:t xml:space="preserve"> Iga end registris arvele võtnud lühiajalise üüri teenuse osutaja saab oma unikaalse registrinumbri, mille alla peaksid koonduma kõik tema väljarendid koos kinnisvara andmetega, mis on ligipääsetavad Regionaalministeeriumile ja mille põhjal on võimalik turgu täpsemalt reguleerida.</w:t>
      </w:r>
      <w:r w:rsidRPr="00E14EBC">
        <w:rPr>
          <w:rStyle w:val="FootnoteReference"/>
        </w:rPr>
        <w:footnoteReference w:id="241"/>
      </w:r>
    </w:p>
    <w:p w14:paraId="6A3E5964" w14:textId="2CA6DFAF" w:rsidR="0053135B" w:rsidRPr="00E14EBC" w:rsidRDefault="1C8DE455" w:rsidP="005D41F2">
      <w:pPr>
        <w:jc w:val="both"/>
      </w:pPr>
      <w:r w:rsidRPr="00E14EBC">
        <w:t>Muudatuse ajendiks on esiteks Majandusministeeriumi oletus, et 40</w:t>
      </w:r>
      <w:r w:rsidR="6360208F" w:rsidRPr="00E14EBC">
        <w:t>–</w:t>
      </w:r>
      <w:r w:rsidRPr="00E14EBC">
        <w:t>70% jagamismajanduse tehingutest jäetakse teavitamata. Teiseks hinnang, et riigil jääb jagamismajanduselt aastas keskmiselt teenimata ligi 800 miljonit krooni (u 32 miljonit eurot) maksutulu</w:t>
      </w:r>
      <w:r w:rsidR="156AD5E1" w:rsidRPr="00E14EBC">
        <w:t xml:space="preserve"> ja</w:t>
      </w:r>
      <w:r w:rsidRPr="00E14EBC">
        <w:t xml:space="preserve"> </w:t>
      </w:r>
      <w:r w:rsidR="62E63D95" w:rsidRPr="00E14EBC">
        <w:t>o</w:t>
      </w:r>
      <w:r w:rsidRPr="00E14EBC">
        <w:t>mavalitsustel omakorda 55 miljonit krooni (2,2 miljonit eurot) elukohatasusid</w:t>
      </w:r>
      <w:r w:rsidR="00267BDE">
        <w:t xml:space="preserve"> (</w:t>
      </w:r>
      <w:r w:rsidR="006D3FF8">
        <w:t xml:space="preserve">ingl </w:t>
      </w:r>
      <w:r w:rsidR="00267BDE" w:rsidRPr="006D3FF8">
        <w:rPr>
          <w:i/>
          <w:iCs/>
        </w:rPr>
        <w:t>re</w:t>
      </w:r>
      <w:r w:rsidR="006D3FF8" w:rsidRPr="006D3FF8">
        <w:rPr>
          <w:i/>
          <w:iCs/>
        </w:rPr>
        <w:t>s</w:t>
      </w:r>
      <w:r w:rsidR="00267BDE" w:rsidRPr="006D3FF8">
        <w:rPr>
          <w:i/>
          <w:iCs/>
        </w:rPr>
        <w:t>idence fee</w:t>
      </w:r>
      <w:r w:rsidR="00267BDE">
        <w:t>)</w:t>
      </w:r>
      <w:r w:rsidRPr="00E14EBC">
        <w:t>. Muudatus viiakse ellu kolmes järgus, millest esimesed regulatsioonid loodetakse jõustada 2025. aasta juulis ja viimased peaksid hakkama kehtima 2026. aasta maist.</w:t>
      </w:r>
      <w:r w:rsidR="0053135B" w:rsidRPr="00E14EBC">
        <w:rPr>
          <w:rStyle w:val="FootnoteReference"/>
        </w:rPr>
        <w:footnoteReference w:id="242"/>
      </w:r>
    </w:p>
    <w:p w14:paraId="74F83F18" w14:textId="62B472F9" w:rsidR="0053135B" w:rsidRPr="00E14EBC" w:rsidRDefault="1C8DE455" w:rsidP="005D41F2">
      <w:pPr>
        <w:jc w:val="both"/>
      </w:pPr>
      <w:r w:rsidRPr="00E14EBC">
        <w:t>Muudatus võib peale jõustumist ühtlasi tähendada, et e-Turista registri täitmist hakatakse seirama ning sellest kõrvale hoidjaid trahvima kuni 100 000 krooniga</w:t>
      </w:r>
      <w:r w:rsidR="009A0776">
        <w:t xml:space="preserve"> (</w:t>
      </w:r>
      <w:r w:rsidR="008C37E1">
        <w:t>u 4000 eurot)</w:t>
      </w:r>
      <w:r w:rsidRPr="00E14EBC">
        <w:t>. Samuti võidakse jõustumise järgselt seadustega mittevastavuse korral trahvida jagamismajanduse platvorme</w:t>
      </w:r>
      <w:r w:rsidR="72F8BF40" w:rsidRPr="00E14EBC">
        <w:t>,</w:t>
      </w:r>
      <w:r w:rsidRPr="00E14EBC">
        <w:t xml:space="preserve"> nagu Airbnb ja Vrbo</w:t>
      </w:r>
      <w:r w:rsidR="013F1A1F" w:rsidRPr="00E14EBC">
        <w:t>,</w:t>
      </w:r>
      <w:r w:rsidRPr="00E14EBC">
        <w:t xml:space="preserve"> kuni 10 miljoni krooniga (u 400 000 eurot).</w:t>
      </w:r>
      <w:r w:rsidR="0053135B" w:rsidRPr="00E14EBC">
        <w:rPr>
          <w:rStyle w:val="FootnoteReference"/>
        </w:rPr>
        <w:footnoteReference w:id="243"/>
      </w:r>
    </w:p>
    <w:p w14:paraId="72997FE4" w14:textId="6750D7AA" w:rsidR="0053135B" w:rsidRPr="00155044" w:rsidRDefault="1C8DE455" w:rsidP="288A3578">
      <w:pPr>
        <w:pStyle w:val="Heading5"/>
        <w:numPr>
          <w:ilvl w:val="0"/>
          <w:numId w:val="0"/>
        </w:numPr>
        <w:ind w:left="1077" w:hanging="1077"/>
        <w:jc w:val="both"/>
        <w:rPr>
          <w:rFonts w:hint="eastAsia"/>
          <w:b/>
          <w:color w:val="auto"/>
        </w:rPr>
      </w:pPr>
      <w:bookmarkStart w:id="190" w:name="_Toc188273986"/>
      <w:r w:rsidRPr="00155044">
        <w:rPr>
          <w:rFonts w:hint="eastAsia"/>
          <w:b/>
          <w:color w:val="auto"/>
        </w:rPr>
        <w:t>Üürituruga seotud andmete kogumine ja metoodika</w:t>
      </w:r>
      <w:bookmarkEnd w:id="190"/>
    </w:p>
    <w:p w14:paraId="05CC378E" w14:textId="77777777" w:rsidR="0053135B" w:rsidRPr="00E14EBC" w:rsidRDefault="0053135B" w:rsidP="005D41F2">
      <w:pPr>
        <w:jc w:val="both"/>
      </w:pPr>
      <w:r w:rsidRPr="00E14EBC">
        <w:t>Lühiajalise üüri turu andmete kogumisel on lähtutud Tšehhi statistikaameti andmetest, mis pärinevad Eurostati statistikast NUTS3 tasandil: eraldi Praha linn ning ülejäänud Tšehhi jagatud regioonide lõikes. Praha puhul on turu analüüsiks kasutatud ka Inside Airbnb veebiandmeid, kust on välise kraapimismudeli (päring/korje, mis kogub veebist tollel hetkel üleval olevad huvipakkuvad andmed automaatselt kokku) abil Prahat puudutavad pakkumised alla tõmmatud ning asukohapõhiselt ära kaardistatud, saades ülevaate Airbnb kaetusest. Küll aga erinevalt Inside Airbnb-st, arvestab Eurostat lisaks Airbnb platvormile ka Bookingu, Expedia ja Tripadvisori keskkondi.</w:t>
      </w:r>
      <w:r w:rsidRPr="00E14EBC">
        <w:rPr>
          <w:rStyle w:val="FootnoteReference"/>
        </w:rPr>
        <w:footnoteReference w:id="244"/>
      </w:r>
    </w:p>
    <w:p w14:paraId="505E7E86" w14:textId="17D2EE89" w:rsidR="008619FE" w:rsidRPr="00E14EBC" w:rsidRDefault="0053135B" w:rsidP="005D41F2">
      <w:pPr>
        <w:jc w:val="both"/>
      </w:pPr>
      <w:r w:rsidRPr="00E14EBC">
        <w:t xml:space="preserve">Maksukogumise andmetel on senimaani tuginetud tulumaksu andmetele, aga otsene õigusselgus jagamismajanduselt teenitava tulu kohta käivate andmete esitamise osas puudub. Käibemaksu </w:t>
      </w:r>
      <w:r w:rsidRPr="00E14EBC">
        <w:lastRenderedPageBreak/>
        <w:t>kohuslaseks muutub lühiajalise üüri teenusepakkuja alles siis, kui tema aastane tulu ületab</w:t>
      </w:r>
      <w:r w:rsidR="00FD1ED9">
        <w:t xml:space="preserve"> </w:t>
      </w:r>
      <w:r w:rsidRPr="00E14EBC">
        <w:t>15 000 krooni (600 euro) piiri.</w:t>
      </w:r>
      <w:r w:rsidRPr="00E14EBC">
        <w:rPr>
          <w:rStyle w:val="FootnoteReference"/>
        </w:rPr>
        <w:footnoteReference w:id="245"/>
      </w:r>
      <w:r w:rsidRPr="00E14EBC">
        <w:t xml:space="preserve"> </w:t>
      </w:r>
    </w:p>
    <w:p w14:paraId="2553FDEC" w14:textId="1215B153" w:rsidR="00487EF2" w:rsidRPr="00E14EBC" w:rsidRDefault="1C8DE455" w:rsidP="005D41F2">
      <w:pPr>
        <w:jc w:val="both"/>
      </w:pPr>
      <w:r>
        <w:t>Lühiajalise üüri turu teenuseid puudutavad fiskaalandmed loodetakse korrastada loomisel oleva e-Turista registri abil</w:t>
      </w:r>
      <w:r w:rsidR="4E598C6F">
        <w:t xml:space="preserve">, mida hakkab haldama </w:t>
      </w:r>
      <w:r w:rsidR="02724EAB">
        <w:t>Regionaalarenguministeerium.</w:t>
      </w:r>
      <w:r w:rsidR="6A929D4C">
        <w:t xml:space="preserve"> </w:t>
      </w:r>
      <w:r w:rsidR="1E756CFF">
        <w:t xml:space="preserve">Registri täitmise järelevalve </w:t>
      </w:r>
      <w:r w:rsidR="20CD9E38">
        <w:t xml:space="preserve">jagatakse mitme riigiasutuse vahel, </w:t>
      </w:r>
      <w:r w:rsidR="7F2FC6FE">
        <w:t>seejuures</w:t>
      </w:r>
      <w:r w:rsidR="20CD9E38">
        <w:t xml:space="preserve"> kontrollifunktsiooni (kas teenusepakkujad on tegelikult registreerunud või mitte) hakkavad täitma kaubandusseltside bürood</w:t>
      </w:r>
      <w:r w:rsidR="7F2FC6FE">
        <w:t xml:space="preserve"> </w:t>
      </w:r>
      <w:r w:rsidR="7F2FC6FE" w:rsidRPr="288A3578">
        <w:rPr>
          <w:i/>
          <w:iCs/>
        </w:rPr>
        <w:t>(trade licensing offices).</w:t>
      </w:r>
      <w:r w:rsidR="7F2FC6FE">
        <w:t xml:space="preserve"> Lisaks</w:t>
      </w:r>
      <w:r w:rsidR="6A929D4C">
        <w:t xml:space="preserve"> hakkavad </w:t>
      </w:r>
      <w:r w:rsidR="00EC6604">
        <w:t xml:space="preserve">andmeid käitlema </w:t>
      </w:r>
      <w:r w:rsidR="6A929D4C">
        <w:t>kohalikud omavalitsused (</w:t>
      </w:r>
      <w:r w:rsidR="741ED1F8">
        <w:t>turismimaksu kogumine</w:t>
      </w:r>
      <w:r w:rsidR="00565258">
        <w:t xml:space="preserve"> jääb nende ülesandeks</w:t>
      </w:r>
      <w:r w:rsidR="741ED1F8">
        <w:t>), Rahandusministeeriumi finantsanalüütika osakond</w:t>
      </w:r>
      <w:r w:rsidR="78F79D14">
        <w:t>, politseiamet</w:t>
      </w:r>
      <w:r w:rsidR="741ED1F8">
        <w:t xml:space="preserve"> ja Tšehhi Statistikaamet. Neist iga osapool </w:t>
      </w:r>
      <w:r w:rsidR="78F79D14">
        <w:t>pääseb ligi vaid sellele andmehulgale, mida tal on vaja oma tööülesannete täitmiseks.</w:t>
      </w:r>
    </w:p>
    <w:p w14:paraId="5E5081D3" w14:textId="0BDAEC25" w:rsidR="0053135B" w:rsidRPr="00ED0A92" w:rsidRDefault="1C8DE455" w:rsidP="288A3578">
      <w:pPr>
        <w:pStyle w:val="Heading5"/>
        <w:numPr>
          <w:ilvl w:val="0"/>
          <w:numId w:val="0"/>
        </w:numPr>
        <w:ind w:left="1077" w:hanging="1077"/>
        <w:jc w:val="both"/>
        <w:rPr>
          <w:rFonts w:hint="eastAsia"/>
          <w:b/>
          <w:color w:val="auto"/>
        </w:rPr>
      </w:pPr>
      <w:bookmarkStart w:id="191" w:name="_Toc188273987"/>
      <w:r w:rsidRPr="00ED0A92">
        <w:rPr>
          <w:rFonts w:hint="eastAsia"/>
          <w:b/>
          <w:color w:val="auto"/>
        </w:rPr>
        <w:t>Sotsiaal-majanduslik vaade</w:t>
      </w:r>
      <w:bookmarkEnd w:id="191"/>
    </w:p>
    <w:p w14:paraId="51916ED1" w14:textId="78F6DADE" w:rsidR="0053135B" w:rsidRPr="00E14EBC" w:rsidRDefault="1C8DE455" w:rsidP="005D41F2">
      <w:pPr>
        <w:jc w:val="both"/>
      </w:pPr>
      <w:r w:rsidRPr="00E14EBC">
        <w:t>Kuigi 2021</w:t>
      </w:r>
      <w:r w:rsidR="78F3C535" w:rsidRPr="00E14EBC">
        <w:t>.</w:t>
      </w:r>
      <w:r w:rsidRPr="00E14EBC">
        <w:t xml:space="preserve"> aastal läbi viidud uuringust selgus, et kinnisvara hindade tõusu ja lühiajalise rendi pakkumiste vahel ei ole seost, siis 2024</w:t>
      </w:r>
      <w:r w:rsidR="086F1A9C" w:rsidRPr="00E14EBC">
        <w:t>. aastal</w:t>
      </w:r>
      <w:r w:rsidRPr="00E14EBC">
        <w:t xml:space="preserve"> läbi viidud uuringus soovivad üle pooled Prahas elavatest inimestest lühiajalise rendi piiramist. Kohalike sõnul on piirangute vajadus seotud korrarikkumiste, müra ja kasvavate üürikuludega. Üle 25% kõikidest uuringus osalenud Tšehhi inimestest leiab, et lühiajalise üürimise negatiivne mõju kaalub üle</w:t>
      </w:r>
      <w:r w:rsidR="4ED863EF" w:rsidRPr="00E14EBC">
        <w:t>s</w:t>
      </w:r>
      <w:r w:rsidRPr="00E14EBC">
        <w:t xml:space="preserve"> positiivsed mõjud. Tšehhi valitsuse poolt heaks kiidetud uue määruse tõttu said omavalitsused hiljuti loa piirata korterelamute lühiajalise üürimise päevade ja ruutmeetrite arvu inimese kohta, mis võiks piirata lühiajalise üüri turu kasvamist ja soodustada kohalikele elanikele mõeldud elupindade hindade langemist.</w:t>
      </w:r>
      <w:r w:rsidR="0053135B" w:rsidRPr="00E14EBC">
        <w:rPr>
          <w:rStyle w:val="FootnoteReference"/>
        </w:rPr>
        <w:footnoteReference w:id="246"/>
      </w:r>
    </w:p>
    <w:p w14:paraId="535528BB" w14:textId="7AF108D5" w:rsidR="0053135B" w:rsidRPr="00E14EBC" w:rsidRDefault="1C8DE455" w:rsidP="005D41F2">
      <w:pPr>
        <w:jc w:val="both"/>
      </w:pPr>
      <w:r w:rsidRPr="00E14EBC">
        <w:t>Lisaks eeltoodule on lühiajalise majutuse probleemiks reeglite eiramine. Paljud lühiajalise majutuse pakkujatest jätavad täitmata majutusteenuse osutajatele kehtestatud seadusest tulenevad kohustused. Reeglina ei registreerita end ametlikuks majutuse pakkujaks, mistõttu puudub lühiajalise üüri pakkujatel kauplemisluba, nad ei tasu tulu-, sotsiaal</w:t>
      </w:r>
      <w:r w:rsidR="23F6857C" w:rsidRPr="00E14EBC">
        <w:t>-</w:t>
      </w:r>
      <w:r w:rsidRPr="00E14EBC">
        <w:t xml:space="preserve"> ja ravikindlustusmakseid. Samuti jäävad seadusest kõrvale hiilivate teenusepakkujate tõttu linnadel tihti saamata turistide pealt kogutavad maksud. Samuti ei täideta seetõttu majutusraamatut välismaalaste kohta</w:t>
      </w:r>
      <w:r w:rsidR="0053135B" w:rsidRPr="00E14EBC">
        <w:rPr>
          <w:rStyle w:val="FootnoteReference"/>
        </w:rPr>
        <w:footnoteReference w:id="247"/>
      </w:r>
      <w:r w:rsidRPr="00E14EBC">
        <w:t xml:space="preserve">. </w:t>
      </w:r>
    </w:p>
    <w:p w14:paraId="050881DA" w14:textId="5894132D" w:rsidR="0053135B" w:rsidRPr="00E14EBC" w:rsidRDefault="1C8DE455" w:rsidP="005D41F2">
      <w:pPr>
        <w:jc w:val="both"/>
      </w:pPr>
      <w:r w:rsidRPr="00E14EBC">
        <w:lastRenderedPageBreak/>
        <w:t>2023</w:t>
      </w:r>
      <w:r w:rsidR="20D81A47" w:rsidRPr="00E14EBC">
        <w:t>.</w:t>
      </w:r>
      <w:r w:rsidRPr="00E14EBC">
        <w:t xml:space="preserve"> aastal teenindas ainuüksi Airbnb keskkond Prahas 2,8 miljonit klienti, mis moodusta</w:t>
      </w:r>
      <w:r w:rsidR="546A60B6" w:rsidRPr="00E14EBC">
        <w:t>s</w:t>
      </w:r>
      <w:r w:rsidRPr="00E14EBC">
        <w:t xml:space="preserve"> 14% kõikidest majutatud turistidest.</w:t>
      </w:r>
      <w:r w:rsidR="007D29E9" w:rsidRPr="00E14EBC">
        <w:rPr>
          <w:rStyle w:val="FootnoteReference"/>
        </w:rPr>
        <w:footnoteReference w:id="248"/>
      </w:r>
      <w:r w:rsidRPr="00E14EBC">
        <w:t xml:space="preserve"> Airbnb-ga seotud turismikulutused</w:t>
      </w:r>
      <w:r w:rsidR="0053135B" w:rsidRPr="00E14EBC">
        <w:rPr>
          <w:rStyle w:val="FootnoteReference"/>
        </w:rPr>
        <w:footnoteReference w:id="249"/>
      </w:r>
      <w:r w:rsidRPr="00E14EBC">
        <w:t xml:space="preserve"> ulatusid 2023</w:t>
      </w:r>
      <w:r w:rsidR="5FDF40FA" w:rsidRPr="00E14EBC">
        <w:t>.</w:t>
      </w:r>
      <w:r w:rsidRPr="00E14EBC">
        <w:t xml:space="preserve"> aastal 10,1 miljardi Tšehhi kroonini</w:t>
      </w:r>
      <w:r w:rsidR="005423DD">
        <w:t xml:space="preserve"> (</w:t>
      </w:r>
      <w:r w:rsidR="0056369C">
        <w:t>u 4</w:t>
      </w:r>
      <w:r w:rsidR="005F5C9F">
        <w:t>1</w:t>
      </w:r>
      <w:r w:rsidR="0056369C">
        <w:t xml:space="preserve">0 </w:t>
      </w:r>
      <w:r w:rsidR="00B44CC3">
        <w:t>miljonit</w:t>
      </w:r>
      <w:r w:rsidR="0056369C">
        <w:t xml:space="preserve"> eurot)</w:t>
      </w:r>
      <w:r w:rsidRPr="00E14EBC">
        <w:t>, millest</w:t>
      </w:r>
      <w:bookmarkStart w:id="194" w:name="_Ref187827802"/>
      <w:r w:rsidR="7995773F" w:rsidRPr="00E14EBC">
        <w:t>:</w:t>
      </w:r>
      <w:r w:rsidR="0053135B" w:rsidRPr="00E14EBC">
        <w:rPr>
          <w:rStyle w:val="FootnoteReference"/>
        </w:rPr>
        <w:footnoteReference w:id="250"/>
      </w:r>
      <w:bookmarkEnd w:id="194"/>
      <w:r w:rsidRPr="00E14EBC">
        <w:t xml:space="preserve"> </w:t>
      </w:r>
    </w:p>
    <w:p w14:paraId="326A3B99" w14:textId="64656D9C" w:rsidR="0053135B" w:rsidRPr="00E14EBC" w:rsidRDefault="0053135B" w:rsidP="007F08F4">
      <w:pPr>
        <w:pStyle w:val="ListBullet"/>
        <w:numPr>
          <w:ilvl w:val="0"/>
          <w:numId w:val="50"/>
        </w:numPr>
        <w:jc w:val="both"/>
      </w:pPr>
      <w:r w:rsidRPr="00E14EBC">
        <w:t xml:space="preserve">2,9 miljardit </w:t>
      </w:r>
      <w:r w:rsidR="005568A7">
        <w:t>e</w:t>
      </w:r>
      <w:r w:rsidR="004F210A">
        <w:t>hk</w:t>
      </w:r>
      <w:r w:rsidR="005568A7">
        <w:t xml:space="preserve"> </w:t>
      </w:r>
      <w:r w:rsidRPr="00E14EBC">
        <w:t>29%</w:t>
      </w:r>
      <w:r w:rsidR="005568A7">
        <w:t xml:space="preserve"> (</w:t>
      </w:r>
      <w:r w:rsidR="005F5C9F">
        <w:t>u 117 miljonit eurot)</w:t>
      </w:r>
      <w:r w:rsidRPr="00E14EBC">
        <w:t xml:space="preserve"> moodustasid võõrustajate tulud; </w:t>
      </w:r>
    </w:p>
    <w:p w14:paraId="307D2749" w14:textId="61430BC7" w:rsidR="0053135B" w:rsidRPr="00E14EBC" w:rsidRDefault="0053135B" w:rsidP="007F08F4">
      <w:pPr>
        <w:pStyle w:val="ListBullet"/>
        <w:numPr>
          <w:ilvl w:val="0"/>
          <w:numId w:val="50"/>
        </w:numPr>
        <w:jc w:val="both"/>
      </w:pPr>
      <w:r w:rsidRPr="00E14EBC">
        <w:t xml:space="preserve">2,6 miljardit </w:t>
      </w:r>
      <w:r w:rsidR="005F5C9F">
        <w:t>e</w:t>
      </w:r>
      <w:r w:rsidR="004F210A">
        <w:t>hk</w:t>
      </w:r>
      <w:r w:rsidR="005F5C9F">
        <w:t xml:space="preserve"> </w:t>
      </w:r>
      <w:r w:rsidRPr="00E14EBC">
        <w:t>26%</w:t>
      </w:r>
      <w:r w:rsidR="005F5C9F">
        <w:t xml:space="preserve"> (u</w:t>
      </w:r>
      <w:r w:rsidRPr="00E14EBC">
        <w:t xml:space="preserve"> </w:t>
      </w:r>
      <w:r w:rsidR="003C0BEC">
        <w:t xml:space="preserve">105 miljonit eurot) </w:t>
      </w:r>
      <w:r w:rsidRPr="00E14EBC">
        <w:t xml:space="preserve">toidule ja joogile tehtud kulutused; </w:t>
      </w:r>
    </w:p>
    <w:p w14:paraId="4C58F908" w14:textId="609DCBDE" w:rsidR="0053135B" w:rsidRPr="00E14EBC" w:rsidRDefault="0053135B" w:rsidP="007F08F4">
      <w:pPr>
        <w:pStyle w:val="ListBullet"/>
        <w:numPr>
          <w:ilvl w:val="0"/>
          <w:numId w:val="50"/>
        </w:numPr>
        <w:jc w:val="both"/>
      </w:pPr>
      <w:r w:rsidRPr="00E14EBC">
        <w:t xml:space="preserve">2 miljardit </w:t>
      </w:r>
      <w:r w:rsidR="003C0BEC">
        <w:t xml:space="preserve">ehk </w:t>
      </w:r>
      <w:r w:rsidRPr="00E14EBC">
        <w:t xml:space="preserve">20% </w:t>
      </w:r>
      <w:r w:rsidR="003C0BEC">
        <w:t>(</w:t>
      </w:r>
      <w:r w:rsidR="00F105AF">
        <w:t xml:space="preserve">u 81 miljonit eurot) </w:t>
      </w:r>
      <w:r w:rsidRPr="00E14EBC">
        <w:t xml:space="preserve">moodustasid jaekaubanduses tehtud kulutused; </w:t>
      </w:r>
    </w:p>
    <w:p w14:paraId="0C5675C3" w14:textId="251D3ECE" w:rsidR="0053135B" w:rsidRPr="00E14EBC" w:rsidRDefault="0053135B" w:rsidP="007F08F4">
      <w:pPr>
        <w:pStyle w:val="ListBullet"/>
        <w:numPr>
          <w:ilvl w:val="0"/>
          <w:numId w:val="50"/>
        </w:numPr>
        <w:jc w:val="both"/>
      </w:pPr>
      <w:r w:rsidRPr="00E14EBC">
        <w:t xml:space="preserve">1,4 miljardit </w:t>
      </w:r>
      <w:r w:rsidR="00F105AF">
        <w:t xml:space="preserve">ehk </w:t>
      </w:r>
      <w:r w:rsidRPr="00E14EBC">
        <w:t>14%</w:t>
      </w:r>
      <w:r w:rsidR="00F105AF">
        <w:t xml:space="preserve"> (u 56 miljonit eurot)</w:t>
      </w:r>
      <w:r w:rsidRPr="00E14EBC">
        <w:t xml:space="preserve"> moodustasid vaba aja ja kultuuriga seotud kulutused; </w:t>
      </w:r>
    </w:p>
    <w:p w14:paraId="6BF062C0" w14:textId="72149B89" w:rsidR="0053135B" w:rsidRPr="00E14EBC" w:rsidRDefault="0053135B" w:rsidP="007F08F4">
      <w:pPr>
        <w:pStyle w:val="ListBullet"/>
        <w:numPr>
          <w:ilvl w:val="0"/>
          <w:numId w:val="50"/>
        </w:numPr>
        <w:jc w:val="both"/>
      </w:pPr>
      <w:r w:rsidRPr="00E14EBC">
        <w:t>0,6 miljardit</w:t>
      </w:r>
      <w:r w:rsidR="00F105AF">
        <w:t>, ehk</w:t>
      </w:r>
      <w:r w:rsidRPr="00E14EBC">
        <w:t xml:space="preserve"> 6%</w:t>
      </w:r>
      <w:r w:rsidR="00F105AF">
        <w:t xml:space="preserve"> (u 24 miljoni eurot)</w:t>
      </w:r>
      <w:r w:rsidRPr="00E14EBC">
        <w:t xml:space="preserve"> moodustasid transpordile tehtud kulutused; </w:t>
      </w:r>
    </w:p>
    <w:p w14:paraId="00094056" w14:textId="77777777" w:rsidR="0053135B" w:rsidRPr="00E14EBC" w:rsidRDefault="0053135B" w:rsidP="007F08F4">
      <w:pPr>
        <w:pStyle w:val="ListBullet"/>
        <w:numPr>
          <w:ilvl w:val="0"/>
          <w:numId w:val="50"/>
        </w:numPr>
        <w:jc w:val="both"/>
      </w:pPr>
      <w:r w:rsidRPr="00E14EBC">
        <w:t xml:space="preserve">0,6 miljardit (6%) moodustasid muud kulutused. </w:t>
      </w:r>
    </w:p>
    <w:p w14:paraId="7DF5DBF6" w14:textId="33941F1A" w:rsidR="0053135B" w:rsidRPr="00E14EBC" w:rsidRDefault="0053135B" w:rsidP="005D41F2">
      <w:pPr>
        <w:jc w:val="both"/>
      </w:pPr>
      <w:r w:rsidRPr="00E14EBC">
        <w:t>Seega oli ligikaudu kolmveerand (72%)</w:t>
      </w:r>
      <w:r w:rsidR="00B059B9" w:rsidRPr="00E14EBC">
        <w:rPr>
          <w:rStyle w:val="FootnoteReference"/>
        </w:rPr>
        <w:footnoteReference w:id="251"/>
      </w:r>
      <w:r w:rsidRPr="00E14EBC">
        <w:t xml:space="preserve"> Airbnb vahendusel majutatavate külastajate kulutustest seotud majutusega mitteseotud teenustega. Samas kogu Tšehhi turismiga seotud tuludest moodustasid Airbnb-ga seotud tulud Prahas kõigest 2,4%</w:t>
      </w:r>
      <w:r w:rsidR="00EC2C12" w:rsidRPr="00E14EBC">
        <w:t>.</w:t>
      </w:r>
      <w:r w:rsidR="00B2303A" w:rsidRPr="00E14EBC">
        <w:rPr>
          <w:rStyle w:val="FootnoteReference"/>
        </w:rPr>
        <w:footnoteReference w:id="252"/>
      </w:r>
    </w:p>
    <w:p w14:paraId="5C045976" w14:textId="402418BB" w:rsidR="0053135B" w:rsidRPr="00E14EBC" w:rsidRDefault="1C8DE455" w:rsidP="00C55BCB">
      <w:pPr>
        <w:jc w:val="both"/>
      </w:pPr>
      <w:r w:rsidRPr="00E14EBC">
        <w:t>2021</w:t>
      </w:r>
      <w:r w:rsidR="122170F6" w:rsidRPr="00E14EBC">
        <w:t>.</w:t>
      </w:r>
      <w:r w:rsidRPr="00E14EBC">
        <w:t xml:space="preserve"> aastal läbi viidud uuringust selgus, et Airbnb pakkumise 1% tõus tõstab eramajade hindu 0,064% võrra ja üürihindu 0,001% võrra. Kui lisada analüüsi täiendavad kontrollmuutujad</w:t>
      </w:r>
      <w:r w:rsidR="5712F7F6" w:rsidRPr="00E14EBC">
        <w:t>,</w:t>
      </w:r>
      <w:r w:rsidRPr="00E14EBC">
        <w:t xml:space="preserve"> nagu sissetulek, töötus, rahvaarv ja haridus, väheneb Airbnb mõju märkimisväärselt ja muutub statistiliselt ebaoluliseks</w:t>
      </w:r>
      <w:r w:rsidR="021DD337" w:rsidRPr="00E14EBC">
        <w:t>.</w:t>
      </w:r>
      <w:r w:rsidR="0053135B" w:rsidRPr="00E14EBC">
        <w:fldChar w:fldCharType="begin"/>
      </w:r>
      <w:r w:rsidR="0053135B" w:rsidRPr="00E14EBC">
        <w:instrText xml:space="preserve"> NOTEREF _Ref187830028 \f \h </w:instrText>
      </w:r>
      <w:r w:rsidR="005D41F2" w:rsidRPr="00E14EBC">
        <w:instrText xml:space="preserve"> \* MERGEFORMAT </w:instrText>
      </w:r>
      <w:r w:rsidR="0053135B" w:rsidRPr="00E14EBC">
        <w:fldChar w:fldCharType="separate"/>
      </w:r>
      <w:r w:rsidR="00C55BCB" w:rsidRPr="00C55BCB">
        <w:rPr>
          <w:rStyle w:val="FootnoteReference"/>
        </w:rPr>
        <w:t>253</w:t>
      </w:r>
      <w:r w:rsidR="0053135B" w:rsidRPr="00E14EBC">
        <w:fldChar w:fldCharType="end"/>
      </w:r>
      <w:r w:rsidRPr="00E14EBC">
        <w:t xml:space="preserve"> Samas on sama aasta OECD raportis välja toodud, et turismi kasv, mis on suurendanud lühiajaliste rendiplatvormide kasutamist, on viinud üüride tõusuni ja kohalikele elanikele mõeldud üüripinna vähenemiseni</w:t>
      </w:r>
      <w:r w:rsidR="0053135B" w:rsidRPr="00E14EBC">
        <w:rPr>
          <w:rStyle w:val="FootnoteReference"/>
        </w:rPr>
        <w:footnoteReference w:id="253"/>
      </w:r>
      <w:r w:rsidRPr="00E14EBC">
        <w:t>. Samal ajal selgub, et sissetulek on kinnisvarahindade võtmetegur – 1% sissetuleku tõusuga kaasneb 1,285% kinnisvarahindade tõus. Samas võib kinnisvaraturule avalduda märgatavam mõju piirkondades, kus Airbnb pakkumine on väga kontsentreeritud</w:t>
      </w:r>
      <w:bookmarkStart w:id="197" w:name="_Ref187830028"/>
      <w:r w:rsidR="0053135B" w:rsidRPr="00E14EBC">
        <w:rPr>
          <w:rStyle w:val="FootnoteReference"/>
        </w:rPr>
        <w:footnoteReference w:id="254"/>
      </w:r>
      <w:bookmarkEnd w:id="197"/>
      <w:r w:rsidRPr="00E14EBC">
        <w:t>.</w:t>
      </w:r>
    </w:p>
    <w:p w14:paraId="2DE8FD7A" w14:textId="5EA7D8F6" w:rsidR="0053135B" w:rsidRPr="00E14EBC" w:rsidRDefault="1C8DE455" w:rsidP="005D41F2">
      <w:pPr>
        <w:jc w:val="both"/>
      </w:pPr>
      <w:r w:rsidRPr="00E14EBC">
        <w:lastRenderedPageBreak/>
        <w:t>Huvitava leiuna tuli 2018</w:t>
      </w:r>
      <w:r w:rsidR="57B1F15A" w:rsidRPr="00E14EBC">
        <w:t>.</w:t>
      </w:r>
      <w:r w:rsidRPr="00E14EBC">
        <w:t xml:space="preserve"> aastal läbi viidud uuringust välja, et Prahas Airbnb teenust pakkuvatest inimestest 7,4% kontrollisid 2018</w:t>
      </w:r>
      <w:r w:rsidR="4B98BF88" w:rsidRPr="00E14EBC">
        <w:t>.</w:t>
      </w:r>
      <w:r w:rsidRPr="00E14EBC">
        <w:t xml:space="preserve"> aastal 39,56% turust ning pakkusid majutust 7338 üüripinnal, mis moodusta</w:t>
      </w:r>
      <w:r w:rsidR="03EFB897" w:rsidRPr="00E14EBC">
        <w:t>s</w:t>
      </w:r>
      <w:r w:rsidRPr="00E14EBC">
        <w:t xml:space="preserve"> märkimisväärse turuosa</w:t>
      </w:r>
      <w:r w:rsidR="0053135B" w:rsidRPr="00E14EBC">
        <w:rPr>
          <w:rStyle w:val="FootnoteReference"/>
        </w:rPr>
        <w:footnoteReference w:id="255"/>
      </w:r>
      <w:r w:rsidRPr="00E14EBC">
        <w:t xml:space="preserve">. </w:t>
      </w:r>
    </w:p>
    <w:p w14:paraId="3211EB43" w14:textId="268AD02E" w:rsidR="00546221" w:rsidRPr="00E14EBC" w:rsidRDefault="00AC4E9C" w:rsidP="005D41F2">
      <w:pPr>
        <w:jc w:val="both"/>
      </w:pPr>
      <w:r w:rsidRPr="00E14EBC">
        <w:t xml:space="preserve">Regionaalarenguministeeriumi </w:t>
      </w:r>
      <w:r w:rsidR="005F3593" w:rsidRPr="00E14EBC">
        <w:t xml:space="preserve">sõnul võivad lühiajalise üüri teenused </w:t>
      </w:r>
      <w:r w:rsidR="00B448D7" w:rsidRPr="00E14EBC">
        <w:t xml:space="preserve">mõjutada pikaajaliste </w:t>
      </w:r>
      <w:r w:rsidR="005F3593" w:rsidRPr="00E14EBC">
        <w:t>eluasemete kättesaadavust</w:t>
      </w:r>
      <w:r w:rsidR="00432DB7" w:rsidRPr="00E14EBC">
        <w:t xml:space="preserve">. </w:t>
      </w:r>
      <w:r w:rsidR="00334AFD" w:rsidRPr="00E14EBC">
        <w:t>Üleriigilisi uuringuid pole läbi viidud, küll aga</w:t>
      </w:r>
      <w:r w:rsidR="00B448D7" w:rsidRPr="00E14EBC">
        <w:t xml:space="preserve"> tegeleb </w:t>
      </w:r>
      <w:r w:rsidR="00E71E53" w:rsidRPr="00E14EBC">
        <w:t xml:space="preserve">osaliselt </w:t>
      </w:r>
      <w:r w:rsidR="00B448D7" w:rsidRPr="00E14EBC">
        <w:t xml:space="preserve">selle </w:t>
      </w:r>
      <w:r w:rsidR="00334AFD" w:rsidRPr="00E14EBC">
        <w:t>teemaga</w:t>
      </w:r>
      <w:r w:rsidR="00B7799E" w:rsidRPr="00E14EBC">
        <w:t xml:space="preserve"> </w:t>
      </w:r>
      <w:r w:rsidR="00B448D7" w:rsidRPr="00E14EBC">
        <w:t xml:space="preserve">Praha linnavalitsus, kes </w:t>
      </w:r>
      <w:r w:rsidR="00E71E53" w:rsidRPr="00E14EBC">
        <w:t>on tuginenud</w:t>
      </w:r>
      <w:r w:rsidR="00856CE4" w:rsidRPr="00E14EBC">
        <w:t xml:space="preserve"> </w:t>
      </w:r>
      <w:r w:rsidR="00E71E53" w:rsidRPr="00E14EBC">
        <w:t xml:space="preserve">senistes hinnangutes oma </w:t>
      </w:r>
      <w:r w:rsidR="00856CE4" w:rsidRPr="00E14EBC">
        <w:t>Planeerimis- ja Arenguinstituudilt</w:t>
      </w:r>
      <w:r w:rsidR="00E71E53" w:rsidRPr="00E14EBC">
        <w:t xml:space="preserve"> </w:t>
      </w:r>
      <w:r w:rsidR="00FD7D60" w:rsidRPr="00E14EBC">
        <w:t xml:space="preserve">(IPR) </w:t>
      </w:r>
      <w:r w:rsidR="00E71E53" w:rsidRPr="00E14EBC">
        <w:t>saadavatele andmetele</w:t>
      </w:r>
      <w:r w:rsidR="00856CE4" w:rsidRPr="00E14EBC">
        <w:t xml:space="preserve">. </w:t>
      </w:r>
    </w:p>
    <w:p w14:paraId="05AE808D" w14:textId="71F51C3E" w:rsidR="00AF06C4" w:rsidRPr="00E14EBC" w:rsidRDefault="0C6AC031" w:rsidP="005D41F2">
      <w:pPr>
        <w:jc w:val="both"/>
      </w:pPr>
      <w:r>
        <w:t>Samuti</w:t>
      </w:r>
      <w:r w:rsidR="54D270F2">
        <w:t xml:space="preserve"> on täheldatud, et </w:t>
      </w:r>
      <w:r w:rsidR="66C1AE32">
        <w:t xml:space="preserve">lühiajalise majutuse pinnad paiknevad </w:t>
      </w:r>
      <w:r w:rsidR="5B3DEF00">
        <w:t>samades hoonetes</w:t>
      </w:r>
      <w:r w:rsidR="503B3FC0">
        <w:t>,</w:t>
      </w:r>
      <w:r w:rsidR="5B3DEF00">
        <w:t xml:space="preserve"> kus</w:t>
      </w:r>
      <w:r w:rsidR="66C1AE32">
        <w:t xml:space="preserve"> pikaajalis</w:t>
      </w:r>
      <w:r w:rsidR="5B3DEF00">
        <w:t>ed</w:t>
      </w:r>
      <w:r w:rsidR="66C1AE32">
        <w:t xml:space="preserve"> </w:t>
      </w:r>
      <w:r w:rsidR="7D039C80">
        <w:t>üürnik</w:t>
      </w:r>
      <w:r w:rsidR="5B3DEF00">
        <w:t>udki.</w:t>
      </w:r>
      <w:r w:rsidR="7D039C80">
        <w:t xml:space="preserve"> </w:t>
      </w:r>
      <w:r w:rsidR="5B3DEF00">
        <w:t>T</w:t>
      </w:r>
      <w:r w:rsidR="7D039C80">
        <w:t>uristide ja pikaajaliste elanike vahel esineb mõnikord probleeme, mis nõuavad politsei sekkumist.</w:t>
      </w:r>
      <w:r w:rsidR="755093BE">
        <w:t xml:space="preserve"> </w:t>
      </w:r>
      <w:r w:rsidR="18EEF332">
        <w:t>Teisalt</w:t>
      </w:r>
      <w:r w:rsidR="755093BE">
        <w:t xml:space="preserve"> </w:t>
      </w:r>
      <w:r w:rsidR="6C6E26B5">
        <w:t xml:space="preserve">puudub </w:t>
      </w:r>
      <w:r w:rsidR="18EEF332">
        <w:t xml:space="preserve">selles osas </w:t>
      </w:r>
      <w:r w:rsidR="6C6E26B5">
        <w:t>selgus</w:t>
      </w:r>
      <w:r w:rsidR="18EEF332">
        <w:t>,</w:t>
      </w:r>
      <w:r w:rsidR="3192C32A">
        <w:t xml:space="preserve"> milline on selle</w:t>
      </w:r>
      <w:r w:rsidR="6C6E26B5">
        <w:t xml:space="preserve"> mõju tegelik ulatus</w:t>
      </w:r>
      <w:r w:rsidR="55C8D0E4">
        <w:t>.</w:t>
      </w:r>
      <w:r w:rsidR="3192C32A">
        <w:t xml:space="preserve"> </w:t>
      </w:r>
    </w:p>
    <w:p w14:paraId="5E510397" w14:textId="77777777" w:rsidR="0053135B" w:rsidRPr="00156AFD" w:rsidRDefault="1C8DE455" w:rsidP="288A3578">
      <w:pPr>
        <w:pStyle w:val="Heading5"/>
        <w:numPr>
          <w:ilvl w:val="0"/>
          <w:numId w:val="0"/>
        </w:numPr>
        <w:ind w:left="1077" w:hanging="1077"/>
        <w:jc w:val="both"/>
        <w:rPr>
          <w:rStyle w:val="PurpleText"/>
          <w:rFonts w:hint="eastAsia"/>
          <w:b/>
          <w:color w:val="auto"/>
        </w:rPr>
      </w:pPr>
      <w:r w:rsidRPr="00156AFD">
        <w:rPr>
          <w:rStyle w:val="PurpleText"/>
          <w:rFonts w:hint="eastAsia"/>
          <w:b/>
          <w:color w:val="auto"/>
        </w:rPr>
        <w:t>Mõjud (kokkuvõte)</w:t>
      </w:r>
    </w:p>
    <w:p w14:paraId="6503A2A0" w14:textId="5DAC7C91" w:rsidR="0053135B" w:rsidRPr="00E14EBC" w:rsidRDefault="00CC2B8B" w:rsidP="00A364B8">
      <w:pPr>
        <w:pStyle w:val="ListParagraph"/>
        <w:numPr>
          <w:ilvl w:val="0"/>
          <w:numId w:val="15"/>
        </w:numPr>
        <w:ind w:left="720"/>
        <w:jc w:val="both"/>
      </w:pPr>
      <w:r w:rsidRPr="00E14EBC">
        <w:t>Tšehhi m</w:t>
      </w:r>
      <w:r w:rsidR="0053135B" w:rsidRPr="00E14EBC">
        <w:t>ajandusministeeriumi hinnangu kohaselt jäetakse 40</w:t>
      </w:r>
      <w:r w:rsidRPr="00E14EBC">
        <w:t>–</w:t>
      </w:r>
      <w:r w:rsidR="0053135B" w:rsidRPr="00E14EBC">
        <w:t>70% jagamismajanduse tehingutest teavitamata, kuna kehtiva õigusraamistiku järgi ei saa riik üürile andjaid selleks kohustada. Majandusministeeriumi andmetel jääb nii riigil kui ka omavalitsustel teavitamata jäetud tehingute arvelt maksutulu teenimata.</w:t>
      </w:r>
    </w:p>
    <w:p w14:paraId="5782CE1B" w14:textId="77777777" w:rsidR="0053135B" w:rsidRPr="00E14EBC" w:rsidRDefault="0053135B" w:rsidP="00A364B8">
      <w:pPr>
        <w:pStyle w:val="ListParagraph"/>
        <w:numPr>
          <w:ilvl w:val="1"/>
          <w:numId w:val="15"/>
        </w:numPr>
        <w:tabs>
          <w:tab w:val="left" w:pos="1440"/>
        </w:tabs>
        <w:ind w:left="1170"/>
        <w:jc w:val="both"/>
        <w:rPr>
          <w:b/>
          <w:bCs/>
        </w:rPr>
      </w:pPr>
      <w:r w:rsidRPr="00E14EBC">
        <w:rPr>
          <w:b/>
          <w:bCs/>
        </w:rPr>
        <w:t xml:space="preserve">Riigil jääb lühiajalise üüri turult aastas keskmiselt teenimata ligi 800 miljonit krooni </w:t>
      </w:r>
      <w:r w:rsidRPr="00E14EBC">
        <w:t xml:space="preserve">(u 32 miljonit eurot) </w:t>
      </w:r>
      <w:r w:rsidRPr="00E14EBC">
        <w:rPr>
          <w:b/>
          <w:bCs/>
        </w:rPr>
        <w:t>maksutulu.</w:t>
      </w:r>
    </w:p>
    <w:p w14:paraId="5029D6EC" w14:textId="28480BFF" w:rsidR="0053135B" w:rsidRPr="00E14EBC" w:rsidRDefault="0053135B" w:rsidP="00A364B8">
      <w:pPr>
        <w:pStyle w:val="ListParagraph"/>
        <w:numPr>
          <w:ilvl w:val="1"/>
          <w:numId w:val="15"/>
        </w:numPr>
        <w:tabs>
          <w:tab w:val="left" w:pos="1440"/>
        </w:tabs>
        <w:ind w:left="1170"/>
        <w:jc w:val="both"/>
        <w:rPr>
          <w:b/>
          <w:bCs/>
        </w:rPr>
      </w:pPr>
      <w:r w:rsidRPr="00E14EBC">
        <w:rPr>
          <w:b/>
          <w:bCs/>
        </w:rPr>
        <w:t xml:space="preserve">Kohalikel omavalitsustel jääb aastas keskmiselt teenimata 55 miljonit krooni </w:t>
      </w:r>
      <w:r w:rsidRPr="00E14EBC">
        <w:t xml:space="preserve">(2,2 miljonit eurot) </w:t>
      </w:r>
      <w:r w:rsidRPr="00E14EBC">
        <w:rPr>
          <w:b/>
          <w:bCs/>
        </w:rPr>
        <w:t>elukohatasusid</w:t>
      </w:r>
      <w:r w:rsidR="00A223AA">
        <w:rPr>
          <w:b/>
          <w:bCs/>
        </w:rPr>
        <w:t xml:space="preserve"> </w:t>
      </w:r>
      <w:r w:rsidR="00A223AA">
        <w:t xml:space="preserve">(ingl </w:t>
      </w:r>
      <w:r w:rsidR="00A223AA" w:rsidRPr="006D3FF8">
        <w:rPr>
          <w:i/>
          <w:iCs/>
        </w:rPr>
        <w:t>residence fee</w:t>
      </w:r>
      <w:r w:rsidR="00A223AA">
        <w:t>)</w:t>
      </w:r>
      <w:r w:rsidRPr="00E14EBC">
        <w:rPr>
          <w:b/>
          <w:bCs/>
        </w:rPr>
        <w:t>.</w:t>
      </w:r>
    </w:p>
    <w:p w14:paraId="7026F1E6" w14:textId="77777777" w:rsidR="0053135B" w:rsidRPr="00E14EBC" w:rsidRDefault="0053135B" w:rsidP="00A364B8">
      <w:pPr>
        <w:pStyle w:val="ListParagraph"/>
        <w:numPr>
          <w:ilvl w:val="1"/>
          <w:numId w:val="15"/>
        </w:numPr>
        <w:tabs>
          <w:tab w:val="left" w:pos="1440"/>
        </w:tabs>
        <w:ind w:left="1170"/>
        <w:jc w:val="both"/>
      </w:pPr>
      <w:r w:rsidRPr="00E14EBC">
        <w:rPr>
          <w:b/>
          <w:bCs/>
        </w:rPr>
        <w:t>Reguleerimata lühiajalise üüri turg ei motiveeri teenuse pakkujaid oma tegevusest teavitama ning tulusid deklareerima.</w:t>
      </w:r>
    </w:p>
    <w:p w14:paraId="211B006A" w14:textId="4271EBB6" w:rsidR="0053135B" w:rsidRPr="00E14EBC" w:rsidRDefault="1C8DE455" w:rsidP="288A3578">
      <w:pPr>
        <w:pStyle w:val="ListParagraph"/>
        <w:numPr>
          <w:ilvl w:val="1"/>
          <w:numId w:val="15"/>
        </w:numPr>
        <w:tabs>
          <w:tab w:val="left" w:pos="1440"/>
        </w:tabs>
        <w:ind w:left="1170"/>
        <w:jc w:val="both"/>
        <w:rPr>
          <w:szCs w:val="24"/>
        </w:rPr>
      </w:pPr>
      <w:r>
        <w:t xml:space="preserve">Olukorra survel </w:t>
      </w:r>
      <w:r w:rsidR="13B8FEFC">
        <w:t xml:space="preserve">luuakse </w:t>
      </w:r>
      <w:r>
        <w:t>Regionaalarengu ministeeriumi juhitava seadusemuudatusega õigusraamistik maksutulu kogumiseks, järelevalve teostamiseks ning teavitamata jätvate üürileandjate trahvimiseks.</w:t>
      </w:r>
    </w:p>
    <w:p w14:paraId="23EB9FBA" w14:textId="04CD6A4A" w:rsidR="0053135B" w:rsidRPr="00E14EBC" w:rsidRDefault="0053135B" w:rsidP="00A364B8">
      <w:pPr>
        <w:pStyle w:val="ListParagraph"/>
        <w:numPr>
          <w:ilvl w:val="0"/>
          <w:numId w:val="15"/>
        </w:numPr>
        <w:ind w:left="720"/>
        <w:jc w:val="both"/>
      </w:pPr>
      <w:r w:rsidRPr="00E14EBC">
        <w:t>STEM/MARK 2024. aasta uuring:</w:t>
      </w:r>
      <w:r w:rsidR="00DF5AF9" w:rsidRPr="00E14EBC">
        <w:rPr>
          <w:rStyle w:val="FootnoteReference"/>
        </w:rPr>
        <w:footnoteReference w:id="256"/>
      </w:r>
      <w:r w:rsidRPr="00E14EBC">
        <w:t xml:space="preserve"> 25% Tšehhi kodanikest (sh umbes 50% Praha elanikest) tunnetavad, et lühiajalise üüri turuga kaasneb rohkem negatiivseid kui positiivseid mõjusid. Nendeks (tunnetuslikeks) mõjudeks on lärmakate ja joobes turistide koondumine elamupiirkondadesse ning üürihindade tõus linnades.</w:t>
      </w:r>
    </w:p>
    <w:p w14:paraId="215B6569" w14:textId="77777777" w:rsidR="0053135B" w:rsidRPr="00E14EBC" w:rsidRDefault="0053135B" w:rsidP="00A364B8">
      <w:pPr>
        <w:pStyle w:val="ListParagraph"/>
        <w:numPr>
          <w:ilvl w:val="1"/>
          <w:numId w:val="15"/>
        </w:numPr>
        <w:ind w:left="1170"/>
        <w:jc w:val="both"/>
        <w:rPr>
          <w:b/>
          <w:bCs/>
        </w:rPr>
      </w:pPr>
      <w:r w:rsidRPr="00E14EBC">
        <w:rPr>
          <w:b/>
          <w:bCs/>
        </w:rPr>
        <w:t>¼ kodanike hinnangul on lühiajalise üüri turu mõju elukeskkonnale negatiivne.</w:t>
      </w:r>
    </w:p>
    <w:p w14:paraId="4A4E2185" w14:textId="77777777" w:rsidR="0053135B" w:rsidRPr="00E14EBC" w:rsidRDefault="0053135B" w:rsidP="00A364B8">
      <w:pPr>
        <w:pStyle w:val="ListParagraph"/>
        <w:numPr>
          <w:ilvl w:val="1"/>
          <w:numId w:val="15"/>
        </w:numPr>
        <w:ind w:left="1170"/>
        <w:jc w:val="both"/>
        <w:rPr>
          <w:b/>
          <w:bCs/>
        </w:rPr>
      </w:pPr>
      <w:r w:rsidRPr="00E14EBC">
        <w:rPr>
          <w:b/>
          <w:bCs/>
        </w:rPr>
        <w:t>Lühiajalise üüri turu negatiivsed mõjud elukeskkonnale põhinevad tunnetuslikele alustele.</w:t>
      </w:r>
    </w:p>
    <w:p w14:paraId="3268C3E2" w14:textId="0D66A21F" w:rsidR="0053135B" w:rsidRPr="00E14EBC" w:rsidRDefault="1C8DE455" w:rsidP="288A3578">
      <w:pPr>
        <w:pStyle w:val="ListParagraph"/>
        <w:numPr>
          <w:ilvl w:val="0"/>
          <w:numId w:val="15"/>
        </w:numPr>
        <w:ind w:left="720"/>
        <w:jc w:val="both"/>
        <w:rPr>
          <w:szCs w:val="24"/>
        </w:rPr>
      </w:pPr>
      <w:r>
        <w:t>Vastupidiselt, 2021. aastal Charles-i Ülikoolis kaitstud Airbnb teemalise magistritöö kohaselt tõstab Airbnb pakkumiste</w:t>
      </w:r>
      <w:r w:rsidR="00F7F67C">
        <w:t xml:space="preserve"> suurenemine 1% võrra</w:t>
      </w:r>
      <w:r>
        <w:t xml:space="preserve"> üürihindu ainult 0,001% .</w:t>
      </w:r>
    </w:p>
    <w:p w14:paraId="782F8366" w14:textId="35663AAE" w:rsidR="0053135B" w:rsidRPr="00E14EBC" w:rsidRDefault="1C8DE455" w:rsidP="00A364B8">
      <w:pPr>
        <w:pStyle w:val="ListParagraph"/>
        <w:numPr>
          <w:ilvl w:val="1"/>
          <w:numId w:val="15"/>
        </w:numPr>
        <w:ind w:left="1170"/>
        <w:jc w:val="both"/>
      </w:pPr>
      <w:r>
        <w:t xml:space="preserve">Magistritöö kohaselt </w:t>
      </w:r>
      <w:r w:rsidRPr="288A3578">
        <w:rPr>
          <w:b/>
          <w:bCs/>
        </w:rPr>
        <w:t>lühiajalise üüri turg ei avalda üürihindadele täiendavat survet</w:t>
      </w:r>
      <w:r>
        <w:t>.</w:t>
      </w:r>
    </w:p>
    <w:p w14:paraId="5A5A7F5B" w14:textId="332FF5B1" w:rsidR="0053135B" w:rsidRPr="00E14EBC" w:rsidRDefault="0053135B" w:rsidP="0087315E">
      <w:pPr>
        <w:pStyle w:val="Heading3"/>
        <w:numPr>
          <w:ilvl w:val="0"/>
          <w:numId w:val="0"/>
        </w:numPr>
        <w:ind w:left="720" w:hanging="720"/>
        <w:rPr>
          <w:rStyle w:val="PurpleText"/>
          <w:rFonts w:hint="eastAsia"/>
        </w:rPr>
      </w:pPr>
      <w:bookmarkStart w:id="198" w:name="_Toc188274001"/>
      <w:bookmarkStart w:id="199" w:name="_Toc197718091"/>
      <w:bookmarkStart w:id="200" w:name="_Toc208991645"/>
      <w:r w:rsidRPr="00E14EBC">
        <w:rPr>
          <w:rStyle w:val="PurpleText"/>
        </w:rPr>
        <w:lastRenderedPageBreak/>
        <w:t>Šveits</w:t>
      </w:r>
      <w:bookmarkEnd w:id="198"/>
      <w:bookmarkEnd w:id="199"/>
      <w:bookmarkEnd w:id="200"/>
      <w:r w:rsidRPr="00E14EBC">
        <w:rPr>
          <w:rStyle w:val="PurpleText"/>
        </w:rPr>
        <w:t xml:space="preserve"> </w:t>
      </w:r>
    </w:p>
    <w:p w14:paraId="5CD4AB83" w14:textId="77777777" w:rsidR="0053135B" w:rsidRPr="00E14EBC" w:rsidRDefault="0053135B" w:rsidP="0087315E">
      <w:pPr>
        <w:pStyle w:val="Heading5"/>
        <w:numPr>
          <w:ilvl w:val="0"/>
          <w:numId w:val="0"/>
        </w:numPr>
        <w:ind w:left="1077" w:hanging="1077"/>
        <w:rPr>
          <w:rFonts w:asciiTheme="minorHAnsi" w:hAnsiTheme="minorHAnsi" w:cstheme="minorHAnsi"/>
          <w:color w:val="auto"/>
        </w:rPr>
      </w:pPr>
      <w:bookmarkStart w:id="201" w:name="_Toc188274002"/>
      <w:r w:rsidRPr="00E14EBC">
        <w:rPr>
          <w:color w:val="auto"/>
        </w:rPr>
        <w:t>Lühiajalise üüri</w:t>
      </w:r>
      <w:r w:rsidRPr="00E14EBC">
        <w:rPr>
          <w:rFonts w:asciiTheme="minorHAnsi" w:hAnsiTheme="minorHAnsi" w:cstheme="minorHAnsi"/>
          <w:color w:val="auto"/>
        </w:rPr>
        <w:t xml:space="preserve"> </w:t>
      </w:r>
      <w:r w:rsidRPr="00E14EBC">
        <w:rPr>
          <w:rFonts w:asciiTheme="minorHAnsi" w:hAnsiTheme="minorHAnsi" w:cstheme="minorHAnsi"/>
          <w:b/>
          <w:bCs/>
          <w:color w:val="auto"/>
        </w:rPr>
        <w:t>turu mõiste</w:t>
      </w:r>
      <w:bookmarkEnd w:id="201"/>
      <w:r w:rsidRPr="00E14EBC">
        <w:rPr>
          <w:rFonts w:asciiTheme="minorHAnsi" w:hAnsiTheme="minorHAnsi" w:cstheme="minorHAnsi"/>
          <w:color w:val="auto"/>
        </w:rPr>
        <w:t xml:space="preserve"> </w:t>
      </w:r>
    </w:p>
    <w:p w14:paraId="65C4982E" w14:textId="77777777" w:rsidR="0053135B" w:rsidRPr="00E14EBC" w:rsidRDefault="0053135B" w:rsidP="005D41F2">
      <w:pPr>
        <w:jc w:val="both"/>
      </w:pPr>
      <w:r w:rsidRPr="00E14EBC">
        <w:t>Ühtset mõistet Šveitsist lühiajalise üüri turu kohta leida on võrdlemisi raske. Šveitsi Föderaalne Elamumajandusamet (BWO) on välja toonud, et ülemaailmsete vahendusplatvormide, näiteks Airbnb ja Booking.com, tulekuga tagatakse nii turistidele kui rendileandjatele võimalus mugavalt ja kiirelt renditehinguid teha. Platvormide atraktiivsus suurendas riigis kodujagamise ehk omakasutatud elamispinna ajutise jagamise levikut. Seejuures on märgitud, et kodu jagamise turg on eemaldunud oma traditsioonilisest olemusest ning laienenud</w:t>
      </w:r>
      <w:bookmarkStart w:id="202" w:name="_Ref187760258"/>
      <w:r w:rsidRPr="00E14EBC">
        <w:t xml:space="preserve"> </w:t>
      </w:r>
      <w:bookmarkEnd w:id="202"/>
      <w:r w:rsidRPr="00E14EBC">
        <w:t>uut</w:t>
      </w:r>
      <w:bookmarkStart w:id="203" w:name="_Ref187760284"/>
      <w:r w:rsidRPr="00E14EBC">
        <w:t>e</w:t>
      </w:r>
      <w:bookmarkEnd w:id="203"/>
      <w:r w:rsidRPr="00E14EBC">
        <w:t>le ärimudelitele.</w:t>
      </w:r>
      <w:bookmarkStart w:id="204" w:name="_Ref187760083"/>
      <w:r w:rsidRPr="00E14EBC">
        <w:rPr>
          <w:rStyle w:val="FootnoteReference"/>
        </w:rPr>
        <w:footnoteReference w:id="257"/>
      </w:r>
      <w:bookmarkEnd w:id="204"/>
    </w:p>
    <w:p w14:paraId="420F0383" w14:textId="77777777" w:rsidR="0053135B" w:rsidRPr="00E14EBC" w:rsidRDefault="1C8DE455" w:rsidP="288A3578">
      <w:pPr>
        <w:pStyle w:val="Heading5"/>
        <w:numPr>
          <w:ilvl w:val="0"/>
          <w:numId w:val="0"/>
        </w:numPr>
        <w:ind w:left="1077" w:hanging="1077"/>
        <w:jc w:val="both"/>
        <w:rPr>
          <w:rFonts w:asciiTheme="minorHAnsi" w:hAnsiTheme="minorHAnsi" w:cstheme="minorBidi"/>
          <w:color w:val="auto"/>
        </w:rPr>
      </w:pPr>
      <w:bookmarkStart w:id="205" w:name="_Toc188274003"/>
      <w:r w:rsidRPr="288A3578">
        <w:rPr>
          <w:color w:val="auto"/>
        </w:rPr>
        <w:t xml:space="preserve">Üürituru </w:t>
      </w:r>
      <w:r w:rsidRPr="00156AFD">
        <w:rPr>
          <w:rFonts w:hint="eastAsia"/>
          <w:b/>
          <w:color w:val="auto"/>
        </w:rPr>
        <w:t>regulatsioonid</w:t>
      </w:r>
      <w:r w:rsidRPr="00156AFD">
        <w:rPr>
          <w:rFonts w:asciiTheme="minorHAnsi" w:hAnsiTheme="minorHAnsi" w:cstheme="minorBidi"/>
          <w:b/>
          <w:color w:val="auto"/>
        </w:rPr>
        <w:t xml:space="preserve"> </w:t>
      </w:r>
      <w:r w:rsidRPr="288A3578">
        <w:rPr>
          <w:rFonts w:asciiTheme="minorHAnsi" w:hAnsiTheme="minorHAnsi" w:cstheme="minorBidi"/>
          <w:b/>
          <w:bCs/>
          <w:color w:val="auto"/>
        </w:rPr>
        <w:t>ja osapooled</w:t>
      </w:r>
      <w:bookmarkEnd w:id="205"/>
    </w:p>
    <w:p w14:paraId="55069A85" w14:textId="2DE600A0" w:rsidR="0053135B" w:rsidRPr="00E14EBC" w:rsidRDefault="1C8DE455" w:rsidP="005D41F2">
      <w:pPr>
        <w:jc w:val="both"/>
      </w:pPr>
      <w:r w:rsidRPr="00E14EBC">
        <w:t>Šveitsis ei ole föderaalseid seadusi, mis keelaks lühiajalise üüri, kuid omanikud peavad deklareerima välismaalased kantoni ametivõimudele, järgides välismaalaste ja integratsiooni seaduse artiklit 16. Mõned kantonid ja omavalitsused on aga kehtestanud erireeglid lühiajaliste üüride kohta</w:t>
      </w:r>
      <w:bookmarkStart w:id="206" w:name="_Ref187671915"/>
      <w:r w:rsidR="0053135B" w:rsidRPr="00E14EBC">
        <w:rPr>
          <w:rStyle w:val="FootnoteReference"/>
        </w:rPr>
        <w:footnoteReference w:id="258"/>
      </w:r>
      <w:bookmarkEnd w:id="206"/>
      <w:r w:rsidRPr="00E14EBC">
        <w:t xml:space="preserve">. Šveitsis </w:t>
      </w:r>
      <w:r w:rsidR="03A12168">
        <w:t xml:space="preserve">tuleb </w:t>
      </w:r>
      <w:r w:rsidRPr="00E14EBC">
        <w:t xml:space="preserve">lühiajalise majutuse pakkumisel tasuda </w:t>
      </w:r>
      <w:r w:rsidRPr="00E14EBC">
        <w:rPr>
          <w:b/>
          <w:bCs/>
        </w:rPr>
        <w:t>tulumaksu</w:t>
      </w:r>
      <w:r w:rsidRPr="00E14EBC">
        <w:t xml:space="preserve">, </w:t>
      </w:r>
      <w:r w:rsidRPr="00E14EBC">
        <w:rPr>
          <w:b/>
          <w:bCs/>
        </w:rPr>
        <w:t>varamaksu</w:t>
      </w:r>
      <w:r w:rsidRPr="00E14EBC">
        <w:t xml:space="preserve">, </w:t>
      </w:r>
      <w:r w:rsidRPr="00E14EBC">
        <w:rPr>
          <w:b/>
          <w:bCs/>
        </w:rPr>
        <w:t>kohalikku turismimaksu</w:t>
      </w:r>
      <w:r w:rsidRPr="00E14EBC">
        <w:t xml:space="preserve"> ja </w:t>
      </w:r>
      <w:r w:rsidRPr="00E14EBC">
        <w:rPr>
          <w:b/>
          <w:bCs/>
        </w:rPr>
        <w:t>käibemaksu</w:t>
      </w:r>
      <w:r w:rsidRPr="00E14EBC">
        <w:t>. Üüritulu võib kvalifitseeruda iseseisva ettevõtluse tegevuseks, kui tegevus ületab pelgalt isikliku vara haldamist. Kui ainult väike arv tube, kortereid või maju on välja üüritud ja omaniku või kolmandate isikute tegevus ei ole ulatuslik, loetakse üürimine tavaliselt isiklikuks vara haldamiseks. Omaniku ulatuslik tegevus võib hõlmata lisaks rentimisele lisateenuseid, näiteks toitlustamine, toateenindus, igapäevane koristamine, vastuvõtt</w:t>
      </w:r>
      <w:r w:rsidR="0053135B" w:rsidRPr="00E14EBC">
        <w:rPr>
          <w:rStyle w:val="FootnoteReference"/>
        </w:rPr>
        <w:footnoteReference w:id="259"/>
      </w:r>
      <w:r w:rsidRPr="00E14EBC">
        <w:t>.</w:t>
      </w:r>
    </w:p>
    <w:p w14:paraId="7962C9AA" w14:textId="5AE2A7E4" w:rsidR="0053135B" w:rsidRPr="00E14EBC" w:rsidRDefault="0053135B" w:rsidP="005D41F2">
      <w:pPr>
        <w:jc w:val="both"/>
      </w:pPr>
      <w:r w:rsidRPr="00E14EBC">
        <w:t>Põhiseaduslikult on eesmärgiks tagada kogu Šveitsis elanikkonna põhivajaduste rahuldamine, sealhulgas eluaseme vajadus. Selle eesmärgi täitmiseks on nii riigil kui ka kantonitel kohustus tagada, et eluaset otsivad isikud ja nende pereliikmed saaksid leida endale sobiva elamispinna mõistlikel tingimustel, eelkõige mõistliku hinna eest</w:t>
      </w:r>
      <w:r w:rsidR="004D7266" w:rsidRPr="00E14EBC">
        <w:t>.</w:t>
      </w:r>
      <w:r w:rsidR="00A40FCD" w:rsidRPr="00E14EBC">
        <w:rPr>
          <w:rStyle w:val="FootnoteReference"/>
        </w:rPr>
        <w:footnoteReference w:id="260"/>
      </w:r>
    </w:p>
    <w:p w14:paraId="5DDF676E" w14:textId="0CEFE05A" w:rsidR="0053135B" w:rsidRPr="00E14EBC" w:rsidRDefault="0053135B" w:rsidP="005D41F2">
      <w:pPr>
        <w:jc w:val="both"/>
      </w:pPr>
      <w:r w:rsidRPr="00E14EBC">
        <w:t>Šveitsis kehtivad kantonit</w:t>
      </w:r>
      <w:r w:rsidR="008D7699" w:rsidRPr="00E14EBC">
        <w:t>e</w:t>
      </w:r>
      <w:r w:rsidR="00B37088" w:rsidRPr="00E14EBC">
        <w:t xml:space="preserve"> ja kohalike omavalitsuste</w:t>
      </w:r>
      <w:r w:rsidR="008D7699" w:rsidRPr="00E14EBC">
        <w:t xml:space="preserve"> kaupa</w:t>
      </w:r>
      <w:r w:rsidRPr="00E14EBC">
        <w:t xml:space="preserve"> erinevad regulatsioonid seoses lühiajalise üürimisega</w:t>
      </w:r>
      <w:r w:rsidR="00B37088" w:rsidRPr="00E14EBC">
        <w:t xml:space="preserve">, mis on kajastatud alljärgnevas tabelis. </w:t>
      </w:r>
    </w:p>
    <w:p w14:paraId="5E8FDDB9" w14:textId="407232F9" w:rsidR="0053135B" w:rsidRPr="00E14EBC" w:rsidRDefault="0053135B" w:rsidP="00993966">
      <w:pPr>
        <w:pStyle w:val="Caption"/>
      </w:pPr>
      <w:bookmarkStart w:id="207" w:name="_Ref194067784"/>
      <w:r w:rsidRPr="00E14EBC">
        <w:t xml:space="preserve">Tabel </w:t>
      </w:r>
      <w:bookmarkEnd w:id="207"/>
      <w:r w:rsidR="00B67939" w:rsidRPr="00E14EBC">
        <w:t>1</w:t>
      </w:r>
      <w:r w:rsidR="001E5B0D">
        <w:t>4</w:t>
      </w:r>
      <w:r w:rsidR="00993966" w:rsidRPr="00E14EBC">
        <w:t>:</w:t>
      </w:r>
      <w:r w:rsidRPr="00E14EBC">
        <w:t xml:space="preserve"> Šveitsi kantonites kehtivad lühiajalise üüri reeglid</w:t>
      </w:r>
      <w:r w:rsidR="00F9424F" w:rsidRPr="00E14EBC">
        <w:rPr>
          <w:rStyle w:val="FootnoteReference"/>
        </w:rPr>
        <w:footnoteReference w:id="261"/>
      </w:r>
    </w:p>
    <w:tbl>
      <w:tblPr>
        <w:tblStyle w:val="CivittaGreyTable"/>
        <w:tblW w:w="0" w:type="auto"/>
        <w:tblLook w:val="04A0" w:firstRow="1" w:lastRow="0" w:firstColumn="1" w:lastColumn="0" w:noHBand="0" w:noVBand="1"/>
      </w:tblPr>
      <w:tblGrid>
        <w:gridCol w:w="1975"/>
        <w:gridCol w:w="8100"/>
      </w:tblGrid>
      <w:tr w:rsidR="00536E33" w:rsidRPr="00E14EBC" w14:paraId="7BA415DE" w14:textId="77777777" w:rsidTr="00B473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5039D839" w14:textId="77777777" w:rsidR="0053135B" w:rsidRPr="00E14EBC" w:rsidRDefault="0053135B">
            <w:pPr>
              <w:jc w:val="center"/>
              <w:rPr>
                <w:sz w:val="20"/>
                <w:szCs w:val="20"/>
              </w:rPr>
            </w:pPr>
            <w:r w:rsidRPr="00E14EBC">
              <w:rPr>
                <w:sz w:val="20"/>
                <w:szCs w:val="20"/>
              </w:rPr>
              <w:t>Kanton</w:t>
            </w:r>
          </w:p>
        </w:tc>
        <w:tc>
          <w:tcPr>
            <w:tcW w:w="8100" w:type="dxa"/>
          </w:tcPr>
          <w:p w14:paraId="5628F0A0" w14:textId="77777777" w:rsidR="0053135B" w:rsidRPr="00E14EBC" w:rsidRDefault="0053135B">
            <w:pPr>
              <w:jc w:val="center"/>
              <w:cnfStyle w:val="100000000000" w:firstRow="1" w:lastRow="0" w:firstColumn="0" w:lastColumn="0" w:oddVBand="0" w:evenVBand="0" w:oddHBand="0" w:evenHBand="0" w:firstRowFirstColumn="0" w:firstRowLastColumn="0" w:lastRowFirstColumn="0" w:lastRowLastColumn="0"/>
              <w:rPr>
                <w:sz w:val="20"/>
                <w:szCs w:val="20"/>
              </w:rPr>
            </w:pPr>
            <w:r w:rsidRPr="00E14EBC">
              <w:rPr>
                <w:sz w:val="20"/>
                <w:szCs w:val="20"/>
              </w:rPr>
              <w:t>Regulatsioonid</w:t>
            </w:r>
          </w:p>
        </w:tc>
      </w:tr>
      <w:tr w:rsidR="00536E33" w:rsidRPr="00E14EBC" w14:paraId="505107C1" w14:textId="77777777" w:rsidTr="00B4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60E7ED7E" w14:textId="77777777" w:rsidR="0053135B" w:rsidRPr="00E14EBC" w:rsidRDefault="0053135B" w:rsidP="00713C82">
            <w:pPr>
              <w:rPr>
                <w:sz w:val="20"/>
                <w:szCs w:val="20"/>
              </w:rPr>
            </w:pPr>
            <w:r w:rsidRPr="00E14EBC">
              <w:rPr>
                <w:sz w:val="20"/>
                <w:szCs w:val="20"/>
              </w:rPr>
              <w:t>Basel-Landschaft</w:t>
            </w:r>
          </w:p>
        </w:tc>
        <w:tc>
          <w:tcPr>
            <w:tcW w:w="8100" w:type="dxa"/>
          </w:tcPr>
          <w:p w14:paraId="3C8EE0C0" w14:textId="77777777" w:rsidR="0053135B" w:rsidRPr="00E14EBC" w:rsidRDefault="0053135B" w:rsidP="00713C82">
            <w:pPr>
              <w:cnfStyle w:val="000000100000" w:firstRow="0" w:lastRow="0" w:firstColumn="0" w:lastColumn="0" w:oddVBand="0" w:evenVBand="0" w:oddHBand="1" w:evenHBand="0" w:firstRowFirstColumn="0" w:firstRowLastColumn="0" w:lastRowFirstColumn="0" w:lastRowLastColumn="0"/>
              <w:rPr>
                <w:sz w:val="20"/>
                <w:szCs w:val="20"/>
              </w:rPr>
            </w:pPr>
            <w:r w:rsidRPr="00E14EBC">
              <w:rPr>
                <w:sz w:val="20"/>
                <w:szCs w:val="20"/>
              </w:rPr>
              <w:t>Kohustus koguda turismimaksu</w:t>
            </w:r>
          </w:p>
        </w:tc>
      </w:tr>
      <w:tr w:rsidR="00B425E4" w:rsidRPr="00E14EBC" w14:paraId="546357A6" w14:textId="77777777" w:rsidTr="00B47329">
        <w:tc>
          <w:tcPr>
            <w:cnfStyle w:val="001000000000" w:firstRow="0" w:lastRow="0" w:firstColumn="1" w:lastColumn="0" w:oddVBand="0" w:evenVBand="0" w:oddHBand="0" w:evenHBand="0" w:firstRowFirstColumn="0" w:firstRowLastColumn="0" w:lastRowFirstColumn="0" w:lastRowLastColumn="0"/>
            <w:tcW w:w="1975" w:type="dxa"/>
          </w:tcPr>
          <w:p w14:paraId="4FA3676E" w14:textId="77777777" w:rsidR="0053135B" w:rsidRPr="00E14EBC" w:rsidRDefault="0053135B" w:rsidP="00713C82">
            <w:pPr>
              <w:rPr>
                <w:sz w:val="20"/>
                <w:szCs w:val="20"/>
              </w:rPr>
            </w:pPr>
            <w:r w:rsidRPr="00E14EBC">
              <w:rPr>
                <w:sz w:val="20"/>
                <w:szCs w:val="20"/>
              </w:rPr>
              <w:t>Basel-Stadt</w:t>
            </w:r>
          </w:p>
        </w:tc>
        <w:tc>
          <w:tcPr>
            <w:tcW w:w="8100" w:type="dxa"/>
          </w:tcPr>
          <w:p w14:paraId="4AC3CB84" w14:textId="77777777" w:rsidR="0053135B" w:rsidRPr="00E14EBC" w:rsidRDefault="0053135B" w:rsidP="00713C82">
            <w:pP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Kohustus koguda turismimaksu</w:t>
            </w:r>
          </w:p>
        </w:tc>
      </w:tr>
      <w:tr w:rsidR="00536E33" w:rsidRPr="00E14EBC" w14:paraId="58AF7ED4" w14:textId="77777777" w:rsidTr="00B4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2266D33" w14:textId="77777777" w:rsidR="0053135B" w:rsidRPr="00E14EBC" w:rsidRDefault="0053135B" w:rsidP="00713C82">
            <w:pPr>
              <w:rPr>
                <w:sz w:val="20"/>
                <w:szCs w:val="20"/>
              </w:rPr>
            </w:pPr>
            <w:r w:rsidRPr="00E14EBC">
              <w:rPr>
                <w:sz w:val="20"/>
                <w:szCs w:val="20"/>
              </w:rPr>
              <w:t>Bern</w:t>
            </w:r>
          </w:p>
        </w:tc>
        <w:tc>
          <w:tcPr>
            <w:tcW w:w="8100" w:type="dxa"/>
          </w:tcPr>
          <w:p w14:paraId="1737F49A" w14:textId="77777777" w:rsidR="0053135B" w:rsidRPr="00E14EBC" w:rsidRDefault="0053135B" w:rsidP="00713C82">
            <w:pPr>
              <w:cnfStyle w:val="000000100000" w:firstRow="0" w:lastRow="0" w:firstColumn="0" w:lastColumn="0" w:oddVBand="0" w:evenVBand="0" w:oddHBand="1" w:evenHBand="0" w:firstRowFirstColumn="0" w:firstRowLastColumn="0" w:lastRowFirstColumn="0" w:lastRowLastColumn="0"/>
              <w:rPr>
                <w:sz w:val="20"/>
                <w:szCs w:val="20"/>
              </w:rPr>
            </w:pPr>
            <w:r w:rsidRPr="00E14EBC">
              <w:rPr>
                <w:sz w:val="20"/>
                <w:szCs w:val="20"/>
              </w:rPr>
              <w:t>Kohustus koguda turismimaksu</w:t>
            </w:r>
          </w:p>
        </w:tc>
      </w:tr>
      <w:tr w:rsidR="00B425E4" w:rsidRPr="00E14EBC" w14:paraId="4C30D5A9" w14:textId="77777777" w:rsidTr="00B47329">
        <w:tc>
          <w:tcPr>
            <w:cnfStyle w:val="001000000000" w:firstRow="0" w:lastRow="0" w:firstColumn="1" w:lastColumn="0" w:oddVBand="0" w:evenVBand="0" w:oddHBand="0" w:evenHBand="0" w:firstRowFirstColumn="0" w:firstRowLastColumn="0" w:lastRowFirstColumn="0" w:lastRowLastColumn="0"/>
            <w:tcW w:w="1975" w:type="dxa"/>
          </w:tcPr>
          <w:p w14:paraId="5FA1756A" w14:textId="77777777" w:rsidR="0053135B" w:rsidRPr="00E14EBC" w:rsidRDefault="0053135B" w:rsidP="00713C82">
            <w:pPr>
              <w:rPr>
                <w:sz w:val="20"/>
                <w:szCs w:val="20"/>
              </w:rPr>
            </w:pPr>
            <w:r w:rsidRPr="00E14EBC">
              <w:rPr>
                <w:sz w:val="20"/>
                <w:szCs w:val="20"/>
              </w:rPr>
              <w:lastRenderedPageBreak/>
              <w:t>Freiburg</w:t>
            </w:r>
          </w:p>
        </w:tc>
        <w:tc>
          <w:tcPr>
            <w:tcW w:w="8100" w:type="dxa"/>
          </w:tcPr>
          <w:p w14:paraId="50223AA6" w14:textId="77777777" w:rsidR="0053135B" w:rsidRPr="00E14EBC" w:rsidRDefault="0053135B" w:rsidP="00713C82">
            <w:pP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Kohustus koguda turismimaksu</w:t>
            </w:r>
          </w:p>
        </w:tc>
      </w:tr>
      <w:tr w:rsidR="00536E33" w:rsidRPr="00E14EBC" w14:paraId="13F8EA14" w14:textId="77777777" w:rsidTr="00B4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88188B1" w14:textId="77777777" w:rsidR="0053135B" w:rsidRPr="00E14EBC" w:rsidRDefault="0053135B" w:rsidP="00713C82">
            <w:pPr>
              <w:rPr>
                <w:sz w:val="20"/>
                <w:szCs w:val="20"/>
              </w:rPr>
            </w:pPr>
            <w:r w:rsidRPr="00E14EBC">
              <w:rPr>
                <w:sz w:val="20"/>
                <w:szCs w:val="20"/>
              </w:rPr>
              <w:t>Genf</w:t>
            </w:r>
          </w:p>
        </w:tc>
        <w:tc>
          <w:tcPr>
            <w:tcW w:w="8100" w:type="dxa"/>
          </w:tcPr>
          <w:p w14:paraId="6C65AF09" w14:textId="77777777" w:rsidR="0053135B" w:rsidRPr="00E14EBC" w:rsidRDefault="0053135B" w:rsidP="00713C82">
            <w:pPr>
              <w:cnfStyle w:val="000000100000" w:firstRow="0" w:lastRow="0" w:firstColumn="0" w:lastColumn="0" w:oddVBand="0" w:evenVBand="0" w:oddHBand="1" w:evenHBand="0" w:firstRowFirstColumn="0" w:firstRowLastColumn="0" w:lastRowFirstColumn="0" w:lastRowLastColumn="0"/>
              <w:rPr>
                <w:sz w:val="20"/>
                <w:szCs w:val="20"/>
              </w:rPr>
            </w:pPr>
            <w:r w:rsidRPr="00E14EBC">
              <w:rPr>
                <w:sz w:val="20"/>
                <w:szCs w:val="20"/>
              </w:rPr>
              <w:t>Kohustus registreerida end majutusteenuse pakkujana. Kohustus koguda turismimaksu. Kui külastajaid majutatakse rohkem kui 90 ööd aastas, tuleb kinnisvara registreerida ärikinnisvarana. Samuti tuleb maksta turismi edendamise maksu</w:t>
            </w:r>
          </w:p>
        </w:tc>
      </w:tr>
      <w:tr w:rsidR="00B425E4" w:rsidRPr="00E14EBC" w14:paraId="4B3FC55D" w14:textId="77777777" w:rsidTr="00B47329">
        <w:tc>
          <w:tcPr>
            <w:cnfStyle w:val="001000000000" w:firstRow="0" w:lastRow="0" w:firstColumn="1" w:lastColumn="0" w:oddVBand="0" w:evenVBand="0" w:oddHBand="0" w:evenHBand="0" w:firstRowFirstColumn="0" w:firstRowLastColumn="0" w:lastRowFirstColumn="0" w:lastRowLastColumn="0"/>
            <w:tcW w:w="1975" w:type="dxa"/>
          </w:tcPr>
          <w:p w14:paraId="4F38B3D7" w14:textId="77777777" w:rsidR="0053135B" w:rsidRPr="00E14EBC" w:rsidRDefault="0053135B" w:rsidP="00713C82">
            <w:pPr>
              <w:rPr>
                <w:sz w:val="20"/>
                <w:szCs w:val="20"/>
              </w:rPr>
            </w:pPr>
            <w:r w:rsidRPr="00E14EBC">
              <w:rPr>
                <w:sz w:val="20"/>
                <w:szCs w:val="20"/>
              </w:rPr>
              <w:t>Lucerne</w:t>
            </w:r>
          </w:p>
        </w:tc>
        <w:tc>
          <w:tcPr>
            <w:tcW w:w="8100" w:type="dxa"/>
          </w:tcPr>
          <w:p w14:paraId="4D58303F" w14:textId="77777777" w:rsidR="0053135B" w:rsidRPr="00E14EBC" w:rsidRDefault="0053135B" w:rsidP="00713C82">
            <w:pP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Kohustus koguda turismimaksu</w:t>
            </w:r>
          </w:p>
        </w:tc>
      </w:tr>
      <w:tr w:rsidR="00536E33" w:rsidRPr="00E14EBC" w14:paraId="0BEFAE07" w14:textId="77777777" w:rsidTr="00B4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688370E0" w14:textId="77777777" w:rsidR="0053135B" w:rsidRPr="00E14EBC" w:rsidRDefault="0053135B" w:rsidP="00713C82">
            <w:pPr>
              <w:rPr>
                <w:sz w:val="20"/>
                <w:szCs w:val="20"/>
              </w:rPr>
            </w:pPr>
            <w:r w:rsidRPr="00E14EBC">
              <w:rPr>
                <w:sz w:val="20"/>
                <w:szCs w:val="20"/>
              </w:rPr>
              <w:t>Neuchatel</w:t>
            </w:r>
          </w:p>
        </w:tc>
        <w:tc>
          <w:tcPr>
            <w:tcW w:w="8100" w:type="dxa"/>
          </w:tcPr>
          <w:p w14:paraId="158E3764" w14:textId="77777777" w:rsidR="0053135B" w:rsidRPr="00E14EBC" w:rsidRDefault="0053135B" w:rsidP="00713C82">
            <w:pPr>
              <w:cnfStyle w:val="000000100000" w:firstRow="0" w:lastRow="0" w:firstColumn="0" w:lastColumn="0" w:oddVBand="0" w:evenVBand="0" w:oddHBand="1" w:evenHBand="0" w:firstRowFirstColumn="0" w:firstRowLastColumn="0" w:lastRowFirstColumn="0" w:lastRowLastColumn="0"/>
              <w:rPr>
                <w:sz w:val="20"/>
                <w:szCs w:val="20"/>
              </w:rPr>
            </w:pPr>
            <w:r w:rsidRPr="00E14EBC">
              <w:rPr>
                <w:sz w:val="20"/>
                <w:szCs w:val="20"/>
              </w:rPr>
              <w:t>Kohustus registreerida end majutusteenuse pakkujana. Kohustus koguda turismimaksu</w:t>
            </w:r>
          </w:p>
        </w:tc>
      </w:tr>
      <w:tr w:rsidR="00B425E4" w:rsidRPr="00E14EBC" w14:paraId="4CE7FA58" w14:textId="77777777" w:rsidTr="00B47329">
        <w:tc>
          <w:tcPr>
            <w:cnfStyle w:val="001000000000" w:firstRow="0" w:lastRow="0" w:firstColumn="1" w:lastColumn="0" w:oddVBand="0" w:evenVBand="0" w:oddHBand="0" w:evenHBand="0" w:firstRowFirstColumn="0" w:firstRowLastColumn="0" w:lastRowFirstColumn="0" w:lastRowLastColumn="0"/>
            <w:tcW w:w="1975" w:type="dxa"/>
          </w:tcPr>
          <w:p w14:paraId="04F40CF3" w14:textId="77777777" w:rsidR="0053135B" w:rsidRPr="00E14EBC" w:rsidRDefault="0053135B" w:rsidP="00713C82">
            <w:pPr>
              <w:rPr>
                <w:sz w:val="20"/>
                <w:szCs w:val="20"/>
              </w:rPr>
            </w:pPr>
            <w:r w:rsidRPr="00E14EBC">
              <w:rPr>
                <w:sz w:val="20"/>
                <w:szCs w:val="20"/>
              </w:rPr>
              <w:t>Ticino</w:t>
            </w:r>
          </w:p>
        </w:tc>
        <w:tc>
          <w:tcPr>
            <w:tcW w:w="8100" w:type="dxa"/>
          </w:tcPr>
          <w:p w14:paraId="21A187EB" w14:textId="77777777" w:rsidR="0053135B" w:rsidRPr="00E14EBC" w:rsidRDefault="0053135B" w:rsidP="00713C82">
            <w:pP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Kohustus registreerida end majutusteenuse pakkujana. Kohustus koguda turismimaksu. Samuti tuleb maksta turismi edendamise maksu</w:t>
            </w:r>
          </w:p>
        </w:tc>
      </w:tr>
      <w:tr w:rsidR="00536E33" w:rsidRPr="00E14EBC" w14:paraId="22845D15" w14:textId="77777777" w:rsidTr="00B4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7A7BCFBE" w14:textId="77777777" w:rsidR="0053135B" w:rsidRPr="00E14EBC" w:rsidRDefault="0053135B" w:rsidP="00713C82">
            <w:pPr>
              <w:rPr>
                <w:sz w:val="20"/>
                <w:szCs w:val="20"/>
              </w:rPr>
            </w:pPr>
            <w:r w:rsidRPr="00E14EBC">
              <w:rPr>
                <w:sz w:val="20"/>
                <w:szCs w:val="20"/>
              </w:rPr>
              <w:t>Valais</w:t>
            </w:r>
          </w:p>
        </w:tc>
        <w:tc>
          <w:tcPr>
            <w:tcW w:w="8100" w:type="dxa"/>
          </w:tcPr>
          <w:p w14:paraId="7ADD9AB0" w14:textId="77777777" w:rsidR="0053135B" w:rsidRPr="00E14EBC" w:rsidRDefault="0053135B" w:rsidP="00713C82">
            <w:pPr>
              <w:cnfStyle w:val="000000100000" w:firstRow="0" w:lastRow="0" w:firstColumn="0" w:lastColumn="0" w:oddVBand="0" w:evenVBand="0" w:oddHBand="1" w:evenHBand="0" w:firstRowFirstColumn="0" w:firstRowLastColumn="0" w:lastRowFirstColumn="0" w:lastRowLastColumn="0"/>
              <w:rPr>
                <w:sz w:val="20"/>
                <w:szCs w:val="20"/>
              </w:rPr>
            </w:pPr>
            <w:r w:rsidRPr="00E14EBC">
              <w:rPr>
                <w:sz w:val="20"/>
                <w:szCs w:val="20"/>
              </w:rPr>
              <w:t>Kohustus registreerida end majutusteenuse pakkujana. Kohustus koguda turismimaksu</w:t>
            </w:r>
          </w:p>
        </w:tc>
      </w:tr>
      <w:tr w:rsidR="00B425E4" w:rsidRPr="00E14EBC" w14:paraId="16671DCD" w14:textId="77777777" w:rsidTr="00B47329">
        <w:tc>
          <w:tcPr>
            <w:cnfStyle w:val="001000000000" w:firstRow="0" w:lastRow="0" w:firstColumn="1" w:lastColumn="0" w:oddVBand="0" w:evenVBand="0" w:oddHBand="0" w:evenHBand="0" w:firstRowFirstColumn="0" w:firstRowLastColumn="0" w:lastRowFirstColumn="0" w:lastRowLastColumn="0"/>
            <w:tcW w:w="1975" w:type="dxa"/>
          </w:tcPr>
          <w:p w14:paraId="4AF3ADF1" w14:textId="77777777" w:rsidR="0053135B" w:rsidRPr="00E14EBC" w:rsidRDefault="0053135B" w:rsidP="00713C82">
            <w:pPr>
              <w:rPr>
                <w:sz w:val="20"/>
                <w:szCs w:val="20"/>
              </w:rPr>
            </w:pPr>
            <w:r w:rsidRPr="00E14EBC">
              <w:rPr>
                <w:sz w:val="20"/>
                <w:szCs w:val="20"/>
              </w:rPr>
              <w:t>Vaud</w:t>
            </w:r>
          </w:p>
        </w:tc>
        <w:tc>
          <w:tcPr>
            <w:tcW w:w="8100" w:type="dxa"/>
          </w:tcPr>
          <w:p w14:paraId="0164E30D" w14:textId="77777777" w:rsidR="0053135B" w:rsidRPr="00E14EBC" w:rsidRDefault="0053135B" w:rsidP="00713C82">
            <w:pP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Kohustus koguda külalistelt turismimaksu, registreerida end lühiajalise renditeenuse pakkujana ning registreerida kõik külalised omavalitsuses</w:t>
            </w:r>
          </w:p>
        </w:tc>
      </w:tr>
      <w:tr w:rsidR="00536E33" w:rsidRPr="00E14EBC" w14:paraId="6625635D" w14:textId="77777777" w:rsidTr="00B4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CEEFE2B" w14:textId="77777777" w:rsidR="0053135B" w:rsidRPr="00E14EBC" w:rsidRDefault="0053135B" w:rsidP="00713C82">
            <w:pPr>
              <w:rPr>
                <w:sz w:val="20"/>
                <w:szCs w:val="20"/>
              </w:rPr>
            </w:pPr>
            <w:r w:rsidRPr="00E14EBC">
              <w:rPr>
                <w:sz w:val="20"/>
                <w:szCs w:val="20"/>
              </w:rPr>
              <w:t>Zug</w:t>
            </w:r>
          </w:p>
        </w:tc>
        <w:tc>
          <w:tcPr>
            <w:tcW w:w="8100" w:type="dxa"/>
          </w:tcPr>
          <w:p w14:paraId="47997B8B" w14:textId="77777777" w:rsidR="0053135B" w:rsidRPr="00E14EBC" w:rsidRDefault="0053135B" w:rsidP="00713C82">
            <w:pPr>
              <w:cnfStyle w:val="000000100000" w:firstRow="0" w:lastRow="0" w:firstColumn="0" w:lastColumn="0" w:oddVBand="0" w:evenVBand="0" w:oddHBand="1" w:evenHBand="0" w:firstRowFirstColumn="0" w:firstRowLastColumn="0" w:lastRowFirstColumn="0" w:lastRowLastColumn="0"/>
              <w:rPr>
                <w:sz w:val="20"/>
                <w:szCs w:val="20"/>
              </w:rPr>
            </w:pPr>
            <w:r w:rsidRPr="00E14EBC">
              <w:rPr>
                <w:sz w:val="20"/>
                <w:szCs w:val="20"/>
              </w:rPr>
              <w:t>Kohustus registreerida end majutusteenuse pakkujana. Kohustus koguda turismimaksu</w:t>
            </w:r>
          </w:p>
        </w:tc>
      </w:tr>
      <w:tr w:rsidR="00B425E4" w:rsidRPr="00E14EBC" w14:paraId="0E1141A9" w14:textId="77777777" w:rsidTr="00B47329">
        <w:tc>
          <w:tcPr>
            <w:cnfStyle w:val="001000000000" w:firstRow="0" w:lastRow="0" w:firstColumn="1" w:lastColumn="0" w:oddVBand="0" w:evenVBand="0" w:oddHBand="0" w:evenHBand="0" w:firstRowFirstColumn="0" w:firstRowLastColumn="0" w:lastRowFirstColumn="0" w:lastRowLastColumn="0"/>
            <w:tcW w:w="1975" w:type="dxa"/>
          </w:tcPr>
          <w:p w14:paraId="4361E377" w14:textId="77777777" w:rsidR="0053135B" w:rsidRPr="00E14EBC" w:rsidRDefault="0053135B" w:rsidP="00713C82">
            <w:pPr>
              <w:rPr>
                <w:sz w:val="20"/>
                <w:szCs w:val="20"/>
              </w:rPr>
            </w:pPr>
            <w:r w:rsidRPr="00E14EBC">
              <w:rPr>
                <w:sz w:val="20"/>
                <w:szCs w:val="20"/>
              </w:rPr>
              <w:t>Zürich</w:t>
            </w:r>
          </w:p>
        </w:tc>
        <w:tc>
          <w:tcPr>
            <w:tcW w:w="8100" w:type="dxa"/>
          </w:tcPr>
          <w:p w14:paraId="1D602FAA" w14:textId="77777777" w:rsidR="0053135B" w:rsidRPr="00E14EBC" w:rsidRDefault="0053135B" w:rsidP="00713C82">
            <w:pP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Kohustus koguda linnamaksu</w:t>
            </w:r>
          </w:p>
        </w:tc>
      </w:tr>
      <w:tr w:rsidR="0069643F" w:rsidRPr="00E14EBC" w14:paraId="75F13D47" w14:textId="77777777" w:rsidTr="00B4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232323" w:themeFill="text1"/>
          </w:tcPr>
          <w:p w14:paraId="3EE9A51C" w14:textId="016F6A44" w:rsidR="00B37088" w:rsidRPr="00E14EBC" w:rsidRDefault="00B37088" w:rsidP="00B37088">
            <w:pPr>
              <w:jc w:val="center"/>
              <w:rPr>
                <w:color w:val="FEFEFE" w:themeColor="background1"/>
                <w:sz w:val="20"/>
                <w:szCs w:val="20"/>
              </w:rPr>
            </w:pPr>
            <w:r w:rsidRPr="00E14EBC">
              <w:rPr>
                <w:color w:val="FEFEFE" w:themeColor="background1"/>
                <w:sz w:val="20"/>
                <w:szCs w:val="20"/>
              </w:rPr>
              <w:t>Omavalitsus</w:t>
            </w:r>
          </w:p>
        </w:tc>
        <w:tc>
          <w:tcPr>
            <w:tcW w:w="8100" w:type="dxa"/>
            <w:shd w:val="clear" w:color="auto" w:fill="232323" w:themeFill="text1"/>
          </w:tcPr>
          <w:p w14:paraId="246FF406" w14:textId="54147532" w:rsidR="00B37088" w:rsidRPr="00E14EBC" w:rsidRDefault="00B37088" w:rsidP="00B37088">
            <w:pPr>
              <w:jc w:val="center"/>
              <w:cnfStyle w:val="000000100000" w:firstRow="0" w:lastRow="0" w:firstColumn="0" w:lastColumn="0" w:oddVBand="0" w:evenVBand="0" w:oddHBand="1" w:evenHBand="0" w:firstRowFirstColumn="0" w:firstRowLastColumn="0" w:lastRowFirstColumn="0" w:lastRowLastColumn="0"/>
              <w:rPr>
                <w:b/>
                <w:bCs/>
                <w:color w:val="FEFEFE" w:themeColor="background1"/>
                <w:sz w:val="20"/>
                <w:szCs w:val="20"/>
              </w:rPr>
            </w:pPr>
            <w:r w:rsidRPr="00E14EBC">
              <w:rPr>
                <w:b/>
                <w:bCs/>
                <w:color w:val="FEFEFE" w:themeColor="background1"/>
                <w:sz w:val="20"/>
                <w:szCs w:val="20"/>
              </w:rPr>
              <w:t>Regulatsioonid</w:t>
            </w:r>
          </w:p>
        </w:tc>
      </w:tr>
      <w:tr w:rsidR="00B425E4" w:rsidRPr="00E14EBC" w14:paraId="20C71679" w14:textId="77777777" w:rsidTr="00B47329">
        <w:tc>
          <w:tcPr>
            <w:cnfStyle w:val="001000000000" w:firstRow="0" w:lastRow="0" w:firstColumn="1" w:lastColumn="0" w:oddVBand="0" w:evenVBand="0" w:oddHBand="0" w:evenHBand="0" w:firstRowFirstColumn="0" w:firstRowLastColumn="0" w:lastRowFirstColumn="0" w:lastRowLastColumn="0"/>
            <w:tcW w:w="1975" w:type="dxa"/>
          </w:tcPr>
          <w:p w14:paraId="6C0895F3" w14:textId="5C2CA4A1" w:rsidR="00B37088" w:rsidRPr="00E14EBC" w:rsidRDefault="00B37088" w:rsidP="00B37088">
            <w:pPr>
              <w:rPr>
                <w:sz w:val="20"/>
                <w:szCs w:val="20"/>
              </w:rPr>
            </w:pPr>
            <w:r w:rsidRPr="00E14EBC">
              <w:rPr>
                <w:sz w:val="20"/>
                <w:szCs w:val="20"/>
              </w:rPr>
              <w:t>Arosa</w:t>
            </w:r>
          </w:p>
        </w:tc>
        <w:tc>
          <w:tcPr>
            <w:tcW w:w="8100" w:type="dxa"/>
          </w:tcPr>
          <w:p w14:paraId="206D6BA3" w14:textId="37B49166" w:rsidR="00B37088" w:rsidRPr="00E14EBC" w:rsidRDefault="00B37088" w:rsidP="00B37088">
            <w:pP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Kohustus koguda omavalitsuse turismimaksu. Külalised peavad täitma omavalitsuse registreerimisvormi. Kohustus maksta turismi edendamise maksu</w:t>
            </w:r>
          </w:p>
        </w:tc>
      </w:tr>
      <w:tr w:rsidR="00536E33" w:rsidRPr="00E14EBC" w14:paraId="14EAC13E" w14:textId="77777777" w:rsidTr="00B4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553600C7" w14:textId="253AD8E3" w:rsidR="00B37088" w:rsidRPr="00E14EBC" w:rsidRDefault="00B37088" w:rsidP="00B37088">
            <w:pPr>
              <w:rPr>
                <w:sz w:val="20"/>
                <w:szCs w:val="20"/>
              </w:rPr>
            </w:pPr>
            <w:r w:rsidRPr="00E14EBC">
              <w:rPr>
                <w:sz w:val="20"/>
                <w:szCs w:val="20"/>
              </w:rPr>
              <w:t>Bern</w:t>
            </w:r>
          </w:p>
        </w:tc>
        <w:tc>
          <w:tcPr>
            <w:tcW w:w="8100" w:type="dxa"/>
          </w:tcPr>
          <w:p w14:paraId="13C8AEE8" w14:textId="5D9F4658" w:rsidR="00B37088" w:rsidRPr="00E14EBC" w:rsidRDefault="00B37088" w:rsidP="00B37088">
            <w:pPr>
              <w:cnfStyle w:val="000000100000" w:firstRow="0" w:lastRow="0" w:firstColumn="0" w:lastColumn="0" w:oddVBand="0" w:evenVBand="0" w:oddHBand="1" w:evenHBand="0" w:firstRowFirstColumn="0" w:firstRowLastColumn="0" w:lastRowFirstColumn="0" w:lastRowLastColumn="0"/>
              <w:rPr>
                <w:sz w:val="20"/>
                <w:szCs w:val="20"/>
              </w:rPr>
            </w:pPr>
            <w:r w:rsidRPr="00E14EBC">
              <w:rPr>
                <w:sz w:val="20"/>
                <w:szCs w:val="20"/>
              </w:rPr>
              <w:t>Kohustus registreerida majutusteenuse pakkujana. Kohustus koguda omavalitsuse turismimaksu. 2022. aastal kehtestati lühiajalist üürimist piirav määrus</w:t>
            </w:r>
          </w:p>
        </w:tc>
      </w:tr>
      <w:tr w:rsidR="00B425E4" w:rsidRPr="00E14EBC" w14:paraId="5BB44005" w14:textId="77777777" w:rsidTr="00B47329">
        <w:tc>
          <w:tcPr>
            <w:cnfStyle w:val="001000000000" w:firstRow="0" w:lastRow="0" w:firstColumn="1" w:lastColumn="0" w:oddVBand="0" w:evenVBand="0" w:oddHBand="0" w:evenHBand="0" w:firstRowFirstColumn="0" w:firstRowLastColumn="0" w:lastRowFirstColumn="0" w:lastRowLastColumn="0"/>
            <w:tcW w:w="1975" w:type="dxa"/>
          </w:tcPr>
          <w:p w14:paraId="20071185" w14:textId="425A7B8E" w:rsidR="00B37088" w:rsidRPr="00E14EBC" w:rsidRDefault="00B37088" w:rsidP="00B37088">
            <w:pPr>
              <w:rPr>
                <w:sz w:val="20"/>
                <w:szCs w:val="20"/>
              </w:rPr>
            </w:pPr>
            <w:r w:rsidRPr="00E14EBC">
              <w:rPr>
                <w:sz w:val="20"/>
                <w:szCs w:val="20"/>
              </w:rPr>
              <w:t>Davos</w:t>
            </w:r>
          </w:p>
        </w:tc>
        <w:tc>
          <w:tcPr>
            <w:tcW w:w="8100" w:type="dxa"/>
          </w:tcPr>
          <w:p w14:paraId="4A37DA08" w14:textId="2442CB68" w:rsidR="00B37088" w:rsidRPr="00E14EBC" w:rsidRDefault="00B37088" w:rsidP="00B37088">
            <w:pP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Kohustus registreerida majutusteenuse pakkujana. Kohustus koguda omavalitsuse turismimaksu. Külalised peavad täitma omavalitsuse registreerimisvormi. Kohustus maksta turismi edendamise maksu</w:t>
            </w:r>
          </w:p>
        </w:tc>
      </w:tr>
      <w:tr w:rsidR="00536E33" w:rsidRPr="00E14EBC" w14:paraId="1808DF4E" w14:textId="77777777" w:rsidTr="00B4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34C8CD48" w14:textId="31821FEF" w:rsidR="00B37088" w:rsidRPr="00E14EBC" w:rsidRDefault="00B37088" w:rsidP="00B37088">
            <w:pPr>
              <w:rPr>
                <w:sz w:val="20"/>
                <w:szCs w:val="20"/>
              </w:rPr>
            </w:pPr>
            <w:r w:rsidRPr="00E14EBC">
              <w:rPr>
                <w:sz w:val="20"/>
                <w:szCs w:val="20"/>
              </w:rPr>
              <w:t>Interlaken</w:t>
            </w:r>
          </w:p>
        </w:tc>
        <w:tc>
          <w:tcPr>
            <w:tcW w:w="8100" w:type="dxa"/>
          </w:tcPr>
          <w:p w14:paraId="167816A1" w14:textId="680FF4C8" w:rsidR="00B37088" w:rsidRPr="00E14EBC" w:rsidRDefault="00B37088" w:rsidP="00B37088">
            <w:pPr>
              <w:cnfStyle w:val="000000100000" w:firstRow="0" w:lastRow="0" w:firstColumn="0" w:lastColumn="0" w:oddVBand="0" w:evenVBand="0" w:oddHBand="1" w:evenHBand="0" w:firstRowFirstColumn="0" w:firstRowLastColumn="0" w:lastRowFirstColumn="0" w:lastRowLastColumn="0"/>
              <w:rPr>
                <w:sz w:val="20"/>
                <w:szCs w:val="20"/>
              </w:rPr>
            </w:pPr>
            <w:r w:rsidRPr="00E14EBC">
              <w:rPr>
                <w:sz w:val="20"/>
                <w:szCs w:val="20"/>
              </w:rPr>
              <w:t>Kohustus koguda omavalitsuse turismimaksu. Lühiajalise üürimise kinnisvara peab olema vastavalt märgistatud</w:t>
            </w:r>
          </w:p>
        </w:tc>
      </w:tr>
      <w:tr w:rsidR="00B425E4" w:rsidRPr="00E14EBC" w14:paraId="0E1A1B6E" w14:textId="77777777" w:rsidTr="00B47329">
        <w:tc>
          <w:tcPr>
            <w:cnfStyle w:val="001000000000" w:firstRow="0" w:lastRow="0" w:firstColumn="1" w:lastColumn="0" w:oddVBand="0" w:evenVBand="0" w:oddHBand="0" w:evenHBand="0" w:firstRowFirstColumn="0" w:firstRowLastColumn="0" w:lastRowFirstColumn="0" w:lastRowLastColumn="0"/>
            <w:tcW w:w="1975" w:type="dxa"/>
          </w:tcPr>
          <w:p w14:paraId="6754BFB2" w14:textId="472E7825" w:rsidR="00B37088" w:rsidRPr="00E14EBC" w:rsidRDefault="00B37088" w:rsidP="00B37088">
            <w:pPr>
              <w:rPr>
                <w:sz w:val="20"/>
                <w:szCs w:val="20"/>
              </w:rPr>
            </w:pPr>
            <w:r w:rsidRPr="00E14EBC">
              <w:rPr>
                <w:sz w:val="20"/>
                <w:szCs w:val="20"/>
              </w:rPr>
              <w:t>Klosters-Serneus</w:t>
            </w:r>
          </w:p>
        </w:tc>
        <w:tc>
          <w:tcPr>
            <w:tcW w:w="8100" w:type="dxa"/>
          </w:tcPr>
          <w:p w14:paraId="394B0561" w14:textId="5CC3F4F6" w:rsidR="00B37088" w:rsidRPr="00E14EBC" w:rsidRDefault="00B37088" w:rsidP="00B37088">
            <w:pP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Kohustus registreerida majutusteenuse pakkujana. Kohustus koguda omavalitsuse turismimaksu</w:t>
            </w:r>
          </w:p>
        </w:tc>
      </w:tr>
    </w:tbl>
    <w:p w14:paraId="65CA23E7" w14:textId="2539D079" w:rsidR="0053135B" w:rsidRPr="00E14EBC" w:rsidRDefault="0053135B" w:rsidP="00563D7C">
      <w:pPr>
        <w:pStyle w:val="Caption"/>
      </w:pPr>
    </w:p>
    <w:p w14:paraId="4E38F2BE" w14:textId="77777777" w:rsidR="0053135B" w:rsidRPr="00E14EBC" w:rsidRDefault="1C8DE455" w:rsidP="005D41F2">
      <w:pPr>
        <w:jc w:val="both"/>
      </w:pPr>
      <w:r w:rsidRPr="00E14EBC">
        <w:t xml:space="preserve">Alates 1. aprillist 2018 on Genf muutnud elumajade lammutamise, ümberehitamise ja renoveerimise seaduse rakendusmäärusi eesmärgiga reguleerida eluruumide üürimist lühiajaliseks viibimiseks kantonis. Pärast 2019. aasta aprillis tehtud kohtuotsust tõusis rendiperiood aastas 60 päevalt 90 päevale. Pärast 90 päeva möödumist, kui pinda kasutatakse </w:t>
      </w:r>
      <w:r w:rsidRPr="00E14EBC">
        <w:lastRenderedPageBreak/>
        <w:t>regulaarselt ja pidevalt külaliste majutamiseks, loetakse tegevust äriliseks ning selleks tuleb taotleda luba.</w:t>
      </w:r>
      <w:r w:rsidR="0053135B" w:rsidRPr="00E14EBC">
        <w:rPr>
          <w:rStyle w:val="FootnoteReference"/>
        </w:rPr>
        <w:footnoteReference w:id="262"/>
      </w:r>
      <w:r w:rsidRPr="00E14EBC">
        <w:t xml:space="preserve"> </w:t>
      </w:r>
    </w:p>
    <w:p w14:paraId="79C54AA5" w14:textId="77777777" w:rsidR="0053135B" w:rsidRPr="00E14EBC" w:rsidRDefault="1C8DE455" w:rsidP="288A3578">
      <w:pPr>
        <w:pStyle w:val="Heading5"/>
        <w:numPr>
          <w:ilvl w:val="0"/>
          <w:numId w:val="0"/>
        </w:numPr>
        <w:ind w:left="1077" w:hanging="1077"/>
        <w:jc w:val="both"/>
        <w:rPr>
          <w:rFonts w:asciiTheme="minorHAnsi" w:hAnsiTheme="minorHAnsi" w:cstheme="minorBidi"/>
          <w:color w:val="auto"/>
        </w:rPr>
      </w:pPr>
      <w:bookmarkStart w:id="208" w:name="_Toc188274004"/>
      <w:r w:rsidRPr="00156AFD">
        <w:rPr>
          <w:rFonts w:hint="eastAsia"/>
          <w:b/>
          <w:color w:val="auto"/>
        </w:rPr>
        <w:t xml:space="preserve">Üürituruga seotud andmete kogumine ja </w:t>
      </w:r>
      <w:r w:rsidRPr="288A3578">
        <w:rPr>
          <w:rFonts w:asciiTheme="minorHAnsi" w:hAnsiTheme="minorHAnsi" w:cstheme="minorBidi"/>
          <w:b/>
          <w:bCs/>
          <w:color w:val="auto"/>
        </w:rPr>
        <w:t>metoodika</w:t>
      </w:r>
      <w:bookmarkEnd w:id="208"/>
    </w:p>
    <w:p w14:paraId="20CDA42A" w14:textId="00B45D63" w:rsidR="0053135B" w:rsidRPr="00E14EBC" w:rsidRDefault="1C8DE455" w:rsidP="005D41F2">
      <w:pPr>
        <w:jc w:val="both"/>
      </w:pPr>
      <w:r w:rsidRPr="00E14EBC">
        <w:t>Riiklikult kogutakse Šveitsis infot turismi kohta ja hotellide ning hostelite täituvuse ja majutatute arvu kohta</w:t>
      </w:r>
      <w:r w:rsidR="0053135B" w:rsidRPr="00E14EBC">
        <w:rPr>
          <w:rStyle w:val="FootnoteReference"/>
        </w:rPr>
        <w:footnoteReference w:id="263"/>
      </w:r>
      <w:r w:rsidRPr="00E14EBC">
        <w:t>, kuid teadaolevalt muud statistikat ei koguta. Samuti on leitav avalik statistika Airbnb turu kohta</w:t>
      </w:r>
      <w:r w:rsidR="0053135B" w:rsidRPr="00E14EBC">
        <w:rPr>
          <w:rStyle w:val="FootnoteReference"/>
        </w:rPr>
        <w:footnoteReference w:id="264"/>
      </w:r>
      <w:r w:rsidRPr="00E14EBC">
        <w:t>, kuid selles ei kajastu kõikide lühiajalise üüri turu objektide info, näiteks info Booking keskkonnas oleva kinnisvara kohta. Teadaolevalt ei tegeleta Šveitsis täpsemalt üüri turuga seotud andmete kogumisega. Näiteks Genfi kantonil ei ole piisavalt ressursse üürituru ja korterite sihipärase kasutamise kontrollimiseks. Samuti ei ole ressursse, et kontrollida, kas üürileandjad peavad kinni nõudest, mille järgi võib lühiajaliselt kinnisvara üürida 90 päeva aastas. Seetõttu tegutsevad ametivõimud ainult siis, kui rikkumis</w:t>
      </w:r>
      <w:r w:rsidR="5B0CEA55" w:rsidRPr="00E14EBC">
        <w:t>es</w:t>
      </w:r>
      <w:r w:rsidRPr="00E14EBC">
        <w:t>t on neile teatatud. Seda juhtub aastas vaid umbes kolm korda ja sageli selgub, et tegelikult ei olnud rikkumist.</w:t>
      </w:r>
      <w:r w:rsidR="0053135B" w:rsidRPr="00E14EBC">
        <w:rPr>
          <w:rStyle w:val="FootnoteReference"/>
        </w:rPr>
        <w:footnoteReference w:id="265"/>
      </w:r>
    </w:p>
    <w:p w14:paraId="0C1F9B6E" w14:textId="77777777" w:rsidR="0053135B" w:rsidRPr="00156AFD" w:rsidRDefault="1C8DE455" w:rsidP="288A3578">
      <w:pPr>
        <w:pStyle w:val="Heading5"/>
        <w:numPr>
          <w:ilvl w:val="0"/>
          <w:numId w:val="0"/>
        </w:numPr>
        <w:ind w:left="1077" w:hanging="1077"/>
        <w:jc w:val="both"/>
        <w:rPr>
          <w:rFonts w:hint="eastAsia"/>
          <w:b/>
          <w:color w:val="auto"/>
        </w:rPr>
      </w:pPr>
      <w:bookmarkStart w:id="209" w:name="_Toc188274005"/>
      <w:r w:rsidRPr="00156AFD">
        <w:rPr>
          <w:rFonts w:hint="eastAsia"/>
          <w:b/>
          <w:color w:val="auto"/>
        </w:rPr>
        <w:t>Sotsiaal-majanduslik vaade</w:t>
      </w:r>
      <w:bookmarkEnd w:id="209"/>
    </w:p>
    <w:p w14:paraId="339A78F8" w14:textId="1F3C1583" w:rsidR="0053135B" w:rsidRPr="00E14EBC" w:rsidRDefault="0053135B" w:rsidP="00B42F85">
      <w:pPr>
        <w:jc w:val="both"/>
      </w:pPr>
      <w:r w:rsidRPr="00E14EBC">
        <w:t xml:space="preserve">Peamine probleem Šveitsis on seotud eluruumide säilitamisega ning sellega riik ka kõige rohkem tegeleb. Kantonitele ja omavalitsustele on antud õigus reguleerida korduvat lühiajalist üürimist vahendusplatvormide kaudu erinevates õigusvaldkondades, näiteks elamuehituse edendamise, ruumilise planeerimise ja ehitusõiguse valdkondades. Korduvad lühiajalised üürimised platvormide kaudu võivad raskendada põhiseaduses sätestatud sotsiaalse eesmärgi, mille järgi peab kõikidel olema võimalus leida elamispind mõistlikel alustel, täitmist. Peamiselt on probleemid kantoni või kohaliku omavalitsuse tasandil ja nende hallatavad. </w:t>
      </w:r>
      <w:r w:rsidR="00507010" w:rsidRPr="00E14EBC">
        <w:t>Mahukas l</w:t>
      </w:r>
      <w:r w:rsidRPr="00E14EBC">
        <w:t>ühiajali</w:t>
      </w:r>
      <w:r w:rsidR="00B0281B" w:rsidRPr="00E14EBC">
        <w:t xml:space="preserve">ne </w:t>
      </w:r>
      <w:r w:rsidR="21C80F32" w:rsidRPr="00E14EBC">
        <w:t>üürimi</w:t>
      </w:r>
      <w:r w:rsidR="00B0281B" w:rsidRPr="00E14EBC">
        <w:t>ne</w:t>
      </w:r>
      <w:r w:rsidRPr="00E14EBC">
        <w:t xml:space="preserve"> võib põhjustada taskukohase eluaseme kadumise kohalike elanike jaoks</w:t>
      </w:r>
      <w:r w:rsidRPr="00E14EBC">
        <w:rPr>
          <w:rStyle w:val="FootnoteReference"/>
        </w:rPr>
        <w:footnoteReference w:id="266"/>
      </w:r>
      <w:r w:rsidRPr="00E14EBC">
        <w:t>.</w:t>
      </w:r>
    </w:p>
    <w:p w14:paraId="481F89CD" w14:textId="34C0BB7E" w:rsidR="0053135B" w:rsidRPr="00E14EBC" w:rsidRDefault="0053135B" w:rsidP="00B42F85">
      <w:pPr>
        <w:jc w:val="both"/>
      </w:pPr>
      <w:r w:rsidRPr="00E14EBC">
        <w:t xml:space="preserve">Airbnb majutuskoha vahetus läheduses asuvate korterite hind on keskmiselt </w:t>
      </w:r>
      <w:r w:rsidR="00EB4DCF" w:rsidRPr="00E14EBC">
        <w:t>13 senti</w:t>
      </w:r>
      <w:r w:rsidRPr="00E14EBC">
        <w:t xml:space="preserve"> ruutmeetri kohta kõrgem kui teistes piirkondades. Genfis oli pidev eluasemepuudus kuni 2018</w:t>
      </w:r>
      <w:r w:rsidR="6B283A7F" w:rsidRPr="00E14EBC">
        <w:t>.</w:t>
      </w:r>
      <w:r w:rsidRPr="00E14EBC">
        <w:t xml:space="preserve"> aastani, mil võeti vastu otsus, millega piirati lühiajalise rentimise lu</w:t>
      </w:r>
      <w:bookmarkStart w:id="210" w:name="_Ref187763803"/>
      <w:r w:rsidRPr="00E14EBC">
        <w:t>b</w:t>
      </w:r>
      <w:bookmarkEnd w:id="210"/>
      <w:r w:rsidRPr="00E14EBC">
        <w:t>atud päevade arvu</w:t>
      </w:r>
      <w:bookmarkStart w:id="211" w:name="_Ref187763089"/>
      <w:r w:rsidRPr="00E14EBC">
        <w:rPr>
          <w:rStyle w:val="FootnoteReference"/>
        </w:rPr>
        <w:footnoteReference w:id="267"/>
      </w:r>
      <w:bookmarkEnd w:id="211"/>
      <w:r w:rsidRPr="00E14EBC">
        <w:t xml:space="preserve">. </w:t>
      </w:r>
    </w:p>
    <w:p w14:paraId="7CF650CA" w14:textId="72776C42" w:rsidR="0053135B" w:rsidRPr="00E14EBC" w:rsidRDefault="1C8DE455" w:rsidP="00C55BCB">
      <w:pPr>
        <w:jc w:val="both"/>
      </w:pPr>
      <w:r>
        <w:t>AirDNA andmetel ulatusid Airbnb k</w:t>
      </w:r>
      <w:bookmarkStart w:id="214" w:name="_Ref187762953"/>
      <w:r>
        <w:t>o</w:t>
      </w:r>
      <w:bookmarkEnd w:id="214"/>
      <w:r>
        <w:t>gutulud</w:t>
      </w:r>
      <w:r w:rsidR="3B3E7D6C">
        <w:t xml:space="preserve"> 2022. aastal</w:t>
      </w:r>
      <w:r>
        <w:t xml:space="preserve"> 1,13 miljardi frangini</w:t>
      </w:r>
      <w:r w:rsidR="003D7CE0">
        <w:t xml:space="preserve"> (1,2 miljardi euro</w:t>
      </w:r>
      <w:r w:rsidR="00646751">
        <w:t>ni)</w:t>
      </w:r>
      <w:r>
        <w:t>, mis vasta</w:t>
      </w:r>
      <w:r w:rsidR="1FBABD17">
        <w:t>s</w:t>
      </w:r>
      <w:r>
        <w:t xml:space="preserve"> 34% kasvule võrreldes 2021</w:t>
      </w:r>
      <w:r w:rsidR="48B978A8">
        <w:t>.</w:t>
      </w:r>
      <w:r>
        <w:t xml:space="preserve"> aastaga. Samuti o</w:t>
      </w:r>
      <w:r w:rsidR="10EB387C">
        <w:t>li</w:t>
      </w:r>
      <w:r>
        <w:t xml:space="preserve"> see näitaja 30% kõrgem kui enne koroonakriisi 2019</w:t>
      </w:r>
      <w:r w:rsidR="18F02902">
        <w:t>.</w:t>
      </w:r>
      <w:r>
        <w:t xml:space="preserve"> aastal. 2018</w:t>
      </w:r>
      <w:r w:rsidR="311ABB98">
        <w:t>.</w:t>
      </w:r>
      <w:r>
        <w:t xml:space="preserve"> aastal tõi Airbnb platvorm teenusepakkujatele ligi poole miljardi frangi</w:t>
      </w:r>
      <w:r w:rsidR="0086428F">
        <w:t xml:space="preserve"> (</w:t>
      </w:r>
      <w:r w:rsidR="000F276F">
        <w:t>u</w:t>
      </w:r>
      <w:r w:rsidR="00956C44">
        <w:t xml:space="preserve"> 500 miljoni euro)</w:t>
      </w:r>
      <w:r>
        <w:t xml:space="preserve"> väärtuses kasumit.</w:t>
      </w:r>
      <w:r w:rsidR="0053135B">
        <w:fldChar w:fldCharType="begin"/>
      </w:r>
      <w:r w:rsidR="0053135B">
        <w:instrText xml:space="preserve"> NOTEREF _Ref187763089 \f \h </w:instrText>
      </w:r>
      <w:r w:rsidR="0053135B">
        <w:fldChar w:fldCharType="separate"/>
      </w:r>
      <w:r w:rsidR="00C55BCB" w:rsidRPr="00C55BCB">
        <w:rPr>
          <w:rStyle w:val="FootnoteReference"/>
        </w:rPr>
        <w:t>266</w:t>
      </w:r>
      <w:r w:rsidR="0053135B">
        <w:fldChar w:fldCharType="end"/>
      </w:r>
    </w:p>
    <w:p w14:paraId="108654FD" w14:textId="72CE43B8" w:rsidR="0053135B" w:rsidRPr="00E14EBC" w:rsidRDefault="1C8DE455" w:rsidP="00C55BCB">
      <w:pPr>
        <w:jc w:val="both"/>
      </w:pPr>
      <w:r>
        <w:t xml:space="preserve">Kuigi majanduslikku mõju on võrdlemisi vähe hinnatud, on leitud, et ainult Airbnb majutuse osakaal on linnade koguelamufondist suhteliselt madal. Näiteks Zürichis jõuti 2018. aastal valitsuse tellitud uuringuga järeldusele, et Airbnb ja teeninduskorterid, mida üüritakse välja mõneks kuuks koos lisateenustega, moodustasid </w:t>
      </w:r>
      <w:r w:rsidR="0058553B">
        <w:t xml:space="preserve">kõikidest </w:t>
      </w:r>
      <w:r w:rsidR="007123E8">
        <w:t>sealsetest</w:t>
      </w:r>
      <w:r w:rsidR="00F145F8">
        <w:t xml:space="preserve"> </w:t>
      </w:r>
      <w:r w:rsidR="0058553B">
        <w:t>üürikorteritest</w:t>
      </w:r>
      <w:r w:rsidR="00F145F8">
        <w:t xml:space="preserve"> vaid </w:t>
      </w:r>
      <w:r>
        <w:t>3,8 protsenti</w:t>
      </w:r>
      <w:r w:rsidR="00975374">
        <w:t xml:space="preserve"> ehk</w:t>
      </w:r>
      <w:r>
        <w:t xml:space="preserve"> 8400 </w:t>
      </w:r>
      <w:r>
        <w:lastRenderedPageBreak/>
        <w:t xml:space="preserve">korterit. </w:t>
      </w:r>
      <w:r w:rsidR="000B20CD">
        <w:t xml:space="preserve">Sarnast olukorda kinnitab näiteks ka Luzerni </w:t>
      </w:r>
      <w:r w:rsidR="003B6413">
        <w:t>turg, kus</w:t>
      </w:r>
      <w:r w:rsidR="000B20CD">
        <w:t xml:space="preserve"> </w:t>
      </w:r>
      <w:r w:rsidR="003B6413">
        <w:t>l</w:t>
      </w:r>
      <w:r>
        <w:t>ühiajaliseks üürimiseks mõeldud korterid moodusta</w:t>
      </w:r>
      <w:r w:rsidR="470D6922">
        <w:t>sid</w:t>
      </w:r>
      <w:r>
        <w:t xml:space="preserve"> linna andmetel 2023</w:t>
      </w:r>
      <w:r w:rsidR="74386304">
        <w:t>. aastal</w:t>
      </w:r>
      <w:r>
        <w:t xml:space="preserve"> alla ühe protsendi</w:t>
      </w:r>
      <w:r w:rsidR="00335428">
        <w:t xml:space="preserve"> </w:t>
      </w:r>
      <w:r w:rsidR="00C933EF">
        <w:t>kogu</w:t>
      </w:r>
      <w:r w:rsidR="00335428">
        <w:t xml:space="preserve"> </w:t>
      </w:r>
      <w:r w:rsidR="00C933EF">
        <w:t>eluasemeturust</w:t>
      </w:r>
      <w:r>
        <w:fldChar w:fldCharType="begin"/>
      </w:r>
      <w:r>
        <w:instrText xml:space="preserve"> NOTEREF _Ref187763089 \f \h  \* MERGEFORMAT </w:instrText>
      </w:r>
      <w:r>
        <w:fldChar w:fldCharType="separate"/>
      </w:r>
      <w:r w:rsidR="00C55BCB" w:rsidRPr="00C55BCB">
        <w:rPr>
          <w:rStyle w:val="FootnoteReference"/>
        </w:rPr>
        <w:t>266</w:t>
      </w:r>
      <w:r>
        <w:fldChar w:fldCharType="end"/>
      </w:r>
      <w:r>
        <w:t>.</w:t>
      </w:r>
    </w:p>
    <w:p w14:paraId="0C772E47" w14:textId="77777777" w:rsidR="0053135B" w:rsidRPr="00714E27" w:rsidRDefault="1C8DE455" w:rsidP="288A3578">
      <w:pPr>
        <w:pStyle w:val="Heading5"/>
        <w:numPr>
          <w:ilvl w:val="0"/>
          <w:numId w:val="0"/>
        </w:numPr>
        <w:ind w:left="1077" w:hanging="1077"/>
        <w:jc w:val="both"/>
        <w:rPr>
          <w:rFonts w:hint="eastAsia"/>
          <w:b/>
          <w:color w:val="auto"/>
        </w:rPr>
      </w:pPr>
      <w:r w:rsidRPr="00714E27">
        <w:rPr>
          <w:rFonts w:hint="eastAsia"/>
          <w:b/>
          <w:color w:val="auto"/>
        </w:rPr>
        <w:t>Mõjud (kokkuvõte)</w:t>
      </w:r>
    </w:p>
    <w:p w14:paraId="53370E64" w14:textId="77777777" w:rsidR="0053135B" w:rsidRPr="00E14EBC" w:rsidRDefault="0053135B" w:rsidP="00B42F85">
      <w:pPr>
        <w:jc w:val="both"/>
      </w:pPr>
      <w:r w:rsidRPr="00E14EBC">
        <w:t>Šveitsis kehtib üleriigiliselt lühiajalisele üüri turule kaks nõuet. Esiteks, teenusepakkujad peavad deklareerima välismaalastest üürilised kantoni ametivõimudele, järgides välismaalaste ja integratsiooni seaduse artiklit 16. Vastavalt sellele tuleb välismaalastelt koguda (omavalitsusele või kantonile tasuda) turismimaksu. Teiseks, Põhiseaduse kohaselt tuleb tagada, et kõigil kodanikel on võimalus leida elamispind mõistlikel alustel. Vastavalt sellele on erinevad omavalitsused lühiajalise üüri turgu erinevalt sekkunud.</w:t>
      </w:r>
    </w:p>
    <w:p w14:paraId="022FFFCD" w14:textId="77777777" w:rsidR="0053135B" w:rsidRPr="00E14EBC" w:rsidRDefault="0053135B" w:rsidP="00A364B8">
      <w:pPr>
        <w:pStyle w:val="ListParagraph"/>
        <w:numPr>
          <w:ilvl w:val="0"/>
          <w:numId w:val="17"/>
        </w:numPr>
        <w:jc w:val="both"/>
        <w:rPr>
          <w:rFonts w:cstheme="minorHAnsi"/>
          <w:lang w:eastAsia="en-GB"/>
        </w:rPr>
      </w:pPr>
      <w:r w:rsidRPr="00E14EBC">
        <w:t>Šveitsi Üürnike Ühing lähtub Saksamaa Majandusuuringute Instituudi (DIW Berlin)</w:t>
      </w:r>
      <w:r w:rsidRPr="00E14EBC">
        <w:rPr>
          <w:b/>
          <w:bCs/>
        </w:rPr>
        <w:t xml:space="preserve"> </w:t>
      </w:r>
      <w:r w:rsidRPr="00E14EBC">
        <w:t>2020.</w:t>
      </w:r>
      <w:r w:rsidRPr="00E14EBC">
        <w:rPr>
          <w:b/>
          <w:bCs/>
        </w:rPr>
        <w:t xml:space="preserve"> </w:t>
      </w:r>
      <w:r w:rsidRPr="00E14EBC">
        <w:t>aasta uuringust, mille kohaselt Airbnb korterid tõstavad naabruskonnas olevate korterite üürihindasid.</w:t>
      </w:r>
      <w:r w:rsidRPr="00E14EBC">
        <w:rPr>
          <w:b/>
          <w:bCs/>
        </w:rPr>
        <w:t xml:space="preserve"> </w:t>
      </w:r>
      <w:r w:rsidRPr="00E14EBC">
        <w:t>Tuginedes AirDNA andmetele, peab see väide nende sõnul paika ka tihedama Airbnb kaetusega Šveitsi linnades.</w:t>
      </w:r>
    </w:p>
    <w:p w14:paraId="06751D6A" w14:textId="77777777" w:rsidR="0053135B" w:rsidRPr="00E14EBC" w:rsidRDefault="0053135B" w:rsidP="00A364B8">
      <w:pPr>
        <w:pStyle w:val="ListParagraph"/>
        <w:numPr>
          <w:ilvl w:val="0"/>
          <w:numId w:val="18"/>
        </w:numPr>
        <w:jc w:val="both"/>
        <w:rPr>
          <w:b/>
          <w:bCs/>
        </w:rPr>
      </w:pPr>
      <w:r w:rsidRPr="00E14EBC">
        <w:rPr>
          <w:b/>
          <w:bCs/>
        </w:rPr>
        <w:t xml:space="preserve">Genfi linnavalitsuse seisukohast mõjutavad lühiajalise üüri korterid pikaajalise üüri korterite kättesaadavust. </w:t>
      </w:r>
      <w:r w:rsidRPr="00E14EBC">
        <w:t>Genfis võeti 2018. aastal vastu otsus piirata lühiajalise üüriteenuse lubatud päevade arvu, et parandada kantonis eluasemepindade kättesaadavust.</w:t>
      </w:r>
    </w:p>
    <w:p w14:paraId="55F618FE" w14:textId="091FE526" w:rsidR="0053135B" w:rsidRPr="00E14EBC" w:rsidRDefault="1C8DE455" w:rsidP="288A3578">
      <w:pPr>
        <w:pStyle w:val="ListParagraph"/>
        <w:numPr>
          <w:ilvl w:val="0"/>
          <w:numId w:val="18"/>
        </w:numPr>
        <w:jc w:val="both"/>
        <w:rPr>
          <w:b/>
          <w:bCs/>
        </w:rPr>
      </w:pPr>
      <w:r w:rsidRPr="288A3578">
        <w:rPr>
          <w:b/>
          <w:bCs/>
        </w:rPr>
        <w:t>Lühiajali</w:t>
      </w:r>
      <w:r w:rsidR="1E049F8C" w:rsidRPr="288A3578">
        <w:rPr>
          <w:b/>
          <w:bCs/>
        </w:rPr>
        <w:t>s</w:t>
      </w:r>
      <w:r w:rsidRPr="288A3578">
        <w:rPr>
          <w:b/>
          <w:bCs/>
        </w:rPr>
        <w:t xml:space="preserve">e üüri turg moodustab vaid väikese osa pikaajalise üüri turust. </w:t>
      </w:r>
      <w:r>
        <w:t>Züri</w:t>
      </w:r>
      <w:r w:rsidR="10EFF2B4">
        <w:t>c</w:t>
      </w:r>
      <w:r>
        <w:t>hi valitsuse poolt 2018. aastal tellitud uuringu kohaselt moodustasid Airbnb ja lisateenuseid pakkuvad külaliskorterid vaid 3,8% kõikidest üürikorteritest</w:t>
      </w:r>
      <w:r w:rsidR="00292088">
        <w:t xml:space="preserve"> eluasemeturul</w:t>
      </w:r>
      <w:r>
        <w:t>. Sarnaselt</w:t>
      </w:r>
      <w:r w:rsidR="728F465B">
        <w:t xml:space="preserve"> jäi</w:t>
      </w:r>
      <w:r>
        <w:t xml:space="preserve"> Luzerni linna andmetel 2023. aastal lühiajalise üüri korterite arv alla 1%</w:t>
      </w:r>
      <w:r w:rsidR="0060680B">
        <w:t xml:space="preserve"> </w:t>
      </w:r>
      <w:r w:rsidR="00292088">
        <w:t xml:space="preserve">kogu </w:t>
      </w:r>
      <w:r w:rsidR="0060680B">
        <w:t>eluasemeturust</w:t>
      </w:r>
      <w:r>
        <w:t xml:space="preserve">. </w:t>
      </w:r>
      <w:r w:rsidRPr="288A3578">
        <w:rPr>
          <w:b/>
          <w:bCs/>
        </w:rPr>
        <w:t>Lühiajalise üüri turu mõju pikaajalise üüriga korterite kättesaadavusele on seega küsitav.</w:t>
      </w:r>
    </w:p>
    <w:p w14:paraId="5D299C8F" w14:textId="77777777" w:rsidR="0053135B" w:rsidRPr="00E14EBC" w:rsidRDefault="0053135B" w:rsidP="0053135B"/>
    <w:p w14:paraId="2067F1C4" w14:textId="77777777" w:rsidR="0053135B" w:rsidRPr="00E14EBC" w:rsidRDefault="0053135B" w:rsidP="0053135B">
      <w:pPr>
        <w:sectPr w:rsidR="0053135B" w:rsidRPr="00E14EBC" w:rsidSect="0053135B">
          <w:headerReference w:type="default" r:id="rId30"/>
          <w:headerReference w:type="first" r:id="rId31"/>
          <w:footerReference w:type="first" r:id="rId32"/>
          <w:pgSz w:w="11906" w:h="16838"/>
          <w:pgMar w:top="1474" w:right="822" w:bottom="1474" w:left="822" w:header="709" w:footer="709" w:gutter="0"/>
          <w:cols w:space="708"/>
          <w:docGrid w:linePitch="360"/>
        </w:sectPr>
      </w:pPr>
    </w:p>
    <w:p w14:paraId="2EF8400C" w14:textId="129A8BDD" w:rsidR="009A1EDE" w:rsidRPr="00E14EBC" w:rsidRDefault="009A1EDE" w:rsidP="002C1B33">
      <w:pPr>
        <w:pStyle w:val="Heading2"/>
        <w:numPr>
          <w:ilvl w:val="0"/>
          <w:numId w:val="0"/>
        </w:numPr>
        <w:rPr>
          <w:rFonts w:hint="eastAsia"/>
        </w:rPr>
      </w:pPr>
      <w:bookmarkStart w:id="215" w:name="_Ref193458747"/>
      <w:bookmarkStart w:id="216" w:name="_Toc197718092"/>
      <w:bookmarkStart w:id="217" w:name="_Toc208991646"/>
      <w:r w:rsidRPr="00E14EBC">
        <w:lastRenderedPageBreak/>
        <w:t xml:space="preserve">Lisa 2. Kokkuvõte </w:t>
      </w:r>
      <w:r w:rsidR="002C1B33" w:rsidRPr="00E14EBC">
        <w:t xml:space="preserve">välisriikide </w:t>
      </w:r>
      <w:r w:rsidR="00273E41" w:rsidRPr="00E14EBC">
        <w:t>kogemustest</w:t>
      </w:r>
      <w:bookmarkEnd w:id="215"/>
      <w:bookmarkEnd w:id="216"/>
      <w:bookmarkEnd w:id="217"/>
    </w:p>
    <w:p w14:paraId="42632825" w14:textId="67D7F361" w:rsidR="006E7D35" w:rsidRPr="00E14EBC" w:rsidRDefault="008E5742" w:rsidP="00874A8D">
      <w:pPr>
        <w:jc w:val="both"/>
      </w:pPr>
      <w:r w:rsidRPr="00E14EBC">
        <w:t xml:space="preserve">Alljärgnevas tabelis on esitatud </w:t>
      </w:r>
      <w:r w:rsidR="008514FD" w:rsidRPr="00E14EBC">
        <w:t>kokkuvõte</w:t>
      </w:r>
      <w:r w:rsidRPr="00E14EBC">
        <w:t xml:space="preserve"> lühiajalise üüri turu määratlustest, regulatsioonidest ja andmete kogumise </w:t>
      </w:r>
      <w:r w:rsidR="00122EAF" w:rsidRPr="00E14EBC">
        <w:t xml:space="preserve">praktikatest analüüsitud </w:t>
      </w:r>
      <w:r w:rsidR="002A7A4F" w:rsidRPr="00E14EBC">
        <w:t>välis</w:t>
      </w:r>
      <w:r w:rsidR="00122EAF" w:rsidRPr="00E14EBC">
        <w:t xml:space="preserve">riikides – Hollandis, Saksamaal, Soomes, Šveitsis ja Tšehhis. </w:t>
      </w:r>
      <w:r w:rsidR="007078D2" w:rsidRPr="00E14EBC">
        <w:t xml:space="preserve">Tabelis </w:t>
      </w:r>
      <w:r w:rsidR="00296CA7" w:rsidRPr="00E14EBC">
        <w:t xml:space="preserve">esitatud teave põhineb avalikel kättesaadavatel allikatel, sh seadustel ning määrustel. Täpsemalt on võimalik välisriikide praktikatega tutvuda peatükis </w:t>
      </w:r>
      <w:r w:rsidR="00E55793">
        <w:t>„</w:t>
      </w:r>
      <w:r w:rsidR="00CE7F7E" w:rsidRPr="00E14EBC">
        <w:fldChar w:fldCharType="begin"/>
      </w:r>
      <w:r w:rsidR="00CE7F7E" w:rsidRPr="00E14EBC">
        <w:instrText xml:space="preserve"> REF _Ref193455978 \h </w:instrText>
      </w:r>
      <w:r w:rsidR="00874A8D">
        <w:instrText xml:space="preserve"> \* MERGEFORMAT </w:instrText>
      </w:r>
      <w:r w:rsidR="00CE7F7E" w:rsidRPr="00E14EBC">
        <w:fldChar w:fldCharType="separate"/>
      </w:r>
      <w:r w:rsidR="00C55BCB" w:rsidRPr="00E14EBC">
        <w:t>Lisa 1. Ülevaade valitud välisriikide lühiajalise üüri</w:t>
      </w:r>
      <w:r w:rsidR="00C55BCB">
        <w:t xml:space="preserve"> </w:t>
      </w:r>
      <w:r w:rsidR="00C55BCB" w:rsidRPr="00E14EBC">
        <w:t>turu toimimisest</w:t>
      </w:r>
      <w:r w:rsidR="00CE7F7E" w:rsidRPr="00E14EBC">
        <w:fldChar w:fldCharType="end"/>
      </w:r>
      <w:r w:rsidR="00E55793">
        <w:t>“</w:t>
      </w:r>
      <w:r w:rsidR="001C6DE5">
        <w:t>.</w:t>
      </w:r>
    </w:p>
    <w:p w14:paraId="51B64F6F" w14:textId="2288B728" w:rsidR="008E5742" w:rsidRPr="00E14EBC" w:rsidRDefault="008E5742" w:rsidP="00296E19">
      <w:pPr>
        <w:pStyle w:val="Caption"/>
      </w:pPr>
      <w:bookmarkStart w:id="218" w:name="_Ref193707140"/>
      <w:r w:rsidRPr="00E14EBC">
        <w:t xml:space="preserve">Tabel </w:t>
      </w:r>
      <w:bookmarkEnd w:id="218"/>
      <w:r w:rsidR="005B1728">
        <w:t>1</w:t>
      </w:r>
      <w:r w:rsidR="001E5B0D">
        <w:t>5</w:t>
      </w:r>
      <w:r w:rsidR="00ED0B26" w:rsidRPr="00E14EBC">
        <w:t>:</w:t>
      </w:r>
      <w:r w:rsidRPr="00E14EBC">
        <w:t xml:space="preserve"> Lühiajalise üüri turu mõiste, regulatsioonid, andmete kogumine ja metoodika välisriikides</w:t>
      </w:r>
    </w:p>
    <w:tbl>
      <w:tblPr>
        <w:tblStyle w:val="TableGrid"/>
        <w:tblW w:w="0" w:type="auto"/>
        <w:tblLook w:val="04A0" w:firstRow="1" w:lastRow="0" w:firstColumn="1" w:lastColumn="0" w:noHBand="0" w:noVBand="1"/>
      </w:tblPr>
      <w:tblGrid>
        <w:gridCol w:w="4630"/>
        <w:gridCol w:w="4630"/>
        <w:gridCol w:w="4630"/>
      </w:tblGrid>
      <w:tr w:rsidR="00DF685D" w:rsidRPr="00E14EBC" w14:paraId="1DEDFAE5" w14:textId="77777777" w:rsidTr="1C92C443">
        <w:trPr>
          <w:tblHeader/>
        </w:trPr>
        <w:tc>
          <w:tcPr>
            <w:tcW w:w="4630" w:type="dxa"/>
            <w:shd w:val="clear" w:color="auto" w:fill="232323" w:themeFill="accent1"/>
          </w:tcPr>
          <w:p w14:paraId="58B10463" w14:textId="283D050C" w:rsidR="00DF685D" w:rsidRPr="00E14EBC" w:rsidRDefault="00DF685D" w:rsidP="006E7D35">
            <w:pPr>
              <w:rPr>
                <w:b/>
                <w:bCs/>
              </w:rPr>
            </w:pPr>
            <w:r w:rsidRPr="00E14EBC">
              <w:rPr>
                <w:b/>
                <w:bCs/>
              </w:rPr>
              <w:t>Lühiajalise üüri turu mõiste</w:t>
            </w:r>
          </w:p>
        </w:tc>
        <w:tc>
          <w:tcPr>
            <w:tcW w:w="4630" w:type="dxa"/>
            <w:shd w:val="clear" w:color="auto" w:fill="232323" w:themeFill="accent1"/>
          </w:tcPr>
          <w:p w14:paraId="1A0238DD" w14:textId="34721092" w:rsidR="00DF685D" w:rsidRPr="00E14EBC" w:rsidRDefault="00DF685D" w:rsidP="006E7D35">
            <w:pPr>
              <w:rPr>
                <w:b/>
                <w:bCs/>
              </w:rPr>
            </w:pPr>
            <w:r w:rsidRPr="00E14EBC">
              <w:rPr>
                <w:b/>
                <w:bCs/>
              </w:rPr>
              <w:t>Regulatsioonid</w:t>
            </w:r>
          </w:p>
        </w:tc>
        <w:tc>
          <w:tcPr>
            <w:tcW w:w="4630" w:type="dxa"/>
            <w:shd w:val="clear" w:color="auto" w:fill="232323" w:themeFill="accent1"/>
          </w:tcPr>
          <w:p w14:paraId="624C232A" w14:textId="063395E7" w:rsidR="00DF685D" w:rsidRPr="00E14EBC" w:rsidRDefault="00DF685D" w:rsidP="006E7D35">
            <w:pPr>
              <w:rPr>
                <w:b/>
                <w:bCs/>
              </w:rPr>
            </w:pPr>
            <w:r w:rsidRPr="00E14EBC">
              <w:rPr>
                <w:b/>
                <w:bCs/>
              </w:rPr>
              <w:t>Andmete kogumine ja metoodika</w:t>
            </w:r>
          </w:p>
        </w:tc>
      </w:tr>
      <w:tr w:rsidR="00E12CDD" w:rsidRPr="00E14EBC" w14:paraId="4EECD2C4" w14:textId="77777777" w:rsidTr="1C92C443">
        <w:tc>
          <w:tcPr>
            <w:tcW w:w="13890" w:type="dxa"/>
            <w:gridSpan w:val="3"/>
            <w:shd w:val="clear" w:color="auto" w:fill="E6E6E6" w:themeFill="accent3"/>
          </w:tcPr>
          <w:p w14:paraId="1FE5D36D" w14:textId="34DD9B34" w:rsidR="00E12CDD" w:rsidRPr="00E14EBC" w:rsidRDefault="00E12CDD" w:rsidP="006E7D35">
            <w:pPr>
              <w:rPr>
                <w:b/>
                <w:bCs/>
              </w:rPr>
            </w:pPr>
            <w:r w:rsidRPr="00E14EBC">
              <w:rPr>
                <w:b/>
                <w:bCs/>
              </w:rPr>
              <w:t>HOLLAND</w:t>
            </w:r>
          </w:p>
        </w:tc>
      </w:tr>
      <w:tr w:rsidR="00E12CDD" w:rsidRPr="00E14EBC" w14:paraId="51DF6D99" w14:textId="77777777" w:rsidTr="1C92C443">
        <w:tc>
          <w:tcPr>
            <w:tcW w:w="4630" w:type="dxa"/>
          </w:tcPr>
          <w:p w14:paraId="38FB77EA" w14:textId="3BB52747" w:rsidR="00E12CDD" w:rsidRPr="00E14EBC" w:rsidRDefault="003D2B3B" w:rsidP="00E12CDD">
            <w:r w:rsidRPr="00E14EBC">
              <w:rPr>
                <w:rFonts w:eastAsia="Times New Roman" w:cstheme="minorHAnsi"/>
                <w:bCs/>
                <w:kern w:val="0"/>
                <w:szCs w:val="24"/>
                <w:lang w:eastAsia="en-GB"/>
                <w14:ligatures w14:val="none"/>
              </w:rPr>
              <w:t xml:space="preserve">Lühiajaline üürimine tähendab Hollandis </w:t>
            </w:r>
            <w:r w:rsidRPr="00E14EBC">
              <w:rPr>
                <w:rFonts w:eastAsia="Times New Roman" w:cstheme="minorHAnsi"/>
                <w:b/>
                <w:kern w:val="0"/>
                <w:szCs w:val="24"/>
                <w:lang w:eastAsia="en-GB"/>
                <w14:ligatures w14:val="none"/>
              </w:rPr>
              <w:t>e</w:t>
            </w:r>
            <w:r w:rsidR="00E12CDD" w:rsidRPr="00E14EBC">
              <w:rPr>
                <w:rFonts w:eastAsia="Times New Roman" w:cstheme="minorHAnsi"/>
                <w:b/>
                <w:kern w:val="0"/>
                <w:szCs w:val="24"/>
                <w:lang w:eastAsia="en-GB"/>
                <w14:ligatures w14:val="none"/>
              </w:rPr>
              <w:t>luruumi või paatmaja ajuti</w:t>
            </w:r>
            <w:r w:rsidR="00747242" w:rsidRPr="00E14EBC">
              <w:rPr>
                <w:rFonts w:eastAsia="Times New Roman" w:cstheme="minorHAnsi"/>
                <w:b/>
                <w:kern w:val="0"/>
                <w:szCs w:val="24"/>
                <w:lang w:eastAsia="en-GB"/>
                <w14:ligatures w14:val="none"/>
              </w:rPr>
              <w:t>st</w:t>
            </w:r>
            <w:r w:rsidR="00E12CDD" w:rsidRPr="00E14EBC">
              <w:rPr>
                <w:rFonts w:eastAsia="Times New Roman" w:cstheme="minorHAnsi"/>
                <w:b/>
                <w:kern w:val="0"/>
                <w:szCs w:val="24"/>
                <w:lang w:eastAsia="en-GB"/>
                <w14:ligatures w14:val="none"/>
              </w:rPr>
              <w:t xml:space="preserve"> üüril</w:t>
            </w:r>
            <w:r w:rsidR="00747242" w:rsidRPr="00E14EBC">
              <w:rPr>
                <w:rFonts w:eastAsia="Times New Roman" w:cstheme="minorHAnsi"/>
                <w:b/>
                <w:kern w:val="0"/>
                <w:szCs w:val="24"/>
                <w:lang w:eastAsia="en-GB"/>
                <w14:ligatures w14:val="none"/>
              </w:rPr>
              <w:t>e</w:t>
            </w:r>
            <w:r w:rsidR="00E12CDD" w:rsidRPr="00E14EBC">
              <w:rPr>
                <w:rFonts w:eastAsia="Times New Roman" w:cstheme="minorHAnsi"/>
                <w:b/>
                <w:kern w:val="0"/>
                <w:szCs w:val="24"/>
                <w:lang w:eastAsia="en-GB"/>
                <w14:ligatures w14:val="none"/>
              </w:rPr>
              <w:t xml:space="preserve"> andmi</w:t>
            </w:r>
            <w:r w:rsidR="00747242" w:rsidRPr="00E14EBC">
              <w:rPr>
                <w:rFonts w:eastAsia="Times New Roman" w:cstheme="minorHAnsi"/>
                <w:b/>
                <w:kern w:val="0"/>
                <w:szCs w:val="24"/>
                <w:lang w:eastAsia="en-GB"/>
                <w14:ligatures w14:val="none"/>
              </w:rPr>
              <w:t>st</w:t>
            </w:r>
            <w:r w:rsidR="00E12CDD" w:rsidRPr="00E14EBC">
              <w:rPr>
                <w:rFonts w:eastAsia="Times New Roman" w:cstheme="minorHAnsi"/>
                <w:b/>
                <w:kern w:val="0"/>
                <w:szCs w:val="24"/>
                <w:lang w:eastAsia="en-GB"/>
                <w14:ligatures w14:val="none"/>
              </w:rPr>
              <w:t xml:space="preserve"> turistidele</w:t>
            </w:r>
            <w:r w:rsidR="00E12CDD" w:rsidRPr="00E14EBC">
              <w:rPr>
                <w:rFonts w:eastAsia="Times New Roman" w:cstheme="minorHAnsi"/>
                <w:kern w:val="0"/>
                <w:szCs w:val="24"/>
                <w:lang w:eastAsia="en-GB"/>
                <w14:ligatures w14:val="none"/>
              </w:rPr>
              <w:t>, mis on piiratud maksimaalselt 30 ööga kalendriaastas ning korraga võib majutada kuni neli inimest. Lühiajaliseks rendiks (ka turismirendiks) on keelatud pakkuda eluruume, mis asuvad omavalitsuse poolt kindlaks määratud piirkonnas</w:t>
            </w:r>
          </w:p>
        </w:tc>
        <w:tc>
          <w:tcPr>
            <w:tcW w:w="4630" w:type="dxa"/>
          </w:tcPr>
          <w:p w14:paraId="7560611E" w14:textId="769F3B1C" w:rsidR="00E12CDD" w:rsidRPr="00E14EBC" w:rsidRDefault="00E12CDD" w:rsidP="00E12CDD">
            <w:pPr>
              <w:spacing w:line="259" w:lineRule="auto"/>
              <w:rPr>
                <w:rFonts w:eastAsia="Times New Roman" w:cstheme="minorHAnsi"/>
                <w:kern w:val="0"/>
                <w:szCs w:val="24"/>
                <w:lang w:eastAsia="en-GB"/>
                <w14:ligatures w14:val="none"/>
              </w:rPr>
            </w:pPr>
            <w:r w:rsidRPr="00E14EBC">
              <w:rPr>
                <w:rFonts w:eastAsia="Times New Roman" w:cstheme="minorHAnsi"/>
                <w:kern w:val="0"/>
                <w:szCs w:val="24"/>
                <w:lang w:eastAsia="en-GB"/>
                <w14:ligatures w14:val="none"/>
              </w:rPr>
              <w:t xml:space="preserve">Üürileandjatel on kohustuslik registreeruda riiklikus </w:t>
            </w:r>
            <w:hyperlink r:id="rId33" w:history="1">
              <w:r w:rsidRPr="00E14EBC">
                <w:rPr>
                  <w:rStyle w:val="Hyperlink"/>
                  <w:rFonts w:eastAsia="Times New Roman" w:cstheme="minorHAnsi"/>
                  <w:kern w:val="0"/>
                  <w:szCs w:val="24"/>
                  <w:lang w:eastAsia="en-GB"/>
                  <w14:ligatures w14:val="none"/>
                </w:rPr>
                <w:t>turismirendi registris</w:t>
              </w:r>
            </w:hyperlink>
            <w:r w:rsidRPr="00E14EBC">
              <w:rPr>
                <w:rFonts w:eastAsia="Times New Roman" w:cstheme="minorHAnsi"/>
                <w:kern w:val="0"/>
                <w:szCs w:val="24"/>
                <w:lang w:eastAsia="en-GB"/>
                <w14:ligatures w14:val="none"/>
              </w:rPr>
              <w:t xml:space="preserve"> ning lisada registreerimisnumber kõikidele kuulutustele. </w:t>
            </w:r>
          </w:p>
          <w:p w14:paraId="02756F6F" w14:textId="77777777" w:rsidR="00E12CDD" w:rsidRPr="00E14EBC" w:rsidRDefault="00E12CDD" w:rsidP="00E12CDD">
            <w:pPr>
              <w:rPr>
                <w:rFonts w:cstheme="minorHAnsi"/>
              </w:rPr>
            </w:pPr>
            <w:r w:rsidRPr="00E14EBC">
              <w:rPr>
                <w:rFonts w:cstheme="minorHAnsi"/>
              </w:rPr>
              <w:t xml:space="preserve">Regulatsiooni kohaselt on üürileandjal võimalik oma pinda välja üürida 30 ööd aastas ning maksimaalne külastajate arv on korraga 4 inimest. </w:t>
            </w:r>
          </w:p>
          <w:p w14:paraId="6DC138CD" w14:textId="77777777" w:rsidR="005B77DB" w:rsidRPr="00E14EBC" w:rsidRDefault="005B77DB" w:rsidP="005B77DB">
            <w:r w:rsidRPr="00E14EBC">
              <w:t>Väljaüürimisel on üürileandjatel kohustus teavitada linnavalitsust iga kord, kui kodu välja üüritakse, kasutades registreerimisnumbrit, mis on märgitud nende loal.</w:t>
            </w:r>
          </w:p>
          <w:p w14:paraId="22342B18" w14:textId="2FB0AEC7" w:rsidR="00BC691C" w:rsidRPr="00E14EBC" w:rsidRDefault="00BC691C" w:rsidP="00E12CDD">
            <w:r w:rsidRPr="00E14EBC">
              <w:rPr>
                <w:rFonts w:eastAsia="Times New Roman"/>
                <w:kern w:val="0"/>
                <w:lang w:eastAsia="en-GB"/>
                <w14:ligatures w14:val="none"/>
              </w:rPr>
              <w:t xml:space="preserve">Omavalitsuste eluasememääruses on märgitud piirkonnad, mille puhul on eesmärk säilitada eluruume ja elukeskkonda. See tähendab, et ruume ei tohi välja üürida lühiajaliseks </w:t>
            </w:r>
            <w:r w:rsidRPr="00E14EBC">
              <w:rPr>
                <w:rFonts w:eastAsia="Times New Roman"/>
                <w:kern w:val="0"/>
                <w:lang w:eastAsia="en-GB"/>
                <w14:ligatures w14:val="none"/>
              </w:rPr>
              <w:lastRenderedPageBreak/>
              <w:t>peatumiseks</w:t>
            </w:r>
            <w:r w:rsidR="5DF2A36F" w:rsidRPr="00E14EBC">
              <w:rPr>
                <w:rFonts w:eastAsia="Times New Roman"/>
                <w:kern w:val="0"/>
                <w:lang w:eastAsia="en-GB"/>
                <w14:ligatures w14:val="none"/>
              </w:rPr>
              <w:t>,</w:t>
            </w:r>
            <w:r w:rsidRPr="00E14EBC">
              <w:rPr>
                <w:rFonts w:eastAsia="Times New Roman"/>
                <w:kern w:val="0"/>
                <w:lang w:eastAsia="en-GB"/>
                <w14:ligatures w14:val="none"/>
              </w:rPr>
              <w:t xml:space="preserve"> kui selleks ei ole väljastatud omavalitsuse poolt luba</w:t>
            </w:r>
          </w:p>
        </w:tc>
        <w:tc>
          <w:tcPr>
            <w:tcW w:w="4630" w:type="dxa"/>
          </w:tcPr>
          <w:p w14:paraId="4665FE73" w14:textId="3DEEE2B5" w:rsidR="00E12CDD" w:rsidRPr="00E14EBC" w:rsidRDefault="1359B569" w:rsidP="006C4DB9">
            <w:pPr>
              <w:spacing w:line="259" w:lineRule="auto"/>
            </w:pPr>
            <w:r w:rsidRPr="288A3578">
              <w:rPr>
                <w:rFonts w:eastAsia="Times New Roman"/>
                <w:kern w:val="0"/>
                <w:lang w:eastAsia="en-GB"/>
                <w14:ligatures w14:val="none"/>
              </w:rPr>
              <w:lastRenderedPageBreak/>
              <w:t xml:space="preserve">Hollandis kogutakse </w:t>
            </w:r>
            <w:r w:rsidR="00897EFA">
              <w:rPr>
                <w:rFonts w:eastAsia="Times New Roman"/>
                <w:kern w:val="0"/>
                <w:lang w:eastAsia="en-GB"/>
                <w14:ligatures w14:val="none"/>
              </w:rPr>
              <w:t xml:space="preserve">riiklikult </w:t>
            </w:r>
            <w:r w:rsidRPr="288A3578">
              <w:rPr>
                <w:rFonts w:eastAsia="Times New Roman"/>
                <w:kern w:val="0"/>
                <w:lang w:eastAsia="en-GB"/>
                <w14:ligatures w14:val="none"/>
              </w:rPr>
              <w:t xml:space="preserve">majutuste üldstatistikat, </w:t>
            </w:r>
            <w:r w:rsidR="00897EFA">
              <w:rPr>
                <w:rFonts w:eastAsia="Times New Roman"/>
                <w:kern w:val="0"/>
                <w:lang w:eastAsia="en-GB"/>
                <w14:ligatures w14:val="none"/>
              </w:rPr>
              <w:t xml:space="preserve">kuid </w:t>
            </w:r>
            <w:r w:rsidRPr="288A3578">
              <w:rPr>
                <w:rFonts w:eastAsia="Times New Roman"/>
                <w:kern w:val="0"/>
                <w:lang w:eastAsia="en-GB"/>
                <w14:ligatures w14:val="none"/>
              </w:rPr>
              <w:t>lühiajalise üüri turu andme</w:t>
            </w:r>
            <w:r w:rsidR="006060E2">
              <w:rPr>
                <w:rFonts w:eastAsia="Times New Roman"/>
                <w:kern w:val="0"/>
                <w:lang w:eastAsia="en-GB"/>
                <w14:ligatures w14:val="none"/>
              </w:rPr>
              <w:t>id, sh külastuste andmeid, koguvad kohalikud omavalitsused</w:t>
            </w:r>
            <w:r w:rsidRPr="288A3578">
              <w:rPr>
                <w:rFonts w:eastAsia="Times New Roman"/>
                <w:kern w:val="0"/>
                <w:lang w:eastAsia="en-GB"/>
                <w14:ligatures w14:val="none"/>
              </w:rPr>
              <w:t>.</w:t>
            </w:r>
            <w:r w:rsidR="006060E2">
              <w:rPr>
                <w:rFonts w:eastAsia="Times New Roman"/>
                <w:kern w:val="0"/>
                <w:lang w:eastAsia="en-GB"/>
                <w14:ligatures w14:val="none"/>
              </w:rPr>
              <w:t xml:space="preserve"> Seega eksisteerib mehhanism andmete kogumiseks, </w:t>
            </w:r>
            <w:r w:rsidR="008D1CCF">
              <w:rPr>
                <w:rFonts w:eastAsia="Times New Roman"/>
                <w:kern w:val="0"/>
                <w:lang w:eastAsia="en-GB"/>
                <w14:ligatures w14:val="none"/>
              </w:rPr>
              <w:t xml:space="preserve">aga riiklikul tasandil ei ole olemas terviklikku ja avalikku koondstatistikat, mis </w:t>
            </w:r>
            <w:r w:rsidR="00897EFA">
              <w:rPr>
                <w:rFonts w:eastAsia="Times New Roman"/>
                <w:kern w:val="0"/>
                <w:lang w:eastAsia="en-GB"/>
                <w14:ligatures w14:val="none"/>
              </w:rPr>
              <w:t>kajastaks kogu lühiajalise üüri turu mahtu.</w:t>
            </w:r>
            <w:r w:rsidR="008D1CCF">
              <w:rPr>
                <w:rFonts w:eastAsia="Times New Roman"/>
                <w:kern w:val="0"/>
                <w:lang w:eastAsia="en-GB"/>
                <w14:ligatures w14:val="none"/>
              </w:rPr>
              <w:t xml:space="preserve"> </w:t>
            </w:r>
            <w:r w:rsidRPr="288A3578">
              <w:rPr>
                <w:rFonts w:eastAsia="Times New Roman"/>
                <w:kern w:val="0"/>
                <w:lang w:eastAsia="en-GB"/>
                <w14:ligatures w14:val="none"/>
              </w:rPr>
              <w:t>Korterites pakutav majutusstatistika kajastub vaid hotelliteenustega pindade näol, mida ei loeta turismirendiks</w:t>
            </w:r>
            <w:r w:rsidR="00726420">
              <w:rPr>
                <w:rFonts w:eastAsia="Times New Roman"/>
                <w:kern w:val="0"/>
                <w:lang w:eastAsia="en-GB"/>
                <w14:ligatures w14:val="none"/>
              </w:rPr>
              <w:t xml:space="preserve"> ja mis ei liigitu</w:t>
            </w:r>
            <w:r w:rsidR="009F63F3">
              <w:rPr>
                <w:rFonts w:eastAsia="Times New Roman"/>
                <w:kern w:val="0"/>
                <w:lang w:eastAsia="en-GB"/>
                <w14:ligatures w14:val="none"/>
              </w:rPr>
              <w:t xml:space="preserve"> e</w:t>
            </w:r>
            <w:r w:rsidR="007204BB">
              <w:rPr>
                <w:rFonts w:eastAsia="Times New Roman"/>
                <w:kern w:val="0"/>
                <w:lang w:eastAsia="en-GB"/>
                <w14:ligatures w14:val="none"/>
              </w:rPr>
              <w:t>raisikute poolt pakutava lühiajalise üüri teenuse alla</w:t>
            </w:r>
          </w:p>
        </w:tc>
      </w:tr>
      <w:tr w:rsidR="00E12CDD" w:rsidRPr="00E14EBC" w14:paraId="1B2D370F" w14:textId="77777777" w:rsidTr="1C92C443">
        <w:tc>
          <w:tcPr>
            <w:tcW w:w="13890" w:type="dxa"/>
            <w:gridSpan w:val="3"/>
            <w:shd w:val="clear" w:color="auto" w:fill="E6E6E6" w:themeFill="accent3"/>
          </w:tcPr>
          <w:p w14:paraId="450991DA" w14:textId="56DA8D3B" w:rsidR="00E12CDD" w:rsidRPr="00E14EBC" w:rsidRDefault="00E12CDD" w:rsidP="006E7D35">
            <w:pPr>
              <w:rPr>
                <w:b/>
                <w:bCs/>
              </w:rPr>
            </w:pPr>
            <w:r w:rsidRPr="00E14EBC">
              <w:rPr>
                <w:b/>
                <w:bCs/>
              </w:rPr>
              <w:t>SAKSAMAA</w:t>
            </w:r>
          </w:p>
        </w:tc>
      </w:tr>
      <w:tr w:rsidR="00E12CDD" w:rsidRPr="00E14EBC" w14:paraId="6880FAF3" w14:textId="77777777" w:rsidTr="1C92C443">
        <w:tc>
          <w:tcPr>
            <w:tcW w:w="4630" w:type="dxa"/>
          </w:tcPr>
          <w:p w14:paraId="1F149540" w14:textId="5A1F8171" w:rsidR="00E12CDD" w:rsidRPr="00E14EBC" w:rsidRDefault="1359B569" w:rsidP="00E12CDD">
            <w:r w:rsidRPr="288A3578">
              <w:rPr>
                <w:rFonts w:eastAsia="Times New Roman"/>
                <w:kern w:val="0"/>
                <w:lang w:eastAsia="en-GB"/>
                <w14:ligatures w14:val="none"/>
              </w:rPr>
              <w:t xml:space="preserve">Saksa tsiviilseadustiku (BGB) paragrahvi 549 järgi tähendab lühiajaline rent </w:t>
            </w:r>
            <w:r w:rsidRPr="288A3578">
              <w:rPr>
                <w:rFonts w:eastAsia="Times New Roman"/>
                <w:b/>
                <w:bCs/>
                <w:kern w:val="0"/>
                <w:lang w:eastAsia="en-GB"/>
                <w14:ligatures w14:val="none"/>
              </w:rPr>
              <w:t>üürimist ajutiseks kasutamiseks, näiteks puhkuse- või ärireisijate majutamiseks</w:t>
            </w:r>
            <w:r w:rsidRPr="288A3578">
              <w:rPr>
                <w:rFonts w:eastAsia="Times New Roman"/>
                <w:kern w:val="0"/>
                <w:lang w:eastAsia="en-GB"/>
                <w14:ligatures w14:val="none"/>
              </w:rPr>
              <w:t xml:space="preserve">. Üüriperiood on </w:t>
            </w:r>
            <w:r w:rsidRPr="288A3578">
              <w:rPr>
                <w:rFonts w:eastAsia="Times New Roman"/>
                <w:b/>
                <w:bCs/>
                <w:kern w:val="0"/>
                <w:lang w:eastAsia="en-GB"/>
                <w14:ligatures w14:val="none"/>
              </w:rPr>
              <w:t>alati alla kuue kuu</w:t>
            </w:r>
            <w:r w:rsidRPr="288A3578">
              <w:rPr>
                <w:rFonts w:eastAsia="Times New Roman"/>
                <w:kern w:val="0"/>
                <w:lang w:eastAsia="en-GB"/>
                <w14:ligatures w14:val="none"/>
              </w:rPr>
              <w:t xml:space="preserve"> ja ulatub </w:t>
            </w:r>
            <w:r w:rsidRPr="288A3578">
              <w:rPr>
                <w:rFonts w:eastAsia="Times New Roman"/>
                <w:b/>
                <w:bCs/>
                <w:kern w:val="0"/>
                <w:lang w:eastAsia="en-GB"/>
                <w14:ligatures w14:val="none"/>
              </w:rPr>
              <w:t>mõnest päevast mitme nädalani</w:t>
            </w:r>
            <w:r w:rsidRPr="288A3578">
              <w:rPr>
                <w:rFonts w:eastAsia="Times New Roman"/>
                <w:kern w:val="0"/>
                <w:lang w:eastAsia="en-GB"/>
                <w14:ligatures w14:val="none"/>
              </w:rPr>
              <w:t>. Kui üüriperiood on pikem kui kuus kuud, liigitub see klassikalise üüri alla. Seejuures on oluli</w:t>
            </w:r>
            <w:r w:rsidR="78C9BEE9" w:rsidRPr="288A3578">
              <w:rPr>
                <w:rFonts w:eastAsia="Times New Roman"/>
                <w:kern w:val="0"/>
                <w:lang w:eastAsia="en-GB"/>
                <w14:ligatures w14:val="none"/>
              </w:rPr>
              <w:t>ne</w:t>
            </w:r>
            <w:r w:rsidRPr="288A3578">
              <w:rPr>
                <w:rFonts w:eastAsia="Times New Roman"/>
                <w:kern w:val="0"/>
                <w:lang w:eastAsia="en-GB"/>
                <w14:ligatures w14:val="none"/>
              </w:rPr>
              <w:t>, et lühiajalisel üürimisel pakutakse elamispinda möbleeritult ja arveid esitatakse tavaliselt päevade või ööde eest</w:t>
            </w:r>
          </w:p>
        </w:tc>
        <w:tc>
          <w:tcPr>
            <w:tcW w:w="4630" w:type="dxa"/>
          </w:tcPr>
          <w:p w14:paraId="2CFD2200" w14:textId="77777777" w:rsidR="00E12CDD" w:rsidRPr="00E14EBC" w:rsidRDefault="00E12CDD" w:rsidP="00A50359">
            <w:pPr>
              <w:pStyle w:val="ListBullet"/>
              <w:numPr>
                <w:ilvl w:val="0"/>
                <w:numId w:val="12"/>
              </w:numPr>
              <w:rPr>
                <w:rFonts w:cstheme="minorHAnsi"/>
              </w:rPr>
            </w:pPr>
            <w:r w:rsidRPr="00E14EBC">
              <w:rPr>
                <w:rFonts w:cstheme="minorHAnsi"/>
                <w:b/>
                <w:bCs/>
              </w:rPr>
              <w:t>Ettevõtte registreerimise nõue</w:t>
            </w:r>
            <w:r w:rsidRPr="00E14EBC">
              <w:rPr>
                <w:rFonts w:cstheme="minorHAnsi"/>
              </w:rPr>
              <w:t xml:space="preserve"> – üüritulu käsitletakse äritegevusena. Ettevõtte registreerimise puhul teavitatakse äriregistri poolt maksuametit või vastavat kaubanduskoda, kes määratlevad äritegevuse ulatuse. Selle põhjal määratakse, kas üürileandjal on kohustus maksta makse; </w:t>
            </w:r>
          </w:p>
          <w:p w14:paraId="060E1DAA" w14:textId="77777777" w:rsidR="00E12CDD" w:rsidRPr="00E14EBC" w:rsidRDefault="00E12CDD" w:rsidP="00A50359">
            <w:pPr>
              <w:pStyle w:val="ListBullet"/>
              <w:numPr>
                <w:ilvl w:val="0"/>
                <w:numId w:val="12"/>
              </w:numPr>
              <w:rPr>
                <w:rFonts w:cstheme="minorHAnsi"/>
                <w:color w:val="232323" w:themeColor="text1"/>
              </w:rPr>
            </w:pPr>
            <w:r w:rsidRPr="00E14EBC">
              <w:rPr>
                <w:rFonts w:cstheme="minorHAnsi"/>
                <w:b/>
                <w:bCs/>
              </w:rPr>
              <w:t>Elamispinna kasutusotstarbe registreerimine</w:t>
            </w:r>
            <w:r w:rsidRPr="00E14EBC">
              <w:rPr>
                <w:rFonts w:cstheme="minorHAnsi"/>
              </w:rPr>
              <w:t xml:space="preserve"> – elamispinna väljaüürimisel puhkemaja või -korterina </w:t>
            </w:r>
            <w:r w:rsidRPr="00E14EBC">
              <w:rPr>
                <w:rFonts w:cstheme="minorHAnsi"/>
                <w:color w:val="232323" w:themeColor="text1"/>
              </w:rPr>
              <w:t xml:space="preserve">muutub pinna kasutusviis ning omanikel on kohustus ametkondi sellest teavitada; </w:t>
            </w:r>
          </w:p>
          <w:p w14:paraId="6694B70E" w14:textId="77777777" w:rsidR="00E12CDD" w:rsidRPr="00E14EBC" w:rsidRDefault="00E12CDD" w:rsidP="00A50359">
            <w:pPr>
              <w:pStyle w:val="ListBullet"/>
              <w:numPr>
                <w:ilvl w:val="0"/>
                <w:numId w:val="12"/>
              </w:numPr>
              <w:rPr>
                <w:rFonts w:cstheme="minorHAnsi"/>
                <w:color w:val="232323" w:themeColor="text1"/>
              </w:rPr>
            </w:pPr>
            <w:r w:rsidRPr="00E14EBC">
              <w:rPr>
                <w:rFonts w:cstheme="minorHAnsi"/>
                <w:b/>
                <w:bCs/>
                <w:color w:val="232323" w:themeColor="text1"/>
              </w:rPr>
              <w:t>Nõuded eluruumidele</w:t>
            </w:r>
            <w:r w:rsidRPr="00E14EBC">
              <w:rPr>
                <w:rFonts w:cstheme="minorHAnsi"/>
                <w:color w:val="232323" w:themeColor="text1"/>
              </w:rPr>
              <w:t xml:space="preserve"> - üürile antavate pindade </w:t>
            </w:r>
            <w:r w:rsidRPr="00E14EBC">
              <w:rPr>
                <w:rFonts w:cstheme="minorHAnsi"/>
                <w:color w:val="232323" w:themeColor="text1"/>
                <w:shd w:val="clear" w:color="auto" w:fill="FFFFFF"/>
              </w:rPr>
              <w:t xml:space="preserve">suurus on sätestatud seadusega. Vastavalt sellele ei tohi üheinimesetuba olla väiksem kui 8 m² ja kahene tuba ei tohi olla väiksem kui 12 m²; </w:t>
            </w:r>
          </w:p>
          <w:p w14:paraId="723F8C0B" w14:textId="397F75EF" w:rsidR="00E12CDD" w:rsidRPr="00E14EBC" w:rsidRDefault="00E12CDD" w:rsidP="00A50359">
            <w:pPr>
              <w:pStyle w:val="ListBullet"/>
              <w:numPr>
                <w:ilvl w:val="0"/>
                <w:numId w:val="12"/>
              </w:numPr>
              <w:rPr>
                <w:rFonts w:cstheme="minorHAnsi"/>
                <w:color w:val="232323" w:themeColor="text1"/>
              </w:rPr>
            </w:pPr>
            <w:r w:rsidRPr="00E14EBC">
              <w:rPr>
                <w:rFonts w:cstheme="minorHAnsi"/>
                <w:b/>
                <w:bCs/>
                <w:color w:val="232323" w:themeColor="text1"/>
              </w:rPr>
              <w:t>Üürihinna kujundamise nõue</w:t>
            </w:r>
            <w:r w:rsidRPr="00E14EBC">
              <w:rPr>
                <w:rFonts w:cstheme="minorHAnsi"/>
                <w:color w:val="232323" w:themeColor="text1"/>
              </w:rPr>
              <w:t xml:space="preserve"> – üürileandjatel on kohustus broneerimissüsteemides ja </w:t>
            </w:r>
            <w:r w:rsidRPr="00E14EBC">
              <w:rPr>
                <w:rFonts w:cstheme="minorHAnsi"/>
                <w:color w:val="232323" w:themeColor="text1"/>
              </w:rPr>
              <w:lastRenderedPageBreak/>
              <w:t>pakkumistes esitada üürimise eest tasumisele kuuluv lõplik hind (sh maksud ja tasud, nt koristamine)</w:t>
            </w:r>
            <w:r w:rsidR="008E02D9" w:rsidRPr="00E14EBC">
              <w:rPr>
                <w:rFonts w:cstheme="minorHAnsi"/>
                <w:color w:val="232323" w:themeColor="text1"/>
              </w:rPr>
              <w:t>;</w:t>
            </w:r>
          </w:p>
          <w:p w14:paraId="0AEC7AC9" w14:textId="77777777" w:rsidR="00E12CDD" w:rsidRPr="00E14EBC" w:rsidRDefault="00E12CDD" w:rsidP="00A50359">
            <w:pPr>
              <w:pStyle w:val="ListBullet"/>
              <w:numPr>
                <w:ilvl w:val="0"/>
                <w:numId w:val="12"/>
              </w:numPr>
              <w:rPr>
                <w:rFonts w:cstheme="minorHAnsi"/>
                <w:color w:val="232323" w:themeColor="text1"/>
              </w:rPr>
            </w:pPr>
            <w:r w:rsidRPr="00E14EBC">
              <w:rPr>
                <w:rFonts w:cstheme="minorHAnsi"/>
                <w:b/>
                <w:bCs/>
                <w:color w:val="232323" w:themeColor="text1"/>
              </w:rPr>
              <w:t>Tulumaksukohustus</w:t>
            </w:r>
            <w:r w:rsidRPr="00E14EBC">
              <w:rPr>
                <w:rFonts w:cstheme="minorHAnsi"/>
                <w:color w:val="232323" w:themeColor="text1"/>
              </w:rPr>
              <w:t xml:space="preserve"> – maksuvaba tulu ületamisel tuleb tasuda tulumaks ning mõningatel juhtudel ärimaks;</w:t>
            </w:r>
          </w:p>
          <w:p w14:paraId="2D2F1D01" w14:textId="69DC346D" w:rsidR="00E12CDD" w:rsidRPr="00E14EBC" w:rsidRDefault="00E12CDD" w:rsidP="00A50359">
            <w:pPr>
              <w:pStyle w:val="ListBullet"/>
              <w:numPr>
                <w:ilvl w:val="0"/>
                <w:numId w:val="12"/>
              </w:numPr>
              <w:rPr>
                <w:rFonts w:cstheme="minorHAnsi"/>
                <w:color w:val="232323" w:themeColor="text1"/>
              </w:rPr>
            </w:pPr>
            <w:r w:rsidRPr="00E14EBC">
              <w:rPr>
                <w:rFonts w:cstheme="minorHAnsi"/>
                <w:b/>
                <w:bCs/>
                <w:color w:val="232323" w:themeColor="text1"/>
              </w:rPr>
              <w:t>Käibemaksukohustus</w:t>
            </w:r>
            <w:r w:rsidRPr="00E14EBC">
              <w:rPr>
                <w:rFonts w:cstheme="minorHAnsi"/>
                <w:color w:val="232323" w:themeColor="text1"/>
              </w:rPr>
              <w:t xml:space="preserve"> </w:t>
            </w:r>
            <w:r w:rsidR="00954779" w:rsidRPr="00E14EBC">
              <w:rPr>
                <w:rFonts w:cstheme="minorHAnsi"/>
                <w:color w:val="232323" w:themeColor="text1"/>
              </w:rPr>
              <w:t>–</w:t>
            </w:r>
            <w:r w:rsidRPr="00E14EBC">
              <w:rPr>
                <w:rFonts w:cstheme="minorHAnsi"/>
                <w:color w:val="232323" w:themeColor="text1"/>
              </w:rPr>
              <w:t xml:space="preserve"> </w:t>
            </w:r>
            <w:r w:rsidRPr="00E14EBC">
              <w:rPr>
                <w:rFonts w:cstheme="minorHAnsi"/>
                <w:color w:val="232323" w:themeColor="text1"/>
                <w:shd w:val="clear" w:color="auto" w:fill="FFFFFF"/>
              </w:rPr>
              <w:t>kohe, kui aastakäive ületab seaduses sätestatud piirmäära, on üürileandjad järgmisel aastal käibemaksukohustuslased;</w:t>
            </w:r>
          </w:p>
          <w:p w14:paraId="03787ABF" w14:textId="77777777" w:rsidR="00E12CDD" w:rsidRPr="00E14EBC" w:rsidRDefault="00E12CDD" w:rsidP="00A50359">
            <w:pPr>
              <w:pStyle w:val="ListBullet"/>
              <w:numPr>
                <w:ilvl w:val="0"/>
                <w:numId w:val="12"/>
              </w:numPr>
              <w:rPr>
                <w:rFonts w:cstheme="minorHAnsi"/>
              </w:rPr>
            </w:pPr>
            <w:r w:rsidRPr="00E14EBC">
              <w:rPr>
                <w:rFonts w:cstheme="minorHAnsi"/>
                <w:b/>
                <w:bCs/>
              </w:rPr>
              <w:t>Ettevõtlusmaksu kohustus</w:t>
            </w:r>
            <w:r w:rsidRPr="00E14EBC">
              <w:rPr>
                <w:rFonts w:cstheme="minorHAnsi"/>
              </w:rPr>
              <w:t xml:space="preserve"> – kui rentimine on äriline tegevus ja kasum ületab aastas 24 500 eurot, on kohustus tasuda ärimaksu; </w:t>
            </w:r>
          </w:p>
          <w:p w14:paraId="40099A86" w14:textId="65406F6D" w:rsidR="00E12CDD" w:rsidRPr="00E14EBC" w:rsidRDefault="1359B569" w:rsidP="288A3578">
            <w:pPr>
              <w:pStyle w:val="ListBullet"/>
            </w:pPr>
            <w:r w:rsidRPr="288A3578">
              <w:rPr>
                <w:b/>
                <w:bCs/>
              </w:rPr>
              <w:t>Aruandluskohustus</w:t>
            </w:r>
            <w:r w:rsidRPr="288A3578">
              <w:t xml:space="preserve"> – aruanded hõlmavad tavaliselt külaliste andmete kogumist: nimi, aadress ja viibimisaeg, mis kohalikele ametiasutustele edastatakse. Seda mitte ainult statistilistel eesmärkidel, vaid ka turvalisuse huvides. Andmekaitsejuhiste järgimiseks tuleb </w:t>
            </w:r>
            <w:r w:rsidR="00191074">
              <w:t>kasutada omavalitsuse kehtestatud külaliste registreerimissüsteemi</w:t>
            </w:r>
            <w:r w:rsidR="00191074" w:rsidRPr="288A3578">
              <w:t xml:space="preserve"> </w:t>
            </w:r>
            <w:r w:rsidRPr="288A3578">
              <w:t xml:space="preserve">ja hoida külaliste andmeid turvaliselt. </w:t>
            </w:r>
            <w:r w:rsidR="00425AFC">
              <w:t xml:space="preserve">Kohalikud omavalitsused on selleks loonud külaliste registreerimislehed, </w:t>
            </w:r>
            <w:r w:rsidR="00425AFC">
              <w:lastRenderedPageBreak/>
              <w:t xml:space="preserve">mida täidetakse käsitsi või elektrooniliselt. </w:t>
            </w:r>
            <w:r w:rsidRPr="288A3578">
              <w:t>Kohustuste täitmata jätmine võib kaasa tuua trahvi</w:t>
            </w:r>
            <w:r w:rsidR="1774E437" w:rsidRPr="288A3578">
              <w:t>;</w:t>
            </w:r>
          </w:p>
          <w:p w14:paraId="73AE87E5" w14:textId="5CFDAA2C" w:rsidR="00E12CDD" w:rsidRPr="00E14EBC" w:rsidRDefault="598BB2BE" w:rsidP="00724068">
            <w:pPr>
              <w:pStyle w:val="ListBullet"/>
              <w:rPr>
                <w:szCs w:val="24"/>
              </w:rPr>
            </w:pPr>
            <w:r w:rsidRPr="00E14EBC">
              <w:rPr>
                <w:b/>
                <w:bCs/>
              </w:rPr>
              <w:t>Andmekaitse üldmäärus (IKÜM)</w:t>
            </w:r>
            <w:r w:rsidRPr="00E14EBC">
              <w:t xml:space="preserve"> – määrus nõuab, et üürileandja haldaks külaliste isikuandmeid turvaliselt ja kasutaks neid ainult ettenähtud otstarbel. See hõlmab nimesid, aadresse, kontaktandmeid ja makseteavet</w:t>
            </w:r>
          </w:p>
        </w:tc>
        <w:tc>
          <w:tcPr>
            <w:tcW w:w="4630" w:type="dxa"/>
          </w:tcPr>
          <w:p w14:paraId="1C0C127C" w14:textId="574496DB" w:rsidR="00E12CDD" w:rsidRPr="00E14EBC" w:rsidRDefault="00E12CDD" w:rsidP="00E12CDD">
            <w:pPr>
              <w:spacing w:line="259" w:lineRule="auto"/>
              <w:rPr>
                <w:rFonts w:eastAsia="Times New Roman"/>
                <w:kern w:val="0"/>
                <w:lang w:eastAsia="en-GB"/>
                <w14:ligatures w14:val="none"/>
              </w:rPr>
            </w:pPr>
            <w:r w:rsidRPr="00E14EBC">
              <w:rPr>
                <w:rFonts w:eastAsia="Times New Roman"/>
                <w:kern w:val="0"/>
                <w:lang w:eastAsia="en-GB"/>
                <w14:ligatures w14:val="none"/>
              </w:rPr>
              <w:lastRenderedPageBreak/>
              <w:t>Saksamaa Statistikaamet (</w:t>
            </w:r>
            <w:r w:rsidRPr="00E14EBC">
              <w:rPr>
                <w:rFonts w:eastAsia="Times New Roman"/>
                <w:i/>
                <w:kern w:val="0"/>
                <w:lang w:eastAsia="en-GB"/>
                <w14:ligatures w14:val="none"/>
              </w:rPr>
              <w:t>Statistisches Bundesamt</w:t>
            </w:r>
            <w:r w:rsidRPr="00E14EBC">
              <w:rPr>
                <w:rFonts w:eastAsia="Times New Roman"/>
                <w:kern w:val="0"/>
                <w:lang w:eastAsia="en-GB"/>
                <w14:ligatures w14:val="none"/>
              </w:rPr>
              <w:t>) avaldab igal aastal andmeid ettevõtete kohta, mis pakuvad enam kui kümne voodikohaga</w:t>
            </w:r>
            <w:r w:rsidR="00B93FE6" w:rsidRPr="00E14EBC">
              <w:rPr>
                <w:rFonts w:eastAsia="Times New Roman"/>
                <w:kern w:val="0"/>
                <w:lang w:eastAsia="en-GB"/>
                <w14:ligatures w14:val="none"/>
              </w:rPr>
              <w:t xml:space="preserve"> majutust</w:t>
            </w:r>
            <w:r w:rsidRPr="00E14EBC">
              <w:rPr>
                <w:rFonts w:eastAsia="Times New Roman"/>
                <w:kern w:val="0"/>
                <w:lang w:eastAsia="en-GB"/>
                <w14:ligatures w14:val="none"/>
              </w:rPr>
              <w:t xml:space="preserve"> (ärilised pakkujad). Eraomanikud, kes rendivad vähem kui kümne voodikohaga majutuskohti, jäävad ametliku statistika alt välja.</w:t>
            </w:r>
          </w:p>
          <w:p w14:paraId="09A05F9F" w14:textId="4EBF0AA6" w:rsidR="00E12CDD" w:rsidRPr="00E14EBC" w:rsidRDefault="004B00E9" w:rsidP="009F5BF8">
            <w:pPr>
              <w:spacing w:line="259" w:lineRule="auto"/>
            </w:pPr>
            <w:r w:rsidRPr="00E14EBC">
              <w:rPr>
                <w:rFonts w:eastAsia="Times New Roman" w:cstheme="minorHAnsi"/>
                <w:kern w:val="0"/>
                <w:szCs w:val="24"/>
                <w:lang w:eastAsia="en-GB"/>
                <w14:ligatures w14:val="none"/>
              </w:rPr>
              <w:t xml:space="preserve">Seaduse järgi on </w:t>
            </w:r>
            <w:r w:rsidR="00373985" w:rsidRPr="00E14EBC">
              <w:rPr>
                <w:rFonts w:eastAsia="Times New Roman" w:cstheme="minorHAnsi"/>
                <w:kern w:val="0"/>
                <w:szCs w:val="24"/>
                <w:lang w:eastAsia="en-GB"/>
                <w14:ligatures w14:val="none"/>
              </w:rPr>
              <w:t>teenusepakkujatel aruandluskohustus, mille kohaselt tuleb külastajate andmed esitada kohalikule omavalitsusele</w:t>
            </w:r>
            <w:r w:rsidR="003B0E6B" w:rsidRPr="00E14EBC">
              <w:rPr>
                <w:rFonts w:eastAsia="Times New Roman" w:cstheme="minorHAnsi"/>
                <w:kern w:val="0"/>
                <w:szCs w:val="24"/>
                <w:lang w:eastAsia="en-GB"/>
                <w14:ligatures w14:val="none"/>
              </w:rPr>
              <w:t>. Küll aga ei ole teada, millises mahus kohalikud omavalitsused andmeid kasutavad</w:t>
            </w:r>
          </w:p>
        </w:tc>
      </w:tr>
      <w:tr w:rsidR="00E12CDD" w:rsidRPr="00E14EBC" w14:paraId="591424C4" w14:textId="77777777" w:rsidTr="1C92C443">
        <w:trPr>
          <w:trHeight w:val="453"/>
        </w:trPr>
        <w:tc>
          <w:tcPr>
            <w:tcW w:w="13890" w:type="dxa"/>
            <w:gridSpan w:val="3"/>
            <w:shd w:val="clear" w:color="auto" w:fill="E6E6E6" w:themeFill="accent3"/>
          </w:tcPr>
          <w:p w14:paraId="338A3B5D" w14:textId="20928223" w:rsidR="00E12CDD" w:rsidRPr="00E14EBC" w:rsidRDefault="00E12CDD" w:rsidP="006E7D35">
            <w:pPr>
              <w:rPr>
                <w:b/>
                <w:bCs/>
              </w:rPr>
            </w:pPr>
            <w:r w:rsidRPr="00E14EBC">
              <w:rPr>
                <w:b/>
                <w:bCs/>
              </w:rPr>
              <w:lastRenderedPageBreak/>
              <w:t>SOOME</w:t>
            </w:r>
          </w:p>
        </w:tc>
      </w:tr>
      <w:tr w:rsidR="00E12CDD" w:rsidRPr="00E14EBC" w14:paraId="51B10B19" w14:textId="77777777" w:rsidTr="1C92C443">
        <w:tc>
          <w:tcPr>
            <w:tcW w:w="4630" w:type="dxa"/>
          </w:tcPr>
          <w:p w14:paraId="177B0200" w14:textId="12085794" w:rsidR="00316A46" w:rsidRPr="00E14EBC" w:rsidRDefault="0084079E" w:rsidP="00316A46">
            <w:pPr>
              <w:rPr>
                <w:b/>
                <w:bCs/>
              </w:rPr>
            </w:pPr>
            <w:r w:rsidRPr="00E14EBC">
              <w:rPr>
                <w:rFonts w:cstheme="minorHAnsi"/>
              </w:rPr>
              <w:t>Alates 2024</w:t>
            </w:r>
            <w:r w:rsidR="00216DB0" w:rsidRPr="00E14EBC">
              <w:rPr>
                <w:rFonts w:cstheme="minorHAnsi"/>
              </w:rPr>
              <w:t>.</w:t>
            </w:r>
            <w:r w:rsidRPr="00E14EBC">
              <w:rPr>
                <w:rFonts w:cstheme="minorHAnsi"/>
              </w:rPr>
              <w:t xml:space="preserve"> aastast </w:t>
            </w:r>
            <w:r w:rsidR="00EE7198" w:rsidRPr="00E14EBC">
              <w:rPr>
                <w:rFonts w:cstheme="minorHAnsi"/>
              </w:rPr>
              <w:t>on asutud lühiajalist üürimist defineerima, kuid tegemist on arengujärgus oleva protsessiga.</w:t>
            </w:r>
            <w:r w:rsidR="00E12CDD" w:rsidRPr="00E14EBC">
              <w:rPr>
                <w:rFonts w:cstheme="minorHAnsi"/>
              </w:rPr>
              <w:t xml:space="preserve"> </w:t>
            </w:r>
            <w:r w:rsidR="00316A46" w:rsidRPr="00E14EBC">
              <w:rPr>
                <w:rFonts w:cstheme="minorHAnsi"/>
                <w:b/>
                <w:bCs/>
              </w:rPr>
              <w:t xml:space="preserve">Praegusel hetkel mõeldakse </w:t>
            </w:r>
            <w:r w:rsidR="00316A46" w:rsidRPr="00E14EBC">
              <w:rPr>
                <w:b/>
                <w:bCs/>
              </w:rPr>
              <w:t>lühiajalise üüri all enamasti alla nelja nädala pikkust majutusteenust</w:t>
            </w:r>
          </w:p>
          <w:p w14:paraId="32C0963A" w14:textId="65086768" w:rsidR="00E12CDD" w:rsidRPr="00E14EBC" w:rsidRDefault="00E12CDD" w:rsidP="00E12CDD"/>
        </w:tc>
        <w:tc>
          <w:tcPr>
            <w:tcW w:w="4630" w:type="dxa"/>
            <w:vAlign w:val="center"/>
          </w:tcPr>
          <w:p w14:paraId="64208F60" w14:textId="7098E766" w:rsidR="00E12CDD" w:rsidRPr="00B05F3B" w:rsidRDefault="00E12CDD" w:rsidP="00825AA3">
            <w:pPr>
              <w:spacing w:before="0" w:line="259" w:lineRule="auto"/>
              <w:rPr>
                <w:rFonts w:cstheme="minorHAnsi"/>
              </w:rPr>
            </w:pPr>
            <w:r w:rsidRPr="00B05F3B">
              <w:rPr>
                <w:rFonts w:cstheme="minorHAnsi"/>
              </w:rPr>
              <w:t xml:space="preserve">Soome ehitusjärelevalve ühing koostas 2023. aastal juhise omavalitsustele, mis aitab eristada elamu- ja majutuspindu ning määratleb regulatsioonid, millest </w:t>
            </w:r>
            <w:r w:rsidR="00AE121E" w:rsidRPr="00B05F3B">
              <w:rPr>
                <w:rFonts w:cstheme="minorHAnsi"/>
              </w:rPr>
              <w:t>lühiajalise üürimise</w:t>
            </w:r>
            <w:r w:rsidRPr="00B05F3B">
              <w:rPr>
                <w:rFonts w:cstheme="minorHAnsi"/>
              </w:rPr>
              <w:t xml:space="preserve"> </w:t>
            </w:r>
            <w:r w:rsidR="007A38DF" w:rsidRPr="00B05F3B">
              <w:rPr>
                <w:rFonts w:cstheme="minorHAnsi"/>
              </w:rPr>
              <w:t>teenuse reguleerimisel lähtuda</w:t>
            </w:r>
            <w:r w:rsidRPr="00B05F3B">
              <w:rPr>
                <w:rFonts w:cstheme="minorHAnsi"/>
              </w:rPr>
              <w:t xml:space="preserve">: </w:t>
            </w:r>
          </w:p>
          <w:p w14:paraId="0DB9F7B0" w14:textId="77777777" w:rsidR="00BF4333" w:rsidRPr="00E14EBC" w:rsidRDefault="00BF4333" w:rsidP="00A50359">
            <w:pPr>
              <w:pStyle w:val="ListParagraph"/>
              <w:numPr>
                <w:ilvl w:val="0"/>
                <w:numId w:val="11"/>
              </w:numPr>
            </w:pPr>
            <w:r w:rsidRPr="00E14EBC">
              <w:t>Majutuse ja toitlustustegevuse seadus (308/2006),</w:t>
            </w:r>
          </w:p>
          <w:p w14:paraId="325FC054" w14:textId="77777777" w:rsidR="00BF4333" w:rsidRPr="00E14EBC" w:rsidRDefault="00BF4333" w:rsidP="00A50359">
            <w:pPr>
              <w:pStyle w:val="ListParagraph"/>
              <w:numPr>
                <w:ilvl w:val="0"/>
                <w:numId w:val="11"/>
              </w:numPr>
            </w:pPr>
            <w:r w:rsidRPr="00E14EBC">
              <w:t>Rendikorterite lepingute seadus (481/1995),</w:t>
            </w:r>
          </w:p>
          <w:p w14:paraId="5E9BA3DB" w14:textId="107C12B2" w:rsidR="009F45F0" w:rsidRDefault="4B816A83" w:rsidP="00A50359">
            <w:pPr>
              <w:pStyle w:val="ListParagraph"/>
              <w:numPr>
                <w:ilvl w:val="0"/>
                <w:numId w:val="11"/>
              </w:numPr>
            </w:pPr>
            <w:r>
              <w:t>Maakasutusseadus (</w:t>
            </w:r>
            <w:r w:rsidR="00C06F02" w:rsidRPr="000C4799">
              <w:t>5.2.132/1999</w:t>
            </w:r>
            <w:r>
              <w:t>)</w:t>
            </w:r>
            <w:r w:rsidR="009F45F0">
              <w:t>,</w:t>
            </w:r>
          </w:p>
          <w:p w14:paraId="1E62227F" w14:textId="54FAC74F" w:rsidR="00BF4333" w:rsidRPr="00E14EBC" w:rsidRDefault="009F45F0" w:rsidP="00A50359">
            <w:pPr>
              <w:pStyle w:val="ListParagraph"/>
              <w:numPr>
                <w:ilvl w:val="0"/>
                <w:numId w:val="11"/>
              </w:numPr>
            </w:pPr>
            <w:r>
              <w:t>Ehitusseadus (</w:t>
            </w:r>
            <w:r w:rsidRPr="001C0740">
              <w:t>21.4.751/2023</w:t>
            </w:r>
            <w:r>
              <w:t>)</w:t>
            </w:r>
            <w:r w:rsidR="4B816A83">
              <w:t>,</w:t>
            </w:r>
          </w:p>
          <w:p w14:paraId="35D21CA8" w14:textId="77777777" w:rsidR="00BF4333" w:rsidRPr="00E14EBC" w:rsidRDefault="00BF4333" w:rsidP="00A50359">
            <w:pPr>
              <w:pStyle w:val="ListParagraph"/>
              <w:numPr>
                <w:ilvl w:val="0"/>
                <w:numId w:val="11"/>
              </w:numPr>
            </w:pPr>
            <w:r w:rsidRPr="00E14EBC">
              <w:t>Tervisekaitseseadus (763/1994),</w:t>
            </w:r>
          </w:p>
          <w:p w14:paraId="58A22D8D" w14:textId="77777777" w:rsidR="00BF4333" w:rsidRPr="00E14EBC" w:rsidRDefault="00BF4333" w:rsidP="00A50359">
            <w:pPr>
              <w:pStyle w:val="ListParagraph"/>
              <w:numPr>
                <w:ilvl w:val="0"/>
                <w:numId w:val="11"/>
              </w:numPr>
            </w:pPr>
            <w:r w:rsidRPr="00E14EBC">
              <w:t>Päästeseadus (379/2011),</w:t>
            </w:r>
          </w:p>
          <w:p w14:paraId="60BA4FDD" w14:textId="77777777" w:rsidR="00BF4333" w:rsidRPr="00E14EBC" w:rsidRDefault="00BF4333" w:rsidP="00A50359">
            <w:pPr>
              <w:pStyle w:val="ListParagraph"/>
              <w:numPr>
                <w:ilvl w:val="0"/>
                <w:numId w:val="11"/>
              </w:numPr>
            </w:pPr>
            <w:r w:rsidRPr="00E14EBC">
              <w:t>Valitsuse määrus päästeteenuste kohta (407/2011),</w:t>
            </w:r>
          </w:p>
          <w:p w14:paraId="6696C2B9" w14:textId="77777777" w:rsidR="00BF4333" w:rsidRPr="00E14EBC" w:rsidRDefault="00BF4333" w:rsidP="00A50359">
            <w:pPr>
              <w:pStyle w:val="ListParagraph"/>
              <w:numPr>
                <w:ilvl w:val="0"/>
                <w:numId w:val="11"/>
              </w:numPr>
            </w:pPr>
            <w:r w:rsidRPr="00E14EBC">
              <w:lastRenderedPageBreak/>
              <w:t>Eluasemeühinguseadus (1599/2009),</w:t>
            </w:r>
          </w:p>
          <w:p w14:paraId="40B9338F" w14:textId="46CF87C1" w:rsidR="00BF4333" w:rsidRPr="00E14EBC" w:rsidRDefault="00BF4333" w:rsidP="00A50359">
            <w:pPr>
              <w:pStyle w:val="ListParagraph"/>
              <w:numPr>
                <w:ilvl w:val="0"/>
                <w:numId w:val="11"/>
              </w:numPr>
            </w:pPr>
            <w:r w:rsidRPr="00E14EBC">
              <w:t>Keskkonnaministeeriumi määrus elu-, majutus- ja tööruumide kohta (YmA 1008/2017)</w:t>
            </w:r>
            <w:r w:rsidR="00E2509E">
              <w:t>,</w:t>
            </w:r>
          </w:p>
          <w:p w14:paraId="1BFBD48F" w14:textId="04E7E864" w:rsidR="00BF4333" w:rsidRPr="00E14EBC" w:rsidRDefault="00BF4333" w:rsidP="00A50359">
            <w:pPr>
              <w:pStyle w:val="ListParagraph"/>
              <w:numPr>
                <w:ilvl w:val="0"/>
                <w:numId w:val="11"/>
              </w:numPr>
            </w:pPr>
            <w:r w:rsidRPr="00E14EBC">
              <w:t>Keskkonnaministeeriumi määrus ehitiste tuleohutuse kohta (YmA 848/2017)</w:t>
            </w:r>
            <w:r w:rsidR="00E2509E">
              <w:t>,</w:t>
            </w:r>
          </w:p>
          <w:p w14:paraId="1C18E50F" w14:textId="77777777" w:rsidR="00BF4333" w:rsidRPr="00E14EBC" w:rsidRDefault="00BF4333" w:rsidP="00A50359">
            <w:pPr>
              <w:pStyle w:val="ListParagraph"/>
              <w:numPr>
                <w:ilvl w:val="0"/>
                <w:numId w:val="11"/>
              </w:numPr>
            </w:pPr>
            <w:r w:rsidRPr="00E14EBC">
              <w:t>kohtulahendid (riigikohtu otsused 2014:143, 2021:76 ja 2021:77 ning Helsingi halduskohtu otsus 15/2023).</w:t>
            </w:r>
          </w:p>
          <w:p w14:paraId="214FEA91" w14:textId="5C3FFB98" w:rsidR="00E12CDD" w:rsidRPr="00E14EBC" w:rsidRDefault="00E12CDD" w:rsidP="00E12CDD">
            <w:r w:rsidRPr="00E14EBC">
              <w:rPr>
                <w:rFonts w:cstheme="minorHAnsi"/>
              </w:rPr>
              <w:t>Kohalikud omavalitsused on rakendanud enda regulatsioone</w:t>
            </w:r>
          </w:p>
        </w:tc>
        <w:tc>
          <w:tcPr>
            <w:tcW w:w="4630" w:type="dxa"/>
          </w:tcPr>
          <w:p w14:paraId="79EC7D96" w14:textId="77777777" w:rsidR="00E12CDD" w:rsidRPr="00E14EBC" w:rsidRDefault="00E12CDD" w:rsidP="00E12CDD">
            <w:r w:rsidRPr="00E14EBC">
              <w:lastRenderedPageBreak/>
              <w:t>Andmete keskne kogumine toimub läbi Soome Maksuameti (</w:t>
            </w:r>
            <w:r w:rsidRPr="00E14EBC">
              <w:rPr>
                <w:i/>
                <w:iCs/>
              </w:rPr>
              <w:t>Verohallinto</w:t>
            </w:r>
            <w:r w:rsidRPr="00E14EBC">
              <w:t xml:space="preserve">), kuhu koonduvad isikustatud kujul lühiajalise üüri turult laekuvad käibemaksu andmed. Lisaks koguvad täiendavaid andmeid need omavalitsused, kes soovivad lühiajalise üüri turgu enda haldusüksuse piires reguleerida. </w:t>
            </w:r>
          </w:p>
          <w:p w14:paraId="11E678B2" w14:textId="788C7DF6" w:rsidR="00E12CDD" w:rsidRPr="00E14EBC" w:rsidRDefault="1359B569" w:rsidP="00E12CDD">
            <w:r>
              <w:t xml:space="preserve">Helsingi näitel on </w:t>
            </w:r>
            <w:r w:rsidR="32CF1A52">
              <w:t xml:space="preserve">andmeid koguvateks osapoolteks </w:t>
            </w:r>
            <w:r>
              <w:t xml:space="preserve">linnavalitsuse allüksused ja politsei. Küll aga on andmete esitamise kohuslased vaid need lühiajalise üüri turul tegutsevad pakkujad, kelle puhul on tegu äritegevusega. Andmed tuleb esitada omanikel endil ja andmete </w:t>
            </w:r>
            <w:r>
              <w:lastRenderedPageBreak/>
              <w:t>esitamata jätmine on karistatav</w:t>
            </w:r>
            <w:r w:rsidR="2F1B06AA">
              <w:t xml:space="preserve">. </w:t>
            </w:r>
            <w:r w:rsidR="3A51FAB9">
              <w:t>Seega puudub täielik ülevaade turu ulatuse kohta, kuna andmete kogumisest jäävad välja pakkujad, kelle tegevus ei ole äriline</w:t>
            </w:r>
          </w:p>
        </w:tc>
      </w:tr>
      <w:tr w:rsidR="00E12CDD" w:rsidRPr="00E14EBC" w14:paraId="041FF89E" w14:textId="77777777" w:rsidTr="1C92C443">
        <w:tc>
          <w:tcPr>
            <w:tcW w:w="13890" w:type="dxa"/>
            <w:gridSpan w:val="3"/>
            <w:shd w:val="clear" w:color="auto" w:fill="E6E6E6" w:themeFill="accent3"/>
          </w:tcPr>
          <w:p w14:paraId="21B050FF" w14:textId="1F0B7861" w:rsidR="00E12CDD" w:rsidRPr="00E14EBC" w:rsidRDefault="00E12CDD" w:rsidP="006E7D35">
            <w:pPr>
              <w:rPr>
                <w:b/>
                <w:bCs/>
              </w:rPr>
            </w:pPr>
            <w:r w:rsidRPr="00E14EBC">
              <w:rPr>
                <w:b/>
                <w:bCs/>
              </w:rPr>
              <w:lastRenderedPageBreak/>
              <w:t>ŠVEITS</w:t>
            </w:r>
          </w:p>
        </w:tc>
      </w:tr>
      <w:tr w:rsidR="00E12CDD" w:rsidRPr="00E14EBC" w14:paraId="31D1DA1C" w14:textId="77777777" w:rsidTr="1C92C443">
        <w:tc>
          <w:tcPr>
            <w:tcW w:w="4630" w:type="dxa"/>
          </w:tcPr>
          <w:p w14:paraId="091A3886" w14:textId="40C94E70" w:rsidR="00E12CDD" w:rsidRPr="00E14EBC" w:rsidRDefault="00844EBE" w:rsidP="00E12CDD">
            <w:r w:rsidRPr="00E14EBC">
              <w:rPr>
                <w:rFonts w:eastAsia="Times New Roman" w:cstheme="minorHAnsi"/>
                <w:kern w:val="0"/>
                <w:szCs w:val="24"/>
                <w:lang w:eastAsia="en-GB"/>
                <w14:ligatures w14:val="none"/>
              </w:rPr>
              <w:t xml:space="preserve">Šveitsis </w:t>
            </w:r>
            <w:r w:rsidRPr="00E14EBC">
              <w:rPr>
                <w:rFonts w:eastAsia="Times New Roman" w:cstheme="minorHAnsi"/>
                <w:b/>
                <w:bCs/>
                <w:kern w:val="0"/>
                <w:szCs w:val="24"/>
                <w:lang w:eastAsia="en-GB"/>
                <w14:ligatures w14:val="none"/>
              </w:rPr>
              <w:t>ei ole</w:t>
            </w:r>
            <w:r w:rsidRPr="00E14EBC">
              <w:rPr>
                <w:rFonts w:eastAsia="Times New Roman" w:cstheme="minorHAnsi"/>
                <w:kern w:val="0"/>
                <w:szCs w:val="24"/>
                <w:lang w:eastAsia="en-GB"/>
                <w14:ligatures w14:val="none"/>
              </w:rPr>
              <w:t xml:space="preserve"> lühiajalise üüri </w:t>
            </w:r>
            <w:r w:rsidR="00853A28" w:rsidRPr="00E14EBC">
              <w:rPr>
                <w:rFonts w:eastAsia="Times New Roman" w:cstheme="minorHAnsi"/>
                <w:kern w:val="0"/>
                <w:szCs w:val="24"/>
                <w:lang w:eastAsia="en-GB"/>
                <w14:ligatures w14:val="none"/>
              </w:rPr>
              <w:t xml:space="preserve">turu </w:t>
            </w:r>
            <w:r w:rsidRPr="00E14EBC">
              <w:rPr>
                <w:rFonts w:eastAsia="Times New Roman" w:cstheme="minorHAnsi"/>
                <w:kern w:val="0"/>
                <w:szCs w:val="24"/>
                <w:lang w:eastAsia="en-GB"/>
                <w14:ligatures w14:val="none"/>
              </w:rPr>
              <w:t xml:space="preserve">mõistele kehtestatud </w:t>
            </w:r>
            <w:r w:rsidRPr="00E14EBC">
              <w:rPr>
                <w:rFonts w:eastAsia="Times New Roman" w:cstheme="minorHAnsi"/>
                <w:b/>
                <w:bCs/>
                <w:kern w:val="0"/>
                <w:szCs w:val="24"/>
                <w:lang w:eastAsia="en-GB"/>
                <w14:ligatures w14:val="none"/>
              </w:rPr>
              <w:t>ühtset riiklikku definitsiooni</w:t>
            </w:r>
            <w:r w:rsidRPr="00E14EBC">
              <w:rPr>
                <w:rFonts w:eastAsia="Times New Roman" w:cstheme="minorHAnsi"/>
                <w:kern w:val="0"/>
                <w:szCs w:val="24"/>
                <w:lang w:eastAsia="en-GB"/>
                <w14:ligatures w14:val="none"/>
              </w:rPr>
              <w:t>. Föderaalne elamumajandusamet (BWO) on seda kirjeldanud kui nähtust, mille puhul eraomanikud pakuvad oma elamispinda ajutiselt majutamiseks puhkuse- või ärireisijatele</w:t>
            </w:r>
          </w:p>
        </w:tc>
        <w:tc>
          <w:tcPr>
            <w:tcW w:w="4630" w:type="dxa"/>
            <w:vAlign w:val="center"/>
          </w:tcPr>
          <w:p w14:paraId="3B48F012" w14:textId="77777777" w:rsidR="00EA6179" w:rsidRPr="00E14EBC" w:rsidRDefault="00E12CDD" w:rsidP="00E12CDD">
            <w:r w:rsidRPr="00E14EBC">
              <w:t xml:space="preserve">Šveitsis kehtivad kantoniti erinevad regulatsioonid seoses lühiajalise üürimisega. Üldjuhul on üürileandjatel järgnevad kohustused: </w:t>
            </w:r>
          </w:p>
          <w:p w14:paraId="15F118EF" w14:textId="77777777" w:rsidR="00EA6179" w:rsidRPr="00E14EBC" w:rsidRDefault="00E12CDD" w:rsidP="00EA6179">
            <w:pPr>
              <w:pStyle w:val="ListBullet"/>
            </w:pPr>
            <w:r w:rsidRPr="00E14EBC">
              <w:t>Kohustus registreerida end majutusteenuse pakkujana</w:t>
            </w:r>
            <w:r w:rsidR="00EA6179" w:rsidRPr="00E14EBC">
              <w:t xml:space="preserve">; </w:t>
            </w:r>
          </w:p>
          <w:p w14:paraId="19A55366" w14:textId="77777777" w:rsidR="00EA6179" w:rsidRPr="00E14EBC" w:rsidRDefault="00E12CDD" w:rsidP="00EA6179">
            <w:pPr>
              <w:pStyle w:val="ListBullet"/>
            </w:pPr>
            <w:r w:rsidRPr="00E14EBC">
              <w:t>Kohustus koguda turismimaksu</w:t>
            </w:r>
            <w:r w:rsidR="00EA6179" w:rsidRPr="00E14EBC">
              <w:t xml:space="preserve">; </w:t>
            </w:r>
          </w:p>
          <w:p w14:paraId="3D71FFEB" w14:textId="31991FA9" w:rsidR="00EA6179" w:rsidRPr="00E14EBC" w:rsidRDefault="00E12CDD" w:rsidP="00EA6179">
            <w:pPr>
              <w:pStyle w:val="ListBullet"/>
            </w:pPr>
            <w:r w:rsidRPr="00E14EBC">
              <w:t>Kui külastajaid majutatakse rohkem kui 90 ööd aastas, tuleb kinnisvara registreerida ärikinnisvarana</w:t>
            </w:r>
            <w:r w:rsidR="00EA6179" w:rsidRPr="00E14EBC">
              <w:t xml:space="preserve">; </w:t>
            </w:r>
          </w:p>
          <w:p w14:paraId="4DF71D88" w14:textId="05D2F323" w:rsidR="00E12CDD" w:rsidRPr="00E14EBC" w:rsidRDefault="00EA6179" w:rsidP="00EA6179">
            <w:pPr>
              <w:pStyle w:val="ListBullet"/>
            </w:pPr>
            <w:r w:rsidRPr="00E14EBC">
              <w:t>Kohustus</w:t>
            </w:r>
            <w:r w:rsidR="00E12CDD" w:rsidRPr="00E14EBC">
              <w:t xml:space="preserve"> maksta turismi edendamise maksu</w:t>
            </w:r>
          </w:p>
        </w:tc>
        <w:tc>
          <w:tcPr>
            <w:tcW w:w="4630" w:type="dxa"/>
          </w:tcPr>
          <w:p w14:paraId="1C34D4BB" w14:textId="08C62E08" w:rsidR="00E12CDD" w:rsidRPr="00E14EBC" w:rsidRDefault="00EF5733" w:rsidP="00E12CDD">
            <w:r w:rsidRPr="00E14EBC">
              <w:t xml:space="preserve">Šveitsis kogutakse riiklikul tasandil andmeid turismi, sealhulgas hotellide ja hostelite täituvuse ning majutatute arvu kohta. Avalikult on kättesaadav statistika Airbnb platvormi kohta, kuid see ei hõlma kogu lühiajalise üüri turu objektiivset andmestikku, näiteks puudub teave Booking.com keskkonnas pakutava kinnisvara kohta. </w:t>
            </w:r>
            <w:r w:rsidRPr="00E14EBC">
              <w:rPr>
                <w:b/>
                <w:bCs/>
              </w:rPr>
              <w:t>Teadaolevalt ei tegele Šveitsi ametiasutused sihipäraselt lühiajalise üüri turuga seotud andmete süsteemse kogumisega</w:t>
            </w:r>
          </w:p>
        </w:tc>
      </w:tr>
      <w:tr w:rsidR="00E12CDD" w:rsidRPr="00E14EBC" w14:paraId="12F6D6CB" w14:textId="77777777" w:rsidTr="1C92C443">
        <w:tc>
          <w:tcPr>
            <w:tcW w:w="13890" w:type="dxa"/>
            <w:gridSpan w:val="3"/>
            <w:shd w:val="clear" w:color="auto" w:fill="E6E6E6" w:themeFill="accent3"/>
          </w:tcPr>
          <w:p w14:paraId="055E6FE2" w14:textId="1ED4E982" w:rsidR="00E12CDD" w:rsidRPr="00E14EBC" w:rsidRDefault="00E12CDD" w:rsidP="006E7D35">
            <w:pPr>
              <w:rPr>
                <w:b/>
                <w:bCs/>
              </w:rPr>
            </w:pPr>
            <w:r w:rsidRPr="00E14EBC">
              <w:rPr>
                <w:b/>
                <w:bCs/>
              </w:rPr>
              <w:lastRenderedPageBreak/>
              <w:t>TŠEHHI</w:t>
            </w:r>
          </w:p>
        </w:tc>
      </w:tr>
      <w:tr w:rsidR="00E12CDD" w:rsidRPr="00E14EBC" w14:paraId="7B8BD390" w14:textId="77777777" w:rsidTr="1C92C443">
        <w:tc>
          <w:tcPr>
            <w:tcW w:w="4630" w:type="dxa"/>
          </w:tcPr>
          <w:p w14:paraId="540766BF" w14:textId="35E091BE" w:rsidR="00E12CDD" w:rsidRPr="00E14EBC" w:rsidRDefault="00E12CDD" w:rsidP="006E7D35">
            <w:r w:rsidRPr="00E14EBC">
              <w:rPr>
                <w:rFonts w:cstheme="minorHAnsi"/>
                <w:bCs/>
              </w:rPr>
              <w:t>Kasutatakse jagamismajanduse</w:t>
            </w:r>
            <w:r w:rsidRPr="00E14EBC">
              <w:rPr>
                <w:rFonts w:cstheme="minorHAnsi"/>
              </w:rPr>
              <w:t xml:space="preserve"> mõistet, mis tähendab digitaalsete vahendite abil kasutuses mitteoleva omandi jagamist. Jagamismajandusega paralleelselt on käibel Airbnb, mille all võidakse mõelda nii Airbnb digitaalset keskkonda/platvormi kui ka laiemalt lühiajaliseks majutusotstarbeks pakutavat korterit või tuba.</w:t>
            </w:r>
            <w:r w:rsidR="006058A9" w:rsidRPr="00E14EBC">
              <w:rPr>
                <w:rFonts w:cstheme="minorHAnsi"/>
              </w:rPr>
              <w:br/>
            </w:r>
            <w:r w:rsidR="006058A9" w:rsidRPr="00E14EBC">
              <w:t>Käibemaksuseaduse järgi on lühiajaline üür kinnisvara üürileandmine koos võimaliku sisustuse ja kommunaalteenustega, kui üür kestab kuni 48 tundi järjest</w:t>
            </w:r>
          </w:p>
        </w:tc>
        <w:tc>
          <w:tcPr>
            <w:tcW w:w="4630" w:type="dxa"/>
          </w:tcPr>
          <w:p w14:paraId="35AFB346" w14:textId="77777777" w:rsidR="00E12CDD" w:rsidRPr="00E14EBC" w:rsidRDefault="00E12CDD" w:rsidP="006E7D35">
            <w:r w:rsidRPr="00E14EBC">
              <w:t xml:space="preserve">Senimaani lühiajalise üüri turu suhtes leebelt sekkuv riik ja eraldi lühiajalist üüri turgu käsitlevaid regulatsioone ei ole. </w:t>
            </w:r>
          </w:p>
          <w:p w14:paraId="3AFD8461" w14:textId="0343FFA4" w:rsidR="00E12CDD" w:rsidRPr="00E14EBC" w:rsidRDefault="00E12CDD" w:rsidP="006E7D35">
            <w:r w:rsidRPr="00E14EBC">
              <w:rPr>
                <w:rFonts w:eastAsia="Times New Roman" w:cstheme="minorHAnsi"/>
                <w:kern w:val="0"/>
                <w:szCs w:val="24"/>
                <w:lang w:eastAsia="en-GB"/>
                <w14:ligatures w14:val="none"/>
              </w:rPr>
              <w:t>2026</w:t>
            </w:r>
            <w:r w:rsidR="00297C05" w:rsidRPr="00E14EBC">
              <w:rPr>
                <w:rFonts w:eastAsia="Times New Roman" w:cstheme="minorHAnsi"/>
                <w:kern w:val="0"/>
                <w:szCs w:val="24"/>
                <w:lang w:eastAsia="en-GB"/>
                <w14:ligatures w14:val="none"/>
              </w:rPr>
              <w:t>. aastaks</w:t>
            </w:r>
            <w:r w:rsidRPr="00E14EBC">
              <w:rPr>
                <w:rFonts w:eastAsia="Times New Roman" w:cstheme="minorHAnsi"/>
                <w:kern w:val="0"/>
                <w:szCs w:val="24"/>
                <w:lang w:eastAsia="en-GB"/>
                <w14:ligatures w14:val="none"/>
              </w:rPr>
              <w:t xml:space="preserve"> valmib e-Turista register, mille eesmärk on avaliku sektori jaoks ühtse läbipaistva andmekogu loomine. Registriandmete eiramise eest võivad kaasneda trahvid ebaseaduslikule üürile kuni 100 000 krooniga</w:t>
            </w:r>
            <w:r w:rsidR="004F3577" w:rsidRPr="00E14EBC">
              <w:rPr>
                <w:rFonts w:eastAsia="Times New Roman" w:cstheme="minorHAnsi"/>
                <w:kern w:val="0"/>
                <w:szCs w:val="24"/>
                <w:lang w:eastAsia="en-GB"/>
                <w14:ligatures w14:val="none"/>
              </w:rPr>
              <w:t xml:space="preserve"> (</w:t>
            </w:r>
            <w:r w:rsidR="00942F5C" w:rsidRPr="00E14EBC">
              <w:rPr>
                <w:rFonts w:eastAsia="Times New Roman" w:cstheme="minorHAnsi"/>
                <w:kern w:val="0"/>
                <w:szCs w:val="24"/>
                <w:lang w:eastAsia="en-GB"/>
                <w14:ligatures w14:val="none"/>
              </w:rPr>
              <w:t>u 4000 eurot)</w:t>
            </w:r>
          </w:p>
        </w:tc>
        <w:tc>
          <w:tcPr>
            <w:tcW w:w="4630" w:type="dxa"/>
          </w:tcPr>
          <w:p w14:paraId="39E631BB" w14:textId="77777777" w:rsidR="00E12CDD" w:rsidRPr="00E14EBC" w:rsidRDefault="00E12CDD" w:rsidP="00E12CDD">
            <w:pPr>
              <w:spacing w:line="259" w:lineRule="auto"/>
            </w:pPr>
            <w:r w:rsidRPr="00E14EBC">
              <w:t xml:space="preserve">Tšehhi lühiajalise üüri turu andmeid kogutakse statistikaameti ja Eurostati kaudu NUTS3 tasandil, eraldi Praha ja ülejäänud regioonide lõikes. Praha puhul kasutatakse ka Inside Airbnb andmeid, mis kaardistavad pakkumised asukohapõhiselt kraapimismudeli abil. </w:t>
            </w:r>
          </w:p>
          <w:p w14:paraId="2ACC52A8" w14:textId="062E5CBA" w:rsidR="00E12CDD" w:rsidRPr="00E14EBC" w:rsidRDefault="00E12CDD" w:rsidP="00E12CDD">
            <w:r w:rsidRPr="00E14EBC">
              <w:t>Maksukogumise andmetel on seni tuginetud tulumaksu andmetele, aga otsene õigusselgus jagamismajanduselt teenitava tulu kohta käivate andmete esitamise osas puudub</w:t>
            </w:r>
          </w:p>
        </w:tc>
      </w:tr>
    </w:tbl>
    <w:p w14:paraId="5B02F06E" w14:textId="77777777" w:rsidR="00BD762E" w:rsidRPr="00E14EBC" w:rsidRDefault="00BD762E" w:rsidP="006E7D35">
      <w:pPr>
        <w:spacing w:before="0" w:line="259" w:lineRule="auto"/>
      </w:pPr>
    </w:p>
    <w:p w14:paraId="6B2C0611" w14:textId="77777777" w:rsidR="00ED0B26" w:rsidRPr="00E14EBC" w:rsidRDefault="00ED0B26">
      <w:pPr>
        <w:spacing w:before="0" w:line="259" w:lineRule="auto"/>
      </w:pPr>
      <w:r w:rsidRPr="00E14EBC">
        <w:br w:type="page"/>
      </w:r>
    </w:p>
    <w:p w14:paraId="788B4571" w14:textId="2C1CC433" w:rsidR="00BD762E" w:rsidRPr="00E14EBC" w:rsidRDefault="00BD762E" w:rsidP="00BD762E">
      <w:pPr>
        <w:pStyle w:val="Heading2"/>
        <w:numPr>
          <w:ilvl w:val="0"/>
          <w:numId w:val="0"/>
        </w:numPr>
        <w:rPr>
          <w:rFonts w:hint="eastAsia"/>
        </w:rPr>
      </w:pPr>
      <w:bookmarkStart w:id="219" w:name="_Ref193455028"/>
      <w:bookmarkStart w:id="220" w:name="_Toc197718093"/>
      <w:bookmarkStart w:id="221" w:name="_Toc208991647"/>
      <w:r w:rsidRPr="00E14EBC">
        <w:lastRenderedPageBreak/>
        <w:t xml:space="preserve">Lisa </w:t>
      </w:r>
      <w:r w:rsidR="0009552C" w:rsidRPr="00E14EBC">
        <w:t>3</w:t>
      </w:r>
      <w:r w:rsidRPr="00E14EBC">
        <w:t>. Kokkuvõte välisriikide</w:t>
      </w:r>
      <w:r w:rsidR="00801E16" w:rsidRPr="00E14EBC">
        <w:t>s avaldunud l</w:t>
      </w:r>
      <w:r w:rsidR="0009552C" w:rsidRPr="00E14EBC">
        <w:t>ühiajalise üüri turu mõjudest</w:t>
      </w:r>
      <w:bookmarkEnd w:id="219"/>
      <w:bookmarkEnd w:id="220"/>
      <w:bookmarkEnd w:id="221"/>
      <w:r w:rsidR="0009552C" w:rsidRPr="00E14EBC">
        <w:t xml:space="preserve"> </w:t>
      </w:r>
    </w:p>
    <w:p w14:paraId="3F55C693" w14:textId="21132869" w:rsidR="00C06886" w:rsidRPr="00E14EBC" w:rsidRDefault="007F72A5" w:rsidP="005B1728">
      <w:pPr>
        <w:jc w:val="both"/>
      </w:pPr>
      <w:r w:rsidRPr="00E14EBC">
        <w:t xml:space="preserve">Alljärgnev tabel koondab viies analüüsitud </w:t>
      </w:r>
      <w:r w:rsidR="002454FB" w:rsidRPr="00E14EBC">
        <w:t>välis</w:t>
      </w:r>
      <w:r w:rsidRPr="00E14EBC">
        <w:t>riigis (Soome, Tšehhi, Holland, Saksamaa ja Šveits) täheldatud peamised</w:t>
      </w:r>
      <w:r w:rsidR="005359A9" w:rsidRPr="00E14EBC">
        <w:t xml:space="preserve"> lühiajalise üüri turu</w:t>
      </w:r>
      <w:r w:rsidR="0085141F" w:rsidRPr="00E14EBC">
        <w:t xml:space="preserve"> mõjud</w:t>
      </w:r>
      <w:r w:rsidRPr="00E14EBC">
        <w:t>.</w:t>
      </w:r>
      <w:r w:rsidR="00C070DD">
        <w:t xml:space="preserve"> Tabelis tähistab „X“ kui </w:t>
      </w:r>
      <w:r w:rsidR="007E2B60">
        <w:t xml:space="preserve">meie analüüsi põhjal </w:t>
      </w:r>
      <w:r w:rsidR="00C070DD">
        <w:t>vastavas riigis mõju esineb ja „-</w:t>
      </w:r>
      <w:r w:rsidR="007E2B60">
        <w:t>"</w:t>
      </w:r>
      <w:r w:rsidR="00C070DD">
        <w:t xml:space="preserve"> kui mõju ei esinenud. </w:t>
      </w:r>
      <w:r w:rsidR="00A36EA7" w:rsidRPr="00E14EBC">
        <w:t xml:space="preserve">Täpsem riikide ülevaade on </w:t>
      </w:r>
      <w:r w:rsidR="00277231">
        <w:t>esitatud</w:t>
      </w:r>
      <w:r w:rsidR="00A36EA7" w:rsidRPr="00E14EBC">
        <w:t xml:space="preserve"> </w:t>
      </w:r>
      <w:r w:rsidR="004D13EC">
        <w:t>„</w:t>
      </w:r>
      <w:r w:rsidR="0044076E" w:rsidRPr="00E14EBC">
        <w:fldChar w:fldCharType="begin"/>
      </w:r>
      <w:r w:rsidR="0044076E" w:rsidRPr="00E14EBC">
        <w:instrText xml:space="preserve"> REF _Ref193455978 \h </w:instrText>
      </w:r>
      <w:r w:rsidR="005B1728">
        <w:instrText xml:space="preserve"> \* MERGEFORMAT </w:instrText>
      </w:r>
      <w:r w:rsidR="0044076E" w:rsidRPr="00E14EBC">
        <w:fldChar w:fldCharType="separate"/>
      </w:r>
      <w:r w:rsidR="00C55BCB" w:rsidRPr="00E14EBC">
        <w:t>Lisa 1. Ülevaade valitud välisriikide lühiajalise üüri</w:t>
      </w:r>
      <w:r w:rsidR="00C55BCB">
        <w:t xml:space="preserve"> </w:t>
      </w:r>
      <w:r w:rsidR="00C55BCB" w:rsidRPr="00E14EBC">
        <w:t>turu toimimisest</w:t>
      </w:r>
      <w:r w:rsidR="0044076E" w:rsidRPr="00E14EBC">
        <w:fldChar w:fldCharType="end"/>
      </w:r>
      <w:r w:rsidR="004D13EC">
        <w:t>“.</w:t>
      </w:r>
    </w:p>
    <w:p w14:paraId="3CD8F150" w14:textId="5156C21E" w:rsidR="00CE7F7E" w:rsidRPr="00E14EBC" w:rsidRDefault="00CE7F7E" w:rsidP="00CB7492">
      <w:pPr>
        <w:pStyle w:val="Caption"/>
      </w:pPr>
      <w:r w:rsidRPr="00E14EBC">
        <w:t xml:space="preserve">Tabel </w:t>
      </w:r>
      <w:r w:rsidR="005B1728">
        <w:t>1</w:t>
      </w:r>
      <w:r w:rsidR="001E5B0D">
        <w:t>6</w:t>
      </w:r>
      <w:r w:rsidR="00CB7492" w:rsidRPr="00E14EBC">
        <w:t>:</w:t>
      </w:r>
      <w:r w:rsidRPr="00E14EBC">
        <w:t xml:space="preserve"> Lühiajalise üüri turu mõjud välisriikides</w:t>
      </w:r>
    </w:p>
    <w:tbl>
      <w:tblPr>
        <w:tblStyle w:val="TableGrid"/>
        <w:tblW w:w="0" w:type="auto"/>
        <w:tblLayout w:type="fixed"/>
        <w:tblLook w:val="04A0" w:firstRow="1" w:lastRow="0" w:firstColumn="1" w:lastColumn="0" w:noHBand="0" w:noVBand="1"/>
      </w:tblPr>
      <w:tblGrid>
        <w:gridCol w:w="4675"/>
        <w:gridCol w:w="1843"/>
        <w:gridCol w:w="1843"/>
        <w:gridCol w:w="1843"/>
        <w:gridCol w:w="1843"/>
        <w:gridCol w:w="1843"/>
      </w:tblGrid>
      <w:tr w:rsidR="00067658" w:rsidRPr="00E14EBC" w14:paraId="7E75FF16" w14:textId="77777777" w:rsidTr="293C068D">
        <w:trPr>
          <w:tblHeader/>
        </w:trPr>
        <w:tc>
          <w:tcPr>
            <w:tcW w:w="4675" w:type="dxa"/>
            <w:shd w:val="clear" w:color="auto" w:fill="232323" w:themeFill="accent1"/>
          </w:tcPr>
          <w:p w14:paraId="5D6447B4" w14:textId="5F53057E" w:rsidR="00067658" w:rsidRPr="00E14EBC" w:rsidRDefault="00E24004" w:rsidP="00472CC0">
            <w:pPr>
              <w:spacing w:line="240" w:lineRule="auto"/>
              <w:rPr>
                <w:b/>
                <w:bCs/>
              </w:rPr>
            </w:pPr>
            <w:r w:rsidRPr="00E14EBC">
              <w:rPr>
                <w:b/>
                <w:bCs/>
              </w:rPr>
              <w:t>MÕJU</w:t>
            </w:r>
          </w:p>
        </w:tc>
        <w:tc>
          <w:tcPr>
            <w:tcW w:w="1843" w:type="dxa"/>
            <w:shd w:val="clear" w:color="auto" w:fill="232323" w:themeFill="accent1"/>
          </w:tcPr>
          <w:p w14:paraId="6B1FAB44" w14:textId="5C6C65BC" w:rsidR="00067658" w:rsidRPr="00E14EBC" w:rsidRDefault="00E24004" w:rsidP="00472CC0">
            <w:pPr>
              <w:spacing w:line="240" w:lineRule="auto"/>
              <w:jc w:val="center"/>
              <w:rPr>
                <w:b/>
                <w:bCs/>
              </w:rPr>
            </w:pPr>
            <w:r w:rsidRPr="00E14EBC">
              <w:rPr>
                <w:b/>
                <w:bCs/>
              </w:rPr>
              <w:t>HOLLAND</w:t>
            </w:r>
          </w:p>
        </w:tc>
        <w:tc>
          <w:tcPr>
            <w:tcW w:w="1843" w:type="dxa"/>
            <w:shd w:val="clear" w:color="auto" w:fill="232323" w:themeFill="accent1"/>
          </w:tcPr>
          <w:p w14:paraId="38FA389A" w14:textId="6B069F0C" w:rsidR="00067658" w:rsidRPr="00E14EBC" w:rsidRDefault="00E24004" w:rsidP="00472CC0">
            <w:pPr>
              <w:spacing w:line="240" w:lineRule="auto"/>
              <w:jc w:val="center"/>
              <w:rPr>
                <w:b/>
                <w:bCs/>
              </w:rPr>
            </w:pPr>
            <w:r w:rsidRPr="00E14EBC">
              <w:rPr>
                <w:b/>
                <w:bCs/>
              </w:rPr>
              <w:t>SAKSAMAA</w:t>
            </w:r>
          </w:p>
        </w:tc>
        <w:tc>
          <w:tcPr>
            <w:tcW w:w="1843" w:type="dxa"/>
            <w:shd w:val="clear" w:color="auto" w:fill="232323" w:themeFill="accent1"/>
          </w:tcPr>
          <w:p w14:paraId="725A512C" w14:textId="645B0C74" w:rsidR="00067658" w:rsidRPr="00E14EBC" w:rsidRDefault="00E24004" w:rsidP="00472CC0">
            <w:pPr>
              <w:spacing w:line="240" w:lineRule="auto"/>
              <w:jc w:val="center"/>
              <w:rPr>
                <w:b/>
                <w:bCs/>
              </w:rPr>
            </w:pPr>
            <w:r w:rsidRPr="00E14EBC">
              <w:rPr>
                <w:b/>
                <w:bCs/>
              </w:rPr>
              <w:t>SOOME</w:t>
            </w:r>
          </w:p>
        </w:tc>
        <w:tc>
          <w:tcPr>
            <w:tcW w:w="1843" w:type="dxa"/>
            <w:shd w:val="clear" w:color="auto" w:fill="232323" w:themeFill="accent1"/>
          </w:tcPr>
          <w:p w14:paraId="0DE8EE0A" w14:textId="1BDD83F5" w:rsidR="00067658" w:rsidRPr="00E14EBC" w:rsidRDefault="00E24004" w:rsidP="00472CC0">
            <w:pPr>
              <w:spacing w:line="240" w:lineRule="auto"/>
              <w:jc w:val="center"/>
              <w:rPr>
                <w:b/>
                <w:bCs/>
              </w:rPr>
            </w:pPr>
            <w:r w:rsidRPr="00E14EBC">
              <w:rPr>
                <w:b/>
                <w:bCs/>
              </w:rPr>
              <w:t>ŠVEITS</w:t>
            </w:r>
            <w:r w:rsidR="00A1622E" w:rsidRPr="00E14EBC">
              <w:rPr>
                <w:b/>
                <w:bCs/>
              </w:rPr>
              <w:t>*</w:t>
            </w:r>
          </w:p>
        </w:tc>
        <w:tc>
          <w:tcPr>
            <w:tcW w:w="1843" w:type="dxa"/>
            <w:shd w:val="clear" w:color="auto" w:fill="232323" w:themeFill="accent1"/>
          </w:tcPr>
          <w:p w14:paraId="3C009C39" w14:textId="1C6FBF48" w:rsidR="00067658" w:rsidRPr="00E14EBC" w:rsidRDefault="00E24004" w:rsidP="00472CC0">
            <w:pPr>
              <w:spacing w:line="240" w:lineRule="auto"/>
              <w:jc w:val="center"/>
              <w:rPr>
                <w:b/>
                <w:bCs/>
              </w:rPr>
            </w:pPr>
            <w:r w:rsidRPr="00E14EBC">
              <w:rPr>
                <w:b/>
                <w:bCs/>
              </w:rPr>
              <w:t>TŠEHHI</w:t>
            </w:r>
          </w:p>
        </w:tc>
      </w:tr>
      <w:tr w:rsidR="00067658" w:rsidRPr="00E14EBC" w14:paraId="39F1E5FC" w14:textId="77777777" w:rsidTr="293C068D">
        <w:tc>
          <w:tcPr>
            <w:tcW w:w="4675" w:type="dxa"/>
            <w:shd w:val="clear" w:color="auto" w:fill="E6E6E6" w:themeFill="accent3"/>
          </w:tcPr>
          <w:p w14:paraId="0FC7DAAB" w14:textId="08873CC9" w:rsidR="00067658" w:rsidRPr="00E14EBC" w:rsidRDefault="00CE6E96" w:rsidP="00472CC0">
            <w:pPr>
              <w:spacing w:line="240" w:lineRule="auto"/>
            </w:pPr>
            <w:r w:rsidRPr="00E14EBC">
              <w:t>Üürihindade tõus</w:t>
            </w:r>
            <w:r w:rsidR="00A1622E" w:rsidRPr="00E14EBC">
              <w:t>**</w:t>
            </w:r>
          </w:p>
        </w:tc>
        <w:tc>
          <w:tcPr>
            <w:tcW w:w="1843" w:type="dxa"/>
          </w:tcPr>
          <w:p w14:paraId="011C865A" w14:textId="0B2AC227" w:rsidR="00067658" w:rsidRPr="00E14EBC" w:rsidRDefault="009A6225" w:rsidP="00472CC0">
            <w:pPr>
              <w:spacing w:line="240" w:lineRule="auto"/>
              <w:jc w:val="center"/>
              <w:rPr>
                <w:sz w:val="20"/>
                <w:szCs w:val="20"/>
              </w:rPr>
            </w:pPr>
            <w:r w:rsidRPr="00E14EBC">
              <w:rPr>
                <w:sz w:val="20"/>
                <w:szCs w:val="20"/>
              </w:rPr>
              <w:t>X</w:t>
            </w:r>
          </w:p>
        </w:tc>
        <w:tc>
          <w:tcPr>
            <w:tcW w:w="1843" w:type="dxa"/>
          </w:tcPr>
          <w:p w14:paraId="3E5ACEF6" w14:textId="49BBD278" w:rsidR="00067658" w:rsidRPr="00E14EBC" w:rsidRDefault="00D4275F" w:rsidP="00472CC0">
            <w:pPr>
              <w:spacing w:line="240" w:lineRule="auto"/>
              <w:jc w:val="center"/>
              <w:rPr>
                <w:sz w:val="20"/>
                <w:szCs w:val="20"/>
              </w:rPr>
            </w:pPr>
            <w:r w:rsidRPr="00E14EBC">
              <w:rPr>
                <w:sz w:val="20"/>
                <w:szCs w:val="20"/>
              </w:rPr>
              <w:t>X</w:t>
            </w:r>
          </w:p>
        </w:tc>
        <w:tc>
          <w:tcPr>
            <w:tcW w:w="1843" w:type="dxa"/>
          </w:tcPr>
          <w:p w14:paraId="3CC289E9" w14:textId="5A39D8DC" w:rsidR="00067658" w:rsidRPr="00E14EBC" w:rsidRDefault="009A6225" w:rsidP="00472CC0">
            <w:pPr>
              <w:spacing w:line="240" w:lineRule="auto"/>
              <w:jc w:val="center"/>
              <w:rPr>
                <w:sz w:val="20"/>
                <w:szCs w:val="20"/>
              </w:rPr>
            </w:pPr>
            <w:r w:rsidRPr="00E14EBC">
              <w:rPr>
                <w:sz w:val="20"/>
                <w:szCs w:val="20"/>
              </w:rPr>
              <w:t>X</w:t>
            </w:r>
          </w:p>
        </w:tc>
        <w:tc>
          <w:tcPr>
            <w:tcW w:w="1843" w:type="dxa"/>
          </w:tcPr>
          <w:p w14:paraId="0E318D15" w14:textId="18214A66" w:rsidR="00067658" w:rsidRPr="00E14EBC" w:rsidRDefault="00D4275F" w:rsidP="00472CC0">
            <w:pPr>
              <w:spacing w:line="240" w:lineRule="auto"/>
              <w:jc w:val="center"/>
              <w:rPr>
                <w:sz w:val="20"/>
                <w:szCs w:val="20"/>
              </w:rPr>
            </w:pPr>
            <w:r w:rsidRPr="00E14EBC">
              <w:rPr>
                <w:sz w:val="20"/>
                <w:szCs w:val="20"/>
              </w:rPr>
              <w:t>X</w:t>
            </w:r>
          </w:p>
        </w:tc>
        <w:tc>
          <w:tcPr>
            <w:tcW w:w="1843" w:type="dxa"/>
          </w:tcPr>
          <w:p w14:paraId="1DFE2583" w14:textId="786D31BD" w:rsidR="00067658" w:rsidRPr="00E14EBC" w:rsidRDefault="009A6225" w:rsidP="00472CC0">
            <w:pPr>
              <w:spacing w:line="240" w:lineRule="auto"/>
              <w:jc w:val="center"/>
              <w:rPr>
                <w:sz w:val="20"/>
                <w:szCs w:val="20"/>
              </w:rPr>
            </w:pPr>
            <w:r w:rsidRPr="00E14EBC">
              <w:rPr>
                <w:sz w:val="20"/>
                <w:szCs w:val="20"/>
              </w:rPr>
              <w:t>X</w:t>
            </w:r>
          </w:p>
        </w:tc>
      </w:tr>
      <w:tr w:rsidR="00E24004" w:rsidRPr="00E14EBC" w14:paraId="2DDB7509" w14:textId="77777777" w:rsidTr="293C068D">
        <w:tc>
          <w:tcPr>
            <w:tcW w:w="4675" w:type="dxa"/>
            <w:shd w:val="clear" w:color="auto" w:fill="E6E6E6" w:themeFill="accent3"/>
          </w:tcPr>
          <w:p w14:paraId="24699B88" w14:textId="5D4F354E" w:rsidR="00E24004" w:rsidRPr="00E14EBC" w:rsidRDefault="00CE6E96" w:rsidP="00472CC0">
            <w:pPr>
              <w:spacing w:line="240" w:lineRule="auto"/>
            </w:pPr>
            <w:r w:rsidRPr="00E14EBC">
              <w:t xml:space="preserve">Pikaajaliste elamispindade </w:t>
            </w:r>
            <w:r w:rsidR="007548AF" w:rsidRPr="00E14EBC">
              <w:t xml:space="preserve">kättesaadavuse </w:t>
            </w:r>
            <w:r w:rsidRPr="00E14EBC">
              <w:t>vähenemine</w:t>
            </w:r>
            <w:r w:rsidR="00A1622E" w:rsidRPr="00E14EBC">
              <w:t>***</w:t>
            </w:r>
          </w:p>
        </w:tc>
        <w:tc>
          <w:tcPr>
            <w:tcW w:w="1843" w:type="dxa"/>
          </w:tcPr>
          <w:p w14:paraId="02807C50" w14:textId="026702BA" w:rsidR="00E24004" w:rsidRPr="00E14EBC" w:rsidRDefault="009A6225" w:rsidP="00472CC0">
            <w:pPr>
              <w:spacing w:line="240" w:lineRule="auto"/>
              <w:jc w:val="center"/>
              <w:rPr>
                <w:sz w:val="20"/>
                <w:szCs w:val="20"/>
              </w:rPr>
            </w:pPr>
            <w:r w:rsidRPr="00E14EBC">
              <w:rPr>
                <w:sz w:val="20"/>
                <w:szCs w:val="20"/>
              </w:rPr>
              <w:t>X</w:t>
            </w:r>
          </w:p>
        </w:tc>
        <w:tc>
          <w:tcPr>
            <w:tcW w:w="1843" w:type="dxa"/>
          </w:tcPr>
          <w:p w14:paraId="162DBC9E" w14:textId="45861551" w:rsidR="00E24004" w:rsidRPr="00E14EBC" w:rsidRDefault="00D4275F" w:rsidP="00472CC0">
            <w:pPr>
              <w:spacing w:line="240" w:lineRule="auto"/>
              <w:jc w:val="center"/>
              <w:rPr>
                <w:sz w:val="20"/>
                <w:szCs w:val="20"/>
              </w:rPr>
            </w:pPr>
            <w:r w:rsidRPr="00E14EBC">
              <w:rPr>
                <w:sz w:val="20"/>
                <w:szCs w:val="20"/>
              </w:rPr>
              <w:t>X</w:t>
            </w:r>
          </w:p>
        </w:tc>
        <w:tc>
          <w:tcPr>
            <w:tcW w:w="1843" w:type="dxa"/>
          </w:tcPr>
          <w:p w14:paraId="73A9ABAD" w14:textId="7CBD6DB2" w:rsidR="00E24004" w:rsidRPr="00E14EBC" w:rsidRDefault="009A6225" w:rsidP="00472CC0">
            <w:pPr>
              <w:spacing w:line="240" w:lineRule="auto"/>
              <w:jc w:val="center"/>
              <w:rPr>
                <w:sz w:val="20"/>
                <w:szCs w:val="20"/>
              </w:rPr>
            </w:pPr>
            <w:r w:rsidRPr="00E14EBC">
              <w:rPr>
                <w:sz w:val="20"/>
                <w:szCs w:val="20"/>
              </w:rPr>
              <w:t>X</w:t>
            </w:r>
          </w:p>
        </w:tc>
        <w:tc>
          <w:tcPr>
            <w:tcW w:w="1843" w:type="dxa"/>
          </w:tcPr>
          <w:p w14:paraId="4F2BF81E" w14:textId="502FF53C" w:rsidR="00E24004" w:rsidRPr="00E14EBC" w:rsidRDefault="00D4275F" w:rsidP="00472CC0">
            <w:pPr>
              <w:spacing w:line="240" w:lineRule="auto"/>
              <w:jc w:val="center"/>
              <w:rPr>
                <w:sz w:val="20"/>
                <w:szCs w:val="20"/>
              </w:rPr>
            </w:pPr>
            <w:r w:rsidRPr="00E14EBC">
              <w:rPr>
                <w:sz w:val="20"/>
                <w:szCs w:val="20"/>
              </w:rPr>
              <w:t>X</w:t>
            </w:r>
          </w:p>
        </w:tc>
        <w:tc>
          <w:tcPr>
            <w:tcW w:w="1843" w:type="dxa"/>
          </w:tcPr>
          <w:p w14:paraId="64DA82DE" w14:textId="101A16CD" w:rsidR="00E24004" w:rsidRPr="00E14EBC" w:rsidRDefault="009A6225" w:rsidP="00472CC0">
            <w:pPr>
              <w:spacing w:line="240" w:lineRule="auto"/>
              <w:jc w:val="center"/>
              <w:rPr>
                <w:sz w:val="20"/>
                <w:szCs w:val="20"/>
              </w:rPr>
            </w:pPr>
            <w:r w:rsidRPr="00E14EBC">
              <w:rPr>
                <w:sz w:val="20"/>
                <w:szCs w:val="20"/>
              </w:rPr>
              <w:t>X</w:t>
            </w:r>
          </w:p>
        </w:tc>
      </w:tr>
      <w:tr w:rsidR="00067658" w:rsidRPr="00E14EBC" w14:paraId="67130D85" w14:textId="77777777" w:rsidTr="293C068D">
        <w:tc>
          <w:tcPr>
            <w:tcW w:w="4675" w:type="dxa"/>
            <w:shd w:val="clear" w:color="auto" w:fill="E6E6E6" w:themeFill="accent3"/>
          </w:tcPr>
          <w:p w14:paraId="1010D4C2" w14:textId="6B279AC7" w:rsidR="00067658" w:rsidRPr="00E14EBC" w:rsidRDefault="00CE6E96" w:rsidP="00472CC0">
            <w:pPr>
              <w:spacing w:line="240" w:lineRule="auto"/>
            </w:pPr>
            <w:r w:rsidRPr="00E14EBC">
              <w:t>Kohalike elanike väljatõrjumine</w:t>
            </w:r>
          </w:p>
        </w:tc>
        <w:tc>
          <w:tcPr>
            <w:tcW w:w="1843" w:type="dxa"/>
          </w:tcPr>
          <w:p w14:paraId="70BED2A4" w14:textId="44E041A8" w:rsidR="00067658" w:rsidRPr="00E14EBC" w:rsidRDefault="009A6225" w:rsidP="00472CC0">
            <w:pPr>
              <w:spacing w:line="240" w:lineRule="auto"/>
              <w:jc w:val="center"/>
              <w:rPr>
                <w:sz w:val="20"/>
                <w:szCs w:val="20"/>
              </w:rPr>
            </w:pPr>
            <w:r w:rsidRPr="00E14EBC">
              <w:rPr>
                <w:sz w:val="20"/>
                <w:szCs w:val="20"/>
              </w:rPr>
              <w:t>X</w:t>
            </w:r>
          </w:p>
        </w:tc>
        <w:tc>
          <w:tcPr>
            <w:tcW w:w="1843" w:type="dxa"/>
          </w:tcPr>
          <w:p w14:paraId="63A3D84F" w14:textId="43ECA875" w:rsidR="00067658" w:rsidRPr="00E14EBC" w:rsidRDefault="00D4275F" w:rsidP="00472CC0">
            <w:pPr>
              <w:spacing w:line="240" w:lineRule="auto"/>
              <w:jc w:val="center"/>
              <w:rPr>
                <w:sz w:val="20"/>
                <w:szCs w:val="20"/>
              </w:rPr>
            </w:pPr>
            <w:r w:rsidRPr="00E14EBC">
              <w:rPr>
                <w:sz w:val="20"/>
                <w:szCs w:val="20"/>
              </w:rPr>
              <w:t>X</w:t>
            </w:r>
          </w:p>
        </w:tc>
        <w:tc>
          <w:tcPr>
            <w:tcW w:w="1843" w:type="dxa"/>
          </w:tcPr>
          <w:p w14:paraId="1FAE3CEC" w14:textId="06ED769F" w:rsidR="00067658" w:rsidRPr="00E14EBC" w:rsidRDefault="003F6140" w:rsidP="00472CC0">
            <w:pPr>
              <w:spacing w:line="240" w:lineRule="auto"/>
              <w:jc w:val="center"/>
              <w:rPr>
                <w:sz w:val="20"/>
                <w:szCs w:val="20"/>
              </w:rPr>
            </w:pPr>
            <w:r w:rsidRPr="00E14EBC">
              <w:rPr>
                <w:sz w:val="20"/>
                <w:szCs w:val="20"/>
              </w:rPr>
              <w:t>-</w:t>
            </w:r>
          </w:p>
        </w:tc>
        <w:tc>
          <w:tcPr>
            <w:tcW w:w="1843" w:type="dxa"/>
          </w:tcPr>
          <w:p w14:paraId="7A63E4A0" w14:textId="5EEC5580" w:rsidR="00067658" w:rsidRPr="00E14EBC" w:rsidRDefault="003F6140" w:rsidP="00472CC0">
            <w:pPr>
              <w:spacing w:line="240" w:lineRule="auto"/>
              <w:jc w:val="center"/>
              <w:rPr>
                <w:sz w:val="20"/>
                <w:szCs w:val="20"/>
              </w:rPr>
            </w:pPr>
            <w:r w:rsidRPr="00E14EBC">
              <w:rPr>
                <w:sz w:val="20"/>
                <w:szCs w:val="20"/>
              </w:rPr>
              <w:t>-</w:t>
            </w:r>
          </w:p>
        </w:tc>
        <w:tc>
          <w:tcPr>
            <w:tcW w:w="1843" w:type="dxa"/>
          </w:tcPr>
          <w:p w14:paraId="6546C57C" w14:textId="53E962C1" w:rsidR="00067658" w:rsidRPr="00E14EBC" w:rsidRDefault="009A6225" w:rsidP="00472CC0">
            <w:pPr>
              <w:spacing w:line="240" w:lineRule="auto"/>
              <w:jc w:val="center"/>
              <w:rPr>
                <w:sz w:val="20"/>
                <w:szCs w:val="20"/>
              </w:rPr>
            </w:pPr>
            <w:r w:rsidRPr="00E14EBC">
              <w:rPr>
                <w:sz w:val="20"/>
                <w:szCs w:val="20"/>
              </w:rPr>
              <w:t>X</w:t>
            </w:r>
          </w:p>
        </w:tc>
      </w:tr>
      <w:tr w:rsidR="00067658" w:rsidRPr="00E14EBC" w14:paraId="551B2808" w14:textId="77777777" w:rsidTr="293C068D">
        <w:tc>
          <w:tcPr>
            <w:tcW w:w="4675" w:type="dxa"/>
            <w:shd w:val="clear" w:color="auto" w:fill="E6E6E6" w:themeFill="accent3"/>
          </w:tcPr>
          <w:p w14:paraId="60FAA199" w14:textId="4E19F768" w:rsidR="00067658" w:rsidRPr="00E14EBC" w:rsidRDefault="003A5DC0" w:rsidP="00472CC0">
            <w:pPr>
              <w:spacing w:line="240" w:lineRule="auto"/>
            </w:pPr>
            <w:r w:rsidRPr="00E14EBC">
              <w:t>Lühiajalised üüri pinnad, mis ei ole nõuetekohaselt registreeritud</w:t>
            </w:r>
          </w:p>
        </w:tc>
        <w:tc>
          <w:tcPr>
            <w:tcW w:w="1843" w:type="dxa"/>
          </w:tcPr>
          <w:p w14:paraId="0A165535" w14:textId="02C81B1B" w:rsidR="00067658" w:rsidRPr="00E14EBC" w:rsidRDefault="00643C13" w:rsidP="00472CC0">
            <w:pPr>
              <w:spacing w:line="240" w:lineRule="auto"/>
              <w:jc w:val="center"/>
              <w:rPr>
                <w:sz w:val="20"/>
                <w:szCs w:val="20"/>
              </w:rPr>
            </w:pPr>
            <w:r w:rsidRPr="00E14EBC">
              <w:rPr>
                <w:sz w:val="20"/>
                <w:szCs w:val="20"/>
              </w:rPr>
              <w:t>X</w:t>
            </w:r>
          </w:p>
        </w:tc>
        <w:tc>
          <w:tcPr>
            <w:tcW w:w="1843" w:type="dxa"/>
          </w:tcPr>
          <w:p w14:paraId="15CF97F1" w14:textId="690756C9" w:rsidR="00067658" w:rsidRPr="00E14EBC" w:rsidRDefault="00D4275F" w:rsidP="00472CC0">
            <w:pPr>
              <w:spacing w:line="240" w:lineRule="auto"/>
              <w:jc w:val="center"/>
              <w:rPr>
                <w:sz w:val="20"/>
                <w:szCs w:val="20"/>
              </w:rPr>
            </w:pPr>
            <w:r w:rsidRPr="00E14EBC">
              <w:rPr>
                <w:sz w:val="20"/>
                <w:szCs w:val="20"/>
              </w:rPr>
              <w:t>X</w:t>
            </w:r>
          </w:p>
        </w:tc>
        <w:tc>
          <w:tcPr>
            <w:tcW w:w="1843" w:type="dxa"/>
          </w:tcPr>
          <w:p w14:paraId="5804A92E" w14:textId="657E82E3" w:rsidR="00067658" w:rsidRPr="00E14EBC" w:rsidRDefault="003F6140" w:rsidP="00472CC0">
            <w:pPr>
              <w:spacing w:line="240" w:lineRule="auto"/>
              <w:jc w:val="center"/>
              <w:rPr>
                <w:sz w:val="20"/>
                <w:szCs w:val="20"/>
              </w:rPr>
            </w:pPr>
            <w:r w:rsidRPr="00E14EBC">
              <w:rPr>
                <w:sz w:val="20"/>
                <w:szCs w:val="20"/>
              </w:rPr>
              <w:t>-</w:t>
            </w:r>
          </w:p>
        </w:tc>
        <w:tc>
          <w:tcPr>
            <w:tcW w:w="1843" w:type="dxa"/>
          </w:tcPr>
          <w:p w14:paraId="45DB1F21" w14:textId="4170268A" w:rsidR="00067658" w:rsidRPr="00E14EBC" w:rsidRDefault="003F6140" w:rsidP="00472CC0">
            <w:pPr>
              <w:spacing w:line="240" w:lineRule="auto"/>
              <w:jc w:val="center"/>
              <w:rPr>
                <w:sz w:val="20"/>
                <w:szCs w:val="20"/>
              </w:rPr>
            </w:pPr>
            <w:r w:rsidRPr="00E14EBC">
              <w:rPr>
                <w:sz w:val="20"/>
                <w:szCs w:val="20"/>
              </w:rPr>
              <w:t>-</w:t>
            </w:r>
          </w:p>
        </w:tc>
        <w:tc>
          <w:tcPr>
            <w:tcW w:w="1843" w:type="dxa"/>
          </w:tcPr>
          <w:p w14:paraId="02461187" w14:textId="65202B94" w:rsidR="00067658" w:rsidRPr="00E14EBC" w:rsidRDefault="003F6140" w:rsidP="00472CC0">
            <w:pPr>
              <w:spacing w:line="240" w:lineRule="auto"/>
              <w:jc w:val="center"/>
              <w:rPr>
                <w:sz w:val="20"/>
                <w:szCs w:val="20"/>
              </w:rPr>
            </w:pPr>
            <w:r w:rsidRPr="00E14EBC">
              <w:rPr>
                <w:sz w:val="20"/>
                <w:szCs w:val="20"/>
              </w:rPr>
              <w:t>-</w:t>
            </w:r>
          </w:p>
        </w:tc>
      </w:tr>
      <w:tr w:rsidR="00067658" w:rsidRPr="00E14EBC" w14:paraId="0C0384C1" w14:textId="77777777" w:rsidTr="293C068D">
        <w:tc>
          <w:tcPr>
            <w:tcW w:w="4675" w:type="dxa"/>
            <w:shd w:val="clear" w:color="auto" w:fill="E6E6E6" w:themeFill="accent3"/>
          </w:tcPr>
          <w:p w14:paraId="0DDB9966" w14:textId="3C24AF59" w:rsidR="00067658" w:rsidRPr="00E14EBC" w:rsidRDefault="00E25352" w:rsidP="00472CC0">
            <w:pPr>
              <w:spacing w:line="240" w:lineRule="auto"/>
            </w:pPr>
            <w:r w:rsidRPr="00E14EBC">
              <w:t>Varimajandus ja maksutulu kaotus</w:t>
            </w:r>
          </w:p>
        </w:tc>
        <w:tc>
          <w:tcPr>
            <w:tcW w:w="1843" w:type="dxa"/>
          </w:tcPr>
          <w:p w14:paraId="3C98840B" w14:textId="27EE35BB" w:rsidR="00067658" w:rsidRPr="00E14EBC" w:rsidRDefault="003F6140" w:rsidP="00472CC0">
            <w:pPr>
              <w:spacing w:line="240" w:lineRule="auto"/>
              <w:jc w:val="center"/>
              <w:rPr>
                <w:sz w:val="20"/>
                <w:szCs w:val="20"/>
              </w:rPr>
            </w:pPr>
            <w:r w:rsidRPr="00E14EBC">
              <w:rPr>
                <w:sz w:val="20"/>
                <w:szCs w:val="20"/>
              </w:rPr>
              <w:t>-</w:t>
            </w:r>
          </w:p>
        </w:tc>
        <w:tc>
          <w:tcPr>
            <w:tcW w:w="1843" w:type="dxa"/>
          </w:tcPr>
          <w:p w14:paraId="420E775B" w14:textId="59994565" w:rsidR="00067658" w:rsidRPr="00E14EBC" w:rsidRDefault="00D4275F" w:rsidP="00472CC0">
            <w:pPr>
              <w:spacing w:line="240" w:lineRule="auto"/>
              <w:jc w:val="center"/>
              <w:rPr>
                <w:sz w:val="20"/>
                <w:szCs w:val="20"/>
              </w:rPr>
            </w:pPr>
            <w:r w:rsidRPr="00E14EBC">
              <w:rPr>
                <w:sz w:val="20"/>
                <w:szCs w:val="20"/>
              </w:rPr>
              <w:t>X</w:t>
            </w:r>
          </w:p>
        </w:tc>
        <w:tc>
          <w:tcPr>
            <w:tcW w:w="1843" w:type="dxa"/>
          </w:tcPr>
          <w:p w14:paraId="4005C456" w14:textId="0A263FE0" w:rsidR="00067658" w:rsidRPr="00E14EBC" w:rsidRDefault="009A6225" w:rsidP="00472CC0">
            <w:pPr>
              <w:spacing w:line="240" w:lineRule="auto"/>
              <w:jc w:val="center"/>
              <w:rPr>
                <w:sz w:val="20"/>
                <w:szCs w:val="20"/>
              </w:rPr>
            </w:pPr>
            <w:r w:rsidRPr="00E14EBC">
              <w:rPr>
                <w:sz w:val="20"/>
                <w:szCs w:val="20"/>
              </w:rPr>
              <w:t>X</w:t>
            </w:r>
          </w:p>
        </w:tc>
        <w:tc>
          <w:tcPr>
            <w:tcW w:w="1843" w:type="dxa"/>
          </w:tcPr>
          <w:p w14:paraId="3849EEC2" w14:textId="06836171" w:rsidR="00067658" w:rsidRPr="00E14EBC" w:rsidRDefault="003F6140" w:rsidP="00472CC0">
            <w:pPr>
              <w:spacing w:line="240" w:lineRule="auto"/>
              <w:jc w:val="center"/>
              <w:rPr>
                <w:sz w:val="20"/>
                <w:szCs w:val="20"/>
              </w:rPr>
            </w:pPr>
            <w:r w:rsidRPr="00E14EBC">
              <w:rPr>
                <w:sz w:val="20"/>
                <w:szCs w:val="20"/>
              </w:rPr>
              <w:t>-</w:t>
            </w:r>
          </w:p>
        </w:tc>
        <w:tc>
          <w:tcPr>
            <w:tcW w:w="1843" w:type="dxa"/>
          </w:tcPr>
          <w:p w14:paraId="07596850" w14:textId="3B7E6D5D" w:rsidR="00067658" w:rsidRPr="00E14EBC" w:rsidRDefault="009A6225" w:rsidP="00472CC0">
            <w:pPr>
              <w:spacing w:line="240" w:lineRule="auto"/>
              <w:jc w:val="center"/>
              <w:rPr>
                <w:sz w:val="20"/>
                <w:szCs w:val="20"/>
              </w:rPr>
            </w:pPr>
            <w:r w:rsidRPr="00E14EBC">
              <w:rPr>
                <w:sz w:val="20"/>
                <w:szCs w:val="20"/>
              </w:rPr>
              <w:t>X</w:t>
            </w:r>
          </w:p>
        </w:tc>
      </w:tr>
      <w:tr w:rsidR="00067658" w:rsidRPr="00E14EBC" w14:paraId="1266C132" w14:textId="77777777" w:rsidTr="293C068D">
        <w:tc>
          <w:tcPr>
            <w:tcW w:w="4675" w:type="dxa"/>
            <w:shd w:val="clear" w:color="auto" w:fill="E6E6E6" w:themeFill="accent3"/>
          </w:tcPr>
          <w:p w14:paraId="7E08A2B9" w14:textId="7D886767" w:rsidR="00067658" w:rsidRPr="00E14EBC" w:rsidRDefault="00E25352" w:rsidP="00472CC0">
            <w:pPr>
              <w:spacing w:line="240" w:lineRule="auto"/>
            </w:pPr>
            <w:r w:rsidRPr="00E14EBC">
              <w:t>Korrarikkumised ja müra</w:t>
            </w:r>
          </w:p>
        </w:tc>
        <w:tc>
          <w:tcPr>
            <w:tcW w:w="1843" w:type="dxa"/>
          </w:tcPr>
          <w:p w14:paraId="2C577F68" w14:textId="1DAF1215" w:rsidR="00067658" w:rsidRPr="00E14EBC" w:rsidRDefault="00D4275F" w:rsidP="00472CC0">
            <w:pPr>
              <w:spacing w:line="240" w:lineRule="auto"/>
              <w:jc w:val="center"/>
              <w:rPr>
                <w:sz w:val="20"/>
                <w:szCs w:val="20"/>
              </w:rPr>
            </w:pPr>
            <w:r w:rsidRPr="00E14EBC">
              <w:rPr>
                <w:sz w:val="20"/>
                <w:szCs w:val="20"/>
              </w:rPr>
              <w:t>X</w:t>
            </w:r>
          </w:p>
        </w:tc>
        <w:tc>
          <w:tcPr>
            <w:tcW w:w="1843" w:type="dxa"/>
          </w:tcPr>
          <w:p w14:paraId="33BF7759" w14:textId="4A3DD502" w:rsidR="00067658" w:rsidRPr="00E14EBC" w:rsidRDefault="003F6140" w:rsidP="00472CC0">
            <w:pPr>
              <w:spacing w:line="240" w:lineRule="auto"/>
              <w:jc w:val="center"/>
              <w:rPr>
                <w:sz w:val="20"/>
                <w:szCs w:val="20"/>
              </w:rPr>
            </w:pPr>
            <w:r w:rsidRPr="00E14EBC">
              <w:rPr>
                <w:sz w:val="20"/>
                <w:szCs w:val="20"/>
              </w:rPr>
              <w:t>-</w:t>
            </w:r>
          </w:p>
        </w:tc>
        <w:tc>
          <w:tcPr>
            <w:tcW w:w="1843" w:type="dxa"/>
          </w:tcPr>
          <w:p w14:paraId="53525E82" w14:textId="557CDE73" w:rsidR="00067658" w:rsidRPr="00E14EBC" w:rsidRDefault="003F6140" w:rsidP="00472CC0">
            <w:pPr>
              <w:spacing w:line="240" w:lineRule="auto"/>
              <w:jc w:val="center"/>
              <w:rPr>
                <w:sz w:val="20"/>
                <w:szCs w:val="20"/>
              </w:rPr>
            </w:pPr>
            <w:r w:rsidRPr="00E14EBC">
              <w:rPr>
                <w:sz w:val="20"/>
                <w:szCs w:val="20"/>
              </w:rPr>
              <w:t>-</w:t>
            </w:r>
          </w:p>
        </w:tc>
        <w:tc>
          <w:tcPr>
            <w:tcW w:w="1843" w:type="dxa"/>
          </w:tcPr>
          <w:p w14:paraId="1A007E84" w14:textId="793DCF57" w:rsidR="00067658" w:rsidRPr="00E14EBC" w:rsidRDefault="003F6140" w:rsidP="00472CC0">
            <w:pPr>
              <w:spacing w:line="240" w:lineRule="auto"/>
              <w:jc w:val="center"/>
              <w:rPr>
                <w:sz w:val="20"/>
                <w:szCs w:val="20"/>
              </w:rPr>
            </w:pPr>
            <w:r w:rsidRPr="00E14EBC">
              <w:rPr>
                <w:sz w:val="20"/>
                <w:szCs w:val="20"/>
              </w:rPr>
              <w:t>-</w:t>
            </w:r>
          </w:p>
        </w:tc>
        <w:tc>
          <w:tcPr>
            <w:tcW w:w="1843" w:type="dxa"/>
          </w:tcPr>
          <w:p w14:paraId="200246E7" w14:textId="7C366E29" w:rsidR="00067658" w:rsidRPr="00E14EBC" w:rsidRDefault="009A6225" w:rsidP="00472CC0">
            <w:pPr>
              <w:spacing w:line="240" w:lineRule="auto"/>
              <w:jc w:val="center"/>
              <w:rPr>
                <w:sz w:val="20"/>
                <w:szCs w:val="20"/>
              </w:rPr>
            </w:pPr>
            <w:r w:rsidRPr="00E14EBC">
              <w:rPr>
                <w:sz w:val="20"/>
                <w:szCs w:val="20"/>
              </w:rPr>
              <w:t>X</w:t>
            </w:r>
          </w:p>
        </w:tc>
      </w:tr>
      <w:tr w:rsidR="00067658" w:rsidRPr="00E14EBC" w14:paraId="7A6641D8" w14:textId="77777777" w:rsidTr="293C068D">
        <w:tc>
          <w:tcPr>
            <w:tcW w:w="4675" w:type="dxa"/>
            <w:shd w:val="clear" w:color="auto" w:fill="E6E6E6" w:themeFill="accent3"/>
          </w:tcPr>
          <w:p w14:paraId="0B0E5443" w14:textId="14DA7F17" w:rsidR="00067658" w:rsidRPr="00E14EBC" w:rsidRDefault="00E25352" w:rsidP="00472CC0">
            <w:pPr>
              <w:spacing w:line="240" w:lineRule="auto"/>
            </w:pPr>
            <w:r w:rsidRPr="00E14EBC">
              <w:t>Turvalisuse</w:t>
            </w:r>
            <w:r w:rsidR="00131C05" w:rsidRPr="00E14EBC">
              <w:t xml:space="preserve">ga seotud </w:t>
            </w:r>
            <w:r w:rsidRPr="00E14EBC">
              <w:t xml:space="preserve">riskid </w:t>
            </w:r>
          </w:p>
        </w:tc>
        <w:tc>
          <w:tcPr>
            <w:tcW w:w="1843" w:type="dxa"/>
          </w:tcPr>
          <w:p w14:paraId="3FC3518D" w14:textId="7E95E10A" w:rsidR="00067658" w:rsidRPr="00E14EBC" w:rsidRDefault="00643C13" w:rsidP="00472CC0">
            <w:pPr>
              <w:spacing w:line="240" w:lineRule="auto"/>
              <w:jc w:val="center"/>
              <w:rPr>
                <w:sz w:val="20"/>
                <w:szCs w:val="20"/>
              </w:rPr>
            </w:pPr>
            <w:r w:rsidRPr="00E14EBC">
              <w:rPr>
                <w:sz w:val="20"/>
                <w:szCs w:val="20"/>
              </w:rPr>
              <w:t>X</w:t>
            </w:r>
          </w:p>
        </w:tc>
        <w:tc>
          <w:tcPr>
            <w:tcW w:w="1843" w:type="dxa"/>
          </w:tcPr>
          <w:p w14:paraId="431C6570" w14:textId="68080E81" w:rsidR="00067658" w:rsidRPr="00E14EBC" w:rsidRDefault="00D4275F" w:rsidP="00472CC0">
            <w:pPr>
              <w:spacing w:line="240" w:lineRule="auto"/>
              <w:jc w:val="center"/>
              <w:rPr>
                <w:sz w:val="20"/>
                <w:szCs w:val="20"/>
              </w:rPr>
            </w:pPr>
            <w:r w:rsidRPr="00E14EBC">
              <w:rPr>
                <w:sz w:val="20"/>
                <w:szCs w:val="20"/>
              </w:rPr>
              <w:t>X</w:t>
            </w:r>
          </w:p>
        </w:tc>
        <w:tc>
          <w:tcPr>
            <w:tcW w:w="1843" w:type="dxa"/>
          </w:tcPr>
          <w:p w14:paraId="336C6403" w14:textId="0730F77A" w:rsidR="00067658" w:rsidRPr="00E14EBC" w:rsidRDefault="003F6140" w:rsidP="00472CC0">
            <w:pPr>
              <w:spacing w:line="240" w:lineRule="auto"/>
              <w:jc w:val="center"/>
              <w:rPr>
                <w:sz w:val="20"/>
                <w:szCs w:val="20"/>
              </w:rPr>
            </w:pPr>
            <w:r w:rsidRPr="00E14EBC">
              <w:rPr>
                <w:sz w:val="20"/>
                <w:szCs w:val="20"/>
              </w:rPr>
              <w:t>-</w:t>
            </w:r>
          </w:p>
        </w:tc>
        <w:tc>
          <w:tcPr>
            <w:tcW w:w="1843" w:type="dxa"/>
          </w:tcPr>
          <w:p w14:paraId="60459743" w14:textId="315E19CE" w:rsidR="00067658" w:rsidRPr="00E14EBC" w:rsidRDefault="003F6140" w:rsidP="00472CC0">
            <w:pPr>
              <w:spacing w:line="240" w:lineRule="auto"/>
              <w:jc w:val="center"/>
              <w:rPr>
                <w:sz w:val="20"/>
                <w:szCs w:val="20"/>
              </w:rPr>
            </w:pPr>
            <w:r w:rsidRPr="00E14EBC">
              <w:rPr>
                <w:sz w:val="20"/>
                <w:szCs w:val="20"/>
              </w:rPr>
              <w:t>-</w:t>
            </w:r>
          </w:p>
        </w:tc>
        <w:tc>
          <w:tcPr>
            <w:tcW w:w="1843" w:type="dxa"/>
          </w:tcPr>
          <w:p w14:paraId="68C8CCD0" w14:textId="29801BFC" w:rsidR="00067658" w:rsidRPr="00E14EBC" w:rsidRDefault="003F6140" w:rsidP="00472CC0">
            <w:pPr>
              <w:spacing w:line="240" w:lineRule="auto"/>
              <w:jc w:val="center"/>
              <w:rPr>
                <w:sz w:val="20"/>
                <w:szCs w:val="20"/>
              </w:rPr>
            </w:pPr>
            <w:r w:rsidRPr="00E14EBC">
              <w:rPr>
                <w:sz w:val="20"/>
                <w:szCs w:val="20"/>
              </w:rPr>
              <w:t>-</w:t>
            </w:r>
          </w:p>
        </w:tc>
      </w:tr>
      <w:tr w:rsidR="00067658" w:rsidRPr="00E14EBC" w14:paraId="474FDC5C" w14:textId="77777777" w:rsidTr="293C068D">
        <w:tc>
          <w:tcPr>
            <w:tcW w:w="4675" w:type="dxa"/>
            <w:shd w:val="clear" w:color="auto" w:fill="E6E6E6" w:themeFill="accent3"/>
          </w:tcPr>
          <w:p w14:paraId="3FF8E618" w14:textId="24B7AC29" w:rsidR="00067658" w:rsidRPr="00E14EBC" w:rsidRDefault="00E25352" w:rsidP="00472CC0">
            <w:pPr>
              <w:spacing w:line="240" w:lineRule="auto"/>
            </w:pPr>
            <w:r w:rsidRPr="00E14EBC">
              <w:t>Eluasemepuudus</w:t>
            </w:r>
            <w:r w:rsidR="00BE7360" w:rsidRPr="00E14EBC">
              <w:t>****</w:t>
            </w:r>
          </w:p>
        </w:tc>
        <w:tc>
          <w:tcPr>
            <w:tcW w:w="1843" w:type="dxa"/>
          </w:tcPr>
          <w:p w14:paraId="4A9FEC7A" w14:textId="605576CF" w:rsidR="00067658" w:rsidRPr="00E14EBC" w:rsidRDefault="00D4275F" w:rsidP="00472CC0">
            <w:pPr>
              <w:spacing w:line="240" w:lineRule="auto"/>
              <w:jc w:val="center"/>
              <w:rPr>
                <w:sz w:val="20"/>
                <w:szCs w:val="20"/>
              </w:rPr>
            </w:pPr>
            <w:r w:rsidRPr="00E14EBC">
              <w:rPr>
                <w:sz w:val="20"/>
                <w:szCs w:val="20"/>
              </w:rPr>
              <w:t>X</w:t>
            </w:r>
          </w:p>
        </w:tc>
        <w:tc>
          <w:tcPr>
            <w:tcW w:w="1843" w:type="dxa"/>
          </w:tcPr>
          <w:p w14:paraId="743FE247" w14:textId="41219833" w:rsidR="00067658" w:rsidRPr="00E14EBC" w:rsidRDefault="003F6140" w:rsidP="00472CC0">
            <w:pPr>
              <w:spacing w:line="240" w:lineRule="auto"/>
              <w:jc w:val="center"/>
              <w:rPr>
                <w:sz w:val="20"/>
                <w:szCs w:val="20"/>
              </w:rPr>
            </w:pPr>
            <w:r w:rsidRPr="00E14EBC">
              <w:rPr>
                <w:sz w:val="20"/>
                <w:szCs w:val="20"/>
              </w:rPr>
              <w:t>-</w:t>
            </w:r>
          </w:p>
        </w:tc>
        <w:tc>
          <w:tcPr>
            <w:tcW w:w="1843" w:type="dxa"/>
          </w:tcPr>
          <w:p w14:paraId="51D8B574" w14:textId="4597AFC2" w:rsidR="00067658" w:rsidRPr="00E14EBC" w:rsidRDefault="003F6140" w:rsidP="00472CC0">
            <w:pPr>
              <w:spacing w:line="240" w:lineRule="auto"/>
              <w:jc w:val="center"/>
              <w:rPr>
                <w:sz w:val="20"/>
                <w:szCs w:val="20"/>
              </w:rPr>
            </w:pPr>
            <w:r w:rsidRPr="00E14EBC">
              <w:rPr>
                <w:sz w:val="20"/>
                <w:szCs w:val="20"/>
              </w:rPr>
              <w:t>-</w:t>
            </w:r>
          </w:p>
        </w:tc>
        <w:tc>
          <w:tcPr>
            <w:tcW w:w="1843" w:type="dxa"/>
          </w:tcPr>
          <w:p w14:paraId="01B60021" w14:textId="5ADFD1E4" w:rsidR="00067658" w:rsidRPr="00E14EBC" w:rsidRDefault="00D4275F" w:rsidP="00472CC0">
            <w:pPr>
              <w:spacing w:line="240" w:lineRule="auto"/>
              <w:jc w:val="center"/>
              <w:rPr>
                <w:sz w:val="20"/>
                <w:szCs w:val="20"/>
              </w:rPr>
            </w:pPr>
            <w:r w:rsidRPr="00E14EBC">
              <w:rPr>
                <w:sz w:val="20"/>
                <w:szCs w:val="20"/>
              </w:rPr>
              <w:t>X</w:t>
            </w:r>
          </w:p>
        </w:tc>
        <w:tc>
          <w:tcPr>
            <w:tcW w:w="1843" w:type="dxa"/>
          </w:tcPr>
          <w:p w14:paraId="3E2FB56D" w14:textId="061267F4" w:rsidR="00067658" w:rsidRPr="00E14EBC" w:rsidRDefault="009A6225" w:rsidP="00472CC0">
            <w:pPr>
              <w:spacing w:line="240" w:lineRule="auto"/>
              <w:jc w:val="center"/>
              <w:rPr>
                <w:sz w:val="20"/>
                <w:szCs w:val="20"/>
              </w:rPr>
            </w:pPr>
            <w:r w:rsidRPr="00E14EBC">
              <w:rPr>
                <w:sz w:val="20"/>
                <w:szCs w:val="20"/>
              </w:rPr>
              <w:t>X</w:t>
            </w:r>
          </w:p>
        </w:tc>
      </w:tr>
    </w:tbl>
    <w:p w14:paraId="042BA0C4" w14:textId="73FFA43A" w:rsidR="00185C6B" w:rsidRPr="00E14EBC" w:rsidRDefault="7A222192" w:rsidP="00D6134C">
      <w:pPr>
        <w:spacing w:before="60" w:after="60" w:line="240" w:lineRule="auto"/>
        <w:jc w:val="both"/>
        <w:rPr>
          <w:sz w:val="20"/>
          <w:szCs w:val="20"/>
        </w:rPr>
      </w:pPr>
      <w:r w:rsidRPr="1C92C443">
        <w:rPr>
          <w:sz w:val="20"/>
          <w:szCs w:val="20"/>
        </w:rPr>
        <w:t xml:space="preserve">* </w:t>
      </w:r>
      <w:r w:rsidR="5A1F0165" w:rsidRPr="1C92C443">
        <w:rPr>
          <w:sz w:val="20"/>
          <w:szCs w:val="20"/>
        </w:rPr>
        <w:t xml:space="preserve">Lühiajaline üüri turg on väike osa pikaajalisest üüriturust. 2018. aastal moodustasid Airbnb ja külaliskorterid Zürichis 3,8% </w:t>
      </w:r>
      <w:r w:rsidR="00D3551B" w:rsidRPr="1C92C443">
        <w:rPr>
          <w:sz w:val="20"/>
          <w:szCs w:val="20"/>
        </w:rPr>
        <w:t>k</w:t>
      </w:r>
      <w:r w:rsidR="006577DE" w:rsidRPr="1C92C443">
        <w:rPr>
          <w:sz w:val="20"/>
          <w:szCs w:val="20"/>
        </w:rPr>
        <w:t xml:space="preserve">ohalikest </w:t>
      </w:r>
      <w:r w:rsidR="5A1F0165" w:rsidRPr="1C92C443">
        <w:rPr>
          <w:sz w:val="20"/>
          <w:szCs w:val="20"/>
        </w:rPr>
        <w:t>üürikorterites</w:t>
      </w:r>
      <w:r w:rsidR="002060AB" w:rsidRPr="1C92C443">
        <w:rPr>
          <w:sz w:val="20"/>
          <w:szCs w:val="20"/>
        </w:rPr>
        <w:t xml:space="preserve"> (kogu eluasemeturust </w:t>
      </w:r>
      <w:r w:rsidR="005608FF" w:rsidRPr="1C92C443">
        <w:rPr>
          <w:sz w:val="20"/>
          <w:szCs w:val="20"/>
        </w:rPr>
        <w:t>u 1</w:t>
      </w:r>
      <w:r w:rsidR="003748A3">
        <w:rPr>
          <w:sz w:val="20"/>
          <w:szCs w:val="20"/>
        </w:rPr>
        <w:t>–</w:t>
      </w:r>
      <w:r w:rsidR="005608FF" w:rsidRPr="1C92C443">
        <w:rPr>
          <w:sz w:val="20"/>
          <w:szCs w:val="20"/>
        </w:rPr>
        <w:t>3%)</w:t>
      </w:r>
      <w:r w:rsidR="00A96428" w:rsidRPr="1C92C443">
        <w:rPr>
          <w:sz w:val="20"/>
          <w:szCs w:val="20"/>
        </w:rPr>
        <w:t>.</w:t>
      </w:r>
      <w:r w:rsidR="5A1F0165" w:rsidRPr="1C92C443">
        <w:rPr>
          <w:sz w:val="20"/>
          <w:szCs w:val="20"/>
        </w:rPr>
        <w:t xml:space="preserve"> Luzernis jäi </w:t>
      </w:r>
      <w:r w:rsidR="00281757" w:rsidRPr="1C92C443">
        <w:rPr>
          <w:sz w:val="20"/>
          <w:szCs w:val="20"/>
        </w:rPr>
        <w:t>Air</w:t>
      </w:r>
      <w:r w:rsidR="001720DB">
        <w:rPr>
          <w:sz w:val="20"/>
          <w:szCs w:val="20"/>
        </w:rPr>
        <w:t>b</w:t>
      </w:r>
      <w:r w:rsidR="00281757" w:rsidRPr="1C92C443">
        <w:rPr>
          <w:sz w:val="20"/>
          <w:szCs w:val="20"/>
        </w:rPr>
        <w:t xml:space="preserve">nb ja külaliskorterite osakaal </w:t>
      </w:r>
      <w:r w:rsidR="5A1F0165" w:rsidRPr="1C92C443">
        <w:rPr>
          <w:sz w:val="20"/>
          <w:szCs w:val="20"/>
        </w:rPr>
        <w:t>2023. aastal alla 1%</w:t>
      </w:r>
      <w:r w:rsidR="00281757" w:rsidRPr="1C92C443">
        <w:rPr>
          <w:sz w:val="20"/>
          <w:szCs w:val="20"/>
        </w:rPr>
        <w:t xml:space="preserve"> kogu eluasemeturust</w:t>
      </w:r>
      <w:r w:rsidR="5A1F0165" w:rsidRPr="1C92C443">
        <w:rPr>
          <w:sz w:val="20"/>
          <w:szCs w:val="20"/>
        </w:rPr>
        <w:t>. Seetõttu on lühiajaliste üüri teenuste mõju pikaajalis</w:t>
      </w:r>
      <w:r w:rsidR="005C1073" w:rsidRPr="1C92C443">
        <w:rPr>
          <w:sz w:val="20"/>
          <w:szCs w:val="20"/>
        </w:rPr>
        <w:t xml:space="preserve">ele üürile </w:t>
      </w:r>
      <w:r w:rsidR="2610A2D4" w:rsidRPr="1C92C443">
        <w:rPr>
          <w:sz w:val="20"/>
          <w:szCs w:val="20"/>
        </w:rPr>
        <w:t>pigem vähene</w:t>
      </w:r>
      <w:r w:rsidR="5A1F0165" w:rsidRPr="1C92C443">
        <w:rPr>
          <w:sz w:val="20"/>
          <w:szCs w:val="20"/>
        </w:rPr>
        <w:t>.</w:t>
      </w:r>
    </w:p>
    <w:p w14:paraId="3B2BF3D8" w14:textId="3DAA5451" w:rsidR="00665F49" w:rsidRPr="00E14EBC" w:rsidRDefault="00A1622E" w:rsidP="00D6134C">
      <w:pPr>
        <w:spacing w:before="60" w:after="60" w:line="240" w:lineRule="auto"/>
        <w:jc w:val="both"/>
        <w:rPr>
          <w:sz w:val="20"/>
          <w:szCs w:val="20"/>
        </w:rPr>
      </w:pPr>
      <w:r w:rsidRPr="00E14EBC">
        <w:rPr>
          <w:sz w:val="20"/>
          <w:szCs w:val="20"/>
        </w:rPr>
        <w:t xml:space="preserve">**Mõju ulatus oleneb oluliselt linnast ja linnapiirkonnast, kus lühiajaliselt elamispindu pakutakse. </w:t>
      </w:r>
      <w:r w:rsidR="00665F49" w:rsidRPr="00E14EBC">
        <w:rPr>
          <w:sz w:val="20"/>
          <w:szCs w:val="20"/>
        </w:rPr>
        <w:t xml:space="preserve">Näiteks võib mõju olla tuntavam Amsterdami kesklinnas, kuid see on üksikjuhtum – analüüsitud riikide puhul on mõju ulatus riiklikul tasandil üldjuhul </w:t>
      </w:r>
      <w:r w:rsidR="006652D8">
        <w:rPr>
          <w:sz w:val="20"/>
          <w:szCs w:val="20"/>
        </w:rPr>
        <w:t>vähene</w:t>
      </w:r>
      <w:r w:rsidR="00665F49" w:rsidRPr="00E14EBC">
        <w:rPr>
          <w:sz w:val="20"/>
          <w:szCs w:val="20"/>
        </w:rPr>
        <w:t>.</w:t>
      </w:r>
    </w:p>
    <w:p w14:paraId="4F46A5AF" w14:textId="156192F1" w:rsidR="00A1622E" w:rsidRPr="00E14EBC" w:rsidRDefault="00A1622E" w:rsidP="00D6134C">
      <w:pPr>
        <w:spacing w:before="60" w:after="60" w:line="240" w:lineRule="auto"/>
        <w:jc w:val="both"/>
        <w:rPr>
          <w:sz w:val="20"/>
          <w:szCs w:val="20"/>
        </w:rPr>
      </w:pPr>
      <w:r w:rsidRPr="00E14EBC">
        <w:rPr>
          <w:sz w:val="20"/>
          <w:szCs w:val="20"/>
        </w:rPr>
        <w:t xml:space="preserve">***Mõju ulatus oleneb oluliselt linnast ja linnapiirkonnast, kus lühiajaliselt elamispindu pakutakse. Mõnes üksikus piirkonnas võib see mõju olla tuntavam, näiteks Berliinis, kuid </w:t>
      </w:r>
      <w:r w:rsidR="004C0C77" w:rsidRPr="00E14EBC">
        <w:rPr>
          <w:sz w:val="20"/>
          <w:szCs w:val="20"/>
        </w:rPr>
        <w:t xml:space="preserve">see on üksikjuhtum – analüüsitud riikide puhul on mõju ulatus </w:t>
      </w:r>
      <w:r w:rsidR="00F27035">
        <w:rPr>
          <w:sz w:val="20"/>
          <w:szCs w:val="20"/>
        </w:rPr>
        <w:t>riigi</w:t>
      </w:r>
      <w:r w:rsidRPr="00E14EBC">
        <w:rPr>
          <w:sz w:val="20"/>
          <w:szCs w:val="20"/>
        </w:rPr>
        <w:t xml:space="preserve"> tasandil </w:t>
      </w:r>
      <w:r w:rsidR="00F27035">
        <w:rPr>
          <w:sz w:val="20"/>
          <w:szCs w:val="20"/>
        </w:rPr>
        <w:t xml:space="preserve">tervikuna </w:t>
      </w:r>
      <w:r w:rsidR="004C0C77" w:rsidRPr="00E14EBC">
        <w:rPr>
          <w:sz w:val="20"/>
          <w:szCs w:val="20"/>
        </w:rPr>
        <w:t xml:space="preserve">üldjuhul </w:t>
      </w:r>
      <w:r w:rsidR="008248BB">
        <w:rPr>
          <w:sz w:val="20"/>
          <w:szCs w:val="20"/>
        </w:rPr>
        <w:t>vähene</w:t>
      </w:r>
      <w:r w:rsidRPr="00E14EBC">
        <w:rPr>
          <w:sz w:val="20"/>
          <w:szCs w:val="20"/>
        </w:rPr>
        <w:t>.</w:t>
      </w:r>
    </w:p>
    <w:p w14:paraId="0150BDB4" w14:textId="7FAC9D0B" w:rsidR="00A1622E" w:rsidRPr="00E14EBC" w:rsidRDefault="00A1622E" w:rsidP="00D6134C">
      <w:pPr>
        <w:spacing w:before="60" w:after="60" w:line="240" w:lineRule="auto"/>
        <w:jc w:val="both"/>
        <w:rPr>
          <w:sz w:val="20"/>
          <w:szCs w:val="20"/>
        </w:rPr>
      </w:pPr>
      <w:r w:rsidRPr="00E14EBC">
        <w:rPr>
          <w:sz w:val="20"/>
          <w:szCs w:val="20"/>
        </w:rPr>
        <w:t xml:space="preserve">****Mõju </w:t>
      </w:r>
      <w:r w:rsidR="004C0C77" w:rsidRPr="00E14EBC">
        <w:rPr>
          <w:sz w:val="20"/>
          <w:szCs w:val="20"/>
        </w:rPr>
        <w:t>analüüsitud riikides</w:t>
      </w:r>
      <w:r w:rsidRPr="00E14EBC">
        <w:rPr>
          <w:sz w:val="20"/>
          <w:szCs w:val="20"/>
        </w:rPr>
        <w:t xml:space="preserve"> </w:t>
      </w:r>
      <w:r w:rsidR="0096179B">
        <w:rPr>
          <w:sz w:val="20"/>
          <w:szCs w:val="20"/>
        </w:rPr>
        <w:t>vähene</w:t>
      </w:r>
      <w:r w:rsidRPr="00E14EBC">
        <w:rPr>
          <w:sz w:val="20"/>
          <w:szCs w:val="20"/>
        </w:rPr>
        <w:t>.</w:t>
      </w:r>
    </w:p>
    <w:p w14:paraId="11275D39" w14:textId="77777777" w:rsidR="006A5E1B" w:rsidRPr="00E14EBC" w:rsidRDefault="006A5E1B" w:rsidP="00E06D31"/>
    <w:p w14:paraId="55E08539" w14:textId="20320223" w:rsidR="006A5E1B" w:rsidRPr="00E14EBC" w:rsidRDefault="00EA495A" w:rsidP="00104145">
      <w:pPr>
        <w:pStyle w:val="Heading2"/>
        <w:numPr>
          <w:ilvl w:val="0"/>
          <w:numId w:val="0"/>
        </w:numPr>
        <w:rPr>
          <w:rFonts w:hint="eastAsia"/>
        </w:rPr>
      </w:pPr>
      <w:bookmarkStart w:id="222" w:name="_Toc197718094"/>
      <w:bookmarkStart w:id="223" w:name="_Toc208991648"/>
      <w:r w:rsidRPr="00E14EBC">
        <w:lastRenderedPageBreak/>
        <w:t xml:space="preserve">Lisa </w:t>
      </w:r>
      <w:r w:rsidR="0009552C" w:rsidRPr="00E14EBC">
        <w:t>4</w:t>
      </w:r>
      <w:r w:rsidR="004174D1" w:rsidRPr="00E14EBC">
        <w:t>.</w:t>
      </w:r>
      <w:r w:rsidR="000211AB">
        <w:t xml:space="preserve"> </w:t>
      </w:r>
      <w:r w:rsidR="004174D1" w:rsidRPr="00E14EBC">
        <w:t xml:space="preserve">Kokkuvõte Eesti turuosaliste poolt intervjuudes välja toodud </w:t>
      </w:r>
      <w:r w:rsidR="002A177C" w:rsidRPr="00E14EBC">
        <w:t>lühiajalise üüri turu mõjud</w:t>
      </w:r>
      <w:bookmarkEnd w:id="222"/>
      <w:bookmarkEnd w:id="223"/>
    </w:p>
    <w:p w14:paraId="38BDED03" w14:textId="15DB14EF" w:rsidR="00BA4514" w:rsidRPr="00E14EBC" w:rsidRDefault="001A07C6" w:rsidP="00403895">
      <w:r w:rsidRPr="00E14EBC">
        <w:t xml:space="preserve">Alljärgnevas tabelis on </w:t>
      </w:r>
      <w:r w:rsidR="00DB76CD" w:rsidRPr="00E14EBC">
        <w:t xml:space="preserve">esitatud </w:t>
      </w:r>
      <w:r w:rsidR="002C0F16" w:rsidRPr="00E14EBC">
        <w:t>kokkuvõt</w:t>
      </w:r>
      <w:r w:rsidR="00B412A6" w:rsidRPr="00E14EBC">
        <w:t>e</w:t>
      </w:r>
      <w:r w:rsidR="009546A8" w:rsidRPr="00E14EBC">
        <w:t xml:space="preserve"> Eesti turuosalisega seotud</w:t>
      </w:r>
      <w:r w:rsidR="002C0F16" w:rsidRPr="00E14EBC">
        <w:t xml:space="preserve"> </w:t>
      </w:r>
      <w:r w:rsidR="000B5153" w:rsidRPr="00E14EBC">
        <w:t xml:space="preserve">intervjuudes </w:t>
      </w:r>
      <w:r w:rsidR="007208D0" w:rsidRPr="00E14EBC">
        <w:t xml:space="preserve">välja toodud </w:t>
      </w:r>
      <w:r w:rsidR="002C0F16" w:rsidRPr="00E14EBC">
        <w:t>lühiajalise üüri teenustega seotud mõjud</w:t>
      </w:r>
      <w:r w:rsidR="00B412A6" w:rsidRPr="00E14EBC">
        <w:t>est</w:t>
      </w:r>
      <w:r w:rsidR="00E145EA" w:rsidRPr="00E14EBC">
        <w:t>.</w:t>
      </w:r>
    </w:p>
    <w:p w14:paraId="51589108" w14:textId="77777777" w:rsidR="00D6134C" w:rsidRPr="00E14EBC" w:rsidRDefault="00D6134C" w:rsidP="00D6134C"/>
    <w:tbl>
      <w:tblPr>
        <w:tblStyle w:val="CivittaGreyTable"/>
        <w:tblW w:w="13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950"/>
        <w:gridCol w:w="1782"/>
        <w:gridCol w:w="18"/>
        <w:gridCol w:w="1764"/>
        <w:gridCol w:w="36"/>
        <w:gridCol w:w="1710"/>
        <w:gridCol w:w="36"/>
        <w:gridCol w:w="1764"/>
        <w:gridCol w:w="18"/>
        <w:gridCol w:w="1782"/>
      </w:tblGrid>
      <w:tr w:rsidR="00254ED6" w:rsidRPr="00E14EBC" w14:paraId="3B6B31DB" w14:textId="77777777" w:rsidTr="002D7613">
        <w:trPr>
          <w:cnfStyle w:val="100000000000" w:firstRow="1" w:lastRow="0" w:firstColumn="0" w:lastColumn="0" w:oddVBand="0" w:evenVBand="0" w:oddHBand="0" w:evenHBand="0" w:firstRowFirstColumn="0" w:firstRowLastColumn="0" w:lastRowFirstColumn="0" w:lastRowLastColumn="0"/>
          <w:trHeight w:val="2225"/>
          <w:tblHeader/>
        </w:trPr>
        <w:tc>
          <w:tcPr>
            <w:cnfStyle w:val="001000000000" w:firstRow="0" w:lastRow="0" w:firstColumn="1" w:lastColumn="0" w:oddVBand="0" w:evenVBand="0" w:oddHBand="0" w:evenHBand="0" w:firstRowFirstColumn="0" w:firstRowLastColumn="0" w:lastRowFirstColumn="0" w:lastRowLastColumn="0"/>
            <w:tcW w:w="4950" w:type="dxa"/>
            <w:tcBorders>
              <w:top w:val="single" w:sz="4" w:space="0" w:color="FEFEFE" w:themeColor="background2"/>
              <w:left w:val="single" w:sz="4" w:space="0" w:color="FEFEFE" w:themeColor="background2"/>
              <w:bottom w:val="single" w:sz="4" w:space="0" w:color="FEFEFE" w:themeColor="background2"/>
              <w:right w:val="single" w:sz="4" w:space="0" w:color="FEFEFE" w:themeColor="background2"/>
            </w:tcBorders>
          </w:tcPr>
          <w:p w14:paraId="11AFE27F" w14:textId="7F5F7F7D" w:rsidR="002F57A6" w:rsidRPr="00B721FA" w:rsidRDefault="4BC4318C" w:rsidP="00A747FB">
            <w:pPr>
              <w:spacing w:before="0"/>
              <w:rPr>
                <w:b w:val="0"/>
                <w:bCs w:val="0"/>
              </w:rPr>
            </w:pPr>
            <w:r w:rsidRPr="00B721FA">
              <w:rPr>
                <w:b w:val="0"/>
                <w:bCs w:val="0"/>
              </w:rPr>
              <w:t>Intervjuudes v</w:t>
            </w:r>
            <w:r w:rsidR="136A31FB" w:rsidRPr="00B721FA">
              <w:rPr>
                <w:b w:val="0"/>
                <w:bCs w:val="0"/>
              </w:rPr>
              <w:t xml:space="preserve">älja toodud mõjud mõjuliikude ja </w:t>
            </w:r>
            <w:r w:rsidR="75CF21A4" w:rsidRPr="00B721FA">
              <w:rPr>
                <w:b w:val="0"/>
                <w:bCs w:val="0"/>
              </w:rPr>
              <w:t xml:space="preserve">turuosaliste </w:t>
            </w:r>
            <w:r w:rsidR="1AD69F4E" w:rsidRPr="00B721FA">
              <w:rPr>
                <w:b w:val="0"/>
                <w:bCs w:val="0"/>
              </w:rPr>
              <w:t xml:space="preserve">gruppide </w:t>
            </w:r>
            <w:r w:rsidR="75CF21A4" w:rsidRPr="00B721FA">
              <w:rPr>
                <w:b w:val="0"/>
                <w:bCs w:val="0"/>
              </w:rPr>
              <w:t>kaupa</w:t>
            </w:r>
          </w:p>
        </w:tc>
        <w:tc>
          <w:tcPr>
            <w:tcW w:w="1782" w:type="dxa"/>
            <w:tcBorders>
              <w:top w:val="single" w:sz="4" w:space="0" w:color="FEFEFE" w:themeColor="background2"/>
              <w:left w:val="single" w:sz="4" w:space="0" w:color="FEFEFE" w:themeColor="background2"/>
              <w:bottom w:val="single" w:sz="4" w:space="0" w:color="FEFEFE" w:themeColor="background2"/>
              <w:right w:val="single" w:sz="4" w:space="0" w:color="FEFEFE" w:themeColor="background2"/>
            </w:tcBorders>
            <w:textDirection w:val="btLr"/>
            <w:vAlign w:val="center"/>
          </w:tcPr>
          <w:p w14:paraId="2390D6D0" w14:textId="77777777" w:rsidR="002F57A6" w:rsidRPr="00E14EBC" w:rsidRDefault="002F57A6" w:rsidP="00A747FB">
            <w:pPr>
              <w:spacing w:before="0" w:line="240" w:lineRule="auto"/>
              <w:ind w:left="113" w:right="113"/>
              <w:cnfStyle w:val="100000000000" w:firstRow="1" w:lastRow="0" w:firstColumn="0" w:lastColumn="0" w:oddVBand="0" w:evenVBand="0" w:oddHBand="0" w:evenHBand="0" w:firstRowFirstColumn="0" w:firstRowLastColumn="0" w:lastRowFirstColumn="0" w:lastRowLastColumn="0"/>
              <w:rPr>
                <w:b w:val="0"/>
                <w:sz w:val="22"/>
              </w:rPr>
            </w:pPr>
            <w:r w:rsidRPr="00E14EBC">
              <w:rPr>
                <w:b w:val="0"/>
                <w:sz w:val="22"/>
              </w:rPr>
              <w:t>Kohalikud omavalitsused ja nendega seotud osapooled</w:t>
            </w:r>
          </w:p>
        </w:tc>
        <w:tc>
          <w:tcPr>
            <w:tcW w:w="1782" w:type="dxa"/>
            <w:gridSpan w:val="2"/>
            <w:tcBorders>
              <w:top w:val="single" w:sz="4" w:space="0" w:color="FEFEFE" w:themeColor="background2"/>
              <w:left w:val="single" w:sz="4" w:space="0" w:color="FEFEFE" w:themeColor="background2"/>
              <w:bottom w:val="single" w:sz="4" w:space="0" w:color="FEFEFE" w:themeColor="background2"/>
              <w:right w:val="single" w:sz="4" w:space="0" w:color="FEFEFE" w:themeColor="background2"/>
            </w:tcBorders>
            <w:textDirection w:val="btLr"/>
            <w:vAlign w:val="center"/>
          </w:tcPr>
          <w:p w14:paraId="068DB7A4" w14:textId="77777777" w:rsidR="002F57A6" w:rsidRPr="00E14EBC" w:rsidRDefault="002F57A6" w:rsidP="00A747FB">
            <w:pPr>
              <w:spacing w:before="0" w:line="240" w:lineRule="auto"/>
              <w:ind w:left="113" w:right="113"/>
              <w:cnfStyle w:val="100000000000" w:firstRow="1" w:lastRow="0" w:firstColumn="0" w:lastColumn="0" w:oddVBand="0" w:evenVBand="0" w:oddHBand="0" w:evenHBand="0" w:firstRowFirstColumn="0" w:firstRowLastColumn="0" w:lastRowFirstColumn="0" w:lastRowLastColumn="0"/>
              <w:rPr>
                <w:b w:val="0"/>
                <w:sz w:val="22"/>
              </w:rPr>
            </w:pPr>
            <w:r w:rsidRPr="00E14EBC">
              <w:rPr>
                <w:b w:val="0"/>
                <w:sz w:val="22"/>
              </w:rPr>
              <w:t>Lühiajalise üüri teenuse ja majutus-teenuse pakkumine</w:t>
            </w:r>
          </w:p>
        </w:tc>
        <w:tc>
          <w:tcPr>
            <w:tcW w:w="1782" w:type="dxa"/>
            <w:gridSpan w:val="3"/>
            <w:tcBorders>
              <w:top w:val="single" w:sz="4" w:space="0" w:color="FEFEFE" w:themeColor="background2"/>
              <w:left w:val="single" w:sz="4" w:space="0" w:color="FEFEFE" w:themeColor="background2"/>
              <w:bottom w:val="single" w:sz="4" w:space="0" w:color="FEFEFE" w:themeColor="background2"/>
              <w:right w:val="single" w:sz="4" w:space="0" w:color="FEFEFE" w:themeColor="background2"/>
            </w:tcBorders>
            <w:textDirection w:val="btLr"/>
            <w:vAlign w:val="center"/>
          </w:tcPr>
          <w:p w14:paraId="05CACC66" w14:textId="314C3A09" w:rsidR="002F57A6" w:rsidRPr="00E14EBC" w:rsidRDefault="002F57A6" w:rsidP="00A747FB">
            <w:pPr>
              <w:spacing w:before="0" w:line="240" w:lineRule="auto"/>
              <w:ind w:left="113"/>
              <w:cnfStyle w:val="100000000000" w:firstRow="1" w:lastRow="0" w:firstColumn="0" w:lastColumn="0" w:oddVBand="0" w:evenVBand="0" w:oddHBand="0" w:evenHBand="0" w:firstRowFirstColumn="0" w:firstRowLastColumn="0" w:lastRowFirstColumn="0" w:lastRowLastColumn="0"/>
              <w:rPr>
                <w:b w:val="0"/>
                <w:sz w:val="22"/>
              </w:rPr>
            </w:pPr>
            <w:r w:rsidRPr="00E14EBC">
              <w:rPr>
                <w:b w:val="0"/>
                <w:sz w:val="22"/>
              </w:rPr>
              <w:t xml:space="preserve">Eluaseme ja kinnisvara omamine ning arendamine </w:t>
            </w:r>
            <w:r w:rsidR="00ED05F4">
              <w:rPr>
                <w:b w:val="0"/>
                <w:sz w:val="22"/>
              </w:rPr>
              <w:t xml:space="preserve">  </w:t>
            </w:r>
            <w:r w:rsidRPr="00E14EBC">
              <w:rPr>
                <w:b w:val="0"/>
                <w:sz w:val="22"/>
              </w:rPr>
              <w:t>(sh elamupoliitika kujundamine)</w:t>
            </w:r>
          </w:p>
        </w:tc>
        <w:tc>
          <w:tcPr>
            <w:tcW w:w="1782" w:type="dxa"/>
            <w:gridSpan w:val="2"/>
            <w:tcBorders>
              <w:top w:val="single" w:sz="4" w:space="0" w:color="FEFEFE" w:themeColor="background2"/>
              <w:left w:val="single" w:sz="4" w:space="0" w:color="FEFEFE" w:themeColor="background2"/>
              <w:bottom w:val="single" w:sz="4" w:space="0" w:color="FEFEFE" w:themeColor="background2"/>
              <w:right w:val="single" w:sz="4" w:space="0" w:color="FEFEFE" w:themeColor="background2"/>
            </w:tcBorders>
            <w:textDirection w:val="btLr"/>
            <w:vAlign w:val="center"/>
          </w:tcPr>
          <w:p w14:paraId="501012E9" w14:textId="77777777" w:rsidR="002F57A6" w:rsidRPr="00E14EBC" w:rsidRDefault="002F57A6" w:rsidP="00A747FB">
            <w:pPr>
              <w:spacing w:before="0" w:line="240" w:lineRule="auto"/>
              <w:ind w:left="113"/>
              <w:cnfStyle w:val="100000000000" w:firstRow="1" w:lastRow="0" w:firstColumn="0" w:lastColumn="0" w:oddVBand="0" w:evenVBand="0" w:oddHBand="0" w:evenHBand="0" w:firstRowFirstColumn="0" w:firstRowLastColumn="0" w:lastRowFirstColumn="0" w:lastRowLastColumn="0"/>
              <w:rPr>
                <w:b w:val="0"/>
                <w:sz w:val="22"/>
              </w:rPr>
            </w:pPr>
            <w:r w:rsidRPr="00E14EBC">
              <w:rPr>
                <w:b w:val="0"/>
                <w:sz w:val="22"/>
              </w:rPr>
              <w:t>Turismivaldkonna arendamine</w:t>
            </w:r>
          </w:p>
        </w:tc>
        <w:tc>
          <w:tcPr>
            <w:tcW w:w="1782" w:type="dxa"/>
            <w:tcBorders>
              <w:top w:val="single" w:sz="4" w:space="0" w:color="FEFEFE" w:themeColor="background2"/>
              <w:left w:val="single" w:sz="4" w:space="0" w:color="FEFEFE" w:themeColor="background2"/>
              <w:bottom w:val="single" w:sz="4" w:space="0" w:color="FEFEFE" w:themeColor="background2"/>
              <w:right w:val="single" w:sz="4" w:space="0" w:color="FEFEFE" w:themeColor="background2"/>
            </w:tcBorders>
            <w:textDirection w:val="btLr"/>
            <w:vAlign w:val="center"/>
          </w:tcPr>
          <w:p w14:paraId="13B254C8" w14:textId="77777777" w:rsidR="002F57A6" w:rsidRPr="00E14EBC" w:rsidRDefault="002F57A6" w:rsidP="00A747FB">
            <w:pPr>
              <w:spacing w:before="0" w:line="240" w:lineRule="auto"/>
              <w:ind w:left="113"/>
              <w:cnfStyle w:val="100000000000" w:firstRow="1" w:lastRow="0" w:firstColumn="0" w:lastColumn="0" w:oddVBand="0" w:evenVBand="0" w:oddHBand="0" w:evenHBand="0" w:firstRowFirstColumn="0" w:firstRowLastColumn="0" w:lastRowFirstColumn="0" w:lastRowLastColumn="0"/>
              <w:rPr>
                <w:b w:val="0"/>
                <w:sz w:val="22"/>
              </w:rPr>
            </w:pPr>
            <w:r w:rsidRPr="00E14EBC">
              <w:rPr>
                <w:b w:val="0"/>
                <w:sz w:val="22"/>
              </w:rPr>
              <w:t>Järelevalve teostamine</w:t>
            </w:r>
          </w:p>
        </w:tc>
      </w:tr>
      <w:tr w:rsidR="00536E33" w:rsidRPr="00E14EBC" w14:paraId="1B37F50F" w14:textId="77777777" w:rsidTr="000505B6">
        <w:tc>
          <w:tcPr>
            <w:cnfStyle w:val="001000000000" w:firstRow="0" w:lastRow="0" w:firstColumn="1" w:lastColumn="0" w:oddVBand="0" w:evenVBand="0" w:oddHBand="0" w:evenHBand="0" w:firstRowFirstColumn="0" w:firstRowLastColumn="0" w:lastRowFirstColumn="0" w:lastRowLastColumn="0"/>
            <w:tcW w:w="13860" w:type="dxa"/>
            <w:gridSpan w:val="10"/>
            <w:tcBorders>
              <w:top w:val="single" w:sz="4" w:space="0" w:color="FEFEFE" w:themeColor="background2"/>
            </w:tcBorders>
            <w:shd w:val="clear" w:color="auto" w:fill="ACAEAC" w:themeFill="accent2"/>
          </w:tcPr>
          <w:p w14:paraId="1A64770D" w14:textId="77777777" w:rsidR="002F57A6" w:rsidRPr="00E14EBC" w:rsidRDefault="002F57A6" w:rsidP="00A747FB">
            <w:pPr>
              <w:rPr>
                <w:sz w:val="22"/>
              </w:rPr>
            </w:pPr>
            <w:r w:rsidRPr="00E14EBC">
              <w:rPr>
                <w:sz w:val="22"/>
              </w:rPr>
              <w:t>Positiivsed mõjud</w:t>
            </w:r>
          </w:p>
        </w:tc>
      </w:tr>
      <w:tr w:rsidR="0022722C" w:rsidRPr="00E14EBC" w14:paraId="2392B6C0" w14:textId="77777777" w:rsidTr="00BC78B9">
        <w:trPr>
          <w:trHeight w:val="470"/>
        </w:trPr>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4CC0F0ED"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Soodustab piirkondlikku turismi</w:t>
            </w:r>
          </w:p>
        </w:tc>
        <w:tc>
          <w:tcPr>
            <w:tcW w:w="1800" w:type="dxa"/>
            <w:gridSpan w:val="2"/>
            <w:shd w:val="clear" w:color="auto" w:fill="FEFEFE" w:themeFill="background1"/>
            <w:vAlign w:val="center"/>
          </w:tcPr>
          <w:p w14:paraId="20E7A1F2" w14:textId="6E37A761"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r>
              <w:rPr>
                <w:sz w:val="20"/>
                <w:szCs w:val="20"/>
              </w:rPr>
              <w:t>X</w:t>
            </w:r>
          </w:p>
        </w:tc>
        <w:tc>
          <w:tcPr>
            <w:tcW w:w="1800" w:type="dxa"/>
            <w:gridSpan w:val="2"/>
            <w:shd w:val="clear" w:color="auto" w:fill="FEFEFE" w:themeFill="background1"/>
            <w:vAlign w:val="center"/>
          </w:tcPr>
          <w:p w14:paraId="0EFE276E" w14:textId="561A2F26"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r>
              <w:rPr>
                <w:sz w:val="20"/>
                <w:szCs w:val="20"/>
              </w:rPr>
              <w:t>X</w:t>
            </w:r>
          </w:p>
        </w:tc>
        <w:tc>
          <w:tcPr>
            <w:tcW w:w="1710" w:type="dxa"/>
            <w:shd w:val="clear" w:color="auto" w:fill="FEFEFE" w:themeFill="background1"/>
            <w:vAlign w:val="center"/>
          </w:tcPr>
          <w:p w14:paraId="4BBE6436" w14:textId="5B1C8316"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vAlign w:val="center"/>
          </w:tcPr>
          <w:p w14:paraId="33153C90"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800" w:type="dxa"/>
            <w:gridSpan w:val="2"/>
            <w:shd w:val="clear" w:color="auto" w:fill="FEFEFE" w:themeFill="background1"/>
            <w:vAlign w:val="center"/>
          </w:tcPr>
          <w:p w14:paraId="50C13462" w14:textId="6FDDBA48"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22722C" w:rsidRPr="00E14EBC" w14:paraId="6611BD3A"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4E79B220"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Muudab majutust kättesaadavamaks või paindlikumaks (kliendi vaates)</w:t>
            </w:r>
          </w:p>
        </w:tc>
        <w:tc>
          <w:tcPr>
            <w:tcW w:w="1800" w:type="dxa"/>
            <w:gridSpan w:val="2"/>
            <w:shd w:val="clear" w:color="auto" w:fill="FEFEFE" w:themeFill="background1"/>
            <w:vAlign w:val="center"/>
          </w:tcPr>
          <w:p w14:paraId="2DB34F51" w14:textId="06983958"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r>
              <w:rPr>
                <w:sz w:val="20"/>
                <w:szCs w:val="20"/>
              </w:rPr>
              <w:t>X</w:t>
            </w:r>
          </w:p>
        </w:tc>
        <w:tc>
          <w:tcPr>
            <w:tcW w:w="1800" w:type="dxa"/>
            <w:gridSpan w:val="2"/>
            <w:shd w:val="clear" w:color="auto" w:fill="FEFEFE" w:themeFill="background1"/>
            <w:vAlign w:val="center"/>
          </w:tcPr>
          <w:p w14:paraId="5D3F2084" w14:textId="335CD9B3"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r>
              <w:rPr>
                <w:sz w:val="20"/>
                <w:szCs w:val="20"/>
              </w:rPr>
              <w:t>X</w:t>
            </w:r>
          </w:p>
        </w:tc>
        <w:tc>
          <w:tcPr>
            <w:tcW w:w="1710" w:type="dxa"/>
            <w:shd w:val="clear" w:color="auto" w:fill="FEFEFE" w:themeFill="background1"/>
            <w:vAlign w:val="center"/>
          </w:tcPr>
          <w:p w14:paraId="03CD645D" w14:textId="336EA9EE"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vAlign w:val="center"/>
          </w:tcPr>
          <w:p w14:paraId="238C1153"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800" w:type="dxa"/>
            <w:gridSpan w:val="2"/>
            <w:shd w:val="clear" w:color="auto" w:fill="FEFEFE" w:themeFill="background1"/>
            <w:vAlign w:val="center"/>
          </w:tcPr>
          <w:p w14:paraId="4F815AD1"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r>
      <w:tr w:rsidR="0022722C" w:rsidRPr="00E14EBC" w14:paraId="41D0C55E"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126A5353"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Soodustab alakasutatud kinnisvara kasutusele võttu (muudab sellises kinnisvaras elamist soodsamaks)</w:t>
            </w:r>
          </w:p>
        </w:tc>
        <w:tc>
          <w:tcPr>
            <w:tcW w:w="1800" w:type="dxa"/>
            <w:gridSpan w:val="2"/>
            <w:shd w:val="clear" w:color="auto" w:fill="FEFEFE" w:themeFill="background1"/>
            <w:vAlign w:val="center"/>
          </w:tcPr>
          <w:p w14:paraId="140B6156" w14:textId="4830DE62"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vAlign w:val="center"/>
          </w:tcPr>
          <w:p w14:paraId="02B96630" w14:textId="1137342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710" w:type="dxa"/>
            <w:shd w:val="clear" w:color="auto" w:fill="FEFEFE" w:themeFill="background1"/>
            <w:vAlign w:val="center"/>
          </w:tcPr>
          <w:p w14:paraId="021578B7"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800" w:type="dxa"/>
            <w:gridSpan w:val="2"/>
            <w:shd w:val="clear" w:color="auto" w:fill="FEFEFE" w:themeFill="background1"/>
            <w:vAlign w:val="center"/>
          </w:tcPr>
          <w:p w14:paraId="6F651F9C"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800" w:type="dxa"/>
            <w:gridSpan w:val="2"/>
            <w:shd w:val="clear" w:color="auto" w:fill="FEFEFE" w:themeFill="background1"/>
            <w:vAlign w:val="center"/>
          </w:tcPr>
          <w:p w14:paraId="157A9BDA" w14:textId="40A20876"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22722C" w:rsidRPr="00E14EBC" w14:paraId="5D1AF673"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5CB11B7F"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Paindlik teenuse osutamise vorm pakkujale</w:t>
            </w:r>
          </w:p>
        </w:tc>
        <w:tc>
          <w:tcPr>
            <w:tcW w:w="1800" w:type="dxa"/>
            <w:gridSpan w:val="2"/>
            <w:shd w:val="clear" w:color="auto" w:fill="FEFEFE" w:themeFill="background1"/>
            <w:vAlign w:val="center"/>
          </w:tcPr>
          <w:p w14:paraId="1178CA01" w14:textId="232B7E6C"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vAlign w:val="center"/>
          </w:tcPr>
          <w:p w14:paraId="5B6AA435"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710" w:type="dxa"/>
            <w:shd w:val="clear" w:color="auto" w:fill="FEFEFE" w:themeFill="background1"/>
            <w:vAlign w:val="center"/>
          </w:tcPr>
          <w:p w14:paraId="656C6EF1" w14:textId="67303DF9"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vAlign w:val="center"/>
          </w:tcPr>
          <w:p w14:paraId="038014A4" w14:textId="2AECFCDF"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vAlign w:val="center"/>
          </w:tcPr>
          <w:p w14:paraId="63A480DD"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r>
      <w:tr w:rsidR="0022722C" w:rsidRPr="00E14EBC" w14:paraId="791B7A6F"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60EA0CF1"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Täiendav ettevõtluse vorm (tuluallikas riigile)</w:t>
            </w:r>
          </w:p>
        </w:tc>
        <w:tc>
          <w:tcPr>
            <w:tcW w:w="1800" w:type="dxa"/>
            <w:gridSpan w:val="2"/>
            <w:shd w:val="clear" w:color="auto" w:fill="FEFEFE" w:themeFill="background1"/>
            <w:vAlign w:val="center"/>
          </w:tcPr>
          <w:p w14:paraId="0DFF6DB1"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800" w:type="dxa"/>
            <w:gridSpan w:val="2"/>
            <w:shd w:val="clear" w:color="auto" w:fill="FEFEFE" w:themeFill="background1"/>
            <w:vAlign w:val="center"/>
          </w:tcPr>
          <w:p w14:paraId="065DF3BA"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710" w:type="dxa"/>
            <w:shd w:val="clear" w:color="auto" w:fill="FEFEFE" w:themeFill="background1"/>
            <w:vAlign w:val="center"/>
          </w:tcPr>
          <w:p w14:paraId="2A2754BF" w14:textId="70C0E14C"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vAlign w:val="center"/>
          </w:tcPr>
          <w:p w14:paraId="6B1BF89E" w14:textId="6E74B98B"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vAlign w:val="center"/>
          </w:tcPr>
          <w:p w14:paraId="2B1DA95B" w14:textId="5EB3AFC1"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r>
      <w:tr w:rsidR="0022722C" w:rsidRPr="00E14EBC" w14:paraId="0E37F601" w14:textId="77777777" w:rsidTr="00BC78B9">
        <w:trPr>
          <w:trHeight w:val="722"/>
        </w:trPr>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021F0DB9" w14:textId="0EF86679" w:rsidR="00A22D18" w:rsidRPr="002C2D81" w:rsidRDefault="002C2D81" w:rsidP="00A22D18">
            <w:pPr>
              <w:rPr>
                <w:rFonts w:cstheme="minorHAnsi"/>
                <w:b w:val="0"/>
                <w:bCs w:val="0"/>
                <w:color w:val="auto"/>
                <w:sz w:val="22"/>
              </w:rPr>
            </w:pPr>
            <w:r w:rsidRPr="002C2D81">
              <w:rPr>
                <w:rFonts w:cstheme="minorHAnsi"/>
                <w:b w:val="0"/>
                <w:bCs w:val="0"/>
                <w:color w:val="auto"/>
                <w:sz w:val="22"/>
              </w:rPr>
              <w:t>Piirkondlikku ettevõtluskeskkonda toetav ja majutuse turgu rikastav</w:t>
            </w:r>
          </w:p>
        </w:tc>
        <w:tc>
          <w:tcPr>
            <w:tcW w:w="1800" w:type="dxa"/>
            <w:gridSpan w:val="2"/>
            <w:shd w:val="clear" w:color="auto" w:fill="FEFEFE" w:themeFill="background1"/>
            <w:vAlign w:val="center"/>
          </w:tcPr>
          <w:p w14:paraId="7C5E2395" w14:textId="3A779510"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800" w:type="dxa"/>
            <w:gridSpan w:val="2"/>
            <w:shd w:val="clear" w:color="auto" w:fill="FEFEFE" w:themeFill="background1"/>
            <w:vAlign w:val="center"/>
          </w:tcPr>
          <w:p w14:paraId="3BCE4282" w14:textId="57FB71B2"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710" w:type="dxa"/>
            <w:shd w:val="clear" w:color="auto" w:fill="FEFEFE" w:themeFill="background1"/>
            <w:vAlign w:val="center"/>
          </w:tcPr>
          <w:p w14:paraId="3CC48917" w14:textId="6EA63C04"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r>
              <w:rPr>
                <w:sz w:val="20"/>
                <w:szCs w:val="20"/>
              </w:rPr>
              <w:t>X</w:t>
            </w:r>
          </w:p>
        </w:tc>
        <w:tc>
          <w:tcPr>
            <w:tcW w:w="1800" w:type="dxa"/>
            <w:gridSpan w:val="2"/>
            <w:shd w:val="clear" w:color="auto" w:fill="FEFEFE" w:themeFill="background1"/>
            <w:vAlign w:val="center"/>
          </w:tcPr>
          <w:p w14:paraId="5F219AD7"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800" w:type="dxa"/>
            <w:gridSpan w:val="2"/>
            <w:shd w:val="clear" w:color="auto" w:fill="FEFEFE" w:themeFill="background1"/>
            <w:vAlign w:val="center"/>
          </w:tcPr>
          <w:p w14:paraId="273E0080" w14:textId="343977E8"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536E33" w:rsidRPr="00E14EBC" w14:paraId="6B60C793" w14:textId="77777777" w:rsidTr="00A22D18">
        <w:trPr>
          <w:trHeight w:val="470"/>
        </w:trPr>
        <w:tc>
          <w:tcPr>
            <w:cnfStyle w:val="001000000000" w:firstRow="0" w:lastRow="0" w:firstColumn="1" w:lastColumn="0" w:oddVBand="0" w:evenVBand="0" w:oddHBand="0" w:evenHBand="0" w:firstRowFirstColumn="0" w:firstRowLastColumn="0" w:lastRowFirstColumn="0" w:lastRowLastColumn="0"/>
            <w:tcW w:w="13860" w:type="dxa"/>
            <w:gridSpan w:val="10"/>
            <w:shd w:val="clear" w:color="auto" w:fill="ACAEAC" w:themeFill="accent2"/>
          </w:tcPr>
          <w:p w14:paraId="3D2263F0" w14:textId="5B1C31A4" w:rsidR="0051490A" w:rsidRDefault="0051490A" w:rsidP="0051490A">
            <w:pPr>
              <w:rPr>
                <w:sz w:val="20"/>
                <w:szCs w:val="20"/>
              </w:rPr>
            </w:pPr>
            <w:r>
              <w:rPr>
                <w:sz w:val="22"/>
              </w:rPr>
              <w:lastRenderedPageBreak/>
              <w:t>Negatiivsed</w:t>
            </w:r>
            <w:r w:rsidR="00A22D18">
              <w:rPr>
                <w:sz w:val="22"/>
              </w:rPr>
              <w:t xml:space="preserve"> mõj</w:t>
            </w:r>
            <w:r w:rsidRPr="00E14EBC">
              <w:rPr>
                <w:sz w:val="22"/>
              </w:rPr>
              <w:t>ud</w:t>
            </w:r>
          </w:p>
        </w:tc>
      </w:tr>
      <w:tr w:rsidR="00EE0065" w:rsidRPr="00E14EBC" w14:paraId="016C5A92"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2B1583C6"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Majutusteenuse osutamisest saadud (tegeliku) tulu deklareerimata jätmine või kulude optimeerimine (nt tööjõumaksude vältimiseks makstakse koristajale ümbrikupalka)</w:t>
            </w:r>
          </w:p>
        </w:tc>
        <w:tc>
          <w:tcPr>
            <w:tcW w:w="1800" w:type="dxa"/>
            <w:gridSpan w:val="2"/>
            <w:shd w:val="clear" w:color="auto" w:fill="FEFEFE" w:themeFill="background1"/>
          </w:tcPr>
          <w:p w14:paraId="736D1BCB" w14:textId="057BD60A"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800" w:type="dxa"/>
            <w:gridSpan w:val="2"/>
            <w:shd w:val="clear" w:color="auto" w:fill="FEFEFE" w:themeFill="background1"/>
          </w:tcPr>
          <w:p w14:paraId="1D4A80AF" w14:textId="0034C263"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r>
              <w:rPr>
                <w:sz w:val="20"/>
                <w:szCs w:val="20"/>
              </w:rPr>
              <w:t>X</w:t>
            </w:r>
          </w:p>
        </w:tc>
        <w:tc>
          <w:tcPr>
            <w:tcW w:w="1710" w:type="dxa"/>
            <w:shd w:val="clear" w:color="auto" w:fill="FEFEFE" w:themeFill="background1"/>
          </w:tcPr>
          <w:p w14:paraId="43812DCD" w14:textId="0311FF66"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65DECF78" w14:textId="33F2A975"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2FCA291A" w14:textId="7F5BBDAC"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EE0065" w:rsidRPr="00E14EBC" w14:paraId="6596D70E"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64FB8712"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Kinnisvara omanikud registreerivad oma elukoha teise omavalitsusse või jätavad teenitud üüritulu deklareerimata</w:t>
            </w:r>
          </w:p>
        </w:tc>
        <w:tc>
          <w:tcPr>
            <w:tcW w:w="1800" w:type="dxa"/>
            <w:gridSpan w:val="2"/>
            <w:shd w:val="clear" w:color="auto" w:fill="FEFEFE" w:themeFill="background1"/>
          </w:tcPr>
          <w:p w14:paraId="2079A4DE"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800" w:type="dxa"/>
            <w:gridSpan w:val="2"/>
            <w:shd w:val="clear" w:color="auto" w:fill="FEFEFE" w:themeFill="background1"/>
          </w:tcPr>
          <w:p w14:paraId="196C5D12" w14:textId="2D9D633E"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710" w:type="dxa"/>
            <w:shd w:val="clear" w:color="auto" w:fill="FEFEFE" w:themeFill="background1"/>
          </w:tcPr>
          <w:p w14:paraId="1436AABB" w14:textId="63650386"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14134519" w14:textId="3545285D"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424E7E50" w14:textId="392A34DA"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EE0065" w:rsidRPr="00E14EBC" w14:paraId="09F6234E"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2AC15B9E"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Fiktiivne majutusteenus kui võimalus küsida enda elukoha kuludelt käibemaks tagasi</w:t>
            </w:r>
          </w:p>
        </w:tc>
        <w:tc>
          <w:tcPr>
            <w:tcW w:w="1800" w:type="dxa"/>
            <w:gridSpan w:val="2"/>
            <w:shd w:val="clear" w:color="auto" w:fill="FEFEFE" w:themeFill="background1"/>
          </w:tcPr>
          <w:p w14:paraId="56E478F0" w14:textId="786E1DE4"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44BC5383" w14:textId="47D9A5CA"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710" w:type="dxa"/>
            <w:shd w:val="clear" w:color="auto" w:fill="FEFEFE" w:themeFill="background1"/>
          </w:tcPr>
          <w:p w14:paraId="3395A70F" w14:textId="03BA086F"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439C367A" w14:textId="26EB9D04"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5AE2BDD6" w14:textId="37F371F4"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EE0065" w:rsidRPr="00E14EBC" w14:paraId="3E901793"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32E99ACF"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Gentrifikatsiooni risk (sh surve üürihindadele ja pikaajaliste pindade kättesaadavusele)</w:t>
            </w:r>
          </w:p>
        </w:tc>
        <w:tc>
          <w:tcPr>
            <w:tcW w:w="1800" w:type="dxa"/>
            <w:gridSpan w:val="2"/>
            <w:shd w:val="clear" w:color="auto" w:fill="FEFEFE" w:themeFill="background1"/>
          </w:tcPr>
          <w:p w14:paraId="46E4BCBC" w14:textId="58B82582"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r>
              <w:rPr>
                <w:sz w:val="20"/>
                <w:szCs w:val="20"/>
              </w:rPr>
              <w:t>X</w:t>
            </w:r>
          </w:p>
        </w:tc>
        <w:tc>
          <w:tcPr>
            <w:tcW w:w="1800" w:type="dxa"/>
            <w:gridSpan w:val="2"/>
            <w:shd w:val="clear" w:color="auto" w:fill="FEFEFE" w:themeFill="background1"/>
          </w:tcPr>
          <w:p w14:paraId="416A39D9" w14:textId="1AC7DF9A"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710" w:type="dxa"/>
            <w:shd w:val="clear" w:color="auto" w:fill="FEFEFE" w:themeFill="background1"/>
          </w:tcPr>
          <w:p w14:paraId="033FFF9F" w14:textId="190A745F"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r>
              <w:rPr>
                <w:sz w:val="20"/>
                <w:szCs w:val="20"/>
              </w:rPr>
              <w:t>X</w:t>
            </w:r>
          </w:p>
        </w:tc>
        <w:tc>
          <w:tcPr>
            <w:tcW w:w="1800" w:type="dxa"/>
            <w:gridSpan w:val="2"/>
            <w:shd w:val="clear" w:color="auto" w:fill="FEFEFE" w:themeFill="background1"/>
          </w:tcPr>
          <w:p w14:paraId="709F5B11" w14:textId="78C3CDA4"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2C757F82" w14:textId="0AB5132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EE0065" w:rsidRPr="00E14EBC" w14:paraId="1C7300A4"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540F8AD3"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Mürahäiringud</w:t>
            </w:r>
          </w:p>
        </w:tc>
        <w:tc>
          <w:tcPr>
            <w:tcW w:w="1800" w:type="dxa"/>
            <w:gridSpan w:val="2"/>
            <w:shd w:val="clear" w:color="auto" w:fill="FEFEFE" w:themeFill="background1"/>
          </w:tcPr>
          <w:p w14:paraId="734DA7FA" w14:textId="19E3D5B8"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r>
              <w:rPr>
                <w:sz w:val="20"/>
                <w:szCs w:val="20"/>
              </w:rPr>
              <w:t>X</w:t>
            </w:r>
          </w:p>
        </w:tc>
        <w:tc>
          <w:tcPr>
            <w:tcW w:w="1800" w:type="dxa"/>
            <w:gridSpan w:val="2"/>
            <w:shd w:val="clear" w:color="auto" w:fill="FEFEFE" w:themeFill="background1"/>
          </w:tcPr>
          <w:p w14:paraId="46EBD44D" w14:textId="78067019"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710" w:type="dxa"/>
            <w:shd w:val="clear" w:color="auto" w:fill="FEFEFE" w:themeFill="background1"/>
          </w:tcPr>
          <w:p w14:paraId="07D1EEF7"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800" w:type="dxa"/>
            <w:gridSpan w:val="2"/>
            <w:shd w:val="clear" w:color="auto" w:fill="FEFEFE" w:themeFill="background1"/>
          </w:tcPr>
          <w:p w14:paraId="0D65781F" w14:textId="2EBE1EDB"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08BE0054" w14:textId="33059F6F"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EE0065" w:rsidRPr="00E14EBC" w14:paraId="7D5164FA"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4013C09F"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Turvalisuserisk (oht varale)</w:t>
            </w:r>
          </w:p>
        </w:tc>
        <w:tc>
          <w:tcPr>
            <w:tcW w:w="1800" w:type="dxa"/>
            <w:gridSpan w:val="2"/>
            <w:shd w:val="clear" w:color="auto" w:fill="FEFEFE" w:themeFill="background1"/>
          </w:tcPr>
          <w:p w14:paraId="50D16668" w14:textId="0A425DE9"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r>
              <w:rPr>
                <w:sz w:val="20"/>
                <w:szCs w:val="20"/>
              </w:rPr>
              <w:t>X</w:t>
            </w:r>
          </w:p>
        </w:tc>
        <w:tc>
          <w:tcPr>
            <w:tcW w:w="1800" w:type="dxa"/>
            <w:gridSpan w:val="2"/>
            <w:shd w:val="clear" w:color="auto" w:fill="FEFEFE" w:themeFill="background1"/>
          </w:tcPr>
          <w:p w14:paraId="59349C24" w14:textId="0A539754"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710" w:type="dxa"/>
            <w:shd w:val="clear" w:color="auto" w:fill="FEFEFE" w:themeFill="background1"/>
          </w:tcPr>
          <w:p w14:paraId="6E0E6D8E"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800" w:type="dxa"/>
            <w:gridSpan w:val="2"/>
            <w:shd w:val="clear" w:color="auto" w:fill="FEFEFE" w:themeFill="background1"/>
          </w:tcPr>
          <w:p w14:paraId="6D0FD87E" w14:textId="5FB7A38F"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13F1558F" w14:textId="230A991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EE0065" w:rsidRPr="00E14EBC" w14:paraId="24F915A9"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28C0B708"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Tuleohutuse alane risk</w:t>
            </w:r>
          </w:p>
        </w:tc>
        <w:tc>
          <w:tcPr>
            <w:tcW w:w="1800" w:type="dxa"/>
            <w:gridSpan w:val="2"/>
            <w:shd w:val="clear" w:color="auto" w:fill="FEFEFE" w:themeFill="background1"/>
          </w:tcPr>
          <w:p w14:paraId="043A6DF9" w14:textId="1EA293AE"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800" w:type="dxa"/>
            <w:gridSpan w:val="2"/>
            <w:shd w:val="clear" w:color="auto" w:fill="FEFEFE" w:themeFill="background1"/>
          </w:tcPr>
          <w:p w14:paraId="0D405495" w14:textId="5BD365EB"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710" w:type="dxa"/>
            <w:shd w:val="clear" w:color="auto" w:fill="FEFEFE" w:themeFill="background1"/>
          </w:tcPr>
          <w:p w14:paraId="3CA3FD04" w14:textId="54DCC199"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5C16A344" w14:textId="33FBFDE6"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6B825505" w14:textId="043B3E0C"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r>
      <w:tr w:rsidR="00EE0065" w:rsidRPr="00E14EBC" w14:paraId="7AFE45EE"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64D264E4"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lastRenderedPageBreak/>
              <w:t>Probleemid parkimisega</w:t>
            </w:r>
          </w:p>
        </w:tc>
        <w:tc>
          <w:tcPr>
            <w:tcW w:w="1800" w:type="dxa"/>
            <w:gridSpan w:val="2"/>
            <w:shd w:val="clear" w:color="auto" w:fill="FEFEFE" w:themeFill="background1"/>
          </w:tcPr>
          <w:p w14:paraId="76756716"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800" w:type="dxa"/>
            <w:gridSpan w:val="2"/>
            <w:shd w:val="clear" w:color="auto" w:fill="FEFEFE" w:themeFill="background1"/>
          </w:tcPr>
          <w:p w14:paraId="706DA906" w14:textId="79F55E68" w:rsidR="002C2D81" w:rsidRPr="00E14EBC" w:rsidRDefault="00BC78B9"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710" w:type="dxa"/>
            <w:shd w:val="clear" w:color="auto" w:fill="FEFEFE" w:themeFill="background1"/>
          </w:tcPr>
          <w:p w14:paraId="51EB8331" w14:textId="049040AF" w:rsidR="002C2D81" w:rsidRPr="00E14EBC" w:rsidRDefault="00BC78B9"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6272C9F1" w14:textId="2D0E397D" w:rsidR="002C2D81" w:rsidRPr="00E14EBC" w:rsidRDefault="00BC78B9"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68BA15CA" w14:textId="15C047EE" w:rsidR="002C2D81" w:rsidRPr="00E14EBC" w:rsidRDefault="00BC78B9"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EE0065" w:rsidRPr="00E14EBC" w14:paraId="149719CA"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5A34CA6D" w14:textId="307F1EBD" w:rsidR="00F5159F" w:rsidRPr="002C2D81" w:rsidRDefault="002C2D81" w:rsidP="00170813">
            <w:pPr>
              <w:rPr>
                <w:rFonts w:cstheme="minorHAnsi"/>
                <w:b w:val="0"/>
                <w:bCs w:val="0"/>
                <w:color w:val="auto"/>
                <w:sz w:val="22"/>
              </w:rPr>
            </w:pPr>
            <w:r w:rsidRPr="002C2D81">
              <w:rPr>
                <w:rFonts w:cstheme="minorHAnsi"/>
                <w:b w:val="0"/>
                <w:bCs w:val="0"/>
                <w:color w:val="auto"/>
                <w:sz w:val="22"/>
              </w:rPr>
              <w:t>Probleemid prügimajandusega</w:t>
            </w:r>
          </w:p>
        </w:tc>
        <w:tc>
          <w:tcPr>
            <w:tcW w:w="1800" w:type="dxa"/>
            <w:gridSpan w:val="2"/>
            <w:shd w:val="clear" w:color="auto" w:fill="FEFEFE" w:themeFill="background1"/>
          </w:tcPr>
          <w:p w14:paraId="3646A6DE" w14:textId="30449EEF"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800" w:type="dxa"/>
            <w:gridSpan w:val="2"/>
            <w:shd w:val="clear" w:color="auto" w:fill="FEFEFE" w:themeFill="background1"/>
          </w:tcPr>
          <w:p w14:paraId="55BF2CC7" w14:textId="492C5F16"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710" w:type="dxa"/>
            <w:shd w:val="clear" w:color="auto" w:fill="FEFEFE" w:themeFill="background1"/>
          </w:tcPr>
          <w:p w14:paraId="1BE358AE" w14:textId="640016F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1EB77C02" w14:textId="727DFABD"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001D24C8" w14:textId="660922EA"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EE0065" w:rsidRPr="00E14EBC" w14:paraId="7917F2BD" w14:textId="77777777" w:rsidTr="00BC78B9">
        <w:tc>
          <w:tcPr>
            <w:cnfStyle w:val="001000000000" w:firstRow="0" w:lastRow="0" w:firstColumn="1" w:lastColumn="0" w:oddVBand="0" w:evenVBand="0" w:oddHBand="0" w:evenHBand="0" w:firstRowFirstColumn="0" w:firstRowLastColumn="0" w:lastRowFirstColumn="0" w:lastRowLastColumn="0"/>
            <w:tcW w:w="4950" w:type="dxa"/>
            <w:shd w:val="clear" w:color="auto" w:fill="E6E6E6" w:themeFill="accent3"/>
          </w:tcPr>
          <w:p w14:paraId="68B2E938" w14:textId="77777777" w:rsidR="002C2D81" w:rsidRPr="002C2D81" w:rsidRDefault="002C2D81" w:rsidP="00A747FB">
            <w:pPr>
              <w:rPr>
                <w:rFonts w:cstheme="minorHAnsi"/>
                <w:b w:val="0"/>
                <w:bCs w:val="0"/>
                <w:color w:val="auto"/>
                <w:sz w:val="22"/>
              </w:rPr>
            </w:pPr>
            <w:r w:rsidRPr="002C2D81">
              <w:rPr>
                <w:rFonts w:cstheme="minorHAnsi"/>
                <w:b w:val="0"/>
                <w:bCs w:val="0"/>
                <w:color w:val="auto"/>
                <w:sz w:val="22"/>
              </w:rPr>
              <w:t>Halva mainega teenus (hooletud pakkujad tekitavad mainekahju ja muud teenustele omistatud probleemid)</w:t>
            </w:r>
          </w:p>
        </w:tc>
        <w:tc>
          <w:tcPr>
            <w:tcW w:w="1800" w:type="dxa"/>
            <w:gridSpan w:val="2"/>
            <w:shd w:val="clear" w:color="auto" w:fill="FEFEFE" w:themeFill="background1"/>
          </w:tcPr>
          <w:p w14:paraId="32A9FF5B" w14:textId="078D4766"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58CE2FC2" w14:textId="77777777"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4EBC">
              <w:rPr>
                <w:sz w:val="20"/>
                <w:szCs w:val="20"/>
              </w:rPr>
              <w:t>X</w:t>
            </w:r>
          </w:p>
        </w:tc>
        <w:tc>
          <w:tcPr>
            <w:tcW w:w="1710" w:type="dxa"/>
            <w:shd w:val="clear" w:color="auto" w:fill="FEFEFE" w:themeFill="background1"/>
          </w:tcPr>
          <w:p w14:paraId="369E1057" w14:textId="2079D269"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4C870C17" w14:textId="7C89BABE"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800" w:type="dxa"/>
            <w:gridSpan w:val="2"/>
            <w:shd w:val="clear" w:color="auto" w:fill="FEFEFE" w:themeFill="background1"/>
          </w:tcPr>
          <w:p w14:paraId="73E7A4BF" w14:textId="0542CDFD" w:rsidR="002C2D81" w:rsidRPr="00E14EBC" w:rsidRDefault="002C2D81" w:rsidP="00BC78B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bl>
    <w:p w14:paraId="0F01A290" w14:textId="77777777" w:rsidR="00860BBB" w:rsidRDefault="00860BBB" w:rsidP="00860BBB">
      <w:pPr>
        <w:spacing w:before="0" w:after="60" w:line="240" w:lineRule="auto"/>
        <w:rPr>
          <w:sz w:val="20"/>
          <w:szCs w:val="20"/>
        </w:rPr>
      </w:pPr>
    </w:p>
    <w:p w14:paraId="024EB809" w14:textId="5F104A5C" w:rsidR="00B64305" w:rsidRPr="00860BBB" w:rsidRDefault="00AE5139" w:rsidP="00860BBB">
      <w:pPr>
        <w:spacing w:before="0" w:after="60" w:line="240" w:lineRule="auto"/>
        <w:rPr>
          <w:sz w:val="20"/>
          <w:szCs w:val="20"/>
        </w:rPr>
      </w:pPr>
      <w:r w:rsidRPr="00860BBB">
        <w:rPr>
          <w:sz w:val="20"/>
          <w:szCs w:val="20"/>
        </w:rPr>
        <w:t xml:space="preserve">Legend: </w:t>
      </w:r>
    </w:p>
    <w:p w14:paraId="378A9933" w14:textId="7E8CA31A" w:rsidR="00B64305" w:rsidRPr="00860BBB" w:rsidRDefault="000B3829" w:rsidP="00860BBB">
      <w:pPr>
        <w:spacing w:before="0" w:after="60" w:line="240" w:lineRule="auto"/>
        <w:ind w:left="180"/>
        <w:rPr>
          <w:sz w:val="20"/>
          <w:szCs w:val="20"/>
        </w:rPr>
      </w:pPr>
      <w:r w:rsidRPr="00860BBB">
        <w:rPr>
          <w:sz w:val="20"/>
          <w:szCs w:val="20"/>
        </w:rPr>
        <w:t>XX</w:t>
      </w:r>
      <w:r w:rsidR="00AE5139" w:rsidRPr="00860BBB">
        <w:rPr>
          <w:sz w:val="20"/>
          <w:szCs w:val="20"/>
        </w:rPr>
        <w:t xml:space="preserve"> enamik intervjueeritavaid </w:t>
      </w:r>
      <w:r w:rsidR="00B64305" w:rsidRPr="00860BBB">
        <w:rPr>
          <w:sz w:val="20"/>
          <w:szCs w:val="20"/>
        </w:rPr>
        <w:t xml:space="preserve">grupist </w:t>
      </w:r>
      <w:r w:rsidR="00860BBB" w:rsidRPr="00860BBB">
        <w:rPr>
          <w:sz w:val="20"/>
          <w:szCs w:val="20"/>
        </w:rPr>
        <w:t>nimetasid</w:t>
      </w:r>
      <w:r w:rsidR="00AE5139" w:rsidRPr="00860BBB">
        <w:rPr>
          <w:sz w:val="20"/>
          <w:szCs w:val="20"/>
        </w:rPr>
        <w:t xml:space="preserve"> vastavat mõj</w:t>
      </w:r>
      <w:r w:rsidR="00860BBB" w:rsidRPr="00860BBB">
        <w:rPr>
          <w:sz w:val="20"/>
          <w:szCs w:val="20"/>
        </w:rPr>
        <w:t>u</w:t>
      </w:r>
    </w:p>
    <w:p w14:paraId="0E115AB3" w14:textId="71E229D3" w:rsidR="00B64305" w:rsidRPr="00860BBB" w:rsidRDefault="00AE5139" w:rsidP="00860BBB">
      <w:pPr>
        <w:spacing w:before="0" w:after="60" w:line="240" w:lineRule="auto"/>
        <w:ind w:left="180"/>
        <w:rPr>
          <w:sz w:val="20"/>
          <w:szCs w:val="20"/>
        </w:rPr>
      </w:pPr>
      <w:r w:rsidRPr="00860BBB">
        <w:rPr>
          <w:sz w:val="20"/>
          <w:szCs w:val="20"/>
        </w:rPr>
        <w:t>X mõned intervjueeritavad grupi</w:t>
      </w:r>
      <w:r w:rsidR="00A73597">
        <w:rPr>
          <w:sz w:val="20"/>
          <w:szCs w:val="20"/>
        </w:rPr>
        <w:t>s</w:t>
      </w:r>
      <w:r w:rsidR="00592137">
        <w:rPr>
          <w:sz w:val="20"/>
          <w:szCs w:val="20"/>
        </w:rPr>
        <w:t>t</w:t>
      </w:r>
      <w:r w:rsidRPr="00860BBB">
        <w:rPr>
          <w:sz w:val="20"/>
          <w:szCs w:val="20"/>
        </w:rPr>
        <w:t xml:space="preserve"> </w:t>
      </w:r>
      <w:r w:rsidR="00860BBB" w:rsidRPr="00860BBB">
        <w:rPr>
          <w:sz w:val="20"/>
          <w:szCs w:val="20"/>
        </w:rPr>
        <w:t xml:space="preserve">nimetasid vastavat mõju </w:t>
      </w:r>
    </w:p>
    <w:p w14:paraId="7939CB75" w14:textId="2DF0B795" w:rsidR="00BE45A1" w:rsidRPr="00E14EBC" w:rsidRDefault="00B64305" w:rsidP="00860BBB">
      <w:pPr>
        <w:spacing w:before="0" w:after="60" w:line="240" w:lineRule="auto"/>
        <w:ind w:left="180"/>
      </w:pPr>
      <w:r w:rsidRPr="00860BBB">
        <w:rPr>
          <w:sz w:val="20"/>
          <w:szCs w:val="20"/>
        </w:rPr>
        <w:t xml:space="preserve">- mitte keegi grupist ei </w:t>
      </w:r>
      <w:r w:rsidR="00860BBB" w:rsidRPr="00860BBB">
        <w:rPr>
          <w:sz w:val="20"/>
          <w:szCs w:val="20"/>
        </w:rPr>
        <w:t>nimeta</w:t>
      </w:r>
      <w:r w:rsidR="00B7722B">
        <w:rPr>
          <w:sz w:val="20"/>
          <w:szCs w:val="20"/>
        </w:rPr>
        <w:t>n</w:t>
      </w:r>
      <w:r w:rsidR="00860BBB" w:rsidRPr="00860BBB">
        <w:rPr>
          <w:sz w:val="20"/>
          <w:szCs w:val="20"/>
        </w:rPr>
        <w:t>ud</w:t>
      </w:r>
      <w:r w:rsidRPr="00860BBB">
        <w:rPr>
          <w:sz w:val="20"/>
          <w:szCs w:val="20"/>
        </w:rPr>
        <w:t xml:space="preserve"> vastavat mõju</w:t>
      </w:r>
      <w:r>
        <w:t xml:space="preserve"> </w:t>
      </w:r>
      <w:r w:rsidR="00E54EDC" w:rsidRPr="00E14EBC">
        <w:br w:type="page"/>
      </w:r>
    </w:p>
    <w:p w14:paraId="30F57D09" w14:textId="35439A66" w:rsidR="00BE45A1" w:rsidRPr="00E14EBC" w:rsidRDefault="2DDA8BF5" w:rsidP="00AA3AB8">
      <w:pPr>
        <w:pStyle w:val="Heading2"/>
        <w:numPr>
          <w:ilvl w:val="0"/>
          <w:numId w:val="0"/>
        </w:numPr>
        <w:rPr>
          <w:rFonts w:hint="eastAsia"/>
        </w:rPr>
      </w:pPr>
      <w:bookmarkStart w:id="224" w:name="_Toc197718095"/>
      <w:bookmarkStart w:id="225" w:name="_Toc208991649"/>
      <w:r w:rsidRPr="00E14EBC">
        <w:lastRenderedPageBreak/>
        <w:t>Lisa 5. Turu mahtu kajastavad andmeallikad ja andmed</w:t>
      </w:r>
      <w:bookmarkEnd w:id="224"/>
      <w:bookmarkEnd w:id="225"/>
    </w:p>
    <w:p w14:paraId="35246FE0" w14:textId="67C8DC62" w:rsidR="009B225F" w:rsidRPr="00E14EBC" w:rsidRDefault="65F50925" w:rsidP="00E04E4B">
      <w:pPr>
        <w:pStyle w:val="TableTitle"/>
      </w:pPr>
      <w:r>
        <w:t xml:space="preserve">Joonis </w:t>
      </w:r>
      <w:r w:rsidR="04188B61">
        <w:t>6</w:t>
      </w:r>
      <w:r>
        <w:t xml:space="preserve">: Lühiajalise üüri teenust pakkuvate majutuskohtade arv, juuli 2019 </w:t>
      </w:r>
      <w:r w:rsidRPr="288A3578">
        <w:rPr>
          <w:i/>
          <w:iCs/>
        </w:rPr>
        <w:t>vs.</w:t>
      </w:r>
      <w:r>
        <w:t xml:space="preserve"> juuli 2024, maakonniti ja Tallinnas</w:t>
      </w:r>
    </w:p>
    <w:p w14:paraId="51E4B85E" w14:textId="221EDA78" w:rsidR="009B225F" w:rsidRPr="00E14EBC" w:rsidRDefault="000E3D60" w:rsidP="009B225F">
      <w:pPr>
        <w:spacing w:before="0" w:after="200" w:line="259" w:lineRule="auto"/>
      </w:pPr>
      <w:r w:rsidRPr="000E3D60">
        <w:rPr>
          <w:noProof/>
        </w:rPr>
        <w:drawing>
          <wp:inline distT="0" distB="0" distL="0" distR="0" wp14:anchorId="5CE0F058" wp14:editId="386FAB61">
            <wp:extent cx="8826500" cy="2433320"/>
            <wp:effectExtent l="0" t="0" r="0" b="5080"/>
            <wp:docPr id="1329382179"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82179" name="Picture 1" descr="A graph of a number of people&#10;&#10;AI-generated content may be incorrect."/>
                    <pic:cNvPicPr/>
                  </pic:nvPicPr>
                  <pic:blipFill>
                    <a:blip r:embed="rId34"/>
                    <a:stretch>
                      <a:fillRect/>
                    </a:stretch>
                  </pic:blipFill>
                  <pic:spPr>
                    <a:xfrm>
                      <a:off x="0" y="0"/>
                      <a:ext cx="8826500" cy="2433320"/>
                    </a:xfrm>
                    <a:prstGeom prst="rect">
                      <a:avLst/>
                    </a:prstGeom>
                  </pic:spPr>
                </pic:pic>
              </a:graphicData>
            </a:graphic>
          </wp:inline>
        </w:drawing>
      </w:r>
    </w:p>
    <w:p w14:paraId="67713D95" w14:textId="49551F57" w:rsidR="0055740A" w:rsidRPr="00E14EBC" w:rsidRDefault="00B7799E" w:rsidP="00E04E4B">
      <w:pPr>
        <w:pStyle w:val="BottomCaption"/>
      </w:pPr>
      <w:r w:rsidRPr="00E14EBC">
        <w:rPr>
          <w:rFonts w:ascii="Arial" w:eastAsia="Arial" w:hAnsi="Arial" w:cs="Arial"/>
          <w:color w:val="82009B" w:themeColor="accent6"/>
          <w:szCs w:val="24"/>
        </w:rPr>
        <w:t xml:space="preserve"> </w:t>
      </w:r>
      <w:r w:rsidR="2DDA8BF5" w:rsidRPr="00E14EBC">
        <w:t>Allikas: EIS /Lighthouse</w:t>
      </w:r>
    </w:p>
    <w:p w14:paraId="7E547ADB" w14:textId="77777777" w:rsidR="009B225F" w:rsidRPr="00E14EBC" w:rsidRDefault="009B225F" w:rsidP="009B225F">
      <w:pPr>
        <w:spacing w:before="0" w:line="259" w:lineRule="auto"/>
      </w:pPr>
      <w:r w:rsidRPr="00E14EBC">
        <w:br w:type="page"/>
      </w:r>
    </w:p>
    <w:p w14:paraId="09FA1BD2" w14:textId="77777777" w:rsidR="009B225F" w:rsidRPr="00E14EBC" w:rsidRDefault="009B225F" w:rsidP="009B225F">
      <w:pPr>
        <w:spacing w:before="0" w:line="259" w:lineRule="auto"/>
      </w:pPr>
    </w:p>
    <w:p w14:paraId="54827F06" w14:textId="1FBB84CE" w:rsidR="04DBD3F1" w:rsidRPr="00E14EBC" w:rsidRDefault="00D127EC" w:rsidP="00D127EC">
      <w:pPr>
        <w:pStyle w:val="Caption"/>
      </w:pPr>
      <w:r w:rsidRPr="00E14EBC">
        <w:t xml:space="preserve">Joonis </w:t>
      </w:r>
      <w:r w:rsidR="008E5FE3">
        <w:t>7</w:t>
      </w:r>
      <w:r w:rsidRPr="00E14EBC">
        <w:t>: Keskmine päevahind Tallinna lühiajalise üüri teenust pakkuvates majutuskohtades 2020–2023</w:t>
      </w:r>
    </w:p>
    <w:p w14:paraId="5B0A0F4B" w14:textId="77777777" w:rsidR="009B225F" w:rsidRPr="00E14EBC" w:rsidRDefault="009B225F" w:rsidP="009B225F">
      <w:pPr>
        <w:spacing w:before="0" w:line="259" w:lineRule="auto"/>
      </w:pPr>
      <w:r w:rsidRPr="00E14EBC">
        <w:rPr>
          <w:noProof/>
        </w:rPr>
        <w:drawing>
          <wp:inline distT="0" distB="0" distL="0" distR="0" wp14:anchorId="04856BAA" wp14:editId="6E9810D6">
            <wp:extent cx="6542903" cy="3362325"/>
            <wp:effectExtent l="0" t="0" r="0" b="0"/>
            <wp:docPr id="88778694" name="Picture 1" descr="A graph of a graph showing the average daily r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78694" name="Picture 1" descr="A graph of a graph showing the average daily rate&#10;&#10;AI-generated content may be incorrect."/>
                    <pic:cNvPicPr/>
                  </pic:nvPicPr>
                  <pic:blipFill>
                    <a:blip r:embed="rId35"/>
                    <a:stretch>
                      <a:fillRect/>
                    </a:stretch>
                  </pic:blipFill>
                  <pic:spPr>
                    <a:xfrm>
                      <a:off x="0" y="0"/>
                      <a:ext cx="6546029" cy="3363932"/>
                    </a:xfrm>
                    <a:prstGeom prst="rect">
                      <a:avLst/>
                    </a:prstGeom>
                  </pic:spPr>
                </pic:pic>
              </a:graphicData>
            </a:graphic>
          </wp:inline>
        </w:drawing>
      </w:r>
    </w:p>
    <w:p w14:paraId="508218FC" w14:textId="77777777" w:rsidR="009B225F" w:rsidRPr="00E14EBC" w:rsidRDefault="009B225F" w:rsidP="00D127EC">
      <w:pPr>
        <w:pStyle w:val="BottomCaption"/>
      </w:pPr>
      <w:r w:rsidRPr="00E14EBC">
        <w:t>Allikas: Tallinna Strateegiakeskuse tellimusel Colliers Baltics poolt koostatud lühiajalise üüri teenuse turu ülevaade. (2024)</w:t>
      </w:r>
    </w:p>
    <w:p w14:paraId="2A0567D2" w14:textId="77777777" w:rsidR="009B225F" w:rsidRPr="00E14EBC" w:rsidRDefault="009B225F" w:rsidP="009B225F">
      <w:pPr>
        <w:spacing w:before="0" w:line="259" w:lineRule="auto"/>
        <w:rPr>
          <w:rFonts w:ascii="Arial" w:eastAsia="Arial" w:hAnsi="Arial" w:cs="Arial"/>
          <w:color w:val="82009B" w:themeColor="accent6"/>
          <w:szCs w:val="24"/>
        </w:rPr>
      </w:pPr>
      <w:r w:rsidRPr="00E14EBC">
        <w:rPr>
          <w:rFonts w:ascii="Arial" w:eastAsia="Arial" w:hAnsi="Arial" w:cs="Arial"/>
          <w:color w:val="82009B" w:themeColor="accent6"/>
          <w:szCs w:val="24"/>
        </w:rPr>
        <w:br w:type="page"/>
      </w:r>
    </w:p>
    <w:p w14:paraId="2C6CA8D3" w14:textId="77777777" w:rsidR="009B225F" w:rsidRPr="00E14EBC" w:rsidRDefault="009B225F" w:rsidP="009B225F">
      <w:pPr>
        <w:spacing w:before="160" w:after="0"/>
        <w:rPr>
          <w:rFonts w:ascii="Arial" w:eastAsia="Arial" w:hAnsi="Arial" w:cs="Arial"/>
          <w:color w:val="82009B" w:themeColor="accent6"/>
        </w:rPr>
      </w:pPr>
    </w:p>
    <w:p w14:paraId="6AA72E92" w14:textId="77E28735" w:rsidR="04DBD3F1" w:rsidRPr="00E14EBC" w:rsidRDefault="003661CC" w:rsidP="00D023BD">
      <w:pPr>
        <w:pStyle w:val="Caption"/>
      </w:pPr>
      <w:r w:rsidRPr="00E14EBC">
        <w:t xml:space="preserve">Joonis </w:t>
      </w:r>
      <w:r w:rsidR="008E5FE3">
        <w:t>8</w:t>
      </w:r>
      <w:r w:rsidRPr="00E14EBC">
        <w:t>: Keskmine tulu saadaval oleva majutusruumi kohta Tallinna lühiajalise üüri teenust pakkuvates majutuskohtades 2020–2023</w:t>
      </w:r>
    </w:p>
    <w:p w14:paraId="5F956FB5" w14:textId="77777777" w:rsidR="009B225F" w:rsidRPr="00E14EBC" w:rsidRDefault="009B225F" w:rsidP="009B225F">
      <w:pPr>
        <w:spacing w:before="160" w:after="0"/>
        <w:rPr>
          <w:rFonts w:ascii="Arial" w:eastAsia="Arial" w:hAnsi="Arial" w:cs="Arial"/>
          <w:color w:val="82009B" w:themeColor="accent6"/>
          <w:szCs w:val="24"/>
        </w:rPr>
      </w:pPr>
      <w:r w:rsidRPr="00E14EBC">
        <w:rPr>
          <w:rFonts w:ascii="Arial" w:eastAsia="Arial" w:hAnsi="Arial" w:cs="Arial"/>
          <w:noProof/>
          <w:color w:val="82009B" w:themeColor="accent6"/>
          <w:szCs w:val="24"/>
        </w:rPr>
        <w:drawing>
          <wp:inline distT="0" distB="0" distL="0" distR="0" wp14:anchorId="06FFED57" wp14:editId="63F67A41">
            <wp:extent cx="6448425" cy="3348795"/>
            <wp:effectExtent l="0" t="0" r="0" b="4445"/>
            <wp:docPr id="247690926" name="Picture 1" descr="A graph with blue lines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90926" name="Picture 1" descr="A graph with blue lines and white text&#10;&#10;AI-generated content may be incorrect."/>
                    <pic:cNvPicPr/>
                  </pic:nvPicPr>
                  <pic:blipFill>
                    <a:blip r:embed="rId36"/>
                    <a:stretch>
                      <a:fillRect/>
                    </a:stretch>
                  </pic:blipFill>
                  <pic:spPr>
                    <a:xfrm>
                      <a:off x="0" y="0"/>
                      <a:ext cx="6452758" cy="3351045"/>
                    </a:xfrm>
                    <a:prstGeom prst="rect">
                      <a:avLst/>
                    </a:prstGeom>
                  </pic:spPr>
                </pic:pic>
              </a:graphicData>
            </a:graphic>
          </wp:inline>
        </w:drawing>
      </w:r>
    </w:p>
    <w:p w14:paraId="1878CE4C" w14:textId="5C93E9DE" w:rsidR="009B225F" w:rsidRPr="00E14EBC" w:rsidRDefault="009B225F" w:rsidP="003661CC">
      <w:pPr>
        <w:pStyle w:val="BottomCaption"/>
      </w:pPr>
      <w:r w:rsidRPr="00E14EBC">
        <w:t>Allikas: Tallinna Strateegiakeskuse tellimusel Colliers Baltics poolt koostatud lühiajalise üüri teenuse turu ülevaade. (2024)</w:t>
      </w:r>
    </w:p>
    <w:p w14:paraId="67FCC1DD" w14:textId="4144013B" w:rsidR="4110329E" w:rsidRPr="00E14EBC" w:rsidRDefault="4110329E">
      <w:r w:rsidRPr="00E14EBC">
        <w:br w:type="page"/>
      </w:r>
    </w:p>
    <w:p w14:paraId="6D8F00A4" w14:textId="3DAFE85A" w:rsidR="009B225F" w:rsidRPr="00E14EBC" w:rsidRDefault="009B225F" w:rsidP="009B225F">
      <w:pPr>
        <w:spacing w:before="160" w:after="0"/>
        <w:rPr>
          <w:rFonts w:ascii="Arial" w:eastAsia="Arial" w:hAnsi="Arial" w:cs="Arial"/>
          <w:color w:val="82009B" w:themeColor="accent6"/>
        </w:rPr>
      </w:pPr>
    </w:p>
    <w:p w14:paraId="2DDBE746" w14:textId="2C6FA04C" w:rsidR="4110329E" w:rsidRPr="00E14EBC" w:rsidRDefault="4110329E" w:rsidP="4110329E">
      <w:pPr>
        <w:spacing w:before="160" w:after="0"/>
        <w:rPr>
          <w:rFonts w:ascii="Arial" w:eastAsia="Arial" w:hAnsi="Arial" w:cs="Arial"/>
          <w:color w:val="82009B" w:themeColor="accent6"/>
        </w:rPr>
      </w:pPr>
    </w:p>
    <w:p w14:paraId="14E22FD9" w14:textId="2589E28A" w:rsidR="00712687" w:rsidRPr="00E14EBC" w:rsidRDefault="00712687" w:rsidP="00057D17">
      <w:pPr>
        <w:pStyle w:val="Caption"/>
      </w:pPr>
      <w:r w:rsidRPr="00E14EBC">
        <w:t xml:space="preserve">Joonis </w:t>
      </w:r>
      <w:r w:rsidR="008E5FE3">
        <w:t>9</w:t>
      </w:r>
      <w:r w:rsidRPr="00E14EBC">
        <w:t>: Tallinnas ööbinud külastajate majutuskohad 2014, 2018, 2023</w:t>
      </w:r>
    </w:p>
    <w:p w14:paraId="101D6A09" w14:textId="77777777" w:rsidR="00057D17" w:rsidRPr="00E14EBC" w:rsidRDefault="00057D17" w:rsidP="00057D17"/>
    <w:p w14:paraId="2EE3140C" w14:textId="4DFCF6C0" w:rsidR="4110329E" w:rsidRPr="00E14EBC" w:rsidRDefault="00057D17" w:rsidP="4110329E">
      <w:pPr>
        <w:spacing w:before="160" w:after="0"/>
        <w:rPr>
          <w:rFonts w:ascii="Arial" w:eastAsia="Arial" w:hAnsi="Arial" w:cs="Arial"/>
          <w:color w:val="82009B" w:themeColor="accent6"/>
        </w:rPr>
      </w:pPr>
      <w:r w:rsidRPr="00E14EBC">
        <w:rPr>
          <w:noProof/>
        </w:rPr>
        <w:drawing>
          <wp:inline distT="0" distB="0" distL="0" distR="0" wp14:anchorId="7C92FDCF" wp14:editId="2E932313">
            <wp:extent cx="5353939" cy="2114550"/>
            <wp:effectExtent l="0" t="0" r="0" b="0"/>
            <wp:docPr id="214148594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7">
                      <a:extLst>
                        <a:ext uri="{28A0092B-C50C-407E-A947-70E740481C1C}">
                          <a14:useLocalDpi xmlns:a14="http://schemas.microsoft.com/office/drawing/2010/main" val="0"/>
                        </a:ext>
                      </a:extLst>
                    </a:blip>
                    <a:stretch>
                      <a:fillRect/>
                    </a:stretch>
                  </pic:blipFill>
                  <pic:spPr>
                    <a:xfrm>
                      <a:off x="0" y="0"/>
                      <a:ext cx="5356576" cy="2115592"/>
                    </a:xfrm>
                    <a:prstGeom prst="rect">
                      <a:avLst/>
                    </a:prstGeom>
                  </pic:spPr>
                </pic:pic>
              </a:graphicData>
            </a:graphic>
          </wp:inline>
        </w:drawing>
      </w:r>
    </w:p>
    <w:p w14:paraId="22188BEA" w14:textId="39524CEA" w:rsidR="009B225F" w:rsidRPr="00E14EBC" w:rsidRDefault="009B225F" w:rsidP="009B225F">
      <w:pPr>
        <w:spacing w:before="160" w:after="0"/>
        <w:rPr>
          <w:rFonts w:ascii="Arial" w:eastAsia="Arial" w:hAnsi="Arial" w:cs="Arial"/>
          <w:color w:val="82009B" w:themeColor="accent6"/>
        </w:rPr>
      </w:pPr>
    </w:p>
    <w:p w14:paraId="09E147E0" w14:textId="092FF966" w:rsidR="009B225F" w:rsidRPr="00E14EBC" w:rsidRDefault="522AADE9" w:rsidP="00057D17">
      <w:pPr>
        <w:pStyle w:val="BottomCaption"/>
      </w:pPr>
      <w:r w:rsidRPr="00E14EBC">
        <w:t xml:space="preserve">Allikas: </w:t>
      </w:r>
      <w:r w:rsidR="2A78208A" w:rsidRPr="00E14EBC">
        <w:t xml:space="preserve">Väliskülastajate </w:t>
      </w:r>
      <w:r w:rsidR="4615BE99" w:rsidRPr="00E14EBC">
        <w:t>piiriuuring</w:t>
      </w:r>
      <w:r w:rsidR="2A78208A" w:rsidRPr="00E14EBC">
        <w:t xml:space="preserve">, </w:t>
      </w:r>
      <w:r w:rsidR="0A6A6ED6" w:rsidRPr="00E14EBC">
        <w:t xml:space="preserve">Turu-uuringute </w:t>
      </w:r>
      <w:r w:rsidR="168CCCB3" w:rsidRPr="00E14EBC">
        <w:t>AS.</w:t>
      </w:r>
      <w:r w:rsidRPr="00E14EBC">
        <w:t xml:space="preserve"> (</w:t>
      </w:r>
      <w:r w:rsidR="78EF9210" w:rsidRPr="00E14EBC">
        <w:t>2023</w:t>
      </w:r>
      <w:r w:rsidRPr="00E14EBC">
        <w:t>)</w:t>
      </w:r>
    </w:p>
    <w:p w14:paraId="22BC5F0F" w14:textId="005967D7" w:rsidR="009B225F" w:rsidRPr="00E14EBC" w:rsidRDefault="009B225F" w:rsidP="009B225F">
      <w:pPr>
        <w:spacing w:before="160" w:after="0"/>
        <w:rPr>
          <w:rFonts w:ascii="Arial" w:eastAsia="Arial" w:hAnsi="Arial" w:cs="Arial"/>
          <w:color w:val="82009B" w:themeColor="accent6"/>
        </w:rPr>
      </w:pPr>
    </w:p>
    <w:p w14:paraId="607E9D0A" w14:textId="28D7371A" w:rsidR="711789DE" w:rsidRPr="00E14EBC" w:rsidRDefault="711789DE">
      <w:r w:rsidRPr="00E14EBC">
        <w:br w:type="page"/>
      </w:r>
    </w:p>
    <w:p w14:paraId="2F978E21" w14:textId="77777777" w:rsidR="009B225F" w:rsidRPr="00E14EBC" w:rsidRDefault="009B225F" w:rsidP="009B225F">
      <w:pPr>
        <w:spacing w:before="160" w:after="0"/>
        <w:rPr>
          <w:rFonts w:ascii="Arial" w:eastAsia="Arial" w:hAnsi="Arial" w:cs="Arial"/>
          <w:color w:val="82009B" w:themeColor="accent6"/>
          <w:szCs w:val="24"/>
        </w:rPr>
      </w:pPr>
    </w:p>
    <w:p w14:paraId="64344CFF" w14:textId="39F665B7" w:rsidR="009B225F" w:rsidRPr="00E14EBC" w:rsidRDefault="009B225F" w:rsidP="00355DF5">
      <w:pPr>
        <w:pStyle w:val="Caption"/>
      </w:pPr>
      <w:r w:rsidRPr="00E14EBC">
        <w:t xml:space="preserve">Tabel </w:t>
      </w:r>
      <w:r w:rsidR="005B1728">
        <w:t>1</w:t>
      </w:r>
      <w:r w:rsidR="001E5B0D">
        <w:t>8</w:t>
      </w:r>
      <w:r w:rsidRPr="00E14EBC">
        <w:t>: Lühiajalise üüri teenust pakkuvate majutusettevõtete väikseim ja suurim arv aastas, maakonniti, 2020–2024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696"/>
        <w:gridCol w:w="767"/>
        <w:gridCol w:w="222"/>
        <w:gridCol w:w="667"/>
        <w:gridCol w:w="577"/>
        <w:gridCol w:w="222"/>
        <w:gridCol w:w="667"/>
        <w:gridCol w:w="577"/>
        <w:gridCol w:w="577"/>
        <w:gridCol w:w="577"/>
        <w:gridCol w:w="222"/>
        <w:gridCol w:w="577"/>
        <w:gridCol w:w="577"/>
        <w:gridCol w:w="577"/>
        <w:gridCol w:w="577"/>
        <w:gridCol w:w="577"/>
        <w:gridCol w:w="577"/>
        <w:gridCol w:w="222"/>
        <w:gridCol w:w="577"/>
        <w:gridCol w:w="577"/>
        <w:gridCol w:w="577"/>
        <w:gridCol w:w="222"/>
        <w:gridCol w:w="777"/>
      </w:tblGrid>
      <w:tr w:rsidR="00206B4E" w:rsidRPr="00324820" w14:paraId="5CC51A88" w14:textId="77777777" w:rsidTr="00C73629">
        <w:trPr>
          <w:trHeight w:val="320"/>
        </w:trPr>
        <w:tc>
          <w:tcPr>
            <w:tcW w:w="0" w:type="auto"/>
            <w:noWrap/>
            <w:vAlign w:val="bottom"/>
            <w:hideMark/>
          </w:tcPr>
          <w:p w14:paraId="69803C92" w14:textId="77777777" w:rsidR="00206B4E" w:rsidRPr="007547E7" w:rsidRDefault="00206B4E" w:rsidP="00324820">
            <w:pPr>
              <w:spacing w:before="0" w:after="0" w:line="240" w:lineRule="auto"/>
              <w:rPr>
                <w:rFonts w:asciiTheme="minorBidi" w:hAnsiTheme="minorBidi"/>
                <w:sz w:val="18"/>
                <w:szCs w:val="18"/>
              </w:rPr>
            </w:pPr>
          </w:p>
        </w:tc>
        <w:tc>
          <w:tcPr>
            <w:tcW w:w="0" w:type="auto"/>
            <w:noWrap/>
            <w:vAlign w:val="bottom"/>
            <w:hideMark/>
          </w:tcPr>
          <w:p w14:paraId="77A09BC8" w14:textId="77777777" w:rsidR="00206B4E" w:rsidRPr="007547E7" w:rsidRDefault="00206B4E" w:rsidP="00324820">
            <w:pPr>
              <w:spacing w:before="0" w:after="0" w:line="240" w:lineRule="auto"/>
              <w:rPr>
                <w:rFonts w:asciiTheme="minorBidi" w:hAnsiTheme="minorBidi"/>
                <w:sz w:val="18"/>
                <w:szCs w:val="18"/>
              </w:rPr>
            </w:pPr>
          </w:p>
        </w:tc>
        <w:tc>
          <w:tcPr>
            <w:tcW w:w="0" w:type="auto"/>
            <w:noWrap/>
            <w:vAlign w:val="bottom"/>
            <w:hideMark/>
          </w:tcPr>
          <w:p w14:paraId="67853353" w14:textId="79AB8059" w:rsidR="00206B4E" w:rsidRPr="007547E7" w:rsidRDefault="00206B4E" w:rsidP="00324820">
            <w:pPr>
              <w:spacing w:before="0" w:after="0" w:line="240" w:lineRule="auto"/>
              <w:rPr>
                <w:rFonts w:asciiTheme="minorBidi" w:hAnsiTheme="minorBidi"/>
                <w:sz w:val="18"/>
                <w:szCs w:val="18"/>
              </w:rPr>
            </w:pPr>
          </w:p>
        </w:tc>
        <w:tc>
          <w:tcPr>
            <w:tcW w:w="0" w:type="auto"/>
            <w:noWrap/>
            <w:vAlign w:val="bottom"/>
            <w:hideMark/>
          </w:tcPr>
          <w:p w14:paraId="7C0EF81A" w14:textId="77777777" w:rsidR="00206B4E" w:rsidRPr="007547E7" w:rsidRDefault="00206B4E" w:rsidP="00324820">
            <w:pPr>
              <w:spacing w:before="0" w:after="0" w:line="240" w:lineRule="auto"/>
              <w:rPr>
                <w:rFonts w:asciiTheme="minorBidi" w:hAnsiTheme="minorBidi"/>
                <w:sz w:val="18"/>
                <w:szCs w:val="18"/>
              </w:rPr>
            </w:pPr>
          </w:p>
        </w:tc>
        <w:tc>
          <w:tcPr>
            <w:tcW w:w="0" w:type="auto"/>
            <w:gridSpan w:val="2"/>
            <w:noWrap/>
            <w:vAlign w:val="bottom"/>
            <w:hideMark/>
          </w:tcPr>
          <w:p w14:paraId="6550EE6F"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EE001</w:t>
            </w:r>
          </w:p>
        </w:tc>
        <w:tc>
          <w:tcPr>
            <w:tcW w:w="0" w:type="auto"/>
            <w:noWrap/>
            <w:vAlign w:val="bottom"/>
            <w:hideMark/>
          </w:tcPr>
          <w:p w14:paraId="6CD8153A" w14:textId="77777777" w:rsidR="00206B4E" w:rsidRPr="007547E7" w:rsidRDefault="00206B4E" w:rsidP="00324820">
            <w:pPr>
              <w:spacing w:before="0" w:after="0" w:line="240" w:lineRule="auto"/>
              <w:jc w:val="center"/>
              <w:rPr>
                <w:rFonts w:asciiTheme="minorBidi" w:hAnsiTheme="minorBidi"/>
                <w:color w:val="000000"/>
                <w:sz w:val="18"/>
                <w:szCs w:val="18"/>
              </w:rPr>
            </w:pPr>
          </w:p>
        </w:tc>
        <w:tc>
          <w:tcPr>
            <w:tcW w:w="0" w:type="auto"/>
            <w:gridSpan w:val="4"/>
            <w:noWrap/>
            <w:vAlign w:val="bottom"/>
            <w:hideMark/>
          </w:tcPr>
          <w:p w14:paraId="38B34A68"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EE004</w:t>
            </w:r>
          </w:p>
        </w:tc>
        <w:tc>
          <w:tcPr>
            <w:tcW w:w="0" w:type="auto"/>
            <w:noWrap/>
            <w:vAlign w:val="bottom"/>
            <w:hideMark/>
          </w:tcPr>
          <w:p w14:paraId="513A46D4" w14:textId="77777777" w:rsidR="00206B4E" w:rsidRPr="007547E7" w:rsidRDefault="00206B4E" w:rsidP="00324820">
            <w:pPr>
              <w:spacing w:before="0" w:after="0" w:line="240" w:lineRule="auto"/>
              <w:jc w:val="center"/>
              <w:rPr>
                <w:rFonts w:asciiTheme="minorBidi" w:hAnsiTheme="minorBidi"/>
                <w:color w:val="000000"/>
                <w:sz w:val="18"/>
                <w:szCs w:val="18"/>
              </w:rPr>
            </w:pPr>
          </w:p>
        </w:tc>
        <w:tc>
          <w:tcPr>
            <w:tcW w:w="0" w:type="auto"/>
            <w:gridSpan w:val="6"/>
            <w:noWrap/>
            <w:vAlign w:val="bottom"/>
            <w:hideMark/>
          </w:tcPr>
          <w:p w14:paraId="43BC250E"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EE008</w:t>
            </w:r>
          </w:p>
        </w:tc>
        <w:tc>
          <w:tcPr>
            <w:tcW w:w="0" w:type="auto"/>
            <w:noWrap/>
            <w:vAlign w:val="bottom"/>
            <w:hideMark/>
          </w:tcPr>
          <w:p w14:paraId="23E67576" w14:textId="77777777" w:rsidR="00206B4E" w:rsidRPr="007547E7" w:rsidRDefault="00206B4E" w:rsidP="00324820">
            <w:pPr>
              <w:spacing w:before="0" w:after="0" w:line="240" w:lineRule="auto"/>
              <w:jc w:val="center"/>
              <w:rPr>
                <w:rFonts w:asciiTheme="minorBidi" w:hAnsiTheme="minorBidi"/>
                <w:color w:val="000000"/>
                <w:sz w:val="18"/>
                <w:szCs w:val="18"/>
              </w:rPr>
            </w:pPr>
          </w:p>
        </w:tc>
        <w:tc>
          <w:tcPr>
            <w:tcW w:w="0" w:type="auto"/>
            <w:gridSpan w:val="3"/>
            <w:noWrap/>
            <w:vAlign w:val="bottom"/>
            <w:hideMark/>
          </w:tcPr>
          <w:p w14:paraId="5B34EE82"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EE009</w:t>
            </w:r>
          </w:p>
        </w:tc>
        <w:tc>
          <w:tcPr>
            <w:tcW w:w="0" w:type="auto"/>
            <w:noWrap/>
            <w:vAlign w:val="bottom"/>
            <w:hideMark/>
          </w:tcPr>
          <w:p w14:paraId="18AEC560" w14:textId="77777777" w:rsidR="00206B4E" w:rsidRPr="007547E7" w:rsidRDefault="00206B4E" w:rsidP="00324820">
            <w:pPr>
              <w:spacing w:before="0" w:after="0" w:line="240" w:lineRule="auto"/>
              <w:jc w:val="center"/>
              <w:rPr>
                <w:rFonts w:asciiTheme="minorBidi" w:hAnsiTheme="minorBidi"/>
                <w:color w:val="000000"/>
                <w:sz w:val="18"/>
                <w:szCs w:val="18"/>
              </w:rPr>
            </w:pPr>
          </w:p>
        </w:tc>
        <w:tc>
          <w:tcPr>
            <w:tcW w:w="0" w:type="auto"/>
            <w:noWrap/>
            <w:vAlign w:val="bottom"/>
            <w:hideMark/>
          </w:tcPr>
          <w:p w14:paraId="03D6A6AE"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EE00A</w:t>
            </w:r>
          </w:p>
        </w:tc>
      </w:tr>
      <w:tr w:rsidR="00206B4E" w:rsidRPr="00324820" w14:paraId="3032BEE0" w14:textId="77777777" w:rsidTr="00C73629">
        <w:trPr>
          <w:cantSplit/>
          <w:trHeight w:val="1134"/>
        </w:trPr>
        <w:tc>
          <w:tcPr>
            <w:tcW w:w="0" w:type="auto"/>
            <w:noWrap/>
            <w:vAlign w:val="bottom"/>
            <w:hideMark/>
          </w:tcPr>
          <w:p w14:paraId="1097AB86" w14:textId="77777777" w:rsidR="00206B4E" w:rsidRPr="007547E7" w:rsidRDefault="00206B4E" w:rsidP="00324820">
            <w:pPr>
              <w:spacing w:before="0" w:after="0" w:line="240" w:lineRule="auto"/>
              <w:jc w:val="center"/>
              <w:rPr>
                <w:rFonts w:asciiTheme="minorBidi" w:hAnsiTheme="minorBidi"/>
                <w:color w:val="000000"/>
                <w:sz w:val="18"/>
                <w:szCs w:val="18"/>
              </w:rPr>
            </w:pPr>
          </w:p>
        </w:tc>
        <w:tc>
          <w:tcPr>
            <w:tcW w:w="0" w:type="auto"/>
            <w:noWrap/>
            <w:vAlign w:val="bottom"/>
            <w:hideMark/>
          </w:tcPr>
          <w:p w14:paraId="259BFE89" w14:textId="77777777" w:rsidR="00206B4E" w:rsidRPr="007547E7" w:rsidRDefault="00206B4E" w:rsidP="00324820">
            <w:pPr>
              <w:spacing w:before="0" w:after="0" w:line="240" w:lineRule="auto"/>
              <w:rPr>
                <w:rFonts w:asciiTheme="minorBidi" w:hAnsiTheme="minorBidi"/>
                <w:sz w:val="18"/>
                <w:szCs w:val="18"/>
              </w:rPr>
            </w:pPr>
          </w:p>
        </w:tc>
        <w:tc>
          <w:tcPr>
            <w:tcW w:w="0" w:type="auto"/>
            <w:noWrap/>
            <w:textDirection w:val="btLr"/>
            <w:vAlign w:val="bottom"/>
            <w:hideMark/>
          </w:tcPr>
          <w:p w14:paraId="6C8092DA" w14:textId="66FAD604"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EESTI</w:t>
            </w:r>
          </w:p>
        </w:tc>
        <w:tc>
          <w:tcPr>
            <w:tcW w:w="0" w:type="auto"/>
            <w:noWrap/>
            <w:textDirection w:val="btLr"/>
            <w:vAlign w:val="bottom"/>
            <w:hideMark/>
          </w:tcPr>
          <w:p w14:paraId="1B8EA12B"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p>
        </w:tc>
        <w:tc>
          <w:tcPr>
            <w:tcW w:w="0" w:type="auto"/>
            <w:noWrap/>
            <w:textDirection w:val="btLr"/>
            <w:vAlign w:val="bottom"/>
            <w:hideMark/>
          </w:tcPr>
          <w:p w14:paraId="49C9BEB8" w14:textId="51E0766D"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 xml:space="preserve">TLN </w:t>
            </w:r>
          </w:p>
        </w:tc>
        <w:tc>
          <w:tcPr>
            <w:tcW w:w="0" w:type="auto"/>
            <w:noWrap/>
            <w:textDirection w:val="btLr"/>
            <w:vAlign w:val="bottom"/>
            <w:hideMark/>
          </w:tcPr>
          <w:p w14:paraId="5BA6795A" w14:textId="0A3798EE"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 xml:space="preserve">HAR - </w:t>
            </w:r>
            <w:r w:rsidR="001C794F" w:rsidRPr="00324820">
              <w:rPr>
                <w:rFonts w:asciiTheme="minorBidi" w:hAnsiTheme="minorBidi"/>
                <w:b/>
                <w:color w:val="000000"/>
                <w:sz w:val="18"/>
                <w:szCs w:val="18"/>
              </w:rPr>
              <w:t>TLN</w:t>
            </w:r>
          </w:p>
        </w:tc>
        <w:tc>
          <w:tcPr>
            <w:tcW w:w="0" w:type="auto"/>
            <w:noWrap/>
            <w:textDirection w:val="btLr"/>
            <w:vAlign w:val="bottom"/>
            <w:hideMark/>
          </w:tcPr>
          <w:p w14:paraId="1C8A49BD"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p>
        </w:tc>
        <w:tc>
          <w:tcPr>
            <w:tcW w:w="0" w:type="auto"/>
            <w:noWrap/>
            <w:textDirection w:val="btLr"/>
            <w:vAlign w:val="bottom"/>
            <w:hideMark/>
          </w:tcPr>
          <w:p w14:paraId="003B9B8D"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PÄR</w:t>
            </w:r>
          </w:p>
        </w:tc>
        <w:tc>
          <w:tcPr>
            <w:tcW w:w="0" w:type="auto"/>
            <w:noWrap/>
            <w:textDirection w:val="btLr"/>
            <w:vAlign w:val="bottom"/>
            <w:hideMark/>
          </w:tcPr>
          <w:p w14:paraId="09CB1311"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SAR</w:t>
            </w:r>
          </w:p>
        </w:tc>
        <w:tc>
          <w:tcPr>
            <w:tcW w:w="0" w:type="auto"/>
            <w:noWrap/>
            <w:textDirection w:val="btLr"/>
            <w:vAlign w:val="bottom"/>
            <w:hideMark/>
          </w:tcPr>
          <w:p w14:paraId="4EA73869"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LÄÄN</w:t>
            </w:r>
          </w:p>
        </w:tc>
        <w:tc>
          <w:tcPr>
            <w:tcW w:w="0" w:type="auto"/>
            <w:noWrap/>
            <w:textDirection w:val="btLr"/>
            <w:vAlign w:val="bottom"/>
            <w:hideMark/>
          </w:tcPr>
          <w:p w14:paraId="002BF612"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HII</w:t>
            </w:r>
          </w:p>
        </w:tc>
        <w:tc>
          <w:tcPr>
            <w:tcW w:w="0" w:type="auto"/>
            <w:noWrap/>
            <w:textDirection w:val="btLr"/>
            <w:vAlign w:val="bottom"/>
            <w:hideMark/>
          </w:tcPr>
          <w:p w14:paraId="318BC43E"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p>
        </w:tc>
        <w:tc>
          <w:tcPr>
            <w:tcW w:w="0" w:type="auto"/>
            <w:noWrap/>
            <w:textDirection w:val="btLr"/>
            <w:vAlign w:val="bottom"/>
            <w:hideMark/>
          </w:tcPr>
          <w:p w14:paraId="59F43EBD"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TAR</w:t>
            </w:r>
          </w:p>
        </w:tc>
        <w:tc>
          <w:tcPr>
            <w:tcW w:w="0" w:type="auto"/>
            <w:noWrap/>
            <w:textDirection w:val="btLr"/>
            <w:vAlign w:val="bottom"/>
            <w:hideMark/>
          </w:tcPr>
          <w:p w14:paraId="0A17B414"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VIL</w:t>
            </w:r>
          </w:p>
        </w:tc>
        <w:tc>
          <w:tcPr>
            <w:tcW w:w="0" w:type="auto"/>
            <w:noWrap/>
            <w:textDirection w:val="btLr"/>
            <w:vAlign w:val="bottom"/>
            <w:hideMark/>
          </w:tcPr>
          <w:p w14:paraId="4A640775"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VÕR</w:t>
            </w:r>
          </w:p>
        </w:tc>
        <w:tc>
          <w:tcPr>
            <w:tcW w:w="0" w:type="auto"/>
            <w:noWrap/>
            <w:textDirection w:val="btLr"/>
            <w:vAlign w:val="bottom"/>
            <w:hideMark/>
          </w:tcPr>
          <w:p w14:paraId="7A7EE313"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VAL</w:t>
            </w:r>
          </w:p>
        </w:tc>
        <w:tc>
          <w:tcPr>
            <w:tcW w:w="0" w:type="auto"/>
            <w:noWrap/>
            <w:textDirection w:val="btLr"/>
            <w:vAlign w:val="bottom"/>
            <w:hideMark/>
          </w:tcPr>
          <w:p w14:paraId="70DA4C5B"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PÕL</w:t>
            </w:r>
          </w:p>
        </w:tc>
        <w:tc>
          <w:tcPr>
            <w:tcW w:w="0" w:type="auto"/>
            <w:noWrap/>
            <w:textDirection w:val="btLr"/>
            <w:vAlign w:val="bottom"/>
            <w:hideMark/>
          </w:tcPr>
          <w:p w14:paraId="01B03407"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JÕG</w:t>
            </w:r>
          </w:p>
        </w:tc>
        <w:tc>
          <w:tcPr>
            <w:tcW w:w="0" w:type="auto"/>
            <w:noWrap/>
            <w:textDirection w:val="btLr"/>
            <w:vAlign w:val="bottom"/>
            <w:hideMark/>
          </w:tcPr>
          <w:p w14:paraId="5FC8927C"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p>
        </w:tc>
        <w:tc>
          <w:tcPr>
            <w:tcW w:w="0" w:type="auto"/>
            <w:noWrap/>
            <w:textDirection w:val="btLr"/>
            <w:vAlign w:val="bottom"/>
            <w:hideMark/>
          </w:tcPr>
          <w:p w14:paraId="2CA883C1"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JÄR</w:t>
            </w:r>
          </w:p>
        </w:tc>
        <w:tc>
          <w:tcPr>
            <w:tcW w:w="0" w:type="auto"/>
            <w:noWrap/>
            <w:textDirection w:val="btLr"/>
            <w:vAlign w:val="bottom"/>
            <w:hideMark/>
          </w:tcPr>
          <w:p w14:paraId="57D35263" w14:textId="77777777" w:rsidR="00206B4E" w:rsidRPr="00324820" w:rsidRDefault="00206B4E" w:rsidP="007547E7">
            <w:pPr>
              <w:spacing w:before="0" w:after="0" w:line="240" w:lineRule="auto"/>
              <w:ind w:left="113" w:right="6"/>
              <w:jc w:val="center"/>
              <w:rPr>
                <w:rFonts w:asciiTheme="minorBidi" w:hAnsiTheme="minorBidi"/>
                <w:b/>
                <w:color w:val="000000"/>
                <w:sz w:val="18"/>
                <w:szCs w:val="18"/>
              </w:rPr>
            </w:pPr>
            <w:r w:rsidRPr="00324820">
              <w:rPr>
                <w:rFonts w:asciiTheme="minorBidi" w:hAnsiTheme="minorBidi"/>
                <w:b/>
                <w:color w:val="000000"/>
                <w:sz w:val="18"/>
                <w:szCs w:val="18"/>
              </w:rPr>
              <w:t>RAP</w:t>
            </w:r>
          </w:p>
        </w:tc>
        <w:tc>
          <w:tcPr>
            <w:tcW w:w="0" w:type="auto"/>
            <w:noWrap/>
            <w:textDirection w:val="btLr"/>
            <w:vAlign w:val="bottom"/>
            <w:hideMark/>
          </w:tcPr>
          <w:p w14:paraId="610C808C"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L-VIR</w:t>
            </w:r>
          </w:p>
        </w:tc>
        <w:tc>
          <w:tcPr>
            <w:tcW w:w="0" w:type="auto"/>
            <w:noWrap/>
            <w:textDirection w:val="btLr"/>
            <w:vAlign w:val="bottom"/>
            <w:hideMark/>
          </w:tcPr>
          <w:p w14:paraId="37AC59DF"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p>
        </w:tc>
        <w:tc>
          <w:tcPr>
            <w:tcW w:w="0" w:type="auto"/>
            <w:noWrap/>
            <w:textDirection w:val="btLr"/>
            <w:vAlign w:val="bottom"/>
            <w:hideMark/>
          </w:tcPr>
          <w:p w14:paraId="6A007FC6" w14:textId="77777777" w:rsidR="00206B4E" w:rsidRPr="00324820" w:rsidRDefault="00206B4E" w:rsidP="007547E7">
            <w:pPr>
              <w:spacing w:before="0" w:after="0" w:line="240" w:lineRule="auto"/>
              <w:ind w:left="113" w:right="113"/>
              <w:jc w:val="center"/>
              <w:rPr>
                <w:rFonts w:asciiTheme="minorBidi" w:hAnsiTheme="minorBidi"/>
                <w:b/>
                <w:color w:val="000000"/>
                <w:sz w:val="18"/>
                <w:szCs w:val="18"/>
              </w:rPr>
            </w:pPr>
            <w:r w:rsidRPr="00324820">
              <w:rPr>
                <w:rFonts w:asciiTheme="minorBidi" w:hAnsiTheme="minorBidi"/>
                <w:b/>
                <w:color w:val="000000"/>
                <w:sz w:val="18"/>
                <w:szCs w:val="18"/>
              </w:rPr>
              <w:t>I-VIR</w:t>
            </w:r>
          </w:p>
        </w:tc>
      </w:tr>
      <w:tr w:rsidR="00206B4E" w:rsidRPr="00324820" w14:paraId="7E1A26A3" w14:textId="77777777" w:rsidTr="00C73629">
        <w:trPr>
          <w:trHeight w:val="320"/>
        </w:trPr>
        <w:tc>
          <w:tcPr>
            <w:tcW w:w="0" w:type="auto"/>
            <w:noWrap/>
            <w:vAlign w:val="bottom"/>
            <w:hideMark/>
          </w:tcPr>
          <w:p w14:paraId="25D15917" w14:textId="77777777" w:rsidR="00206B4E" w:rsidRPr="007547E7" w:rsidRDefault="00206B4E" w:rsidP="00324820">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2024</w:t>
            </w:r>
          </w:p>
        </w:tc>
        <w:tc>
          <w:tcPr>
            <w:tcW w:w="0" w:type="auto"/>
            <w:noWrap/>
            <w:vAlign w:val="bottom"/>
            <w:hideMark/>
          </w:tcPr>
          <w:p w14:paraId="6B53864B"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min</w:t>
            </w:r>
          </w:p>
        </w:tc>
        <w:tc>
          <w:tcPr>
            <w:tcW w:w="0" w:type="auto"/>
            <w:noWrap/>
            <w:vAlign w:val="bottom"/>
            <w:hideMark/>
          </w:tcPr>
          <w:p w14:paraId="7E53DB43" w14:textId="5967E58C"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8</w:t>
            </w:r>
            <w:r w:rsidR="00C77F1E">
              <w:rPr>
                <w:rFonts w:asciiTheme="minorBidi" w:hAnsiTheme="minorBidi"/>
                <w:sz w:val="18"/>
                <w:szCs w:val="18"/>
              </w:rPr>
              <w:t xml:space="preserve"> </w:t>
            </w:r>
            <w:r w:rsidRPr="002F7147">
              <w:rPr>
                <w:rFonts w:asciiTheme="minorBidi" w:hAnsiTheme="minorBidi"/>
                <w:sz w:val="18"/>
                <w:szCs w:val="18"/>
              </w:rPr>
              <w:t>181</w:t>
            </w:r>
          </w:p>
        </w:tc>
        <w:tc>
          <w:tcPr>
            <w:tcW w:w="0" w:type="auto"/>
            <w:noWrap/>
            <w:vAlign w:val="bottom"/>
            <w:hideMark/>
          </w:tcPr>
          <w:p w14:paraId="720F8875"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8F2D8BA" w14:textId="3F819F32" w:rsidR="00206B4E" w:rsidRPr="002F7147" w:rsidRDefault="00206B4E" w:rsidP="00C77F1E">
            <w:pPr>
              <w:spacing w:before="0" w:after="0" w:line="240" w:lineRule="auto"/>
              <w:ind w:right="-20"/>
              <w:jc w:val="right"/>
              <w:rPr>
                <w:rFonts w:asciiTheme="minorBidi" w:hAnsiTheme="minorBidi"/>
                <w:sz w:val="18"/>
                <w:szCs w:val="18"/>
              </w:rPr>
            </w:pPr>
            <w:r w:rsidRPr="002F7147">
              <w:rPr>
                <w:rFonts w:asciiTheme="minorBidi" w:hAnsiTheme="minorBidi"/>
                <w:sz w:val="18"/>
                <w:szCs w:val="18"/>
              </w:rPr>
              <w:t>2</w:t>
            </w:r>
            <w:r w:rsidR="00C77F1E">
              <w:rPr>
                <w:rFonts w:asciiTheme="minorBidi" w:hAnsiTheme="minorBidi"/>
                <w:sz w:val="18"/>
                <w:szCs w:val="18"/>
              </w:rPr>
              <w:t xml:space="preserve"> </w:t>
            </w:r>
            <w:r w:rsidRPr="002F7147">
              <w:rPr>
                <w:rFonts w:asciiTheme="minorBidi" w:hAnsiTheme="minorBidi"/>
                <w:sz w:val="18"/>
                <w:szCs w:val="18"/>
              </w:rPr>
              <w:t>651</w:t>
            </w:r>
          </w:p>
        </w:tc>
        <w:tc>
          <w:tcPr>
            <w:tcW w:w="0" w:type="auto"/>
            <w:noWrap/>
            <w:vAlign w:val="bottom"/>
            <w:hideMark/>
          </w:tcPr>
          <w:p w14:paraId="77714AE2" w14:textId="77777777" w:rsidR="00206B4E" w:rsidRPr="002F7147" w:rsidRDefault="00206B4E" w:rsidP="00C77F1E">
            <w:pPr>
              <w:spacing w:before="0" w:after="0" w:line="240" w:lineRule="auto"/>
              <w:ind w:left="-24" w:firstLine="24"/>
              <w:jc w:val="right"/>
              <w:rPr>
                <w:rFonts w:asciiTheme="minorBidi" w:hAnsiTheme="minorBidi"/>
                <w:sz w:val="18"/>
                <w:szCs w:val="18"/>
              </w:rPr>
            </w:pPr>
            <w:r w:rsidRPr="002F7147">
              <w:rPr>
                <w:rFonts w:asciiTheme="minorBidi" w:hAnsiTheme="minorBidi"/>
                <w:sz w:val="18"/>
                <w:szCs w:val="18"/>
              </w:rPr>
              <w:t>441</w:t>
            </w:r>
          </w:p>
        </w:tc>
        <w:tc>
          <w:tcPr>
            <w:tcW w:w="0" w:type="auto"/>
            <w:noWrap/>
            <w:vAlign w:val="bottom"/>
            <w:hideMark/>
          </w:tcPr>
          <w:p w14:paraId="5052AED8"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F0A804B" w14:textId="285ECA62"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w:t>
            </w:r>
            <w:r w:rsidR="00C77F1E">
              <w:rPr>
                <w:rFonts w:asciiTheme="minorBidi" w:hAnsiTheme="minorBidi"/>
                <w:sz w:val="18"/>
                <w:szCs w:val="18"/>
              </w:rPr>
              <w:t xml:space="preserve"> </w:t>
            </w:r>
            <w:r w:rsidRPr="002F7147">
              <w:rPr>
                <w:rFonts w:asciiTheme="minorBidi" w:hAnsiTheme="minorBidi"/>
                <w:sz w:val="18"/>
                <w:szCs w:val="18"/>
              </w:rPr>
              <w:t>251</w:t>
            </w:r>
          </w:p>
        </w:tc>
        <w:tc>
          <w:tcPr>
            <w:tcW w:w="0" w:type="auto"/>
            <w:noWrap/>
            <w:vAlign w:val="bottom"/>
            <w:hideMark/>
          </w:tcPr>
          <w:p w14:paraId="20E87F56"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737</w:t>
            </w:r>
          </w:p>
        </w:tc>
        <w:tc>
          <w:tcPr>
            <w:tcW w:w="0" w:type="auto"/>
            <w:noWrap/>
            <w:vAlign w:val="bottom"/>
            <w:hideMark/>
          </w:tcPr>
          <w:p w14:paraId="1269C1AA"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423</w:t>
            </w:r>
          </w:p>
        </w:tc>
        <w:tc>
          <w:tcPr>
            <w:tcW w:w="0" w:type="auto"/>
            <w:noWrap/>
            <w:vAlign w:val="bottom"/>
            <w:hideMark/>
          </w:tcPr>
          <w:p w14:paraId="7E374BCE"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265</w:t>
            </w:r>
          </w:p>
        </w:tc>
        <w:tc>
          <w:tcPr>
            <w:tcW w:w="0" w:type="auto"/>
            <w:noWrap/>
            <w:vAlign w:val="bottom"/>
            <w:hideMark/>
          </w:tcPr>
          <w:p w14:paraId="2A640EC1"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B96D1C3"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788</w:t>
            </w:r>
          </w:p>
        </w:tc>
        <w:tc>
          <w:tcPr>
            <w:tcW w:w="0" w:type="auto"/>
            <w:noWrap/>
            <w:vAlign w:val="bottom"/>
            <w:hideMark/>
          </w:tcPr>
          <w:p w14:paraId="43FA02E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217</w:t>
            </w:r>
          </w:p>
        </w:tc>
        <w:tc>
          <w:tcPr>
            <w:tcW w:w="0" w:type="auto"/>
            <w:noWrap/>
            <w:vAlign w:val="bottom"/>
            <w:hideMark/>
          </w:tcPr>
          <w:p w14:paraId="694E225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264</w:t>
            </w:r>
          </w:p>
        </w:tc>
        <w:tc>
          <w:tcPr>
            <w:tcW w:w="0" w:type="auto"/>
            <w:noWrap/>
            <w:vAlign w:val="bottom"/>
            <w:hideMark/>
          </w:tcPr>
          <w:p w14:paraId="75878BC9"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252</w:t>
            </w:r>
          </w:p>
        </w:tc>
        <w:tc>
          <w:tcPr>
            <w:tcW w:w="0" w:type="auto"/>
            <w:noWrap/>
            <w:vAlign w:val="bottom"/>
            <w:hideMark/>
          </w:tcPr>
          <w:p w14:paraId="6C0AA2B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120</w:t>
            </w:r>
          </w:p>
        </w:tc>
        <w:tc>
          <w:tcPr>
            <w:tcW w:w="0" w:type="auto"/>
            <w:noWrap/>
            <w:vAlign w:val="bottom"/>
            <w:hideMark/>
          </w:tcPr>
          <w:p w14:paraId="6F113AB1"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113</w:t>
            </w:r>
          </w:p>
        </w:tc>
        <w:tc>
          <w:tcPr>
            <w:tcW w:w="0" w:type="auto"/>
            <w:noWrap/>
            <w:vAlign w:val="bottom"/>
            <w:hideMark/>
          </w:tcPr>
          <w:p w14:paraId="03058E04"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725F0B8"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63</w:t>
            </w:r>
          </w:p>
        </w:tc>
        <w:tc>
          <w:tcPr>
            <w:tcW w:w="0" w:type="auto"/>
            <w:noWrap/>
            <w:vAlign w:val="bottom"/>
            <w:hideMark/>
          </w:tcPr>
          <w:p w14:paraId="55907E5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71</w:t>
            </w:r>
          </w:p>
        </w:tc>
        <w:tc>
          <w:tcPr>
            <w:tcW w:w="0" w:type="auto"/>
            <w:noWrap/>
            <w:vAlign w:val="bottom"/>
            <w:hideMark/>
          </w:tcPr>
          <w:p w14:paraId="234BA29E"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225</w:t>
            </w:r>
          </w:p>
        </w:tc>
        <w:tc>
          <w:tcPr>
            <w:tcW w:w="0" w:type="auto"/>
            <w:noWrap/>
            <w:vAlign w:val="bottom"/>
            <w:hideMark/>
          </w:tcPr>
          <w:p w14:paraId="27AA5BD8"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D923C25"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338</w:t>
            </w:r>
          </w:p>
        </w:tc>
      </w:tr>
      <w:tr w:rsidR="00206B4E" w:rsidRPr="00324820" w14:paraId="1C9D634B" w14:textId="77777777" w:rsidTr="00C73629">
        <w:trPr>
          <w:trHeight w:val="320"/>
        </w:trPr>
        <w:tc>
          <w:tcPr>
            <w:tcW w:w="0" w:type="auto"/>
            <w:noWrap/>
            <w:vAlign w:val="bottom"/>
            <w:hideMark/>
          </w:tcPr>
          <w:p w14:paraId="4C493B31" w14:textId="77777777" w:rsidR="00206B4E" w:rsidRPr="007547E7" w:rsidRDefault="00206B4E" w:rsidP="00324820">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2024</w:t>
            </w:r>
          </w:p>
        </w:tc>
        <w:tc>
          <w:tcPr>
            <w:tcW w:w="0" w:type="auto"/>
            <w:noWrap/>
            <w:vAlign w:val="bottom"/>
            <w:hideMark/>
          </w:tcPr>
          <w:p w14:paraId="3070A9EF"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max</w:t>
            </w:r>
          </w:p>
        </w:tc>
        <w:tc>
          <w:tcPr>
            <w:tcW w:w="0" w:type="auto"/>
            <w:noWrap/>
            <w:vAlign w:val="bottom"/>
            <w:hideMark/>
          </w:tcPr>
          <w:p w14:paraId="6D33F536" w14:textId="6AB605BE"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10</w:t>
            </w:r>
            <w:r w:rsidR="00C77F1E">
              <w:rPr>
                <w:rFonts w:asciiTheme="minorBidi" w:hAnsiTheme="minorBidi"/>
                <w:sz w:val="18"/>
                <w:szCs w:val="18"/>
              </w:rPr>
              <w:t xml:space="preserve"> </w:t>
            </w:r>
            <w:r w:rsidRPr="002F7147">
              <w:rPr>
                <w:rFonts w:asciiTheme="minorBidi" w:hAnsiTheme="minorBidi"/>
                <w:sz w:val="18"/>
                <w:szCs w:val="18"/>
              </w:rPr>
              <w:t>494</w:t>
            </w:r>
          </w:p>
        </w:tc>
        <w:tc>
          <w:tcPr>
            <w:tcW w:w="0" w:type="auto"/>
            <w:noWrap/>
            <w:vAlign w:val="bottom"/>
            <w:hideMark/>
          </w:tcPr>
          <w:p w14:paraId="7D530C14"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6035805" w14:textId="043F0133"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w:t>
            </w:r>
            <w:r w:rsidR="00C77F1E">
              <w:rPr>
                <w:rFonts w:asciiTheme="minorBidi" w:hAnsiTheme="minorBidi"/>
                <w:sz w:val="18"/>
                <w:szCs w:val="18"/>
              </w:rPr>
              <w:t xml:space="preserve"> </w:t>
            </w:r>
            <w:r w:rsidRPr="002F7147">
              <w:rPr>
                <w:rFonts w:asciiTheme="minorBidi" w:hAnsiTheme="minorBidi"/>
                <w:sz w:val="18"/>
                <w:szCs w:val="18"/>
              </w:rPr>
              <w:t>986</w:t>
            </w:r>
          </w:p>
        </w:tc>
        <w:tc>
          <w:tcPr>
            <w:tcW w:w="0" w:type="auto"/>
            <w:noWrap/>
            <w:vAlign w:val="bottom"/>
            <w:hideMark/>
          </w:tcPr>
          <w:p w14:paraId="7954A249"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590</w:t>
            </w:r>
          </w:p>
        </w:tc>
        <w:tc>
          <w:tcPr>
            <w:tcW w:w="0" w:type="auto"/>
            <w:noWrap/>
            <w:vAlign w:val="bottom"/>
            <w:hideMark/>
          </w:tcPr>
          <w:p w14:paraId="3EE2CF11"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E2EA575" w14:textId="0C881221"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w:t>
            </w:r>
            <w:r w:rsidR="00C77F1E">
              <w:rPr>
                <w:rFonts w:asciiTheme="minorBidi" w:hAnsiTheme="minorBidi"/>
                <w:sz w:val="18"/>
                <w:szCs w:val="18"/>
              </w:rPr>
              <w:t xml:space="preserve"> </w:t>
            </w:r>
            <w:r w:rsidRPr="002F7147">
              <w:rPr>
                <w:rFonts w:asciiTheme="minorBidi" w:hAnsiTheme="minorBidi"/>
                <w:sz w:val="18"/>
                <w:szCs w:val="18"/>
              </w:rPr>
              <w:t>870</w:t>
            </w:r>
          </w:p>
        </w:tc>
        <w:tc>
          <w:tcPr>
            <w:tcW w:w="0" w:type="auto"/>
            <w:noWrap/>
            <w:vAlign w:val="bottom"/>
            <w:hideMark/>
          </w:tcPr>
          <w:p w14:paraId="7E8E2AA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941</w:t>
            </w:r>
          </w:p>
        </w:tc>
        <w:tc>
          <w:tcPr>
            <w:tcW w:w="0" w:type="auto"/>
            <w:noWrap/>
            <w:vAlign w:val="bottom"/>
            <w:hideMark/>
          </w:tcPr>
          <w:p w14:paraId="2F074EDE"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599</w:t>
            </w:r>
          </w:p>
        </w:tc>
        <w:tc>
          <w:tcPr>
            <w:tcW w:w="0" w:type="auto"/>
            <w:noWrap/>
            <w:vAlign w:val="bottom"/>
            <w:hideMark/>
          </w:tcPr>
          <w:p w14:paraId="46695A6A"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373</w:t>
            </w:r>
          </w:p>
        </w:tc>
        <w:tc>
          <w:tcPr>
            <w:tcW w:w="0" w:type="auto"/>
            <w:noWrap/>
            <w:vAlign w:val="bottom"/>
            <w:hideMark/>
          </w:tcPr>
          <w:p w14:paraId="52BE5E16"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C2C5A11"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986</w:t>
            </w:r>
          </w:p>
        </w:tc>
        <w:tc>
          <w:tcPr>
            <w:tcW w:w="0" w:type="auto"/>
            <w:noWrap/>
            <w:vAlign w:val="bottom"/>
            <w:hideMark/>
          </w:tcPr>
          <w:p w14:paraId="7C88237A"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331</w:t>
            </w:r>
          </w:p>
        </w:tc>
        <w:tc>
          <w:tcPr>
            <w:tcW w:w="0" w:type="auto"/>
            <w:noWrap/>
            <w:vAlign w:val="bottom"/>
            <w:hideMark/>
          </w:tcPr>
          <w:p w14:paraId="0DC5EF5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332</w:t>
            </w:r>
          </w:p>
        </w:tc>
        <w:tc>
          <w:tcPr>
            <w:tcW w:w="0" w:type="auto"/>
            <w:noWrap/>
            <w:vAlign w:val="bottom"/>
            <w:hideMark/>
          </w:tcPr>
          <w:p w14:paraId="7D7BA55B"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297</w:t>
            </w:r>
          </w:p>
        </w:tc>
        <w:tc>
          <w:tcPr>
            <w:tcW w:w="0" w:type="auto"/>
            <w:noWrap/>
            <w:vAlign w:val="bottom"/>
            <w:hideMark/>
          </w:tcPr>
          <w:p w14:paraId="0B83A293"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153</w:t>
            </w:r>
          </w:p>
        </w:tc>
        <w:tc>
          <w:tcPr>
            <w:tcW w:w="0" w:type="auto"/>
            <w:noWrap/>
            <w:vAlign w:val="bottom"/>
            <w:hideMark/>
          </w:tcPr>
          <w:p w14:paraId="5400A776"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138</w:t>
            </w:r>
          </w:p>
        </w:tc>
        <w:tc>
          <w:tcPr>
            <w:tcW w:w="0" w:type="auto"/>
            <w:noWrap/>
            <w:vAlign w:val="bottom"/>
            <w:hideMark/>
          </w:tcPr>
          <w:p w14:paraId="38252D57"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549236C"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100</w:t>
            </w:r>
          </w:p>
        </w:tc>
        <w:tc>
          <w:tcPr>
            <w:tcW w:w="0" w:type="auto"/>
            <w:noWrap/>
            <w:vAlign w:val="bottom"/>
            <w:hideMark/>
          </w:tcPr>
          <w:p w14:paraId="61E09E4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93</w:t>
            </w:r>
          </w:p>
        </w:tc>
        <w:tc>
          <w:tcPr>
            <w:tcW w:w="0" w:type="auto"/>
            <w:noWrap/>
            <w:vAlign w:val="bottom"/>
            <w:hideMark/>
          </w:tcPr>
          <w:p w14:paraId="012504E8"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297</w:t>
            </w:r>
          </w:p>
        </w:tc>
        <w:tc>
          <w:tcPr>
            <w:tcW w:w="0" w:type="auto"/>
            <w:noWrap/>
            <w:vAlign w:val="bottom"/>
            <w:hideMark/>
          </w:tcPr>
          <w:p w14:paraId="0439D61B"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9D7888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481</w:t>
            </w:r>
          </w:p>
        </w:tc>
      </w:tr>
      <w:tr w:rsidR="00206B4E" w:rsidRPr="00324820" w14:paraId="7B04DE80" w14:textId="77777777" w:rsidTr="00C73629">
        <w:trPr>
          <w:trHeight w:val="240"/>
        </w:trPr>
        <w:tc>
          <w:tcPr>
            <w:tcW w:w="0" w:type="auto"/>
            <w:noWrap/>
            <w:vAlign w:val="bottom"/>
            <w:hideMark/>
          </w:tcPr>
          <w:p w14:paraId="5CF6E9F8" w14:textId="77777777" w:rsidR="00206B4E" w:rsidRPr="007547E7" w:rsidRDefault="00206B4E" w:rsidP="00324820">
            <w:pPr>
              <w:spacing w:before="0" w:after="0" w:line="240" w:lineRule="auto"/>
              <w:jc w:val="center"/>
              <w:rPr>
                <w:rFonts w:asciiTheme="minorBidi" w:hAnsiTheme="minorBidi"/>
                <w:color w:val="7030A0"/>
                <w:sz w:val="18"/>
                <w:szCs w:val="18"/>
              </w:rPr>
            </w:pPr>
          </w:p>
        </w:tc>
        <w:tc>
          <w:tcPr>
            <w:tcW w:w="0" w:type="auto"/>
            <w:noWrap/>
            <w:vAlign w:val="bottom"/>
            <w:hideMark/>
          </w:tcPr>
          <w:p w14:paraId="077AB201" w14:textId="77777777" w:rsidR="00206B4E" w:rsidRPr="007547E7" w:rsidRDefault="00206B4E" w:rsidP="00324820">
            <w:pPr>
              <w:spacing w:before="0" w:after="0" w:line="240" w:lineRule="auto"/>
              <w:rPr>
                <w:rFonts w:asciiTheme="minorBidi" w:hAnsiTheme="minorBidi"/>
                <w:sz w:val="18"/>
                <w:szCs w:val="18"/>
              </w:rPr>
            </w:pPr>
          </w:p>
        </w:tc>
        <w:tc>
          <w:tcPr>
            <w:tcW w:w="0" w:type="auto"/>
            <w:noWrap/>
            <w:vAlign w:val="bottom"/>
            <w:hideMark/>
          </w:tcPr>
          <w:p w14:paraId="090B7ADA" w14:textId="37B5AC20"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874B04D"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F9C28CD"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4D62E78"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7C17DF3"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5098A46"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A0A85B6"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0B84858"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8BC3EC5"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8C0ED7F"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C640A7D"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4F31FDF"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E1A8C46"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B84203D"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6D59097"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A18AED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FF7907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76D3D4E"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4D5B5A5"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5A672C0"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D8D1AAD"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9451A0A" w14:textId="77777777" w:rsidR="00206B4E" w:rsidRPr="002F7147" w:rsidRDefault="00206B4E" w:rsidP="00C77F1E">
            <w:pPr>
              <w:spacing w:before="0" w:after="0" w:line="240" w:lineRule="auto"/>
              <w:jc w:val="right"/>
              <w:rPr>
                <w:rFonts w:asciiTheme="minorBidi" w:hAnsiTheme="minorBidi"/>
                <w:sz w:val="18"/>
                <w:szCs w:val="18"/>
              </w:rPr>
            </w:pPr>
          </w:p>
        </w:tc>
      </w:tr>
      <w:tr w:rsidR="00206B4E" w:rsidRPr="00324820" w14:paraId="776D2F9B" w14:textId="77777777" w:rsidTr="00C73629">
        <w:trPr>
          <w:trHeight w:val="320"/>
        </w:trPr>
        <w:tc>
          <w:tcPr>
            <w:tcW w:w="0" w:type="auto"/>
            <w:noWrap/>
            <w:vAlign w:val="bottom"/>
            <w:hideMark/>
          </w:tcPr>
          <w:p w14:paraId="04D8D1C9" w14:textId="77777777" w:rsidR="00206B4E" w:rsidRPr="007547E7" w:rsidRDefault="00206B4E" w:rsidP="00324820">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2023</w:t>
            </w:r>
          </w:p>
        </w:tc>
        <w:tc>
          <w:tcPr>
            <w:tcW w:w="0" w:type="auto"/>
            <w:noWrap/>
            <w:vAlign w:val="bottom"/>
            <w:hideMark/>
          </w:tcPr>
          <w:p w14:paraId="0CF4B41C"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min</w:t>
            </w:r>
          </w:p>
        </w:tc>
        <w:tc>
          <w:tcPr>
            <w:tcW w:w="0" w:type="auto"/>
            <w:noWrap/>
            <w:vAlign w:val="bottom"/>
            <w:hideMark/>
          </w:tcPr>
          <w:p w14:paraId="22AE5078" w14:textId="4828D3A9"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w:t>
            </w:r>
            <w:r w:rsidR="00C77F1E">
              <w:rPr>
                <w:rFonts w:asciiTheme="minorBidi" w:hAnsiTheme="minorBidi"/>
                <w:sz w:val="18"/>
                <w:szCs w:val="18"/>
              </w:rPr>
              <w:t xml:space="preserve"> </w:t>
            </w:r>
            <w:r w:rsidRPr="002F7147">
              <w:rPr>
                <w:rFonts w:asciiTheme="minorBidi" w:hAnsiTheme="minorBidi"/>
                <w:sz w:val="18"/>
                <w:szCs w:val="18"/>
              </w:rPr>
              <w:t>189</w:t>
            </w:r>
          </w:p>
        </w:tc>
        <w:tc>
          <w:tcPr>
            <w:tcW w:w="0" w:type="auto"/>
            <w:noWrap/>
            <w:vAlign w:val="bottom"/>
            <w:hideMark/>
          </w:tcPr>
          <w:p w14:paraId="1451CB36"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0ED9243" w14:textId="5AFE18E6"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w:t>
            </w:r>
            <w:r w:rsidR="00C77F1E">
              <w:rPr>
                <w:rFonts w:asciiTheme="minorBidi" w:hAnsiTheme="minorBidi"/>
                <w:sz w:val="18"/>
                <w:szCs w:val="18"/>
              </w:rPr>
              <w:t xml:space="preserve"> </w:t>
            </w:r>
            <w:r w:rsidRPr="002F7147">
              <w:rPr>
                <w:rFonts w:asciiTheme="minorBidi" w:hAnsiTheme="minorBidi"/>
                <w:sz w:val="18"/>
                <w:szCs w:val="18"/>
              </w:rPr>
              <w:t>218</w:t>
            </w:r>
          </w:p>
        </w:tc>
        <w:tc>
          <w:tcPr>
            <w:tcW w:w="0" w:type="auto"/>
            <w:noWrap/>
            <w:vAlign w:val="bottom"/>
            <w:hideMark/>
          </w:tcPr>
          <w:p w14:paraId="5510DE4B"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433</w:t>
            </w:r>
          </w:p>
        </w:tc>
        <w:tc>
          <w:tcPr>
            <w:tcW w:w="0" w:type="auto"/>
            <w:noWrap/>
            <w:vAlign w:val="bottom"/>
            <w:hideMark/>
          </w:tcPr>
          <w:p w14:paraId="032CC7CE"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7F9D42B" w14:textId="756B1841"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w:t>
            </w:r>
            <w:r w:rsidR="00C77F1E">
              <w:rPr>
                <w:rFonts w:asciiTheme="minorBidi" w:hAnsiTheme="minorBidi"/>
                <w:sz w:val="18"/>
                <w:szCs w:val="18"/>
              </w:rPr>
              <w:t xml:space="preserve"> </w:t>
            </w:r>
            <w:r w:rsidRPr="002F7147">
              <w:rPr>
                <w:rFonts w:asciiTheme="minorBidi" w:hAnsiTheme="minorBidi"/>
                <w:sz w:val="18"/>
                <w:szCs w:val="18"/>
              </w:rPr>
              <w:t>105</w:t>
            </w:r>
          </w:p>
        </w:tc>
        <w:tc>
          <w:tcPr>
            <w:tcW w:w="0" w:type="auto"/>
            <w:noWrap/>
            <w:vAlign w:val="bottom"/>
            <w:hideMark/>
          </w:tcPr>
          <w:p w14:paraId="764D6783"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600</w:t>
            </w:r>
          </w:p>
        </w:tc>
        <w:tc>
          <w:tcPr>
            <w:tcW w:w="0" w:type="auto"/>
            <w:noWrap/>
            <w:vAlign w:val="bottom"/>
            <w:hideMark/>
          </w:tcPr>
          <w:p w14:paraId="12890108"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359</w:t>
            </w:r>
          </w:p>
        </w:tc>
        <w:tc>
          <w:tcPr>
            <w:tcW w:w="0" w:type="auto"/>
            <w:noWrap/>
            <w:vAlign w:val="bottom"/>
            <w:hideMark/>
          </w:tcPr>
          <w:p w14:paraId="2CF94DE0"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229</w:t>
            </w:r>
          </w:p>
        </w:tc>
        <w:tc>
          <w:tcPr>
            <w:tcW w:w="0" w:type="auto"/>
            <w:noWrap/>
            <w:vAlign w:val="bottom"/>
            <w:hideMark/>
          </w:tcPr>
          <w:p w14:paraId="732D462A"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AE9B783"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687</w:t>
            </w:r>
          </w:p>
        </w:tc>
        <w:tc>
          <w:tcPr>
            <w:tcW w:w="0" w:type="auto"/>
            <w:noWrap/>
            <w:vAlign w:val="bottom"/>
            <w:hideMark/>
          </w:tcPr>
          <w:p w14:paraId="6331F8F9"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182</w:t>
            </w:r>
          </w:p>
        </w:tc>
        <w:tc>
          <w:tcPr>
            <w:tcW w:w="0" w:type="auto"/>
            <w:noWrap/>
            <w:vAlign w:val="bottom"/>
            <w:hideMark/>
          </w:tcPr>
          <w:p w14:paraId="0F29673D"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234</w:t>
            </w:r>
          </w:p>
        </w:tc>
        <w:tc>
          <w:tcPr>
            <w:tcW w:w="0" w:type="auto"/>
            <w:noWrap/>
            <w:vAlign w:val="bottom"/>
            <w:hideMark/>
          </w:tcPr>
          <w:p w14:paraId="426A4F86"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226</w:t>
            </w:r>
          </w:p>
        </w:tc>
        <w:tc>
          <w:tcPr>
            <w:tcW w:w="0" w:type="auto"/>
            <w:noWrap/>
            <w:vAlign w:val="bottom"/>
            <w:hideMark/>
          </w:tcPr>
          <w:p w14:paraId="0379A2A6"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101</w:t>
            </w:r>
          </w:p>
        </w:tc>
        <w:tc>
          <w:tcPr>
            <w:tcW w:w="0" w:type="auto"/>
            <w:noWrap/>
            <w:vAlign w:val="bottom"/>
            <w:hideMark/>
          </w:tcPr>
          <w:p w14:paraId="6C615B0C"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110</w:t>
            </w:r>
          </w:p>
        </w:tc>
        <w:tc>
          <w:tcPr>
            <w:tcW w:w="0" w:type="auto"/>
            <w:noWrap/>
            <w:vAlign w:val="bottom"/>
            <w:hideMark/>
          </w:tcPr>
          <w:p w14:paraId="6DEEC3A8"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BD4FE3C"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63</w:t>
            </w:r>
          </w:p>
        </w:tc>
        <w:tc>
          <w:tcPr>
            <w:tcW w:w="0" w:type="auto"/>
            <w:noWrap/>
            <w:vAlign w:val="bottom"/>
            <w:hideMark/>
          </w:tcPr>
          <w:p w14:paraId="352A4DE4"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59</w:t>
            </w:r>
          </w:p>
        </w:tc>
        <w:tc>
          <w:tcPr>
            <w:tcW w:w="0" w:type="auto"/>
            <w:noWrap/>
            <w:vAlign w:val="bottom"/>
            <w:hideMark/>
          </w:tcPr>
          <w:p w14:paraId="32FAF4AD"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207</w:t>
            </w:r>
          </w:p>
        </w:tc>
        <w:tc>
          <w:tcPr>
            <w:tcW w:w="0" w:type="auto"/>
            <w:noWrap/>
            <w:vAlign w:val="bottom"/>
            <w:hideMark/>
          </w:tcPr>
          <w:p w14:paraId="60896A4F"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2C0544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324</w:t>
            </w:r>
          </w:p>
        </w:tc>
      </w:tr>
      <w:tr w:rsidR="00206B4E" w:rsidRPr="00324820" w14:paraId="67BCDAB4" w14:textId="77777777" w:rsidTr="00C73629">
        <w:trPr>
          <w:trHeight w:val="320"/>
        </w:trPr>
        <w:tc>
          <w:tcPr>
            <w:tcW w:w="0" w:type="auto"/>
            <w:noWrap/>
            <w:vAlign w:val="bottom"/>
            <w:hideMark/>
          </w:tcPr>
          <w:p w14:paraId="32C84006" w14:textId="77777777" w:rsidR="00206B4E" w:rsidRPr="007547E7" w:rsidRDefault="00206B4E" w:rsidP="00324820">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2023</w:t>
            </w:r>
          </w:p>
        </w:tc>
        <w:tc>
          <w:tcPr>
            <w:tcW w:w="0" w:type="auto"/>
            <w:noWrap/>
            <w:vAlign w:val="bottom"/>
            <w:hideMark/>
          </w:tcPr>
          <w:p w14:paraId="474D039D"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max</w:t>
            </w:r>
          </w:p>
        </w:tc>
        <w:tc>
          <w:tcPr>
            <w:tcW w:w="0" w:type="auto"/>
            <w:noWrap/>
            <w:vAlign w:val="bottom"/>
            <w:hideMark/>
          </w:tcPr>
          <w:p w14:paraId="70908B47" w14:textId="7959868E"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9</w:t>
            </w:r>
            <w:r w:rsidR="00C77F1E">
              <w:rPr>
                <w:rFonts w:asciiTheme="minorBidi" w:hAnsiTheme="minorBidi"/>
                <w:sz w:val="18"/>
                <w:szCs w:val="18"/>
              </w:rPr>
              <w:t xml:space="preserve"> </w:t>
            </w:r>
            <w:r w:rsidRPr="002F7147">
              <w:rPr>
                <w:rFonts w:asciiTheme="minorBidi" w:hAnsiTheme="minorBidi"/>
                <w:sz w:val="18"/>
                <w:szCs w:val="18"/>
              </w:rPr>
              <w:t>694</w:t>
            </w:r>
          </w:p>
        </w:tc>
        <w:tc>
          <w:tcPr>
            <w:tcW w:w="0" w:type="auto"/>
            <w:noWrap/>
            <w:vAlign w:val="bottom"/>
            <w:hideMark/>
          </w:tcPr>
          <w:p w14:paraId="743C1C8C"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1202D81" w14:textId="62702572"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w:t>
            </w:r>
            <w:r w:rsidR="00C77F1E">
              <w:rPr>
                <w:rFonts w:asciiTheme="minorBidi" w:hAnsiTheme="minorBidi"/>
                <w:sz w:val="18"/>
                <w:szCs w:val="18"/>
              </w:rPr>
              <w:t xml:space="preserve"> </w:t>
            </w:r>
            <w:r w:rsidRPr="002F7147">
              <w:rPr>
                <w:rFonts w:asciiTheme="minorBidi" w:hAnsiTheme="minorBidi"/>
                <w:sz w:val="18"/>
                <w:szCs w:val="18"/>
              </w:rPr>
              <w:t>817</w:t>
            </w:r>
          </w:p>
        </w:tc>
        <w:tc>
          <w:tcPr>
            <w:tcW w:w="0" w:type="auto"/>
            <w:noWrap/>
            <w:vAlign w:val="bottom"/>
            <w:hideMark/>
          </w:tcPr>
          <w:p w14:paraId="0A7E9771"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524</w:t>
            </w:r>
          </w:p>
        </w:tc>
        <w:tc>
          <w:tcPr>
            <w:tcW w:w="0" w:type="auto"/>
            <w:noWrap/>
            <w:vAlign w:val="bottom"/>
            <w:hideMark/>
          </w:tcPr>
          <w:p w14:paraId="35847AE8"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66BDA3E" w14:textId="1ACDC13F"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w:t>
            </w:r>
            <w:r w:rsidR="00C77F1E">
              <w:rPr>
                <w:rFonts w:asciiTheme="minorBidi" w:hAnsiTheme="minorBidi"/>
                <w:sz w:val="18"/>
                <w:szCs w:val="18"/>
              </w:rPr>
              <w:t xml:space="preserve"> </w:t>
            </w:r>
            <w:r w:rsidRPr="002F7147">
              <w:rPr>
                <w:rFonts w:asciiTheme="minorBidi" w:hAnsiTheme="minorBidi"/>
                <w:sz w:val="18"/>
                <w:szCs w:val="18"/>
              </w:rPr>
              <w:t>762</w:t>
            </w:r>
          </w:p>
        </w:tc>
        <w:tc>
          <w:tcPr>
            <w:tcW w:w="0" w:type="auto"/>
            <w:noWrap/>
            <w:vAlign w:val="bottom"/>
            <w:hideMark/>
          </w:tcPr>
          <w:p w14:paraId="62A04CB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889</w:t>
            </w:r>
          </w:p>
        </w:tc>
        <w:tc>
          <w:tcPr>
            <w:tcW w:w="0" w:type="auto"/>
            <w:noWrap/>
            <w:vAlign w:val="bottom"/>
            <w:hideMark/>
          </w:tcPr>
          <w:p w14:paraId="3AAB3024"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571</w:t>
            </w:r>
          </w:p>
        </w:tc>
        <w:tc>
          <w:tcPr>
            <w:tcW w:w="0" w:type="auto"/>
            <w:noWrap/>
            <w:vAlign w:val="bottom"/>
            <w:hideMark/>
          </w:tcPr>
          <w:p w14:paraId="5462A8FF"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331</w:t>
            </w:r>
          </w:p>
        </w:tc>
        <w:tc>
          <w:tcPr>
            <w:tcW w:w="0" w:type="auto"/>
            <w:noWrap/>
            <w:vAlign w:val="bottom"/>
            <w:hideMark/>
          </w:tcPr>
          <w:p w14:paraId="67FA294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30DB50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942</w:t>
            </w:r>
          </w:p>
        </w:tc>
        <w:tc>
          <w:tcPr>
            <w:tcW w:w="0" w:type="auto"/>
            <w:noWrap/>
            <w:vAlign w:val="bottom"/>
            <w:hideMark/>
          </w:tcPr>
          <w:p w14:paraId="3FE67E2C"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285</w:t>
            </w:r>
          </w:p>
        </w:tc>
        <w:tc>
          <w:tcPr>
            <w:tcW w:w="0" w:type="auto"/>
            <w:noWrap/>
            <w:vAlign w:val="bottom"/>
            <w:hideMark/>
          </w:tcPr>
          <w:p w14:paraId="08833369"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305</w:t>
            </w:r>
          </w:p>
        </w:tc>
        <w:tc>
          <w:tcPr>
            <w:tcW w:w="0" w:type="auto"/>
            <w:noWrap/>
            <w:vAlign w:val="bottom"/>
            <w:hideMark/>
          </w:tcPr>
          <w:p w14:paraId="2C57E9F5"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272</w:t>
            </w:r>
          </w:p>
        </w:tc>
        <w:tc>
          <w:tcPr>
            <w:tcW w:w="0" w:type="auto"/>
            <w:noWrap/>
            <w:vAlign w:val="bottom"/>
            <w:hideMark/>
          </w:tcPr>
          <w:p w14:paraId="43B7394A"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147</w:t>
            </w:r>
          </w:p>
        </w:tc>
        <w:tc>
          <w:tcPr>
            <w:tcW w:w="0" w:type="auto"/>
            <w:noWrap/>
            <w:vAlign w:val="bottom"/>
            <w:hideMark/>
          </w:tcPr>
          <w:p w14:paraId="671DAB31"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139</w:t>
            </w:r>
          </w:p>
        </w:tc>
        <w:tc>
          <w:tcPr>
            <w:tcW w:w="0" w:type="auto"/>
            <w:noWrap/>
            <w:vAlign w:val="bottom"/>
            <w:hideMark/>
          </w:tcPr>
          <w:p w14:paraId="783D526F"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3907225"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76</w:t>
            </w:r>
          </w:p>
        </w:tc>
        <w:tc>
          <w:tcPr>
            <w:tcW w:w="0" w:type="auto"/>
            <w:noWrap/>
            <w:vAlign w:val="bottom"/>
            <w:hideMark/>
          </w:tcPr>
          <w:p w14:paraId="3777DF2B"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84</w:t>
            </w:r>
          </w:p>
        </w:tc>
        <w:tc>
          <w:tcPr>
            <w:tcW w:w="0" w:type="auto"/>
            <w:noWrap/>
            <w:vAlign w:val="bottom"/>
            <w:hideMark/>
          </w:tcPr>
          <w:p w14:paraId="0CB9336A"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272</w:t>
            </w:r>
          </w:p>
        </w:tc>
        <w:tc>
          <w:tcPr>
            <w:tcW w:w="0" w:type="auto"/>
            <w:noWrap/>
            <w:vAlign w:val="bottom"/>
            <w:hideMark/>
          </w:tcPr>
          <w:p w14:paraId="37F6253A"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8FEF2FD"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420</w:t>
            </w:r>
          </w:p>
        </w:tc>
      </w:tr>
      <w:tr w:rsidR="00206B4E" w:rsidRPr="00324820" w14:paraId="1842ACED" w14:textId="77777777" w:rsidTr="00C73629">
        <w:trPr>
          <w:trHeight w:val="240"/>
        </w:trPr>
        <w:tc>
          <w:tcPr>
            <w:tcW w:w="0" w:type="auto"/>
            <w:noWrap/>
            <w:vAlign w:val="bottom"/>
            <w:hideMark/>
          </w:tcPr>
          <w:p w14:paraId="531F22E7" w14:textId="77777777" w:rsidR="00206B4E" w:rsidRPr="007547E7" w:rsidRDefault="00206B4E" w:rsidP="00324820">
            <w:pPr>
              <w:spacing w:before="0" w:after="0" w:line="240" w:lineRule="auto"/>
              <w:jc w:val="center"/>
              <w:rPr>
                <w:rFonts w:asciiTheme="minorBidi" w:hAnsiTheme="minorBidi"/>
                <w:color w:val="7030A0"/>
                <w:sz w:val="18"/>
                <w:szCs w:val="18"/>
              </w:rPr>
            </w:pPr>
          </w:p>
        </w:tc>
        <w:tc>
          <w:tcPr>
            <w:tcW w:w="0" w:type="auto"/>
            <w:noWrap/>
            <w:vAlign w:val="bottom"/>
            <w:hideMark/>
          </w:tcPr>
          <w:p w14:paraId="6C8AC6E4" w14:textId="77777777" w:rsidR="00206B4E" w:rsidRPr="007547E7" w:rsidRDefault="00206B4E" w:rsidP="00324820">
            <w:pPr>
              <w:spacing w:before="0" w:after="0" w:line="240" w:lineRule="auto"/>
              <w:rPr>
                <w:rFonts w:asciiTheme="minorBidi" w:hAnsiTheme="minorBidi"/>
                <w:sz w:val="18"/>
                <w:szCs w:val="18"/>
              </w:rPr>
            </w:pPr>
          </w:p>
        </w:tc>
        <w:tc>
          <w:tcPr>
            <w:tcW w:w="0" w:type="auto"/>
            <w:noWrap/>
            <w:vAlign w:val="bottom"/>
            <w:hideMark/>
          </w:tcPr>
          <w:p w14:paraId="22FD03E7" w14:textId="0CAA25D9"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F8B7E1F"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57256DD"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E7B0978"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1270861"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1792529"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F939160"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B3CF6E6"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CD8CC65"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425F577"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F46A799"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498A2D3"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EAB576F"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E4634EA"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668A497"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77EF571"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C9ADFEC"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C8D1B7B"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C6400BF"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37D68AA"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D25345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7552393" w14:textId="77777777" w:rsidR="00206B4E" w:rsidRPr="002F7147" w:rsidRDefault="00206B4E" w:rsidP="00C77F1E">
            <w:pPr>
              <w:spacing w:before="0" w:after="0" w:line="240" w:lineRule="auto"/>
              <w:jc w:val="right"/>
              <w:rPr>
                <w:rFonts w:asciiTheme="minorBidi" w:hAnsiTheme="minorBidi"/>
                <w:sz w:val="18"/>
                <w:szCs w:val="18"/>
              </w:rPr>
            </w:pPr>
          </w:p>
        </w:tc>
      </w:tr>
      <w:tr w:rsidR="00206B4E" w:rsidRPr="00324820" w14:paraId="184A85DA" w14:textId="77777777" w:rsidTr="00C73629">
        <w:trPr>
          <w:trHeight w:val="320"/>
        </w:trPr>
        <w:tc>
          <w:tcPr>
            <w:tcW w:w="0" w:type="auto"/>
            <w:noWrap/>
            <w:vAlign w:val="bottom"/>
            <w:hideMark/>
          </w:tcPr>
          <w:p w14:paraId="50F0B093" w14:textId="77777777" w:rsidR="00206B4E" w:rsidRPr="007547E7" w:rsidRDefault="00206B4E" w:rsidP="00324820">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2022</w:t>
            </w:r>
          </w:p>
        </w:tc>
        <w:tc>
          <w:tcPr>
            <w:tcW w:w="0" w:type="auto"/>
            <w:noWrap/>
            <w:vAlign w:val="bottom"/>
            <w:hideMark/>
          </w:tcPr>
          <w:p w14:paraId="3CB2E53F"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min</w:t>
            </w:r>
          </w:p>
        </w:tc>
        <w:tc>
          <w:tcPr>
            <w:tcW w:w="0" w:type="auto"/>
            <w:noWrap/>
            <w:vAlign w:val="bottom"/>
            <w:hideMark/>
          </w:tcPr>
          <w:p w14:paraId="361186AB" w14:textId="31D16D0E"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6</w:t>
            </w:r>
            <w:r w:rsidR="00C77F1E">
              <w:rPr>
                <w:rFonts w:asciiTheme="minorBidi" w:hAnsiTheme="minorBidi"/>
                <w:sz w:val="18"/>
                <w:szCs w:val="18"/>
              </w:rPr>
              <w:t xml:space="preserve"> </w:t>
            </w:r>
            <w:r w:rsidRPr="002F7147">
              <w:rPr>
                <w:rFonts w:asciiTheme="minorBidi" w:hAnsiTheme="minorBidi"/>
                <w:sz w:val="18"/>
                <w:szCs w:val="18"/>
              </w:rPr>
              <w:t>459</w:t>
            </w:r>
          </w:p>
        </w:tc>
        <w:tc>
          <w:tcPr>
            <w:tcW w:w="0" w:type="auto"/>
            <w:noWrap/>
            <w:vAlign w:val="bottom"/>
            <w:hideMark/>
          </w:tcPr>
          <w:p w14:paraId="59680D5C"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7D567F4" w14:textId="352CD7E0"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w:t>
            </w:r>
            <w:r w:rsidR="00C77F1E">
              <w:rPr>
                <w:rFonts w:asciiTheme="minorBidi" w:hAnsiTheme="minorBidi"/>
                <w:sz w:val="18"/>
                <w:szCs w:val="18"/>
              </w:rPr>
              <w:t xml:space="preserve"> </w:t>
            </w:r>
            <w:r w:rsidRPr="002F7147">
              <w:rPr>
                <w:rFonts w:asciiTheme="minorBidi" w:hAnsiTheme="minorBidi"/>
                <w:sz w:val="18"/>
                <w:szCs w:val="18"/>
              </w:rPr>
              <w:t>990</w:t>
            </w:r>
          </w:p>
        </w:tc>
        <w:tc>
          <w:tcPr>
            <w:tcW w:w="0" w:type="auto"/>
            <w:noWrap/>
            <w:vAlign w:val="bottom"/>
            <w:hideMark/>
          </w:tcPr>
          <w:p w14:paraId="2101B3D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344</w:t>
            </w:r>
          </w:p>
        </w:tc>
        <w:tc>
          <w:tcPr>
            <w:tcW w:w="0" w:type="auto"/>
            <w:noWrap/>
            <w:vAlign w:val="bottom"/>
            <w:hideMark/>
          </w:tcPr>
          <w:p w14:paraId="595CFB6C"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F26408A" w14:textId="20459A5D"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w:t>
            </w:r>
            <w:r w:rsidR="00C77F1E">
              <w:rPr>
                <w:rFonts w:asciiTheme="minorBidi" w:hAnsiTheme="minorBidi"/>
                <w:sz w:val="18"/>
                <w:szCs w:val="18"/>
              </w:rPr>
              <w:t xml:space="preserve"> </w:t>
            </w:r>
            <w:r w:rsidRPr="002F7147">
              <w:rPr>
                <w:rFonts w:asciiTheme="minorBidi" w:hAnsiTheme="minorBidi"/>
                <w:sz w:val="18"/>
                <w:szCs w:val="18"/>
              </w:rPr>
              <w:t>041</w:t>
            </w:r>
          </w:p>
        </w:tc>
        <w:tc>
          <w:tcPr>
            <w:tcW w:w="0" w:type="auto"/>
            <w:noWrap/>
            <w:vAlign w:val="bottom"/>
            <w:hideMark/>
          </w:tcPr>
          <w:p w14:paraId="5986D3F6"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552</w:t>
            </w:r>
          </w:p>
        </w:tc>
        <w:tc>
          <w:tcPr>
            <w:tcW w:w="0" w:type="auto"/>
            <w:noWrap/>
            <w:vAlign w:val="bottom"/>
            <w:hideMark/>
          </w:tcPr>
          <w:p w14:paraId="247E5870"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307</w:t>
            </w:r>
          </w:p>
        </w:tc>
        <w:tc>
          <w:tcPr>
            <w:tcW w:w="0" w:type="auto"/>
            <w:noWrap/>
            <w:vAlign w:val="bottom"/>
            <w:hideMark/>
          </w:tcPr>
          <w:p w14:paraId="1E1392E3"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203</w:t>
            </w:r>
          </w:p>
        </w:tc>
        <w:tc>
          <w:tcPr>
            <w:tcW w:w="0" w:type="auto"/>
            <w:noWrap/>
            <w:vAlign w:val="bottom"/>
            <w:hideMark/>
          </w:tcPr>
          <w:p w14:paraId="6FF6CBE7"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9F95B05"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577</w:t>
            </w:r>
          </w:p>
        </w:tc>
        <w:tc>
          <w:tcPr>
            <w:tcW w:w="0" w:type="auto"/>
            <w:noWrap/>
            <w:vAlign w:val="bottom"/>
            <w:hideMark/>
          </w:tcPr>
          <w:p w14:paraId="1E25C3A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140</w:t>
            </w:r>
          </w:p>
        </w:tc>
        <w:tc>
          <w:tcPr>
            <w:tcW w:w="0" w:type="auto"/>
            <w:noWrap/>
            <w:vAlign w:val="bottom"/>
            <w:hideMark/>
          </w:tcPr>
          <w:p w14:paraId="29CED826"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188</w:t>
            </w:r>
          </w:p>
        </w:tc>
        <w:tc>
          <w:tcPr>
            <w:tcW w:w="0" w:type="auto"/>
            <w:noWrap/>
            <w:vAlign w:val="bottom"/>
            <w:hideMark/>
          </w:tcPr>
          <w:p w14:paraId="7F46E96A"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217</w:t>
            </w:r>
          </w:p>
        </w:tc>
        <w:tc>
          <w:tcPr>
            <w:tcW w:w="0" w:type="auto"/>
            <w:noWrap/>
            <w:vAlign w:val="bottom"/>
            <w:hideMark/>
          </w:tcPr>
          <w:p w14:paraId="5E758FE0"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99</w:t>
            </w:r>
          </w:p>
        </w:tc>
        <w:tc>
          <w:tcPr>
            <w:tcW w:w="0" w:type="auto"/>
            <w:noWrap/>
            <w:vAlign w:val="bottom"/>
            <w:hideMark/>
          </w:tcPr>
          <w:p w14:paraId="5F1D74B1"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92</w:t>
            </w:r>
          </w:p>
        </w:tc>
        <w:tc>
          <w:tcPr>
            <w:tcW w:w="0" w:type="auto"/>
            <w:noWrap/>
            <w:vAlign w:val="bottom"/>
            <w:hideMark/>
          </w:tcPr>
          <w:p w14:paraId="08128EDC"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AFF384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51</w:t>
            </w:r>
          </w:p>
        </w:tc>
        <w:tc>
          <w:tcPr>
            <w:tcW w:w="0" w:type="auto"/>
            <w:noWrap/>
            <w:vAlign w:val="bottom"/>
            <w:hideMark/>
          </w:tcPr>
          <w:p w14:paraId="3C1E0781"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57</w:t>
            </w:r>
          </w:p>
        </w:tc>
        <w:tc>
          <w:tcPr>
            <w:tcW w:w="0" w:type="auto"/>
            <w:noWrap/>
            <w:vAlign w:val="bottom"/>
            <w:hideMark/>
          </w:tcPr>
          <w:p w14:paraId="6712BD4C"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188</w:t>
            </w:r>
          </w:p>
        </w:tc>
        <w:tc>
          <w:tcPr>
            <w:tcW w:w="0" w:type="auto"/>
            <w:noWrap/>
            <w:vAlign w:val="bottom"/>
            <w:hideMark/>
          </w:tcPr>
          <w:p w14:paraId="54F4F9DB"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52219F4"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301</w:t>
            </w:r>
          </w:p>
        </w:tc>
      </w:tr>
      <w:tr w:rsidR="00206B4E" w:rsidRPr="00324820" w14:paraId="318DECF6" w14:textId="77777777" w:rsidTr="00C73629">
        <w:trPr>
          <w:trHeight w:val="320"/>
        </w:trPr>
        <w:tc>
          <w:tcPr>
            <w:tcW w:w="0" w:type="auto"/>
            <w:noWrap/>
            <w:vAlign w:val="bottom"/>
            <w:hideMark/>
          </w:tcPr>
          <w:p w14:paraId="7DFDB85C" w14:textId="77777777" w:rsidR="00206B4E" w:rsidRPr="007547E7" w:rsidRDefault="00206B4E" w:rsidP="00324820">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2022</w:t>
            </w:r>
          </w:p>
        </w:tc>
        <w:tc>
          <w:tcPr>
            <w:tcW w:w="0" w:type="auto"/>
            <w:noWrap/>
            <w:vAlign w:val="bottom"/>
            <w:hideMark/>
          </w:tcPr>
          <w:p w14:paraId="09969C28"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max</w:t>
            </w:r>
          </w:p>
        </w:tc>
        <w:tc>
          <w:tcPr>
            <w:tcW w:w="0" w:type="auto"/>
            <w:noWrap/>
            <w:vAlign w:val="bottom"/>
            <w:hideMark/>
          </w:tcPr>
          <w:p w14:paraId="71F17262" w14:textId="0C1C45AA"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8</w:t>
            </w:r>
            <w:r w:rsidR="00C77F1E">
              <w:rPr>
                <w:rFonts w:asciiTheme="minorBidi" w:hAnsiTheme="minorBidi"/>
                <w:sz w:val="18"/>
                <w:szCs w:val="18"/>
              </w:rPr>
              <w:t xml:space="preserve"> </w:t>
            </w:r>
            <w:r w:rsidRPr="002F7147">
              <w:rPr>
                <w:rFonts w:asciiTheme="minorBidi" w:hAnsiTheme="minorBidi"/>
                <w:sz w:val="18"/>
                <w:szCs w:val="18"/>
              </w:rPr>
              <w:t>380</w:t>
            </w:r>
          </w:p>
        </w:tc>
        <w:tc>
          <w:tcPr>
            <w:tcW w:w="0" w:type="auto"/>
            <w:noWrap/>
            <w:vAlign w:val="bottom"/>
            <w:hideMark/>
          </w:tcPr>
          <w:p w14:paraId="56BE2139"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70D58DA" w14:textId="7ED694B0"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w:t>
            </w:r>
            <w:r w:rsidR="00C77F1E">
              <w:rPr>
                <w:rFonts w:asciiTheme="minorBidi" w:hAnsiTheme="minorBidi"/>
                <w:sz w:val="18"/>
                <w:szCs w:val="18"/>
              </w:rPr>
              <w:t xml:space="preserve"> </w:t>
            </w:r>
            <w:r w:rsidRPr="002F7147">
              <w:rPr>
                <w:rFonts w:asciiTheme="minorBidi" w:hAnsiTheme="minorBidi"/>
                <w:sz w:val="18"/>
                <w:szCs w:val="18"/>
              </w:rPr>
              <w:t>440</w:t>
            </w:r>
          </w:p>
        </w:tc>
        <w:tc>
          <w:tcPr>
            <w:tcW w:w="0" w:type="auto"/>
            <w:noWrap/>
            <w:vAlign w:val="bottom"/>
            <w:hideMark/>
          </w:tcPr>
          <w:p w14:paraId="36169889"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463</w:t>
            </w:r>
          </w:p>
        </w:tc>
        <w:tc>
          <w:tcPr>
            <w:tcW w:w="0" w:type="auto"/>
            <w:noWrap/>
            <w:vAlign w:val="bottom"/>
            <w:hideMark/>
          </w:tcPr>
          <w:p w14:paraId="1BE6847B"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5752BD0" w14:textId="40583410"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w:t>
            </w:r>
            <w:r w:rsidR="00C77F1E">
              <w:rPr>
                <w:rFonts w:asciiTheme="minorBidi" w:hAnsiTheme="minorBidi"/>
                <w:sz w:val="18"/>
                <w:szCs w:val="18"/>
              </w:rPr>
              <w:t xml:space="preserve"> </w:t>
            </w:r>
            <w:r w:rsidRPr="002F7147">
              <w:rPr>
                <w:rFonts w:asciiTheme="minorBidi" w:hAnsiTheme="minorBidi"/>
                <w:sz w:val="18"/>
                <w:szCs w:val="18"/>
              </w:rPr>
              <w:t>515</w:t>
            </w:r>
          </w:p>
        </w:tc>
        <w:tc>
          <w:tcPr>
            <w:tcW w:w="0" w:type="auto"/>
            <w:noWrap/>
            <w:vAlign w:val="bottom"/>
            <w:hideMark/>
          </w:tcPr>
          <w:p w14:paraId="2B1EAF31"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772</w:t>
            </w:r>
          </w:p>
        </w:tc>
        <w:tc>
          <w:tcPr>
            <w:tcW w:w="0" w:type="auto"/>
            <w:noWrap/>
            <w:vAlign w:val="bottom"/>
            <w:hideMark/>
          </w:tcPr>
          <w:p w14:paraId="5333C28A"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490</w:t>
            </w:r>
          </w:p>
        </w:tc>
        <w:tc>
          <w:tcPr>
            <w:tcW w:w="0" w:type="auto"/>
            <w:noWrap/>
            <w:vAlign w:val="bottom"/>
            <w:hideMark/>
          </w:tcPr>
          <w:p w14:paraId="03BB1CE0"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305</w:t>
            </w:r>
          </w:p>
        </w:tc>
        <w:tc>
          <w:tcPr>
            <w:tcW w:w="0" w:type="auto"/>
            <w:noWrap/>
            <w:vAlign w:val="bottom"/>
            <w:hideMark/>
          </w:tcPr>
          <w:p w14:paraId="3C4F70B4"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EA36D20"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751</w:t>
            </w:r>
          </w:p>
        </w:tc>
        <w:tc>
          <w:tcPr>
            <w:tcW w:w="0" w:type="auto"/>
            <w:noWrap/>
            <w:vAlign w:val="bottom"/>
            <w:hideMark/>
          </w:tcPr>
          <w:p w14:paraId="6E9E4641"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206</w:t>
            </w:r>
          </w:p>
        </w:tc>
        <w:tc>
          <w:tcPr>
            <w:tcW w:w="0" w:type="auto"/>
            <w:noWrap/>
            <w:vAlign w:val="bottom"/>
            <w:hideMark/>
          </w:tcPr>
          <w:p w14:paraId="48FA1F74"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248</w:t>
            </w:r>
          </w:p>
        </w:tc>
        <w:tc>
          <w:tcPr>
            <w:tcW w:w="0" w:type="auto"/>
            <w:noWrap/>
            <w:vAlign w:val="bottom"/>
            <w:hideMark/>
          </w:tcPr>
          <w:p w14:paraId="3E957816"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254</w:t>
            </w:r>
          </w:p>
        </w:tc>
        <w:tc>
          <w:tcPr>
            <w:tcW w:w="0" w:type="auto"/>
            <w:noWrap/>
            <w:vAlign w:val="bottom"/>
            <w:hideMark/>
          </w:tcPr>
          <w:p w14:paraId="072CC0C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126</w:t>
            </w:r>
          </w:p>
        </w:tc>
        <w:tc>
          <w:tcPr>
            <w:tcW w:w="0" w:type="auto"/>
            <w:noWrap/>
            <w:vAlign w:val="bottom"/>
            <w:hideMark/>
          </w:tcPr>
          <w:p w14:paraId="5AEB8101"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123</w:t>
            </w:r>
          </w:p>
        </w:tc>
        <w:tc>
          <w:tcPr>
            <w:tcW w:w="0" w:type="auto"/>
            <w:noWrap/>
            <w:vAlign w:val="bottom"/>
            <w:hideMark/>
          </w:tcPr>
          <w:p w14:paraId="17C0FBDA"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18A90AB"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72</w:t>
            </w:r>
          </w:p>
        </w:tc>
        <w:tc>
          <w:tcPr>
            <w:tcW w:w="0" w:type="auto"/>
            <w:noWrap/>
            <w:vAlign w:val="bottom"/>
            <w:hideMark/>
          </w:tcPr>
          <w:p w14:paraId="1BDCCBFC"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75</w:t>
            </w:r>
          </w:p>
        </w:tc>
        <w:tc>
          <w:tcPr>
            <w:tcW w:w="0" w:type="auto"/>
            <w:noWrap/>
            <w:vAlign w:val="bottom"/>
            <w:hideMark/>
          </w:tcPr>
          <w:p w14:paraId="008A508D"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239</w:t>
            </w:r>
          </w:p>
        </w:tc>
        <w:tc>
          <w:tcPr>
            <w:tcW w:w="0" w:type="auto"/>
            <w:noWrap/>
            <w:vAlign w:val="bottom"/>
            <w:hideMark/>
          </w:tcPr>
          <w:p w14:paraId="5540E81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613D2E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367</w:t>
            </w:r>
          </w:p>
        </w:tc>
      </w:tr>
      <w:tr w:rsidR="00206B4E" w:rsidRPr="00324820" w14:paraId="7D599469" w14:textId="77777777" w:rsidTr="00C73629">
        <w:trPr>
          <w:trHeight w:val="240"/>
        </w:trPr>
        <w:tc>
          <w:tcPr>
            <w:tcW w:w="0" w:type="auto"/>
            <w:noWrap/>
            <w:vAlign w:val="bottom"/>
            <w:hideMark/>
          </w:tcPr>
          <w:p w14:paraId="2CC8706F" w14:textId="77777777" w:rsidR="00206B4E" w:rsidRPr="007547E7" w:rsidRDefault="00206B4E" w:rsidP="00324820">
            <w:pPr>
              <w:spacing w:before="0" w:after="0" w:line="240" w:lineRule="auto"/>
              <w:jc w:val="center"/>
              <w:rPr>
                <w:rFonts w:asciiTheme="minorBidi" w:hAnsiTheme="minorBidi"/>
                <w:color w:val="7030A0"/>
                <w:sz w:val="18"/>
                <w:szCs w:val="18"/>
              </w:rPr>
            </w:pPr>
          </w:p>
        </w:tc>
        <w:tc>
          <w:tcPr>
            <w:tcW w:w="0" w:type="auto"/>
            <w:noWrap/>
            <w:vAlign w:val="bottom"/>
            <w:hideMark/>
          </w:tcPr>
          <w:p w14:paraId="208E2EB7" w14:textId="77777777" w:rsidR="00206B4E" w:rsidRPr="007547E7" w:rsidRDefault="00206B4E" w:rsidP="00324820">
            <w:pPr>
              <w:spacing w:before="0" w:after="0" w:line="240" w:lineRule="auto"/>
              <w:rPr>
                <w:rFonts w:asciiTheme="minorBidi" w:hAnsiTheme="minorBidi"/>
                <w:sz w:val="18"/>
                <w:szCs w:val="18"/>
              </w:rPr>
            </w:pPr>
          </w:p>
        </w:tc>
        <w:tc>
          <w:tcPr>
            <w:tcW w:w="0" w:type="auto"/>
            <w:noWrap/>
            <w:vAlign w:val="bottom"/>
            <w:hideMark/>
          </w:tcPr>
          <w:p w14:paraId="09A2D489" w14:textId="3DA5705B"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6C04C2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A358F50"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3C7DD88"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58A92B5"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02AFD9A"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C4FBA3D"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9A87FF8"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041FD5A"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EA11846"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52D0036"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A6DD5BC"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2AD5706"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EF07730"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A196FEF"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CE81BA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F7900B4"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01CADC5"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74310C4"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2E723DF"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857DCC1"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DBCC189" w14:textId="77777777" w:rsidR="00206B4E" w:rsidRPr="002F7147" w:rsidRDefault="00206B4E" w:rsidP="00C77F1E">
            <w:pPr>
              <w:spacing w:before="0" w:after="0" w:line="240" w:lineRule="auto"/>
              <w:jc w:val="right"/>
              <w:rPr>
                <w:rFonts w:asciiTheme="minorBidi" w:hAnsiTheme="minorBidi"/>
                <w:sz w:val="18"/>
                <w:szCs w:val="18"/>
              </w:rPr>
            </w:pPr>
          </w:p>
        </w:tc>
      </w:tr>
      <w:tr w:rsidR="00206B4E" w:rsidRPr="00324820" w14:paraId="418D9684" w14:textId="77777777" w:rsidTr="00C73629">
        <w:trPr>
          <w:trHeight w:val="320"/>
        </w:trPr>
        <w:tc>
          <w:tcPr>
            <w:tcW w:w="0" w:type="auto"/>
            <w:noWrap/>
            <w:vAlign w:val="bottom"/>
            <w:hideMark/>
          </w:tcPr>
          <w:p w14:paraId="709F72DB" w14:textId="77777777" w:rsidR="00206B4E" w:rsidRPr="007547E7" w:rsidRDefault="00206B4E" w:rsidP="00324820">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2021</w:t>
            </w:r>
          </w:p>
        </w:tc>
        <w:tc>
          <w:tcPr>
            <w:tcW w:w="0" w:type="auto"/>
            <w:noWrap/>
            <w:vAlign w:val="bottom"/>
            <w:hideMark/>
          </w:tcPr>
          <w:p w14:paraId="30063F5C"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min</w:t>
            </w:r>
          </w:p>
        </w:tc>
        <w:tc>
          <w:tcPr>
            <w:tcW w:w="0" w:type="auto"/>
            <w:noWrap/>
            <w:vAlign w:val="bottom"/>
            <w:hideMark/>
          </w:tcPr>
          <w:p w14:paraId="7AB97360" w14:textId="24329DE2"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6</w:t>
            </w:r>
            <w:r w:rsidR="00C77F1E">
              <w:rPr>
                <w:rFonts w:asciiTheme="minorBidi" w:hAnsiTheme="minorBidi"/>
                <w:sz w:val="18"/>
                <w:szCs w:val="18"/>
              </w:rPr>
              <w:t xml:space="preserve"> </w:t>
            </w:r>
            <w:r w:rsidRPr="002F7147">
              <w:rPr>
                <w:rFonts w:asciiTheme="minorBidi" w:hAnsiTheme="minorBidi"/>
                <w:sz w:val="18"/>
                <w:szCs w:val="18"/>
              </w:rPr>
              <w:t>174</w:t>
            </w:r>
          </w:p>
        </w:tc>
        <w:tc>
          <w:tcPr>
            <w:tcW w:w="0" w:type="auto"/>
            <w:noWrap/>
            <w:vAlign w:val="bottom"/>
            <w:hideMark/>
          </w:tcPr>
          <w:p w14:paraId="378C2A9A"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74B322F" w14:textId="5405B13C"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w:t>
            </w:r>
            <w:r w:rsidR="00C77F1E">
              <w:rPr>
                <w:rFonts w:asciiTheme="minorBidi" w:hAnsiTheme="minorBidi"/>
                <w:sz w:val="18"/>
                <w:szCs w:val="18"/>
              </w:rPr>
              <w:t xml:space="preserve"> </w:t>
            </w:r>
            <w:r w:rsidRPr="002F7147">
              <w:rPr>
                <w:rFonts w:asciiTheme="minorBidi" w:hAnsiTheme="minorBidi"/>
                <w:sz w:val="18"/>
                <w:szCs w:val="18"/>
              </w:rPr>
              <w:t>950</w:t>
            </w:r>
          </w:p>
        </w:tc>
        <w:tc>
          <w:tcPr>
            <w:tcW w:w="0" w:type="auto"/>
            <w:noWrap/>
            <w:vAlign w:val="bottom"/>
            <w:hideMark/>
          </w:tcPr>
          <w:p w14:paraId="3AD0FF8E"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345</w:t>
            </w:r>
          </w:p>
        </w:tc>
        <w:tc>
          <w:tcPr>
            <w:tcW w:w="0" w:type="auto"/>
            <w:noWrap/>
            <w:vAlign w:val="bottom"/>
            <w:hideMark/>
          </w:tcPr>
          <w:p w14:paraId="7EE8B330"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02F3904"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974</w:t>
            </w:r>
          </w:p>
        </w:tc>
        <w:tc>
          <w:tcPr>
            <w:tcW w:w="0" w:type="auto"/>
            <w:noWrap/>
            <w:vAlign w:val="bottom"/>
            <w:hideMark/>
          </w:tcPr>
          <w:p w14:paraId="6EAB1C9A"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529</w:t>
            </w:r>
          </w:p>
        </w:tc>
        <w:tc>
          <w:tcPr>
            <w:tcW w:w="0" w:type="auto"/>
            <w:noWrap/>
            <w:vAlign w:val="bottom"/>
            <w:hideMark/>
          </w:tcPr>
          <w:p w14:paraId="35752B18"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293</w:t>
            </w:r>
          </w:p>
        </w:tc>
        <w:tc>
          <w:tcPr>
            <w:tcW w:w="0" w:type="auto"/>
            <w:noWrap/>
            <w:vAlign w:val="bottom"/>
            <w:hideMark/>
          </w:tcPr>
          <w:p w14:paraId="6B0307F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182</w:t>
            </w:r>
          </w:p>
        </w:tc>
        <w:tc>
          <w:tcPr>
            <w:tcW w:w="0" w:type="auto"/>
            <w:noWrap/>
            <w:vAlign w:val="bottom"/>
            <w:hideMark/>
          </w:tcPr>
          <w:p w14:paraId="6E557D2C"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0AFF74B"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570</w:t>
            </w:r>
          </w:p>
        </w:tc>
        <w:tc>
          <w:tcPr>
            <w:tcW w:w="0" w:type="auto"/>
            <w:noWrap/>
            <w:vAlign w:val="bottom"/>
            <w:hideMark/>
          </w:tcPr>
          <w:p w14:paraId="59AEF141"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139</w:t>
            </w:r>
          </w:p>
        </w:tc>
        <w:tc>
          <w:tcPr>
            <w:tcW w:w="0" w:type="auto"/>
            <w:noWrap/>
            <w:vAlign w:val="bottom"/>
            <w:hideMark/>
          </w:tcPr>
          <w:p w14:paraId="276A31DE"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193</w:t>
            </w:r>
          </w:p>
        </w:tc>
        <w:tc>
          <w:tcPr>
            <w:tcW w:w="0" w:type="auto"/>
            <w:noWrap/>
            <w:vAlign w:val="bottom"/>
            <w:hideMark/>
          </w:tcPr>
          <w:p w14:paraId="3007D0AA"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219</w:t>
            </w:r>
          </w:p>
        </w:tc>
        <w:tc>
          <w:tcPr>
            <w:tcW w:w="0" w:type="auto"/>
            <w:noWrap/>
            <w:vAlign w:val="bottom"/>
            <w:hideMark/>
          </w:tcPr>
          <w:p w14:paraId="36DCDA6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100</w:t>
            </w:r>
          </w:p>
        </w:tc>
        <w:tc>
          <w:tcPr>
            <w:tcW w:w="0" w:type="auto"/>
            <w:noWrap/>
            <w:vAlign w:val="bottom"/>
            <w:hideMark/>
          </w:tcPr>
          <w:p w14:paraId="51B2A629"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86</w:t>
            </w:r>
          </w:p>
        </w:tc>
        <w:tc>
          <w:tcPr>
            <w:tcW w:w="0" w:type="auto"/>
            <w:noWrap/>
            <w:vAlign w:val="bottom"/>
            <w:hideMark/>
          </w:tcPr>
          <w:p w14:paraId="4D9D5473"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7BDACA6"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45</w:t>
            </w:r>
          </w:p>
        </w:tc>
        <w:tc>
          <w:tcPr>
            <w:tcW w:w="0" w:type="auto"/>
            <w:noWrap/>
            <w:vAlign w:val="bottom"/>
            <w:hideMark/>
          </w:tcPr>
          <w:p w14:paraId="32953339"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50</w:t>
            </w:r>
          </w:p>
        </w:tc>
        <w:tc>
          <w:tcPr>
            <w:tcW w:w="0" w:type="auto"/>
            <w:noWrap/>
            <w:vAlign w:val="bottom"/>
            <w:hideMark/>
          </w:tcPr>
          <w:p w14:paraId="20DAE029"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179</w:t>
            </w:r>
          </w:p>
        </w:tc>
        <w:tc>
          <w:tcPr>
            <w:tcW w:w="0" w:type="auto"/>
            <w:noWrap/>
            <w:vAlign w:val="bottom"/>
            <w:hideMark/>
          </w:tcPr>
          <w:p w14:paraId="07D63F31"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142FA6A"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298</w:t>
            </w:r>
          </w:p>
        </w:tc>
      </w:tr>
      <w:tr w:rsidR="00206B4E" w:rsidRPr="00324820" w14:paraId="47C06C6C" w14:textId="77777777" w:rsidTr="00C73629">
        <w:trPr>
          <w:trHeight w:val="320"/>
        </w:trPr>
        <w:tc>
          <w:tcPr>
            <w:tcW w:w="0" w:type="auto"/>
            <w:noWrap/>
            <w:vAlign w:val="bottom"/>
            <w:hideMark/>
          </w:tcPr>
          <w:p w14:paraId="6FD40FE8" w14:textId="77777777" w:rsidR="00206B4E" w:rsidRPr="007547E7" w:rsidRDefault="00206B4E" w:rsidP="00324820">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2021</w:t>
            </w:r>
          </w:p>
        </w:tc>
        <w:tc>
          <w:tcPr>
            <w:tcW w:w="0" w:type="auto"/>
            <w:noWrap/>
            <w:vAlign w:val="bottom"/>
            <w:hideMark/>
          </w:tcPr>
          <w:p w14:paraId="35731BD6"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max</w:t>
            </w:r>
          </w:p>
        </w:tc>
        <w:tc>
          <w:tcPr>
            <w:tcW w:w="0" w:type="auto"/>
            <w:noWrap/>
            <w:vAlign w:val="bottom"/>
            <w:hideMark/>
          </w:tcPr>
          <w:p w14:paraId="1BFFB198" w14:textId="6C84E2FA"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w:t>
            </w:r>
            <w:r w:rsidR="00C77F1E">
              <w:rPr>
                <w:rFonts w:asciiTheme="minorBidi" w:hAnsiTheme="minorBidi"/>
                <w:sz w:val="18"/>
                <w:szCs w:val="18"/>
              </w:rPr>
              <w:t xml:space="preserve"> </w:t>
            </w:r>
            <w:r w:rsidRPr="002F7147">
              <w:rPr>
                <w:rFonts w:asciiTheme="minorBidi" w:hAnsiTheme="minorBidi"/>
                <w:sz w:val="18"/>
                <w:szCs w:val="18"/>
              </w:rPr>
              <w:t>631</w:t>
            </w:r>
          </w:p>
        </w:tc>
        <w:tc>
          <w:tcPr>
            <w:tcW w:w="0" w:type="auto"/>
            <w:noWrap/>
            <w:vAlign w:val="bottom"/>
            <w:hideMark/>
          </w:tcPr>
          <w:p w14:paraId="3B4CC75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B8769FC" w14:textId="65F4B3AB"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w:t>
            </w:r>
            <w:r w:rsidR="00C77F1E">
              <w:rPr>
                <w:rFonts w:asciiTheme="minorBidi" w:hAnsiTheme="minorBidi"/>
                <w:sz w:val="18"/>
                <w:szCs w:val="18"/>
              </w:rPr>
              <w:t xml:space="preserve"> </w:t>
            </w:r>
            <w:r w:rsidRPr="002F7147">
              <w:rPr>
                <w:rFonts w:asciiTheme="minorBidi" w:hAnsiTheme="minorBidi"/>
                <w:sz w:val="18"/>
                <w:szCs w:val="18"/>
              </w:rPr>
              <w:t>287</w:t>
            </w:r>
          </w:p>
        </w:tc>
        <w:tc>
          <w:tcPr>
            <w:tcW w:w="0" w:type="auto"/>
            <w:noWrap/>
            <w:vAlign w:val="bottom"/>
            <w:hideMark/>
          </w:tcPr>
          <w:p w14:paraId="64F9B02D"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415</w:t>
            </w:r>
          </w:p>
        </w:tc>
        <w:tc>
          <w:tcPr>
            <w:tcW w:w="0" w:type="auto"/>
            <w:noWrap/>
            <w:vAlign w:val="bottom"/>
            <w:hideMark/>
          </w:tcPr>
          <w:p w14:paraId="59E8A110"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C77C02C" w14:textId="72CD737D"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w:t>
            </w:r>
            <w:r w:rsidR="00C77F1E">
              <w:rPr>
                <w:rFonts w:asciiTheme="minorBidi" w:hAnsiTheme="minorBidi"/>
                <w:sz w:val="18"/>
                <w:szCs w:val="18"/>
              </w:rPr>
              <w:t xml:space="preserve"> </w:t>
            </w:r>
            <w:r w:rsidRPr="002F7147">
              <w:rPr>
                <w:rFonts w:asciiTheme="minorBidi" w:hAnsiTheme="minorBidi"/>
                <w:sz w:val="18"/>
                <w:szCs w:val="18"/>
              </w:rPr>
              <w:t>368</w:t>
            </w:r>
          </w:p>
        </w:tc>
        <w:tc>
          <w:tcPr>
            <w:tcW w:w="0" w:type="auto"/>
            <w:noWrap/>
            <w:vAlign w:val="bottom"/>
            <w:hideMark/>
          </w:tcPr>
          <w:p w14:paraId="29143E43"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762</w:t>
            </w:r>
          </w:p>
        </w:tc>
        <w:tc>
          <w:tcPr>
            <w:tcW w:w="0" w:type="auto"/>
            <w:noWrap/>
            <w:vAlign w:val="bottom"/>
            <w:hideMark/>
          </w:tcPr>
          <w:p w14:paraId="08A567DC"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422</w:t>
            </w:r>
          </w:p>
        </w:tc>
        <w:tc>
          <w:tcPr>
            <w:tcW w:w="0" w:type="auto"/>
            <w:noWrap/>
            <w:vAlign w:val="bottom"/>
            <w:hideMark/>
          </w:tcPr>
          <w:p w14:paraId="4C8E1C64"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270</w:t>
            </w:r>
          </w:p>
        </w:tc>
        <w:tc>
          <w:tcPr>
            <w:tcW w:w="0" w:type="auto"/>
            <w:noWrap/>
            <w:vAlign w:val="bottom"/>
            <w:hideMark/>
          </w:tcPr>
          <w:p w14:paraId="02E40E6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2088838"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694</w:t>
            </w:r>
          </w:p>
        </w:tc>
        <w:tc>
          <w:tcPr>
            <w:tcW w:w="0" w:type="auto"/>
            <w:noWrap/>
            <w:vAlign w:val="bottom"/>
            <w:hideMark/>
          </w:tcPr>
          <w:p w14:paraId="1C5E6BD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180</w:t>
            </w:r>
          </w:p>
        </w:tc>
        <w:tc>
          <w:tcPr>
            <w:tcW w:w="0" w:type="auto"/>
            <w:noWrap/>
            <w:vAlign w:val="bottom"/>
            <w:hideMark/>
          </w:tcPr>
          <w:p w14:paraId="6D5B067D"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237</w:t>
            </w:r>
          </w:p>
        </w:tc>
        <w:tc>
          <w:tcPr>
            <w:tcW w:w="0" w:type="auto"/>
            <w:noWrap/>
            <w:vAlign w:val="bottom"/>
            <w:hideMark/>
          </w:tcPr>
          <w:p w14:paraId="5814CC3D"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236</w:t>
            </w:r>
          </w:p>
        </w:tc>
        <w:tc>
          <w:tcPr>
            <w:tcW w:w="0" w:type="auto"/>
            <w:noWrap/>
            <w:vAlign w:val="bottom"/>
            <w:hideMark/>
          </w:tcPr>
          <w:p w14:paraId="30EC307B"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129</w:t>
            </w:r>
          </w:p>
        </w:tc>
        <w:tc>
          <w:tcPr>
            <w:tcW w:w="0" w:type="auto"/>
            <w:noWrap/>
            <w:vAlign w:val="bottom"/>
            <w:hideMark/>
          </w:tcPr>
          <w:p w14:paraId="700C9CDF"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114</w:t>
            </w:r>
          </w:p>
        </w:tc>
        <w:tc>
          <w:tcPr>
            <w:tcW w:w="0" w:type="auto"/>
            <w:noWrap/>
            <w:vAlign w:val="bottom"/>
            <w:hideMark/>
          </w:tcPr>
          <w:p w14:paraId="2EEB0E13"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A87BA8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63</w:t>
            </w:r>
          </w:p>
        </w:tc>
        <w:tc>
          <w:tcPr>
            <w:tcW w:w="0" w:type="auto"/>
            <w:noWrap/>
            <w:vAlign w:val="bottom"/>
            <w:hideMark/>
          </w:tcPr>
          <w:p w14:paraId="140ACB45"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63</w:t>
            </w:r>
          </w:p>
        </w:tc>
        <w:tc>
          <w:tcPr>
            <w:tcW w:w="0" w:type="auto"/>
            <w:noWrap/>
            <w:vAlign w:val="bottom"/>
            <w:hideMark/>
          </w:tcPr>
          <w:p w14:paraId="7D24D8D3"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213</w:t>
            </w:r>
          </w:p>
        </w:tc>
        <w:tc>
          <w:tcPr>
            <w:tcW w:w="0" w:type="auto"/>
            <w:noWrap/>
            <w:vAlign w:val="bottom"/>
            <w:hideMark/>
          </w:tcPr>
          <w:p w14:paraId="099F10CA"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653CBDB"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354</w:t>
            </w:r>
          </w:p>
        </w:tc>
      </w:tr>
      <w:tr w:rsidR="00206B4E" w:rsidRPr="00324820" w14:paraId="56128A72" w14:textId="77777777" w:rsidTr="00C73629">
        <w:trPr>
          <w:trHeight w:val="240"/>
        </w:trPr>
        <w:tc>
          <w:tcPr>
            <w:tcW w:w="0" w:type="auto"/>
            <w:noWrap/>
            <w:vAlign w:val="bottom"/>
            <w:hideMark/>
          </w:tcPr>
          <w:p w14:paraId="3C0C393C" w14:textId="77777777" w:rsidR="00206B4E" w:rsidRPr="007547E7" w:rsidRDefault="00206B4E" w:rsidP="00324820">
            <w:pPr>
              <w:spacing w:before="0" w:after="0" w:line="240" w:lineRule="auto"/>
              <w:jc w:val="center"/>
              <w:rPr>
                <w:rFonts w:asciiTheme="minorBidi" w:hAnsiTheme="minorBidi"/>
                <w:color w:val="7030A0"/>
                <w:sz w:val="18"/>
                <w:szCs w:val="18"/>
              </w:rPr>
            </w:pPr>
          </w:p>
        </w:tc>
        <w:tc>
          <w:tcPr>
            <w:tcW w:w="0" w:type="auto"/>
            <w:noWrap/>
            <w:vAlign w:val="bottom"/>
            <w:hideMark/>
          </w:tcPr>
          <w:p w14:paraId="3BFC9002" w14:textId="77777777" w:rsidR="00206B4E" w:rsidRPr="007547E7" w:rsidRDefault="00206B4E" w:rsidP="00324820">
            <w:pPr>
              <w:spacing w:before="0" w:after="0" w:line="240" w:lineRule="auto"/>
              <w:rPr>
                <w:rFonts w:asciiTheme="minorBidi" w:hAnsiTheme="minorBidi"/>
                <w:sz w:val="18"/>
                <w:szCs w:val="18"/>
              </w:rPr>
            </w:pPr>
          </w:p>
        </w:tc>
        <w:tc>
          <w:tcPr>
            <w:tcW w:w="0" w:type="auto"/>
            <w:noWrap/>
            <w:vAlign w:val="bottom"/>
            <w:hideMark/>
          </w:tcPr>
          <w:p w14:paraId="632D7511" w14:textId="4103E71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1F0ECEF"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2BE6BE8"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E3E9061"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1359EB3"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115FB1D"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34F6951"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88823D7"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9D3B9AA"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A8657F9"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EE99B30"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2F34EF6"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B291AFE"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2FD6421"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DF7285E"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DD48AF1"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DE335DE"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09631EE"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D065EB5"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86C517E"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E7F45D5"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3A6EE59" w14:textId="77777777" w:rsidR="00206B4E" w:rsidRPr="002F7147" w:rsidRDefault="00206B4E" w:rsidP="00C77F1E">
            <w:pPr>
              <w:spacing w:before="0" w:after="0" w:line="240" w:lineRule="auto"/>
              <w:jc w:val="right"/>
              <w:rPr>
                <w:rFonts w:asciiTheme="minorBidi" w:hAnsiTheme="minorBidi"/>
                <w:sz w:val="18"/>
                <w:szCs w:val="18"/>
              </w:rPr>
            </w:pPr>
          </w:p>
        </w:tc>
      </w:tr>
      <w:tr w:rsidR="00206B4E" w:rsidRPr="00324820" w14:paraId="7A30C407" w14:textId="77777777" w:rsidTr="00C73629">
        <w:trPr>
          <w:trHeight w:val="320"/>
        </w:trPr>
        <w:tc>
          <w:tcPr>
            <w:tcW w:w="0" w:type="auto"/>
            <w:noWrap/>
            <w:vAlign w:val="bottom"/>
            <w:hideMark/>
          </w:tcPr>
          <w:p w14:paraId="20562782" w14:textId="77777777" w:rsidR="00206B4E" w:rsidRPr="007547E7" w:rsidRDefault="00206B4E" w:rsidP="00324820">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2020</w:t>
            </w:r>
          </w:p>
        </w:tc>
        <w:tc>
          <w:tcPr>
            <w:tcW w:w="0" w:type="auto"/>
            <w:noWrap/>
            <w:vAlign w:val="bottom"/>
            <w:hideMark/>
          </w:tcPr>
          <w:p w14:paraId="243675E1"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min</w:t>
            </w:r>
          </w:p>
        </w:tc>
        <w:tc>
          <w:tcPr>
            <w:tcW w:w="0" w:type="auto"/>
            <w:noWrap/>
            <w:vAlign w:val="bottom"/>
            <w:hideMark/>
          </w:tcPr>
          <w:p w14:paraId="5854EF6F" w14:textId="4A448B8A"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6</w:t>
            </w:r>
            <w:r w:rsidR="00C77F1E">
              <w:rPr>
                <w:rFonts w:asciiTheme="minorBidi" w:hAnsiTheme="minorBidi"/>
                <w:sz w:val="18"/>
                <w:szCs w:val="18"/>
              </w:rPr>
              <w:t xml:space="preserve"> </w:t>
            </w:r>
            <w:r w:rsidRPr="002F7147">
              <w:rPr>
                <w:rFonts w:asciiTheme="minorBidi" w:hAnsiTheme="minorBidi"/>
                <w:sz w:val="18"/>
                <w:szCs w:val="18"/>
              </w:rPr>
              <w:t>725</w:t>
            </w:r>
          </w:p>
        </w:tc>
        <w:tc>
          <w:tcPr>
            <w:tcW w:w="0" w:type="auto"/>
            <w:noWrap/>
            <w:vAlign w:val="bottom"/>
            <w:hideMark/>
          </w:tcPr>
          <w:p w14:paraId="4D726617"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8C3685B" w14:textId="10BD65EA"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w:t>
            </w:r>
            <w:r w:rsidR="00C77F1E">
              <w:rPr>
                <w:rFonts w:asciiTheme="minorBidi" w:hAnsiTheme="minorBidi"/>
                <w:sz w:val="18"/>
                <w:szCs w:val="18"/>
              </w:rPr>
              <w:t xml:space="preserve"> </w:t>
            </w:r>
            <w:r w:rsidRPr="002F7147">
              <w:rPr>
                <w:rFonts w:asciiTheme="minorBidi" w:hAnsiTheme="minorBidi"/>
                <w:sz w:val="18"/>
                <w:szCs w:val="18"/>
              </w:rPr>
              <w:t>352</w:t>
            </w:r>
          </w:p>
        </w:tc>
        <w:tc>
          <w:tcPr>
            <w:tcW w:w="0" w:type="auto"/>
            <w:noWrap/>
            <w:vAlign w:val="bottom"/>
            <w:hideMark/>
          </w:tcPr>
          <w:p w14:paraId="3B874965"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350</w:t>
            </w:r>
          </w:p>
        </w:tc>
        <w:tc>
          <w:tcPr>
            <w:tcW w:w="0" w:type="auto"/>
            <w:noWrap/>
            <w:vAlign w:val="bottom"/>
            <w:hideMark/>
          </w:tcPr>
          <w:p w14:paraId="50177577"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F0244E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957</w:t>
            </w:r>
          </w:p>
        </w:tc>
        <w:tc>
          <w:tcPr>
            <w:tcW w:w="0" w:type="auto"/>
            <w:noWrap/>
            <w:vAlign w:val="bottom"/>
            <w:hideMark/>
          </w:tcPr>
          <w:p w14:paraId="051A1043"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572</w:t>
            </w:r>
          </w:p>
        </w:tc>
        <w:tc>
          <w:tcPr>
            <w:tcW w:w="0" w:type="auto"/>
            <w:noWrap/>
            <w:vAlign w:val="bottom"/>
            <w:hideMark/>
          </w:tcPr>
          <w:p w14:paraId="53EE929C"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326</w:t>
            </w:r>
          </w:p>
        </w:tc>
        <w:tc>
          <w:tcPr>
            <w:tcW w:w="0" w:type="auto"/>
            <w:noWrap/>
            <w:vAlign w:val="bottom"/>
            <w:hideMark/>
          </w:tcPr>
          <w:p w14:paraId="027B5453"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174</w:t>
            </w:r>
          </w:p>
        </w:tc>
        <w:tc>
          <w:tcPr>
            <w:tcW w:w="0" w:type="auto"/>
            <w:noWrap/>
            <w:vAlign w:val="bottom"/>
            <w:hideMark/>
          </w:tcPr>
          <w:p w14:paraId="505EABF9"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AF855A9"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591</w:t>
            </w:r>
          </w:p>
        </w:tc>
        <w:tc>
          <w:tcPr>
            <w:tcW w:w="0" w:type="auto"/>
            <w:noWrap/>
            <w:vAlign w:val="bottom"/>
            <w:hideMark/>
          </w:tcPr>
          <w:p w14:paraId="03FB1BF3"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140</w:t>
            </w:r>
          </w:p>
        </w:tc>
        <w:tc>
          <w:tcPr>
            <w:tcW w:w="0" w:type="auto"/>
            <w:noWrap/>
            <w:vAlign w:val="bottom"/>
            <w:hideMark/>
          </w:tcPr>
          <w:p w14:paraId="536BEDCD"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168</w:t>
            </w:r>
          </w:p>
        </w:tc>
        <w:tc>
          <w:tcPr>
            <w:tcW w:w="0" w:type="auto"/>
            <w:noWrap/>
            <w:vAlign w:val="bottom"/>
            <w:hideMark/>
          </w:tcPr>
          <w:p w14:paraId="6E8EB7F9"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190</w:t>
            </w:r>
          </w:p>
        </w:tc>
        <w:tc>
          <w:tcPr>
            <w:tcW w:w="0" w:type="auto"/>
            <w:noWrap/>
            <w:vAlign w:val="bottom"/>
            <w:hideMark/>
          </w:tcPr>
          <w:p w14:paraId="7434B7E0"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80</w:t>
            </w:r>
          </w:p>
        </w:tc>
        <w:tc>
          <w:tcPr>
            <w:tcW w:w="0" w:type="auto"/>
            <w:noWrap/>
            <w:vAlign w:val="bottom"/>
            <w:hideMark/>
          </w:tcPr>
          <w:p w14:paraId="257F0649"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86</w:t>
            </w:r>
          </w:p>
        </w:tc>
        <w:tc>
          <w:tcPr>
            <w:tcW w:w="0" w:type="auto"/>
            <w:noWrap/>
            <w:vAlign w:val="bottom"/>
            <w:hideMark/>
          </w:tcPr>
          <w:p w14:paraId="1520E661"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A32D22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41</w:t>
            </w:r>
          </w:p>
        </w:tc>
        <w:tc>
          <w:tcPr>
            <w:tcW w:w="0" w:type="auto"/>
            <w:noWrap/>
            <w:vAlign w:val="bottom"/>
            <w:hideMark/>
          </w:tcPr>
          <w:p w14:paraId="7AB43359"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38</w:t>
            </w:r>
          </w:p>
        </w:tc>
        <w:tc>
          <w:tcPr>
            <w:tcW w:w="0" w:type="auto"/>
            <w:noWrap/>
            <w:vAlign w:val="bottom"/>
            <w:hideMark/>
          </w:tcPr>
          <w:p w14:paraId="6E22C4BB"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180</w:t>
            </w:r>
          </w:p>
        </w:tc>
        <w:tc>
          <w:tcPr>
            <w:tcW w:w="0" w:type="auto"/>
            <w:noWrap/>
            <w:vAlign w:val="bottom"/>
            <w:hideMark/>
          </w:tcPr>
          <w:p w14:paraId="46E22D40"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DEEB8B4"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295</w:t>
            </w:r>
          </w:p>
        </w:tc>
      </w:tr>
      <w:tr w:rsidR="00206B4E" w:rsidRPr="00324820" w14:paraId="5419FB2C" w14:textId="77777777" w:rsidTr="00C73629">
        <w:trPr>
          <w:trHeight w:val="320"/>
        </w:trPr>
        <w:tc>
          <w:tcPr>
            <w:tcW w:w="0" w:type="auto"/>
            <w:noWrap/>
            <w:vAlign w:val="bottom"/>
            <w:hideMark/>
          </w:tcPr>
          <w:p w14:paraId="3BDD3D73" w14:textId="77777777" w:rsidR="00206B4E" w:rsidRPr="007547E7" w:rsidRDefault="00206B4E" w:rsidP="00324820">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2020</w:t>
            </w:r>
          </w:p>
        </w:tc>
        <w:tc>
          <w:tcPr>
            <w:tcW w:w="0" w:type="auto"/>
            <w:noWrap/>
            <w:vAlign w:val="bottom"/>
            <w:hideMark/>
          </w:tcPr>
          <w:p w14:paraId="318B36D3"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max</w:t>
            </w:r>
          </w:p>
        </w:tc>
        <w:tc>
          <w:tcPr>
            <w:tcW w:w="0" w:type="auto"/>
            <w:noWrap/>
            <w:vAlign w:val="bottom"/>
            <w:hideMark/>
          </w:tcPr>
          <w:p w14:paraId="44C31285" w14:textId="68B9A67B"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8</w:t>
            </w:r>
            <w:r w:rsidR="00C77F1E">
              <w:rPr>
                <w:rFonts w:asciiTheme="minorBidi" w:hAnsiTheme="minorBidi"/>
                <w:sz w:val="18"/>
                <w:szCs w:val="18"/>
              </w:rPr>
              <w:t xml:space="preserve"> </w:t>
            </w:r>
            <w:r w:rsidRPr="002F7147">
              <w:rPr>
                <w:rFonts w:asciiTheme="minorBidi" w:hAnsiTheme="minorBidi"/>
                <w:sz w:val="18"/>
                <w:szCs w:val="18"/>
              </w:rPr>
              <w:t>206</w:t>
            </w:r>
          </w:p>
        </w:tc>
        <w:tc>
          <w:tcPr>
            <w:tcW w:w="0" w:type="auto"/>
            <w:noWrap/>
            <w:vAlign w:val="bottom"/>
            <w:hideMark/>
          </w:tcPr>
          <w:p w14:paraId="0AAA584E"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40A4F99" w14:textId="3FAFEB22"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w:t>
            </w:r>
            <w:r w:rsidR="00C77F1E">
              <w:rPr>
                <w:rFonts w:asciiTheme="minorBidi" w:hAnsiTheme="minorBidi"/>
                <w:sz w:val="18"/>
                <w:szCs w:val="18"/>
              </w:rPr>
              <w:t xml:space="preserve"> </w:t>
            </w:r>
            <w:r w:rsidRPr="002F7147">
              <w:rPr>
                <w:rFonts w:asciiTheme="minorBidi" w:hAnsiTheme="minorBidi"/>
                <w:sz w:val="18"/>
                <w:szCs w:val="18"/>
              </w:rPr>
              <w:t>244</w:t>
            </w:r>
          </w:p>
        </w:tc>
        <w:tc>
          <w:tcPr>
            <w:tcW w:w="0" w:type="auto"/>
            <w:noWrap/>
            <w:vAlign w:val="bottom"/>
            <w:hideMark/>
          </w:tcPr>
          <w:p w14:paraId="5A9C8150"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418</w:t>
            </w:r>
          </w:p>
        </w:tc>
        <w:tc>
          <w:tcPr>
            <w:tcW w:w="0" w:type="auto"/>
            <w:noWrap/>
            <w:vAlign w:val="bottom"/>
            <w:hideMark/>
          </w:tcPr>
          <w:p w14:paraId="4119C70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4F4759D" w14:textId="515FF3C2"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w:t>
            </w:r>
            <w:r w:rsidR="00C77F1E">
              <w:rPr>
                <w:rFonts w:asciiTheme="minorBidi" w:hAnsiTheme="minorBidi"/>
                <w:sz w:val="18"/>
                <w:szCs w:val="18"/>
              </w:rPr>
              <w:t xml:space="preserve"> </w:t>
            </w:r>
            <w:r w:rsidRPr="002F7147">
              <w:rPr>
                <w:rFonts w:asciiTheme="minorBidi" w:hAnsiTheme="minorBidi"/>
                <w:sz w:val="18"/>
                <w:szCs w:val="18"/>
              </w:rPr>
              <w:t>311</w:t>
            </w:r>
          </w:p>
        </w:tc>
        <w:tc>
          <w:tcPr>
            <w:tcW w:w="0" w:type="auto"/>
            <w:noWrap/>
            <w:vAlign w:val="bottom"/>
            <w:hideMark/>
          </w:tcPr>
          <w:p w14:paraId="0150D25E"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738</w:t>
            </w:r>
          </w:p>
        </w:tc>
        <w:tc>
          <w:tcPr>
            <w:tcW w:w="0" w:type="auto"/>
            <w:noWrap/>
            <w:vAlign w:val="bottom"/>
            <w:hideMark/>
          </w:tcPr>
          <w:p w14:paraId="14A31AD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429</w:t>
            </w:r>
          </w:p>
        </w:tc>
        <w:tc>
          <w:tcPr>
            <w:tcW w:w="0" w:type="auto"/>
            <w:noWrap/>
            <w:vAlign w:val="bottom"/>
            <w:hideMark/>
          </w:tcPr>
          <w:p w14:paraId="5048A662"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245</w:t>
            </w:r>
          </w:p>
        </w:tc>
        <w:tc>
          <w:tcPr>
            <w:tcW w:w="0" w:type="auto"/>
            <w:noWrap/>
            <w:vAlign w:val="bottom"/>
            <w:hideMark/>
          </w:tcPr>
          <w:p w14:paraId="0E23D68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FE8ED61"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798</w:t>
            </w:r>
          </w:p>
        </w:tc>
        <w:tc>
          <w:tcPr>
            <w:tcW w:w="0" w:type="auto"/>
            <w:noWrap/>
            <w:vAlign w:val="bottom"/>
            <w:hideMark/>
          </w:tcPr>
          <w:p w14:paraId="75E765E5"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166</w:t>
            </w:r>
          </w:p>
        </w:tc>
        <w:tc>
          <w:tcPr>
            <w:tcW w:w="0" w:type="auto"/>
            <w:noWrap/>
            <w:vAlign w:val="bottom"/>
            <w:hideMark/>
          </w:tcPr>
          <w:p w14:paraId="493D0338"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224</w:t>
            </w:r>
          </w:p>
        </w:tc>
        <w:tc>
          <w:tcPr>
            <w:tcW w:w="0" w:type="auto"/>
            <w:noWrap/>
            <w:vAlign w:val="bottom"/>
            <w:hideMark/>
          </w:tcPr>
          <w:p w14:paraId="44B14D1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246</w:t>
            </w:r>
          </w:p>
        </w:tc>
        <w:tc>
          <w:tcPr>
            <w:tcW w:w="0" w:type="auto"/>
            <w:noWrap/>
            <w:vAlign w:val="bottom"/>
            <w:hideMark/>
          </w:tcPr>
          <w:p w14:paraId="60E74BB6"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123</w:t>
            </w:r>
          </w:p>
        </w:tc>
        <w:tc>
          <w:tcPr>
            <w:tcW w:w="0" w:type="auto"/>
            <w:noWrap/>
            <w:vAlign w:val="bottom"/>
            <w:hideMark/>
          </w:tcPr>
          <w:p w14:paraId="24507596"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116</w:t>
            </w:r>
          </w:p>
        </w:tc>
        <w:tc>
          <w:tcPr>
            <w:tcW w:w="0" w:type="auto"/>
            <w:noWrap/>
            <w:vAlign w:val="bottom"/>
            <w:hideMark/>
          </w:tcPr>
          <w:p w14:paraId="3DBBC79F"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7E5E737"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52</w:t>
            </w:r>
          </w:p>
        </w:tc>
        <w:tc>
          <w:tcPr>
            <w:tcW w:w="0" w:type="auto"/>
            <w:noWrap/>
            <w:vAlign w:val="bottom"/>
            <w:hideMark/>
          </w:tcPr>
          <w:p w14:paraId="79E41B9E"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54</w:t>
            </w:r>
          </w:p>
        </w:tc>
        <w:tc>
          <w:tcPr>
            <w:tcW w:w="0" w:type="auto"/>
            <w:noWrap/>
            <w:vAlign w:val="bottom"/>
            <w:hideMark/>
          </w:tcPr>
          <w:p w14:paraId="3F047928"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209</w:t>
            </w:r>
          </w:p>
        </w:tc>
        <w:tc>
          <w:tcPr>
            <w:tcW w:w="0" w:type="auto"/>
            <w:noWrap/>
            <w:vAlign w:val="bottom"/>
            <w:hideMark/>
          </w:tcPr>
          <w:p w14:paraId="29A8B7A5"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899ECB0" w14:textId="77777777" w:rsidR="00206B4E" w:rsidRPr="002F7147" w:rsidRDefault="00206B4E" w:rsidP="00C77F1E">
            <w:pPr>
              <w:spacing w:before="0" w:after="0" w:line="240" w:lineRule="auto"/>
              <w:jc w:val="right"/>
              <w:rPr>
                <w:rFonts w:asciiTheme="minorBidi" w:hAnsiTheme="minorBidi"/>
                <w:sz w:val="18"/>
                <w:szCs w:val="18"/>
              </w:rPr>
            </w:pPr>
            <w:r w:rsidRPr="002F7147">
              <w:rPr>
                <w:rFonts w:asciiTheme="minorBidi" w:hAnsiTheme="minorBidi"/>
                <w:sz w:val="18"/>
                <w:szCs w:val="18"/>
              </w:rPr>
              <w:t>346</w:t>
            </w:r>
          </w:p>
        </w:tc>
      </w:tr>
      <w:tr w:rsidR="00206B4E" w:rsidRPr="00324820" w14:paraId="2F258858" w14:textId="77777777" w:rsidTr="00C73629">
        <w:trPr>
          <w:trHeight w:val="320"/>
        </w:trPr>
        <w:tc>
          <w:tcPr>
            <w:tcW w:w="0" w:type="auto"/>
            <w:noWrap/>
            <w:vAlign w:val="bottom"/>
            <w:hideMark/>
          </w:tcPr>
          <w:p w14:paraId="03C59BA8" w14:textId="77777777" w:rsidR="00206B4E" w:rsidRPr="007547E7" w:rsidRDefault="00206B4E" w:rsidP="00324820">
            <w:pPr>
              <w:spacing w:before="0" w:after="0" w:line="240" w:lineRule="auto"/>
              <w:jc w:val="center"/>
              <w:rPr>
                <w:rFonts w:asciiTheme="minorBidi" w:hAnsiTheme="minorBidi"/>
                <w:color w:val="7030A0"/>
                <w:sz w:val="18"/>
                <w:szCs w:val="18"/>
              </w:rPr>
            </w:pPr>
          </w:p>
        </w:tc>
        <w:tc>
          <w:tcPr>
            <w:tcW w:w="0" w:type="auto"/>
            <w:noWrap/>
            <w:vAlign w:val="bottom"/>
            <w:hideMark/>
          </w:tcPr>
          <w:p w14:paraId="4EF1393F" w14:textId="77777777" w:rsidR="00206B4E" w:rsidRPr="007547E7" w:rsidRDefault="00206B4E" w:rsidP="00324820">
            <w:pPr>
              <w:spacing w:before="0" w:after="0" w:line="240" w:lineRule="auto"/>
              <w:rPr>
                <w:rFonts w:asciiTheme="minorBidi" w:hAnsiTheme="minorBidi"/>
                <w:sz w:val="18"/>
                <w:szCs w:val="18"/>
              </w:rPr>
            </w:pPr>
          </w:p>
        </w:tc>
        <w:tc>
          <w:tcPr>
            <w:tcW w:w="0" w:type="auto"/>
            <w:noWrap/>
            <w:vAlign w:val="bottom"/>
            <w:hideMark/>
          </w:tcPr>
          <w:p w14:paraId="172E0F17" w14:textId="150B7B01"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D0599BB"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AE77380"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C46C3CC"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1D2623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F0DE006"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2580112"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52E06E7"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1CB8D08"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8EE3FD4"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7136C47"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F2DA57A"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5321051"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CA8A27A"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C6E2539"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896BBC5"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9AE5A05"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0C04969"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BCD0195"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2C2930F"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D908FCD" w14:textId="77777777" w:rsidR="00206B4E" w:rsidRPr="002F714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DE96DC8" w14:textId="77777777" w:rsidR="00206B4E" w:rsidRPr="002F7147" w:rsidRDefault="00206B4E" w:rsidP="00C77F1E">
            <w:pPr>
              <w:spacing w:before="0" w:after="0" w:line="240" w:lineRule="auto"/>
              <w:jc w:val="right"/>
              <w:rPr>
                <w:rFonts w:asciiTheme="minorBidi" w:hAnsiTheme="minorBidi"/>
                <w:sz w:val="18"/>
                <w:szCs w:val="18"/>
              </w:rPr>
            </w:pPr>
          </w:p>
        </w:tc>
      </w:tr>
      <w:tr w:rsidR="00206B4E" w:rsidRPr="00324820" w14:paraId="08BE7C02" w14:textId="77777777" w:rsidTr="00C73629">
        <w:trPr>
          <w:trHeight w:val="320"/>
        </w:trPr>
        <w:tc>
          <w:tcPr>
            <w:tcW w:w="0" w:type="auto"/>
            <w:noWrap/>
            <w:vAlign w:val="bottom"/>
            <w:hideMark/>
          </w:tcPr>
          <w:p w14:paraId="4DEC6704" w14:textId="77777777" w:rsidR="00206B4E" w:rsidRPr="007547E7" w:rsidRDefault="00206B4E" w:rsidP="00324820">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2024</w:t>
            </w:r>
          </w:p>
        </w:tc>
        <w:tc>
          <w:tcPr>
            <w:tcW w:w="0" w:type="auto"/>
            <w:noWrap/>
            <w:vAlign w:val="bottom"/>
            <w:hideMark/>
          </w:tcPr>
          <w:p w14:paraId="0138F680"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max</w:t>
            </w:r>
          </w:p>
        </w:tc>
        <w:tc>
          <w:tcPr>
            <w:tcW w:w="0" w:type="auto"/>
            <w:noWrap/>
            <w:vAlign w:val="bottom"/>
            <w:hideMark/>
          </w:tcPr>
          <w:p w14:paraId="01552B26" w14:textId="388EADD1" w:rsidR="00206B4E" w:rsidRPr="007547E7" w:rsidRDefault="00206B4E" w:rsidP="00C77F1E">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10</w:t>
            </w:r>
            <w:r w:rsidR="00C77F1E">
              <w:rPr>
                <w:rFonts w:asciiTheme="minorBidi" w:hAnsiTheme="minorBidi"/>
                <w:color w:val="000000"/>
                <w:sz w:val="18"/>
                <w:szCs w:val="18"/>
              </w:rPr>
              <w:t xml:space="preserve"> </w:t>
            </w:r>
            <w:r w:rsidRPr="007547E7">
              <w:rPr>
                <w:rFonts w:asciiTheme="minorBidi" w:hAnsiTheme="minorBidi"/>
                <w:color w:val="000000"/>
                <w:sz w:val="18"/>
                <w:szCs w:val="18"/>
              </w:rPr>
              <w:t>494</w:t>
            </w:r>
          </w:p>
        </w:tc>
        <w:tc>
          <w:tcPr>
            <w:tcW w:w="0" w:type="auto"/>
            <w:noWrap/>
            <w:vAlign w:val="bottom"/>
            <w:hideMark/>
          </w:tcPr>
          <w:p w14:paraId="3B650F72" w14:textId="77777777" w:rsidR="00206B4E" w:rsidRPr="007547E7" w:rsidRDefault="00206B4E" w:rsidP="00C77F1E">
            <w:pPr>
              <w:spacing w:before="0" w:after="0" w:line="240" w:lineRule="auto"/>
              <w:jc w:val="right"/>
              <w:rPr>
                <w:rFonts w:asciiTheme="minorBidi" w:hAnsiTheme="minorBidi"/>
                <w:color w:val="000000"/>
                <w:sz w:val="18"/>
                <w:szCs w:val="18"/>
              </w:rPr>
            </w:pPr>
          </w:p>
        </w:tc>
        <w:tc>
          <w:tcPr>
            <w:tcW w:w="0" w:type="auto"/>
            <w:noWrap/>
            <w:vAlign w:val="bottom"/>
            <w:hideMark/>
          </w:tcPr>
          <w:p w14:paraId="2F0E680F" w14:textId="57A49867" w:rsidR="00206B4E" w:rsidRPr="007547E7" w:rsidRDefault="00206B4E" w:rsidP="00C77F1E">
            <w:pPr>
              <w:spacing w:before="0" w:after="0" w:line="240" w:lineRule="auto"/>
              <w:jc w:val="right"/>
              <w:rPr>
                <w:rFonts w:asciiTheme="minorBidi" w:hAnsiTheme="minorBidi"/>
                <w:color w:val="FF0000"/>
                <w:sz w:val="18"/>
                <w:szCs w:val="18"/>
              </w:rPr>
            </w:pPr>
            <w:r w:rsidRPr="007547E7">
              <w:rPr>
                <w:rFonts w:asciiTheme="minorBidi" w:hAnsiTheme="minorBidi"/>
                <w:color w:val="FF0000"/>
                <w:sz w:val="18"/>
                <w:szCs w:val="18"/>
              </w:rPr>
              <w:t>2</w:t>
            </w:r>
            <w:r w:rsidR="00C77F1E">
              <w:rPr>
                <w:rFonts w:asciiTheme="minorBidi" w:hAnsiTheme="minorBidi"/>
                <w:color w:val="FF0000"/>
                <w:sz w:val="18"/>
                <w:szCs w:val="18"/>
              </w:rPr>
              <w:t xml:space="preserve"> </w:t>
            </w:r>
            <w:r w:rsidRPr="007547E7">
              <w:rPr>
                <w:rFonts w:asciiTheme="minorBidi" w:hAnsiTheme="minorBidi"/>
                <w:color w:val="FF0000"/>
                <w:sz w:val="18"/>
                <w:szCs w:val="18"/>
              </w:rPr>
              <w:t>986</w:t>
            </w:r>
          </w:p>
        </w:tc>
        <w:tc>
          <w:tcPr>
            <w:tcW w:w="0" w:type="auto"/>
            <w:noWrap/>
            <w:vAlign w:val="bottom"/>
            <w:hideMark/>
          </w:tcPr>
          <w:p w14:paraId="56BAD84C"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590</w:t>
            </w:r>
          </w:p>
        </w:tc>
        <w:tc>
          <w:tcPr>
            <w:tcW w:w="0" w:type="auto"/>
            <w:noWrap/>
            <w:vAlign w:val="bottom"/>
            <w:hideMark/>
          </w:tcPr>
          <w:p w14:paraId="5908B513"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E176F19" w14:textId="64DA24CF"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1</w:t>
            </w:r>
            <w:r w:rsidR="00C77F1E">
              <w:rPr>
                <w:rFonts w:asciiTheme="minorBidi" w:hAnsiTheme="minorBidi"/>
                <w:sz w:val="18"/>
                <w:szCs w:val="18"/>
              </w:rPr>
              <w:t xml:space="preserve"> </w:t>
            </w:r>
            <w:r w:rsidRPr="007547E7">
              <w:rPr>
                <w:rFonts w:asciiTheme="minorBidi" w:hAnsiTheme="minorBidi"/>
                <w:sz w:val="18"/>
                <w:szCs w:val="18"/>
              </w:rPr>
              <w:t>870</w:t>
            </w:r>
          </w:p>
        </w:tc>
        <w:tc>
          <w:tcPr>
            <w:tcW w:w="0" w:type="auto"/>
            <w:noWrap/>
            <w:vAlign w:val="bottom"/>
            <w:hideMark/>
          </w:tcPr>
          <w:p w14:paraId="240DD9B7"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941</w:t>
            </w:r>
          </w:p>
        </w:tc>
        <w:tc>
          <w:tcPr>
            <w:tcW w:w="0" w:type="auto"/>
            <w:noWrap/>
            <w:vAlign w:val="bottom"/>
            <w:hideMark/>
          </w:tcPr>
          <w:p w14:paraId="42660DD5"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599</w:t>
            </w:r>
          </w:p>
        </w:tc>
        <w:tc>
          <w:tcPr>
            <w:tcW w:w="0" w:type="auto"/>
            <w:noWrap/>
            <w:vAlign w:val="bottom"/>
            <w:hideMark/>
          </w:tcPr>
          <w:p w14:paraId="602D81BD"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373</w:t>
            </w:r>
          </w:p>
        </w:tc>
        <w:tc>
          <w:tcPr>
            <w:tcW w:w="0" w:type="auto"/>
            <w:noWrap/>
            <w:vAlign w:val="bottom"/>
            <w:hideMark/>
          </w:tcPr>
          <w:p w14:paraId="4CD715F0"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2716FB3"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986</w:t>
            </w:r>
          </w:p>
        </w:tc>
        <w:tc>
          <w:tcPr>
            <w:tcW w:w="0" w:type="auto"/>
            <w:noWrap/>
            <w:vAlign w:val="bottom"/>
            <w:hideMark/>
          </w:tcPr>
          <w:p w14:paraId="04D72C3A"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331</w:t>
            </w:r>
          </w:p>
        </w:tc>
        <w:tc>
          <w:tcPr>
            <w:tcW w:w="0" w:type="auto"/>
            <w:noWrap/>
            <w:vAlign w:val="bottom"/>
            <w:hideMark/>
          </w:tcPr>
          <w:p w14:paraId="4DC86CD5"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332</w:t>
            </w:r>
          </w:p>
        </w:tc>
        <w:tc>
          <w:tcPr>
            <w:tcW w:w="0" w:type="auto"/>
            <w:noWrap/>
            <w:vAlign w:val="bottom"/>
            <w:hideMark/>
          </w:tcPr>
          <w:p w14:paraId="1D041753"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297</w:t>
            </w:r>
          </w:p>
        </w:tc>
        <w:tc>
          <w:tcPr>
            <w:tcW w:w="0" w:type="auto"/>
            <w:noWrap/>
            <w:vAlign w:val="bottom"/>
            <w:hideMark/>
          </w:tcPr>
          <w:p w14:paraId="40FF8CDD"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153</w:t>
            </w:r>
          </w:p>
        </w:tc>
        <w:tc>
          <w:tcPr>
            <w:tcW w:w="0" w:type="auto"/>
            <w:noWrap/>
            <w:vAlign w:val="bottom"/>
            <w:hideMark/>
          </w:tcPr>
          <w:p w14:paraId="26CBDF97"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138</w:t>
            </w:r>
          </w:p>
        </w:tc>
        <w:tc>
          <w:tcPr>
            <w:tcW w:w="0" w:type="auto"/>
            <w:noWrap/>
            <w:vAlign w:val="bottom"/>
            <w:hideMark/>
          </w:tcPr>
          <w:p w14:paraId="764D6D82"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36F0346"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100</w:t>
            </w:r>
          </w:p>
        </w:tc>
        <w:tc>
          <w:tcPr>
            <w:tcW w:w="0" w:type="auto"/>
            <w:noWrap/>
            <w:vAlign w:val="bottom"/>
            <w:hideMark/>
          </w:tcPr>
          <w:p w14:paraId="24DD4F66"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93</w:t>
            </w:r>
          </w:p>
        </w:tc>
        <w:tc>
          <w:tcPr>
            <w:tcW w:w="0" w:type="auto"/>
            <w:noWrap/>
            <w:vAlign w:val="bottom"/>
            <w:hideMark/>
          </w:tcPr>
          <w:p w14:paraId="593BD405"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297</w:t>
            </w:r>
          </w:p>
        </w:tc>
        <w:tc>
          <w:tcPr>
            <w:tcW w:w="0" w:type="auto"/>
            <w:noWrap/>
            <w:vAlign w:val="bottom"/>
            <w:hideMark/>
          </w:tcPr>
          <w:p w14:paraId="6741A718"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CB43768"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481</w:t>
            </w:r>
          </w:p>
        </w:tc>
      </w:tr>
      <w:tr w:rsidR="00206B4E" w:rsidRPr="00324820" w14:paraId="3360ECE8" w14:textId="77777777" w:rsidTr="00C73629">
        <w:trPr>
          <w:trHeight w:val="320"/>
        </w:trPr>
        <w:tc>
          <w:tcPr>
            <w:tcW w:w="0" w:type="auto"/>
            <w:noWrap/>
            <w:vAlign w:val="bottom"/>
            <w:hideMark/>
          </w:tcPr>
          <w:p w14:paraId="0EA8096F" w14:textId="77777777" w:rsidR="00206B4E" w:rsidRPr="007547E7" w:rsidRDefault="00206B4E" w:rsidP="00324820">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2020</w:t>
            </w:r>
          </w:p>
        </w:tc>
        <w:tc>
          <w:tcPr>
            <w:tcW w:w="0" w:type="auto"/>
            <w:noWrap/>
            <w:vAlign w:val="bottom"/>
            <w:hideMark/>
          </w:tcPr>
          <w:p w14:paraId="5F7E9D59" w14:textId="77777777" w:rsidR="00206B4E" w:rsidRPr="007547E7" w:rsidRDefault="00206B4E" w:rsidP="00324820">
            <w:pPr>
              <w:spacing w:before="0" w:after="0" w:line="240" w:lineRule="auto"/>
              <w:jc w:val="center"/>
              <w:rPr>
                <w:rFonts w:asciiTheme="minorBidi" w:hAnsiTheme="minorBidi"/>
                <w:color w:val="000000"/>
                <w:sz w:val="18"/>
                <w:szCs w:val="18"/>
              </w:rPr>
            </w:pPr>
            <w:r w:rsidRPr="007547E7">
              <w:rPr>
                <w:rFonts w:asciiTheme="minorBidi" w:hAnsiTheme="minorBidi"/>
                <w:color w:val="000000"/>
                <w:sz w:val="18"/>
                <w:szCs w:val="18"/>
              </w:rPr>
              <w:t>max</w:t>
            </w:r>
          </w:p>
        </w:tc>
        <w:tc>
          <w:tcPr>
            <w:tcW w:w="0" w:type="auto"/>
            <w:noWrap/>
            <w:vAlign w:val="bottom"/>
            <w:hideMark/>
          </w:tcPr>
          <w:p w14:paraId="176737C0" w14:textId="17C9D797" w:rsidR="00206B4E" w:rsidRPr="007547E7" w:rsidRDefault="00206B4E" w:rsidP="00C77F1E">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8</w:t>
            </w:r>
            <w:r w:rsidR="00C77F1E">
              <w:rPr>
                <w:rFonts w:asciiTheme="minorBidi" w:hAnsiTheme="minorBidi"/>
                <w:color w:val="000000"/>
                <w:sz w:val="18"/>
                <w:szCs w:val="18"/>
              </w:rPr>
              <w:t xml:space="preserve"> </w:t>
            </w:r>
            <w:r w:rsidRPr="007547E7">
              <w:rPr>
                <w:rFonts w:asciiTheme="minorBidi" w:hAnsiTheme="minorBidi"/>
                <w:color w:val="000000"/>
                <w:sz w:val="18"/>
                <w:szCs w:val="18"/>
              </w:rPr>
              <w:t>206</w:t>
            </w:r>
          </w:p>
        </w:tc>
        <w:tc>
          <w:tcPr>
            <w:tcW w:w="0" w:type="auto"/>
            <w:noWrap/>
            <w:vAlign w:val="bottom"/>
            <w:hideMark/>
          </w:tcPr>
          <w:p w14:paraId="6DD2811C" w14:textId="77777777" w:rsidR="00206B4E" w:rsidRPr="007547E7" w:rsidRDefault="00206B4E" w:rsidP="00C77F1E">
            <w:pPr>
              <w:spacing w:before="0" w:after="0" w:line="240" w:lineRule="auto"/>
              <w:jc w:val="right"/>
              <w:rPr>
                <w:rFonts w:asciiTheme="minorBidi" w:hAnsiTheme="minorBidi"/>
                <w:color w:val="000000"/>
                <w:sz w:val="18"/>
                <w:szCs w:val="18"/>
              </w:rPr>
            </w:pPr>
          </w:p>
        </w:tc>
        <w:tc>
          <w:tcPr>
            <w:tcW w:w="0" w:type="auto"/>
            <w:noWrap/>
            <w:vAlign w:val="bottom"/>
            <w:hideMark/>
          </w:tcPr>
          <w:p w14:paraId="3FB01080" w14:textId="4E850E18" w:rsidR="00206B4E" w:rsidRPr="007547E7" w:rsidRDefault="00206B4E" w:rsidP="00C77F1E">
            <w:pPr>
              <w:spacing w:before="0" w:after="0" w:line="240" w:lineRule="auto"/>
              <w:jc w:val="right"/>
              <w:rPr>
                <w:rFonts w:asciiTheme="minorBidi" w:hAnsiTheme="minorBidi"/>
                <w:color w:val="000000"/>
                <w:sz w:val="18"/>
                <w:szCs w:val="18"/>
              </w:rPr>
            </w:pPr>
            <w:r w:rsidRPr="007547E7">
              <w:rPr>
                <w:rFonts w:asciiTheme="minorBidi" w:hAnsiTheme="minorBidi"/>
                <w:color w:val="000000"/>
                <w:sz w:val="18"/>
                <w:szCs w:val="18"/>
              </w:rPr>
              <w:t>3</w:t>
            </w:r>
            <w:r w:rsidR="00C77F1E">
              <w:rPr>
                <w:rFonts w:asciiTheme="minorBidi" w:hAnsiTheme="minorBidi"/>
                <w:color w:val="000000"/>
                <w:sz w:val="18"/>
                <w:szCs w:val="18"/>
              </w:rPr>
              <w:t xml:space="preserve"> </w:t>
            </w:r>
            <w:r w:rsidRPr="007547E7">
              <w:rPr>
                <w:rFonts w:asciiTheme="minorBidi" w:hAnsiTheme="minorBidi"/>
                <w:color w:val="000000"/>
                <w:sz w:val="18"/>
                <w:szCs w:val="18"/>
              </w:rPr>
              <w:t>244</w:t>
            </w:r>
          </w:p>
        </w:tc>
        <w:tc>
          <w:tcPr>
            <w:tcW w:w="0" w:type="auto"/>
            <w:noWrap/>
            <w:vAlign w:val="bottom"/>
            <w:hideMark/>
          </w:tcPr>
          <w:p w14:paraId="6075C5C1"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418</w:t>
            </w:r>
          </w:p>
        </w:tc>
        <w:tc>
          <w:tcPr>
            <w:tcW w:w="0" w:type="auto"/>
            <w:noWrap/>
            <w:vAlign w:val="bottom"/>
            <w:hideMark/>
          </w:tcPr>
          <w:p w14:paraId="2130735A"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AC60F4C" w14:textId="372E6C98"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1</w:t>
            </w:r>
            <w:r w:rsidR="00C77F1E">
              <w:rPr>
                <w:rFonts w:asciiTheme="minorBidi" w:hAnsiTheme="minorBidi"/>
                <w:sz w:val="18"/>
                <w:szCs w:val="18"/>
              </w:rPr>
              <w:t xml:space="preserve"> </w:t>
            </w:r>
            <w:r w:rsidRPr="007547E7">
              <w:rPr>
                <w:rFonts w:asciiTheme="minorBidi" w:hAnsiTheme="minorBidi"/>
                <w:sz w:val="18"/>
                <w:szCs w:val="18"/>
              </w:rPr>
              <w:t>311</w:t>
            </w:r>
          </w:p>
        </w:tc>
        <w:tc>
          <w:tcPr>
            <w:tcW w:w="0" w:type="auto"/>
            <w:noWrap/>
            <w:vAlign w:val="bottom"/>
            <w:hideMark/>
          </w:tcPr>
          <w:p w14:paraId="7B45BB03"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738</w:t>
            </w:r>
          </w:p>
        </w:tc>
        <w:tc>
          <w:tcPr>
            <w:tcW w:w="0" w:type="auto"/>
            <w:noWrap/>
            <w:vAlign w:val="bottom"/>
            <w:hideMark/>
          </w:tcPr>
          <w:p w14:paraId="3D244B37"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429</w:t>
            </w:r>
          </w:p>
        </w:tc>
        <w:tc>
          <w:tcPr>
            <w:tcW w:w="0" w:type="auto"/>
            <w:noWrap/>
            <w:vAlign w:val="bottom"/>
            <w:hideMark/>
          </w:tcPr>
          <w:p w14:paraId="346650D4"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245</w:t>
            </w:r>
          </w:p>
        </w:tc>
        <w:tc>
          <w:tcPr>
            <w:tcW w:w="0" w:type="auto"/>
            <w:noWrap/>
            <w:vAlign w:val="bottom"/>
            <w:hideMark/>
          </w:tcPr>
          <w:p w14:paraId="5437924E"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2F4AA80"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798</w:t>
            </w:r>
          </w:p>
        </w:tc>
        <w:tc>
          <w:tcPr>
            <w:tcW w:w="0" w:type="auto"/>
            <w:noWrap/>
            <w:vAlign w:val="bottom"/>
            <w:hideMark/>
          </w:tcPr>
          <w:p w14:paraId="2F3DED7B"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166</w:t>
            </w:r>
          </w:p>
        </w:tc>
        <w:tc>
          <w:tcPr>
            <w:tcW w:w="0" w:type="auto"/>
            <w:noWrap/>
            <w:vAlign w:val="bottom"/>
            <w:hideMark/>
          </w:tcPr>
          <w:p w14:paraId="75CC609F"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224</w:t>
            </w:r>
          </w:p>
        </w:tc>
        <w:tc>
          <w:tcPr>
            <w:tcW w:w="0" w:type="auto"/>
            <w:noWrap/>
            <w:vAlign w:val="bottom"/>
            <w:hideMark/>
          </w:tcPr>
          <w:p w14:paraId="3CA3A4E7"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246</w:t>
            </w:r>
          </w:p>
        </w:tc>
        <w:tc>
          <w:tcPr>
            <w:tcW w:w="0" w:type="auto"/>
            <w:noWrap/>
            <w:vAlign w:val="bottom"/>
            <w:hideMark/>
          </w:tcPr>
          <w:p w14:paraId="6CFA168B"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123</w:t>
            </w:r>
          </w:p>
        </w:tc>
        <w:tc>
          <w:tcPr>
            <w:tcW w:w="0" w:type="auto"/>
            <w:noWrap/>
            <w:vAlign w:val="bottom"/>
            <w:hideMark/>
          </w:tcPr>
          <w:p w14:paraId="513FD086"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116</w:t>
            </w:r>
          </w:p>
        </w:tc>
        <w:tc>
          <w:tcPr>
            <w:tcW w:w="0" w:type="auto"/>
            <w:noWrap/>
            <w:vAlign w:val="bottom"/>
            <w:hideMark/>
          </w:tcPr>
          <w:p w14:paraId="182F929A"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417E353"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52</w:t>
            </w:r>
          </w:p>
        </w:tc>
        <w:tc>
          <w:tcPr>
            <w:tcW w:w="0" w:type="auto"/>
            <w:noWrap/>
            <w:vAlign w:val="bottom"/>
            <w:hideMark/>
          </w:tcPr>
          <w:p w14:paraId="5378EEFF"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54</w:t>
            </w:r>
          </w:p>
        </w:tc>
        <w:tc>
          <w:tcPr>
            <w:tcW w:w="0" w:type="auto"/>
            <w:noWrap/>
            <w:vAlign w:val="bottom"/>
            <w:hideMark/>
          </w:tcPr>
          <w:p w14:paraId="6175929D"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209</w:t>
            </w:r>
          </w:p>
        </w:tc>
        <w:tc>
          <w:tcPr>
            <w:tcW w:w="0" w:type="auto"/>
            <w:noWrap/>
            <w:vAlign w:val="bottom"/>
            <w:hideMark/>
          </w:tcPr>
          <w:p w14:paraId="7686730A"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EF836F4" w14:textId="77777777" w:rsidR="00206B4E" w:rsidRPr="007547E7" w:rsidRDefault="00206B4E" w:rsidP="00C77F1E">
            <w:pPr>
              <w:spacing w:before="0" w:after="0" w:line="240" w:lineRule="auto"/>
              <w:jc w:val="right"/>
              <w:rPr>
                <w:rFonts w:asciiTheme="minorBidi" w:hAnsiTheme="minorBidi"/>
                <w:sz w:val="18"/>
                <w:szCs w:val="18"/>
              </w:rPr>
            </w:pPr>
            <w:r w:rsidRPr="007547E7">
              <w:rPr>
                <w:rFonts w:asciiTheme="minorBidi" w:hAnsiTheme="minorBidi"/>
                <w:sz w:val="18"/>
                <w:szCs w:val="18"/>
              </w:rPr>
              <w:t>346</w:t>
            </w:r>
          </w:p>
        </w:tc>
      </w:tr>
      <w:tr w:rsidR="00206B4E" w:rsidRPr="00324820" w14:paraId="4DAC15A6" w14:textId="77777777" w:rsidTr="00C73629">
        <w:trPr>
          <w:trHeight w:val="320"/>
        </w:trPr>
        <w:tc>
          <w:tcPr>
            <w:tcW w:w="0" w:type="auto"/>
            <w:noWrap/>
            <w:vAlign w:val="bottom"/>
            <w:hideMark/>
          </w:tcPr>
          <w:p w14:paraId="286D57F3" w14:textId="77777777" w:rsidR="00206B4E" w:rsidRPr="007547E7" w:rsidRDefault="00206B4E" w:rsidP="00324820">
            <w:pPr>
              <w:spacing w:before="0" w:after="0" w:line="240" w:lineRule="auto"/>
              <w:jc w:val="center"/>
              <w:rPr>
                <w:rFonts w:asciiTheme="minorBidi" w:hAnsiTheme="minorBidi"/>
                <w:sz w:val="18"/>
                <w:szCs w:val="18"/>
              </w:rPr>
            </w:pPr>
          </w:p>
        </w:tc>
        <w:tc>
          <w:tcPr>
            <w:tcW w:w="0" w:type="auto"/>
            <w:noWrap/>
            <w:vAlign w:val="bottom"/>
            <w:hideMark/>
          </w:tcPr>
          <w:p w14:paraId="05D3CCB0" w14:textId="77777777" w:rsidR="00206B4E" w:rsidRPr="007547E7" w:rsidRDefault="00206B4E" w:rsidP="00324820">
            <w:pPr>
              <w:spacing w:before="0" w:after="0" w:line="240" w:lineRule="auto"/>
              <w:rPr>
                <w:rFonts w:asciiTheme="minorBidi" w:hAnsiTheme="minorBidi"/>
                <w:sz w:val="18"/>
                <w:szCs w:val="18"/>
              </w:rPr>
            </w:pPr>
          </w:p>
        </w:tc>
        <w:tc>
          <w:tcPr>
            <w:tcW w:w="0" w:type="auto"/>
            <w:noWrap/>
            <w:vAlign w:val="bottom"/>
            <w:hideMark/>
          </w:tcPr>
          <w:p w14:paraId="29603363" w14:textId="2A997B76"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AA02053"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C04F54F"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543936C"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C7B40CC"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F718C2D"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21B91C8"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6B4942D"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8A55930"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A5B7447"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188D316"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916C03F"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18D9EEC8"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7BAA237A"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492001B2"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6BEDE599"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208E19EB"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684FF40"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3740FA8A"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2D85420"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50204137" w14:textId="77777777" w:rsidR="00206B4E" w:rsidRPr="007547E7" w:rsidRDefault="00206B4E" w:rsidP="00C77F1E">
            <w:pPr>
              <w:spacing w:before="0" w:after="0" w:line="240" w:lineRule="auto"/>
              <w:jc w:val="right"/>
              <w:rPr>
                <w:rFonts w:asciiTheme="minorBidi" w:hAnsiTheme="minorBidi"/>
                <w:sz w:val="18"/>
                <w:szCs w:val="18"/>
              </w:rPr>
            </w:pPr>
          </w:p>
        </w:tc>
        <w:tc>
          <w:tcPr>
            <w:tcW w:w="0" w:type="auto"/>
            <w:noWrap/>
            <w:vAlign w:val="bottom"/>
            <w:hideMark/>
          </w:tcPr>
          <w:p w14:paraId="0072C2E9" w14:textId="77777777" w:rsidR="00206B4E" w:rsidRPr="007547E7" w:rsidRDefault="00206B4E" w:rsidP="00C77F1E">
            <w:pPr>
              <w:spacing w:before="0" w:after="0" w:line="240" w:lineRule="auto"/>
              <w:jc w:val="right"/>
              <w:rPr>
                <w:rFonts w:asciiTheme="minorBidi" w:hAnsiTheme="minorBidi"/>
                <w:sz w:val="18"/>
                <w:szCs w:val="18"/>
              </w:rPr>
            </w:pPr>
          </w:p>
        </w:tc>
      </w:tr>
      <w:tr w:rsidR="007964F1" w:rsidRPr="00324820" w14:paraId="5DBAFD09" w14:textId="77777777" w:rsidTr="00C73629">
        <w:trPr>
          <w:trHeight w:val="300"/>
        </w:trPr>
        <w:tc>
          <w:tcPr>
            <w:tcW w:w="0" w:type="auto"/>
            <w:gridSpan w:val="2"/>
            <w:shd w:val="clear" w:color="auto" w:fill="E5E5E5" w:themeFill="background2" w:themeFillShade="E6"/>
            <w:vAlign w:val="center"/>
          </w:tcPr>
          <w:p w14:paraId="2EDA79E6" w14:textId="4D6DEA82" w:rsidR="00206B4E" w:rsidRPr="007547E7" w:rsidRDefault="4A7E2F16" w:rsidP="4A7E2F16">
            <w:pPr>
              <w:spacing w:before="0" w:after="0" w:line="240" w:lineRule="auto"/>
              <w:jc w:val="center"/>
              <w:rPr>
                <w:rFonts w:asciiTheme="minorBidi" w:hAnsiTheme="minorBidi"/>
                <w:color w:val="000000"/>
                <w:sz w:val="18"/>
                <w:szCs w:val="18"/>
              </w:rPr>
            </w:pPr>
            <w:r w:rsidRPr="4A7E2F16">
              <w:rPr>
                <w:rFonts w:asciiTheme="minorBidi" w:hAnsiTheme="minorBidi"/>
                <w:color w:val="000000"/>
                <w:sz w:val="18"/>
                <w:szCs w:val="18"/>
              </w:rPr>
              <w:t>2020-2024 max</w:t>
            </w:r>
          </w:p>
        </w:tc>
        <w:tc>
          <w:tcPr>
            <w:tcW w:w="0" w:type="auto"/>
            <w:shd w:val="clear" w:color="auto" w:fill="E5E5E5" w:themeFill="background2" w:themeFillShade="E6"/>
            <w:noWrap/>
            <w:vAlign w:val="center"/>
            <w:hideMark/>
          </w:tcPr>
          <w:p w14:paraId="42CFC549" w14:textId="12208C99"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28%</w:t>
            </w:r>
          </w:p>
        </w:tc>
        <w:tc>
          <w:tcPr>
            <w:tcW w:w="0" w:type="auto"/>
            <w:shd w:val="clear" w:color="auto" w:fill="E5E5E5" w:themeFill="background2" w:themeFillShade="E6"/>
            <w:noWrap/>
            <w:vAlign w:val="center"/>
            <w:hideMark/>
          </w:tcPr>
          <w:p w14:paraId="37D061BA" w14:textId="4D573556" w:rsidR="00206B4E" w:rsidRPr="007547E7" w:rsidRDefault="00206B4E" w:rsidP="00C77F1E">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5041FF1A" w14:textId="67A457FC" w:rsidR="00206B4E" w:rsidRPr="007547E7" w:rsidRDefault="00206B4E" w:rsidP="00C77F1E">
            <w:pPr>
              <w:spacing w:before="0" w:after="0" w:line="240" w:lineRule="auto"/>
              <w:jc w:val="right"/>
              <w:rPr>
                <w:rFonts w:asciiTheme="minorBidi" w:hAnsiTheme="minorBidi"/>
                <w:color w:val="FF0000"/>
                <w:sz w:val="18"/>
                <w:szCs w:val="18"/>
              </w:rPr>
            </w:pPr>
            <w:r w:rsidRPr="654CE534">
              <w:rPr>
                <w:rFonts w:asciiTheme="minorBidi" w:hAnsiTheme="minorBidi"/>
                <w:color w:val="FF0000"/>
                <w:sz w:val="18"/>
                <w:szCs w:val="18"/>
              </w:rPr>
              <w:t>-8%</w:t>
            </w:r>
          </w:p>
        </w:tc>
        <w:tc>
          <w:tcPr>
            <w:tcW w:w="0" w:type="auto"/>
            <w:shd w:val="clear" w:color="auto" w:fill="E5E5E5" w:themeFill="background2" w:themeFillShade="E6"/>
            <w:noWrap/>
            <w:vAlign w:val="center"/>
            <w:hideMark/>
          </w:tcPr>
          <w:p w14:paraId="0EE45CD1" w14:textId="026FD8DD"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41%</w:t>
            </w:r>
          </w:p>
        </w:tc>
        <w:tc>
          <w:tcPr>
            <w:tcW w:w="0" w:type="auto"/>
            <w:shd w:val="clear" w:color="auto" w:fill="E5E5E5" w:themeFill="background2" w:themeFillShade="E6"/>
            <w:noWrap/>
            <w:vAlign w:val="center"/>
            <w:hideMark/>
          </w:tcPr>
          <w:p w14:paraId="69C985A1" w14:textId="7B179CE7" w:rsidR="00206B4E" w:rsidRPr="007547E7" w:rsidRDefault="00206B4E" w:rsidP="00C77F1E">
            <w:pPr>
              <w:spacing w:before="0" w:after="0" w:line="240" w:lineRule="auto"/>
              <w:jc w:val="right"/>
              <w:rPr>
                <w:rFonts w:asciiTheme="minorBidi" w:hAnsiTheme="minorBidi"/>
                <w:b/>
                <w:bCs/>
                <w:color w:val="000000"/>
                <w:sz w:val="18"/>
                <w:szCs w:val="18"/>
              </w:rPr>
            </w:pPr>
          </w:p>
        </w:tc>
        <w:tc>
          <w:tcPr>
            <w:tcW w:w="0" w:type="auto"/>
            <w:shd w:val="clear" w:color="auto" w:fill="E5E5E5" w:themeFill="background2" w:themeFillShade="E6"/>
            <w:noWrap/>
            <w:vAlign w:val="center"/>
            <w:hideMark/>
          </w:tcPr>
          <w:p w14:paraId="73186B2B" w14:textId="33515398"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43%</w:t>
            </w:r>
          </w:p>
        </w:tc>
        <w:tc>
          <w:tcPr>
            <w:tcW w:w="0" w:type="auto"/>
            <w:shd w:val="clear" w:color="auto" w:fill="E5E5E5" w:themeFill="background2" w:themeFillShade="E6"/>
            <w:noWrap/>
            <w:vAlign w:val="center"/>
            <w:hideMark/>
          </w:tcPr>
          <w:p w14:paraId="0AD4503A" w14:textId="21F70236"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28%</w:t>
            </w:r>
          </w:p>
        </w:tc>
        <w:tc>
          <w:tcPr>
            <w:tcW w:w="0" w:type="auto"/>
            <w:shd w:val="clear" w:color="auto" w:fill="E5E5E5" w:themeFill="background2" w:themeFillShade="E6"/>
            <w:noWrap/>
            <w:vAlign w:val="center"/>
            <w:hideMark/>
          </w:tcPr>
          <w:p w14:paraId="0E168170" w14:textId="30E41932"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40%</w:t>
            </w:r>
          </w:p>
        </w:tc>
        <w:tc>
          <w:tcPr>
            <w:tcW w:w="0" w:type="auto"/>
            <w:shd w:val="clear" w:color="auto" w:fill="E5E5E5" w:themeFill="background2" w:themeFillShade="E6"/>
            <w:noWrap/>
            <w:vAlign w:val="center"/>
            <w:hideMark/>
          </w:tcPr>
          <w:p w14:paraId="10705A4A" w14:textId="025B84DF"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52%</w:t>
            </w:r>
          </w:p>
        </w:tc>
        <w:tc>
          <w:tcPr>
            <w:tcW w:w="0" w:type="auto"/>
            <w:shd w:val="clear" w:color="auto" w:fill="E5E5E5" w:themeFill="background2" w:themeFillShade="E6"/>
            <w:noWrap/>
            <w:vAlign w:val="center"/>
            <w:hideMark/>
          </w:tcPr>
          <w:p w14:paraId="41448FFD" w14:textId="19219B22" w:rsidR="00206B4E" w:rsidRPr="007547E7" w:rsidRDefault="00206B4E" w:rsidP="00C77F1E">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7E54C535" w14:textId="7C2B4F24"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24%</w:t>
            </w:r>
          </w:p>
        </w:tc>
        <w:tc>
          <w:tcPr>
            <w:tcW w:w="0" w:type="auto"/>
            <w:shd w:val="clear" w:color="auto" w:fill="E5E5E5" w:themeFill="background2" w:themeFillShade="E6"/>
            <w:noWrap/>
            <w:vAlign w:val="center"/>
            <w:hideMark/>
          </w:tcPr>
          <w:p w14:paraId="151E7C77" w14:textId="3BC243DC"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99%</w:t>
            </w:r>
          </w:p>
        </w:tc>
        <w:tc>
          <w:tcPr>
            <w:tcW w:w="0" w:type="auto"/>
            <w:shd w:val="clear" w:color="auto" w:fill="E5E5E5" w:themeFill="background2" w:themeFillShade="E6"/>
            <w:noWrap/>
            <w:vAlign w:val="center"/>
            <w:hideMark/>
          </w:tcPr>
          <w:p w14:paraId="4D999E99" w14:textId="58291D26"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48%</w:t>
            </w:r>
          </w:p>
        </w:tc>
        <w:tc>
          <w:tcPr>
            <w:tcW w:w="0" w:type="auto"/>
            <w:shd w:val="clear" w:color="auto" w:fill="E5E5E5" w:themeFill="background2" w:themeFillShade="E6"/>
            <w:noWrap/>
            <w:vAlign w:val="center"/>
            <w:hideMark/>
          </w:tcPr>
          <w:p w14:paraId="1966245B" w14:textId="2FB8C663"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21%</w:t>
            </w:r>
          </w:p>
        </w:tc>
        <w:tc>
          <w:tcPr>
            <w:tcW w:w="0" w:type="auto"/>
            <w:shd w:val="clear" w:color="auto" w:fill="E5E5E5" w:themeFill="background2" w:themeFillShade="E6"/>
            <w:noWrap/>
            <w:vAlign w:val="center"/>
            <w:hideMark/>
          </w:tcPr>
          <w:p w14:paraId="7E8D898D" w14:textId="3FD1B712"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24%</w:t>
            </w:r>
          </w:p>
        </w:tc>
        <w:tc>
          <w:tcPr>
            <w:tcW w:w="0" w:type="auto"/>
            <w:shd w:val="clear" w:color="auto" w:fill="E5E5E5" w:themeFill="background2" w:themeFillShade="E6"/>
            <w:noWrap/>
            <w:vAlign w:val="center"/>
            <w:hideMark/>
          </w:tcPr>
          <w:p w14:paraId="16E2E5E7" w14:textId="544438C4"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19%</w:t>
            </w:r>
          </w:p>
        </w:tc>
        <w:tc>
          <w:tcPr>
            <w:tcW w:w="0" w:type="auto"/>
            <w:shd w:val="clear" w:color="auto" w:fill="E5E5E5" w:themeFill="background2" w:themeFillShade="E6"/>
            <w:noWrap/>
            <w:vAlign w:val="center"/>
            <w:hideMark/>
          </w:tcPr>
          <w:p w14:paraId="199A962D" w14:textId="4A139A90" w:rsidR="00206B4E" w:rsidRPr="007547E7" w:rsidRDefault="00206B4E" w:rsidP="00C77F1E">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5A800C38" w14:textId="553B20DC"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92%</w:t>
            </w:r>
          </w:p>
        </w:tc>
        <w:tc>
          <w:tcPr>
            <w:tcW w:w="0" w:type="auto"/>
            <w:shd w:val="clear" w:color="auto" w:fill="E5E5E5" w:themeFill="background2" w:themeFillShade="E6"/>
            <w:noWrap/>
            <w:vAlign w:val="center"/>
            <w:hideMark/>
          </w:tcPr>
          <w:p w14:paraId="7D61B24E" w14:textId="07B99FE2"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72%</w:t>
            </w:r>
          </w:p>
        </w:tc>
        <w:tc>
          <w:tcPr>
            <w:tcW w:w="0" w:type="auto"/>
            <w:shd w:val="clear" w:color="auto" w:fill="E5E5E5" w:themeFill="background2" w:themeFillShade="E6"/>
            <w:noWrap/>
            <w:vAlign w:val="center"/>
            <w:hideMark/>
          </w:tcPr>
          <w:p w14:paraId="2802651B" w14:textId="5955BAC1"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42%</w:t>
            </w:r>
          </w:p>
        </w:tc>
        <w:tc>
          <w:tcPr>
            <w:tcW w:w="0" w:type="auto"/>
            <w:shd w:val="clear" w:color="auto" w:fill="E5E5E5" w:themeFill="background2" w:themeFillShade="E6"/>
            <w:noWrap/>
            <w:vAlign w:val="center"/>
            <w:hideMark/>
          </w:tcPr>
          <w:p w14:paraId="7EED7F91" w14:textId="325D55EF" w:rsidR="00206B4E" w:rsidRPr="007547E7" w:rsidRDefault="00206B4E" w:rsidP="00C77F1E">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7843D7CE" w14:textId="1A516C21" w:rsidR="00206B4E" w:rsidRPr="007547E7" w:rsidRDefault="00206B4E" w:rsidP="00C77F1E">
            <w:pPr>
              <w:spacing w:before="0" w:after="0" w:line="240" w:lineRule="auto"/>
              <w:jc w:val="right"/>
              <w:rPr>
                <w:rFonts w:asciiTheme="minorBidi" w:hAnsiTheme="minorBidi"/>
                <w:color w:val="000000"/>
                <w:sz w:val="18"/>
                <w:szCs w:val="18"/>
              </w:rPr>
            </w:pPr>
            <w:r w:rsidRPr="654CE534">
              <w:rPr>
                <w:rFonts w:asciiTheme="minorBidi" w:hAnsiTheme="minorBidi"/>
                <w:color w:val="000000"/>
                <w:sz w:val="18"/>
                <w:szCs w:val="18"/>
              </w:rPr>
              <w:t>39%</w:t>
            </w:r>
          </w:p>
        </w:tc>
      </w:tr>
    </w:tbl>
    <w:p w14:paraId="427E53D4" w14:textId="6115C4A8" w:rsidR="0070036E" w:rsidRPr="00016091" w:rsidRDefault="0070036E" w:rsidP="00716370">
      <w:pPr>
        <w:pStyle w:val="BottomCaption"/>
      </w:pPr>
      <w:r w:rsidRPr="00016091">
        <w:t>Allikas</w:t>
      </w:r>
      <w:r w:rsidRPr="00CD7EE9">
        <w:t>:</w:t>
      </w:r>
      <w:r w:rsidRPr="00016091">
        <w:t xml:space="preserve"> EIS/Lighthouse</w:t>
      </w:r>
    </w:p>
    <w:p w14:paraId="457AB7A4" w14:textId="1D8D3B77" w:rsidR="009B225F" w:rsidRPr="00E14EBC" w:rsidRDefault="003319AB">
      <w:pPr>
        <w:spacing w:before="0" w:line="259" w:lineRule="auto"/>
      </w:pPr>
      <w:r>
        <w:br w:type="page"/>
      </w:r>
    </w:p>
    <w:p w14:paraId="5BC92F6C" w14:textId="1B448BC1" w:rsidR="00355DF5" w:rsidRDefault="00355DF5" w:rsidP="7DC5FC43">
      <w:pPr>
        <w:pStyle w:val="Caption"/>
      </w:pPr>
    </w:p>
    <w:p w14:paraId="153F084F" w14:textId="3559D83B" w:rsidR="009B225F" w:rsidRPr="00E14EBC" w:rsidRDefault="009B225F" w:rsidP="7DC5FC43">
      <w:pPr>
        <w:pStyle w:val="Caption"/>
      </w:pPr>
    </w:p>
    <w:p w14:paraId="1004C342" w14:textId="39D14EB4" w:rsidR="009B225F" w:rsidRPr="00E14EBC" w:rsidRDefault="5A18D7EE" w:rsidP="00355DF5">
      <w:pPr>
        <w:pStyle w:val="Caption"/>
      </w:pPr>
      <w:r>
        <w:t xml:space="preserve">Tabel </w:t>
      </w:r>
      <w:r w:rsidR="25E16BA8">
        <w:t>1</w:t>
      </w:r>
      <w:r w:rsidR="588F46B9">
        <w:t>9</w:t>
      </w:r>
      <w:r>
        <w:t>: Lühiajalise üüri teenust pakkuvate majutusettevõtete arv ja majutusettevõtete tubade arv, maakonniti, 2019–2023</w:t>
      </w:r>
    </w:p>
    <w:tbl>
      <w:tblPr>
        <w:tblW w:w="13962" w:type="dxa"/>
        <w:tblLook w:val="04A0" w:firstRow="1" w:lastRow="0" w:firstColumn="1" w:lastColumn="0" w:noHBand="0" w:noVBand="1"/>
      </w:tblPr>
      <w:tblGrid>
        <w:gridCol w:w="2700"/>
        <w:gridCol w:w="1280"/>
        <w:gridCol w:w="1280"/>
        <w:gridCol w:w="1280"/>
        <w:gridCol w:w="1280"/>
        <w:gridCol w:w="1040"/>
        <w:gridCol w:w="222"/>
        <w:gridCol w:w="1280"/>
        <w:gridCol w:w="1280"/>
        <w:gridCol w:w="1280"/>
        <w:gridCol w:w="1040"/>
      </w:tblGrid>
      <w:tr w:rsidR="00282C2E" w:rsidRPr="003E4A08" w14:paraId="150C8E14" w14:textId="77777777" w:rsidTr="4A7E2F16">
        <w:trPr>
          <w:trHeight w:val="288"/>
        </w:trPr>
        <w:tc>
          <w:tcPr>
            <w:tcW w:w="2700" w:type="dxa"/>
            <w:tcBorders>
              <w:top w:val="nil"/>
              <w:left w:val="nil"/>
              <w:bottom w:val="nil"/>
              <w:right w:val="single" w:sz="4" w:space="0" w:color="auto"/>
            </w:tcBorders>
            <w:noWrap/>
            <w:vAlign w:val="bottom"/>
            <w:hideMark/>
          </w:tcPr>
          <w:p w14:paraId="5B017C07" w14:textId="77777777" w:rsidR="00282C2E" w:rsidRPr="003E4A08" w:rsidRDefault="00282C2E" w:rsidP="007C0DE4">
            <w:pPr>
              <w:spacing w:before="0" w:after="0" w:line="240" w:lineRule="auto"/>
              <w:rPr>
                <w:sz w:val="18"/>
                <w:szCs w:val="18"/>
              </w:rPr>
            </w:pPr>
          </w:p>
        </w:tc>
        <w:tc>
          <w:tcPr>
            <w:tcW w:w="6160" w:type="dxa"/>
            <w:gridSpan w:val="5"/>
            <w:tcBorders>
              <w:top w:val="single" w:sz="4" w:space="0" w:color="auto"/>
              <w:left w:val="single" w:sz="4" w:space="0" w:color="auto"/>
              <w:bottom w:val="single" w:sz="4" w:space="0" w:color="auto"/>
              <w:right w:val="single" w:sz="4" w:space="0" w:color="auto"/>
            </w:tcBorders>
            <w:noWrap/>
            <w:vAlign w:val="bottom"/>
            <w:hideMark/>
          </w:tcPr>
          <w:p w14:paraId="63000C75" w14:textId="77777777" w:rsidR="00282C2E" w:rsidRPr="003E4A08" w:rsidRDefault="00282C2E" w:rsidP="007C0DE4">
            <w:pPr>
              <w:spacing w:before="0" w:after="0" w:line="240" w:lineRule="auto"/>
              <w:jc w:val="center"/>
              <w:rPr>
                <w:b/>
                <w:bCs/>
                <w:color w:val="000000"/>
                <w:sz w:val="18"/>
                <w:szCs w:val="18"/>
              </w:rPr>
            </w:pPr>
            <w:r w:rsidRPr="003E4A08">
              <w:rPr>
                <w:b/>
                <w:bCs/>
                <w:color w:val="000000"/>
                <w:sz w:val="18"/>
                <w:szCs w:val="18"/>
              </w:rPr>
              <w:t>Lühiajalised üüripinnad</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13EABE45" w14:textId="77777777" w:rsidR="00282C2E" w:rsidRPr="003E4A08" w:rsidRDefault="00282C2E" w:rsidP="007C0DE4">
            <w:pPr>
              <w:spacing w:before="0" w:after="0" w:line="240" w:lineRule="auto"/>
              <w:jc w:val="center"/>
              <w:rPr>
                <w:b/>
                <w:bCs/>
                <w:color w:val="000000"/>
                <w:sz w:val="18"/>
                <w:szCs w:val="18"/>
              </w:rPr>
            </w:pPr>
          </w:p>
        </w:tc>
        <w:tc>
          <w:tcPr>
            <w:tcW w:w="4880" w:type="dxa"/>
            <w:gridSpan w:val="4"/>
            <w:tcBorders>
              <w:top w:val="single" w:sz="4" w:space="0" w:color="auto"/>
              <w:left w:val="single" w:sz="4" w:space="0" w:color="auto"/>
              <w:bottom w:val="single" w:sz="4" w:space="0" w:color="auto"/>
              <w:right w:val="single" w:sz="4" w:space="0" w:color="auto"/>
            </w:tcBorders>
            <w:noWrap/>
            <w:vAlign w:val="bottom"/>
            <w:hideMark/>
          </w:tcPr>
          <w:p w14:paraId="2F9227C5" w14:textId="77777777" w:rsidR="00282C2E" w:rsidRPr="003E4A08" w:rsidRDefault="00282C2E" w:rsidP="007C0DE4">
            <w:pPr>
              <w:spacing w:before="0" w:after="0" w:line="240" w:lineRule="auto"/>
              <w:jc w:val="center"/>
              <w:rPr>
                <w:b/>
                <w:bCs/>
                <w:color w:val="000000"/>
                <w:sz w:val="18"/>
                <w:szCs w:val="18"/>
              </w:rPr>
            </w:pPr>
            <w:r w:rsidRPr="003E4A08">
              <w:rPr>
                <w:b/>
                <w:bCs/>
                <w:color w:val="000000"/>
                <w:sz w:val="18"/>
                <w:szCs w:val="18"/>
              </w:rPr>
              <w:t>Majutusettevõtted</w:t>
            </w:r>
          </w:p>
        </w:tc>
      </w:tr>
      <w:tr w:rsidR="00282C2E" w:rsidRPr="003E4A08" w14:paraId="5D026090" w14:textId="77777777" w:rsidTr="4A7E2F16">
        <w:trPr>
          <w:trHeight w:val="300"/>
        </w:trPr>
        <w:tc>
          <w:tcPr>
            <w:tcW w:w="2700" w:type="dxa"/>
            <w:tcBorders>
              <w:top w:val="nil"/>
              <w:left w:val="nil"/>
              <w:bottom w:val="single" w:sz="4" w:space="0" w:color="auto"/>
              <w:right w:val="single" w:sz="4" w:space="0" w:color="auto"/>
            </w:tcBorders>
            <w:noWrap/>
            <w:vAlign w:val="bottom"/>
            <w:hideMark/>
          </w:tcPr>
          <w:p w14:paraId="1DB3631E" w14:textId="77777777" w:rsidR="00282C2E" w:rsidRPr="003E4A08" w:rsidRDefault="00282C2E" w:rsidP="007C0DE4">
            <w:pPr>
              <w:spacing w:before="0" w:after="0" w:line="240" w:lineRule="auto"/>
              <w:jc w:val="center"/>
              <w:rPr>
                <w:b/>
                <w:bCs/>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vAlign w:val="center"/>
            <w:hideMark/>
          </w:tcPr>
          <w:p w14:paraId="05EE452D" w14:textId="5E2EF550" w:rsidR="00282C2E" w:rsidRPr="003E4A08" w:rsidRDefault="00282C2E" w:rsidP="007C0DE4">
            <w:pPr>
              <w:spacing w:before="0" w:after="0" w:line="240" w:lineRule="auto"/>
              <w:jc w:val="center"/>
              <w:rPr>
                <w:b/>
                <w:bCs/>
                <w:color w:val="000000"/>
                <w:sz w:val="18"/>
                <w:szCs w:val="18"/>
              </w:rPr>
            </w:pPr>
            <w:r w:rsidRPr="003E4A08">
              <w:rPr>
                <w:b/>
                <w:bCs/>
                <w:color w:val="000000"/>
                <w:sz w:val="18"/>
                <w:szCs w:val="18"/>
              </w:rPr>
              <w:t>LÜP #2024 max</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0E08992" w14:textId="5DD9313D" w:rsidR="00282C2E" w:rsidRPr="003E4A08" w:rsidRDefault="00282C2E" w:rsidP="007C0DE4">
            <w:pPr>
              <w:spacing w:before="0" w:after="0" w:line="240" w:lineRule="auto"/>
              <w:jc w:val="center"/>
              <w:rPr>
                <w:b/>
                <w:bCs/>
                <w:color w:val="000000"/>
                <w:sz w:val="18"/>
                <w:szCs w:val="18"/>
              </w:rPr>
            </w:pPr>
            <w:r w:rsidRPr="003E4A08">
              <w:rPr>
                <w:b/>
                <w:bCs/>
                <w:color w:val="000000"/>
                <w:sz w:val="18"/>
                <w:szCs w:val="18"/>
              </w:rPr>
              <w:t>LÜP #2023 max</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10A5EAF" w14:textId="153A30A9" w:rsidR="00282C2E" w:rsidRPr="003E4A08" w:rsidRDefault="00282C2E" w:rsidP="007C0DE4">
            <w:pPr>
              <w:spacing w:before="0" w:after="0" w:line="240" w:lineRule="auto"/>
              <w:jc w:val="center"/>
              <w:rPr>
                <w:b/>
                <w:bCs/>
                <w:color w:val="000000"/>
                <w:sz w:val="18"/>
                <w:szCs w:val="18"/>
              </w:rPr>
            </w:pPr>
            <w:r w:rsidRPr="003E4A08">
              <w:rPr>
                <w:b/>
                <w:bCs/>
                <w:color w:val="000000"/>
                <w:sz w:val="18"/>
                <w:szCs w:val="18"/>
              </w:rPr>
              <w:t>LÜP #</w:t>
            </w:r>
            <w:r w:rsidR="00517124">
              <w:rPr>
                <w:b/>
                <w:bCs/>
                <w:color w:val="000000"/>
                <w:sz w:val="18"/>
                <w:szCs w:val="18"/>
              </w:rPr>
              <w:t>2</w:t>
            </w:r>
            <w:r w:rsidRPr="003E4A08">
              <w:rPr>
                <w:b/>
                <w:bCs/>
                <w:color w:val="000000"/>
                <w:sz w:val="18"/>
                <w:szCs w:val="18"/>
              </w:rPr>
              <w:t>020 max</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5DF45B3" w14:textId="1C168E92" w:rsidR="00282C2E" w:rsidRPr="003E4A08" w:rsidRDefault="00282C2E" w:rsidP="007C0DE4">
            <w:pPr>
              <w:spacing w:before="0" w:after="0" w:line="240" w:lineRule="auto"/>
              <w:jc w:val="center"/>
              <w:rPr>
                <w:b/>
                <w:bCs/>
                <w:color w:val="000000"/>
                <w:sz w:val="18"/>
                <w:szCs w:val="18"/>
              </w:rPr>
            </w:pPr>
            <w:r w:rsidRPr="003E4A08">
              <w:rPr>
                <w:b/>
                <w:bCs/>
                <w:color w:val="000000"/>
                <w:sz w:val="18"/>
                <w:szCs w:val="18"/>
              </w:rPr>
              <w:t>LÜP #2019 max</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181D3F8" w14:textId="38A36222" w:rsidR="00282C2E" w:rsidRPr="003E4A08" w:rsidRDefault="00282C2E" w:rsidP="007C0DE4">
            <w:pPr>
              <w:spacing w:before="0" w:after="0" w:line="240" w:lineRule="auto"/>
              <w:jc w:val="center"/>
              <w:rPr>
                <w:b/>
                <w:bCs/>
                <w:color w:val="000000"/>
                <w:sz w:val="18"/>
                <w:szCs w:val="18"/>
              </w:rPr>
            </w:pPr>
            <w:r w:rsidRPr="003E4A08">
              <w:rPr>
                <w:b/>
                <w:bCs/>
                <w:color w:val="000000"/>
                <w:sz w:val="18"/>
                <w:szCs w:val="18"/>
              </w:rPr>
              <w:t>201</w:t>
            </w:r>
            <w:r w:rsidR="00517124">
              <w:rPr>
                <w:b/>
                <w:bCs/>
                <w:color w:val="000000"/>
                <w:sz w:val="18"/>
                <w:szCs w:val="18"/>
              </w:rPr>
              <w:t>9</w:t>
            </w:r>
            <w:r w:rsidRPr="003E4A08">
              <w:rPr>
                <w:b/>
                <w:bCs/>
                <w:color w:val="000000"/>
                <w:sz w:val="18"/>
                <w:szCs w:val="18"/>
              </w:rPr>
              <w:t>-    2023</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2CADB92C" w14:textId="77777777" w:rsidR="00282C2E" w:rsidRPr="003E4A08" w:rsidRDefault="00282C2E" w:rsidP="007C0DE4">
            <w:pPr>
              <w:spacing w:before="0" w:after="0" w:line="240" w:lineRule="auto"/>
              <w:jc w:val="center"/>
              <w:rPr>
                <w:b/>
                <w:bCs/>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vAlign w:val="center"/>
            <w:hideMark/>
          </w:tcPr>
          <w:p w14:paraId="1FA58BED" w14:textId="2C8AE812" w:rsidR="00282C2E" w:rsidRPr="003E4A08" w:rsidRDefault="00282C2E" w:rsidP="007C0DE4">
            <w:pPr>
              <w:spacing w:before="0" w:after="0" w:line="240" w:lineRule="auto"/>
              <w:jc w:val="center"/>
              <w:rPr>
                <w:b/>
                <w:bCs/>
                <w:color w:val="000000"/>
                <w:sz w:val="18"/>
                <w:szCs w:val="18"/>
              </w:rPr>
            </w:pPr>
            <w:r w:rsidRPr="003E4A08">
              <w:rPr>
                <w:b/>
                <w:bCs/>
                <w:color w:val="000000"/>
                <w:sz w:val="18"/>
                <w:szCs w:val="18"/>
              </w:rPr>
              <w:t xml:space="preserve">Tubade arv </w:t>
            </w:r>
            <w:r w:rsidR="00517124">
              <w:rPr>
                <w:b/>
                <w:bCs/>
                <w:color w:val="000000"/>
                <w:sz w:val="18"/>
                <w:szCs w:val="18"/>
              </w:rPr>
              <w:t>20</w:t>
            </w:r>
            <w:r w:rsidRPr="003E4A08">
              <w:rPr>
                <w:b/>
                <w:bCs/>
                <w:color w:val="000000"/>
                <w:sz w:val="18"/>
                <w:szCs w:val="18"/>
              </w:rPr>
              <w:t>23</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CF5CCC1" w14:textId="6544E176" w:rsidR="00282C2E" w:rsidRPr="003E4A08" w:rsidRDefault="00282C2E" w:rsidP="007C0DE4">
            <w:pPr>
              <w:spacing w:before="0" w:after="0" w:line="240" w:lineRule="auto"/>
              <w:jc w:val="center"/>
              <w:rPr>
                <w:b/>
                <w:bCs/>
                <w:color w:val="000000"/>
                <w:sz w:val="18"/>
                <w:szCs w:val="18"/>
              </w:rPr>
            </w:pPr>
            <w:r w:rsidRPr="003E4A08">
              <w:rPr>
                <w:b/>
                <w:bCs/>
                <w:color w:val="000000"/>
                <w:sz w:val="18"/>
                <w:szCs w:val="18"/>
              </w:rPr>
              <w:t xml:space="preserve">Tubade arv </w:t>
            </w:r>
            <w:r w:rsidR="00517124">
              <w:rPr>
                <w:b/>
                <w:bCs/>
                <w:color w:val="000000"/>
                <w:sz w:val="18"/>
                <w:szCs w:val="18"/>
              </w:rPr>
              <w:t>20</w:t>
            </w:r>
            <w:r w:rsidRPr="003E4A08">
              <w:rPr>
                <w:b/>
                <w:bCs/>
                <w:color w:val="000000"/>
                <w:sz w:val="18"/>
                <w:szCs w:val="18"/>
              </w:rPr>
              <w:t>20</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CBCD0CB" w14:textId="1B64E3E5" w:rsidR="00282C2E" w:rsidRPr="003E4A08" w:rsidRDefault="00282C2E" w:rsidP="007C0DE4">
            <w:pPr>
              <w:spacing w:before="0" w:after="0" w:line="240" w:lineRule="auto"/>
              <w:jc w:val="center"/>
              <w:rPr>
                <w:b/>
                <w:bCs/>
                <w:color w:val="000000"/>
                <w:sz w:val="18"/>
                <w:szCs w:val="18"/>
              </w:rPr>
            </w:pPr>
            <w:r w:rsidRPr="003E4A08">
              <w:rPr>
                <w:b/>
                <w:bCs/>
                <w:color w:val="000000"/>
                <w:sz w:val="18"/>
                <w:szCs w:val="18"/>
              </w:rPr>
              <w:t xml:space="preserve">Tubade arv </w:t>
            </w:r>
            <w:r w:rsidR="00517124">
              <w:rPr>
                <w:b/>
                <w:bCs/>
                <w:color w:val="000000"/>
                <w:sz w:val="18"/>
                <w:szCs w:val="18"/>
              </w:rPr>
              <w:t>20</w:t>
            </w:r>
            <w:r w:rsidRPr="003E4A08">
              <w:rPr>
                <w:b/>
                <w:bCs/>
                <w:color w:val="000000"/>
                <w:sz w:val="18"/>
                <w:szCs w:val="18"/>
              </w:rPr>
              <w:t>19</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2A2DCEE" w14:textId="01A8B9C3" w:rsidR="00282C2E" w:rsidRPr="003E4A08" w:rsidRDefault="00282C2E" w:rsidP="007C0DE4">
            <w:pPr>
              <w:spacing w:before="0" w:after="0" w:line="240" w:lineRule="auto"/>
              <w:jc w:val="center"/>
              <w:rPr>
                <w:b/>
                <w:bCs/>
                <w:color w:val="000000"/>
                <w:sz w:val="18"/>
                <w:szCs w:val="18"/>
              </w:rPr>
            </w:pPr>
            <w:r w:rsidRPr="003E4A08">
              <w:rPr>
                <w:b/>
                <w:bCs/>
                <w:color w:val="000000"/>
                <w:sz w:val="18"/>
                <w:szCs w:val="18"/>
              </w:rPr>
              <w:t>2019-    2023</w:t>
            </w:r>
          </w:p>
        </w:tc>
      </w:tr>
      <w:tr w:rsidR="00282C2E" w:rsidRPr="003E4A08" w14:paraId="0D0BC723"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3F3F66CE"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Eesti</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E57B54A" w14:textId="679905BB" w:rsidR="00282C2E" w:rsidRPr="003E4A08" w:rsidRDefault="00282C2E" w:rsidP="007C0DE4">
            <w:pPr>
              <w:spacing w:before="0" w:after="0" w:line="240" w:lineRule="auto"/>
              <w:jc w:val="right"/>
              <w:rPr>
                <w:color w:val="000000"/>
                <w:sz w:val="18"/>
                <w:szCs w:val="18"/>
              </w:rPr>
            </w:pPr>
            <w:r w:rsidRPr="003E4A08">
              <w:rPr>
                <w:color w:val="000000"/>
                <w:sz w:val="18"/>
                <w:szCs w:val="18"/>
              </w:rPr>
              <w:t>10</w:t>
            </w:r>
            <w:r w:rsidR="00C77F1E">
              <w:rPr>
                <w:color w:val="000000"/>
                <w:sz w:val="18"/>
                <w:szCs w:val="18"/>
              </w:rPr>
              <w:t xml:space="preserve"> </w:t>
            </w:r>
            <w:r w:rsidRPr="003E4A08">
              <w:rPr>
                <w:color w:val="000000"/>
                <w:sz w:val="18"/>
                <w:szCs w:val="18"/>
              </w:rPr>
              <w:t>494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5D2CA87" w14:textId="175A91EE" w:rsidR="00282C2E" w:rsidRPr="003E4A08" w:rsidRDefault="00282C2E" w:rsidP="007C0DE4">
            <w:pPr>
              <w:spacing w:before="0" w:after="0" w:line="240" w:lineRule="auto"/>
              <w:jc w:val="right"/>
              <w:rPr>
                <w:color w:val="000000"/>
                <w:sz w:val="18"/>
                <w:szCs w:val="18"/>
              </w:rPr>
            </w:pPr>
            <w:r w:rsidRPr="003E4A08">
              <w:rPr>
                <w:color w:val="000000"/>
                <w:sz w:val="18"/>
                <w:szCs w:val="18"/>
              </w:rPr>
              <w:t>9</w:t>
            </w:r>
            <w:r w:rsidR="00C77F1E">
              <w:rPr>
                <w:color w:val="000000"/>
                <w:sz w:val="18"/>
                <w:szCs w:val="18"/>
              </w:rPr>
              <w:t xml:space="preserve"> </w:t>
            </w:r>
            <w:r w:rsidRPr="003E4A08">
              <w:rPr>
                <w:color w:val="000000"/>
                <w:sz w:val="18"/>
                <w:szCs w:val="18"/>
              </w:rPr>
              <w:t>694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2B04D3A" w14:textId="0BB96ADD" w:rsidR="00282C2E" w:rsidRPr="003E4A08" w:rsidRDefault="00282C2E" w:rsidP="007C0DE4">
            <w:pPr>
              <w:spacing w:before="0" w:after="0" w:line="240" w:lineRule="auto"/>
              <w:jc w:val="right"/>
              <w:rPr>
                <w:color w:val="000000"/>
                <w:sz w:val="18"/>
                <w:szCs w:val="18"/>
              </w:rPr>
            </w:pPr>
            <w:r w:rsidRPr="003E4A08">
              <w:rPr>
                <w:color w:val="000000"/>
                <w:sz w:val="18"/>
                <w:szCs w:val="18"/>
              </w:rPr>
              <w:t>8</w:t>
            </w:r>
            <w:r w:rsidR="00C77F1E">
              <w:rPr>
                <w:color w:val="000000"/>
                <w:sz w:val="18"/>
                <w:szCs w:val="18"/>
              </w:rPr>
              <w:t xml:space="preserve"> </w:t>
            </w:r>
            <w:r w:rsidRPr="003E4A08">
              <w:rPr>
                <w:color w:val="000000"/>
                <w:sz w:val="18"/>
                <w:szCs w:val="18"/>
              </w:rPr>
              <w:t>206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08F55AE" w14:textId="7599F249" w:rsidR="00282C2E" w:rsidRPr="003E4A08" w:rsidRDefault="00282C2E" w:rsidP="007C0DE4">
            <w:pPr>
              <w:spacing w:before="0" w:after="0" w:line="240" w:lineRule="auto"/>
              <w:jc w:val="right"/>
              <w:rPr>
                <w:color w:val="000000"/>
                <w:sz w:val="18"/>
                <w:szCs w:val="18"/>
              </w:rPr>
            </w:pPr>
            <w:r w:rsidRPr="003E4A08">
              <w:rPr>
                <w:color w:val="000000"/>
                <w:sz w:val="18"/>
                <w:szCs w:val="18"/>
              </w:rPr>
              <w:t>8</w:t>
            </w:r>
            <w:r w:rsidR="00C77F1E">
              <w:rPr>
                <w:color w:val="000000"/>
                <w:sz w:val="18"/>
                <w:szCs w:val="18"/>
              </w:rPr>
              <w:t xml:space="preserve"> </w:t>
            </w:r>
            <w:r w:rsidRPr="003E4A08">
              <w:rPr>
                <w:color w:val="000000"/>
                <w:sz w:val="18"/>
                <w:szCs w:val="18"/>
              </w:rPr>
              <w:t>984</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55D6C31D"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8%</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2B080448" w14:textId="77777777" w:rsidR="00282C2E" w:rsidRPr="003E4A08" w:rsidRDefault="00282C2E" w:rsidP="007C0DE4">
            <w:pPr>
              <w:spacing w:before="0" w:after="0" w:line="240" w:lineRule="auto"/>
              <w:jc w:val="right"/>
              <w:rPr>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D990257" w14:textId="09E75545" w:rsidR="00282C2E" w:rsidRPr="003E4A08" w:rsidRDefault="00282C2E" w:rsidP="007C0DE4">
            <w:pPr>
              <w:spacing w:before="0" w:after="0" w:line="240" w:lineRule="auto"/>
              <w:jc w:val="right"/>
              <w:rPr>
                <w:color w:val="000000"/>
                <w:sz w:val="18"/>
                <w:szCs w:val="18"/>
              </w:rPr>
            </w:pPr>
            <w:r w:rsidRPr="003E4A08">
              <w:rPr>
                <w:color w:val="000000"/>
                <w:sz w:val="18"/>
                <w:szCs w:val="18"/>
              </w:rPr>
              <w:t>25</w:t>
            </w:r>
            <w:r w:rsidR="00C77F1E">
              <w:rPr>
                <w:color w:val="000000"/>
                <w:sz w:val="18"/>
                <w:szCs w:val="18"/>
              </w:rPr>
              <w:t xml:space="preserve"> </w:t>
            </w:r>
            <w:r w:rsidRPr="003E4A08">
              <w:rPr>
                <w:color w:val="000000"/>
                <w:sz w:val="18"/>
                <w:szCs w:val="18"/>
              </w:rPr>
              <w:t>326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1FBA8B0" w14:textId="5B788CFC" w:rsidR="00282C2E" w:rsidRPr="003E4A08" w:rsidRDefault="00282C2E" w:rsidP="007C0DE4">
            <w:pPr>
              <w:spacing w:before="0" w:after="0" w:line="240" w:lineRule="auto"/>
              <w:jc w:val="right"/>
              <w:rPr>
                <w:color w:val="000000"/>
                <w:sz w:val="18"/>
                <w:szCs w:val="18"/>
              </w:rPr>
            </w:pPr>
            <w:r w:rsidRPr="003E4A08">
              <w:rPr>
                <w:color w:val="000000"/>
                <w:sz w:val="18"/>
                <w:szCs w:val="18"/>
              </w:rPr>
              <w:t>24</w:t>
            </w:r>
            <w:r w:rsidR="00C77F1E">
              <w:rPr>
                <w:color w:val="000000"/>
                <w:sz w:val="18"/>
                <w:szCs w:val="18"/>
              </w:rPr>
              <w:t xml:space="preserve"> </w:t>
            </w:r>
            <w:r w:rsidRPr="003E4A08">
              <w:rPr>
                <w:color w:val="000000"/>
                <w:sz w:val="18"/>
                <w:szCs w:val="18"/>
              </w:rPr>
              <w:t>556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E831CC3" w14:textId="443C033B" w:rsidR="00282C2E" w:rsidRPr="003E4A08" w:rsidRDefault="00282C2E" w:rsidP="007C0DE4">
            <w:pPr>
              <w:spacing w:before="0" w:after="0" w:line="240" w:lineRule="auto"/>
              <w:jc w:val="right"/>
              <w:rPr>
                <w:color w:val="000000"/>
                <w:sz w:val="18"/>
                <w:szCs w:val="18"/>
              </w:rPr>
            </w:pPr>
            <w:r w:rsidRPr="003E4A08">
              <w:rPr>
                <w:color w:val="000000"/>
                <w:sz w:val="18"/>
                <w:szCs w:val="18"/>
              </w:rPr>
              <w:t>25</w:t>
            </w:r>
            <w:r w:rsidR="00C77F1E">
              <w:rPr>
                <w:color w:val="000000"/>
                <w:sz w:val="18"/>
                <w:szCs w:val="18"/>
              </w:rPr>
              <w:t xml:space="preserve"> </w:t>
            </w:r>
            <w:r w:rsidRPr="003E4A08">
              <w:rPr>
                <w:color w:val="000000"/>
                <w:sz w:val="18"/>
                <w:szCs w:val="18"/>
              </w:rPr>
              <w:t>168</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16F340DB"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w:t>
            </w:r>
          </w:p>
        </w:tc>
      </w:tr>
      <w:tr w:rsidR="00282C2E" w:rsidRPr="003E4A08" w14:paraId="253F58AF"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17E33853"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Harju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2F47AE2" w14:textId="241162CB" w:rsidR="00282C2E" w:rsidRPr="003E4A08" w:rsidRDefault="68947950" w:rsidP="007C0DE4">
            <w:pPr>
              <w:spacing w:before="0" w:after="0" w:line="240" w:lineRule="auto"/>
              <w:jc w:val="right"/>
              <w:rPr>
                <w:color w:val="000000"/>
                <w:sz w:val="18"/>
                <w:szCs w:val="18"/>
              </w:rPr>
            </w:pPr>
            <w:r w:rsidRPr="68947950">
              <w:rPr>
                <w:color w:val="000000"/>
                <w:sz w:val="18"/>
                <w:szCs w:val="18"/>
              </w:rPr>
              <w:t>3 557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81AE273" w14:textId="0071AB67" w:rsidR="00282C2E" w:rsidRPr="003E4A08" w:rsidRDefault="68947950" w:rsidP="007C0DE4">
            <w:pPr>
              <w:spacing w:before="0" w:after="0" w:line="240" w:lineRule="auto"/>
              <w:jc w:val="right"/>
              <w:rPr>
                <w:color w:val="000000"/>
                <w:sz w:val="18"/>
                <w:szCs w:val="18"/>
              </w:rPr>
            </w:pPr>
            <w:r w:rsidRPr="68947950">
              <w:rPr>
                <w:color w:val="000000"/>
                <w:sz w:val="18"/>
                <w:szCs w:val="18"/>
              </w:rPr>
              <w:t>3 341</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A6E5861" w14:textId="38F762C9" w:rsidR="00282C2E" w:rsidRPr="003E4A08" w:rsidRDefault="68947950" w:rsidP="007C0DE4">
            <w:pPr>
              <w:spacing w:before="0" w:after="0" w:line="240" w:lineRule="auto"/>
              <w:jc w:val="right"/>
              <w:rPr>
                <w:color w:val="000000"/>
                <w:sz w:val="18"/>
                <w:szCs w:val="18"/>
              </w:rPr>
            </w:pPr>
            <w:r w:rsidRPr="68947950">
              <w:rPr>
                <w:color w:val="000000"/>
                <w:sz w:val="18"/>
                <w:szCs w:val="18"/>
              </w:rPr>
              <w:t>3 662</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64162B9" w14:textId="6CB558C7" w:rsidR="00282C2E" w:rsidRPr="003E4A08" w:rsidRDefault="68947950" w:rsidP="007C0DE4">
            <w:pPr>
              <w:spacing w:before="0" w:after="0" w:line="240" w:lineRule="auto"/>
              <w:jc w:val="right"/>
              <w:rPr>
                <w:color w:val="000000"/>
                <w:sz w:val="18"/>
                <w:szCs w:val="18"/>
              </w:rPr>
            </w:pPr>
            <w:r w:rsidRPr="68947950">
              <w:rPr>
                <w:color w:val="000000"/>
                <w:sz w:val="18"/>
                <w:szCs w:val="18"/>
              </w:rPr>
              <w:t>3 835</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057512C0" w14:textId="58F6BD85" w:rsidR="00282C2E" w:rsidRPr="003E4A08" w:rsidRDefault="00282C2E" w:rsidP="007C0DE4">
            <w:pPr>
              <w:spacing w:before="0" w:after="0" w:line="240" w:lineRule="auto"/>
              <w:jc w:val="right"/>
              <w:rPr>
                <w:color w:val="FF0000"/>
                <w:sz w:val="18"/>
                <w:szCs w:val="18"/>
              </w:rPr>
            </w:pPr>
            <w:r w:rsidRPr="003E4A08">
              <w:rPr>
                <w:color w:val="FF0000"/>
                <w:sz w:val="18"/>
                <w:szCs w:val="18"/>
              </w:rPr>
              <w:t>-</w:t>
            </w:r>
            <w:r w:rsidR="68947950" w:rsidRPr="68947950">
              <w:rPr>
                <w:color w:val="FF0000"/>
                <w:sz w:val="18"/>
                <w:szCs w:val="18"/>
              </w:rPr>
              <w:t>13</w:t>
            </w:r>
            <w:r w:rsidRPr="003E4A08">
              <w:rPr>
                <w:color w:val="FF0000"/>
                <w:sz w:val="18"/>
                <w:szCs w:val="18"/>
              </w:rPr>
              <w:t>%</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775D046C" w14:textId="77777777" w:rsidR="00282C2E" w:rsidRPr="003E4A08" w:rsidRDefault="00282C2E" w:rsidP="007C0DE4">
            <w:pPr>
              <w:spacing w:before="0" w:after="0" w:line="240" w:lineRule="auto"/>
              <w:jc w:val="right"/>
              <w:rPr>
                <w:color w:val="FF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67F97AC" w14:textId="1BA7C2BB" w:rsidR="00282C2E" w:rsidRPr="003E4A08" w:rsidRDefault="00282C2E" w:rsidP="007C0DE4">
            <w:pPr>
              <w:spacing w:before="0" w:after="0" w:line="240" w:lineRule="auto"/>
              <w:jc w:val="right"/>
              <w:rPr>
                <w:color w:val="000000"/>
                <w:sz w:val="18"/>
                <w:szCs w:val="18"/>
              </w:rPr>
            </w:pPr>
            <w:r w:rsidRPr="003E4A08">
              <w:rPr>
                <w:color w:val="000000"/>
                <w:sz w:val="18"/>
                <w:szCs w:val="18"/>
              </w:rPr>
              <w:t>10</w:t>
            </w:r>
            <w:r w:rsidR="00C77F1E">
              <w:rPr>
                <w:color w:val="000000"/>
                <w:sz w:val="18"/>
                <w:szCs w:val="18"/>
              </w:rPr>
              <w:t xml:space="preserve"> </w:t>
            </w:r>
            <w:r w:rsidRPr="003E4A08">
              <w:rPr>
                <w:color w:val="000000"/>
                <w:sz w:val="18"/>
                <w:szCs w:val="18"/>
              </w:rPr>
              <w:t>593</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7EA85D1" w14:textId="553D7E92" w:rsidR="00282C2E" w:rsidRPr="003E4A08" w:rsidRDefault="00282C2E" w:rsidP="007C0DE4">
            <w:pPr>
              <w:spacing w:before="0" w:after="0" w:line="240" w:lineRule="auto"/>
              <w:jc w:val="right"/>
              <w:rPr>
                <w:color w:val="000000"/>
                <w:sz w:val="18"/>
                <w:szCs w:val="18"/>
              </w:rPr>
            </w:pPr>
            <w:r w:rsidRPr="003E4A08">
              <w:rPr>
                <w:color w:val="000000"/>
                <w:sz w:val="18"/>
                <w:szCs w:val="18"/>
              </w:rPr>
              <w:t>9</w:t>
            </w:r>
            <w:r w:rsidR="00C77F1E">
              <w:rPr>
                <w:color w:val="000000"/>
                <w:sz w:val="18"/>
                <w:szCs w:val="18"/>
              </w:rPr>
              <w:t xml:space="preserve"> </w:t>
            </w:r>
            <w:r w:rsidRPr="003E4A08">
              <w:rPr>
                <w:color w:val="000000"/>
                <w:sz w:val="18"/>
                <w:szCs w:val="18"/>
              </w:rPr>
              <w:t>567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B1C5EB7" w14:textId="76A72786" w:rsidR="00282C2E" w:rsidRPr="003E4A08" w:rsidRDefault="00282C2E" w:rsidP="007C0DE4">
            <w:pPr>
              <w:spacing w:before="0" w:after="0" w:line="240" w:lineRule="auto"/>
              <w:jc w:val="right"/>
              <w:rPr>
                <w:color w:val="000000"/>
                <w:sz w:val="18"/>
                <w:szCs w:val="18"/>
              </w:rPr>
            </w:pPr>
            <w:r w:rsidRPr="003E4A08">
              <w:rPr>
                <w:color w:val="000000"/>
                <w:sz w:val="18"/>
                <w:szCs w:val="18"/>
              </w:rPr>
              <w:t>10</w:t>
            </w:r>
            <w:r w:rsidR="00C77F1E">
              <w:rPr>
                <w:color w:val="000000"/>
                <w:sz w:val="18"/>
                <w:szCs w:val="18"/>
              </w:rPr>
              <w:t xml:space="preserve"> </w:t>
            </w:r>
            <w:r w:rsidRPr="003E4A08">
              <w:rPr>
                <w:color w:val="000000"/>
                <w:sz w:val="18"/>
                <w:szCs w:val="18"/>
              </w:rPr>
              <w:t>181</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3A6A90BC"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w:t>
            </w:r>
          </w:p>
        </w:tc>
      </w:tr>
      <w:tr w:rsidR="00282C2E" w:rsidRPr="003E4A08" w14:paraId="1FFCBA3E"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0A3A09FE"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Tallinn</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F9E15A2" w14:textId="084D9D33" w:rsidR="00282C2E" w:rsidRPr="003E4A08" w:rsidRDefault="00282C2E" w:rsidP="007C0DE4">
            <w:pPr>
              <w:spacing w:before="0" w:after="0" w:line="240" w:lineRule="auto"/>
              <w:jc w:val="right"/>
              <w:rPr>
                <w:color w:val="000000"/>
                <w:sz w:val="18"/>
                <w:szCs w:val="18"/>
              </w:rPr>
            </w:pPr>
            <w:r w:rsidRPr="003E4A08">
              <w:rPr>
                <w:color w:val="000000"/>
                <w:sz w:val="18"/>
                <w:szCs w:val="18"/>
              </w:rPr>
              <w:t>2</w:t>
            </w:r>
            <w:r w:rsidR="00C77F1E">
              <w:rPr>
                <w:color w:val="000000"/>
                <w:sz w:val="18"/>
                <w:szCs w:val="18"/>
              </w:rPr>
              <w:t xml:space="preserve"> </w:t>
            </w:r>
            <w:r w:rsidRPr="003E4A08">
              <w:rPr>
                <w:color w:val="000000"/>
                <w:sz w:val="18"/>
                <w:szCs w:val="18"/>
              </w:rPr>
              <w:t>967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EB0E92E" w14:textId="69FE64AE" w:rsidR="00282C2E" w:rsidRPr="003E4A08" w:rsidRDefault="00282C2E" w:rsidP="007C0DE4">
            <w:pPr>
              <w:spacing w:before="0" w:after="0" w:line="240" w:lineRule="auto"/>
              <w:jc w:val="right"/>
              <w:rPr>
                <w:color w:val="000000"/>
                <w:sz w:val="18"/>
                <w:szCs w:val="18"/>
              </w:rPr>
            </w:pPr>
            <w:r w:rsidRPr="003E4A08">
              <w:rPr>
                <w:color w:val="000000"/>
                <w:sz w:val="18"/>
                <w:szCs w:val="18"/>
              </w:rPr>
              <w:t>2</w:t>
            </w:r>
            <w:r w:rsidR="00C77F1E">
              <w:rPr>
                <w:color w:val="000000"/>
                <w:sz w:val="18"/>
                <w:szCs w:val="18"/>
              </w:rPr>
              <w:t xml:space="preserve"> </w:t>
            </w:r>
            <w:r w:rsidRPr="003E4A08">
              <w:rPr>
                <w:color w:val="000000"/>
                <w:sz w:val="18"/>
                <w:szCs w:val="18"/>
              </w:rPr>
              <w:t>817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3EE50F9" w14:textId="699D0015" w:rsidR="00282C2E" w:rsidRPr="003E4A08" w:rsidRDefault="00282C2E" w:rsidP="007C0DE4">
            <w:pPr>
              <w:spacing w:before="0" w:after="0" w:line="240" w:lineRule="auto"/>
              <w:jc w:val="right"/>
              <w:rPr>
                <w:color w:val="000000"/>
                <w:sz w:val="18"/>
                <w:szCs w:val="18"/>
              </w:rPr>
            </w:pPr>
            <w:r w:rsidRPr="003E4A08">
              <w:rPr>
                <w:color w:val="000000"/>
                <w:sz w:val="18"/>
                <w:szCs w:val="18"/>
              </w:rPr>
              <w:t>3</w:t>
            </w:r>
            <w:r w:rsidR="00C77F1E">
              <w:rPr>
                <w:color w:val="000000"/>
                <w:sz w:val="18"/>
                <w:szCs w:val="18"/>
              </w:rPr>
              <w:t xml:space="preserve"> </w:t>
            </w:r>
            <w:r w:rsidRPr="003E4A08">
              <w:rPr>
                <w:color w:val="000000"/>
                <w:sz w:val="18"/>
                <w:szCs w:val="18"/>
              </w:rPr>
              <w:t>244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8A509F7" w14:textId="294EDF41" w:rsidR="00282C2E" w:rsidRPr="003E4A08" w:rsidRDefault="00282C2E" w:rsidP="007C0DE4">
            <w:pPr>
              <w:spacing w:before="0" w:after="0" w:line="240" w:lineRule="auto"/>
              <w:jc w:val="right"/>
              <w:rPr>
                <w:color w:val="000000"/>
                <w:sz w:val="18"/>
                <w:szCs w:val="18"/>
              </w:rPr>
            </w:pPr>
            <w:r w:rsidRPr="003E4A08">
              <w:rPr>
                <w:color w:val="000000"/>
                <w:sz w:val="18"/>
                <w:szCs w:val="18"/>
              </w:rPr>
              <w:t>3</w:t>
            </w:r>
            <w:r w:rsidR="00C77F1E">
              <w:rPr>
                <w:color w:val="000000"/>
                <w:sz w:val="18"/>
                <w:szCs w:val="18"/>
              </w:rPr>
              <w:t xml:space="preserve"> </w:t>
            </w:r>
            <w:r w:rsidRPr="003E4A08">
              <w:rPr>
                <w:color w:val="000000"/>
                <w:sz w:val="18"/>
                <w:szCs w:val="18"/>
              </w:rPr>
              <w:t>404</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1E7C3AB3" w14:textId="77777777" w:rsidR="00282C2E" w:rsidRPr="003E4A08" w:rsidRDefault="00282C2E" w:rsidP="007C0DE4">
            <w:pPr>
              <w:spacing w:before="0" w:after="0" w:line="240" w:lineRule="auto"/>
              <w:jc w:val="right"/>
              <w:rPr>
                <w:color w:val="FF0000"/>
                <w:sz w:val="18"/>
                <w:szCs w:val="18"/>
              </w:rPr>
            </w:pPr>
            <w:r w:rsidRPr="003E4A08">
              <w:rPr>
                <w:color w:val="FF0000"/>
                <w:sz w:val="18"/>
                <w:szCs w:val="18"/>
              </w:rPr>
              <w:t>-17%</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1EE4A312" w14:textId="77777777" w:rsidR="00282C2E" w:rsidRPr="003E4A08" w:rsidRDefault="00282C2E" w:rsidP="007C0DE4">
            <w:pPr>
              <w:spacing w:before="0" w:after="0" w:line="240" w:lineRule="auto"/>
              <w:jc w:val="right"/>
              <w:rPr>
                <w:color w:val="FF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450AC4D" w14:textId="5322B5CB" w:rsidR="00282C2E" w:rsidRPr="003E4A08" w:rsidRDefault="00282C2E" w:rsidP="007C0DE4">
            <w:pPr>
              <w:spacing w:before="0" w:after="0" w:line="240" w:lineRule="auto"/>
              <w:jc w:val="right"/>
              <w:rPr>
                <w:color w:val="000000"/>
                <w:sz w:val="18"/>
                <w:szCs w:val="18"/>
              </w:rPr>
            </w:pPr>
            <w:r w:rsidRPr="003E4A08">
              <w:rPr>
                <w:color w:val="000000"/>
                <w:sz w:val="18"/>
                <w:szCs w:val="18"/>
              </w:rPr>
              <w:t>9</w:t>
            </w:r>
            <w:r w:rsidR="00C77F1E">
              <w:rPr>
                <w:color w:val="000000"/>
                <w:sz w:val="18"/>
                <w:szCs w:val="18"/>
              </w:rPr>
              <w:t xml:space="preserve"> </w:t>
            </w:r>
            <w:r w:rsidRPr="003E4A08">
              <w:rPr>
                <w:color w:val="000000"/>
                <w:sz w:val="18"/>
                <w:szCs w:val="18"/>
              </w:rPr>
              <w:t>205</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5EED9BE" w14:textId="5611A4A3" w:rsidR="00282C2E" w:rsidRPr="003E4A08" w:rsidRDefault="00282C2E" w:rsidP="007C0DE4">
            <w:pPr>
              <w:spacing w:before="0" w:after="0" w:line="240" w:lineRule="auto"/>
              <w:jc w:val="right"/>
              <w:rPr>
                <w:color w:val="000000"/>
                <w:sz w:val="18"/>
                <w:szCs w:val="18"/>
              </w:rPr>
            </w:pPr>
            <w:r w:rsidRPr="003E4A08">
              <w:rPr>
                <w:color w:val="000000"/>
                <w:sz w:val="18"/>
                <w:szCs w:val="18"/>
              </w:rPr>
              <w:t>8</w:t>
            </w:r>
            <w:r w:rsidR="00C77F1E">
              <w:rPr>
                <w:color w:val="000000"/>
                <w:sz w:val="18"/>
                <w:szCs w:val="18"/>
              </w:rPr>
              <w:t xml:space="preserve"> </w:t>
            </w:r>
            <w:r w:rsidRPr="003E4A08">
              <w:rPr>
                <w:color w:val="000000"/>
                <w:sz w:val="18"/>
                <w:szCs w:val="18"/>
              </w:rPr>
              <w:t>141</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7242AB6" w14:textId="7A0B0BF9" w:rsidR="00282C2E" w:rsidRPr="003E4A08" w:rsidRDefault="00282C2E" w:rsidP="007C0DE4">
            <w:pPr>
              <w:spacing w:before="0" w:after="0" w:line="240" w:lineRule="auto"/>
              <w:jc w:val="right"/>
              <w:rPr>
                <w:color w:val="000000"/>
                <w:sz w:val="18"/>
                <w:szCs w:val="18"/>
              </w:rPr>
            </w:pPr>
            <w:r w:rsidRPr="003E4A08">
              <w:rPr>
                <w:color w:val="000000"/>
                <w:sz w:val="18"/>
                <w:szCs w:val="18"/>
              </w:rPr>
              <w:t>8</w:t>
            </w:r>
            <w:r w:rsidR="00C77F1E">
              <w:rPr>
                <w:color w:val="000000"/>
                <w:sz w:val="18"/>
                <w:szCs w:val="18"/>
              </w:rPr>
              <w:t xml:space="preserve"> </w:t>
            </w:r>
            <w:r w:rsidRPr="003E4A08">
              <w:rPr>
                <w:color w:val="000000"/>
                <w:sz w:val="18"/>
                <w:szCs w:val="18"/>
              </w:rPr>
              <w:t>795</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6187560A"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5%</w:t>
            </w:r>
          </w:p>
        </w:tc>
      </w:tr>
      <w:tr w:rsidR="00282C2E" w:rsidRPr="003E4A08" w14:paraId="3A2F8175"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3D81929F"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Pärnu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EE2BD26" w14:textId="22DE5ABB"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870</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B7F170C" w14:textId="3538F7BD"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762</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5A402B2" w14:textId="33B26DB4"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311</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008509C" w14:textId="048A1AF7"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398</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3A096ABB"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26%</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16505DA8" w14:textId="77777777" w:rsidR="00282C2E" w:rsidRPr="003E4A08" w:rsidRDefault="00282C2E" w:rsidP="007C0DE4">
            <w:pPr>
              <w:spacing w:before="0" w:after="0" w:line="240" w:lineRule="auto"/>
              <w:jc w:val="right"/>
              <w:rPr>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425A1B7" w14:textId="49C07E7C" w:rsidR="00282C2E" w:rsidRPr="003E4A08" w:rsidRDefault="00282C2E" w:rsidP="007C0DE4">
            <w:pPr>
              <w:spacing w:before="0" w:after="0" w:line="240" w:lineRule="auto"/>
              <w:jc w:val="right"/>
              <w:rPr>
                <w:color w:val="000000"/>
                <w:sz w:val="18"/>
                <w:szCs w:val="18"/>
              </w:rPr>
            </w:pPr>
            <w:r w:rsidRPr="003E4A08">
              <w:rPr>
                <w:color w:val="000000"/>
                <w:sz w:val="18"/>
                <w:szCs w:val="18"/>
              </w:rPr>
              <w:t>3</w:t>
            </w:r>
            <w:r w:rsidR="00C77F1E">
              <w:rPr>
                <w:color w:val="000000"/>
                <w:sz w:val="18"/>
                <w:szCs w:val="18"/>
              </w:rPr>
              <w:t xml:space="preserve"> </w:t>
            </w:r>
            <w:r w:rsidRPr="003E4A08">
              <w:rPr>
                <w:color w:val="000000"/>
                <w:sz w:val="18"/>
                <w:szCs w:val="18"/>
              </w:rPr>
              <w:t>354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2B9BF59" w14:textId="27EE5070" w:rsidR="00282C2E" w:rsidRPr="003E4A08" w:rsidRDefault="00282C2E" w:rsidP="007C0DE4">
            <w:pPr>
              <w:spacing w:before="0" w:after="0" w:line="240" w:lineRule="auto"/>
              <w:jc w:val="right"/>
              <w:rPr>
                <w:color w:val="000000"/>
                <w:sz w:val="18"/>
                <w:szCs w:val="18"/>
              </w:rPr>
            </w:pPr>
            <w:r w:rsidRPr="003E4A08">
              <w:rPr>
                <w:color w:val="000000"/>
                <w:sz w:val="18"/>
                <w:szCs w:val="18"/>
              </w:rPr>
              <w:t>3</w:t>
            </w:r>
            <w:r w:rsidR="00C77F1E">
              <w:rPr>
                <w:color w:val="000000"/>
                <w:sz w:val="18"/>
                <w:szCs w:val="18"/>
              </w:rPr>
              <w:t xml:space="preserve"> </w:t>
            </w:r>
            <w:r w:rsidRPr="003E4A08">
              <w:rPr>
                <w:color w:val="000000"/>
                <w:sz w:val="18"/>
                <w:szCs w:val="18"/>
              </w:rPr>
              <w:t>422</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AEE9951" w14:textId="55BBFB1C" w:rsidR="00282C2E" w:rsidRPr="003E4A08" w:rsidRDefault="00282C2E" w:rsidP="007C0DE4">
            <w:pPr>
              <w:spacing w:before="0" w:after="0" w:line="240" w:lineRule="auto"/>
              <w:jc w:val="right"/>
              <w:rPr>
                <w:color w:val="000000"/>
                <w:sz w:val="18"/>
                <w:szCs w:val="18"/>
              </w:rPr>
            </w:pPr>
            <w:r w:rsidRPr="003E4A08">
              <w:rPr>
                <w:color w:val="000000"/>
                <w:sz w:val="18"/>
                <w:szCs w:val="18"/>
              </w:rPr>
              <w:t>3</w:t>
            </w:r>
            <w:r w:rsidR="00C77F1E">
              <w:rPr>
                <w:color w:val="000000"/>
                <w:sz w:val="18"/>
                <w:szCs w:val="18"/>
              </w:rPr>
              <w:t xml:space="preserve"> </w:t>
            </w:r>
            <w:r w:rsidRPr="003E4A08">
              <w:rPr>
                <w:color w:val="000000"/>
                <w:sz w:val="18"/>
                <w:szCs w:val="18"/>
              </w:rPr>
              <w:t>397</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6E7C860D" w14:textId="77777777" w:rsidR="00282C2E" w:rsidRPr="003E4A08" w:rsidRDefault="00282C2E" w:rsidP="007C0DE4">
            <w:pPr>
              <w:spacing w:before="0" w:after="0" w:line="240" w:lineRule="auto"/>
              <w:jc w:val="right"/>
              <w:rPr>
                <w:color w:val="FF0000"/>
                <w:sz w:val="18"/>
                <w:szCs w:val="18"/>
              </w:rPr>
            </w:pPr>
            <w:r w:rsidRPr="003E4A08">
              <w:rPr>
                <w:color w:val="FF0000"/>
                <w:sz w:val="18"/>
                <w:szCs w:val="18"/>
              </w:rPr>
              <w:t>-1%</w:t>
            </w:r>
          </w:p>
        </w:tc>
      </w:tr>
      <w:tr w:rsidR="00282C2E" w:rsidRPr="003E4A08" w14:paraId="108D8ADB"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4B862C29"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Tartu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55905BF"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986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33E5CF4"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942</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A81047C"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798</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295EF07"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886</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4CFF9B2F"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6%</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04F14A66" w14:textId="77777777" w:rsidR="00282C2E" w:rsidRPr="003E4A08" w:rsidRDefault="00282C2E" w:rsidP="007C0DE4">
            <w:pPr>
              <w:spacing w:before="0" w:after="0" w:line="240" w:lineRule="auto"/>
              <w:jc w:val="right"/>
              <w:rPr>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7BFD9E3" w14:textId="599C8957"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615</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616A118" w14:textId="73997D2A"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825</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D2F086F" w14:textId="2351842C"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831</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506367AF" w14:textId="77777777" w:rsidR="00282C2E" w:rsidRPr="003E4A08" w:rsidRDefault="00282C2E" w:rsidP="007C0DE4">
            <w:pPr>
              <w:spacing w:before="0" w:after="0" w:line="240" w:lineRule="auto"/>
              <w:jc w:val="right"/>
              <w:rPr>
                <w:color w:val="FF0000"/>
                <w:sz w:val="18"/>
                <w:szCs w:val="18"/>
              </w:rPr>
            </w:pPr>
            <w:r w:rsidRPr="003E4A08">
              <w:rPr>
                <w:color w:val="FF0000"/>
                <w:sz w:val="18"/>
                <w:szCs w:val="18"/>
              </w:rPr>
              <w:t>-12%</w:t>
            </w:r>
          </w:p>
        </w:tc>
      </w:tr>
      <w:tr w:rsidR="00282C2E" w:rsidRPr="003E4A08" w14:paraId="10405174"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2114A4B7"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Saare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FFFB9F4"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941</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08D8555"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889</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040D07D"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738</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18B379B"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771</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34E125B4"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15%</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3C702F8D" w14:textId="77777777" w:rsidR="00282C2E" w:rsidRPr="003E4A08" w:rsidRDefault="00282C2E" w:rsidP="007C0DE4">
            <w:pPr>
              <w:spacing w:before="0" w:after="0" w:line="240" w:lineRule="auto"/>
              <w:jc w:val="right"/>
              <w:rPr>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6DD00CD" w14:textId="35E7EA52"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967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7748460" w14:textId="4F8DC072"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994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C0730CA" w14:textId="41F25401" w:rsidR="00282C2E" w:rsidRPr="003E4A08" w:rsidRDefault="00282C2E" w:rsidP="007C0DE4">
            <w:pPr>
              <w:spacing w:before="0" w:after="0" w:line="240" w:lineRule="auto"/>
              <w:jc w:val="right"/>
              <w:rPr>
                <w:color w:val="000000"/>
                <w:sz w:val="18"/>
                <w:szCs w:val="18"/>
              </w:rPr>
            </w:pPr>
            <w:r w:rsidRPr="003E4A08">
              <w:rPr>
                <w:color w:val="000000"/>
                <w:sz w:val="18"/>
                <w:szCs w:val="18"/>
              </w:rPr>
              <w:t>2</w:t>
            </w:r>
            <w:r w:rsidR="00C77F1E">
              <w:rPr>
                <w:color w:val="000000"/>
                <w:sz w:val="18"/>
                <w:szCs w:val="18"/>
              </w:rPr>
              <w:t xml:space="preserve"> </w:t>
            </w:r>
            <w:r w:rsidRPr="003E4A08">
              <w:rPr>
                <w:color w:val="000000"/>
                <w:sz w:val="18"/>
                <w:szCs w:val="18"/>
              </w:rPr>
              <w:t>088</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2AE78E06" w14:textId="77777777" w:rsidR="00282C2E" w:rsidRPr="003E4A08" w:rsidRDefault="00282C2E" w:rsidP="007C0DE4">
            <w:pPr>
              <w:spacing w:before="0" w:after="0" w:line="240" w:lineRule="auto"/>
              <w:jc w:val="right"/>
              <w:rPr>
                <w:color w:val="FF0000"/>
                <w:sz w:val="18"/>
                <w:szCs w:val="18"/>
              </w:rPr>
            </w:pPr>
            <w:r w:rsidRPr="003E4A08">
              <w:rPr>
                <w:color w:val="FF0000"/>
                <w:sz w:val="18"/>
                <w:szCs w:val="18"/>
              </w:rPr>
              <w:t>-6%</w:t>
            </w:r>
          </w:p>
        </w:tc>
      </w:tr>
      <w:tr w:rsidR="00282C2E" w:rsidRPr="003E4A08" w14:paraId="77247907"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0E817761"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Lääne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7CD8C79"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599</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392B554"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571</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E433A45"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429</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41F5258"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458</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60A6B563"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25%</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76897260" w14:textId="77777777" w:rsidR="00282C2E" w:rsidRPr="003E4A08" w:rsidRDefault="00282C2E" w:rsidP="007C0DE4">
            <w:pPr>
              <w:spacing w:before="0" w:after="0" w:line="240" w:lineRule="auto"/>
              <w:jc w:val="right"/>
              <w:rPr>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1F5BDCC"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916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B7EE466"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889</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E0CD3C0"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884</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7D245D84"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w:t>
            </w:r>
          </w:p>
        </w:tc>
      </w:tr>
      <w:tr w:rsidR="00282C2E" w:rsidRPr="003E4A08" w14:paraId="107C7262"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4D43E6EC"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Harju maakond, v.a Tallinn</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0FEBC6F"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590</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78FB9DB"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524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FD9BDA2"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418</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F4CB6BC"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431</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4D0B1DB1"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22%</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3E7EEF82" w14:textId="77777777" w:rsidR="00282C2E" w:rsidRPr="003E4A08" w:rsidRDefault="00282C2E" w:rsidP="007C0DE4">
            <w:pPr>
              <w:spacing w:before="0" w:after="0" w:line="240" w:lineRule="auto"/>
              <w:jc w:val="right"/>
              <w:rPr>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6B730C2" w14:textId="36638417"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379</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CD656D8" w14:textId="05122201"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426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5CE8A8A" w14:textId="107C1247"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204</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7FA5A373" w14:textId="77777777" w:rsidR="00282C2E" w:rsidRPr="003E4A08" w:rsidRDefault="00282C2E" w:rsidP="007C0DE4">
            <w:pPr>
              <w:spacing w:before="0" w:after="0" w:line="240" w:lineRule="auto"/>
              <w:jc w:val="right"/>
              <w:rPr>
                <w:color w:val="FF0000"/>
                <w:sz w:val="18"/>
                <w:szCs w:val="18"/>
              </w:rPr>
            </w:pPr>
            <w:r w:rsidRPr="003E4A08">
              <w:rPr>
                <w:color w:val="FF0000"/>
                <w:sz w:val="18"/>
                <w:szCs w:val="18"/>
              </w:rPr>
              <w:t>15%</w:t>
            </w:r>
          </w:p>
        </w:tc>
      </w:tr>
      <w:tr w:rsidR="00282C2E" w:rsidRPr="003E4A08" w14:paraId="287155D0"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113CD9F8"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Ida-Viru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682B3B1"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481</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F347AC5"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420</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B56BFDE"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346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A0B7B7F"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369</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158D746E"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14%</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6EB869C3" w14:textId="77777777" w:rsidR="00282C2E" w:rsidRPr="003E4A08" w:rsidRDefault="00282C2E" w:rsidP="007C0DE4">
            <w:pPr>
              <w:spacing w:before="0" w:after="0" w:line="240" w:lineRule="auto"/>
              <w:jc w:val="right"/>
              <w:rPr>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3BE5AD2" w14:textId="61191248"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547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8AF033B" w14:textId="244D3D49"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598</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D1BB936" w14:textId="0063D066"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514</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0B9D3119"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w:t>
            </w:r>
          </w:p>
        </w:tc>
      </w:tr>
      <w:tr w:rsidR="00282C2E" w:rsidRPr="003E4A08" w14:paraId="536DA7E7"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1EF5DC37"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Hiiu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90DE0AD"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373</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4713D9E"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331</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755980A"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245</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9B66F9A"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213</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66E45B15" w14:textId="77777777" w:rsidR="00282C2E" w:rsidRPr="002F7147" w:rsidRDefault="4A7E2F16" w:rsidP="4A7E2F16">
            <w:pPr>
              <w:spacing w:before="0" w:after="0" w:line="240" w:lineRule="auto"/>
              <w:jc w:val="right"/>
              <w:rPr>
                <w:color w:val="82009B" w:themeColor="accent6"/>
                <w:sz w:val="18"/>
                <w:szCs w:val="18"/>
              </w:rPr>
            </w:pPr>
            <w:r w:rsidRPr="002F7147">
              <w:rPr>
                <w:color w:val="82009B" w:themeColor="accent6"/>
                <w:sz w:val="18"/>
                <w:szCs w:val="18"/>
              </w:rPr>
              <w:t>55%</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61872372" w14:textId="77777777" w:rsidR="00282C2E" w:rsidRPr="003E4A08" w:rsidRDefault="00282C2E" w:rsidP="007C0DE4">
            <w:pPr>
              <w:spacing w:before="0" w:after="0" w:line="240" w:lineRule="auto"/>
              <w:jc w:val="right"/>
              <w:rPr>
                <w:color w:val="0070C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867BF0F"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436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F19527A"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411</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97DFCB7"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425</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2154F5FD"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w:t>
            </w:r>
          </w:p>
        </w:tc>
      </w:tr>
      <w:tr w:rsidR="00282C2E" w:rsidRPr="003E4A08" w14:paraId="2FD03793"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30CF1D37"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Viljandi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4A087B9"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331</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D837548"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285</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7374A62"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166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F2D7BED"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200</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1EF80346" w14:textId="77777777" w:rsidR="00282C2E" w:rsidRPr="002F7147" w:rsidRDefault="4A7E2F16" w:rsidP="4A7E2F16">
            <w:pPr>
              <w:spacing w:before="0" w:after="0" w:line="240" w:lineRule="auto"/>
              <w:jc w:val="right"/>
              <w:rPr>
                <w:color w:val="82009B" w:themeColor="accent6"/>
                <w:sz w:val="18"/>
                <w:szCs w:val="18"/>
              </w:rPr>
            </w:pPr>
            <w:r w:rsidRPr="002F7147">
              <w:rPr>
                <w:color w:val="82009B" w:themeColor="accent6"/>
                <w:sz w:val="18"/>
                <w:szCs w:val="18"/>
              </w:rPr>
              <w:t>43%</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2BA2558B" w14:textId="77777777" w:rsidR="00282C2E" w:rsidRPr="003E4A08" w:rsidRDefault="00282C2E" w:rsidP="007C0DE4">
            <w:pPr>
              <w:spacing w:before="0" w:after="0" w:line="240" w:lineRule="auto"/>
              <w:jc w:val="right"/>
              <w:rPr>
                <w:color w:val="0070C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DB8896B"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667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B7C9221"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643</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4FEE808"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644</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72187869"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w:t>
            </w:r>
          </w:p>
        </w:tc>
      </w:tr>
      <w:tr w:rsidR="00282C2E" w:rsidRPr="003E4A08" w14:paraId="79B19C99"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61F0DDBD"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Võru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077859B"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322</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44D855E"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305</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D023CF2"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224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9E8C290"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193</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717D066B" w14:textId="77777777" w:rsidR="00282C2E" w:rsidRPr="002F7147" w:rsidRDefault="4A7E2F16" w:rsidP="4A7E2F16">
            <w:pPr>
              <w:spacing w:before="0" w:after="0" w:line="240" w:lineRule="auto"/>
              <w:jc w:val="right"/>
              <w:rPr>
                <w:color w:val="82009B" w:themeColor="accent6"/>
                <w:sz w:val="18"/>
                <w:szCs w:val="18"/>
              </w:rPr>
            </w:pPr>
            <w:r w:rsidRPr="002F7147">
              <w:rPr>
                <w:color w:val="82009B" w:themeColor="accent6"/>
                <w:sz w:val="18"/>
                <w:szCs w:val="18"/>
              </w:rPr>
              <w:t>58%</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646C3DAA" w14:textId="77777777" w:rsidR="00282C2E" w:rsidRPr="003E4A08" w:rsidRDefault="00282C2E" w:rsidP="007C0DE4">
            <w:pPr>
              <w:spacing w:before="0" w:after="0" w:line="240" w:lineRule="auto"/>
              <w:jc w:val="right"/>
              <w:rPr>
                <w:color w:val="0070C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7869A45"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736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1D9180A"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773</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07C22B5"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789</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254C42F6" w14:textId="77777777" w:rsidR="00282C2E" w:rsidRPr="003E4A08" w:rsidRDefault="00282C2E" w:rsidP="007C0DE4">
            <w:pPr>
              <w:spacing w:before="0" w:after="0" w:line="240" w:lineRule="auto"/>
              <w:jc w:val="right"/>
              <w:rPr>
                <w:color w:val="FF0000"/>
                <w:sz w:val="18"/>
                <w:szCs w:val="18"/>
              </w:rPr>
            </w:pPr>
            <w:r w:rsidRPr="003E4A08">
              <w:rPr>
                <w:color w:val="FF0000"/>
                <w:sz w:val="18"/>
                <w:szCs w:val="18"/>
              </w:rPr>
              <w:t>-7%</w:t>
            </w:r>
          </w:p>
        </w:tc>
      </w:tr>
      <w:tr w:rsidR="00282C2E" w:rsidRPr="003E4A08" w14:paraId="70CC58FF"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2DD1937E"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Lääne-Viru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C1410A1"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297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8CED1C0"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272</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1515D63"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209</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9786001"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200</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0A07D352"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36%</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69429E4E" w14:textId="77777777" w:rsidR="00282C2E" w:rsidRPr="003E4A08" w:rsidRDefault="00282C2E" w:rsidP="007C0DE4">
            <w:pPr>
              <w:spacing w:before="0" w:after="0" w:line="240" w:lineRule="auto"/>
              <w:jc w:val="right"/>
              <w:rPr>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BC010A8" w14:textId="4771B3CF"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133</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24BD7FE" w14:textId="12C66FE5"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154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2AA18BE" w14:textId="057342B6" w:rsidR="00282C2E" w:rsidRPr="003E4A08" w:rsidRDefault="00282C2E" w:rsidP="007C0DE4">
            <w:pPr>
              <w:spacing w:before="0" w:after="0" w:line="240" w:lineRule="auto"/>
              <w:jc w:val="right"/>
              <w:rPr>
                <w:color w:val="000000"/>
                <w:sz w:val="18"/>
                <w:szCs w:val="18"/>
              </w:rPr>
            </w:pPr>
            <w:r w:rsidRPr="003E4A08">
              <w:rPr>
                <w:color w:val="000000"/>
                <w:sz w:val="18"/>
                <w:szCs w:val="18"/>
              </w:rPr>
              <w:t>1</w:t>
            </w:r>
            <w:r w:rsidR="00C77F1E">
              <w:rPr>
                <w:color w:val="000000"/>
                <w:sz w:val="18"/>
                <w:szCs w:val="18"/>
              </w:rPr>
              <w:t xml:space="preserve"> </w:t>
            </w:r>
            <w:r w:rsidRPr="003E4A08">
              <w:rPr>
                <w:color w:val="000000"/>
                <w:sz w:val="18"/>
                <w:szCs w:val="18"/>
              </w:rPr>
              <w:t>117</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12841954"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w:t>
            </w:r>
          </w:p>
        </w:tc>
      </w:tr>
      <w:tr w:rsidR="00282C2E" w:rsidRPr="003E4A08" w14:paraId="271F43A7"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6A7F124A"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Valga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7ED9134"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297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FE83614"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272</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A6F9453"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246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59A260B"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209</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15B2516F"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30%</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74EAD634" w14:textId="77777777" w:rsidR="00282C2E" w:rsidRPr="003E4A08" w:rsidRDefault="00282C2E" w:rsidP="007C0DE4">
            <w:pPr>
              <w:spacing w:before="0" w:after="0" w:line="240" w:lineRule="auto"/>
              <w:jc w:val="right"/>
              <w:rPr>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02882A6"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948</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D28FA96"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926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8223612"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918</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23810165"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w:t>
            </w:r>
          </w:p>
        </w:tc>
      </w:tr>
      <w:tr w:rsidR="00282C2E" w:rsidRPr="003E4A08" w14:paraId="1602C90F"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75732DD7"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Põlva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EB27894"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153</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FC8C01F"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147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37F56DA"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123</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733D11F"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96</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79EA69A0" w14:textId="77777777" w:rsidR="00282C2E" w:rsidRPr="00B54A22" w:rsidRDefault="4A7E2F16" w:rsidP="4A7E2F16">
            <w:pPr>
              <w:spacing w:before="0" w:after="0" w:line="240" w:lineRule="auto"/>
              <w:jc w:val="right"/>
              <w:rPr>
                <w:color w:val="DB2AFF" w:themeColor="accent6" w:themeTint="99"/>
                <w:sz w:val="18"/>
                <w:szCs w:val="18"/>
              </w:rPr>
            </w:pPr>
            <w:r w:rsidRPr="002F7147">
              <w:rPr>
                <w:color w:val="82009B" w:themeColor="accent6"/>
                <w:sz w:val="18"/>
                <w:szCs w:val="18"/>
              </w:rPr>
              <w:t>53%</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30E31763" w14:textId="77777777" w:rsidR="00282C2E" w:rsidRPr="003E4A08" w:rsidRDefault="00282C2E" w:rsidP="007C0DE4">
            <w:pPr>
              <w:spacing w:before="0" w:after="0" w:line="240" w:lineRule="auto"/>
              <w:jc w:val="right"/>
              <w:rPr>
                <w:color w:val="0070C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304F8F9"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368</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0D0314A"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322</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DFFACA4"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306</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248ED15E" w14:textId="77777777" w:rsidR="00282C2E" w:rsidRPr="00B54A22" w:rsidRDefault="4A7E2F16" w:rsidP="4A7E2F16">
            <w:pPr>
              <w:spacing w:before="0" w:after="0" w:line="240" w:lineRule="auto"/>
              <w:jc w:val="right"/>
              <w:rPr>
                <w:color w:val="DB2AFF" w:themeColor="accent6" w:themeTint="99"/>
                <w:sz w:val="18"/>
                <w:szCs w:val="18"/>
              </w:rPr>
            </w:pPr>
            <w:r w:rsidRPr="002F7147">
              <w:rPr>
                <w:color w:val="82009B" w:themeColor="accent6"/>
                <w:sz w:val="18"/>
                <w:szCs w:val="18"/>
              </w:rPr>
              <w:t>20%</w:t>
            </w:r>
          </w:p>
        </w:tc>
      </w:tr>
      <w:tr w:rsidR="00282C2E" w:rsidRPr="003E4A08" w14:paraId="36031420"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03E809FD"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Jõgeva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7D3D199"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138</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41CDE9C"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139</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294BC3F"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116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F0691DC"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128</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0A1657A7"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9%</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162D5406" w14:textId="77777777" w:rsidR="00282C2E" w:rsidRPr="003E4A08" w:rsidRDefault="00282C2E" w:rsidP="007C0DE4">
            <w:pPr>
              <w:spacing w:before="0" w:after="0" w:line="240" w:lineRule="auto"/>
              <w:jc w:val="right"/>
              <w:rPr>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3FD200D"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425</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0C38392"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397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79B1A47"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434</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444C165F" w14:textId="77777777" w:rsidR="00282C2E" w:rsidRPr="003E4A08" w:rsidRDefault="00282C2E" w:rsidP="007C0DE4">
            <w:pPr>
              <w:spacing w:before="0" w:after="0" w:line="240" w:lineRule="auto"/>
              <w:jc w:val="right"/>
              <w:rPr>
                <w:color w:val="FF0000"/>
                <w:sz w:val="18"/>
                <w:szCs w:val="18"/>
              </w:rPr>
            </w:pPr>
            <w:r w:rsidRPr="003E4A08">
              <w:rPr>
                <w:color w:val="FF0000"/>
                <w:sz w:val="18"/>
                <w:szCs w:val="18"/>
              </w:rPr>
              <w:t>-2%</w:t>
            </w:r>
          </w:p>
        </w:tc>
      </w:tr>
      <w:tr w:rsidR="00282C2E" w:rsidRPr="003E4A08" w14:paraId="19718DD3"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2F27F2C2"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Järva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A98BBDE"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100</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06C00C0"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76</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A659C12"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52</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7211B9A"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81</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4C2CE492" w14:textId="77777777" w:rsidR="00282C2E" w:rsidRPr="003E4A08" w:rsidRDefault="00282C2E" w:rsidP="007C0DE4">
            <w:pPr>
              <w:spacing w:before="0" w:after="0" w:line="240" w:lineRule="auto"/>
              <w:jc w:val="right"/>
              <w:rPr>
                <w:color w:val="FF0000"/>
                <w:sz w:val="18"/>
                <w:szCs w:val="18"/>
              </w:rPr>
            </w:pPr>
            <w:r w:rsidRPr="003E4A08">
              <w:rPr>
                <w:color w:val="FF0000"/>
                <w:sz w:val="18"/>
                <w:szCs w:val="18"/>
              </w:rPr>
              <w:t>-6%</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7149982B" w14:textId="77777777" w:rsidR="00282C2E" w:rsidRPr="003E4A08" w:rsidRDefault="00282C2E" w:rsidP="007C0DE4">
            <w:pPr>
              <w:spacing w:before="0" w:after="0" w:line="240" w:lineRule="auto"/>
              <w:jc w:val="right"/>
              <w:rPr>
                <w:color w:val="FF000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2F5F8F60"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360</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000C2321"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360</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6CAC66E0"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362</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2CF3A0EE" w14:textId="77777777" w:rsidR="00282C2E" w:rsidRPr="003E4A08" w:rsidRDefault="00282C2E" w:rsidP="007C0DE4">
            <w:pPr>
              <w:spacing w:before="0" w:after="0" w:line="240" w:lineRule="auto"/>
              <w:jc w:val="right"/>
              <w:rPr>
                <w:color w:val="FF0000"/>
                <w:sz w:val="18"/>
                <w:szCs w:val="18"/>
              </w:rPr>
            </w:pPr>
            <w:r w:rsidRPr="003E4A08">
              <w:rPr>
                <w:color w:val="FF0000"/>
                <w:sz w:val="18"/>
                <w:szCs w:val="18"/>
              </w:rPr>
              <w:t>-1%</w:t>
            </w:r>
          </w:p>
        </w:tc>
      </w:tr>
      <w:tr w:rsidR="00282C2E" w:rsidRPr="003E4A08" w14:paraId="49D7E8E6" w14:textId="77777777" w:rsidTr="4A7E2F16">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345A9671" w14:textId="77777777" w:rsidR="00282C2E" w:rsidRPr="00DA7813" w:rsidRDefault="00282C2E" w:rsidP="007C0DE4">
            <w:pPr>
              <w:spacing w:before="0" w:after="0" w:line="240" w:lineRule="auto"/>
              <w:rPr>
                <w:b/>
                <w:bCs/>
                <w:color w:val="000000"/>
                <w:sz w:val="18"/>
                <w:szCs w:val="18"/>
              </w:rPr>
            </w:pPr>
            <w:r w:rsidRPr="00DA7813">
              <w:rPr>
                <w:b/>
                <w:bCs/>
                <w:color w:val="000000"/>
                <w:sz w:val="18"/>
                <w:szCs w:val="18"/>
              </w:rPr>
              <w:t>Rapla maakond</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24A4F23"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93</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7CA9C46"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84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2DA09DD"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54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1B9345C"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53</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791A756D" w14:textId="77777777" w:rsidR="00282C2E" w:rsidRPr="003E4A08" w:rsidRDefault="4A7E2F16" w:rsidP="007C0DE4">
            <w:pPr>
              <w:spacing w:before="0" w:after="0" w:line="240" w:lineRule="auto"/>
              <w:jc w:val="right"/>
              <w:rPr>
                <w:color w:val="0070C0"/>
                <w:sz w:val="18"/>
                <w:szCs w:val="18"/>
              </w:rPr>
            </w:pPr>
            <w:r w:rsidRPr="002F7147">
              <w:rPr>
                <w:color w:val="82009B" w:themeColor="accent6"/>
                <w:sz w:val="18"/>
                <w:szCs w:val="18"/>
              </w:rPr>
              <w:t>58%</w:t>
            </w:r>
          </w:p>
        </w:tc>
        <w:tc>
          <w:tcPr>
            <w:tcW w:w="222" w:type="dxa"/>
            <w:tcBorders>
              <w:top w:val="single" w:sz="4" w:space="0" w:color="auto"/>
              <w:left w:val="single" w:sz="4" w:space="0" w:color="auto"/>
              <w:bottom w:val="single" w:sz="4" w:space="0" w:color="auto"/>
              <w:right w:val="single" w:sz="4" w:space="0" w:color="auto"/>
            </w:tcBorders>
            <w:noWrap/>
            <w:vAlign w:val="bottom"/>
            <w:hideMark/>
          </w:tcPr>
          <w:p w14:paraId="0717C5CC" w14:textId="77777777" w:rsidR="00282C2E" w:rsidRPr="003E4A08" w:rsidRDefault="00282C2E" w:rsidP="007C0DE4">
            <w:pPr>
              <w:spacing w:before="0" w:after="0" w:line="240" w:lineRule="auto"/>
              <w:jc w:val="right"/>
              <w:rPr>
                <w:color w:val="0070C0"/>
                <w:sz w:val="18"/>
                <w:szCs w:val="18"/>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360BC581"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261</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7CA4A7A6"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275</w:t>
            </w: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53C07793" w14:textId="77777777" w:rsidR="00282C2E" w:rsidRPr="003E4A08" w:rsidRDefault="00282C2E" w:rsidP="007C0DE4">
            <w:pPr>
              <w:spacing w:before="0" w:after="0" w:line="240" w:lineRule="auto"/>
              <w:jc w:val="right"/>
              <w:rPr>
                <w:color w:val="000000"/>
                <w:sz w:val="18"/>
                <w:szCs w:val="18"/>
              </w:rPr>
            </w:pPr>
            <w:r w:rsidRPr="003E4A08">
              <w:rPr>
                <w:color w:val="000000"/>
                <w:sz w:val="18"/>
                <w:szCs w:val="18"/>
              </w:rPr>
              <w:t>278</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19B82E60" w14:textId="77777777" w:rsidR="00282C2E" w:rsidRPr="003E4A08" w:rsidRDefault="00282C2E" w:rsidP="007C0DE4">
            <w:pPr>
              <w:spacing w:before="0" w:after="0" w:line="240" w:lineRule="auto"/>
              <w:jc w:val="right"/>
              <w:rPr>
                <w:color w:val="FF0000"/>
                <w:sz w:val="18"/>
                <w:szCs w:val="18"/>
              </w:rPr>
            </w:pPr>
            <w:r w:rsidRPr="003E4A08">
              <w:rPr>
                <w:color w:val="FF0000"/>
                <w:sz w:val="18"/>
                <w:szCs w:val="18"/>
              </w:rPr>
              <w:t>-6%</w:t>
            </w:r>
          </w:p>
        </w:tc>
      </w:tr>
    </w:tbl>
    <w:p w14:paraId="67FF07AD" w14:textId="77777777" w:rsidR="00E41A01" w:rsidRPr="00016091" w:rsidRDefault="7DC5FC43" w:rsidP="00E41A01">
      <w:pPr>
        <w:pStyle w:val="BottomCaption"/>
      </w:pPr>
      <w:r>
        <w:t>Allikas: EIS/Lighthouse; SA</w:t>
      </w:r>
    </w:p>
    <w:p w14:paraId="1E27C398" w14:textId="0F49A7BA" w:rsidR="009B225F" w:rsidRPr="00E14EBC" w:rsidRDefault="009B225F">
      <w:r w:rsidRPr="00E14EBC">
        <w:br w:type="page"/>
      </w:r>
    </w:p>
    <w:p w14:paraId="26751FB0" w14:textId="181E1C5D" w:rsidR="04DBD3F1" w:rsidRDefault="04DBD3F1" w:rsidP="7DC5FC43">
      <w:pPr>
        <w:pStyle w:val="Caption"/>
      </w:pPr>
    </w:p>
    <w:p w14:paraId="733702BB" w14:textId="40DA6F56" w:rsidR="04DBD3F1" w:rsidRDefault="04DBD3F1" w:rsidP="7DC5FC43">
      <w:pPr>
        <w:pStyle w:val="Caption"/>
      </w:pPr>
    </w:p>
    <w:p w14:paraId="1FB56C5D" w14:textId="4211DD56" w:rsidR="009B225F" w:rsidRPr="00E14EBC" w:rsidRDefault="72E47210" w:rsidP="00355DF5">
      <w:pPr>
        <w:pStyle w:val="Caption"/>
      </w:pPr>
      <w:r w:rsidRPr="00E14EBC">
        <w:t xml:space="preserve">Tabel </w:t>
      </w:r>
      <w:r w:rsidR="001E5B0D">
        <w:t>20</w:t>
      </w:r>
      <w:r w:rsidRPr="00E14EBC">
        <w:t>: Idufirmade töötajate arv ja kasv Eestis 2015–2024</w:t>
      </w:r>
    </w:p>
    <w:tbl>
      <w:tblPr>
        <w:tblW w:w="14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900"/>
        <w:gridCol w:w="900"/>
        <w:gridCol w:w="900"/>
        <w:gridCol w:w="900"/>
        <w:gridCol w:w="900"/>
        <w:gridCol w:w="810"/>
        <w:gridCol w:w="810"/>
        <w:gridCol w:w="900"/>
        <w:gridCol w:w="900"/>
        <w:gridCol w:w="900"/>
        <w:gridCol w:w="400"/>
        <w:gridCol w:w="1130"/>
        <w:gridCol w:w="400"/>
        <w:gridCol w:w="1130"/>
      </w:tblGrid>
      <w:tr w:rsidR="00F54DD2" w:rsidRPr="00DF0CE8" w14:paraId="290EF8A7" w14:textId="77777777" w:rsidTr="00B0713D">
        <w:trPr>
          <w:trHeight w:val="20"/>
        </w:trPr>
        <w:tc>
          <w:tcPr>
            <w:tcW w:w="2250" w:type="dxa"/>
            <w:noWrap/>
            <w:vAlign w:val="bottom"/>
            <w:hideMark/>
          </w:tcPr>
          <w:p w14:paraId="5F477009" w14:textId="77777777" w:rsidR="00F54DD2" w:rsidRPr="00DF0CE8" w:rsidRDefault="00F54DD2" w:rsidP="00C67E7F">
            <w:pPr>
              <w:rPr>
                <w:sz w:val="18"/>
                <w:szCs w:val="18"/>
              </w:rPr>
            </w:pPr>
          </w:p>
        </w:tc>
        <w:tc>
          <w:tcPr>
            <w:tcW w:w="900" w:type="dxa"/>
            <w:noWrap/>
            <w:vAlign w:val="bottom"/>
            <w:hideMark/>
          </w:tcPr>
          <w:p w14:paraId="52A1EA60" w14:textId="77777777" w:rsidR="00F54DD2" w:rsidRPr="00DF0CE8" w:rsidRDefault="00F54DD2" w:rsidP="00786B84">
            <w:pPr>
              <w:jc w:val="center"/>
              <w:rPr>
                <w:b/>
                <w:bCs/>
                <w:color w:val="000000"/>
                <w:sz w:val="18"/>
                <w:szCs w:val="18"/>
              </w:rPr>
            </w:pPr>
            <w:r w:rsidRPr="00DF0CE8">
              <w:rPr>
                <w:b/>
                <w:bCs/>
                <w:color w:val="000000"/>
                <w:sz w:val="18"/>
                <w:szCs w:val="18"/>
              </w:rPr>
              <w:t>2015</w:t>
            </w:r>
          </w:p>
        </w:tc>
        <w:tc>
          <w:tcPr>
            <w:tcW w:w="900" w:type="dxa"/>
            <w:noWrap/>
            <w:vAlign w:val="bottom"/>
            <w:hideMark/>
          </w:tcPr>
          <w:p w14:paraId="28A94E4D" w14:textId="77777777" w:rsidR="00F54DD2" w:rsidRPr="00DF0CE8" w:rsidRDefault="00F54DD2" w:rsidP="00786B84">
            <w:pPr>
              <w:jc w:val="center"/>
              <w:rPr>
                <w:b/>
                <w:bCs/>
                <w:color w:val="000000"/>
                <w:sz w:val="18"/>
                <w:szCs w:val="18"/>
              </w:rPr>
            </w:pPr>
            <w:r w:rsidRPr="00DF0CE8">
              <w:rPr>
                <w:b/>
                <w:bCs/>
                <w:color w:val="000000"/>
                <w:sz w:val="18"/>
                <w:szCs w:val="18"/>
              </w:rPr>
              <w:t>2016</w:t>
            </w:r>
          </w:p>
        </w:tc>
        <w:tc>
          <w:tcPr>
            <w:tcW w:w="900" w:type="dxa"/>
            <w:noWrap/>
            <w:vAlign w:val="bottom"/>
            <w:hideMark/>
          </w:tcPr>
          <w:p w14:paraId="022DA942" w14:textId="77777777" w:rsidR="00F54DD2" w:rsidRPr="00DF0CE8" w:rsidRDefault="00F54DD2" w:rsidP="00786B84">
            <w:pPr>
              <w:jc w:val="center"/>
              <w:rPr>
                <w:b/>
                <w:bCs/>
                <w:color w:val="000000"/>
                <w:sz w:val="18"/>
                <w:szCs w:val="18"/>
              </w:rPr>
            </w:pPr>
            <w:r w:rsidRPr="00DF0CE8">
              <w:rPr>
                <w:b/>
                <w:bCs/>
                <w:color w:val="000000"/>
                <w:sz w:val="18"/>
                <w:szCs w:val="18"/>
              </w:rPr>
              <w:t>2017</w:t>
            </w:r>
          </w:p>
        </w:tc>
        <w:tc>
          <w:tcPr>
            <w:tcW w:w="900" w:type="dxa"/>
            <w:noWrap/>
            <w:vAlign w:val="bottom"/>
            <w:hideMark/>
          </w:tcPr>
          <w:p w14:paraId="2CC2EED1" w14:textId="77777777" w:rsidR="00F54DD2" w:rsidRPr="00DF0CE8" w:rsidRDefault="00F54DD2" w:rsidP="00786B84">
            <w:pPr>
              <w:jc w:val="center"/>
              <w:rPr>
                <w:b/>
                <w:bCs/>
                <w:color w:val="000000"/>
                <w:sz w:val="18"/>
                <w:szCs w:val="18"/>
              </w:rPr>
            </w:pPr>
            <w:r w:rsidRPr="00DF0CE8">
              <w:rPr>
                <w:b/>
                <w:bCs/>
                <w:color w:val="000000"/>
                <w:sz w:val="18"/>
                <w:szCs w:val="18"/>
              </w:rPr>
              <w:t>2018</w:t>
            </w:r>
          </w:p>
        </w:tc>
        <w:tc>
          <w:tcPr>
            <w:tcW w:w="900" w:type="dxa"/>
            <w:noWrap/>
            <w:vAlign w:val="bottom"/>
            <w:hideMark/>
          </w:tcPr>
          <w:p w14:paraId="4D50975A" w14:textId="77777777" w:rsidR="00F54DD2" w:rsidRPr="00DF0CE8" w:rsidRDefault="00F54DD2" w:rsidP="00786B84">
            <w:pPr>
              <w:jc w:val="center"/>
              <w:rPr>
                <w:b/>
                <w:bCs/>
                <w:color w:val="000000"/>
                <w:sz w:val="18"/>
                <w:szCs w:val="18"/>
              </w:rPr>
            </w:pPr>
            <w:r w:rsidRPr="00DF0CE8">
              <w:rPr>
                <w:b/>
                <w:bCs/>
                <w:color w:val="000000"/>
                <w:sz w:val="18"/>
                <w:szCs w:val="18"/>
              </w:rPr>
              <w:t>2019</w:t>
            </w:r>
          </w:p>
        </w:tc>
        <w:tc>
          <w:tcPr>
            <w:tcW w:w="810" w:type="dxa"/>
            <w:noWrap/>
            <w:vAlign w:val="bottom"/>
            <w:hideMark/>
          </w:tcPr>
          <w:p w14:paraId="27CB36DB" w14:textId="77777777" w:rsidR="00F54DD2" w:rsidRPr="00DF0CE8" w:rsidRDefault="00F54DD2" w:rsidP="00786B84">
            <w:pPr>
              <w:jc w:val="center"/>
              <w:rPr>
                <w:b/>
                <w:bCs/>
                <w:color w:val="000000"/>
                <w:sz w:val="18"/>
                <w:szCs w:val="18"/>
              </w:rPr>
            </w:pPr>
            <w:r w:rsidRPr="00DF0CE8">
              <w:rPr>
                <w:b/>
                <w:bCs/>
                <w:color w:val="000000"/>
                <w:sz w:val="18"/>
                <w:szCs w:val="18"/>
              </w:rPr>
              <w:t>2020</w:t>
            </w:r>
          </w:p>
        </w:tc>
        <w:tc>
          <w:tcPr>
            <w:tcW w:w="810" w:type="dxa"/>
            <w:noWrap/>
            <w:vAlign w:val="bottom"/>
            <w:hideMark/>
          </w:tcPr>
          <w:p w14:paraId="3A043D43" w14:textId="77777777" w:rsidR="00F54DD2" w:rsidRPr="00DF0CE8" w:rsidRDefault="00F54DD2" w:rsidP="00786B84">
            <w:pPr>
              <w:jc w:val="center"/>
              <w:rPr>
                <w:b/>
                <w:bCs/>
                <w:color w:val="000000"/>
                <w:sz w:val="18"/>
                <w:szCs w:val="18"/>
              </w:rPr>
            </w:pPr>
            <w:r w:rsidRPr="00DF0CE8">
              <w:rPr>
                <w:b/>
                <w:bCs/>
                <w:color w:val="000000"/>
                <w:sz w:val="18"/>
                <w:szCs w:val="18"/>
              </w:rPr>
              <w:t>2021</w:t>
            </w:r>
          </w:p>
        </w:tc>
        <w:tc>
          <w:tcPr>
            <w:tcW w:w="900" w:type="dxa"/>
            <w:noWrap/>
            <w:vAlign w:val="bottom"/>
            <w:hideMark/>
          </w:tcPr>
          <w:p w14:paraId="4FAEF4AD" w14:textId="77777777" w:rsidR="00F54DD2" w:rsidRPr="00DF0CE8" w:rsidRDefault="00F54DD2" w:rsidP="00786B84">
            <w:pPr>
              <w:jc w:val="center"/>
              <w:rPr>
                <w:b/>
                <w:bCs/>
                <w:color w:val="000000"/>
                <w:sz w:val="18"/>
                <w:szCs w:val="18"/>
              </w:rPr>
            </w:pPr>
            <w:r w:rsidRPr="00DF0CE8">
              <w:rPr>
                <w:b/>
                <w:bCs/>
                <w:color w:val="000000"/>
                <w:sz w:val="18"/>
                <w:szCs w:val="18"/>
              </w:rPr>
              <w:t>2022</w:t>
            </w:r>
          </w:p>
        </w:tc>
        <w:tc>
          <w:tcPr>
            <w:tcW w:w="900" w:type="dxa"/>
            <w:noWrap/>
            <w:vAlign w:val="bottom"/>
            <w:hideMark/>
          </w:tcPr>
          <w:p w14:paraId="05ED79AD" w14:textId="77777777" w:rsidR="00F54DD2" w:rsidRPr="00DF0CE8" w:rsidRDefault="00F54DD2" w:rsidP="00786B84">
            <w:pPr>
              <w:jc w:val="center"/>
              <w:rPr>
                <w:b/>
                <w:bCs/>
                <w:color w:val="000000"/>
                <w:sz w:val="18"/>
                <w:szCs w:val="18"/>
              </w:rPr>
            </w:pPr>
            <w:r w:rsidRPr="00DF0CE8">
              <w:rPr>
                <w:b/>
                <w:bCs/>
                <w:color w:val="000000"/>
                <w:sz w:val="18"/>
                <w:szCs w:val="18"/>
              </w:rPr>
              <w:t>2023</w:t>
            </w:r>
          </w:p>
        </w:tc>
        <w:tc>
          <w:tcPr>
            <w:tcW w:w="900" w:type="dxa"/>
            <w:noWrap/>
            <w:vAlign w:val="bottom"/>
            <w:hideMark/>
          </w:tcPr>
          <w:p w14:paraId="026199C0" w14:textId="77777777" w:rsidR="00F54DD2" w:rsidRPr="00DF0CE8" w:rsidRDefault="00F54DD2" w:rsidP="00786B84">
            <w:pPr>
              <w:jc w:val="center"/>
              <w:rPr>
                <w:b/>
                <w:bCs/>
                <w:color w:val="000000"/>
                <w:sz w:val="18"/>
                <w:szCs w:val="18"/>
              </w:rPr>
            </w:pPr>
            <w:r w:rsidRPr="00DF0CE8">
              <w:rPr>
                <w:b/>
                <w:bCs/>
                <w:color w:val="000000"/>
                <w:sz w:val="18"/>
                <w:szCs w:val="18"/>
              </w:rPr>
              <w:t>2024</w:t>
            </w:r>
          </w:p>
        </w:tc>
        <w:tc>
          <w:tcPr>
            <w:tcW w:w="400" w:type="dxa"/>
            <w:noWrap/>
            <w:vAlign w:val="bottom"/>
            <w:hideMark/>
          </w:tcPr>
          <w:p w14:paraId="7553FB31" w14:textId="77777777" w:rsidR="00F54DD2" w:rsidRPr="00DF0CE8" w:rsidRDefault="00F54DD2" w:rsidP="00786B84">
            <w:pPr>
              <w:jc w:val="center"/>
              <w:rPr>
                <w:b/>
                <w:bCs/>
                <w:color w:val="000000"/>
                <w:sz w:val="18"/>
                <w:szCs w:val="18"/>
              </w:rPr>
            </w:pPr>
          </w:p>
        </w:tc>
        <w:tc>
          <w:tcPr>
            <w:tcW w:w="1130" w:type="dxa"/>
            <w:noWrap/>
            <w:vAlign w:val="bottom"/>
            <w:hideMark/>
          </w:tcPr>
          <w:p w14:paraId="31D87998" w14:textId="77777777" w:rsidR="00F54DD2" w:rsidRPr="00DF0CE8" w:rsidRDefault="00F54DD2" w:rsidP="00786B84">
            <w:pPr>
              <w:jc w:val="center"/>
              <w:rPr>
                <w:b/>
                <w:bCs/>
                <w:color w:val="000000"/>
                <w:sz w:val="18"/>
                <w:szCs w:val="18"/>
              </w:rPr>
            </w:pPr>
            <w:r w:rsidRPr="00DF0CE8">
              <w:rPr>
                <w:b/>
                <w:bCs/>
                <w:color w:val="000000"/>
                <w:sz w:val="18"/>
                <w:szCs w:val="18"/>
              </w:rPr>
              <w:t>2015-24</w:t>
            </w:r>
          </w:p>
        </w:tc>
        <w:tc>
          <w:tcPr>
            <w:tcW w:w="400" w:type="dxa"/>
            <w:noWrap/>
            <w:vAlign w:val="bottom"/>
            <w:hideMark/>
          </w:tcPr>
          <w:p w14:paraId="58BD9143" w14:textId="77777777" w:rsidR="00F54DD2" w:rsidRPr="00DF0CE8" w:rsidRDefault="00F54DD2" w:rsidP="00786B84">
            <w:pPr>
              <w:jc w:val="center"/>
              <w:rPr>
                <w:b/>
                <w:bCs/>
                <w:color w:val="000000"/>
                <w:sz w:val="18"/>
                <w:szCs w:val="18"/>
              </w:rPr>
            </w:pPr>
          </w:p>
        </w:tc>
        <w:tc>
          <w:tcPr>
            <w:tcW w:w="1130" w:type="dxa"/>
            <w:noWrap/>
            <w:vAlign w:val="bottom"/>
            <w:hideMark/>
          </w:tcPr>
          <w:p w14:paraId="7B7A9765" w14:textId="77777777" w:rsidR="00F54DD2" w:rsidRPr="00DF0CE8" w:rsidRDefault="00F54DD2" w:rsidP="00786B84">
            <w:pPr>
              <w:jc w:val="center"/>
              <w:rPr>
                <w:b/>
                <w:bCs/>
                <w:color w:val="000000"/>
                <w:sz w:val="18"/>
                <w:szCs w:val="18"/>
              </w:rPr>
            </w:pPr>
            <w:r w:rsidRPr="00DF0CE8">
              <w:rPr>
                <w:b/>
                <w:bCs/>
                <w:color w:val="000000"/>
                <w:sz w:val="18"/>
                <w:szCs w:val="18"/>
              </w:rPr>
              <w:t>2020-24</w:t>
            </w:r>
          </w:p>
        </w:tc>
      </w:tr>
      <w:tr w:rsidR="00F54DD2" w:rsidRPr="00DF0CE8" w14:paraId="4D976346" w14:textId="77777777" w:rsidTr="00B0713D">
        <w:trPr>
          <w:trHeight w:val="20"/>
        </w:trPr>
        <w:tc>
          <w:tcPr>
            <w:tcW w:w="2250" w:type="dxa"/>
            <w:noWrap/>
            <w:vAlign w:val="bottom"/>
            <w:hideMark/>
          </w:tcPr>
          <w:p w14:paraId="3E65D4FE" w14:textId="77777777" w:rsidR="00F54DD2" w:rsidRPr="00DF0CE8" w:rsidRDefault="00F54DD2" w:rsidP="00C67E7F">
            <w:pPr>
              <w:rPr>
                <w:b/>
                <w:bCs/>
                <w:color w:val="000000"/>
                <w:sz w:val="18"/>
                <w:szCs w:val="18"/>
              </w:rPr>
            </w:pPr>
            <w:r w:rsidRPr="00DF0CE8">
              <w:rPr>
                <w:b/>
                <w:bCs/>
                <w:color w:val="000000"/>
                <w:sz w:val="18"/>
                <w:szCs w:val="18"/>
              </w:rPr>
              <w:t>Idufirmade töötajate arv</w:t>
            </w:r>
          </w:p>
        </w:tc>
        <w:tc>
          <w:tcPr>
            <w:tcW w:w="900" w:type="dxa"/>
            <w:noWrap/>
            <w:vAlign w:val="bottom"/>
            <w:hideMark/>
          </w:tcPr>
          <w:p w14:paraId="63A8E232" w14:textId="77777777" w:rsidR="00F54DD2" w:rsidRPr="00DF0CE8" w:rsidRDefault="00F54DD2" w:rsidP="00786B84">
            <w:pPr>
              <w:jc w:val="right"/>
              <w:rPr>
                <w:color w:val="000000"/>
                <w:sz w:val="18"/>
                <w:szCs w:val="18"/>
              </w:rPr>
            </w:pPr>
            <w:r w:rsidRPr="00DF0CE8">
              <w:rPr>
                <w:color w:val="000000"/>
                <w:sz w:val="18"/>
                <w:szCs w:val="18"/>
              </w:rPr>
              <w:t>u 2500</w:t>
            </w:r>
          </w:p>
        </w:tc>
        <w:tc>
          <w:tcPr>
            <w:tcW w:w="900" w:type="dxa"/>
            <w:noWrap/>
            <w:vAlign w:val="bottom"/>
            <w:hideMark/>
          </w:tcPr>
          <w:p w14:paraId="60FA94C5" w14:textId="77777777" w:rsidR="00F54DD2" w:rsidRPr="00DF0CE8" w:rsidRDefault="00F54DD2" w:rsidP="00786B84">
            <w:pPr>
              <w:jc w:val="right"/>
              <w:rPr>
                <w:color w:val="000000"/>
                <w:sz w:val="18"/>
                <w:szCs w:val="18"/>
              </w:rPr>
            </w:pPr>
            <w:r w:rsidRPr="00DF0CE8">
              <w:rPr>
                <w:color w:val="000000"/>
                <w:sz w:val="18"/>
                <w:szCs w:val="18"/>
              </w:rPr>
              <w:t>u 3500</w:t>
            </w:r>
          </w:p>
        </w:tc>
        <w:tc>
          <w:tcPr>
            <w:tcW w:w="900" w:type="dxa"/>
            <w:noWrap/>
            <w:vAlign w:val="bottom"/>
            <w:hideMark/>
          </w:tcPr>
          <w:p w14:paraId="082A2608" w14:textId="6F491A1B" w:rsidR="00F54DD2" w:rsidRPr="00DF0CE8" w:rsidRDefault="00F54DD2" w:rsidP="00786B84">
            <w:pPr>
              <w:jc w:val="right"/>
              <w:rPr>
                <w:color w:val="000000"/>
                <w:sz w:val="18"/>
                <w:szCs w:val="18"/>
              </w:rPr>
            </w:pPr>
            <w:r w:rsidRPr="00DF0CE8">
              <w:rPr>
                <w:color w:val="000000"/>
                <w:sz w:val="18"/>
                <w:szCs w:val="18"/>
              </w:rPr>
              <w:t>4</w:t>
            </w:r>
            <w:r w:rsidR="00C77F1E">
              <w:rPr>
                <w:color w:val="000000"/>
                <w:sz w:val="18"/>
                <w:szCs w:val="18"/>
              </w:rPr>
              <w:t xml:space="preserve"> </w:t>
            </w:r>
            <w:r w:rsidRPr="00DF0CE8">
              <w:rPr>
                <w:color w:val="000000"/>
                <w:sz w:val="18"/>
                <w:szCs w:val="18"/>
              </w:rPr>
              <w:t>913</w:t>
            </w:r>
          </w:p>
        </w:tc>
        <w:tc>
          <w:tcPr>
            <w:tcW w:w="900" w:type="dxa"/>
            <w:noWrap/>
            <w:vAlign w:val="bottom"/>
            <w:hideMark/>
          </w:tcPr>
          <w:p w14:paraId="5401B9ED" w14:textId="347063ED" w:rsidR="00F54DD2" w:rsidRPr="00DF0CE8" w:rsidRDefault="00F54DD2" w:rsidP="00786B84">
            <w:pPr>
              <w:jc w:val="right"/>
              <w:rPr>
                <w:color w:val="000000"/>
                <w:sz w:val="18"/>
                <w:szCs w:val="18"/>
              </w:rPr>
            </w:pPr>
            <w:r w:rsidRPr="00DF0CE8">
              <w:rPr>
                <w:color w:val="000000"/>
                <w:sz w:val="18"/>
                <w:szCs w:val="18"/>
              </w:rPr>
              <w:t>6</w:t>
            </w:r>
            <w:r w:rsidR="00C77F1E">
              <w:rPr>
                <w:color w:val="000000"/>
                <w:sz w:val="18"/>
                <w:szCs w:val="18"/>
              </w:rPr>
              <w:t xml:space="preserve"> </w:t>
            </w:r>
            <w:r w:rsidRPr="00DF0CE8">
              <w:rPr>
                <w:color w:val="000000"/>
                <w:sz w:val="18"/>
                <w:szCs w:val="18"/>
              </w:rPr>
              <w:t>474</w:t>
            </w:r>
          </w:p>
        </w:tc>
        <w:tc>
          <w:tcPr>
            <w:tcW w:w="900" w:type="dxa"/>
            <w:noWrap/>
            <w:vAlign w:val="bottom"/>
            <w:hideMark/>
          </w:tcPr>
          <w:p w14:paraId="61469BB4" w14:textId="2BF3AC37" w:rsidR="00F54DD2" w:rsidRPr="00DF0CE8" w:rsidRDefault="00F54DD2" w:rsidP="00786B84">
            <w:pPr>
              <w:jc w:val="right"/>
              <w:rPr>
                <w:color w:val="000000"/>
                <w:sz w:val="18"/>
                <w:szCs w:val="18"/>
              </w:rPr>
            </w:pPr>
            <w:r w:rsidRPr="00DF0CE8">
              <w:rPr>
                <w:color w:val="000000"/>
                <w:sz w:val="18"/>
                <w:szCs w:val="18"/>
              </w:rPr>
              <w:t>8</w:t>
            </w:r>
            <w:r w:rsidR="00C77F1E">
              <w:rPr>
                <w:color w:val="000000"/>
                <w:sz w:val="18"/>
                <w:szCs w:val="18"/>
              </w:rPr>
              <w:t xml:space="preserve"> </w:t>
            </w:r>
            <w:r w:rsidRPr="00DF0CE8">
              <w:rPr>
                <w:color w:val="000000"/>
                <w:sz w:val="18"/>
                <w:szCs w:val="18"/>
              </w:rPr>
              <w:t>473</w:t>
            </w:r>
          </w:p>
        </w:tc>
        <w:tc>
          <w:tcPr>
            <w:tcW w:w="810" w:type="dxa"/>
            <w:noWrap/>
            <w:vAlign w:val="bottom"/>
            <w:hideMark/>
          </w:tcPr>
          <w:p w14:paraId="6CD023BA" w14:textId="4C65F54D" w:rsidR="00F54DD2" w:rsidRPr="00DF0CE8" w:rsidRDefault="00F54DD2" w:rsidP="00786B84">
            <w:pPr>
              <w:jc w:val="right"/>
              <w:rPr>
                <w:color w:val="000000"/>
                <w:sz w:val="18"/>
                <w:szCs w:val="18"/>
              </w:rPr>
            </w:pPr>
            <w:r w:rsidRPr="00DF0CE8">
              <w:rPr>
                <w:color w:val="000000"/>
                <w:sz w:val="18"/>
                <w:szCs w:val="18"/>
              </w:rPr>
              <w:t>9</w:t>
            </w:r>
            <w:r w:rsidR="00C77F1E">
              <w:rPr>
                <w:color w:val="000000"/>
                <w:sz w:val="18"/>
                <w:szCs w:val="18"/>
              </w:rPr>
              <w:t xml:space="preserve"> </w:t>
            </w:r>
            <w:r w:rsidRPr="00DF0CE8">
              <w:rPr>
                <w:color w:val="000000"/>
                <w:sz w:val="18"/>
                <w:szCs w:val="18"/>
              </w:rPr>
              <w:t>371</w:t>
            </w:r>
          </w:p>
        </w:tc>
        <w:tc>
          <w:tcPr>
            <w:tcW w:w="810" w:type="dxa"/>
            <w:noWrap/>
            <w:vAlign w:val="bottom"/>
            <w:hideMark/>
          </w:tcPr>
          <w:p w14:paraId="07F78086" w14:textId="1FA825BA" w:rsidR="00F54DD2" w:rsidRPr="00DF0CE8" w:rsidRDefault="00F54DD2" w:rsidP="00786B84">
            <w:pPr>
              <w:jc w:val="right"/>
              <w:rPr>
                <w:color w:val="000000"/>
                <w:sz w:val="18"/>
                <w:szCs w:val="18"/>
              </w:rPr>
            </w:pPr>
            <w:r w:rsidRPr="00DF0CE8">
              <w:rPr>
                <w:color w:val="000000"/>
                <w:sz w:val="18"/>
                <w:szCs w:val="18"/>
              </w:rPr>
              <w:t>12</w:t>
            </w:r>
            <w:r w:rsidR="00C77F1E">
              <w:rPr>
                <w:color w:val="000000"/>
                <w:sz w:val="18"/>
                <w:szCs w:val="18"/>
              </w:rPr>
              <w:t xml:space="preserve"> </w:t>
            </w:r>
            <w:r w:rsidRPr="00DF0CE8">
              <w:rPr>
                <w:color w:val="000000"/>
                <w:sz w:val="18"/>
                <w:szCs w:val="18"/>
              </w:rPr>
              <w:t>316</w:t>
            </w:r>
          </w:p>
        </w:tc>
        <w:tc>
          <w:tcPr>
            <w:tcW w:w="900" w:type="dxa"/>
            <w:noWrap/>
            <w:vAlign w:val="bottom"/>
            <w:hideMark/>
          </w:tcPr>
          <w:p w14:paraId="3D0A4229" w14:textId="1A6C7595" w:rsidR="00F54DD2" w:rsidRPr="00DF0CE8" w:rsidRDefault="00F54DD2" w:rsidP="00786B84">
            <w:pPr>
              <w:jc w:val="right"/>
              <w:rPr>
                <w:color w:val="000000"/>
                <w:sz w:val="18"/>
                <w:szCs w:val="18"/>
              </w:rPr>
            </w:pPr>
            <w:r w:rsidRPr="00DF0CE8">
              <w:rPr>
                <w:color w:val="000000"/>
                <w:sz w:val="18"/>
                <w:szCs w:val="18"/>
              </w:rPr>
              <w:t>14</w:t>
            </w:r>
            <w:r w:rsidR="00C77F1E">
              <w:rPr>
                <w:color w:val="000000"/>
                <w:sz w:val="18"/>
                <w:szCs w:val="18"/>
              </w:rPr>
              <w:t xml:space="preserve"> </w:t>
            </w:r>
            <w:r w:rsidRPr="00DF0CE8">
              <w:rPr>
                <w:color w:val="000000"/>
                <w:sz w:val="18"/>
                <w:szCs w:val="18"/>
              </w:rPr>
              <w:t>979</w:t>
            </w:r>
          </w:p>
        </w:tc>
        <w:tc>
          <w:tcPr>
            <w:tcW w:w="900" w:type="dxa"/>
            <w:noWrap/>
            <w:vAlign w:val="bottom"/>
            <w:hideMark/>
          </w:tcPr>
          <w:p w14:paraId="4D99028C" w14:textId="487B9C71" w:rsidR="00F54DD2" w:rsidRPr="00DF0CE8" w:rsidRDefault="00F54DD2" w:rsidP="00786B84">
            <w:pPr>
              <w:jc w:val="right"/>
              <w:rPr>
                <w:color w:val="000000"/>
                <w:sz w:val="18"/>
                <w:szCs w:val="18"/>
              </w:rPr>
            </w:pPr>
            <w:r w:rsidRPr="00DF0CE8">
              <w:rPr>
                <w:color w:val="000000"/>
                <w:sz w:val="18"/>
                <w:szCs w:val="18"/>
              </w:rPr>
              <w:t>14</w:t>
            </w:r>
            <w:r w:rsidR="00C77F1E">
              <w:rPr>
                <w:color w:val="000000"/>
                <w:sz w:val="18"/>
                <w:szCs w:val="18"/>
              </w:rPr>
              <w:t xml:space="preserve"> </w:t>
            </w:r>
            <w:r w:rsidRPr="00DF0CE8">
              <w:rPr>
                <w:color w:val="000000"/>
                <w:sz w:val="18"/>
                <w:szCs w:val="18"/>
              </w:rPr>
              <w:t>580</w:t>
            </w:r>
          </w:p>
        </w:tc>
        <w:tc>
          <w:tcPr>
            <w:tcW w:w="900" w:type="dxa"/>
            <w:noWrap/>
            <w:vAlign w:val="bottom"/>
            <w:hideMark/>
          </w:tcPr>
          <w:p w14:paraId="0203A508" w14:textId="726E0387" w:rsidR="00F54DD2" w:rsidRPr="00DF0CE8" w:rsidRDefault="00F54DD2" w:rsidP="00786B84">
            <w:pPr>
              <w:jc w:val="right"/>
              <w:rPr>
                <w:color w:val="000000"/>
                <w:sz w:val="18"/>
                <w:szCs w:val="18"/>
              </w:rPr>
            </w:pPr>
            <w:r w:rsidRPr="00DF0CE8">
              <w:rPr>
                <w:color w:val="000000"/>
                <w:sz w:val="18"/>
                <w:szCs w:val="18"/>
              </w:rPr>
              <w:t>14</w:t>
            </w:r>
            <w:r w:rsidR="00C77F1E">
              <w:rPr>
                <w:color w:val="000000"/>
                <w:sz w:val="18"/>
                <w:szCs w:val="18"/>
              </w:rPr>
              <w:t xml:space="preserve"> </w:t>
            </w:r>
            <w:r w:rsidRPr="00DF0CE8">
              <w:rPr>
                <w:color w:val="000000"/>
                <w:sz w:val="18"/>
                <w:szCs w:val="18"/>
              </w:rPr>
              <w:t>369</w:t>
            </w:r>
          </w:p>
        </w:tc>
        <w:tc>
          <w:tcPr>
            <w:tcW w:w="400" w:type="dxa"/>
            <w:noWrap/>
            <w:vAlign w:val="bottom"/>
            <w:hideMark/>
          </w:tcPr>
          <w:p w14:paraId="60DED429" w14:textId="77777777" w:rsidR="00F54DD2" w:rsidRPr="00DF0CE8" w:rsidRDefault="00F54DD2" w:rsidP="00786B84">
            <w:pPr>
              <w:jc w:val="right"/>
              <w:rPr>
                <w:color w:val="000000"/>
                <w:sz w:val="18"/>
                <w:szCs w:val="18"/>
              </w:rPr>
            </w:pPr>
          </w:p>
        </w:tc>
        <w:tc>
          <w:tcPr>
            <w:tcW w:w="1130" w:type="dxa"/>
            <w:noWrap/>
            <w:vAlign w:val="bottom"/>
            <w:hideMark/>
          </w:tcPr>
          <w:p w14:paraId="5F7E01D6" w14:textId="3214D18D" w:rsidR="00F54DD2" w:rsidRPr="00DF0CE8" w:rsidRDefault="00F54DD2" w:rsidP="00786B84">
            <w:pPr>
              <w:jc w:val="right"/>
              <w:rPr>
                <w:color w:val="000000"/>
                <w:sz w:val="18"/>
                <w:szCs w:val="18"/>
              </w:rPr>
            </w:pPr>
            <w:r w:rsidRPr="00DF0CE8">
              <w:rPr>
                <w:color w:val="000000"/>
                <w:sz w:val="18"/>
                <w:szCs w:val="18"/>
              </w:rPr>
              <w:t>11</w:t>
            </w:r>
            <w:r w:rsidR="00C77F1E">
              <w:rPr>
                <w:color w:val="000000"/>
                <w:sz w:val="18"/>
                <w:szCs w:val="18"/>
              </w:rPr>
              <w:t xml:space="preserve"> </w:t>
            </w:r>
            <w:r w:rsidRPr="00DF0CE8">
              <w:rPr>
                <w:color w:val="000000"/>
                <w:sz w:val="18"/>
                <w:szCs w:val="18"/>
              </w:rPr>
              <w:t>869</w:t>
            </w:r>
          </w:p>
        </w:tc>
        <w:tc>
          <w:tcPr>
            <w:tcW w:w="400" w:type="dxa"/>
            <w:noWrap/>
            <w:vAlign w:val="bottom"/>
            <w:hideMark/>
          </w:tcPr>
          <w:p w14:paraId="00195087" w14:textId="77777777" w:rsidR="00F54DD2" w:rsidRPr="00DF0CE8" w:rsidRDefault="00F54DD2" w:rsidP="00786B84">
            <w:pPr>
              <w:jc w:val="right"/>
              <w:rPr>
                <w:color w:val="000000"/>
                <w:sz w:val="18"/>
                <w:szCs w:val="18"/>
              </w:rPr>
            </w:pPr>
          </w:p>
        </w:tc>
        <w:tc>
          <w:tcPr>
            <w:tcW w:w="1130" w:type="dxa"/>
            <w:noWrap/>
            <w:vAlign w:val="bottom"/>
            <w:hideMark/>
          </w:tcPr>
          <w:p w14:paraId="66330017" w14:textId="1D019C85" w:rsidR="00F54DD2" w:rsidRPr="00DF0CE8" w:rsidRDefault="00F54DD2" w:rsidP="00786B84">
            <w:pPr>
              <w:jc w:val="right"/>
              <w:rPr>
                <w:color w:val="000000"/>
                <w:sz w:val="18"/>
                <w:szCs w:val="18"/>
              </w:rPr>
            </w:pPr>
            <w:r w:rsidRPr="00DF0CE8">
              <w:rPr>
                <w:color w:val="000000"/>
                <w:sz w:val="18"/>
                <w:szCs w:val="18"/>
              </w:rPr>
              <w:t>4</w:t>
            </w:r>
            <w:r w:rsidR="00C77F1E">
              <w:rPr>
                <w:color w:val="000000"/>
                <w:sz w:val="18"/>
                <w:szCs w:val="18"/>
              </w:rPr>
              <w:t xml:space="preserve"> </w:t>
            </w:r>
            <w:r w:rsidRPr="00DF0CE8">
              <w:rPr>
                <w:color w:val="000000"/>
                <w:sz w:val="18"/>
                <w:szCs w:val="18"/>
              </w:rPr>
              <w:t>998</w:t>
            </w:r>
          </w:p>
        </w:tc>
      </w:tr>
    </w:tbl>
    <w:p w14:paraId="735529A9" w14:textId="46E7BDE9" w:rsidR="009707C5" w:rsidRPr="00016091" w:rsidRDefault="009707C5" w:rsidP="009707C5">
      <w:pPr>
        <w:pStyle w:val="BottomCaption"/>
      </w:pPr>
      <w:r w:rsidRPr="00016091">
        <w:t>Allikas</w:t>
      </w:r>
      <w:r w:rsidRPr="00CD7EE9">
        <w:t>:</w:t>
      </w:r>
      <w:r w:rsidRPr="00016091">
        <w:t xml:space="preserve"> EIS</w:t>
      </w:r>
      <w:r>
        <w:t xml:space="preserve"> </w:t>
      </w:r>
      <w:r w:rsidRPr="00016091">
        <w:t>/</w:t>
      </w:r>
      <w:r>
        <w:t xml:space="preserve"> Startup Estonia</w:t>
      </w:r>
    </w:p>
    <w:p w14:paraId="68A49BE5" w14:textId="36B8EF32" w:rsidR="009B225F" w:rsidRPr="00E14EBC" w:rsidRDefault="009B225F" w:rsidP="04DBD3F1">
      <w:pPr>
        <w:spacing w:before="160" w:after="0" w:line="257" w:lineRule="auto"/>
      </w:pPr>
    </w:p>
    <w:p w14:paraId="2A55885A" w14:textId="7C2C0B82" w:rsidR="009707C5" w:rsidRDefault="009707C5">
      <w:pPr>
        <w:spacing w:before="0" w:line="259" w:lineRule="auto"/>
      </w:pPr>
      <w:r>
        <w:br w:type="page"/>
      </w:r>
    </w:p>
    <w:p w14:paraId="61818F35" w14:textId="77777777" w:rsidR="00F72778" w:rsidRPr="00860BBB" w:rsidRDefault="00F72778" w:rsidP="00F72778">
      <w:pPr>
        <w:rPr>
          <w:sz w:val="20"/>
          <w:szCs w:val="20"/>
        </w:rPr>
      </w:pPr>
      <w:r w:rsidRPr="00E14EBC">
        <w:rPr>
          <w:noProof/>
        </w:rPr>
        <w:lastRenderedPageBreak/>
        <w:drawing>
          <wp:anchor distT="0" distB="0" distL="114300" distR="114300" simplePos="0" relativeHeight="251658246" behindDoc="1" locked="0" layoutInCell="1" allowOverlap="1" wp14:anchorId="3153EF7E" wp14:editId="7C179175">
            <wp:simplePos x="0" y="0"/>
            <wp:positionH relativeFrom="margin">
              <wp:align>right</wp:align>
            </wp:positionH>
            <wp:positionV relativeFrom="paragraph">
              <wp:posOffset>-2688590</wp:posOffset>
            </wp:positionV>
            <wp:extent cx="1806575" cy="466725"/>
            <wp:effectExtent l="0" t="0" r="3175" b="9525"/>
            <wp:wrapNone/>
            <wp:docPr id="1322892923" name="Pilt 1" descr="Pilt, millel on kujutatud Font, logo, tekst,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69664" name="Pilt 1" descr="Pilt, millel on kujutatud Font, logo, tekst, Graafika&#10;&#10;Kirjeldus on genereeritud automaatselt"/>
                    <pic:cNvPicPr/>
                  </pic:nvPicPr>
                  <pic:blipFill>
                    <a:blip r:embed="rId12"/>
                    <a:stretch>
                      <a:fillRect/>
                    </a:stretch>
                  </pic:blipFill>
                  <pic:spPr>
                    <a:xfrm>
                      <a:off x="0" y="0"/>
                      <a:ext cx="1806575" cy="466725"/>
                    </a:xfrm>
                    <a:prstGeom prst="rect">
                      <a:avLst/>
                    </a:prstGeom>
                  </pic:spPr>
                </pic:pic>
              </a:graphicData>
            </a:graphic>
          </wp:anchor>
        </w:drawing>
      </w:r>
      <w:r>
        <w:t xml:space="preserve"> </w:t>
      </w:r>
    </w:p>
    <w:p w14:paraId="75513EA3" w14:textId="070A2A06" w:rsidR="00F72778" w:rsidRDefault="00F72778" w:rsidP="00F72778">
      <w:pPr>
        <w:spacing w:line="259" w:lineRule="auto"/>
      </w:pPr>
    </w:p>
    <w:p w14:paraId="48DCDC90" w14:textId="77777777" w:rsidR="00F72778" w:rsidRPr="00E14EBC" w:rsidRDefault="00F72778" w:rsidP="00F72778">
      <w:pPr>
        <w:pStyle w:val="Caption"/>
      </w:pPr>
      <w:r>
        <w:t>Tabel 21: Lühiajalise üüri teenuse majutuskohtade (LÜT) maksimaalne arv ja tubade ning voodikohtade arv majutusettevõtetes (ME), 2023</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280"/>
        <w:gridCol w:w="222"/>
        <w:gridCol w:w="1280"/>
        <w:gridCol w:w="222"/>
        <w:gridCol w:w="1280"/>
        <w:gridCol w:w="222"/>
        <w:gridCol w:w="1360"/>
      </w:tblGrid>
      <w:tr w:rsidR="00F72778" w:rsidRPr="00B45F57" w14:paraId="124400CC" w14:textId="77777777" w:rsidTr="007964F1">
        <w:trPr>
          <w:trHeight w:val="300"/>
        </w:trPr>
        <w:tc>
          <w:tcPr>
            <w:tcW w:w="3840" w:type="dxa"/>
            <w:noWrap/>
            <w:vAlign w:val="bottom"/>
            <w:hideMark/>
          </w:tcPr>
          <w:p w14:paraId="5C066923" w14:textId="77777777" w:rsidR="00F72778" w:rsidRPr="00B0713D" w:rsidRDefault="00F72778" w:rsidP="00B0713D">
            <w:pPr>
              <w:spacing w:before="0" w:after="0" w:line="240" w:lineRule="auto"/>
              <w:rPr>
                <w:rFonts w:asciiTheme="minorBidi" w:hAnsiTheme="minorBidi"/>
                <w:sz w:val="18"/>
                <w:szCs w:val="18"/>
              </w:rPr>
            </w:pPr>
          </w:p>
        </w:tc>
        <w:tc>
          <w:tcPr>
            <w:tcW w:w="1280" w:type="dxa"/>
            <w:vAlign w:val="center"/>
            <w:hideMark/>
          </w:tcPr>
          <w:p w14:paraId="7CFC41F9" w14:textId="141FF67F" w:rsidR="00F72778" w:rsidRPr="00B0713D" w:rsidRDefault="00F72778" w:rsidP="00B0713D">
            <w:pPr>
              <w:spacing w:before="0" w:after="0" w:line="240" w:lineRule="auto"/>
              <w:jc w:val="center"/>
              <w:rPr>
                <w:rFonts w:asciiTheme="minorBidi" w:hAnsiTheme="minorBidi"/>
                <w:b/>
                <w:color w:val="000000"/>
                <w:sz w:val="18"/>
                <w:szCs w:val="18"/>
              </w:rPr>
            </w:pPr>
            <w:r w:rsidRPr="00B0713D">
              <w:rPr>
                <w:rFonts w:asciiTheme="minorBidi" w:hAnsiTheme="minorBidi"/>
                <w:b/>
                <w:color w:val="000000"/>
                <w:sz w:val="18"/>
                <w:szCs w:val="18"/>
              </w:rPr>
              <w:t>LÜT arv</w:t>
            </w:r>
            <w:r w:rsidR="00066B5F">
              <w:rPr>
                <w:rFonts w:asciiTheme="minorBidi" w:hAnsiTheme="minorBidi"/>
                <w:b/>
                <w:color w:val="000000"/>
                <w:sz w:val="18"/>
                <w:szCs w:val="18"/>
              </w:rPr>
              <w:t xml:space="preserve"> </w:t>
            </w:r>
            <w:r w:rsidRPr="00B0713D">
              <w:rPr>
                <w:rFonts w:asciiTheme="minorBidi" w:hAnsiTheme="minorBidi"/>
                <w:b/>
                <w:color w:val="000000"/>
                <w:sz w:val="18"/>
                <w:szCs w:val="18"/>
              </w:rPr>
              <w:t xml:space="preserve"> 2023 max</w:t>
            </w:r>
          </w:p>
        </w:tc>
        <w:tc>
          <w:tcPr>
            <w:tcW w:w="220" w:type="dxa"/>
            <w:noWrap/>
            <w:vAlign w:val="bottom"/>
            <w:hideMark/>
          </w:tcPr>
          <w:p w14:paraId="747BDAA0" w14:textId="77777777" w:rsidR="00F72778" w:rsidRPr="00B0713D" w:rsidRDefault="00F72778" w:rsidP="00B0713D">
            <w:pPr>
              <w:spacing w:before="0" w:after="0" w:line="240" w:lineRule="auto"/>
              <w:jc w:val="center"/>
              <w:rPr>
                <w:rFonts w:asciiTheme="minorBidi" w:hAnsiTheme="minorBidi"/>
                <w:b/>
                <w:color w:val="000000"/>
                <w:sz w:val="18"/>
                <w:szCs w:val="18"/>
              </w:rPr>
            </w:pPr>
          </w:p>
        </w:tc>
        <w:tc>
          <w:tcPr>
            <w:tcW w:w="1280" w:type="dxa"/>
            <w:vAlign w:val="center"/>
            <w:hideMark/>
          </w:tcPr>
          <w:p w14:paraId="4E7F1EFD" w14:textId="77777777" w:rsidR="00F72778" w:rsidRPr="00B0713D" w:rsidRDefault="00F72778" w:rsidP="00B0713D">
            <w:pPr>
              <w:spacing w:before="0" w:after="0" w:line="240" w:lineRule="auto"/>
              <w:jc w:val="center"/>
              <w:rPr>
                <w:rFonts w:asciiTheme="minorBidi" w:hAnsiTheme="minorBidi"/>
                <w:b/>
                <w:color w:val="000000"/>
                <w:sz w:val="18"/>
                <w:szCs w:val="18"/>
              </w:rPr>
            </w:pPr>
            <w:r w:rsidRPr="00B0713D">
              <w:rPr>
                <w:rFonts w:asciiTheme="minorBidi" w:hAnsiTheme="minorBidi"/>
                <w:b/>
                <w:color w:val="000000"/>
                <w:sz w:val="18"/>
                <w:szCs w:val="18"/>
              </w:rPr>
              <w:t>ME tubade arv 2023</w:t>
            </w:r>
          </w:p>
        </w:tc>
        <w:tc>
          <w:tcPr>
            <w:tcW w:w="200" w:type="dxa"/>
            <w:vAlign w:val="center"/>
            <w:hideMark/>
          </w:tcPr>
          <w:p w14:paraId="7DD4BB47" w14:textId="77777777" w:rsidR="00F72778" w:rsidRPr="00B0713D" w:rsidRDefault="00F72778" w:rsidP="00B0713D">
            <w:pPr>
              <w:spacing w:before="0" w:after="0" w:line="240" w:lineRule="auto"/>
              <w:jc w:val="center"/>
              <w:rPr>
                <w:rFonts w:asciiTheme="minorBidi" w:hAnsiTheme="minorBidi"/>
                <w:b/>
                <w:color w:val="000000"/>
                <w:sz w:val="18"/>
                <w:szCs w:val="18"/>
              </w:rPr>
            </w:pPr>
          </w:p>
        </w:tc>
        <w:tc>
          <w:tcPr>
            <w:tcW w:w="1280" w:type="dxa"/>
            <w:vAlign w:val="center"/>
            <w:hideMark/>
          </w:tcPr>
          <w:p w14:paraId="65219E28" w14:textId="77777777" w:rsidR="00F72778" w:rsidRPr="00C77F1E" w:rsidRDefault="4A7E2F16" w:rsidP="4A7E2F16">
            <w:pPr>
              <w:spacing w:before="0" w:after="0" w:line="240" w:lineRule="auto"/>
              <w:jc w:val="center"/>
              <w:rPr>
                <w:rFonts w:asciiTheme="minorBidi" w:hAnsiTheme="minorBidi"/>
                <w:b/>
                <w:sz w:val="18"/>
                <w:szCs w:val="18"/>
              </w:rPr>
            </w:pPr>
            <w:r w:rsidRPr="00C77F1E">
              <w:rPr>
                <w:rFonts w:asciiTheme="minorBidi" w:hAnsiTheme="minorBidi"/>
                <w:b/>
                <w:sz w:val="18"/>
                <w:szCs w:val="18"/>
              </w:rPr>
              <w:t>ME voodi-kohtade arv 2023</w:t>
            </w:r>
          </w:p>
        </w:tc>
        <w:tc>
          <w:tcPr>
            <w:tcW w:w="160" w:type="dxa"/>
            <w:vAlign w:val="center"/>
            <w:hideMark/>
          </w:tcPr>
          <w:p w14:paraId="55BD5F0A" w14:textId="77777777" w:rsidR="00F72778" w:rsidRPr="00B0713D" w:rsidRDefault="00F72778" w:rsidP="00B0713D">
            <w:pPr>
              <w:spacing w:before="0" w:after="0" w:line="240" w:lineRule="auto"/>
              <w:jc w:val="center"/>
              <w:rPr>
                <w:rFonts w:asciiTheme="minorBidi" w:hAnsiTheme="minorBidi"/>
                <w:b/>
                <w:color w:val="000000"/>
                <w:sz w:val="18"/>
                <w:szCs w:val="18"/>
              </w:rPr>
            </w:pPr>
          </w:p>
        </w:tc>
        <w:tc>
          <w:tcPr>
            <w:tcW w:w="1360" w:type="dxa"/>
            <w:shd w:val="clear" w:color="auto" w:fill="E5E5E5" w:themeFill="background2" w:themeFillShade="E6"/>
            <w:vAlign w:val="center"/>
            <w:hideMark/>
          </w:tcPr>
          <w:p w14:paraId="5CF3DBCC" w14:textId="435B99EA" w:rsidR="00F72778" w:rsidRPr="00B0713D" w:rsidRDefault="00F72778" w:rsidP="00B0713D">
            <w:pPr>
              <w:spacing w:before="0" w:after="0" w:line="240" w:lineRule="auto"/>
              <w:jc w:val="center"/>
              <w:rPr>
                <w:rFonts w:asciiTheme="minorBidi" w:hAnsiTheme="minorBidi"/>
                <w:b/>
                <w:color w:val="000000"/>
                <w:sz w:val="18"/>
                <w:szCs w:val="18"/>
              </w:rPr>
            </w:pPr>
            <w:r w:rsidRPr="00B0713D">
              <w:rPr>
                <w:rFonts w:asciiTheme="minorBidi" w:hAnsiTheme="minorBidi"/>
                <w:b/>
                <w:color w:val="000000"/>
                <w:sz w:val="18"/>
                <w:szCs w:val="18"/>
              </w:rPr>
              <w:t xml:space="preserve">2023 LÜT / ME tubade </w:t>
            </w:r>
          </w:p>
        </w:tc>
      </w:tr>
      <w:tr w:rsidR="00F72778" w:rsidRPr="00B45F57" w14:paraId="0DC5F83A" w14:textId="77777777" w:rsidTr="007964F1">
        <w:trPr>
          <w:trHeight w:val="300"/>
        </w:trPr>
        <w:tc>
          <w:tcPr>
            <w:tcW w:w="3840" w:type="dxa"/>
            <w:noWrap/>
            <w:vAlign w:val="center"/>
            <w:hideMark/>
          </w:tcPr>
          <w:p w14:paraId="55DF43DC"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Eesti</w:t>
            </w:r>
          </w:p>
        </w:tc>
        <w:tc>
          <w:tcPr>
            <w:tcW w:w="1280" w:type="dxa"/>
            <w:noWrap/>
            <w:vAlign w:val="center"/>
            <w:hideMark/>
          </w:tcPr>
          <w:p w14:paraId="713B4023" w14:textId="67ABDA0D"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9</w:t>
            </w:r>
            <w:r w:rsidR="00C77F1E">
              <w:rPr>
                <w:rFonts w:asciiTheme="minorBidi" w:hAnsiTheme="minorBidi"/>
                <w:color w:val="000000"/>
                <w:sz w:val="18"/>
                <w:szCs w:val="18"/>
              </w:rPr>
              <w:t xml:space="preserve"> </w:t>
            </w:r>
            <w:r w:rsidRPr="00B0713D">
              <w:rPr>
                <w:rFonts w:asciiTheme="minorBidi" w:hAnsiTheme="minorBidi"/>
                <w:color w:val="000000"/>
                <w:sz w:val="18"/>
                <w:szCs w:val="18"/>
              </w:rPr>
              <w:t>694</w:t>
            </w:r>
          </w:p>
        </w:tc>
        <w:tc>
          <w:tcPr>
            <w:tcW w:w="220" w:type="dxa"/>
            <w:noWrap/>
            <w:vAlign w:val="center"/>
            <w:hideMark/>
          </w:tcPr>
          <w:p w14:paraId="09186A2A"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08AD9305" w14:textId="0E48C4E0"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25</w:t>
            </w:r>
            <w:r w:rsidR="00C77F1E">
              <w:rPr>
                <w:rFonts w:asciiTheme="minorBidi" w:hAnsiTheme="minorBidi"/>
                <w:color w:val="000000"/>
                <w:sz w:val="18"/>
                <w:szCs w:val="18"/>
              </w:rPr>
              <w:t xml:space="preserve"> </w:t>
            </w:r>
            <w:r w:rsidRPr="00B0713D">
              <w:rPr>
                <w:rFonts w:asciiTheme="minorBidi" w:hAnsiTheme="minorBidi"/>
                <w:color w:val="000000"/>
                <w:sz w:val="18"/>
                <w:szCs w:val="18"/>
              </w:rPr>
              <w:t>326</w:t>
            </w:r>
          </w:p>
        </w:tc>
        <w:tc>
          <w:tcPr>
            <w:tcW w:w="200" w:type="dxa"/>
            <w:noWrap/>
            <w:vAlign w:val="center"/>
            <w:hideMark/>
          </w:tcPr>
          <w:p w14:paraId="05EDDE6B"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117A59CF" w14:textId="055FEF92"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61</w:t>
            </w:r>
            <w:r w:rsidR="00C77F1E" w:rsidRPr="00C77F1E">
              <w:rPr>
                <w:rFonts w:asciiTheme="minorBidi" w:hAnsiTheme="minorBidi"/>
                <w:sz w:val="18"/>
                <w:szCs w:val="18"/>
              </w:rPr>
              <w:t xml:space="preserve"> </w:t>
            </w:r>
            <w:r w:rsidRPr="00C77F1E">
              <w:rPr>
                <w:rFonts w:asciiTheme="minorBidi" w:hAnsiTheme="minorBidi"/>
                <w:sz w:val="18"/>
                <w:szCs w:val="18"/>
              </w:rPr>
              <w:t>904</w:t>
            </w:r>
          </w:p>
        </w:tc>
        <w:tc>
          <w:tcPr>
            <w:tcW w:w="160" w:type="dxa"/>
            <w:noWrap/>
            <w:vAlign w:val="center"/>
            <w:hideMark/>
          </w:tcPr>
          <w:p w14:paraId="1DD410C0"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6B935237"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38%</w:t>
            </w:r>
          </w:p>
        </w:tc>
      </w:tr>
      <w:tr w:rsidR="00F72778" w:rsidRPr="00B45F57" w14:paraId="41F36644" w14:textId="77777777" w:rsidTr="007964F1">
        <w:trPr>
          <w:trHeight w:val="300"/>
        </w:trPr>
        <w:tc>
          <w:tcPr>
            <w:tcW w:w="3840" w:type="dxa"/>
            <w:noWrap/>
            <w:vAlign w:val="center"/>
            <w:hideMark/>
          </w:tcPr>
          <w:p w14:paraId="7ED08070"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 </w:t>
            </w:r>
          </w:p>
        </w:tc>
        <w:tc>
          <w:tcPr>
            <w:tcW w:w="1280" w:type="dxa"/>
            <w:noWrap/>
            <w:vAlign w:val="center"/>
            <w:hideMark/>
          </w:tcPr>
          <w:p w14:paraId="1FDC51CF" w14:textId="77777777" w:rsidR="00F72778" w:rsidRPr="00B0713D" w:rsidRDefault="00F72778" w:rsidP="00B0713D">
            <w:pPr>
              <w:spacing w:before="0" w:after="0" w:line="240" w:lineRule="auto"/>
              <w:rPr>
                <w:rFonts w:asciiTheme="minorBidi" w:hAnsiTheme="minorBidi"/>
                <w:color w:val="000000"/>
                <w:sz w:val="18"/>
                <w:szCs w:val="18"/>
              </w:rPr>
            </w:pPr>
          </w:p>
        </w:tc>
        <w:tc>
          <w:tcPr>
            <w:tcW w:w="220" w:type="dxa"/>
            <w:noWrap/>
            <w:vAlign w:val="center"/>
            <w:hideMark/>
          </w:tcPr>
          <w:p w14:paraId="623B3542" w14:textId="77777777" w:rsidR="00F72778" w:rsidRPr="00B0713D" w:rsidRDefault="00F72778" w:rsidP="00B0713D">
            <w:pPr>
              <w:spacing w:before="0" w:after="0" w:line="240" w:lineRule="auto"/>
              <w:rPr>
                <w:rFonts w:asciiTheme="minorBidi" w:hAnsiTheme="minorBidi"/>
                <w:sz w:val="18"/>
                <w:szCs w:val="18"/>
              </w:rPr>
            </w:pPr>
          </w:p>
        </w:tc>
        <w:tc>
          <w:tcPr>
            <w:tcW w:w="1280" w:type="dxa"/>
            <w:noWrap/>
            <w:vAlign w:val="center"/>
            <w:hideMark/>
          </w:tcPr>
          <w:p w14:paraId="1477149F" w14:textId="77777777" w:rsidR="00F72778" w:rsidRPr="00B0713D" w:rsidRDefault="00F72778" w:rsidP="00B0713D">
            <w:pPr>
              <w:spacing w:before="0" w:after="0" w:line="240" w:lineRule="auto"/>
              <w:rPr>
                <w:rFonts w:asciiTheme="minorBidi" w:hAnsiTheme="minorBidi"/>
                <w:sz w:val="18"/>
                <w:szCs w:val="18"/>
              </w:rPr>
            </w:pPr>
          </w:p>
        </w:tc>
        <w:tc>
          <w:tcPr>
            <w:tcW w:w="200" w:type="dxa"/>
            <w:noWrap/>
            <w:vAlign w:val="center"/>
            <w:hideMark/>
          </w:tcPr>
          <w:p w14:paraId="375EE3F7" w14:textId="77777777" w:rsidR="00F72778" w:rsidRPr="00B0713D" w:rsidRDefault="00F72778" w:rsidP="00B0713D">
            <w:pPr>
              <w:spacing w:before="0" w:after="0" w:line="240" w:lineRule="auto"/>
              <w:rPr>
                <w:rFonts w:asciiTheme="minorBidi" w:hAnsiTheme="minorBidi"/>
                <w:sz w:val="18"/>
                <w:szCs w:val="18"/>
              </w:rPr>
            </w:pPr>
          </w:p>
        </w:tc>
        <w:tc>
          <w:tcPr>
            <w:tcW w:w="1280" w:type="dxa"/>
            <w:noWrap/>
            <w:vAlign w:val="center"/>
            <w:hideMark/>
          </w:tcPr>
          <w:p w14:paraId="4E5C4A27" w14:textId="77777777" w:rsidR="00F72778" w:rsidRPr="00C77F1E" w:rsidRDefault="00F72778" w:rsidP="4A7E2F16">
            <w:pPr>
              <w:spacing w:before="0" w:after="0" w:line="240" w:lineRule="auto"/>
              <w:rPr>
                <w:rFonts w:asciiTheme="minorBidi" w:hAnsiTheme="minorBidi"/>
                <w:sz w:val="18"/>
                <w:szCs w:val="18"/>
              </w:rPr>
            </w:pPr>
          </w:p>
        </w:tc>
        <w:tc>
          <w:tcPr>
            <w:tcW w:w="160" w:type="dxa"/>
            <w:noWrap/>
            <w:vAlign w:val="center"/>
            <w:hideMark/>
          </w:tcPr>
          <w:p w14:paraId="4595A8B0" w14:textId="77777777" w:rsidR="00F72778" w:rsidRPr="00B0713D" w:rsidRDefault="00F72778" w:rsidP="00B0713D">
            <w:pPr>
              <w:spacing w:before="0" w:after="0" w:line="240" w:lineRule="auto"/>
              <w:rPr>
                <w:rFonts w:asciiTheme="minorBidi" w:hAnsiTheme="minorBidi"/>
                <w:sz w:val="18"/>
                <w:szCs w:val="18"/>
              </w:rPr>
            </w:pPr>
          </w:p>
        </w:tc>
        <w:tc>
          <w:tcPr>
            <w:tcW w:w="1360" w:type="dxa"/>
            <w:shd w:val="clear" w:color="auto" w:fill="E5E5E5" w:themeFill="background2" w:themeFillShade="E6"/>
            <w:noWrap/>
            <w:vAlign w:val="center"/>
            <w:hideMark/>
          </w:tcPr>
          <w:p w14:paraId="19753EB5" w14:textId="77777777" w:rsidR="00F72778" w:rsidRPr="00B0713D" w:rsidRDefault="00F72778" w:rsidP="00413022">
            <w:pPr>
              <w:spacing w:before="0" w:after="0" w:line="240" w:lineRule="auto"/>
              <w:jc w:val="right"/>
              <w:rPr>
                <w:rFonts w:asciiTheme="minorBidi" w:hAnsiTheme="minorBidi"/>
                <w:sz w:val="18"/>
                <w:szCs w:val="18"/>
              </w:rPr>
            </w:pPr>
          </w:p>
        </w:tc>
      </w:tr>
      <w:tr w:rsidR="00F72778" w:rsidRPr="00B45F57" w14:paraId="222CD8E9" w14:textId="77777777" w:rsidTr="007964F1">
        <w:trPr>
          <w:trHeight w:val="300"/>
        </w:trPr>
        <w:tc>
          <w:tcPr>
            <w:tcW w:w="3840" w:type="dxa"/>
            <w:noWrap/>
            <w:vAlign w:val="center"/>
            <w:hideMark/>
          </w:tcPr>
          <w:p w14:paraId="31A7279B"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Harju maakond</w:t>
            </w:r>
          </w:p>
        </w:tc>
        <w:tc>
          <w:tcPr>
            <w:tcW w:w="1280" w:type="dxa"/>
            <w:noWrap/>
            <w:vAlign w:val="center"/>
            <w:hideMark/>
          </w:tcPr>
          <w:p w14:paraId="74A7242C" w14:textId="7309C02B"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3</w:t>
            </w:r>
            <w:r w:rsidR="00C77F1E">
              <w:rPr>
                <w:rFonts w:asciiTheme="minorBidi" w:hAnsiTheme="minorBidi"/>
                <w:color w:val="000000"/>
                <w:sz w:val="18"/>
                <w:szCs w:val="18"/>
              </w:rPr>
              <w:t xml:space="preserve"> </w:t>
            </w:r>
            <w:r w:rsidRPr="00B0713D">
              <w:rPr>
                <w:rFonts w:asciiTheme="minorBidi" w:hAnsiTheme="minorBidi"/>
                <w:color w:val="000000"/>
                <w:sz w:val="18"/>
                <w:szCs w:val="18"/>
              </w:rPr>
              <w:t>341</w:t>
            </w:r>
          </w:p>
        </w:tc>
        <w:tc>
          <w:tcPr>
            <w:tcW w:w="220" w:type="dxa"/>
            <w:noWrap/>
            <w:vAlign w:val="center"/>
            <w:hideMark/>
          </w:tcPr>
          <w:p w14:paraId="4B239509"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2F194739" w14:textId="18A9A5FE"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10</w:t>
            </w:r>
            <w:r w:rsidR="00C77F1E">
              <w:rPr>
                <w:rFonts w:asciiTheme="minorBidi" w:hAnsiTheme="minorBidi"/>
                <w:color w:val="000000"/>
                <w:sz w:val="18"/>
                <w:szCs w:val="18"/>
              </w:rPr>
              <w:t xml:space="preserve"> </w:t>
            </w:r>
            <w:r w:rsidRPr="00B0713D">
              <w:rPr>
                <w:rFonts w:asciiTheme="minorBidi" w:hAnsiTheme="minorBidi"/>
                <w:color w:val="000000"/>
                <w:sz w:val="18"/>
                <w:szCs w:val="18"/>
              </w:rPr>
              <w:t>593</w:t>
            </w:r>
          </w:p>
        </w:tc>
        <w:tc>
          <w:tcPr>
            <w:tcW w:w="200" w:type="dxa"/>
            <w:noWrap/>
            <w:vAlign w:val="center"/>
            <w:hideMark/>
          </w:tcPr>
          <w:p w14:paraId="77CE1E16"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39651DAA" w14:textId="3DA10F23"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23</w:t>
            </w:r>
            <w:r w:rsidR="00C77F1E" w:rsidRPr="00C77F1E">
              <w:rPr>
                <w:rFonts w:asciiTheme="minorBidi" w:hAnsiTheme="minorBidi"/>
                <w:sz w:val="18"/>
                <w:szCs w:val="18"/>
              </w:rPr>
              <w:t xml:space="preserve"> </w:t>
            </w:r>
            <w:r w:rsidRPr="00C77F1E">
              <w:rPr>
                <w:rFonts w:asciiTheme="minorBidi" w:hAnsiTheme="minorBidi"/>
                <w:sz w:val="18"/>
                <w:szCs w:val="18"/>
              </w:rPr>
              <w:t>303</w:t>
            </w:r>
          </w:p>
        </w:tc>
        <w:tc>
          <w:tcPr>
            <w:tcW w:w="160" w:type="dxa"/>
            <w:noWrap/>
            <w:vAlign w:val="center"/>
            <w:hideMark/>
          </w:tcPr>
          <w:p w14:paraId="772FDD58"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024B69F7"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32%</w:t>
            </w:r>
          </w:p>
        </w:tc>
      </w:tr>
      <w:tr w:rsidR="00F72778" w:rsidRPr="00B45F57" w14:paraId="53133BC4" w14:textId="77777777" w:rsidTr="007964F1">
        <w:trPr>
          <w:trHeight w:val="300"/>
        </w:trPr>
        <w:tc>
          <w:tcPr>
            <w:tcW w:w="3840" w:type="dxa"/>
            <w:noWrap/>
            <w:vAlign w:val="center"/>
            <w:hideMark/>
          </w:tcPr>
          <w:p w14:paraId="2D8A349F"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Pärnu maakond</w:t>
            </w:r>
          </w:p>
        </w:tc>
        <w:tc>
          <w:tcPr>
            <w:tcW w:w="1280" w:type="dxa"/>
            <w:noWrap/>
            <w:vAlign w:val="center"/>
            <w:hideMark/>
          </w:tcPr>
          <w:p w14:paraId="2A11774D" w14:textId="1B8D869E"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1</w:t>
            </w:r>
            <w:r w:rsidR="00C77F1E">
              <w:rPr>
                <w:rFonts w:asciiTheme="minorBidi" w:hAnsiTheme="minorBidi"/>
                <w:color w:val="000000"/>
                <w:sz w:val="18"/>
                <w:szCs w:val="18"/>
              </w:rPr>
              <w:t xml:space="preserve"> </w:t>
            </w:r>
            <w:r w:rsidRPr="00B0713D">
              <w:rPr>
                <w:rFonts w:asciiTheme="minorBidi" w:hAnsiTheme="minorBidi"/>
                <w:color w:val="000000"/>
                <w:sz w:val="18"/>
                <w:szCs w:val="18"/>
              </w:rPr>
              <w:t>762</w:t>
            </w:r>
          </w:p>
        </w:tc>
        <w:tc>
          <w:tcPr>
            <w:tcW w:w="220" w:type="dxa"/>
            <w:noWrap/>
            <w:vAlign w:val="center"/>
            <w:hideMark/>
          </w:tcPr>
          <w:p w14:paraId="7B1AA002"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4779612A" w14:textId="75301EDD"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3</w:t>
            </w:r>
            <w:r w:rsidR="00C77F1E">
              <w:rPr>
                <w:rFonts w:asciiTheme="minorBidi" w:hAnsiTheme="minorBidi"/>
                <w:color w:val="000000"/>
                <w:sz w:val="18"/>
                <w:szCs w:val="18"/>
              </w:rPr>
              <w:t xml:space="preserve"> </w:t>
            </w:r>
            <w:r w:rsidRPr="00B0713D">
              <w:rPr>
                <w:rFonts w:asciiTheme="minorBidi" w:hAnsiTheme="minorBidi"/>
                <w:color w:val="000000"/>
                <w:sz w:val="18"/>
                <w:szCs w:val="18"/>
              </w:rPr>
              <w:t>354</w:t>
            </w:r>
          </w:p>
        </w:tc>
        <w:tc>
          <w:tcPr>
            <w:tcW w:w="200" w:type="dxa"/>
            <w:noWrap/>
            <w:vAlign w:val="center"/>
            <w:hideMark/>
          </w:tcPr>
          <w:p w14:paraId="16916C97"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63FF98A5" w14:textId="3D3C6CDA"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8</w:t>
            </w:r>
            <w:r w:rsidR="00C77F1E" w:rsidRPr="00C77F1E">
              <w:rPr>
                <w:rFonts w:asciiTheme="minorBidi" w:hAnsiTheme="minorBidi"/>
                <w:sz w:val="18"/>
                <w:szCs w:val="18"/>
              </w:rPr>
              <w:t xml:space="preserve"> </w:t>
            </w:r>
            <w:r w:rsidRPr="00C77F1E">
              <w:rPr>
                <w:rFonts w:asciiTheme="minorBidi" w:hAnsiTheme="minorBidi"/>
                <w:sz w:val="18"/>
                <w:szCs w:val="18"/>
              </w:rPr>
              <w:t>892</w:t>
            </w:r>
          </w:p>
        </w:tc>
        <w:tc>
          <w:tcPr>
            <w:tcW w:w="160" w:type="dxa"/>
            <w:noWrap/>
            <w:vAlign w:val="center"/>
            <w:hideMark/>
          </w:tcPr>
          <w:p w14:paraId="5F8FF032"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2FFE8A7A" w14:textId="77777777" w:rsidR="00F72778" w:rsidRPr="002F7147" w:rsidRDefault="4A7E2F16" w:rsidP="4A7E2F16">
            <w:pPr>
              <w:spacing w:before="0" w:after="0" w:line="240" w:lineRule="auto"/>
              <w:jc w:val="right"/>
              <w:rPr>
                <w:rFonts w:asciiTheme="minorBidi" w:hAnsiTheme="minorBidi"/>
                <w:color w:val="82009B" w:themeColor="accent6"/>
                <w:sz w:val="18"/>
                <w:szCs w:val="18"/>
              </w:rPr>
            </w:pPr>
            <w:r w:rsidRPr="002F7147">
              <w:rPr>
                <w:rFonts w:asciiTheme="minorBidi" w:hAnsiTheme="minorBidi"/>
                <w:color w:val="82009B" w:themeColor="accent6"/>
                <w:sz w:val="18"/>
                <w:szCs w:val="18"/>
              </w:rPr>
              <w:t>53%</w:t>
            </w:r>
          </w:p>
        </w:tc>
      </w:tr>
      <w:tr w:rsidR="00F72778" w:rsidRPr="00B45F57" w14:paraId="1A9EE958" w14:textId="77777777" w:rsidTr="007964F1">
        <w:trPr>
          <w:trHeight w:val="300"/>
        </w:trPr>
        <w:tc>
          <w:tcPr>
            <w:tcW w:w="3840" w:type="dxa"/>
            <w:noWrap/>
            <w:vAlign w:val="center"/>
            <w:hideMark/>
          </w:tcPr>
          <w:p w14:paraId="23E8B90E"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Tartu maakond</w:t>
            </w:r>
          </w:p>
        </w:tc>
        <w:tc>
          <w:tcPr>
            <w:tcW w:w="1280" w:type="dxa"/>
            <w:noWrap/>
            <w:vAlign w:val="center"/>
            <w:hideMark/>
          </w:tcPr>
          <w:p w14:paraId="32100250"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942</w:t>
            </w:r>
          </w:p>
        </w:tc>
        <w:tc>
          <w:tcPr>
            <w:tcW w:w="220" w:type="dxa"/>
            <w:noWrap/>
            <w:vAlign w:val="center"/>
            <w:hideMark/>
          </w:tcPr>
          <w:p w14:paraId="2B3581B1"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3EBD39D8" w14:textId="7F267796"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1</w:t>
            </w:r>
            <w:r w:rsidR="00C77F1E">
              <w:rPr>
                <w:rFonts w:asciiTheme="minorBidi" w:hAnsiTheme="minorBidi"/>
                <w:color w:val="000000"/>
                <w:sz w:val="18"/>
                <w:szCs w:val="18"/>
              </w:rPr>
              <w:t xml:space="preserve"> </w:t>
            </w:r>
            <w:r w:rsidRPr="00B0713D">
              <w:rPr>
                <w:rFonts w:asciiTheme="minorBidi" w:hAnsiTheme="minorBidi"/>
                <w:color w:val="000000"/>
                <w:sz w:val="18"/>
                <w:szCs w:val="18"/>
              </w:rPr>
              <w:t>615</w:t>
            </w:r>
          </w:p>
        </w:tc>
        <w:tc>
          <w:tcPr>
            <w:tcW w:w="200" w:type="dxa"/>
            <w:noWrap/>
            <w:vAlign w:val="center"/>
            <w:hideMark/>
          </w:tcPr>
          <w:p w14:paraId="7C60E570"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2C4EEEF4" w14:textId="3F21203E"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3</w:t>
            </w:r>
            <w:r w:rsidR="00C77F1E" w:rsidRPr="00C77F1E">
              <w:rPr>
                <w:rFonts w:asciiTheme="minorBidi" w:hAnsiTheme="minorBidi"/>
                <w:sz w:val="18"/>
                <w:szCs w:val="18"/>
              </w:rPr>
              <w:t xml:space="preserve"> </w:t>
            </w:r>
            <w:r w:rsidRPr="00C77F1E">
              <w:rPr>
                <w:rFonts w:asciiTheme="minorBidi" w:hAnsiTheme="minorBidi"/>
                <w:sz w:val="18"/>
                <w:szCs w:val="18"/>
              </w:rPr>
              <w:t>853</w:t>
            </w:r>
          </w:p>
        </w:tc>
        <w:tc>
          <w:tcPr>
            <w:tcW w:w="160" w:type="dxa"/>
            <w:noWrap/>
            <w:vAlign w:val="center"/>
            <w:hideMark/>
          </w:tcPr>
          <w:p w14:paraId="6B31C474"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6F4A90B9" w14:textId="77777777" w:rsidR="00F72778" w:rsidRPr="002F7147" w:rsidRDefault="4A7E2F16" w:rsidP="4A7E2F16">
            <w:pPr>
              <w:spacing w:before="0" w:after="0" w:line="240" w:lineRule="auto"/>
              <w:jc w:val="right"/>
              <w:rPr>
                <w:rFonts w:asciiTheme="minorBidi" w:hAnsiTheme="minorBidi"/>
                <w:color w:val="82009B" w:themeColor="accent6"/>
                <w:sz w:val="18"/>
                <w:szCs w:val="18"/>
              </w:rPr>
            </w:pPr>
            <w:r w:rsidRPr="002F7147">
              <w:rPr>
                <w:rFonts w:asciiTheme="minorBidi" w:hAnsiTheme="minorBidi"/>
                <w:color w:val="82009B" w:themeColor="accent6"/>
                <w:sz w:val="18"/>
                <w:szCs w:val="18"/>
              </w:rPr>
              <w:t>58%</w:t>
            </w:r>
          </w:p>
        </w:tc>
      </w:tr>
      <w:tr w:rsidR="00F72778" w:rsidRPr="00B45F57" w14:paraId="7F979889" w14:textId="77777777" w:rsidTr="007964F1">
        <w:trPr>
          <w:trHeight w:val="300"/>
        </w:trPr>
        <w:tc>
          <w:tcPr>
            <w:tcW w:w="3840" w:type="dxa"/>
            <w:noWrap/>
            <w:vAlign w:val="center"/>
            <w:hideMark/>
          </w:tcPr>
          <w:p w14:paraId="5D6A8A3E"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Saare maakond</w:t>
            </w:r>
          </w:p>
        </w:tc>
        <w:tc>
          <w:tcPr>
            <w:tcW w:w="1280" w:type="dxa"/>
            <w:noWrap/>
            <w:vAlign w:val="center"/>
            <w:hideMark/>
          </w:tcPr>
          <w:p w14:paraId="5B464BFB"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889</w:t>
            </w:r>
          </w:p>
        </w:tc>
        <w:tc>
          <w:tcPr>
            <w:tcW w:w="220" w:type="dxa"/>
            <w:noWrap/>
            <w:vAlign w:val="center"/>
            <w:hideMark/>
          </w:tcPr>
          <w:p w14:paraId="32DDC5C2"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00F87AB3" w14:textId="1FA1BDAA"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1</w:t>
            </w:r>
            <w:r w:rsidR="00C77F1E">
              <w:rPr>
                <w:rFonts w:asciiTheme="minorBidi" w:hAnsiTheme="minorBidi"/>
                <w:color w:val="000000"/>
                <w:sz w:val="18"/>
                <w:szCs w:val="18"/>
              </w:rPr>
              <w:t xml:space="preserve"> </w:t>
            </w:r>
            <w:r w:rsidRPr="00B0713D">
              <w:rPr>
                <w:rFonts w:asciiTheme="minorBidi" w:hAnsiTheme="minorBidi"/>
                <w:color w:val="000000"/>
                <w:sz w:val="18"/>
                <w:szCs w:val="18"/>
              </w:rPr>
              <w:t>967</w:t>
            </w:r>
          </w:p>
        </w:tc>
        <w:tc>
          <w:tcPr>
            <w:tcW w:w="200" w:type="dxa"/>
            <w:noWrap/>
            <w:vAlign w:val="center"/>
            <w:hideMark/>
          </w:tcPr>
          <w:p w14:paraId="5787C29F"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0E42444E" w14:textId="64620AE1"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5</w:t>
            </w:r>
            <w:r w:rsidR="00C77F1E" w:rsidRPr="00C77F1E">
              <w:rPr>
                <w:rFonts w:asciiTheme="minorBidi" w:hAnsiTheme="minorBidi"/>
                <w:sz w:val="18"/>
                <w:szCs w:val="18"/>
              </w:rPr>
              <w:t xml:space="preserve"> </w:t>
            </w:r>
            <w:r w:rsidRPr="00C77F1E">
              <w:rPr>
                <w:rFonts w:asciiTheme="minorBidi" w:hAnsiTheme="minorBidi"/>
                <w:sz w:val="18"/>
                <w:szCs w:val="18"/>
              </w:rPr>
              <w:t>102</w:t>
            </w:r>
          </w:p>
        </w:tc>
        <w:tc>
          <w:tcPr>
            <w:tcW w:w="160" w:type="dxa"/>
            <w:noWrap/>
            <w:vAlign w:val="center"/>
            <w:hideMark/>
          </w:tcPr>
          <w:p w14:paraId="1F430A8D"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69F88F1F"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45%</w:t>
            </w:r>
          </w:p>
        </w:tc>
      </w:tr>
      <w:tr w:rsidR="00F72778" w:rsidRPr="00B45F57" w14:paraId="156DEB3F" w14:textId="77777777" w:rsidTr="007964F1">
        <w:trPr>
          <w:trHeight w:val="300"/>
        </w:trPr>
        <w:tc>
          <w:tcPr>
            <w:tcW w:w="3840" w:type="dxa"/>
            <w:noWrap/>
            <w:vAlign w:val="center"/>
            <w:hideMark/>
          </w:tcPr>
          <w:p w14:paraId="75C3BEC5"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Lääne maakond</w:t>
            </w:r>
          </w:p>
        </w:tc>
        <w:tc>
          <w:tcPr>
            <w:tcW w:w="1280" w:type="dxa"/>
            <w:noWrap/>
            <w:vAlign w:val="center"/>
            <w:hideMark/>
          </w:tcPr>
          <w:p w14:paraId="717A8745"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571</w:t>
            </w:r>
          </w:p>
        </w:tc>
        <w:tc>
          <w:tcPr>
            <w:tcW w:w="220" w:type="dxa"/>
            <w:noWrap/>
            <w:vAlign w:val="center"/>
            <w:hideMark/>
          </w:tcPr>
          <w:p w14:paraId="04A45E14"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30B9CA0F"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916</w:t>
            </w:r>
          </w:p>
        </w:tc>
        <w:tc>
          <w:tcPr>
            <w:tcW w:w="200" w:type="dxa"/>
            <w:noWrap/>
            <w:vAlign w:val="center"/>
            <w:hideMark/>
          </w:tcPr>
          <w:p w14:paraId="62895C0B"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4A9CED7C" w14:textId="11C38ED5"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2</w:t>
            </w:r>
            <w:r w:rsidR="00C77F1E" w:rsidRPr="00C77F1E">
              <w:rPr>
                <w:rFonts w:asciiTheme="minorBidi" w:hAnsiTheme="minorBidi"/>
                <w:sz w:val="18"/>
                <w:szCs w:val="18"/>
              </w:rPr>
              <w:t xml:space="preserve"> </w:t>
            </w:r>
            <w:r w:rsidRPr="00C77F1E">
              <w:rPr>
                <w:rFonts w:asciiTheme="minorBidi" w:hAnsiTheme="minorBidi"/>
                <w:sz w:val="18"/>
                <w:szCs w:val="18"/>
              </w:rPr>
              <w:t>274</w:t>
            </w:r>
          </w:p>
        </w:tc>
        <w:tc>
          <w:tcPr>
            <w:tcW w:w="160" w:type="dxa"/>
            <w:noWrap/>
            <w:vAlign w:val="center"/>
            <w:hideMark/>
          </w:tcPr>
          <w:p w14:paraId="014F7F93"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61DDCF7D" w14:textId="77777777" w:rsidR="00F72778" w:rsidRPr="00B0713D" w:rsidRDefault="4A7E2F16" w:rsidP="4A7E2F16">
            <w:pPr>
              <w:spacing w:before="0" w:after="0" w:line="240" w:lineRule="auto"/>
              <w:jc w:val="right"/>
              <w:rPr>
                <w:rFonts w:asciiTheme="minorBidi" w:hAnsiTheme="minorBidi"/>
                <w:color w:val="FF0000"/>
                <w:sz w:val="18"/>
                <w:szCs w:val="18"/>
              </w:rPr>
            </w:pPr>
            <w:r w:rsidRPr="002F7147">
              <w:rPr>
                <w:rFonts w:asciiTheme="minorBidi" w:hAnsiTheme="minorBidi"/>
                <w:color w:val="82009B" w:themeColor="accent6"/>
                <w:sz w:val="18"/>
                <w:szCs w:val="18"/>
              </w:rPr>
              <w:t>62%</w:t>
            </w:r>
          </w:p>
        </w:tc>
      </w:tr>
      <w:tr w:rsidR="00F72778" w:rsidRPr="00B45F57" w14:paraId="1CEC48D1" w14:textId="77777777" w:rsidTr="007964F1">
        <w:trPr>
          <w:trHeight w:val="300"/>
        </w:trPr>
        <w:tc>
          <w:tcPr>
            <w:tcW w:w="3840" w:type="dxa"/>
            <w:noWrap/>
            <w:vAlign w:val="center"/>
            <w:hideMark/>
          </w:tcPr>
          <w:p w14:paraId="34E67FFE"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Ida-Viru maakond</w:t>
            </w:r>
          </w:p>
        </w:tc>
        <w:tc>
          <w:tcPr>
            <w:tcW w:w="1280" w:type="dxa"/>
            <w:noWrap/>
            <w:vAlign w:val="center"/>
            <w:hideMark/>
          </w:tcPr>
          <w:p w14:paraId="09C8FE48"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420</w:t>
            </w:r>
          </w:p>
        </w:tc>
        <w:tc>
          <w:tcPr>
            <w:tcW w:w="220" w:type="dxa"/>
            <w:noWrap/>
            <w:vAlign w:val="center"/>
            <w:hideMark/>
          </w:tcPr>
          <w:p w14:paraId="7ECFBCCF"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028B5B4C" w14:textId="5D0C94AE"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1</w:t>
            </w:r>
            <w:r w:rsidR="00C77F1E">
              <w:rPr>
                <w:rFonts w:asciiTheme="minorBidi" w:hAnsiTheme="minorBidi"/>
                <w:color w:val="000000"/>
                <w:sz w:val="18"/>
                <w:szCs w:val="18"/>
              </w:rPr>
              <w:t xml:space="preserve"> </w:t>
            </w:r>
            <w:r w:rsidRPr="00B0713D">
              <w:rPr>
                <w:rFonts w:asciiTheme="minorBidi" w:hAnsiTheme="minorBidi"/>
                <w:color w:val="000000"/>
                <w:sz w:val="18"/>
                <w:szCs w:val="18"/>
              </w:rPr>
              <w:t>547</w:t>
            </w:r>
          </w:p>
        </w:tc>
        <w:tc>
          <w:tcPr>
            <w:tcW w:w="200" w:type="dxa"/>
            <w:noWrap/>
            <w:vAlign w:val="center"/>
            <w:hideMark/>
          </w:tcPr>
          <w:p w14:paraId="373A1D18"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4B7AFB2F" w14:textId="0470C6CB"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3</w:t>
            </w:r>
            <w:r w:rsidR="00C77F1E" w:rsidRPr="00C77F1E">
              <w:rPr>
                <w:rFonts w:asciiTheme="minorBidi" w:hAnsiTheme="minorBidi"/>
                <w:sz w:val="18"/>
                <w:szCs w:val="18"/>
              </w:rPr>
              <w:t xml:space="preserve"> </w:t>
            </w:r>
            <w:r w:rsidRPr="00C77F1E">
              <w:rPr>
                <w:rFonts w:asciiTheme="minorBidi" w:hAnsiTheme="minorBidi"/>
                <w:sz w:val="18"/>
                <w:szCs w:val="18"/>
              </w:rPr>
              <w:t>850</w:t>
            </w:r>
          </w:p>
        </w:tc>
        <w:tc>
          <w:tcPr>
            <w:tcW w:w="160" w:type="dxa"/>
            <w:noWrap/>
            <w:vAlign w:val="center"/>
            <w:hideMark/>
          </w:tcPr>
          <w:p w14:paraId="48032645"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3BE009FF"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27%</w:t>
            </w:r>
          </w:p>
        </w:tc>
      </w:tr>
      <w:tr w:rsidR="00F72778" w:rsidRPr="00B45F57" w14:paraId="65E884E6" w14:textId="77777777" w:rsidTr="007964F1">
        <w:trPr>
          <w:trHeight w:val="300"/>
        </w:trPr>
        <w:tc>
          <w:tcPr>
            <w:tcW w:w="3840" w:type="dxa"/>
            <w:noWrap/>
            <w:vAlign w:val="center"/>
            <w:hideMark/>
          </w:tcPr>
          <w:p w14:paraId="2FB230D9"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Hiiu maakond</w:t>
            </w:r>
          </w:p>
        </w:tc>
        <w:tc>
          <w:tcPr>
            <w:tcW w:w="1280" w:type="dxa"/>
            <w:noWrap/>
            <w:vAlign w:val="center"/>
            <w:hideMark/>
          </w:tcPr>
          <w:p w14:paraId="6208D424"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331</w:t>
            </w:r>
          </w:p>
        </w:tc>
        <w:tc>
          <w:tcPr>
            <w:tcW w:w="220" w:type="dxa"/>
            <w:noWrap/>
            <w:vAlign w:val="center"/>
            <w:hideMark/>
          </w:tcPr>
          <w:p w14:paraId="07BF44B8"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4FBBFFF0"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436</w:t>
            </w:r>
          </w:p>
        </w:tc>
        <w:tc>
          <w:tcPr>
            <w:tcW w:w="200" w:type="dxa"/>
            <w:noWrap/>
            <w:vAlign w:val="center"/>
            <w:hideMark/>
          </w:tcPr>
          <w:p w14:paraId="7A5683C2"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6409A70E" w14:textId="5A1B897B"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1</w:t>
            </w:r>
            <w:r w:rsidR="00C77F1E" w:rsidRPr="00C77F1E">
              <w:rPr>
                <w:rFonts w:asciiTheme="minorBidi" w:hAnsiTheme="minorBidi"/>
                <w:sz w:val="18"/>
                <w:szCs w:val="18"/>
              </w:rPr>
              <w:t xml:space="preserve"> </w:t>
            </w:r>
            <w:r w:rsidRPr="00C77F1E">
              <w:rPr>
                <w:rFonts w:asciiTheme="minorBidi" w:hAnsiTheme="minorBidi"/>
                <w:sz w:val="18"/>
                <w:szCs w:val="18"/>
              </w:rPr>
              <w:t>246</w:t>
            </w:r>
          </w:p>
        </w:tc>
        <w:tc>
          <w:tcPr>
            <w:tcW w:w="160" w:type="dxa"/>
            <w:noWrap/>
            <w:vAlign w:val="center"/>
            <w:hideMark/>
          </w:tcPr>
          <w:p w14:paraId="615AAE68"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6EE1C251" w14:textId="77777777" w:rsidR="00F72778" w:rsidRPr="00111716" w:rsidRDefault="4A7E2F16" w:rsidP="4A7E2F16">
            <w:pPr>
              <w:spacing w:before="0" w:after="0" w:line="240" w:lineRule="auto"/>
              <w:jc w:val="right"/>
              <w:rPr>
                <w:rFonts w:asciiTheme="minorBidi" w:hAnsiTheme="minorBidi"/>
                <w:color w:val="DB2AFF" w:themeColor="accent6" w:themeTint="99"/>
                <w:sz w:val="18"/>
                <w:szCs w:val="18"/>
              </w:rPr>
            </w:pPr>
            <w:r w:rsidRPr="002F7147">
              <w:rPr>
                <w:rFonts w:asciiTheme="minorBidi" w:hAnsiTheme="minorBidi"/>
                <w:color w:val="82009B" w:themeColor="accent6"/>
                <w:sz w:val="18"/>
                <w:szCs w:val="18"/>
              </w:rPr>
              <w:t>76%</w:t>
            </w:r>
          </w:p>
        </w:tc>
      </w:tr>
      <w:tr w:rsidR="00F72778" w:rsidRPr="00B45F57" w14:paraId="48498567" w14:textId="77777777" w:rsidTr="007964F1">
        <w:trPr>
          <w:trHeight w:val="300"/>
        </w:trPr>
        <w:tc>
          <w:tcPr>
            <w:tcW w:w="3840" w:type="dxa"/>
            <w:noWrap/>
            <w:vAlign w:val="center"/>
            <w:hideMark/>
          </w:tcPr>
          <w:p w14:paraId="243F65EA"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Võru maakond</w:t>
            </w:r>
          </w:p>
        </w:tc>
        <w:tc>
          <w:tcPr>
            <w:tcW w:w="1280" w:type="dxa"/>
            <w:noWrap/>
            <w:vAlign w:val="center"/>
            <w:hideMark/>
          </w:tcPr>
          <w:p w14:paraId="2F358D3D"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305</w:t>
            </w:r>
          </w:p>
        </w:tc>
        <w:tc>
          <w:tcPr>
            <w:tcW w:w="220" w:type="dxa"/>
            <w:noWrap/>
            <w:vAlign w:val="center"/>
            <w:hideMark/>
          </w:tcPr>
          <w:p w14:paraId="34781EB9"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7F3F7692"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736</w:t>
            </w:r>
          </w:p>
        </w:tc>
        <w:tc>
          <w:tcPr>
            <w:tcW w:w="200" w:type="dxa"/>
            <w:noWrap/>
            <w:vAlign w:val="center"/>
            <w:hideMark/>
          </w:tcPr>
          <w:p w14:paraId="40B4B74D"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6FE8CCFA" w14:textId="6592981B"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1</w:t>
            </w:r>
            <w:r w:rsidR="00C77F1E" w:rsidRPr="00C77F1E">
              <w:rPr>
                <w:rFonts w:asciiTheme="minorBidi" w:hAnsiTheme="minorBidi"/>
                <w:sz w:val="18"/>
                <w:szCs w:val="18"/>
              </w:rPr>
              <w:t xml:space="preserve"> </w:t>
            </w:r>
            <w:r w:rsidRPr="00C77F1E">
              <w:rPr>
                <w:rFonts w:asciiTheme="minorBidi" w:hAnsiTheme="minorBidi"/>
                <w:sz w:val="18"/>
                <w:szCs w:val="18"/>
              </w:rPr>
              <w:t>903</w:t>
            </w:r>
          </w:p>
        </w:tc>
        <w:tc>
          <w:tcPr>
            <w:tcW w:w="160" w:type="dxa"/>
            <w:noWrap/>
            <w:vAlign w:val="center"/>
            <w:hideMark/>
          </w:tcPr>
          <w:p w14:paraId="510C8203"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67E49C35"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41%</w:t>
            </w:r>
          </w:p>
        </w:tc>
      </w:tr>
      <w:tr w:rsidR="00F72778" w:rsidRPr="00B45F57" w14:paraId="6A1F8D1A" w14:textId="77777777" w:rsidTr="007964F1">
        <w:trPr>
          <w:trHeight w:val="300"/>
        </w:trPr>
        <w:tc>
          <w:tcPr>
            <w:tcW w:w="3840" w:type="dxa"/>
            <w:noWrap/>
            <w:vAlign w:val="center"/>
            <w:hideMark/>
          </w:tcPr>
          <w:p w14:paraId="478FACB0"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Viljandi maakond</w:t>
            </w:r>
          </w:p>
        </w:tc>
        <w:tc>
          <w:tcPr>
            <w:tcW w:w="1280" w:type="dxa"/>
            <w:noWrap/>
            <w:vAlign w:val="center"/>
            <w:hideMark/>
          </w:tcPr>
          <w:p w14:paraId="6DE0C7D5"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285</w:t>
            </w:r>
          </w:p>
        </w:tc>
        <w:tc>
          <w:tcPr>
            <w:tcW w:w="220" w:type="dxa"/>
            <w:noWrap/>
            <w:vAlign w:val="center"/>
            <w:hideMark/>
          </w:tcPr>
          <w:p w14:paraId="635F25CC"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5439E0D8"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667</w:t>
            </w:r>
          </w:p>
        </w:tc>
        <w:tc>
          <w:tcPr>
            <w:tcW w:w="200" w:type="dxa"/>
            <w:noWrap/>
            <w:vAlign w:val="center"/>
            <w:hideMark/>
          </w:tcPr>
          <w:p w14:paraId="4B73A139"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2DFCF0FC" w14:textId="5A357A50"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1</w:t>
            </w:r>
            <w:r w:rsidR="00C77F1E" w:rsidRPr="00C77F1E">
              <w:rPr>
                <w:rFonts w:asciiTheme="minorBidi" w:hAnsiTheme="minorBidi"/>
                <w:sz w:val="18"/>
                <w:szCs w:val="18"/>
              </w:rPr>
              <w:t xml:space="preserve"> </w:t>
            </w:r>
            <w:r w:rsidRPr="00C77F1E">
              <w:rPr>
                <w:rFonts w:asciiTheme="minorBidi" w:hAnsiTheme="minorBidi"/>
                <w:sz w:val="18"/>
                <w:szCs w:val="18"/>
              </w:rPr>
              <w:t>952</w:t>
            </w:r>
          </w:p>
        </w:tc>
        <w:tc>
          <w:tcPr>
            <w:tcW w:w="160" w:type="dxa"/>
            <w:noWrap/>
            <w:vAlign w:val="center"/>
            <w:hideMark/>
          </w:tcPr>
          <w:p w14:paraId="5BB5AEE4"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64033545"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43%</w:t>
            </w:r>
          </w:p>
        </w:tc>
      </w:tr>
      <w:tr w:rsidR="00F72778" w:rsidRPr="00B45F57" w14:paraId="7EBDA387" w14:textId="77777777" w:rsidTr="007964F1">
        <w:trPr>
          <w:trHeight w:val="300"/>
        </w:trPr>
        <w:tc>
          <w:tcPr>
            <w:tcW w:w="3840" w:type="dxa"/>
            <w:noWrap/>
            <w:vAlign w:val="center"/>
            <w:hideMark/>
          </w:tcPr>
          <w:p w14:paraId="57751402"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Lääne-Viru maakond</w:t>
            </w:r>
          </w:p>
        </w:tc>
        <w:tc>
          <w:tcPr>
            <w:tcW w:w="1280" w:type="dxa"/>
            <w:noWrap/>
            <w:vAlign w:val="center"/>
            <w:hideMark/>
          </w:tcPr>
          <w:p w14:paraId="418D6A57"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272</w:t>
            </w:r>
          </w:p>
        </w:tc>
        <w:tc>
          <w:tcPr>
            <w:tcW w:w="220" w:type="dxa"/>
            <w:noWrap/>
            <w:vAlign w:val="center"/>
            <w:hideMark/>
          </w:tcPr>
          <w:p w14:paraId="69356EBC"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41E6080D" w14:textId="79A02539"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1</w:t>
            </w:r>
            <w:r w:rsidR="00C77F1E">
              <w:rPr>
                <w:rFonts w:asciiTheme="minorBidi" w:hAnsiTheme="minorBidi"/>
                <w:color w:val="000000"/>
                <w:sz w:val="18"/>
                <w:szCs w:val="18"/>
              </w:rPr>
              <w:t xml:space="preserve"> </w:t>
            </w:r>
            <w:r w:rsidRPr="00B0713D">
              <w:rPr>
                <w:rFonts w:asciiTheme="minorBidi" w:hAnsiTheme="minorBidi"/>
                <w:color w:val="000000"/>
                <w:sz w:val="18"/>
                <w:szCs w:val="18"/>
              </w:rPr>
              <w:t>133</w:t>
            </w:r>
          </w:p>
        </w:tc>
        <w:tc>
          <w:tcPr>
            <w:tcW w:w="200" w:type="dxa"/>
            <w:noWrap/>
            <w:vAlign w:val="center"/>
            <w:hideMark/>
          </w:tcPr>
          <w:p w14:paraId="30CFA7D3"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29661FF9" w14:textId="7805FCFA"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2</w:t>
            </w:r>
            <w:r w:rsidR="00C77F1E" w:rsidRPr="00C77F1E">
              <w:rPr>
                <w:rFonts w:asciiTheme="minorBidi" w:hAnsiTheme="minorBidi"/>
                <w:sz w:val="18"/>
                <w:szCs w:val="18"/>
              </w:rPr>
              <w:t xml:space="preserve"> </w:t>
            </w:r>
            <w:r w:rsidRPr="00C77F1E">
              <w:rPr>
                <w:rFonts w:asciiTheme="minorBidi" w:hAnsiTheme="minorBidi"/>
                <w:sz w:val="18"/>
                <w:szCs w:val="18"/>
              </w:rPr>
              <w:t>820</w:t>
            </w:r>
          </w:p>
        </w:tc>
        <w:tc>
          <w:tcPr>
            <w:tcW w:w="160" w:type="dxa"/>
            <w:noWrap/>
            <w:vAlign w:val="center"/>
            <w:hideMark/>
          </w:tcPr>
          <w:p w14:paraId="4DE55086"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714EFFF1"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24%</w:t>
            </w:r>
          </w:p>
        </w:tc>
      </w:tr>
      <w:tr w:rsidR="00F72778" w:rsidRPr="00B45F57" w14:paraId="4FD61C3A" w14:textId="77777777" w:rsidTr="007964F1">
        <w:trPr>
          <w:trHeight w:val="300"/>
        </w:trPr>
        <w:tc>
          <w:tcPr>
            <w:tcW w:w="3840" w:type="dxa"/>
            <w:noWrap/>
            <w:vAlign w:val="center"/>
            <w:hideMark/>
          </w:tcPr>
          <w:p w14:paraId="4C37704C"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Valga maakond</w:t>
            </w:r>
          </w:p>
        </w:tc>
        <w:tc>
          <w:tcPr>
            <w:tcW w:w="1280" w:type="dxa"/>
            <w:noWrap/>
            <w:vAlign w:val="center"/>
            <w:hideMark/>
          </w:tcPr>
          <w:p w14:paraId="05DBF000"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272</w:t>
            </w:r>
          </w:p>
        </w:tc>
        <w:tc>
          <w:tcPr>
            <w:tcW w:w="220" w:type="dxa"/>
            <w:noWrap/>
            <w:vAlign w:val="center"/>
            <w:hideMark/>
          </w:tcPr>
          <w:p w14:paraId="6192E20D"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5AF6F373"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948</w:t>
            </w:r>
          </w:p>
        </w:tc>
        <w:tc>
          <w:tcPr>
            <w:tcW w:w="200" w:type="dxa"/>
            <w:noWrap/>
            <w:vAlign w:val="center"/>
            <w:hideMark/>
          </w:tcPr>
          <w:p w14:paraId="4EE65DBD"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76A70921" w14:textId="2486FD9E"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2</w:t>
            </w:r>
            <w:r w:rsidR="00C77F1E" w:rsidRPr="00C77F1E">
              <w:rPr>
                <w:rFonts w:asciiTheme="minorBidi" w:hAnsiTheme="minorBidi"/>
                <w:sz w:val="18"/>
                <w:szCs w:val="18"/>
              </w:rPr>
              <w:t xml:space="preserve"> </w:t>
            </w:r>
            <w:r w:rsidRPr="00C77F1E">
              <w:rPr>
                <w:rFonts w:asciiTheme="minorBidi" w:hAnsiTheme="minorBidi"/>
                <w:sz w:val="18"/>
                <w:szCs w:val="18"/>
              </w:rPr>
              <w:t>531</w:t>
            </w:r>
          </w:p>
        </w:tc>
        <w:tc>
          <w:tcPr>
            <w:tcW w:w="160" w:type="dxa"/>
            <w:noWrap/>
            <w:vAlign w:val="center"/>
            <w:hideMark/>
          </w:tcPr>
          <w:p w14:paraId="01161F4B"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48BB2DBA"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29%</w:t>
            </w:r>
          </w:p>
        </w:tc>
      </w:tr>
      <w:tr w:rsidR="00F72778" w:rsidRPr="00B45F57" w14:paraId="27D5A35E" w14:textId="77777777" w:rsidTr="007964F1">
        <w:trPr>
          <w:trHeight w:val="300"/>
        </w:trPr>
        <w:tc>
          <w:tcPr>
            <w:tcW w:w="3840" w:type="dxa"/>
            <w:noWrap/>
            <w:vAlign w:val="center"/>
            <w:hideMark/>
          </w:tcPr>
          <w:p w14:paraId="6405B256"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Põlva maakond</w:t>
            </w:r>
          </w:p>
        </w:tc>
        <w:tc>
          <w:tcPr>
            <w:tcW w:w="1280" w:type="dxa"/>
            <w:noWrap/>
            <w:vAlign w:val="center"/>
            <w:hideMark/>
          </w:tcPr>
          <w:p w14:paraId="49978234"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147</w:t>
            </w:r>
          </w:p>
        </w:tc>
        <w:tc>
          <w:tcPr>
            <w:tcW w:w="220" w:type="dxa"/>
            <w:noWrap/>
            <w:vAlign w:val="center"/>
            <w:hideMark/>
          </w:tcPr>
          <w:p w14:paraId="546AF37C"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260BB9C9"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368</w:t>
            </w:r>
          </w:p>
        </w:tc>
        <w:tc>
          <w:tcPr>
            <w:tcW w:w="200" w:type="dxa"/>
            <w:noWrap/>
            <w:vAlign w:val="center"/>
            <w:hideMark/>
          </w:tcPr>
          <w:p w14:paraId="2AE3106A"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63F9756B" w14:textId="7A3C6795"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1</w:t>
            </w:r>
            <w:r w:rsidR="00C77F1E" w:rsidRPr="00C77F1E">
              <w:rPr>
                <w:rFonts w:asciiTheme="minorBidi" w:hAnsiTheme="minorBidi"/>
                <w:sz w:val="18"/>
                <w:szCs w:val="18"/>
              </w:rPr>
              <w:t xml:space="preserve"> </w:t>
            </w:r>
            <w:r w:rsidRPr="00C77F1E">
              <w:rPr>
                <w:rFonts w:asciiTheme="minorBidi" w:hAnsiTheme="minorBidi"/>
                <w:sz w:val="18"/>
                <w:szCs w:val="18"/>
              </w:rPr>
              <w:t>174</w:t>
            </w:r>
          </w:p>
        </w:tc>
        <w:tc>
          <w:tcPr>
            <w:tcW w:w="160" w:type="dxa"/>
            <w:noWrap/>
            <w:vAlign w:val="center"/>
            <w:hideMark/>
          </w:tcPr>
          <w:p w14:paraId="741A6B93"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349DE136"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40%</w:t>
            </w:r>
          </w:p>
        </w:tc>
      </w:tr>
      <w:tr w:rsidR="00F72778" w:rsidRPr="00B45F57" w14:paraId="305F9CD0" w14:textId="77777777" w:rsidTr="007964F1">
        <w:trPr>
          <w:trHeight w:val="300"/>
        </w:trPr>
        <w:tc>
          <w:tcPr>
            <w:tcW w:w="3840" w:type="dxa"/>
            <w:noWrap/>
            <w:vAlign w:val="center"/>
            <w:hideMark/>
          </w:tcPr>
          <w:p w14:paraId="49E92351"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Jõgeva maakond</w:t>
            </w:r>
          </w:p>
        </w:tc>
        <w:tc>
          <w:tcPr>
            <w:tcW w:w="1280" w:type="dxa"/>
            <w:noWrap/>
            <w:vAlign w:val="center"/>
            <w:hideMark/>
          </w:tcPr>
          <w:p w14:paraId="0FFCAFEC"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139</w:t>
            </w:r>
          </w:p>
        </w:tc>
        <w:tc>
          <w:tcPr>
            <w:tcW w:w="220" w:type="dxa"/>
            <w:noWrap/>
            <w:vAlign w:val="center"/>
            <w:hideMark/>
          </w:tcPr>
          <w:p w14:paraId="6BF5ADE0"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4B1C4C9B"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425</w:t>
            </w:r>
          </w:p>
        </w:tc>
        <w:tc>
          <w:tcPr>
            <w:tcW w:w="200" w:type="dxa"/>
            <w:noWrap/>
            <w:vAlign w:val="center"/>
            <w:hideMark/>
          </w:tcPr>
          <w:p w14:paraId="17B3B53F"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643CEAAE" w14:textId="20044FDF"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1</w:t>
            </w:r>
            <w:r w:rsidR="00C77F1E" w:rsidRPr="00C77F1E">
              <w:rPr>
                <w:rFonts w:asciiTheme="minorBidi" w:hAnsiTheme="minorBidi"/>
                <w:sz w:val="18"/>
                <w:szCs w:val="18"/>
              </w:rPr>
              <w:t xml:space="preserve"> </w:t>
            </w:r>
            <w:r w:rsidRPr="00C77F1E">
              <w:rPr>
                <w:rFonts w:asciiTheme="minorBidi" w:hAnsiTheme="minorBidi"/>
                <w:sz w:val="18"/>
                <w:szCs w:val="18"/>
              </w:rPr>
              <w:t>138</w:t>
            </w:r>
          </w:p>
        </w:tc>
        <w:tc>
          <w:tcPr>
            <w:tcW w:w="160" w:type="dxa"/>
            <w:noWrap/>
            <w:vAlign w:val="center"/>
            <w:hideMark/>
          </w:tcPr>
          <w:p w14:paraId="10040947"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05E4AA22"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33%</w:t>
            </w:r>
          </w:p>
        </w:tc>
      </w:tr>
      <w:tr w:rsidR="00F72778" w:rsidRPr="00B45F57" w14:paraId="37D03446" w14:textId="77777777" w:rsidTr="007964F1">
        <w:trPr>
          <w:trHeight w:val="300"/>
        </w:trPr>
        <w:tc>
          <w:tcPr>
            <w:tcW w:w="3840" w:type="dxa"/>
            <w:noWrap/>
            <w:vAlign w:val="center"/>
            <w:hideMark/>
          </w:tcPr>
          <w:p w14:paraId="5F0FB5D2"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Rapla maakond</w:t>
            </w:r>
          </w:p>
        </w:tc>
        <w:tc>
          <w:tcPr>
            <w:tcW w:w="1280" w:type="dxa"/>
            <w:noWrap/>
            <w:vAlign w:val="center"/>
            <w:hideMark/>
          </w:tcPr>
          <w:p w14:paraId="78BF2675"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84</w:t>
            </w:r>
          </w:p>
        </w:tc>
        <w:tc>
          <w:tcPr>
            <w:tcW w:w="220" w:type="dxa"/>
            <w:noWrap/>
            <w:vAlign w:val="center"/>
            <w:hideMark/>
          </w:tcPr>
          <w:p w14:paraId="5833494B"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428FA693"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261</w:t>
            </w:r>
          </w:p>
        </w:tc>
        <w:tc>
          <w:tcPr>
            <w:tcW w:w="200" w:type="dxa"/>
            <w:noWrap/>
            <w:vAlign w:val="center"/>
            <w:hideMark/>
          </w:tcPr>
          <w:p w14:paraId="1BF63790"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4FBE40D7" w14:textId="77777777"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722</w:t>
            </w:r>
          </w:p>
        </w:tc>
        <w:tc>
          <w:tcPr>
            <w:tcW w:w="160" w:type="dxa"/>
            <w:noWrap/>
            <w:vAlign w:val="center"/>
            <w:hideMark/>
          </w:tcPr>
          <w:p w14:paraId="50CA546B"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7D155E51"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32%</w:t>
            </w:r>
          </w:p>
        </w:tc>
      </w:tr>
      <w:tr w:rsidR="00F72778" w:rsidRPr="00B45F57" w14:paraId="1B3EE844" w14:textId="77777777" w:rsidTr="007964F1">
        <w:trPr>
          <w:trHeight w:val="300"/>
        </w:trPr>
        <w:tc>
          <w:tcPr>
            <w:tcW w:w="3840" w:type="dxa"/>
            <w:noWrap/>
            <w:vAlign w:val="center"/>
            <w:hideMark/>
          </w:tcPr>
          <w:p w14:paraId="49723C2B"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Järva maakond</w:t>
            </w:r>
          </w:p>
        </w:tc>
        <w:tc>
          <w:tcPr>
            <w:tcW w:w="1280" w:type="dxa"/>
            <w:noWrap/>
            <w:vAlign w:val="center"/>
            <w:hideMark/>
          </w:tcPr>
          <w:p w14:paraId="3E7B1630"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76</w:t>
            </w:r>
          </w:p>
        </w:tc>
        <w:tc>
          <w:tcPr>
            <w:tcW w:w="220" w:type="dxa"/>
            <w:noWrap/>
            <w:vAlign w:val="center"/>
            <w:hideMark/>
          </w:tcPr>
          <w:p w14:paraId="130EFDBE"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41290E62" w14:textId="77777777"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360</w:t>
            </w:r>
          </w:p>
        </w:tc>
        <w:tc>
          <w:tcPr>
            <w:tcW w:w="200" w:type="dxa"/>
            <w:noWrap/>
            <w:vAlign w:val="center"/>
            <w:hideMark/>
          </w:tcPr>
          <w:p w14:paraId="5F198D75"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7254A2C2" w14:textId="197352C5"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1</w:t>
            </w:r>
            <w:r w:rsidR="00C77F1E" w:rsidRPr="00C77F1E">
              <w:rPr>
                <w:rFonts w:asciiTheme="minorBidi" w:hAnsiTheme="minorBidi"/>
                <w:sz w:val="18"/>
                <w:szCs w:val="18"/>
              </w:rPr>
              <w:t xml:space="preserve"> </w:t>
            </w:r>
            <w:r w:rsidRPr="00C77F1E">
              <w:rPr>
                <w:rFonts w:asciiTheme="minorBidi" w:hAnsiTheme="minorBidi"/>
                <w:sz w:val="18"/>
                <w:szCs w:val="18"/>
              </w:rPr>
              <w:t>144</w:t>
            </w:r>
          </w:p>
        </w:tc>
        <w:tc>
          <w:tcPr>
            <w:tcW w:w="160" w:type="dxa"/>
            <w:noWrap/>
            <w:vAlign w:val="center"/>
            <w:hideMark/>
          </w:tcPr>
          <w:p w14:paraId="33F4E3D7"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54D57038"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21%</w:t>
            </w:r>
          </w:p>
        </w:tc>
      </w:tr>
      <w:tr w:rsidR="00F72778" w:rsidRPr="00B45F57" w14:paraId="1EB57012" w14:textId="77777777" w:rsidTr="007964F1">
        <w:trPr>
          <w:trHeight w:val="300"/>
        </w:trPr>
        <w:tc>
          <w:tcPr>
            <w:tcW w:w="3840" w:type="dxa"/>
            <w:noWrap/>
            <w:vAlign w:val="center"/>
            <w:hideMark/>
          </w:tcPr>
          <w:p w14:paraId="57613CF6"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 </w:t>
            </w:r>
          </w:p>
        </w:tc>
        <w:tc>
          <w:tcPr>
            <w:tcW w:w="1280" w:type="dxa"/>
            <w:noWrap/>
            <w:vAlign w:val="center"/>
            <w:hideMark/>
          </w:tcPr>
          <w:p w14:paraId="486C956A" w14:textId="77777777" w:rsidR="00F72778" w:rsidRPr="00B0713D" w:rsidRDefault="00F72778" w:rsidP="00B0713D">
            <w:pPr>
              <w:spacing w:before="0" w:after="0" w:line="240" w:lineRule="auto"/>
              <w:rPr>
                <w:rFonts w:asciiTheme="minorBidi" w:hAnsiTheme="minorBidi"/>
                <w:color w:val="000000"/>
                <w:sz w:val="18"/>
                <w:szCs w:val="18"/>
              </w:rPr>
            </w:pPr>
          </w:p>
        </w:tc>
        <w:tc>
          <w:tcPr>
            <w:tcW w:w="220" w:type="dxa"/>
            <w:noWrap/>
            <w:vAlign w:val="center"/>
            <w:hideMark/>
          </w:tcPr>
          <w:p w14:paraId="08ACDA81" w14:textId="77777777" w:rsidR="00F72778" w:rsidRPr="00B0713D" w:rsidRDefault="00F72778" w:rsidP="00B0713D">
            <w:pPr>
              <w:spacing w:before="0" w:after="0" w:line="240" w:lineRule="auto"/>
              <w:rPr>
                <w:rFonts w:asciiTheme="minorBidi" w:hAnsiTheme="minorBidi"/>
                <w:sz w:val="18"/>
                <w:szCs w:val="18"/>
              </w:rPr>
            </w:pPr>
          </w:p>
        </w:tc>
        <w:tc>
          <w:tcPr>
            <w:tcW w:w="1280" w:type="dxa"/>
            <w:noWrap/>
            <w:vAlign w:val="center"/>
            <w:hideMark/>
          </w:tcPr>
          <w:p w14:paraId="6A4735EA" w14:textId="77777777" w:rsidR="00F72778" w:rsidRPr="00B0713D" w:rsidRDefault="00F72778" w:rsidP="00B0713D">
            <w:pPr>
              <w:spacing w:before="0" w:after="0" w:line="240" w:lineRule="auto"/>
              <w:rPr>
                <w:rFonts w:asciiTheme="minorBidi" w:hAnsiTheme="minorBidi"/>
                <w:sz w:val="18"/>
                <w:szCs w:val="18"/>
              </w:rPr>
            </w:pPr>
          </w:p>
        </w:tc>
        <w:tc>
          <w:tcPr>
            <w:tcW w:w="200" w:type="dxa"/>
            <w:noWrap/>
            <w:vAlign w:val="center"/>
            <w:hideMark/>
          </w:tcPr>
          <w:p w14:paraId="48EC54E8" w14:textId="77777777" w:rsidR="00F72778" w:rsidRPr="00B0713D" w:rsidRDefault="00F72778" w:rsidP="00B0713D">
            <w:pPr>
              <w:spacing w:before="0" w:after="0" w:line="240" w:lineRule="auto"/>
              <w:rPr>
                <w:rFonts w:asciiTheme="minorBidi" w:hAnsiTheme="minorBidi"/>
                <w:sz w:val="18"/>
                <w:szCs w:val="18"/>
              </w:rPr>
            </w:pPr>
          </w:p>
        </w:tc>
        <w:tc>
          <w:tcPr>
            <w:tcW w:w="1280" w:type="dxa"/>
            <w:noWrap/>
            <w:vAlign w:val="center"/>
            <w:hideMark/>
          </w:tcPr>
          <w:p w14:paraId="2D822EA2" w14:textId="77777777" w:rsidR="00F72778" w:rsidRPr="00C77F1E" w:rsidRDefault="00F72778" w:rsidP="4A7E2F16">
            <w:pPr>
              <w:spacing w:before="0" w:after="0" w:line="240" w:lineRule="auto"/>
              <w:rPr>
                <w:rFonts w:asciiTheme="minorBidi" w:hAnsiTheme="minorBidi"/>
                <w:sz w:val="18"/>
                <w:szCs w:val="18"/>
              </w:rPr>
            </w:pPr>
          </w:p>
        </w:tc>
        <w:tc>
          <w:tcPr>
            <w:tcW w:w="160" w:type="dxa"/>
            <w:noWrap/>
            <w:vAlign w:val="center"/>
            <w:hideMark/>
          </w:tcPr>
          <w:p w14:paraId="7643DB55" w14:textId="77777777" w:rsidR="00F72778" w:rsidRPr="00B0713D" w:rsidRDefault="00F72778" w:rsidP="00B0713D">
            <w:pPr>
              <w:spacing w:before="0" w:after="0" w:line="240" w:lineRule="auto"/>
              <w:rPr>
                <w:rFonts w:asciiTheme="minorBidi" w:hAnsiTheme="minorBidi"/>
                <w:sz w:val="18"/>
                <w:szCs w:val="18"/>
              </w:rPr>
            </w:pPr>
          </w:p>
        </w:tc>
        <w:tc>
          <w:tcPr>
            <w:tcW w:w="1360" w:type="dxa"/>
            <w:shd w:val="clear" w:color="auto" w:fill="E5E5E5" w:themeFill="background2" w:themeFillShade="E6"/>
            <w:noWrap/>
            <w:vAlign w:val="center"/>
            <w:hideMark/>
          </w:tcPr>
          <w:p w14:paraId="24424DF5" w14:textId="77777777" w:rsidR="00F72778" w:rsidRPr="00B0713D" w:rsidRDefault="00F72778" w:rsidP="00413022">
            <w:pPr>
              <w:spacing w:before="0" w:after="0" w:line="240" w:lineRule="auto"/>
              <w:jc w:val="right"/>
              <w:rPr>
                <w:rFonts w:asciiTheme="minorBidi" w:hAnsiTheme="minorBidi"/>
                <w:sz w:val="18"/>
                <w:szCs w:val="18"/>
              </w:rPr>
            </w:pPr>
          </w:p>
        </w:tc>
      </w:tr>
      <w:tr w:rsidR="00F72778" w:rsidRPr="00B45F57" w14:paraId="2D881F9B" w14:textId="77777777" w:rsidTr="007964F1">
        <w:trPr>
          <w:trHeight w:val="300"/>
        </w:trPr>
        <w:tc>
          <w:tcPr>
            <w:tcW w:w="3840" w:type="dxa"/>
            <w:noWrap/>
            <w:vAlign w:val="center"/>
            <w:hideMark/>
          </w:tcPr>
          <w:p w14:paraId="319921A1" w14:textId="77777777" w:rsidR="00F72778" w:rsidRPr="00B0713D" w:rsidRDefault="00F72778" w:rsidP="00B0713D">
            <w:pPr>
              <w:spacing w:before="0" w:after="0" w:line="240" w:lineRule="auto"/>
              <w:rPr>
                <w:rFonts w:asciiTheme="minorBidi" w:hAnsiTheme="minorBidi"/>
                <w:b/>
                <w:color w:val="000000"/>
                <w:sz w:val="18"/>
                <w:szCs w:val="18"/>
              </w:rPr>
            </w:pPr>
            <w:r w:rsidRPr="00B0713D">
              <w:rPr>
                <w:rFonts w:asciiTheme="minorBidi" w:hAnsiTheme="minorBidi"/>
                <w:b/>
                <w:color w:val="000000"/>
                <w:sz w:val="18"/>
                <w:szCs w:val="18"/>
              </w:rPr>
              <w:t>Tallinn</w:t>
            </w:r>
          </w:p>
        </w:tc>
        <w:tc>
          <w:tcPr>
            <w:tcW w:w="1280" w:type="dxa"/>
            <w:noWrap/>
            <w:vAlign w:val="center"/>
            <w:hideMark/>
          </w:tcPr>
          <w:p w14:paraId="5AABF514" w14:textId="0CD938B0"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2</w:t>
            </w:r>
            <w:r w:rsidR="00C77F1E">
              <w:rPr>
                <w:rFonts w:asciiTheme="minorBidi" w:hAnsiTheme="minorBidi"/>
                <w:color w:val="000000"/>
                <w:sz w:val="18"/>
                <w:szCs w:val="18"/>
              </w:rPr>
              <w:t xml:space="preserve"> </w:t>
            </w:r>
            <w:r w:rsidRPr="00B0713D">
              <w:rPr>
                <w:rFonts w:asciiTheme="minorBidi" w:hAnsiTheme="minorBidi"/>
                <w:color w:val="000000"/>
                <w:sz w:val="18"/>
                <w:szCs w:val="18"/>
              </w:rPr>
              <w:t>817</w:t>
            </w:r>
          </w:p>
        </w:tc>
        <w:tc>
          <w:tcPr>
            <w:tcW w:w="220" w:type="dxa"/>
            <w:noWrap/>
            <w:vAlign w:val="center"/>
            <w:hideMark/>
          </w:tcPr>
          <w:p w14:paraId="11E5E712"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3BDE591C" w14:textId="0073254A" w:rsidR="00F72778" w:rsidRPr="00B0713D" w:rsidRDefault="00F72778" w:rsidP="00B0713D">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9</w:t>
            </w:r>
            <w:r w:rsidR="00C77F1E">
              <w:rPr>
                <w:rFonts w:asciiTheme="minorBidi" w:hAnsiTheme="minorBidi"/>
                <w:color w:val="000000"/>
                <w:sz w:val="18"/>
                <w:szCs w:val="18"/>
              </w:rPr>
              <w:t xml:space="preserve"> </w:t>
            </w:r>
            <w:r w:rsidRPr="00B0713D">
              <w:rPr>
                <w:rFonts w:asciiTheme="minorBidi" w:hAnsiTheme="minorBidi"/>
                <w:color w:val="000000"/>
                <w:sz w:val="18"/>
                <w:szCs w:val="18"/>
              </w:rPr>
              <w:t>205</w:t>
            </w:r>
          </w:p>
        </w:tc>
        <w:tc>
          <w:tcPr>
            <w:tcW w:w="200" w:type="dxa"/>
            <w:noWrap/>
            <w:vAlign w:val="center"/>
            <w:hideMark/>
          </w:tcPr>
          <w:p w14:paraId="5C0D4A28"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280" w:type="dxa"/>
            <w:noWrap/>
            <w:vAlign w:val="center"/>
            <w:hideMark/>
          </w:tcPr>
          <w:p w14:paraId="04E2C936" w14:textId="729C4848" w:rsidR="00F72778" w:rsidRPr="00C77F1E" w:rsidRDefault="4A7E2F16" w:rsidP="4A7E2F16">
            <w:pPr>
              <w:spacing w:before="0" w:after="0" w:line="240" w:lineRule="auto"/>
              <w:jc w:val="right"/>
              <w:rPr>
                <w:rFonts w:asciiTheme="minorBidi" w:hAnsiTheme="minorBidi"/>
                <w:sz w:val="18"/>
                <w:szCs w:val="18"/>
              </w:rPr>
            </w:pPr>
            <w:r w:rsidRPr="00C77F1E">
              <w:rPr>
                <w:rFonts w:asciiTheme="minorBidi" w:hAnsiTheme="minorBidi"/>
                <w:sz w:val="18"/>
                <w:szCs w:val="18"/>
              </w:rPr>
              <w:t>19</w:t>
            </w:r>
            <w:r w:rsidR="00C77F1E" w:rsidRPr="00C77F1E">
              <w:rPr>
                <w:rFonts w:asciiTheme="minorBidi" w:hAnsiTheme="minorBidi"/>
                <w:sz w:val="18"/>
                <w:szCs w:val="18"/>
              </w:rPr>
              <w:t xml:space="preserve"> </w:t>
            </w:r>
            <w:r w:rsidRPr="00C77F1E">
              <w:rPr>
                <w:rFonts w:asciiTheme="minorBidi" w:hAnsiTheme="minorBidi"/>
                <w:sz w:val="18"/>
                <w:szCs w:val="18"/>
              </w:rPr>
              <w:t>541</w:t>
            </w:r>
          </w:p>
        </w:tc>
        <w:tc>
          <w:tcPr>
            <w:tcW w:w="160" w:type="dxa"/>
            <w:noWrap/>
            <w:vAlign w:val="center"/>
            <w:hideMark/>
          </w:tcPr>
          <w:p w14:paraId="0B4DC695" w14:textId="77777777" w:rsidR="00F72778" w:rsidRPr="00B0713D" w:rsidRDefault="00F72778" w:rsidP="00B0713D">
            <w:pPr>
              <w:spacing w:before="0" w:after="0" w:line="240" w:lineRule="auto"/>
              <w:jc w:val="right"/>
              <w:rPr>
                <w:rFonts w:asciiTheme="minorBidi" w:hAnsiTheme="minorBidi"/>
                <w:color w:val="000000"/>
                <w:sz w:val="18"/>
                <w:szCs w:val="18"/>
              </w:rPr>
            </w:pPr>
          </w:p>
        </w:tc>
        <w:tc>
          <w:tcPr>
            <w:tcW w:w="1360" w:type="dxa"/>
            <w:shd w:val="clear" w:color="auto" w:fill="E5E5E5" w:themeFill="background2" w:themeFillShade="E6"/>
            <w:noWrap/>
            <w:vAlign w:val="center"/>
            <w:hideMark/>
          </w:tcPr>
          <w:p w14:paraId="41C7EAD1" w14:textId="77777777" w:rsidR="00F72778" w:rsidRPr="00B0713D" w:rsidRDefault="00F72778" w:rsidP="00413022">
            <w:pPr>
              <w:spacing w:before="0" w:after="0" w:line="240" w:lineRule="auto"/>
              <w:jc w:val="right"/>
              <w:rPr>
                <w:rFonts w:asciiTheme="minorBidi" w:hAnsiTheme="minorBidi"/>
                <w:color w:val="000000"/>
                <w:sz w:val="18"/>
                <w:szCs w:val="18"/>
              </w:rPr>
            </w:pPr>
            <w:r w:rsidRPr="00B0713D">
              <w:rPr>
                <w:rFonts w:asciiTheme="minorBidi" w:hAnsiTheme="minorBidi"/>
                <w:color w:val="000000"/>
                <w:sz w:val="18"/>
                <w:szCs w:val="18"/>
              </w:rPr>
              <w:t>31%</w:t>
            </w:r>
          </w:p>
        </w:tc>
      </w:tr>
    </w:tbl>
    <w:p w14:paraId="5A314251" w14:textId="77777777" w:rsidR="00F72778" w:rsidRPr="00E14EBC" w:rsidRDefault="00F72778" w:rsidP="00F72778">
      <w:pPr>
        <w:spacing w:line="257" w:lineRule="auto"/>
      </w:pPr>
    </w:p>
    <w:p w14:paraId="2ECA026E" w14:textId="77777777" w:rsidR="00F72778" w:rsidRPr="00D4711E" w:rsidRDefault="00F72778" w:rsidP="00F72778">
      <w:pPr>
        <w:pStyle w:val="BottomCaption"/>
      </w:pPr>
      <w:r w:rsidRPr="00E14EBC">
        <w:t>Allikas: SA,</w:t>
      </w:r>
      <w:r>
        <w:t>EIS /</w:t>
      </w:r>
      <w:r w:rsidRPr="00E14EBC">
        <w:t xml:space="preserve"> Lighthouse</w:t>
      </w:r>
      <w:r w:rsidRPr="00E14EBC">
        <w:rPr>
          <w:rFonts w:ascii="Arial" w:eastAsia="Arial" w:hAnsi="Arial" w:cs="Arial"/>
        </w:rPr>
        <w:br w:type="page"/>
      </w:r>
    </w:p>
    <w:p w14:paraId="3C09BCF1" w14:textId="0B27C3B2" w:rsidR="00F72778" w:rsidRPr="00E14EBC" w:rsidRDefault="00F72778" w:rsidP="00F72778">
      <w:pPr>
        <w:spacing w:before="160"/>
        <w:rPr>
          <w:rFonts w:ascii="Arial" w:eastAsia="Arial" w:hAnsi="Arial" w:cs="Arial"/>
        </w:rPr>
      </w:pPr>
    </w:p>
    <w:p w14:paraId="0BFA0E95" w14:textId="5F3545B3" w:rsidR="00F72778" w:rsidRPr="00E14EBC" w:rsidRDefault="00F72778" w:rsidP="00F72778">
      <w:pPr>
        <w:pStyle w:val="Caption"/>
      </w:pPr>
      <w:r w:rsidRPr="00E14EBC">
        <w:t xml:space="preserve">Tabel </w:t>
      </w:r>
      <w:r>
        <w:t>22</w:t>
      </w:r>
      <w:r w:rsidRPr="00E14EBC">
        <w:t>: Majutuskohtade olulisemad näitajad, 12 kuu keskmine Airbnb ja Vrbo kuulutustes (kevad 2024 – talv 2025)</w:t>
      </w:r>
    </w:p>
    <w:tbl>
      <w:tblPr>
        <w:tblStyle w:val="TableGrid"/>
        <w:tblW w:w="14849" w:type="dxa"/>
        <w:tblLook w:val="04A0" w:firstRow="1" w:lastRow="0" w:firstColumn="1" w:lastColumn="0" w:noHBand="0" w:noVBand="1"/>
      </w:tblPr>
      <w:tblGrid>
        <w:gridCol w:w="1358"/>
        <w:gridCol w:w="1517"/>
        <w:gridCol w:w="267"/>
        <w:gridCol w:w="903"/>
        <w:gridCol w:w="590"/>
        <w:gridCol w:w="267"/>
        <w:gridCol w:w="597"/>
        <w:gridCol w:w="597"/>
        <w:gridCol w:w="267"/>
        <w:gridCol w:w="597"/>
        <w:gridCol w:w="597"/>
        <w:gridCol w:w="267"/>
        <w:gridCol w:w="597"/>
        <w:gridCol w:w="597"/>
        <w:gridCol w:w="267"/>
        <w:gridCol w:w="597"/>
        <w:gridCol w:w="597"/>
        <w:gridCol w:w="267"/>
        <w:gridCol w:w="597"/>
        <w:gridCol w:w="597"/>
        <w:gridCol w:w="267"/>
        <w:gridCol w:w="597"/>
        <w:gridCol w:w="597"/>
        <w:gridCol w:w="267"/>
        <w:gridCol w:w="597"/>
        <w:gridCol w:w="597"/>
      </w:tblGrid>
      <w:tr w:rsidR="00F72778" w:rsidRPr="00413022" w14:paraId="13DECCA1" w14:textId="77777777" w:rsidTr="00382381">
        <w:trPr>
          <w:trHeight w:val="144"/>
        </w:trPr>
        <w:tc>
          <w:tcPr>
            <w:tcW w:w="2875" w:type="dxa"/>
            <w:gridSpan w:val="2"/>
            <w:noWrap/>
            <w:hideMark/>
          </w:tcPr>
          <w:p w14:paraId="71C2DE23" w14:textId="77777777" w:rsidR="00F72778" w:rsidRPr="00413022" w:rsidRDefault="00F72778" w:rsidP="00413022">
            <w:pPr>
              <w:spacing w:before="0" w:line="240" w:lineRule="auto"/>
              <w:rPr>
                <w:rFonts w:asciiTheme="minorBidi" w:hAnsiTheme="minorBidi"/>
                <w:i/>
                <w:sz w:val="18"/>
                <w:szCs w:val="18"/>
              </w:rPr>
            </w:pPr>
            <w:r w:rsidRPr="00413022">
              <w:rPr>
                <w:rFonts w:asciiTheme="minorBidi" w:hAnsiTheme="minorBidi"/>
                <w:i/>
                <w:sz w:val="18"/>
                <w:szCs w:val="18"/>
              </w:rPr>
              <w:t>veebruar 2025 väljavõte</w:t>
            </w:r>
          </w:p>
        </w:tc>
        <w:tc>
          <w:tcPr>
            <w:tcW w:w="267" w:type="dxa"/>
            <w:noWrap/>
            <w:hideMark/>
          </w:tcPr>
          <w:p w14:paraId="5BD0E331"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493" w:type="dxa"/>
            <w:gridSpan w:val="2"/>
            <w:noWrap/>
            <w:hideMark/>
          </w:tcPr>
          <w:p w14:paraId="77A8C004" w14:textId="77777777" w:rsidR="00F72778" w:rsidRPr="00413022" w:rsidRDefault="00F72778" w:rsidP="00413022">
            <w:pPr>
              <w:spacing w:before="0" w:line="240" w:lineRule="auto"/>
              <w:jc w:val="center"/>
              <w:rPr>
                <w:rFonts w:asciiTheme="minorBidi" w:hAnsiTheme="minorBidi"/>
                <w:b/>
                <w:sz w:val="18"/>
                <w:szCs w:val="18"/>
              </w:rPr>
            </w:pPr>
            <w:r w:rsidRPr="00413022">
              <w:rPr>
                <w:rFonts w:asciiTheme="minorBidi" w:hAnsiTheme="minorBidi"/>
                <w:b/>
                <w:sz w:val="18"/>
                <w:szCs w:val="18"/>
              </w:rPr>
              <w:t>Tallinn</w:t>
            </w:r>
          </w:p>
        </w:tc>
        <w:tc>
          <w:tcPr>
            <w:tcW w:w="267" w:type="dxa"/>
            <w:noWrap/>
            <w:hideMark/>
          </w:tcPr>
          <w:p w14:paraId="1FDB44E7" w14:textId="77777777" w:rsidR="00F72778" w:rsidRPr="00413022" w:rsidRDefault="00F72778" w:rsidP="00413022">
            <w:pPr>
              <w:spacing w:before="0" w:line="240" w:lineRule="auto"/>
              <w:jc w:val="center"/>
              <w:rPr>
                <w:rFonts w:asciiTheme="minorBidi" w:hAnsiTheme="minorBidi"/>
                <w:b/>
                <w:sz w:val="18"/>
                <w:szCs w:val="18"/>
              </w:rPr>
            </w:pPr>
          </w:p>
        </w:tc>
        <w:tc>
          <w:tcPr>
            <w:tcW w:w="1194" w:type="dxa"/>
            <w:gridSpan w:val="2"/>
            <w:noWrap/>
            <w:hideMark/>
          </w:tcPr>
          <w:p w14:paraId="39EF17AD" w14:textId="77777777" w:rsidR="00F72778" w:rsidRPr="00413022" w:rsidRDefault="00F72778" w:rsidP="00413022">
            <w:pPr>
              <w:spacing w:before="0" w:line="240" w:lineRule="auto"/>
              <w:jc w:val="center"/>
              <w:rPr>
                <w:rFonts w:asciiTheme="minorBidi" w:hAnsiTheme="minorBidi"/>
                <w:b/>
                <w:sz w:val="18"/>
                <w:szCs w:val="18"/>
              </w:rPr>
            </w:pPr>
            <w:r w:rsidRPr="00413022">
              <w:rPr>
                <w:rFonts w:asciiTheme="minorBidi" w:hAnsiTheme="minorBidi"/>
                <w:b/>
                <w:sz w:val="18"/>
                <w:szCs w:val="18"/>
              </w:rPr>
              <w:t>Tartumaa</w:t>
            </w:r>
          </w:p>
        </w:tc>
        <w:tc>
          <w:tcPr>
            <w:tcW w:w="267" w:type="dxa"/>
            <w:noWrap/>
            <w:hideMark/>
          </w:tcPr>
          <w:p w14:paraId="246C25CF" w14:textId="77777777" w:rsidR="00F72778" w:rsidRPr="00413022" w:rsidRDefault="00F72778" w:rsidP="00413022">
            <w:pPr>
              <w:spacing w:before="0" w:line="240" w:lineRule="auto"/>
              <w:jc w:val="center"/>
              <w:rPr>
                <w:rFonts w:asciiTheme="minorBidi" w:hAnsiTheme="minorBidi"/>
                <w:b/>
                <w:sz w:val="18"/>
                <w:szCs w:val="18"/>
              </w:rPr>
            </w:pPr>
          </w:p>
        </w:tc>
        <w:tc>
          <w:tcPr>
            <w:tcW w:w="1194" w:type="dxa"/>
            <w:gridSpan w:val="2"/>
            <w:noWrap/>
            <w:hideMark/>
          </w:tcPr>
          <w:p w14:paraId="63F3477F" w14:textId="77777777" w:rsidR="00F72778" w:rsidRPr="00413022" w:rsidRDefault="00F72778" w:rsidP="00413022">
            <w:pPr>
              <w:spacing w:before="0" w:line="240" w:lineRule="auto"/>
              <w:jc w:val="center"/>
              <w:rPr>
                <w:rFonts w:asciiTheme="minorBidi" w:hAnsiTheme="minorBidi"/>
                <w:b/>
                <w:sz w:val="18"/>
                <w:szCs w:val="18"/>
              </w:rPr>
            </w:pPr>
            <w:r w:rsidRPr="00413022">
              <w:rPr>
                <w:rFonts w:asciiTheme="minorBidi" w:hAnsiTheme="minorBidi"/>
                <w:b/>
                <w:sz w:val="18"/>
                <w:szCs w:val="18"/>
              </w:rPr>
              <w:t>Pärnu</w:t>
            </w:r>
          </w:p>
        </w:tc>
        <w:tc>
          <w:tcPr>
            <w:tcW w:w="267" w:type="dxa"/>
            <w:noWrap/>
            <w:hideMark/>
          </w:tcPr>
          <w:p w14:paraId="070AB00D" w14:textId="77777777" w:rsidR="00F72778" w:rsidRPr="00413022" w:rsidRDefault="00F72778" w:rsidP="00413022">
            <w:pPr>
              <w:spacing w:before="0" w:line="240" w:lineRule="auto"/>
              <w:jc w:val="center"/>
              <w:rPr>
                <w:rFonts w:asciiTheme="minorBidi" w:hAnsiTheme="minorBidi"/>
                <w:b/>
                <w:sz w:val="18"/>
                <w:szCs w:val="18"/>
              </w:rPr>
            </w:pPr>
          </w:p>
        </w:tc>
        <w:tc>
          <w:tcPr>
            <w:tcW w:w="1194" w:type="dxa"/>
            <w:gridSpan w:val="2"/>
            <w:noWrap/>
            <w:hideMark/>
          </w:tcPr>
          <w:p w14:paraId="40109F31" w14:textId="77777777" w:rsidR="00F72778" w:rsidRPr="00413022" w:rsidRDefault="00F72778" w:rsidP="00413022">
            <w:pPr>
              <w:spacing w:before="0" w:line="240" w:lineRule="auto"/>
              <w:jc w:val="center"/>
              <w:rPr>
                <w:rFonts w:asciiTheme="minorBidi" w:hAnsiTheme="minorBidi"/>
                <w:b/>
                <w:sz w:val="18"/>
                <w:szCs w:val="18"/>
              </w:rPr>
            </w:pPr>
            <w:r w:rsidRPr="00413022">
              <w:rPr>
                <w:rFonts w:asciiTheme="minorBidi" w:hAnsiTheme="minorBidi"/>
                <w:b/>
                <w:sz w:val="18"/>
                <w:szCs w:val="18"/>
              </w:rPr>
              <w:t>Kuressaare</w:t>
            </w:r>
          </w:p>
        </w:tc>
        <w:tc>
          <w:tcPr>
            <w:tcW w:w="267" w:type="dxa"/>
            <w:noWrap/>
            <w:hideMark/>
          </w:tcPr>
          <w:p w14:paraId="58B7E4AE" w14:textId="77777777" w:rsidR="00F72778" w:rsidRPr="00413022" w:rsidRDefault="00F72778" w:rsidP="00413022">
            <w:pPr>
              <w:spacing w:before="0" w:line="240" w:lineRule="auto"/>
              <w:jc w:val="center"/>
              <w:rPr>
                <w:rFonts w:asciiTheme="minorBidi" w:hAnsiTheme="minorBidi"/>
                <w:b/>
                <w:sz w:val="18"/>
                <w:szCs w:val="18"/>
              </w:rPr>
            </w:pPr>
          </w:p>
        </w:tc>
        <w:tc>
          <w:tcPr>
            <w:tcW w:w="1194" w:type="dxa"/>
            <w:gridSpan w:val="2"/>
            <w:noWrap/>
            <w:hideMark/>
          </w:tcPr>
          <w:p w14:paraId="21CCC4CC" w14:textId="77777777" w:rsidR="00F72778" w:rsidRPr="00413022" w:rsidRDefault="00F72778" w:rsidP="00413022">
            <w:pPr>
              <w:spacing w:before="0" w:line="240" w:lineRule="auto"/>
              <w:jc w:val="center"/>
              <w:rPr>
                <w:rFonts w:asciiTheme="minorBidi" w:hAnsiTheme="minorBidi"/>
                <w:b/>
                <w:sz w:val="18"/>
                <w:szCs w:val="18"/>
              </w:rPr>
            </w:pPr>
            <w:r w:rsidRPr="00413022">
              <w:rPr>
                <w:rFonts w:asciiTheme="minorBidi" w:hAnsiTheme="minorBidi"/>
                <w:b/>
                <w:sz w:val="18"/>
                <w:szCs w:val="18"/>
              </w:rPr>
              <w:t>Haapsalu</w:t>
            </w:r>
          </w:p>
        </w:tc>
        <w:tc>
          <w:tcPr>
            <w:tcW w:w="267" w:type="dxa"/>
            <w:noWrap/>
            <w:hideMark/>
          </w:tcPr>
          <w:p w14:paraId="47A69AEE" w14:textId="77777777" w:rsidR="00F72778" w:rsidRPr="00413022" w:rsidRDefault="00F72778" w:rsidP="00413022">
            <w:pPr>
              <w:spacing w:before="0" w:line="240" w:lineRule="auto"/>
              <w:jc w:val="center"/>
              <w:rPr>
                <w:rFonts w:asciiTheme="minorBidi" w:hAnsiTheme="minorBidi"/>
                <w:b/>
                <w:sz w:val="18"/>
                <w:szCs w:val="18"/>
              </w:rPr>
            </w:pPr>
          </w:p>
        </w:tc>
        <w:tc>
          <w:tcPr>
            <w:tcW w:w="1194" w:type="dxa"/>
            <w:gridSpan w:val="2"/>
            <w:noWrap/>
            <w:hideMark/>
          </w:tcPr>
          <w:p w14:paraId="5D92679D" w14:textId="77777777" w:rsidR="00F72778" w:rsidRPr="00413022" w:rsidRDefault="00F72778" w:rsidP="00413022">
            <w:pPr>
              <w:spacing w:before="0" w:line="240" w:lineRule="auto"/>
              <w:jc w:val="center"/>
              <w:rPr>
                <w:rFonts w:asciiTheme="minorBidi" w:hAnsiTheme="minorBidi"/>
                <w:b/>
                <w:sz w:val="18"/>
                <w:szCs w:val="18"/>
              </w:rPr>
            </w:pPr>
            <w:r w:rsidRPr="00413022">
              <w:rPr>
                <w:rFonts w:asciiTheme="minorBidi" w:hAnsiTheme="minorBidi"/>
                <w:b/>
                <w:sz w:val="18"/>
                <w:szCs w:val="18"/>
              </w:rPr>
              <w:t>Narva</w:t>
            </w:r>
          </w:p>
        </w:tc>
        <w:tc>
          <w:tcPr>
            <w:tcW w:w="267" w:type="dxa"/>
            <w:noWrap/>
            <w:hideMark/>
          </w:tcPr>
          <w:p w14:paraId="549DD2FE" w14:textId="77777777" w:rsidR="00F72778" w:rsidRPr="00413022" w:rsidRDefault="00F72778" w:rsidP="00413022">
            <w:pPr>
              <w:spacing w:before="0" w:line="240" w:lineRule="auto"/>
              <w:jc w:val="center"/>
              <w:rPr>
                <w:rFonts w:asciiTheme="minorBidi" w:hAnsiTheme="minorBidi"/>
                <w:b/>
                <w:sz w:val="18"/>
                <w:szCs w:val="18"/>
              </w:rPr>
            </w:pPr>
          </w:p>
        </w:tc>
        <w:tc>
          <w:tcPr>
            <w:tcW w:w="1194" w:type="dxa"/>
            <w:gridSpan w:val="2"/>
            <w:noWrap/>
            <w:hideMark/>
          </w:tcPr>
          <w:p w14:paraId="45B435C3" w14:textId="77777777" w:rsidR="00F72778" w:rsidRPr="00413022" w:rsidRDefault="00F72778" w:rsidP="00413022">
            <w:pPr>
              <w:spacing w:before="0" w:line="240" w:lineRule="auto"/>
              <w:jc w:val="center"/>
              <w:rPr>
                <w:rFonts w:asciiTheme="minorBidi" w:hAnsiTheme="minorBidi"/>
                <w:b/>
                <w:sz w:val="18"/>
                <w:szCs w:val="18"/>
              </w:rPr>
            </w:pPr>
            <w:r w:rsidRPr="00413022">
              <w:rPr>
                <w:rFonts w:asciiTheme="minorBidi" w:hAnsiTheme="minorBidi"/>
                <w:b/>
                <w:sz w:val="18"/>
                <w:szCs w:val="18"/>
              </w:rPr>
              <w:t>Viljandi</w:t>
            </w:r>
          </w:p>
        </w:tc>
        <w:tc>
          <w:tcPr>
            <w:tcW w:w="267" w:type="dxa"/>
            <w:noWrap/>
            <w:hideMark/>
          </w:tcPr>
          <w:p w14:paraId="2D7F4B5D" w14:textId="77777777" w:rsidR="00F72778" w:rsidRPr="00413022" w:rsidRDefault="00F72778" w:rsidP="00413022">
            <w:pPr>
              <w:spacing w:before="0" w:line="240" w:lineRule="auto"/>
              <w:jc w:val="center"/>
              <w:rPr>
                <w:rFonts w:asciiTheme="minorBidi" w:hAnsiTheme="minorBidi"/>
                <w:b/>
                <w:sz w:val="18"/>
                <w:szCs w:val="18"/>
              </w:rPr>
            </w:pPr>
          </w:p>
        </w:tc>
        <w:tc>
          <w:tcPr>
            <w:tcW w:w="1181" w:type="dxa"/>
            <w:gridSpan w:val="2"/>
            <w:noWrap/>
            <w:hideMark/>
          </w:tcPr>
          <w:p w14:paraId="077AFA3E" w14:textId="77777777" w:rsidR="00F72778" w:rsidRPr="00413022" w:rsidRDefault="00F72778" w:rsidP="00413022">
            <w:pPr>
              <w:spacing w:before="0" w:line="240" w:lineRule="auto"/>
              <w:jc w:val="center"/>
              <w:rPr>
                <w:rFonts w:asciiTheme="minorBidi" w:hAnsiTheme="minorBidi"/>
                <w:b/>
                <w:sz w:val="18"/>
                <w:szCs w:val="18"/>
              </w:rPr>
            </w:pPr>
            <w:r w:rsidRPr="00413022">
              <w:rPr>
                <w:rFonts w:asciiTheme="minorBidi" w:hAnsiTheme="minorBidi"/>
                <w:b/>
                <w:sz w:val="18"/>
                <w:szCs w:val="18"/>
              </w:rPr>
              <w:t>Võrumaa</w:t>
            </w:r>
          </w:p>
        </w:tc>
      </w:tr>
      <w:tr w:rsidR="00F72778" w:rsidRPr="00413022" w14:paraId="07182DF9" w14:textId="77777777" w:rsidTr="00382381">
        <w:trPr>
          <w:trHeight w:val="20"/>
        </w:trPr>
        <w:tc>
          <w:tcPr>
            <w:tcW w:w="2875" w:type="dxa"/>
            <w:gridSpan w:val="2"/>
            <w:noWrap/>
            <w:hideMark/>
          </w:tcPr>
          <w:p w14:paraId="655D077D"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lühiajalise üüri kuulutusi</w:t>
            </w:r>
          </w:p>
        </w:tc>
        <w:tc>
          <w:tcPr>
            <w:tcW w:w="267" w:type="dxa"/>
            <w:noWrap/>
            <w:hideMark/>
          </w:tcPr>
          <w:p w14:paraId="3CF53FCB"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279D327A" w14:textId="40F7C33D"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w:t>
            </w:r>
            <w:r w:rsidR="0045207E">
              <w:rPr>
                <w:rFonts w:asciiTheme="minorBidi" w:hAnsiTheme="minorBidi"/>
                <w:sz w:val="18"/>
                <w:szCs w:val="18"/>
              </w:rPr>
              <w:t xml:space="preserve"> </w:t>
            </w:r>
            <w:r w:rsidRPr="00413022">
              <w:rPr>
                <w:rFonts w:asciiTheme="minorBidi" w:hAnsiTheme="minorBidi"/>
                <w:sz w:val="18"/>
                <w:szCs w:val="18"/>
              </w:rPr>
              <w:t>078</w:t>
            </w:r>
          </w:p>
        </w:tc>
        <w:tc>
          <w:tcPr>
            <w:tcW w:w="577" w:type="dxa"/>
            <w:noWrap/>
            <w:hideMark/>
          </w:tcPr>
          <w:p w14:paraId="54A6431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0968C23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2EF914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775</w:t>
            </w:r>
          </w:p>
        </w:tc>
        <w:tc>
          <w:tcPr>
            <w:tcW w:w="597" w:type="dxa"/>
            <w:noWrap/>
            <w:hideMark/>
          </w:tcPr>
          <w:p w14:paraId="0BA5D7D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74572F8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FC6F34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774</w:t>
            </w:r>
          </w:p>
        </w:tc>
        <w:tc>
          <w:tcPr>
            <w:tcW w:w="597" w:type="dxa"/>
            <w:noWrap/>
            <w:hideMark/>
          </w:tcPr>
          <w:p w14:paraId="1E6FF5A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482F37F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6820E9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194</w:t>
            </w:r>
          </w:p>
        </w:tc>
        <w:tc>
          <w:tcPr>
            <w:tcW w:w="597" w:type="dxa"/>
            <w:noWrap/>
            <w:hideMark/>
          </w:tcPr>
          <w:p w14:paraId="5675875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75D7384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C96E3C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133</w:t>
            </w:r>
          </w:p>
        </w:tc>
        <w:tc>
          <w:tcPr>
            <w:tcW w:w="597" w:type="dxa"/>
            <w:noWrap/>
            <w:hideMark/>
          </w:tcPr>
          <w:p w14:paraId="23ADC11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5BD5106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7E32E1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87</w:t>
            </w:r>
          </w:p>
        </w:tc>
        <w:tc>
          <w:tcPr>
            <w:tcW w:w="597" w:type="dxa"/>
            <w:noWrap/>
            <w:hideMark/>
          </w:tcPr>
          <w:p w14:paraId="016BE6B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237E194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79D624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91</w:t>
            </w:r>
          </w:p>
        </w:tc>
        <w:tc>
          <w:tcPr>
            <w:tcW w:w="597" w:type="dxa"/>
            <w:noWrap/>
            <w:hideMark/>
          </w:tcPr>
          <w:p w14:paraId="2BCF67A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4EC8B34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492B8C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166</w:t>
            </w:r>
          </w:p>
        </w:tc>
        <w:tc>
          <w:tcPr>
            <w:tcW w:w="597" w:type="dxa"/>
            <w:noWrap/>
            <w:hideMark/>
          </w:tcPr>
          <w:p w14:paraId="0BC7B28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r>
      <w:tr w:rsidR="00F72778" w:rsidRPr="00413022" w14:paraId="6A5E1358" w14:textId="77777777" w:rsidTr="00382381">
        <w:trPr>
          <w:trHeight w:val="20"/>
        </w:trPr>
        <w:tc>
          <w:tcPr>
            <w:tcW w:w="2875" w:type="dxa"/>
            <w:gridSpan w:val="2"/>
            <w:noWrap/>
            <w:hideMark/>
          </w:tcPr>
          <w:p w14:paraId="45A86FE4"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aktiivseid LÜT kuulutusi</w:t>
            </w:r>
          </w:p>
        </w:tc>
        <w:tc>
          <w:tcPr>
            <w:tcW w:w="267" w:type="dxa"/>
            <w:noWrap/>
            <w:hideMark/>
          </w:tcPr>
          <w:p w14:paraId="69D94DC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50899DDD" w14:textId="203D32AD"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r w:rsidR="0045207E">
              <w:rPr>
                <w:rFonts w:asciiTheme="minorBidi" w:hAnsiTheme="minorBidi"/>
                <w:sz w:val="18"/>
                <w:szCs w:val="18"/>
              </w:rPr>
              <w:t xml:space="preserve"> </w:t>
            </w:r>
            <w:r w:rsidRPr="00413022">
              <w:rPr>
                <w:rFonts w:asciiTheme="minorBidi" w:hAnsiTheme="minorBidi"/>
                <w:sz w:val="18"/>
                <w:szCs w:val="18"/>
              </w:rPr>
              <w:t>914</w:t>
            </w:r>
          </w:p>
        </w:tc>
        <w:tc>
          <w:tcPr>
            <w:tcW w:w="577" w:type="dxa"/>
            <w:noWrap/>
            <w:hideMark/>
          </w:tcPr>
          <w:p w14:paraId="4A7A079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46812F2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4FBA19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451</w:t>
            </w:r>
          </w:p>
        </w:tc>
        <w:tc>
          <w:tcPr>
            <w:tcW w:w="597" w:type="dxa"/>
            <w:noWrap/>
            <w:hideMark/>
          </w:tcPr>
          <w:p w14:paraId="247332A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726B738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F3CF99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239</w:t>
            </w:r>
          </w:p>
        </w:tc>
        <w:tc>
          <w:tcPr>
            <w:tcW w:w="597" w:type="dxa"/>
            <w:noWrap/>
            <w:hideMark/>
          </w:tcPr>
          <w:p w14:paraId="013FB1A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038F3C6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290DAC2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75</w:t>
            </w:r>
          </w:p>
        </w:tc>
        <w:tc>
          <w:tcPr>
            <w:tcW w:w="597" w:type="dxa"/>
            <w:noWrap/>
            <w:hideMark/>
          </w:tcPr>
          <w:p w14:paraId="0C929DB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6FB815A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422BBE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49</w:t>
            </w:r>
          </w:p>
        </w:tc>
        <w:tc>
          <w:tcPr>
            <w:tcW w:w="597" w:type="dxa"/>
            <w:noWrap/>
            <w:hideMark/>
          </w:tcPr>
          <w:p w14:paraId="438EAF0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53DDAF4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7A99394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56</w:t>
            </w:r>
          </w:p>
        </w:tc>
        <w:tc>
          <w:tcPr>
            <w:tcW w:w="597" w:type="dxa"/>
            <w:noWrap/>
            <w:hideMark/>
          </w:tcPr>
          <w:p w14:paraId="63379C3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67706C4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EF7B80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52</w:t>
            </w:r>
          </w:p>
        </w:tc>
        <w:tc>
          <w:tcPr>
            <w:tcW w:w="597" w:type="dxa"/>
            <w:noWrap/>
            <w:hideMark/>
          </w:tcPr>
          <w:p w14:paraId="605B367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264531D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7970C2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73</w:t>
            </w:r>
          </w:p>
        </w:tc>
        <w:tc>
          <w:tcPr>
            <w:tcW w:w="597" w:type="dxa"/>
            <w:noWrap/>
            <w:hideMark/>
          </w:tcPr>
          <w:p w14:paraId="08BA33B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r>
      <w:tr w:rsidR="00F72778" w:rsidRPr="00413022" w14:paraId="7B58A7A1" w14:textId="77777777" w:rsidTr="00382381">
        <w:trPr>
          <w:trHeight w:val="20"/>
        </w:trPr>
        <w:tc>
          <w:tcPr>
            <w:tcW w:w="14849" w:type="dxa"/>
            <w:gridSpan w:val="26"/>
            <w:noWrap/>
            <w:hideMark/>
          </w:tcPr>
          <w:p w14:paraId="36191573"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r>
      <w:tr w:rsidR="00F72778" w:rsidRPr="00413022" w14:paraId="772FC71D" w14:textId="77777777" w:rsidTr="00382381">
        <w:trPr>
          <w:trHeight w:val="20"/>
        </w:trPr>
        <w:tc>
          <w:tcPr>
            <w:tcW w:w="1358" w:type="dxa"/>
            <w:noWrap/>
            <w:hideMark/>
          </w:tcPr>
          <w:p w14:paraId="1323B6F0"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magamistube</w:t>
            </w:r>
          </w:p>
        </w:tc>
        <w:tc>
          <w:tcPr>
            <w:tcW w:w="1517" w:type="dxa"/>
            <w:noWrap/>
            <w:hideMark/>
          </w:tcPr>
          <w:p w14:paraId="5C2DDAF2" w14:textId="77777777" w:rsidR="00F72778" w:rsidRPr="00413022" w:rsidRDefault="00F72778" w:rsidP="00413022">
            <w:pPr>
              <w:spacing w:before="0" w:line="240" w:lineRule="auto"/>
              <w:jc w:val="center"/>
              <w:rPr>
                <w:rFonts w:asciiTheme="minorBidi" w:hAnsiTheme="minorBidi"/>
                <w:sz w:val="18"/>
                <w:szCs w:val="18"/>
              </w:rPr>
            </w:pPr>
            <w:r w:rsidRPr="00413022">
              <w:rPr>
                <w:rFonts w:asciiTheme="minorBidi" w:hAnsiTheme="minorBidi"/>
                <w:sz w:val="18"/>
                <w:szCs w:val="18"/>
              </w:rPr>
              <w:t>1</w:t>
            </w:r>
          </w:p>
        </w:tc>
        <w:tc>
          <w:tcPr>
            <w:tcW w:w="267" w:type="dxa"/>
            <w:noWrap/>
            <w:hideMark/>
          </w:tcPr>
          <w:p w14:paraId="663553DF"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26DF89AD" w14:textId="7FCC245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r w:rsidR="0045207E">
              <w:rPr>
                <w:rFonts w:asciiTheme="minorBidi" w:hAnsiTheme="minorBidi"/>
                <w:sz w:val="18"/>
                <w:szCs w:val="18"/>
              </w:rPr>
              <w:t xml:space="preserve"> </w:t>
            </w:r>
            <w:r w:rsidRPr="00413022">
              <w:rPr>
                <w:rFonts w:asciiTheme="minorBidi" w:hAnsiTheme="minorBidi"/>
                <w:sz w:val="18"/>
                <w:szCs w:val="18"/>
              </w:rPr>
              <w:t>278</w:t>
            </w:r>
          </w:p>
        </w:tc>
        <w:tc>
          <w:tcPr>
            <w:tcW w:w="577" w:type="dxa"/>
            <w:noWrap/>
            <w:hideMark/>
          </w:tcPr>
          <w:p w14:paraId="68B1686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74%</w:t>
            </w:r>
          </w:p>
        </w:tc>
        <w:tc>
          <w:tcPr>
            <w:tcW w:w="267" w:type="dxa"/>
            <w:noWrap/>
            <w:hideMark/>
          </w:tcPr>
          <w:p w14:paraId="78FECD8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21F578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581</w:t>
            </w:r>
          </w:p>
        </w:tc>
        <w:tc>
          <w:tcPr>
            <w:tcW w:w="597" w:type="dxa"/>
            <w:noWrap/>
            <w:hideMark/>
          </w:tcPr>
          <w:p w14:paraId="676EE6A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75%</w:t>
            </w:r>
          </w:p>
        </w:tc>
        <w:tc>
          <w:tcPr>
            <w:tcW w:w="267" w:type="dxa"/>
            <w:noWrap/>
            <w:hideMark/>
          </w:tcPr>
          <w:p w14:paraId="2494AA5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765741C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550</w:t>
            </w:r>
          </w:p>
        </w:tc>
        <w:tc>
          <w:tcPr>
            <w:tcW w:w="597" w:type="dxa"/>
            <w:noWrap/>
            <w:hideMark/>
          </w:tcPr>
          <w:p w14:paraId="0C83C41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71%</w:t>
            </w:r>
          </w:p>
        </w:tc>
        <w:tc>
          <w:tcPr>
            <w:tcW w:w="267" w:type="dxa"/>
            <w:noWrap/>
            <w:hideMark/>
          </w:tcPr>
          <w:p w14:paraId="36067AC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1A1D92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149</w:t>
            </w:r>
          </w:p>
        </w:tc>
        <w:tc>
          <w:tcPr>
            <w:tcW w:w="597" w:type="dxa"/>
            <w:noWrap/>
            <w:hideMark/>
          </w:tcPr>
          <w:p w14:paraId="2914560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77%</w:t>
            </w:r>
          </w:p>
        </w:tc>
        <w:tc>
          <w:tcPr>
            <w:tcW w:w="267" w:type="dxa"/>
            <w:noWrap/>
            <w:hideMark/>
          </w:tcPr>
          <w:p w14:paraId="0C343DF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B3A82F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138</w:t>
            </w:r>
          </w:p>
        </w:tc>
        <w:tc>
          <w:tcPr>
            <w:tcW w:w="597" w:type="dxa"/>
            <w:noWrap/>
            <w:hideMark/>
          </w:tcPr>
          <w:p w14:paraId="1EBE8A0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71%</w:t>
            </w:r>
          </w:p>
        </w:tc>
        <w:tc>
          <w:tcPr>
            <w:tcW w:w="267" w:type="dxa"/>
            <w:noWrap/>
            <w:hideMark/>
          </w:tcPr>
          <w:p w14:paraId="0EC2220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89F7D0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175</w:t>
            </w:r>
          </w:p>
        </w:tc>
        <w:tc>
          <w:tcPr>
            <w:tcW w:w="597" w:type="dxa"/>
            <w:noWrap/>
            <w:hideMark/>
          </w:tcPr>
          <w:p w14:paraId="298CF26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90%</w:t>
            </w:r>
          </w:p>
        </w:tc>
        <w:tc>
          <w:tcPr>
            <w:tcW w:w="267" w:type="dxa"/>
            <w:noWrap/>
            <w:hideMark/>
          </w:tcPr>
          <w:p w14:paraId="1F3D1AD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63C4CE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153</w:t>
            </w:r>
          </w:p>
        </w:tc>
        <w:tc>
          <w:tcPr>
            <w:tcW w:w="597" w:type="dxa"/>
            <w:noWrap/>
            <w:hideMark/>
          </w:tcPr>
          <w:p w14:paraId="525F11B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79%</w:t>
            </w:r>
          </w:p>
        </w:tc>
        <w:tc>
          <w:tcPr>
            <w:tcW w:w="267" w:type="dxa"/>
            <w:noWrap/>
            <w:hideMark/>
          </w:tcPr>
          <w:p w14:paraId="24382EA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A621F2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113</w:t>
            </w:r>
          </w:p>
        </w:tc>
        <w:tc>
          <w:tcPr>
            <w:tcW w:w="597" w:type="dxa"/>
            <w:noWrap/>
            <w:hideMark/>
          </w:tcPr>
          <w:p w14:paraId="4151B8E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58%</w:t>
            </w:r>
          </w:p>
        </w:tc>
      </w:tr>
      <w:tr w:rsidR="00F72778" w:rsidRPr="00413022" w14:paraId="6A389E99" w14:textId="77777777" w:rsidTr="00382381">
        <w:trPr>
          <w:trHeight w:val="20"/>
        </w:trPr>
        <w:tc>
          <w:tcPr>
            <w:tcW w:w="1358" w:type="dxa"/>
            <w:noWrap/>
            <w:hideMark/>
          </w:tcPr>
          <w:p w14:paraId="7EF6A921"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57C35218" w14:textId="77777777" w:rsidR="00F72778" w:rsidRPr="00413022" w:rsidRDefault="00F72778" w:rsidP="00413022">
            <w:pPr>
              <w:spacing w:before="0" w:line="240" w:lineRule="auto"/>
              <w:jc w:val="center"/>
              <w:rPr>
                <w:rFonts w:asciiTheme="minorBidi" w:hAnsiTheme="minorBidi"/>
                <w:sz w:val="18"/>
                <w:szCs w:val="18"/>
              </w:rPr>
            </w:pPr>
            <w:r w:rsidRPr="00413022">
              <w:rPr>
                <w:rFonts w:asciiTheme="minorBidi" w:hAnsiTheme="minorBidi"/>
                <w:sz w:val="18"/>
                <w:szCs w:val="18"/>
              </w:rPr>
              <w:t>2</w:t>
            </w:r>
          </w:p>
        </w:tc>
        <w:tc>
          <w:tcPr>
            <w:tcW w:w="267" w:type="dxa"/>
            <w:noWrap/>
            <w:hideMark/>
          </w:tcPr>
          <w:p w14:paraId="7B314D57"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2D70EEA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585</w:t>
            </w:r>
          </w:p>
        </w:tc>
        <w:tc>
          <w:tcPr>
            <w:tcW w:w="577" w:type="dxa"/>
            <w:noWrap/>
            <w:hideMark/>
          </w:tcPr>
          <w:p w14:paraId="608053C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19%</w:t>
            </w:r>
          </w:p>
        </w:tc>
        <w:tc>
          <w:tcPr>
            <w:tcW w:w="267" w:type="dxa"/>
            <w:noWrap/>
            <w:hideMark/>
          </w:tcPr>
          <w:p w14:paraId="361C0F8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D8D8EE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140</w:t>
            </w:r>
          </w:p>
        </w:tc>
        <w:tc>
          <w:tcPr>
            <w:tcW w:w="597" w:type="dxa"/>
            <w:noWrap/>
            <w:hideMark/>
          </w:tcPr>
          <w:p w14:paraId="6AAF34D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18%</w:t>
            </w:r>
          </w:p>
        </w:tc>
        <w:tc>
          <w:tcPr>
            <w:tcW w:w="267" w:type="dxa"/>
            <w:noWrap/>
            <w:hideMark/>
          </w:tcPr>
          <w:p w14:paraId="5E8AF38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3AE1AB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163</w:t>
            </w:r>
          </w:p>
        </w:tc>
        <w:tc>
          <w:tcPr>
            <w:tcW w:w="597" w:type="dxa"/>
            <w:noWrap/>
            <w:hideMark/>
          </w:tcPr>
          <w:p w14:paraId="1944156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21%</w:t>
            </w:r>
          </w:p>
        </w:tc>
        <w:tc>
          <w:tcPr>
            <w:tcW w:w="267" w:type="dxa"/>
            <w:noWrap/>
            <w:hideMark/>
          </w:tcPr>
          <w:p w14:paraId="63F512D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BE08B7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29</w:t>
            </w:r>
          </w:p>
        </w:tc>
        <w:tc>
          <w:tcPr>
            <w:tcW w:w="597" w:type="dxa"/>
            <w:noWrap/>
            <w:hideMark/>
          </w:tcPr>
          <w:p w14:paraId="0053010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15%</w:t>
            </w:r>
          </w:p>
        </w:tc>
        <w:tc>
          <w:tcPr>
            <w:tcW w:w="267" w:type="dxa"/>
            <w:noWrap/>
            <w:hideMark/>
          </w:tcPr>
          <w:p w14:paraId="0B5BA7F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6466AB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43</w:t>
            </w:r>
          </w:p>
        </w:tc>
        <w:tc>
          <w:tcPr>
            <w:tcW w:w="597" w:type="dxa"/>
            <w:noWrap/>
            <w:hideMark/>
          </w:tcPr>
          <w:p w14:paraId="6678F67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22%</w:t>
            </w:r>
          </w:p>
        </w:tc>
        <w:tc>
          <w:tcPr>
            <w:tcW w:w="267" w:type="dxa"/>
            <w:noWrap/>
            <w:hideMark/>
          </w:tcPr>
          <w:p w14:paraId="499417C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1614AB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16</w:t>
            </w:r>
          </w:p>
        </w:tc>
        <w:tc>
          <w:tcPr>
            <w:tcW w:w="597" w:type="dxa"/>
            <w:noWrap/>
            <w:hideMark/>
          </w:tcPr>
          <w:p w14:paraId="1C7C406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w:t>
            </w:r>
          </w:p>
        </w:tc>
        <w:tc>
          <w:tcPr>
            <w:tcW w:w="267" w:type="dxa"/>
            <w:noWrap/>
            <w:hideMark/>
          </w:tcPr>
          <w:p w14:paraId="65BE59F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28D862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35</w:t>
            </w:r>
          </w:p>
        </w:tc>
        <w:tc>
          <w:tcPr>
            <w:tcW w:w="597" w:type="dxa"/>
            <w:noWrap/>
            <w:hideMark/>
          </w:tcPr>
          <w:p w14:paraId="1A60A64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18%</w:t>
            </w:r>
          </w:p>
        </w:tc>
        <w:tc>
          <w:tcPr>
            <w:tcW w:w="267" w:type="dxa"/>
            <w:noWrap/>
            <w:hideMark/>
          </w:tcPr>
          <w:p w14:paraId="08D8451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BDF65E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45</w:t>
            </w:r>
          </w:p>
        </w:tc>
        <w:tc>
          <w:tcPr>
            <w:tcW w:w="597" w:type="dxa"/>
            <w:noWrap/>
            <w:hideMark/>
          </w:tcPr>
          <w:p w14:paraId="745489D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23%</w:t>
            </w:r>
          </w:p>
        </w:tc>
      </w:tr>
      <w:tr w:rsidR="00F72778" w:rsidRPr="00413022" w14:paraId="3FE8301C" w14:textId="77777777" w:rsidTr="00382381">
        <w:trPr>
          <w:trHeight w:val="20"/>
        </w:trPr>
        <w:tc>
          <w:tcPr>
            <w:tcW w:w="1358" w:type="dxa"/>
            <w:noWrap/>
            <w:hideMark/>
          </w:tcPr>
          <w:p w14:paraId="192934EB"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5CDFCCF9" w14:textId="77777777" w:rsidR="00F72778" w:rsidRPr="00413022" w:rsidRDefault="00F72778" w:rsidP="00413022">
            <w:pPr>
              <w:spacing w:before="0" w:line="240" w:lineRule="auto"/>
              <w:jc w:val="center"/>
              <w:rPr>
                <w:rFonts w:asciiTheme="minorBidi" w:hAnsiTheme="minorBidi"/>
                <w:sz w:val="18"/>
                <w:szCs w:val="18"/>
              </w:rPr>
            </w:pPr>
            <w:r w:rsidRPr="00413022">
              <w:rPr>
                <w:rFonts w:asciiTheme="minorBidi" w:hAnsiTheme="minorBidi"/>
                <w:sz w:val="18"/>
                <w:szCs w:val="18"/>
              </w:rPr>
              <w:t>3</w:t>
            </w:r>
          </w:p>
        </w:tc>
        <w:tc>
          <w:tcPr>
            <w:tcW w:w="267" w:type="dxa"/>
            <w:noWrap/>
            <w:hideMark/>
          </w:tcPr>
          <w:p w14:paraId="10C74FBD"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494AD2F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185</w:t>
            </w:r>
          </w:p>
        </w:tc>
        <w:tc>
          <w:tcPr>
            <w:tcW w:w="577" w:type="dxa"/>
            <w:noWrap/>
            <w:hideMark/>
          </w:tcPr>
          <w:p w14:paraId="568CF8C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w:t>
            </w:r>
          </w:p>
        </w:tc>
        <w:tc>
          <w:tcPr>
            <w:tcW w:w="267" w:type="dxa"/>
            <w:noWrap/>
            <w:hideMark/>
          </w:tcPr>
          <w:p w14:paraId="793074A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2F7473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31</w:t>
            </w:r>
          </w:p>
        </w:tc>
        <w:tc>
          <w:tcPr>
            <w:tcW w:w="597" w:type="dxa"/>
            <w:noWrap/>
            <w:hideMark/>
          </w:tcPr>
          <w:p w14:paraId="7374C7A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w:t>
            </w:r>
          </w:p>
        </w:tc>
        <w:tc>
          <w:tcPr>
            <w:tcW w:w="267" w:type="dxa"/>
            <w:noWrap/>
            <w:hideMark/>
          </w:tcPr>
          <w:p w14:paraId="621C18F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AF7EBD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46</w:t>
            </w:r>
          </w:p>
        </w:tc>
        <w:tc>
          <w:tcPr>
            <w:tcW w:w="597" w:type="dxa"/>
            <w:noWrap/>
            <w:hideMark/>
          </w:tcPr>
          <w:p w14:paraId="441F84F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w:t>
            </w:r>
          </w:p>
        </w:tc>
        <w:tc>
          <w:tcPr>
            <w:tcW w:w="267" w:type="dxa"/>
            <w:noWrap/>
            <w:hideMark/>
          </w:tcPr>
          <w:p w14:paraId="083C433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AEB156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10</w:t>
            </w:r>
          </w:p>
        </w:tc>
        <w:tc>
          <w:tcPr>
            <w:tcW w:w="597" w:type="dxa"/>
            <w:noWrap/>
            <w:hideMark/>
          </w:tcPr>
          <w:p w14:paraId="77A1FA3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w:t>
            </w:r>
          </w:p>
        </w:tc>
        <w:tc>
          <w:tcPr>
            <w:tcW w:w="267" w:type="dxa"/>
            <w:noWrap/>
            <w:hideMark/>
          </w:tcPr>
          <w:p w14:paraId="1C0A223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BCEB3C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12</w:t>
            </w:r>
          </w:p>
        </w:tc>
        <w:tc>
          <w:tcPr>
            <w:tcW w:w="597" w:type="dxa"/>
            <w:noWrap/>
            <w:hideMark/>
          </w:tcPr>
          <w:p w14:paraId="53D49EE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w:t>
            </w:r>
          </w:p>
        </w:tc>
        <w:tc>
          <w:tcPr>
            <w:tcW w:w="267" w:type="dxa"/>
            <w:noWrap/>
            <w:hideMark/>
          </w:tcPr>
          <w:p w14:paraId="1EE1FA0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E42027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p>
        </w:tc>
        <w:tc>
          <w:tcPr>
            <w:tcW w:w="597" w:type="dxa"/>
            <w:noWrap/>
            <w:hideMark/>
          </w:tcPr>
          <w:p w14:paraId="2566395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c>
          <w:tcPr>
            <w:tcW w:w="267" w:type="dxa"/>
            <w:noWrap/>
            <w:hideMark/>
          </w:tcPr>
          <w:p w14:paraId="5DB3C1A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41A3E0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w:t>
            </w:r>
          </w:p>
        </w:tc>
        <w:tc>
          <w:tcPr>
            <w:tcW w:w="597" w:type="dxa"/>
            <w:noWrap/>
            <w:hideMark/>
          </w:tcPr>
          <w:p w14:paraId="0DCB4CA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w:t>
            </w:r>
          </w:p>
        </w:tc>
        <w:tc>
          <w:tcPr>
            <w:tcW w:w="267" w:type="dxa"/>
            <w:noWrap/>
            <w:hideMark/>
          </w:tcPr>
          <w:p w14:paraId="4B481A3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2822029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21</w:t>
            </w:r>
          </w:p>
        </w:tc>
        <w:tc>
          <w:tcPr>
            <w:tcW w:w="597" w:type="dxa"/>
            <w:noWrap/>
            <w:hideMark/>
          </w:tcPr>
          <w:p w14:paraId="3BC9986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11%</w:t>
            </w:r>
          </w:p>
        </w:tc>
      </w:tr>
      <w:tr w:rsidR="00F72778" w:rsidRPr="00413022" w14:paraId="68762CD7" w14:textId="77777777" w:rsidTr="00382381">
        <w:trPr>
          <w:trHeight w:val="20"/>
        </w:trPr>
        <w:tc>
          <w:tcPr>
            <w:tcW w:w="1358" w:type="dxa"/>
            <w:noWrap/>
            <w:hideMark/>
          </w:tcPr>
          <w:p w14:paraId="498A7EB5"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612BCC1B" w14:textId="77777777" w:rsidR="00F72778" w:rsidRPr="00413022" w:rsidRDefault="00F72778" w:rsidP="00413022">
            <w:pPr>
              <w:spacing w:before="0" w:line="240" w:lineRule="auto"/>
              <w:jc w:val="center"/>
              <w:rPr>
                <w:rFonts w:asciiTheme="minorBidi" w:hAnsiTheme="minorBidi"/>
                <w:sz w:val="18"/>
                <w:szCs w:val="18"/>
              </w:rPr>
            </w:pPr>
            <w:r w:rsidRPr="00413022">
              <w:rPr>
                <w:rFonts w:asciiTheme="minorBidi" w:hAnsiTheme="minorBidi"/>
                <w:sz w:val="18"/>
                <w:szCs w:val="18"/>
              </w:rPr>
              <w:t>4</w:t>
            </w:r>
          </w:p>
        </w:tc>
        <w:tc>
          <w:tcPr>
            <w:tcW w:w="267" w:type="dxa"/>
            <w:noWrap/>
            <w:hideMark/>
          </w:tcPr>
          <w:p w14:paraId="6842064B"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47F846F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31</w:t>
            </w:r>
          </w:p>
        </w:tc>
        <w:tc>
          <w:tcPr>
            <w:tcW w:w="577" w:type="dxa"/>
            <w:noWrap/>
            <w:hideMark/>
          </w:tcPr>
          <w:p w14:paraId="1AC70B6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c>
          <w:tcPr>
            <w:tcW w:w="267" w:type="dxa"/>
            <w:noWrap/>
            <w:hideMark/>
          </w:tcPr>
          <w:p w14:paraId="610E606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7F959A1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16</w:t>
            </w:r>
          </w:p>
        </w:tc>
        <w:tc>
          <w:tcPr>
            <w:tcW w:w="597" w:type="dxa"/>
            <w:noWrap/>
            <w:hideMark/>
          </w:tcPr>
          <w:p w14:paraId="294597E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p>
        </w:tc>
        <w:tc>
          <w:tcPr>
            <w:tcW w:w="267" w:type="dxa"/>
            <w:noWrap/>
            <w:hideMark/>
          </w:tcPr>
          <w:p w14:paraId="6DE09B0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CA86B4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w:t>
            </w:r>
          </w:p>
        </w:tc>
        <w:tc>
          <w:tcPr>
            <w:tcW w:w="597" w:type="dxa"/>
            <w:noWrap/>
            <w:hideMark/>
          </w:tcPr>
          <w:p w14:paraId="4427857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c>
          <w:tcPr>
            <w:tcW w:w="267" w:type="dxa"/>
            <w:noWrap/>
            <w:hideMark/>
          </w:tcPr>
          <w:p w14:paraId="3B36F7F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6D2EC1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w:t>
            </w:r>
          </w:p>
        </w:tc>
        <w:tc>
          <w:tcPr>
            <w:tcW w:w="597" w:type="dxa"/>
            <w:noWrap/>
            <w:hideMark/>
          </w:tcPr>
          <w:p w14:paraId="24B7D46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w:t>
            </w:r>
          </w:p>
        </w:tc>
        <w:tc>
          <w:tcPr>
            <w:tcW w:w="267" w:type="dxa"/>
            <w:noWrap/>
            <w:hideMark/>
          </w:tcPr>
          <w:p w14:paraId="3B5CF13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779E13A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p>
        </w:tc>
        <w:tc>
          <w:tcPr>
            <w:tcW w:w="597" w:type="dxa"/>
            <w:noWrap/>
            <w:hideMark/>
          </w:tcPr>
          <w:p w14:paraId="0665F87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c>
          <w:tcPr>
            <w:tcW w:w="267" w:type="dxa"/>
            <w:noWrap/>
            <w:hideMark/>
          </w:tcPr>
          <w:p w14:paraId="10F9C99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9B88AD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597" w:type="dxa"/>
            <w:noWrap/>
            <w:hideMark/>
          </w:tcPr>
          <w:p w14:paraId="17B2344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267" w:type="dxa"/>
            <w:noWrap/>
            <w:hideMark/>
          </w:tcPr>
          <w:p w14:paraId="2A8CD5D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77F4ACF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597" w:type="dxa"/>
            <w:noWrap/>
            <w:hideMark/>
          </w:tcPr>
          <w:p w14:paraId="009B5B7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267" w:type="dxa"/>
            <w:noWrap/>
            <w:hideMark/>
          </w:tcPr>
          <w:p w14:paraId="63119E4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5F1074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w:t>
            </w:r>
          </w:p>
        </w:tc>
        <w:tc>
          <w:tcPr>
            <w:tcW w:w="597" w:type="dxa"/>
            <w:noWrap/>
            <w:hideMark/>
          </w:tcPr>
          <w:p w14:paraId="7AB0B75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w:t>
            </w:r>
          </w:p>
        </w:tc>
      </w:tr>
      <w:tr w:rsidR="00F72778" w:rsidRPr="00413022" w14:paraId="7055A5EF" w14:textId="77777777" w:rsidTr="00382381">
        <w:trPr>
          <w:trHeight w:val="20"/>
        </w:trPr>
        <w:tc>
          <w:tcPr>
            <w:tcW w:w="1358" w:type="dxa"/>
            <w:noWrap/>
            <w:hideMark/>
          </w:tcPr>
          <w:p w14:paraId="18A322C7"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4579EAA2" w14:textId="77777777" w:rsidR="00F72778" w:rsidRPr="00413022" w:rsidRDefault="00F72778" w:rsidP="00413022">
            <w:pPr>
              <w:spacing w:before="0" w:line="240" w:lineRule="auto"/>
              <w:jc w:val="center"/>
              <w:rPr>
                <w:rFonts w:asciiTheme="minorBidi" w:hAnsiTheme="minorBidi"/>
                <w:sz w:val="18"/>
                <w:szCs w:val="18"/>
              </w:rPr>
            </w:pPr>
            <w:r w:rsidRPr="00413022">
              <w:rPr>
                <w:rFonts w:asciiTheme="minorBidi" w:hAnsiTheme="minorBidi"/>
                <w:sz w:val="18"/>
                <w:szCs w:val="18"/>
              </w:rPr>
              <w:t>5</w:t>
            </w:r>
          </w:p>
        </w:tc>
        <w:tc>
          <w:tcPr>
            <w:tcW w:w="267" w:type="dxa"/>
            <w:noWrap/>
            <w:hideMark/>
          </w:tcPr>
          <w:p w14:paraId="712B277C"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1F96A9B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31</w:t>
            </w:r>
          </w:p>
        </w:tc>
        <w:tc>
          <w:tcPr>
            <w:tcW w:w="577" w:type="dxa"/>
            <w:noWrap/>
            <w:hideMark/>
          </w:tcPr>
          <w:p w14:paraId="71F8EFF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c>
          <w:tcPr>
            <w:tcW w:w="267" w:type="dxa"/>
            <w:noWrap/>
            <w:hideMark/>
          </w:tcPr>
          <w:p w14:paraId="761BFDC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2AE383C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w:t>
            </w:r>
          </w:p>
        </w:tc>
        <w:tc>
          <w:tcPr>
            <w:tcW w:w="597" w:type="dxa"/>
            <w:noWrap/>
            <w:hideMark/>
          </w:tcPr>
          <w:p w14:paraId="7542291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c>
          <w:tcPr>
            <w:tcW w:w="267" w:type="dxa"/>
            <w:noWrap/>
            <w:hideMark/>
          </w:tcPr>
          <w:p w14:paraId="062FA7C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D45704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w:t>
            </w:r>
          </w:p>
        </w:tc>
        <w:tc>
          <w:tcPr>
            <w:tcW w:w="597" w:type="dxa"/>
            <w:noWrap/>
            <w:hideMark/>
          </w:tcPr>
          <w:p w14:paraId="1BF09FC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c>
          <w:tcPr>
            <w:tcW w:w="267" w:type="dxa"/>
            <w:noWrap/>
            <w:hideMark/>
          </w:tcPr>
          <w:p w14:paraId="792F067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C18B7C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p>
        </w:tc>
        <w:tc>
          <w:tcPr>
            <w:tcW w:w="597" w:type="dxa"/>
            <w:noWrap/>
            <w:hideMark/>
          </w:tcPr>
          <w:p w14:paraId="7B4F73D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c>
          <w:tcPr>
            <w:tcW w:w="267" w:type="dxa"/>
            <w:noWrap/>
            <w:hideMark/>
          </w:tcPr>
          <w:p w14:paraId="321C909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CE3F0C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p>
        </w:tc>
        <w:tc>
          <w:tcPr>
            <w:tcW w:w="597" w:type="dxa"/>
            <w:noWrap/>
            <w:hideMark/>
          </w:tcPr>
          <w:p w14:paraId="1F981EA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c>
          <w:tcPr>
            <w:tcW w:w="267" w:type="dxa"/>
            <w:noWrap/>
            <w:hideMark/>
          </w:tcPr>
          <w:p w14:paraId="29DC3D1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120681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p>
        </w:tc>
        <w:tc>
          <w:tcPr>
            <w:tcW w:w="597" w:type="dxa"/>
            <w:noWrap/>
            <w:hideMark/>
          </w:tcPr>
          <w:p w14:paraId="5345C77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c>
          <w:tcPr>
            <w:tcW w:w="267" w:type="dxa"/>
            <w:noWrap/>
            <w:hideMark/>
          </w:tcPr>
          <w:p w14:paraId="3702184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669CD8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597" w:type="dxa"/>
            <w:noWrap/>
            <w:hideMark/>
          </w:tcPr>
          <w:p w14:paraId="03FFAD2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267" w:type="dxa"/>
            <w:noWrap/>
            <w:hideMark/>
          </w:tcPr>
          <w:p w14:paraId="02A2B8F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79DAE1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w:t>
            </w:r>
          </w:p>
        </w:tc>
        <w:tc>
          <w:tcPr>
            <w:tcW w:w="597" w:type="dxa"/>
            <w:noWrap/>
            <w:hideMark/>
          </w:tcPr>
          <w:p w14:paraId="372DBA6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w:t>
            </w:r>
          </w:p>
        </w:tc>
      </w:tr>
      <w:tr w:rsidR="00F72778" w:rsidRPr="00413022" w14:paraId="44975003" w14:textId="77777777" w:rsidTr="00382381">
        <w:trPr>
          <w:trHeight w:val="138"/>
        </w:trPr>
        <w:tc>
          <w:tcPr>
            <w:tcW w:w="14849" w:type="dxa"/>
            <w:gridSpan w:val="26"/>
            <w:noWrap/>
            <w:hideMark/>
          </w:tcPr>
          <w:p w14:paraId="20CBC6D3"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r>
      <w:tr w:rsidR="00F72778" w:rsidRPr="00413022" w14:paraId="1CF01B15" w14:textId="77777777" w:rsidTr="00382381">
        <w:trPr>
          <w:trHeight w:val="20"/>
        </w:trPr>
        <w:tc>
          <w:tcPr>
            <w:tcW w:w="1358" w:type="dxa"/>
            <w:noWrap/>
            <w:hideMark/>
          </w:tcPr>
          <w:p w14:paraId="7BE5683D"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saadavus</w:t>
            </w:r>
          </w:p>
        </w:tc>
        <w:tc>
          <w:tcPr>
            <w:tcW w:w="1517" w:type="dxa"/>
            <w:noWrap/>
            <w:hideMark/>
          </w:tcPr>
          <w:p w14:paraId="2ADCF49B"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1-90 p</w:t>
            </w:r>
          </w:p>
        </w:tc>
        <w:tc>
          <w:tcPr>
            <w:tcW w:w="267" w:type="dxa"/>
            <w:noWrap/>
            <w:hideMark/>
          </w:tcPr>
          <w:p w14:paraId="79A0AF4E"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24722AB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985</w:t>
            </w:r>
          </w:p>
        </w:tc>
        <w:tc>
          <w:tcPr>
            <w:tcW w:w="577" w:type="dxa"/>
            <w:noWrap/>
            <w:hideMark/>
          </w:tcPr>
          <w:p w14:paraId="4ADE619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32%</w:t>
            </w:r>
          </w:p>
        </w:tc>
        <w:tc>
          <w:tcPr>
            <w:tcW w:w="267" w:type="dxa"/>
            <w:noWrap/>
            <w:hideMark/>
          </w:tcPr>
          <w:p w14:paraId="50538C6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03EAA2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271</w:t>
            </w:r>
          </w:p>
        </w:tc>
        <w:tc>
          <w:tcPr>
            <w:tcW w:w="597" w:type="dxa"/>
            <w:noWrap/>
            <w:hideMark/>
          </w:tcPr>
          <w:p w14:paraId="6F13813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35%</w:t>
            </w:r>
          </w:p>
        </w:tc>
        <w:tc>
          <w:tcPr>
            <w:tcW w:w="267" w:type="dxa"/>
            <w:noWrap/>
            <w:hideMark/>
          </w:tcPr>
          <w:p w14:paraId="5A5151B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7CB94DA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364</w:t>
            </w:r>
          </w:p>
        </w:tc>
        <w:tc>
          <w:tcPr>
            <w:tcW w:w="597" w:type="dxa"/>
            <w:noWrap/>
            <w:hideMark/>
          </w:tcPr>
          <w:p w14:paraId="6BE5980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47%</w:t>
            </w:r>
          </w:p>
        </w:tc>
        <w:tc>
          <w:tcPr>
            <w:tcW w:w="267" w:type="dxa"/>
            <w:noWrap/>
            <w:hideMark/>
          </w:tcPr>
          <w:p w14:paraId="6206F92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091EDB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64</w:t>
            </w:r>
          </w:p>
        </w:tc>
        <w:tc>
          <w:tcPr>
            <w:tcW w:w="597" w:type="dxa"/>
            <w:noWrap/>
            <w:hideMark/>
          </w:tcPr>
          <w:p w14:paraId="3959726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33%</w:t>
            </w:r>
          </w:p>
        </w:tc>
        <w:tc>
          <w:tcPr>
            <w:tcW w:w="267" w:type="dxa"/>
            <w:noWrap/>
            <w:hideMark/>
          </w:tcPr>
          <w:p w14:paraId="37879D7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8B1686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64</w:t>
            </w:r>
          </w:p>
        </w:tc>
        <w:tc>
          <w:tcPr>
            <w:tcW w:w="597" w:type="dxa"/>
            <w:noWrap/>
            <w:hideMark/>
          </w:tcPr>
          <w:p w14:paraId="78FE0BE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33%</w:t>
            </w:r>
          </w:p>
        </w:tc>
        <w:tc>
          <w:tcPr>
            <w:tcW w:w="267" w:type="dxa"/>
            <w:noWrap/>
            <w:hideMark/>
          </w:tcPr>
          <w:p w14:paraId="451BA5B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0B2113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74</w:t>
            </w:r>
          </w:p>
        </w:tc>
        <w:tc>
          <w:tcPr>
            <w:tcW w:w="597" w:type="dxa"/>
            <w:noWrap/>
            <w:hideMark/>
          </w:tcPr>
          <w:p w14:paraId="5A4B1E6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38%</w:t>
            </w:r>
          </w:p>
        </w:tc>
        <w:tc>
          <w:tcPr>
            <w:tcW w:w="267" w:type="dxa"/>
            <w:noWrap/>
            <w:hideMark/>
          </w:tcPr>
          <w:p w14:paraId="0ED9604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4506DD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58</w:t>
            </w:r>
          </w:p>
        </w:tc>
        <w:tc>
          <w:tcPr>
            <w:tcW w:w="597" w:type="dxa"/>
            <w:noWrap/>
            <w:hideMark/>
          </w:tcPr>
          <w:p w14:paraId="5C92EBA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30%</w:t>
            </w:r>
          </w:p>
        </w:tc>
        <w:tc>
          <w:tcPr>
            <w:tcW w:w="267" w:type="dxa"/>
            <w:noWrap/>
            <w:hideMark/>
          </w:tcPr>
          <w:p w14:paraId="0B6867D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F64D06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76</w:t>
            </w:r>
          </w:p>
        </w:tc>
        <w:tc>
          <w:tcPr>
            <w:tcW w:w="597" w:type="dxa"/>
            <w:noWrap/>
            <w:hideMark/>
          </w:tcPr>
          <w:p w14:paraId="199C518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39%</w:t>
            </w:r>
          </w:p>
        </w:tc>
      </w:tr>
      <w:tr w:rsidR="00F72778" w:rsidRPr="00413022" w14:paraId="65CEB37F" w14:textId="77777777" w:rsidTr="00382381">
        <w:trPr>
          <w:trHeight w:val="20"/>
        </w:trPr>
        <w:tc>
          <w:tcPr>
            <w:tcW w:w="1358" w:type="dxa"/>
            <w:noWrap/>
            <w:hideMark/>
          </w:tcPr>
          <w:p w14:paraId="424BBE35"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6ECCDF54"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91-180 p</w:t>
            </w:r>
          </w:p>
        </w:tc>
        <w:tc>
          <w:tcPr>
            <w:tcW w:w="267" w:type="dxa"/>
            <w:noWrap/>
            <w:hideMark/>
          </w:tcPr>
          <w:p w14:paraId="44A07ED2"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5C2E07F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646</w:t>
            </w:r>
          </w:p>
        </w:tc>
        <w:tc>
          <w:tcPr>
            <w:tcW w:w="577" w:type="dxa"/>
            <w:noWrap/>
            <w:hideMark/>
          </w:tcPr>
          <w:p w14:paraId="6CF3979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21%</w:t>
            </w:r>
          </w:p>
        </w:tc>
        <w:tc>
          <w:tcPr>
            <w:tcW w:w="267" w:type="dxa"/>
            <w:noWrap/>
            <w:hideMark/>
          </w:tcPr>
          <w:p w14:paraId="580B836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CBCD08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163</w:t>
            </w:r>
          </w:p>
        </w:tc>
        <w:tc>
          <w:tcPr>
            <w:tcW w:w="597" w:type="dxa"/>
            <w:noWrap/>
            <w:hideMark/>
          </w:tcPr>
          <w:p w14:paraId="029870D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21%</w:t>
            </w:r>
          </w:p>
        </w:tc>
        <w:tc>
          <w:tcPr>
            <w:tcW w:w="267" w:type="dxa"/>
            <w:noWrap/>
            <w:hideMark/>
          </w:tcPr>
          <w:p w14:paraId="2D2C7DA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EDD625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224</w:t>
            </w:r>
          </w:p>
        </w:tc>
        <w:tc>
          <w:tcPr>
            <w:tcW w:w="597" w:type="dxa"/>
            <w:noWrap/>
            <w:hideMark/>
          </w:tcPr>
          <w:p w14:paraId="2E115E1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29%</w:t>
            </w:r>
          </w:p>
        </w:tc>
        <w:tc>
          <w:tcPr>
            <w:tcW w:w="267" w:type="dxa"/>
            <w:noWrap/>
            <w:hideMark/>
          </w:tcPr>
          <w:p w14:paraId="6B53A00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22FEAB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56</w:t>
            </w:r>
          </w:p>
        </w:tc>
        <w:tc>
          <w:tcPr>
            <w:tcW w:w="597" w:type="dxa"/>
            <w:noWrap/>
            <w:hideMark/>
          </w:tcPr>
          <w:p w14:paraId="034B455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29%</w:t>
            </w:r>
          </w:p>
        </w:tc>
        <w:tc>
          <w:tcPr>
            <w:tcW w:w="267" w:type="dxa"/>
            <w:noWrap/>
            <w:hideMark/>
          </w:tcPr>
          <w:p w14:paraId="79B1026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6B6702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66</w:t>
            </w:r>
          </w:p>
        </w:tc>
        <w:tc>
          <w:tcPr>
            <w:tcW w:w="597" w:type="dxa"/>
            <w:noWrap/>
            <w:hideMark/>
          </w:tcPr>
          <w:p w14:paraId="6FF842E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34%</w:t>
            </w:r>
          </w:p>
        </w:tc>
        <w:tc>
          <w:tcPr>
            <w:tcW w:w="267" w:type="dxa"/>
            <w:noWrap/>
            <w:hideMark/>
          </w:tcPr>
          <w:p w14:paraId="222AA7F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97AED9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52</w:t>
            </w:r>
          </w:p>
        </w:tc>
        <w:tc>
          <w:tcPr>
            <w:tcW w:w="597" w:type="dxa"/>
            <w:noWrap/>
            <w:hideMark/>
          </w:tcPr>
          <w:p w14:paraId="5BF8EC6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27%</w:t>
            </w:r>
          </w:p>
        </w:tc>
        <w:tc>
          <w:tcPr>
            <w:tcW w:w="267" w:type="dxa"/>
            <w:noWrap/>
            <w:hideMark/>
          </w:tcPr>
          <w:p w14:paraId="7791261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67047C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58</w:t>
            </w:r>
          </w:p>
        </w:tc>
        <w:tc>
          <w:tcPr>
            <w:tcW w:w="597" w:type="dxa"/>
            <w:noWrap/>
            <w:hideMark/>
          </w:tcPr>
          <w:p w14:paraId="6C7E994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30%</w:t>
            </w:r>
          </w:p>
        </w:tc>
        <w:tc>
          <w:tcPr>
            <w:tcW w:w="267" w:type="dxa"/>
            <w:noWrap/>
            <w:hideMark/>
          </w:tcPr>
          <w:p w14:paraId="4FCBEA0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CDECED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62</w:t>
            </w:r>
          </w:p>
        </w:tc>
        <w:tc>
          <w:tcPr>
            <w:tcW w:w="597" w:type="dxa"/>
            <w:noWrap/>
            <w:hideMark/>
          </w:tcPr>
          <w:p w14:paraId="6AB2BB7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32%</w:t>
            </w:r>
          </w:p>
        </w:tc>
      </w:tr>
      <w:tr w:rsidR="00F72778" w:rsidRPr="00413022" w14:paraId="34FBBB15" w14:textId="77777777" w:rsidTr="00382381">
        <w:trPr>
          <w:trHeight w:val="20"/>
        </w:trPr>
        <w:tc>
          <w:tcPr>
            <w:tcW w:w="1358" w:type="dxa"/>
            <w:noWrap/>
            <w:hideMark/>
          </w:tcPr>
          <w:p w14:paraId="45C90539"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4BDA3FBC"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181-270 p</w:t>
            </w:r>
          </w:p>
        </w:tc>
        <w:tc>
          <w:tcPr>
            <w:tcW w:w="267" w:type="dxa"/>
            <w:noWrap/>
            <w:hideMark/>
          </w:tcPr>
          <w:p w14:paraId="0ECBFBF2"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428D34E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554</w:t>
            </w:r>
          </w:p>
        </w:tc>
        <w:tc>
          <w:tcPr>
            <w:tcW w:w="577" w:type="dxa"/>
            <w:noWrap/>
            <w:hideMark/>
          </w:tcPr>
          <w:p w14:paraId="3E3442E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18%</w:t>
            </w:r>
          </w:p>
        </w:tc>
        <w:tc>
          <w:tcPr>
            <w:tcW w:w="267" w:type="dxa"/>
            <w:noWrap/>
            <w:hideMark/>
          </w:tcPr>
          <w:p w14:paraId="75F7C42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D2DE2E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132</w:t>
            </w:r>
          </w:p>
        </w:tc>
        <w:tc>
          <w:tcPr>
            <w:tcW w:w="597" w:type="dxa"/>
            <w:noWrap/>
            <w:hideMark/>
          </w:tcPr>
          <w:p w14:paraId="2466181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17%</w:t>
            </w:r>
          </w:p>
        </w:tc>
        <w:tc>
          <w:tcPr>
            <w:tcW w:w="267" w:type="dxa"/>
            <w:noWrap/>
            <w:hideMark/>
          </w:tcPr>
          <w:p w14:paraId="7BB6632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F0779C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101</w:t>
            </w:r>
          </w:p>
        </w:tc>
        <w:tc>
          <w:tcPr>
            <w:tcW w:w="597" w:type="dxa"/>
            <w:noWrap/>
            <w:hideMark/>
          </w:tcPr>
          <w:p w14:paraId="7CD6DB2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13%</w:t>
            </w:r>
          </w:p>
        </w:tc>
        <w:tc>
          <w:tcPr>
            <w:tcW w:w="267" w:type="dxa"/>
            <w:noWrap/>
            <w:hideMark/>
          </w:tcPr>
          <w:p w14:paraId="59A2FCB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CC5577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29</w:t>
            </w:r>
          </w:p>
        </w:tc>
        <w:tc>
          <w:tcPr>
            <w:tcW w:w="597" w:type="dxa"/>
            <w:noWrap/>
            <w:hideMark/>
          </w:tcPr>
          <w:p w14:paraId="19B8398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15%</w:t>
            </w:r>
          </w:p>
        </w:tc>
        <w:tc>
          <w:tcPr>
            <w:tcW w:w="267" w:type="dxa"/>
            <w:noWrap/>
            <w:hideMark/>
          </w:tcPr>
          <w:p w14:paraId="4B84DC9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30E9AA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45</w:t>
            </w:r>
          </w:p>
        </w:tc>
        <w:tc>
          <w:tcPr>
            <w:tcW w:w="597" w:type="dxa"/>
            <w:noWrap/>
            <w:hideMark/>
          </w:tcPr>
          <w:p w14:paraId="22504C7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23%</w:t>
            </w:r>
          </w:p>
        </w:tc>
        <w:tc>
          <w:tcPr>
            <w:tcW w:w="267" w:type="dxa"/>
            <w:noWrap/>
            <w:hideMark/>
          </w:tcPr>
          <w:p w14:paraId="7D93445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5B234F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25</w:t>
            </w:r>
          </w:p>
        </w:tc>
        <w:tc>
          <w:tcPr>
            <w:tcW w:w="597" w:type="dxa"/>
            <w:noWrap/>
            <w:hideMark/>
          </w:tcPr>
          <w:p w14:paraId="70A5F25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13%</w:t>
            </w:r>
          </w:p>
        </w:tc>
        <w:tc>
          <w:tcPr>
            <w:tcW w:w="267" w:type="dxa"/>
            <w:noWrap/>
            <w:hideMark/>
          </w:tcPr>
          <w:p w14:paraId="294DF56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2ECD34E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41</w:t>
            </w:r>
          </w:p>
        </w:tc>
        <w:tc>
          <w:tcPr>
            <w:tcW w:w="597" w:type="dxa"/>
            <w:noWrap/>
            <w:hideMark/>
          </w:tcPr>
          <w:p w14:paraId="1174829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21%</w:t>
            </w:r>
          </w:p>
        </w:tc>
        <w:tc>
          <w:tcPr>
            <w:tcW w:w="267" w:type="dxa"/>
            <w:noWrap/>
            <w:hideMark/>
          </w:tcPr>
          <w:p w14:paraId="3DC3164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03979F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43</w:t>
            </w:r>
          </w:p>
        </w:tc>
        <w:tc>
          <w:tcPr>
            <w:tcW w:w="597" w:type="dxa"/>
            <w:noWrap/>
            <w:hideMark/>
          </w:tcPr>
          <w:p w14:paraId="3808644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22%</w:t>
            </w:r>
          </w:p>
        </w:tc>
      </w:tr>
      <w:tr w:rsidR="00F72778" w:rsidRPr="00413022" w14:paraId="231FAB24" w14:textId="77777777" w:rsidTr="00382381">
        <w:trPr>
          <w:trHeight w:val="20"/>
        </w:trPr>
        <w:tc>
          <w:tcPr>
            <w:tcW w:w="1358" w:type="dxa"/>
            <w:noWrap/>
            <w:hideMark/>
          </w:tcPr>
          <w:p w14:paraId="3844DAD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448C252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271-365 p</w:t>
            </w:r>
          </w:p>
        </w:tc>
        <w:tc>
          <w:tcPr>
            <w:tcW w:w="267" w:type="dxa"/>
            <w:noWrap/>
            <w:hideMark/>
          </w:tcPr>
          <w:p w14:paraId="4F7A01BD"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16A18ED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862</w:t>
            </w:r>
          </w:p>
        </w:tc>
        <w:tc>
          <w:tcPr>
            <w:tcW w:w="577" w:type="dxa"/>
            <w:noWrap/>
            <w:hideMark/>
          </w:tcPr>
          <w:p w14:paraId="4EF0DBF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28%</w:t>
            </w:r>
          </w:p>
        </w:tc>
        <w:tc>
          <w:tcPr>
            <w:tcW w:w="267" w:type="dxa"/>
            <w:noWrap/>
            <w:hideMark/>
          </w:tcPr>
          <w:p w14:paraId="0934609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96B297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217</w:t>
            </w:r>
          </w:p>
        </w:tc>
        <w:tc>
          <w:tcPr>
            <w:tcW w:w="597" w:type="dxa"/>
            <w:noWrap/>
            <w:hideMark/>
          </w:tcPr>
          <w:p w14:paraId="5F23CB6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28%</w:t>
            </w:r>
          </w:p>
        </w:tc>
        <w:tc>
          <w:tcPr>
            <w:tcW w:w="267" w:type="dxa"/>
            <w:noWrap/>
            <w:hideMark/>
          </w:tcPr>
          <w:p w14:paraId="7B3ECED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392C0B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85</w:t>
            </w:r>
          </w:p>
        </w:tc>
        <w:tc>
          <w:tcPr>
            <w:tcW w:w="597" w:type="dxa"/>
            <w:noWrap/>
            <w:hideMark/>
          </w:tcPr>
          <w:p w14:paraId="1FF7EA7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11%</w:t>
            </w:r>
          </w:p>
        </w:tc>
        <w:tc>
          <w:tcPr>
            <w:tcW w:w="267" w:type="dxa"/>
            <w:noWrap/>
            <w:hideMark/>
          </w:tcPr>
          <w:p w14:paraId="04E9F99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F182DE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43</w:t>
            </w:r>
          </w:p>
        </w:tc>
        <w:tc>
          <w:tcPr>
            <w:tcW w:w="597" w:type="dxa"/>
            <w:noWrap/>
            <w:hideMark/>
          </w:tcPr>
          <w:p w14:paraId="7DA6DFC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22%</w:t>
            </w:r>
          </w:p>
        </w:tc>
        <w:tc>
          <w:tcPr>
            <w:tcW w:w="267" w:type="dxa"/>
            <w:noWrap/>
            <w:hideMark/>
          </w:tcPr>
          <w:p w14:paraId="05E3806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3C0CDC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19</w:t>
            </w:r>
          </w:p>
        </w:tc>
        <w:tc>
          <w:tcPr>
            <w:tcW w:w="597" w:type="dxa"/>
            <w:noWrap/>
            <w:hideMark/>
          </w:tcPr>
          <w:p w14:paraId="16A3ECA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10%</w:t>
            </w:r>
          </w:p>
        </w:tc>
        <w:tc>
          <w:tcPr>
            <w:tcW w:w="267" w:type="dxa"/>
            <w:noWrap/>
            <w:hideMark/>
          </w:tcPr>
          <w:p w14:paraId="29BB22A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B2C516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45</w:t>
            </w:r>
          </w:p>
        </w:tc>
        <w:tc>
          <w:tcPr>
            <w:tcW w:w="597" w:type="dxa"/>
            <w:noWrap/>
            <w:hideMark/>
          </w:tcPr>
          <w:p w14:paraId="3E3BD13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23%</w:t>
            </w:r>
          </w:p>
        </w:tc>
        <w:tc>
          <w:tcPr>
            <w:tcW w:w="267" w:type="dxa"/>
            <w:noWrap/>
            <w:hideMark/>
          </w:tcPr>
          <w:p w14:paraId="17D6A51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2088495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39</w:t>
            </w:r>
          </w:p>
        </w:tc>
        <w:tc>
          <w:tcPr>
            <w:tcW w:w="597" w:type="dxa"/>
            <w:noWrap/>
            <w:hideMark/>
          </w:tcPr>
          <w:p w14:paraId="277223E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20%</w:t>
            </w:r>
          </w:p>
        </w:tc>
        <w:tc>
          <w:tcPr>
            <w:tcW w:w="267" w:type="dxa"/>
            <w:noWrap/>
            <w:hideMark/>
          </w:tcPr>
          <w:p w14:paraId="60D7856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7263E6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16</w:t>
            </w:r>
          </w:p>
        </w:tc>
        <w:tc>
          <w:tcPr>
            <w:tcW w:w="597" w:type="dxa"/>
            <w:noWrap/>
            <w:hideMark/>
          </w:tcPr>
          <w:p w14:paraId="2135AC4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w:t>
            </w:r>
          </w:p>
        </w:tc>
      </w:tr>
      <w:tr w:rsidR="00F72778" w:rsidRPr="00413022" w14:paraId="6C7B7706" w14:textId="77777777" w:rsidTr="00382381">
        <w:trPr>
          <w:trHeight w:val="20"/>
        </w:trPr>
        <w:tc>
          <w:tcPr>
            <w:tcW w:w="1358" w:type="dxa"/>
            <w:noWrap/>
            <w:hideMark/>
          </w:tcPr>
          <w:p w14:paraId="10F53B27"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2AEB0E0D"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267" w:type="dxa"/>
            <w:noWrap/>
            <w:hideMark/>
          </w:tcPr>
          <w:p w14:paraId="1686DC1F"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4EB74B1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77" w:type="dxa"/>
            <w:noWrap/>
            <w:hideMark/>
          </w:tcPr>
          <w:p w14:paraId="68C92D5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08DD36F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2992DC8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222FA5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12EB9B0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73A71BD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CE3A56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744C3C6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2BB5FDE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7FD97F1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55ECC9A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7801E0A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7B14CC6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67F23B9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2E52EA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D3AAC5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0EF2FF0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B2F16A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7883B27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267" w:type="dxa"/>
            <w:noWrap/>
            <w:hideMark/>
          </w:tcPr>
          <w:p w14:paraId="6F6378B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61B08E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630781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r>
      <w:tr w:rsidR="00F72778" w:rsidRPr="00413022" w14:paraId="6C901BD2" w14:textId="77777777" w:rsidTr="00382381">
        <w:trPr>
          <w:trHeight w:val="20"/>
        </w:trPr>
        <w:tc>
          <w:tcPr>
            <w:tcW w:w="1358" w:type="dxa"/>
            <w:noWrap/>
            <w:hideMark/>
          </w:tcPr>
          <w:p w14:paraId="57920043"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1720F783"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Kogu elamine</w:t>
            </w:r>
          </w:p>
        </w:tc>
        <w:tc>
          <w:tcPr>
            <w:tcW w:w="267" w:type="dxa"/>
            <w:noWrap/>
            <w:hideMark/>
          </w:tcPr>
          <w:p w14:paraId="66C42904"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0E6662C9" w14:textId="377AC67C"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r w:rsidR="0045207E">
              <w:rPr>
                <w:rFonts w:asciiTheme="minorBidi" w:hAnsiTheme="minorBidi"/>
                <w:sz w:val="18"/>
                <w:szCs w:val="18"/>
              </w:rPr>
              <w:t xml:space="preserve"> </w:t>
            </w:r>
            <w:r w:rsidRPr="00413022">
              <w:rPr>
                <w:rFonts w:asciiTheme="minorBidi" w:hAnsiTheme="minorBidi"/>
                <w:sz w:val="18"/>
                <w:szCs w:val="18"/>
              </w:rPr>
              <w:t>801</w:t>
            </w:r>
          </w:p>
        </w:tc>
        <w:tc>
          <w:tcPr>
            <w:tcW w:w="577" w:type="dxa"/>
            <w:noWrap/>
            <w:hideMark/>
          </w:tcPr>
          <w:p w14:paraId="08E874D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91%</w:t>
            </w:r>
          </w:p>
        </w:tc>
        <w:tc>
          <w:tcPr>
            <w:tcW w:w="267" w:type="dxa"/>
            <w:noWrap/>
            <w:hideMark/>
          </w:tcPr>
          <w:p w14:paraId="58D6277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2AB4697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713</w:t>
            </w:r>
          </w:p>
        </w:tc>
        <w:tc>
          <w:tcPr>
            <w:tcW w:w="597" w:type="dxa"/>
            <w:noWrap/>
            <w:hideMark/>
          </w:tcPr>
          <w:p w14:paraId="663E589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92%</w:t>
            </w:r>
          </w:p>
        </w:tc>
        <w:tc>
          <w:tcPr>
            <w:tcW w:w="267" w:type="dxa"/>
            <w:noWrap/>
            <w:hideMark/>
          </w:tcPr>
          <w:p w14:paraId="00D95D5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2DDEAD3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735</w:t>
            </w:r>
          </w:p>
        </w:tc>
        <w:tc>
          <w:tcPr>
            <w:tcW w:w="597" w:type="dxa"/>
            <w:noWrap/>
            <w:hideMark/>
          </w:tcPr>
          <w:p w14:paraId="52A721C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95%</w:t>
            </w:r>
          </w:p>
        </w:tc>
        <w:tc>
          <w:tcPr>
            <w:tcW w:w="267" w:type="dxa"/>
            <w:noWrap/>
            <w:hideMark/>
          </w:tcPr>
          <w:p w14:paraId="70C84AC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4EEA080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167</w:t>
            </w:r>
          </w:p>
        </w:tc>
        <w:tc>
          <w:tcPr>
            <w:tcW w:w="597" w:type="dxa"/>
            <w:noWrap/>
            <w:hideMark/>
          </w:tcPr>
          <w:p w14:paraId="03434DC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86%</w:t>
            </w:r>
          </w:p>
        </w:tc>
        <w:tc>
          <w:tcPr>
            <w:tcW w:w="267" w:type="dxa"/>
            <w:noWrap/>
            <w:hideMark/>
          </w:tcPr>
          <w:p w14:paraId="480AFB6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85C1FF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184</w:t>
            </w:r>
          </w:p>
        </w:tc>
        <w:tc>
          <w:tcPr>
            <w:tcW w:w="597" w:type="dxa"/>
            <w:noWrap/>
            <w:hideMark/>
          </w:tcPr>
          <w:p w14:paraId="3142833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95%</w:t>
            </w:r>
          </w:p>
        </w:tc>
        <w:tc>
          <w:tcPr>
            <w:tcW w:w="267" w:type="dxa"/>
            <w:noWrap/>
            <w:hideMark/>
          </w:tcPr>
          <w:p w14:paraId="5FB0E24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FE6471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184</w:t>
            </w:r>
          </w:p>
        </w:tc>
        <w:tc>
          <w:tcPr>
            <w:tcW w:w="597" w:type="dxa"/>
            <w:noWrap/>
            <w:hideMark/>
          </w:tcPr>
          <w:p w14:paraId="604304A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95%</w:t>
            </w:r>
          </w:p>
        </w:tc>
        <w:tc>
          <w:tcPr>
            <w:tcW w:w="267" w:type="dxa"/>
            <w:noWrap/>
            <w:hideMark/>
          </w:tcPr>
          <w:p w14:paraId="0615F10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12CB7CA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167</w:t>
            </w:r>
          </w:p>
        </w:tc>
        <w:tc>
          <w:tcPr>
            <w:tcW w:w="597" w:type="dxa"/>
            <w:noWrap/>
            <w:hideMark/>
          </w:tcPr>
          <w:p w14:paraId="2379922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86%</w:t>
            </w:r>
          </w:p>
        </w:tc>
        <w:tc>
          <w:tcPr>
            <w:tcW w:w="267" w:type="dxa"/>
            <w:noWrap/>
            <w:hideMark/>
          </w:tcPr>
          <w:p w14:paraId="09E864D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37260C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167</w:t>
            </w:r>
          </w:p>
        </w:tc>
        <w:tc>
          <w:tcPr>
            <w:tcW w:w="597" w:type="dxa"/>
            <w:noWrap/>
            <w:hideMark/>
          </w:tcPr>
          <w:p w14:paraId="45F8959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86%</w:t>
            </w:r>
          </w:p>
        </w:tc>
      </w:tr>
      <w:tr w:rsidR="00F72778" w:rsidRPr="00413022" w14:paraId="20A739B2" w14:textId="77777777" w:rsidTr="00382381">
        <w:trPr>
          <w:trHeight w:val="20"/>
        </w:trPr>
        <w:tc>
          <w:tcPr>
            <w:tcW w:w="1358" w:type="dxa"/>
            <w:noWrap/>
            <w:hideMark/>
          </w:tcPr>
          <w:p w14:paraId="6F883030"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56AD86AA"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Eraldi tuba</w:t>
            </w:r>
          </w:p>
        </w:tc>
        <w:tc>
          <w:tcPr>
            <w:tcW w:w="267" w:type="dxa"/>
            <w:noWrap/>
            <w:hideMark/>
          </w:tcPr>
          <w:p w14:paraId="5A1410E2"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4ED881D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246</w:t>
            </w:r>
          </w:p>
        </w:tc>
        <w:tc>
          <w:tcPr>
            <w:tcW w:w="577" w:type="dxa"/>
            <w:noWrap/>
            <w:hideMark/>
          </w:tcPr>
          <w:p w14:paraId="62FB24B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w:t>
            </w:r>
          </w:p>
        </w:tc>
        <w:tc>
          <w:tcPr>
            <w:tcW w:w="267" w:type="dxa"/>
            <w:noWrap/>
            <w:hideMark/>
          </w:tcPr>
          <w:p w14:paraId="57BBB4F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719CAE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62</w:t>
            </w:r>
          </w:p>
        </w:tc>
        <w:tc>
          <w:tcPr>
            <w:tcW w:w="597" w:type="dxa"/>
            <w:noWrap/>
            <w:hideMark/>
          </w:tcPr>
          <w:p w14:paraId="13891C9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w:t>
            </w:r>
          </w:p>
        </w:tc>
        <w:tc>
          <w:tcPr>
            <w:tcW w:w="267" w:type="dxa"/>
            <w:noWrap/>
            <w:hideMark/>
          </w:tcPr>
          <w:p w14:paraId="0E199FB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810524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31</w:t>
            </w:r>
          </w:p>
        </w:tc>
        <w:tc>
          <w:tcPr>
            <w:tcW w:w="597" w:type="dxa"/>
            <w:noWrap/>
            <w:hideMark/>
          </w:tcPr>
          <w:p w14:paraId="7530FC6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w:t>
            </w:r>
          </w:p>
        </w:tc>
        <w:tc>
          <w:tcPr>
            <w:tcW w:w="267" w:type="dxa"/>
            <w:noWrap/>
            <w:hideMark/>
          </w:tcPr>
          <w:p w14:paraId="734FE55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B1F1AF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27</w:t>
            </w:r>
          </w:p>
        </w:tc>
        <w:tc>
          <w:tcPr>
            <w:tcW w:w="597" w:type="dxa"/>
            <w:noWrap/>
            <w:hideMark/>
          </w:tcPr>
          <w:p w14:paraId="535B660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14%</w:t>
            </w:r>
          </w:p>
        </w:tc>
        <w:tc>
          <w:tcPr>
            <w:tcW w:w="267" w:type="dxa"/>
            <w:noWrap/>
            <w:hideMark/>
          </w:tcPr>
          <w:p w14:paraId="7465052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282E23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10</w:t>
            </w:r>
          </w:p>
        </w:tc>
        <w:tc>
          <w:tcPr>
            <w:tcW w:w="597" w:type="dxa"/>
            <w:noWrap/>
            <w:hideMark/>
          </w:tcPr>
          <w:p w14:paraId="522D0B0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w:t>
            </w:r>
          </w:p>
        </w:tc>
        <w:tc>
          <w:tcPr>
            <w:tcW w:w="267" w:type="dxa"/>
            <w:noWrap/>
            <w:hideMark/>
          </w:tcPr>
          <w:p w14:paraId="250C19F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C4C716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w:t>
            </w:r>
          </w:p>
        </w:tc>
        <w:tc>
          <w:tcPr>
            <w:tcW w:w="597" w:type="dxa"/>
            <w:noWrap/>
            <w:hideMark/>
          </w:tcPr>
          <w:p w14:paraId="7BA6FBA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p>
        </w:tc>
        <w:tc>
          <w:tcPr>
            <w:tcW w:w="267" w:type="dxa"/>
            <w:noWrap/>
            <w:hideMark/>
          </w:tcPr>
          <w:p w14:paraId="5011B00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5199EAF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25</w:t>
            </w:r>
          </w:p>
        </w:tc>
        <w:tc>
          <w:tcPr>
            <w:tcW w:w="597" w:type="dxa"/>
            <w:noWrap/>
            <w:hideMark/>
          </w:tcPr>
          <w:p w14:paraId="18D7959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13%</w:t>
            </w:r>
          </w:p>
        </w:tc>
        <w:tc>
          <w:tcPr>
            <w:tcW w:w="267" w:type="dxa"/>
            <w:noWrap/>
            <w:hideMark/>
          </w:tcPr>
          <w:p w14:paraId="2193955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5D59E6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25</w:t>
            </w:r>
          </w:p>
        </w:tc>
        <w:tc>
          <w:tcPr>
            <w:tcW w:w="597" w:type="dxa"/>
            <w:noWrap/>
            <w:hideMark/>
          </w:tcPr>
          <w:p w14:paraId="5F2B715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13%</w:t>
            </w:r>
          </w:p>
        </w:tc>
      </w:tr>
      <w:tr w:rsidR="00F72778" w:rsidRPr="00413022" w14:paraId="31CD82A4" w14:textId="77777777" w:rsidTr="00382381">
        <w:trPr>
          <w:trHeight w:val="20"/>
        </w:trPr>
        <w:tc>
          <w:tcPr>
            <w:tcW w:w="1358" w:type="dxa"/>
            <w:noWrap/>
            <w:hideMark/>
          </w:tcPr>
          <w:p w14:paraId="4A5D3283"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7467A50D"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Jagatud tuba</w:t>
            </w:r>
          </w:p>
        </w:tc>
        <w:tc>
          <w:tcPr>
            <w:tcW w:w="267" w:type="dxa"/>
            <w:noWrap/>
            <w:hideMark/>
          </w:tcPr>
          <w:p w14:paraId="4733DF48"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2C0994D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31</w:t>
            </w:r>
          </w:p>
        </w:tc>
        <w:tc>
          <w:tcPr>
            <w:tcW w:w="577" w:type="dxa"/>
            <w:noWrap/>
            <w:hideMark/>
          </w:tcPr>
          <w:p w14:paraId="06A0B59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c>
          <w:tcPr>
            <w:tcW w:w="267" w:type="dxa"/>
            <w:noWrap/>
            <w:hideMark/>
          </w:tcPr>
          <w:p w14:paraId="5E63D48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6DDE583"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597" w:type="dxa"/>
            <w:noWrap/>
            <w:hideMark/>
          </w:tcPr>
          <w:p w14:paraId="79BAA69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267" w:type="dxa"/>
            <w:noWrap/>
            <w:hideMark/>
          </w:tcPr>
          <w:p w14:paraId="089593B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D50E1C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597" w:type="dxa"/>
            <w:noWrap/>
            <w:hideMark/>
          </w:tcPr>
          <w:p w14:paraId="52F219E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267" w:type="dxa"/>
            <w:noWrap/>
            <w:hideMark/>
          </w:tcPr>
          <w:p w14:paraId="2CD9B7D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76FBBE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597" w:type="dxa"/>
            <w:noWrap/>
            <w:hideMark/>
          </w:tcPr>
          <w:p w14:paraId="548786B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267" w:type="dxa"/>
            <w:noWrap/>
            <w:hideMark/>
          </w:tcPr>
          <w:p w14:paraId="6E4834D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631FB01C"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597" w:type="dxa"/>
            <w:noWrap/>
            <w:hideMark/>
          </w:tcPr>
          <w:p w14:paraId="51B40F3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0%</w:t>
            </w:r>
          </w:p>
        </w:tc>
        <w:tc>
          <w:tcPr>
            <w:tcW w:w="267" w:type="dxa"/>
            <w:noWrap/>
            <w:hideMark/>
          </w:tcPr>
          <w:p w14:paraId="03B7AFA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38DA863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w:t>
            </w:r>
          </w:p>
        </w:tc>
        <w:tc>
          <w:tcPr>
            <w:tcW w:w="597" w:type="dxa"/>
            <w:noWrap/>
            <w:hideMark/>
          </w:tcPr>
          <w:p w14:paraId="325CB39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p>
        </w:tc>
        <w:tc>
          <w:tcPr>
            <w:tcW w:w="267" w:type="dxa"/>
            <w:noWrap/>
            <w:hideMark/>
          </w:tcPr>
          <w:p w14:paraId="2961A09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215B5FD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p>
        </w:tc>
        <w:tc>
          <w:tcPr>
            <w:tcW w:w="597" w:type="dxa"/>
            <w:noWrap/>
            <w:hideMark/>
          </w:tcPr>
          <w:p w14:paraId="49783C1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c>
          <w:tcPr>
            <w:tcW w:w="267" w:type="dxa"/>
            <w:noWrap/>
            <w:hideMark/>
          </w:tcPr>
          <w:p w14:paraId="24A5B2F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597" w:type="dxa"/>
            <w:noWrap/>
            <w:hideMark/>
          </w:tcPr>
          <w:p w14:paraId="03CF968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p>
        </w:tc>
        <w:tc>
          <w:tcPr>
            <w:tcW w:w="597" w:type="dxa"/>
            <w:noWrap/>
            <w:hideMark/>
          </w:tcPr>
          <w:p w14:paraId="4DCFA3D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w:t>
            </w:r>
          </w:p>
        </w:tc>
      </w:tr>
      <w:tr w:rsidR="00F72778" w:rsidRPr="00413022" w14:paraId="5535FCB1" w14:textId="77777777" w:rsidTr="00382381">
        <w:trPr>
          <w:trHeight w:val="20"/>
        </w:trPr>
        <w:tc>
          <w:tcPr>
            <w:tcW w:w="14849" w:type="dxa"/>
            <w:gridSpan w:val="26"/>
            <w:noWrap/>
            <w:hideMark/>
          </w:tcPr>
          <w:p w14:paraId="34199A02"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r>
      <w:tr w:rsidR="00F72778" w:rsidRPr="00413022" w14:paraId="528B162B" w14:textId="77777777" w:rsidTr="00382381">
        <w:trPr>
          <w:trHeight w:val="20"/>
        </w:trPr>
        <w:tc>
          <w:tcPr>
            <w:tcW w:w="1358" w:type="dxa"/>
            <w:noWrap/>
            <w:hideMark/>
          </w:tcPr>
          <w:p w14:paraId="132BF47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184E046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Täitumus</w:t>
            </w:r>
          </w:p>
        </w:tc>
        <w:tc>
          <w:tcPr>
            <w:tcW w:w="267" w:type="dxa"/>
            <w:noWrap/>
            <w:hideMark/>
          </w:tcPr>
          <w:p w14:paraId="040B7302"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493" w:type="dxa"/>
            <w:gridSpan w:val="2"/>
            <w:noWrap/>
            <w:hideMark/>
          </w:tcPr>
          <w:p w14:paraId="4647BECF" w14:textId="77777777" w:rsidR="00F72778" w:rsidRPr="00413022" w:rsidRDefault="00F72778" w:rsidP="00737C62">
            <w:pPr>
              <w:spacing w:before="0" w:line="240" w:lineRule="auto"/>
              <w:jc w:val="right"/>
              <w:rPr>
                <w:rFonts w:asciiTheme="minorBidi" w:hAnsiTheme="minorBidi"/>
                <w:sz w:val="18"/>
                <w:szCs w:val="18"/>
              </w:rPr>
            </w:pPr>
            <w:r w:rsidRPr="00413022">
              <w:rPr>
                <w:rFonts w:asciiTheme="minorBidi" w:hAnsiTheme="minorBidi"/>
                <w:sz w:val="18"/>
                <w:szCs w:val="18"/>
              </w:rPr>
              <w:t>55%</w:t>
            </w:r>
          </w:p>
        </w:tc>
        <w:tc>
          <w:tcPr>
            <w:tcW w:w="267" w:type="dxa"/>
            <w:noWrap/>
            <w:hideMark/>
          </w:tcPr>
          <w:p w14:paraId="496FF60C" w14:textId="77777777" w:rsidR="00F72778" w:rsidRPr="00413022" w:rsidRDefault="00F72778" w:rsidP="00737C62">
            <w:pPr>
              <w:spacing w:before="0" w:line="240" w:lineRule="auto"/>
              <w:jc w:val="right"/>
              <w:rPr>
                <w:rFonts w:asciiTheme="minorBidi" w:hAnsiTheme="minorBidi"/>
                <w:sz w:val="18"/>
                <w:szCs w:val="18"/>
              </w:rPr>
            </w:pPr>
          </w:p>
        </w:tc>
        <w:tc>
          <w:tcPr>
            <w:tcW w:w="1194" w:type="dxa"/>
            <w:gridSpan w:val="2"/>
            <w:noWrap/>
            <w:hideMark/>
          </w:tcPr>
          <w:p w14:paraId="673F04F2" w14:textId="77777777" w:rsidR="00F72778" w:rsidRPr="00413022" w:rsidRDefault="00F72778" w:rsidP="00737C62">
            <w:pPr>
              <w:spacing w:before="0" w:line="240" w:lineRule="auto"/>
              <w:jc w:val="right"/>
              <w:rPr>
                <w:rFonts w:asciiTheme="minorBidi" w:hAnsiTheme="minorBidi"/>
                <w:sz w:val="18"/>
                <w:szCs w:val="18"/>
              </w:rPr>
            </w:pPr>
            <w:r w:rsidRPr="00413022">
              <w:rPr>
                <w:rFonts w:asciiTheme="minorBidi" w:hAnsiTheme="minorBidi"/>
                <w:sz w:val="18"/>
                <w:szCs w:val="18"/>
              </w:rPr>
              <w:t>44%</w:t>
            </w:r>
          </w:p>
        </w:tc>
        <w:tc>
          <w:tcPr>
            <w:tcW w:w="267" w:type="dxa"/>
            <w:noWrap/>
            <w:hideMark/>
          </w:tcPr>
          <w:p w14:paraId="77ADA8E7" w14:textId="77777777" w:rsidR="00F72778" w:rsidRPr="00413022" w:rsidRDefault="00F72778" w:rsidP="00737C62">
            <w:pPr>
              <w:spacing w:before="0" w:line="240" w:lineRule="auto"/>
              <w:jc w:val="right"/>
              <w:rPr>
                <w:rFonts w:asciiTheme="minorBidi" w:hAnsiTheme="minorBidi"/>
                <w:sz w:val="18"/>
                <w:szCs w:val="18"/>
              </w:rPr>
            </w:pPr>
          </w:p>
        </w:tc>
        <w:tc>
          <w:tcPr>
            <w:tcW w:w="1194" w:type="dxa"/>
            <w:gridSpan w:val="2"/>
            <w:noWrap/>
            <w:hideMark/>
          </w:tcPr>
          <w:p w14:paraId="5C35A2D2" w14:textId="77777777" w:rsidR="00F72778" w:rsidRPr="00413022" w:rsidRDefault="00F72778" w:rsidP="00737C62">
            <w:pPr>
              <w:spacing w:before="0" w:line="240" w:lineRule="auto"/>
              <w:jc w:val="right"/>
              <w:rPr>
                <w:rFonts w:asciiTheme="minorBidi" w:hAnsiTheme="minorBidi"/>
                <w:sz w:val="18"/>
                <w:szCs w:val="18"/>
              </w:rPr>
            </w:pPr>
            <w:r w:rsidRPr="00413022">
              <w:rPr>
                <w:rFonts w:asciiTheme="minorBidi" w:hAnsiTheme="minorBidi"/>
                <w:sz w:val="18"/>
                <w:szCs w:val="18"/>
              </w:rPr>
              <w:t>44%</w:t>
            </w:r>
          </w:p>
        </w:tc>
        <w:tc>
          <w:tcPr>
            <w:tcW w:w="267" w:type="dxa"/>
            <w:noWrap/>
            <w:hideMark/>
          </w:tcPr>
          <w:p w14:paraId="10B44AB4" w14:textId="77777777" w:rsidR="00F72778" w:rsidRPr="00413022" w:rsidRDefault="00F72778" w:rsidP="00737C62">
            <w:pPr>
              <w:spacing w:before="0" w:line="240" w:lineRule="auto"/>
              <w:jc w:val="right"/>
              <w:rPr>
                <w:rFonts w:asciiTheme="minorBidi" w:hAnsiTheme="minorBidi"/>
                <w:sz w:val="18"/>
                <w:szCs w:val="18"/>
              </w:rPr>
            </w:pPr>
          </w:p>
        </w:tc>
        <w:tc>
          <w:tcPr>
            <w:tcW w:w="1194" w:type="dxa"/>
            <w:gridSpan w:val="2"/>
            <w:noWrap/>
            <w:hideMark/>
          </w:tcPr>
          <w:p w14:paraId="6FA28AE5" w14:textId="77777777" w:rsidR="00F72778" w:rsidRPr="00413022" w:rsidRDefault="00F72778" w:rsidP="00737C62">
            <w:pPr>
              <w:spacing w:before="0" w:line="240" w:lineRule="auto"/>
              <w:jc w:val="right"/>
              <w:rPr>
                <w:rFonts w:asciiTheme="minorBidi" w:hAnsiTheme="minorBidi"/>
                <w:sz w:val="18"/>
                <w:szCs w:val="18"/>
              </w:rPr>
            </w:pPr>
            <w:r w:rsidRPr="00413022">
              <w:rPr>
                <w:rFonts w:asciiTheme="minorBidi" w:hAnsiTheme="minorBidi"/>
                <w:sz w:val="18"/>
                <w:szCs w:val="18"/>
              </w:rPr>
              <w:t>44%</w:t>
            </w:r>
          </w:p>
        </w:tc>
        <w:tc>
          <w:tcPr>
            <w:tcW w:w="267" w:type="dxa"/>
            <w:noWrap/>
            <w:hideMark/>
          </w:tcPr>
          <w:p w14:paraId="49B7532D" w14:textId="77777777" w:rsidR="00F72778" w:rsidRPr="00413022" w:rsidRDefault="00F72778" w:rsidP="00737C62">
            <w:pPr>
              <w:spacing w:before="0" w:line="240" w:lineRule="auto"/>
              <w:jc w:val="right"/>
              <w:rPr>
                <w:rFonts w:asciiTheme="minorBidi" w:hAnsiTheme="minorBidi"/>
                <w:sz w:val="18"/>
                <w:szCs w:val="18"/>
              </w:rPr>
            </w:pPr>
          </w:p>
        </w:tc>
        <w:tc>
          <w:tcPr>
            <w:tcW w:w="1194" w:type="dxa"/>
            <w:gridSpan w:val="2"/>
            <w:noWrap/>
            <w:hideMark/>
          </w:tcPr>
          <w:p w14:paraId="18FEB30D" w14:textId="77777777" w:rsidR="00F72778" w:rsidRPr="00413022" w:rsidRDefault="00F72778" w:rsidP="00737C62">
            <w:pPr>
              <w:spacing w:before="0" w:line="240" w:lineRule="auto"/>
              <w:jc w:val="right"/>
              <w:rPr>
                <w:rFonts w:asciiTheme="minorBidi" w:hAnsiTheme="minorBidi"/>
                <w:sz w:val="18"/>
                <w:szCs w:val="18"/>
              </w:rPr>
            </w:pPr>
            <w:r w:rsidRPr="00413022">
              <w:rPr>
                <w:rFonts w:asciiTheme="minorBidi" w:hAnsiTheme="minorBidi"/>
                <w:sz w:val="18"/>
                <w:szCs w:val="18"/>
              </w:rPr>
              <w:t>36%</w:t>
            </w:r>
          </w:p>
        </w:tc>
        <w:tc>
          <w:tcPr>
            <w:tcW w:w="267" w:type="dxa"/>
            <w:noWrap/>
            <w:hideMark/>
          </w:tcPr>
          <w:p w14:paraId="7E27BB0F" w14:textId="77777777" w:rsidR="00F72778" w:rsidRPr="00413022" w:rsidRDefault="00F72778" w:rsidP="00737C62">
            <w:pPr>
              <w:spacing w:before="0" w:line="240" w:lineRule="auto"/>
              <w:jc w:val="right"/>
              <w:rPr>
                <w:rFonts w:asciiTheme="minorBidi" w:hAnsiTheme="minorBidi"/>
                <w:sz w:val="18"/>
                <w:szCs w:val="18"/>
              </w:rPr>
            </w:pPr>
          </w:p>
        </w:tc>
        <w:tc>
          <w:tcPr>
            <w:tcW w:w="1194" w:type="dxa"/>
            <w:gridSpan w:val="2"/>
            <w:noWrap/>
            <w:hideMark/>
          </w:tcPr>
          <w:p w14:paraId="55401746" w14:textId="77777777" w:rsidR="00F72778" w:rsidRPr="00413022" w:rsidRDefault="00F72778" w:rsidP="00737C62">
            <w:pPr>
              <w:spacing w:before="0" w:line="240" w:lineRule="auto"/>
              <w:jc w:val="right"/>
              <w:rPr>
                <w:rFonts w:asciiTheme="minorBidi" w:hAnsiTheme="minorBidi"/>
                <w:sz w:val="18"/>
                <w:szCs w:val="18"/>
              </w:rPr>
            </w:pPr>
            <w:r w:rsidRPr="00413022">
              <w:rPr>
                <w:rFonts w:asciiTheme="minorBidi" w:hAnsiTheme="minorBidi"/>
                <w:sz w:val="18"/>
                <w:szCs w:val="18"/>
              </w:rPr>
              <w:t>39%</w:t>
            </w:r>
          </w:p>
        </w:tc>
        <w:tc>
          <w:tcPr>
            <w:tcW w:w="267" w:type="dxa"/>
            <w:noWrap/>
            <w:hideMark/>
          </w:tcPr>
          <w:p w14:paraId="16C9B6C4" w14:textId="77777777" w:rsidR="00F72778" w:rsidRPr="00413022" w:rsidRDefault="00F72778" w:rsidP="00737C62">
            <w:pPr>
              <w:spacing w:before="0" w:line="240" w:lineRule="auto"/>
              <w:jc w:val="right"/>
              <w:rPr>
                <w:rFonts w:asciiTheme="minorBidi" w:hAnsiTheme="minorBidi"/>
                <w:sz w:val="18"/>
                <w:szCs w:val="18"/>
              </w:rPr>
            </w:pPr>
          </w:p>
        </w:tc>
        <w:tc>
          <w:tcPr>
            <w:tcW w:w="1194" w:type="dxa"/>
            <w:gridSpan w:val="2"/>
            <w:noWrap/>
            <w:hideMark/>
          </w:tcPr>
          <w:p w14:paraId="53754AFA" w14:textId="77777777" w:rsidR="00F72778" w:rsidRPr="00413022" w:rsidRDefault="00F72778" w:rsidP="00737C62">
            <w:pPr>
              <w:spacing w:before="0" w:line="240" w:lineRule="auto"/>
              <w:jc w:val="right"/>
              <w:rPr>
                <w:rFonts w:asciiTheme="minorBidi" w:hAnsiTheme="minorBidi"/>
                <w:sz w:val="18"/>
                <w:szCs w:val="18"/>
              </w:rPr>
            </w:pPr>
            <w:r w:rsidRPr="00413022">
              <w:rPr>
                <w:rFonts w:asciiTheme="minorBidi" w:hAnsiTheme="minorBidi"/>
                <w:sz w:val="18"/>
                <w:szCs w:val="18"/>
              </w:rPr>
              <w:t>32%</w:t>
            </w:r>
          </w:p>
        </w:tc>
        <w:tc>
          <w:tcPr>
            <w:tcW w:w="267" w:type="dxa"/>
            <w:noWrap/>
            <w:hideMark/>
          </w:tcPr>
          <w:p w14:paraId="55CA477D" w14:textId="77777777" w:rsidR="00F72778" w:rsidRPr="00413022" w:rsidRDefault="00F72778" w:rsidP="00737C62">
            <w:pPr>
              <w:spacing w:before="0" w:line="240" w:lineRule="auto"/>
              <w:jc w:val="right"/>
              <w:rPr>
                <w:rFonts w:asciiTheme="minorBidi" w:hAnsiTheme="minorBidi"/>
                <w:sz w:val="18"/>
                <w:szCs w:val="18"/>
              </w:rPr>
            </w:pPr>
          </w:p>
        </w:tc>
        <w:tc>
          <w:tcPr>
            <w:tcW w:w="1181" w:type="dxa"/>
            <w:gridSpan w:val="2"/>
            <w:noWrap/>
            <w:hideMark/>
          </w:tcPr>
          <w:p w14:paraId="4C256B1D" w14:textId="77777777" w:rsidR="00F72778" w:rsidRPr="00413022" w:rsidRDefault="00F72778" w:rsidP="00737C62">
            <w:pPr>
              <w:spacing w:before="0" w:line="240" w:lineRule="auto"/>
              <w:jc w:val="right"/>
              <w:rPr>
                <w:rFonts w:asciiTheme="minorBidi" w:hAnsiTheme="minorBidi"/>
                <w:sz w:val="18"/>
                <w:szCs w:val="18"/>
              </w:rPr>
            </w:pPr>
            <w:r w:rsidRPr="00413022">
              <w:rPr>
                <w:rFonts w:asciiTheme="minorBidi" w:hAnsiTheme="minorBidi"/>
                <w:sz w:val="18"/>
                <w:szCs w:val="18"/>
              </w:rPr>
              <w:t>29%</w:t>
            </w:r>
          </w:p>
        </w:tc>
      </w:tr>
      <w:tr w:rsidR="00F72778" w:rsidRPr="00413022" w14:paraId="3F85D28A" w14:textId="77777777" w:rsidTr="00382381">
        <w:trPr>
          <w:trHeight w:val="20"/>
        </w:trPr>
        <w:tc>
          <w:tcPr>
            <w:tcW w:w="1358" w:type="dxa"/>
            <w:noWrap/>
            <w:hideMark/>
          </w:tcPr>
          <w:p w14:paraId="3CDE5945"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39138A41"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Aastakäive</w:t>
            </w:r>
          </w:p>
        </w:tc>
        <w:tc>
          <w:tcPr>
            <w:tcW w:w="267" w:type="dxa"/>
            <w:noWrap/>
            <w:hideMark/>
          </w:tcPr>
          <w:p w14:paraId="3DAB9F74"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493" w:type="dxa"/>
            <w:gridSpan w:val="2"/>
            <w:noWrap/>
            <w:hideMark/>
          </w:tcPr>
          <w:p w14:paraId="7C10F5AF" w14:textId="0E8C961D"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$9</w:t>
            </w:r>
            <w:r w:rsidR="0045207E">
              <w:rPr>
                <w:rFonts w:asciiTheme="minorBidi" w:hAnsiTheme="minorBidi"/>
                <w:sz w:val="18"/>
                <w:szCs w:val="18"/>
              </w:rPr>
              <w:t xml:space="preserve"> </w:t>
            </w:r>
            <w:r w:rsidRPr="00413022">
              <w:rPr>
                <w:rFonts w:asciiTheme="minorBidi" w:hAnsiTheme="minorBidi"/>
                <w:sz w:val="18"/>
                <w:szCs w:val="18"/>
              </w:rPr>
              <w:t>200</w:t>
            </w:r>
          </w:p>
        </w:tc>
        <w:tc>
          <w:tcPr>
            <w:tcW w:w="267" w:type="dxa"/>
            <w:noWrap/>
            <w:hideMark/>
          </w:tcPr>
          <w:p w14:paraId="31AE44E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0595C4A9" w14:textId="192666C4"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w:t>
            </w:r>
            <w:r w:rsidR="0045207E">
              <w:rPr>
                <w:rFonts w:asciiTheme="minorBidi" w:hAnsiTheme="minorBidi"/>
                <w:sz w:val="18"/>
                <w:szCs w:val="18"/>
              </w:rPr>
              <w:t xml:space="preserve"> </w:t>
            </w:r>
            <w:r w:rsidRPr="00413022">
              <w:rPr>
                <w:rFonts w:asciiTheme="minorBidi" w:hAnsiTheme="minorBidi"/>
                <w:sz w:val="18"/>
                <w:szCs w:val="18"/>
              </w:rPr>
              <w:t>400</w:t>
            </w:r>
          </w:p>
        </w:tc>
        <w:tc>
          <w:tcPr>
            <w:tcW w:w="267" w:type="dxa"/>
            <w:noWrap/>
            <w:hideMark/>
          </w:tcPr>
          <w:p w14:paraId="5DA6351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4C4FF8A4" w14:textId="6A7E45A8"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$6</w:t>
            </w:r>
            <w:r w:rsidR="0045207E">
              <w:rPr>
                <w:rFonts w:asciiTheme="minorBidi" w:hAnsiTheme="minorBidi"/>
                <w:sz w:val="18"/>
                <w:szCs w:val="18"/>
              </w:rPr>
              <w:t xml:space="preserve"> </w:t>
            </w:r>
            <w:r w:rsidRPr="00413022">
              <w:rPr>
                <w:rFonts w:asciiTheme="minorBidi" w:hAnsiTheme="minorBidi"/>
                <w:sz w:val="18"/>
                <w:szCs w:val="18"/>
              </w:rPr>
              <w:t>000</w:t>
            </w:r>
          </w:p>
        </w:tc>
        <w:tc>
          <w:tcPr>
            <w:tcW w:w="267" w:type="dxa"/>
            <w:noWrap/>
            <w:hideMark/>
          </w:tcPr>
          <w:p w14:paraId="33028F6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04437A59" w14:textId="719AEDC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w:t>
            </w:r>
            <w:r w:rsidR="0045207E">
              <w:rPr>
                <w:rFonts w:asciiTheme="minorBidi" w:hAnsiTheme="minorBidi"/>
                <w:sz w:val="18"/>
                <w:szCs w:val="18"/>
              </w:rPr>
              <w:t xml:space="preserve"> </w:t>
            </w:r>
            <w:r w:rsidRPr="00413022">
              <w:rPr>
                <w:rFonts w:asciiTheme="minorBidi" w:hAnsiTheme="minorBidi"/>
                <w:sz w:val="18"/>
                <w:szCs w:val="18"/>
              </w:rPr>
              <w:t>900</w:t>
            </w:r>
          </w:p>
        </w:tc>
        <w:tc>
          <w:tcPr>
            <w:tcW w:w="267" w:type="dxa"/>
            <w:noWrap/>
            <w:hideMark/>
          </w:tcPr>
          <w:p w14:paraId="2BB95058"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7F4C19A8" w14:textId="3C856CBA"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w:t>
            </w:r>
            <w:r w:rsidR="0045207E">
              <w:rPr>
                <w:rFonts w:asciiTheme="minorBidi" w:hAnsiTheme="minorBidi"/>
                <w:sz w:val="18"/>
                <w:szCs w:val="18"/>
              </w:rPr>
              <w:t xml:space="preserve"> </w:t>
            </w:r>
            <w:r w:rsidRPr="00413022">
              <w:rPr>
                <w:rFonts w:asciiTheme="minorBidi" w:hAnsiTheme="minorBidi"/>
                <w:sz w:val="18"/>
                <w:szCs w:val="18"/>
              </w:rPr>
              <w:t>500</w:t>
            </w:r>
          </w:p>
        </w:tc>
        <w:tc>
          <w:tcPr>
            <w:tcW w:w="267" w:type="dxa"/>
            <w:noWrap/>
            <w:hideMark/>
          </w:tcPr>
          <w:p w14:paraId="25812C2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6786CF9E" w14:textId="1E45EA09"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w:t>
            </w:r>
            <w:r w:rsidR="0045207E">
              <w:rPr>
                <w:rFonts w:asciiTheme="minorBidi" w:hAnsiTheme="minorBidi"/>
                <w:sz w:val="18"/>
                <w:szCs w:val="18"/>
              </w:rPr>
              <w:t xml:space="preserve"> </w:t>
            </w:r>
            <w:r w:rsidRPr="00413022">
              <w:rPr>
                <w:rFonts w:asciiTheme="minorBidi" w:hAnsiTheme="minorBidi"/>
                <w:sz w:val="18"/>
                <w:szCs w:val="18"/>
              </w:rPr>
              <w:t>700</w:t>
            </w:r>
          </w:p>
        </w:tc>
        <w:tc>
          <w:tcPr>
            <w:tcW w:w="267" w:type="dxa"/>
            <w:noWrap/>
            <w:hideMark/>
          </w:tcPr>
          <w:p w14:paraId="39D7D43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27F5FAF5" w14:textId="7DC6A626"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w:t>
            </w:r>
            <w:r w:rsidR="0045207E">
              <w:rPr>
                <w:rFonts w:asciiTheme="minorBidi" w:hAnsiTheme="minorBidi"/>
                <w:sz w:val="18"/>
                <w:szCs w:val="18"/>
              </w:rPr>
              <w:t xml:space="preserve"> </w:t>
            </w:r>
            <w:r w:rsidRPr="00413022">
              <w:rPr>
                <w:rFonts w:asciiTheme="minorBidi" w:hAnsiTheme="minorBidi"/>
                <w:sz w:val="18"/>
                <w:szCs w:val="18"/>
              </w:rPr>
              <w:t>500</w:t>
            </w:r>
          </w:p>
        </w:tc>
        <w:tc>
          <w:tcPr>
            <w:tcW w:w="267" w:type="dxa"/>
            <w:noWrap/>
            <w:hideMark/>
          </w:tcPr>
          <w:p w14:paraId="22A957D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81" w:type="dxa"/>
            <w:gridSpan w:val="2"/>
            <w:noWrap/>
            <w:hideMark/>
          </w:tcPr>
          <w:p w14:paraId="559B3D27" w14:textId="7C28CEB1"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$5</w:t>
            </w:r>
            <w:r w:rsidR="0045207E">
              <w:rPr>
                <w:rFonts w:asciiTheme="minorBidi" w:hAnsiTheme="minorBidi"/>
                <w:sz w:val="18"/>
                <w:szCs w:val="18"/>
              </w:rPr>
              <w:t xml:space="preserve"> </w:t>
            </w:r>
            <w:r w:rsidRPr="00413022">
              <w:rPr>
                <w:rFonts w:asciiTheme="minorBidi" w:hAnsiTheme="minorBidi"/>
                <w:sz w:val="18"/>
                <w:szCs w:val="18"/>
              </w:rPr>
              <w:t>000</w:t>
            </w:r>
          </w:p>
        </w:tc>
      </w:tr>
      <w:tr w:rsidR="00F72778" w:rsidRPr="00413022" w14:paraId="68277B7E" w14:textId="77777777" w:rsidTr="00382381">
        <w:trPr>
          <w:trHeight w:val="20"/>
        </w:trPr>
        <w:tc>
          <w:tcPr>
            <w:tcW w:w="1358" w:type="dxa"/>
            <w:noWrap/>
            <w:hideMark/>
          </w:tcPr>
          <w:p w14:paraId="0BEADC04"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4C073DCC"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ADR</w:t>
            </w:r>
          </w:p>
        </w:tc>
        <w:tc>
          <w:tcPr>
            <w:tcW w:w="267" w:type="dxa"/>
            <w:noWrap/>
            <w:hideMark/>
          </w:tcPr>
          <w:p w14:paraId="4CDAABBA"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493" w:type="dxa"/>
            <w:gridSpan w:val="2"/>
            <w:noWrap/>
            <w:hideMark/>
          </w:tcPr>
          <w:p w14:paraId="7BFAD8A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$90</w:t>
            </w:r>
          </w:p>
        </w:tc>
        <w:tc>
          <w:tcPr>
            <w:tcW w:w="267" w:type="dxa"/>
            <w:noWrap/>
            <w:hideMark/>
          </w:tcPr>
          <w:p w14:paraId="6155A56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2DB83A10"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$89</w:t>
            </w:r>
          </w:p>
        </w:tc>
        <w:tc>
          <w:tcPr>
            <w:tcW w:w="267" w:type="dxa"/>
            <w:noWrap/>
            <w:hideMark/>
          </w:tcPr>
          <w:p w14:paraId="0F984E2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60FA2B6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$116</w:t>
            </w:r>
          </w:p>
        </w:tc>
        <w:tc>
          <w:tcPr>
            <w:tcW w:w="267" w:type="dxa"/>
            <w:noWrap/>
            <w:hideMark/>
          </w:tcPr>
          <w:p w14:paraId="7860832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2993925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$93</w:t>
            </w:r>
          </w:p>
        </w:tc>
        <w:tc>
          <w:tcPr>
            <w:tcW w:w="267" w:type="dxa"/>
            <w:noWrap/>
            <w:hideMark/>
          </w:tcPr>
          <w:p w14:paraId="1D619EC6"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4514C7E1"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$117</w:t>
            </w:r>
          </w:p>
        </w:tc>
        <w:tc>
          <w:tcPr>
            <w:tcW w:w="267" w:type="dxa"/>
            <w:noWrap/>
            <w:hideMark/>
          </w:tcPr>
          <w:p w14:paraId="4944D42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708CF9E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$48</w:t>
            </w:r>
          </w:p>
        </w:tc>
        <w:tc>
          <w:tcPr>
            <w:tcW w:w="267" w:type="dxa"/>
            <w:noWrap/>
            <w:hideMark/>
          </w:tcPr>
          <w:p w14:paraId="6B5CAD5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5D7213D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$88</w:t>
            </w:r>
          </w:p>
        </w:tc>
        <w:tc>
          <w:tcPr>
            <w:tcW w:w="267" w:type="dxa"/>
            <w:noWrap/>
            <w:hideMark/>
          </w:tcPr>
          <w:p w14:paraId="7C70962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81" w:type="dxa"/>
            <w:gridSpan w:val="2"/>
            <w:noWrap/>
            <w:hideMark/>
          </w:tcPr>
          <w:p w14:paraId="063CDE4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$115</w:t>
            </w:r>
          </w:p>
        </w:tc>
      </w:tr>
      <w:tr w:rsidR="00F72778" w:rsidRPr="00413022" w14:paraId="4852B5B2" w14:textId="77777777" w:rsidTr="00382381">
        <w:trPr>
          <w:trHeight w:val="20"/>
        </w:trPr>
        <w:tc>
          <w:tcPr>
            <w:tcW w:w="1358" w:type="dxa"/>
            <w:noWrap/>
            <w:hideMark/>
          </w:tcPr>
          <w:p w14:paraId="4DB971BB"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5E4CEE6B"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RevPAR</w:t>
            </w:r>
          </w:p>
        </w:tc>
        <w:tc>
          <w:tcPr>
            <w:tcW w:w="267" w:type="dxa"/>
            <w:noWrap/>
            <w:hideMark/>
          </w:tcPr>
          <w:p w14:paraId="486376C2"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493" w:type="dxa"/>
            <w:gridSpan w:val="2"/>
            <w:noWrap/>
            <w:hideMark/>
          </w:tcPr>
          <w:p w14:paraId="2ACFBBE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$47</w:t>
            </w:r>
          </w:p>
        </w:tc>
        <w:tc>
          <w:tcPr>
            <w:tcW w:w="267" w:type="dxa"/>
            <w:noWrap/>
            <w:hideMark/>
          </w:tcPr>
          <w:p w14:paraId="7E696FED"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2DF7C87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$35</w:t>
            </w:r>
          </w:p>
        </w:tc>
        <w:tc>
          <w:tcPr>
            <w:tcW w:w="267" w:type="dxa"/>
            <w:noWrap/>
            <w:hideMark/>
          </w:tcPr>
          <w:p w14:paraId="15D2505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40606ADA"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$49</w:t>
            </w:r>
          </w:p>
        </w:tc>
        <w:tc>
          <w:tcPr>
            <w:tcW w:w="267" w:type="dxa"/>
            <w:noWrap/>
            <w:hideMark/>
          </w:tcPr>
          <w:p w14:paraId="4DEFF9D9"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0A50CCB5"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$38</w:t>
            </w:r>
          </w:p>
        </w:tc>
        <w:tc>
          <w:tcPr>
            <w:tcW w:w="267" w:type="dxa"/>
            <w:noWrap/>
            <w:hideMark/>
          </w:tcPr>
          <w:p w14:paraId="58C9EB2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5550431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$38</w:t>
            </w:r>
          </w:p>
        </w:tc>
        <w:tc>
          <w:tcPr>
            <w:tcW w:w="267" w:type="dxa"/>
            <w:noWrap/>
            <w:hideMark/>
          </w:tcPr>
          <w:p w14:paraId="032A9B1B"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148D14CE"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$18</w:t>
            </w:r>
          </w:p>
        </w:tc>
        <w:tc>
          <w:tcPr>
            <w:tcW w:w="267" w:type="dxa"/>
            <w:noWrap/>
            <w:hideMark/>
          </w:tcPr>
          <w:p w14:paraId="0363ECF2"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94" w:type="dxa"/>
            <w:gridSpan w:val="2"/>
            <w:noWrap/>
            <w:hideMark/>
          </w:tcPr>
          <w:p w14:paraId="2B85BCAF"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$27</w:t>
            </w:r>
          </w:p>
        </w:tc>
        <w:tc>
          <w:tcPr>
            <w:tcW w:w="267" w:type="dxa"/>
            <w:noWrap/>
            <w:hideMark/>
          </w:tcPr>
          <w:p w14:paraId="44A444F7"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 </w:t>
            </w:r>
          </w:p>
        </w:tc>
        <w:tc>
          <w:tcPr>
            <w:tcW w:w="1181" w:type="dxa"/>
            <w:gridSpan w:val="2"/>
            <w:noWrap/>
            <w:hideMark/>
          </w:tcPr>
          <w:p w14:paraId="6CF684D4" w14:textId="77777777" w:rsidR="00F72778" w:rsidRPr="00413022" w:rsidRDefault="00F72778" w:rsidP="00413022">
            <w:pPr>
              <w:spacing w:before="0" w:line="240" w:lineRule="auto"/>
              <w:jc w:val="right"/>
              <w:rPr>
                <w:rFonts w:asciiTheme="minorBidi" w:hAnsiTheme="minorBidi"/>
                <w:sz w:val="18"/>
                <w:szCs w:val="18"/>
              </w:rPr>
            </w:pPr>
            <w:r w:rsidRPr="00413022">
              <w:rPr>
                <w:rFonts w:asciiTheme="minorBidi" w:hAnsiTheme="minorBidi"/>
                <w:sz w:val="18"/>
                <w:szCs w:val="18"/>
              </w:rPr>
              <w:t>$31</w:t>
            </w:r>
          </w:p>
        </w:tc>
      </w:tr>
      <w:tr w:rsidR="00F72778" w:rsidRPr="00413022" w14:paraId="7BC84075" w14:textId="77777777" w:rsidTr="00382381">
        <w:trPr>
          <w:trHeight w:val="20"/>
        </w:trPr>
        <w:tc>
          <w:tcPr>
            <w:tcW w:w="1358" w:type="dxa"/>
            <w:noWrap/>
            <w:hideMark/>
          </w:tcPr>
          <w:p w14:paraId="28115118"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3B60E0FB"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Täitumus</w:t>
            </w:r>
          </w:p>
        </w:tc>
        <w:tc>
          <w:tcPr>
            <w:tcW w:w="267" w:type="dxa"/>
            <w:noWrap/>
            <w:hideMark/>
          </w:tcPr>
          <w:p w14:paraId="0EA3E02B"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3FDB8313"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81%</w:t>
            </w:r>
          </w:p>
        </w:tc>
        <w:tc>
          <w:tcPr>
            <w:tcW w:w="577" w:type="dxa"/>
            <w:noWrap/>
            <w:hideMark/>
          </w:tcPr>
          <w:p w14:paraId="6340453E"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jul</w:t>
            </w:r>
          </w:p>
        </w:tc>
        <w:tc>
          <w:tcPr>
            <w:tcW w:w="267" w:type="dxa"/>
            <w:noWrap/>
            <w:hideMark/>
          </w:tcPr>
          <w:p w14:paraId="33AD5775"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1C00E79E"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57%</w:t>
            </w:r>
          </w:p>
        </w:tc>
        <w:tc>
          <w:tcPr>
            <w:tcW w:w="597" w:type="dxa"/>
            <w:noWrap/>
            <w:hideMark/>
          </w:tcPr>
          <w:p w14:paraId="69C25025"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jul</w:t>
            </w:r>
          </w:p>
        </w:tc>
        <w:tc>
          <w:tcPr>
            <w:tcW w:w="267" w:type="dxa"/>
            <w:noWrap/>
            <w:hideMark/>
          </w:tcPr>
          <w:p w14:paraId="5E897AAC"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5B341384"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73%</w:t>
            </w:r>
          </w:p>
        </w:tc>
        <w:tc>
          <w:tcPr>
            <w:tcW w:w="597" w:type="dxa"/>
            <w:noWrap/>
            <w:hideMark/>
          </w:tcPr>
          <w:p w14:paraId="77DD9288"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jul</w:t>
            </w:r>
          </w:p>
        </w:tc>
        <w:tc>
          <w:tcPr>
            <w:tcW w:w="267" w:type="dxa"/>
            <w:noWrap/>
            <w:hideMark/>
          </w:tcPr>
          <w:p w14:paraId="0A4B549C"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06F9990D"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75%</w:t>
            </w:r>
          </w:p>
        </w:tc>
        <w:tc>
          <w:tcPr>
            <w:tcW w:w="597" w:type="dxa"/>
            <w:noWrap/>
            <w:hideMark/>
          </w:tcPr>
          <w:p w14:paraId="307139ED"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jul</w:t>
            </w:r>
          </w:p>
        </w:tc>
        <w:tc>
          <w:tcPr>
            <w:tcW w:w="267" w:type="dxa"/>
            <w:noWrap/>
            <w:hideMark/>
          </w:tcPr>
          <w:p w14:paraId="02C80767"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4ED0A6C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57%</w:t>
            </w:r>
          </w:p>
        </w:tc>
        <w:tc>
          <w:tcPr>
            <w:tcW w:w="597" w:type="dxa"/>
            <w:noWrap/>
            <w:hideMark/>
          </w:tcPr>
          <w:p w14:paraId="359AE827"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jul</w:t>
            </w:r>
          </w:p>
        </w:tc>
        <w:tc>
          <w:tcPr>
            <w:tcW w:w="267" w:type="dxa"/>
            <w:noWrap/>
            <w:hideMark/>
          </w:tcPr>
          <w:p w14:paraId="12C8F211"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41FB3E1B"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53%</w:t>
            </w:r>
          </w:p>
        </w:tc>
        <w:tc>
          <w:tcPr>
            <w:tcW w:w="597" w:type="dxa"/>
            <w:noWrap/>
            <w:hideMark/>
          </w:tcPr>
          <w:p w14:paraId="5E8A7A08"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jul</w:t>
            </w:r>
          </w:p>
        </w:tc>
        <w:tc>
          <w:tcPr>
            <w:tcW w:w="267" w:type="dxa"/>
            <w:noWrap/>
            <w:hideMark/>
          </w:tcPr>
          <w:p w14:paraId="0178782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05A60B39"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55%</w:t>
            </w:r>
          </w:p>
        </w:tc>
        <w:tc>
          <w:tcPr>
            <w:tcW w:w="597" w:type="dxa"/>
            <w:noWrap/>
            <w:hideMark/>
          </w:tcPr>
          <w:p w14:paraId="4E092CC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jul</w:t>
            </w:r>
          </w:p>
        </w:tc>
        <w:tc>
          <w:tcPr>
            <w:tcW w:w="267" w:type="dxa"/>
            <w:noWrap/>
            <w:hideMark/>
          </w:tcPr>
          <w:p w14:paraId="51078D91"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29CEC1E7"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45%</w:t>
            </w:r>
          </w:p>
        </w:tc>
        <w:tc>
          <w:tcPr>
            <w:tcW w:w="597" w:type="dxa"/>
            <w:noWrap/>
            <w:hideMark/>
          </w:tcPr>
          <w:p w14:paraId="7BF186AB"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jul</w:t>
            </w:r>
          </w:p>
        </w:tc>
      </w:tr>
      <w:tr w:rsidR="00F72778" w:rsidRPr="00413022" w14:paraId="65C87976" w14:textId="77777777" w:rsidTr="00382381">
        <w:trPr>
          <w:trHeight w:val="20"/>
        </w:trPr>
        <w:tc>
          <w:tcPr>
            <w:tcW w:w="1358" w:type="dxa"/>
            <w:noWrap/>
            <w:hideMark/>
          </w:tcPr>
          <w:p w14:paraId="4C5DCFE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1517" w:type="dxa"/>
            <w:noWrap/>
            <w:hideMark/>
          </w:tcPr>
          <w:p w14:paraId="45FD8D1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Täitumus</w:t>
            </w:r>
          </w:p>
        </w:tc>
        <w:tc>
          <w:tcPr>
            <w:tcW w:w="267" w:type="dxa"/>
            <w:noWrap/>
            <w:hideMark/>
          </w:tcPr>
          <w:p w14:paraId="2B1A595D"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903" w:type="dxa"/>
            <w:noWrap/>
            <w:hideMark/>
          </w:tcPr>
          <w:p w14:paraId="2CE30C7E"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39%</w:t>
            </w:r>
          </w:p>
        </w:tc>
        <w:tc>
          <w:tcPr>
            <w:tcW w:w="577" w:type="dxa"/>
            <w:noWrap/>
            <w:hideMark/>
          </w:tcPr>
          <w:p w14:paraId="1D631119"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jan</w:t>
            </w:r>
          </w:p>
        </w:tc>
        <w:tc>
          <w:tcPr>
            <w:tcW w:w="267" w:type="dxa"/>
            <w:noWrap/>
            <w:hideMark/>
          </w:tcPr>
          <w:p w14:paraId="7C939EF4"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464603A8"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33%</w:t>
            </w:r>
          </w:p>
        </w:tc>
        <w:tc>
          <w:tcPr>
            <w:tcW w:w="597" w:type="dxa"/>
            <w:noWrap/>
            <w:hideMark/>
          </w:tcPr>
          <w:p w14:paraId="0707182E"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jan</w:t>
            </w:r>
          </w:p>
        </w:tc>
        <w:tc>
          <w:tcPr>
            <w:tcW w:w="267" w:type="dxa"/>
            <w:noWrap/>
            <w:hideMark/>
          </w:tcPr>
          <w:p w14:paraId="36374F83"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02F23447"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22%</w:t>
            </w:r>
          </w:p>
        </w:tc>
        <w:tc>
          <w:tcPr>
            <w:tcW w:w="597" w:type="dxa"/>
            <w:noWrap/>
            <w:hideMark/>
          </w:tcPr>
          <w:p w14:paraId="20CC398C"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jan</w:t>
            </w:r>
          </w:p>
        </w:tc>
        <w:tc>
          <w:tcPr>
            <w:tcW w:w="267" w:type="dxa"/>
            <w:noWrap/>
            <w:hideMark/>
          </w:tcPr>
          <w:p w14:paraId="55C87AB7"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07189A92"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20%</w:t>
            </w:r>
          </w:p>
        </w:tc>
        <w:tc>
          <w:tcPr>
            <w:tcW w:w="597" w:type="dxa"/>
            <w:noWrap/>
            <w:hideMark/>
          </w:tcPr>
          <w:p w14:paraId="55EE8F95"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nov</w:t>
            </w:r>
          </w:p>
        </w:tc>
        <w:tc>
          <w:tcPr>
            <w:tcW w:w="267" w:type="dxa"/>
            <w:noWrap/>
            <w:hideMark/>
          </w:tcPr>
          <w:p w14:paraId="3C0717FA"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772FAB48"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21%</w:t>
            </w:r>
          </w:p>
        </w:tc>
        <w:tc>
          <w:tcPr>
            <w:tcW w:w="597" w:type="dxa"/>
            <w:noWrap/>
            <w:hideMark/>
          </w:tcPr>
          <w:p w14:paraId="7ACAE4B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sep</w:t>
            </w:r>
          </w:p>
        </w:tc>
        <w:tc>
          <w:tcPr>
            <w:tcW w:w="267" w:type="dxa"/>
            <w:noWrap/>
            <w:hideMark/>
          </w:tcPr>
          <w:p w14:paraId="54B50830"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4007ECD5"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26%</w:t>
            </w:r>
          </w:p>
        </w:tc>
        <w:tc>
          <w:tcPr>
            <w:tcW w:w="597" w:type="dxa"/>
            <w:noWrap/>
            <w:hideMark/>
          </w:tcPr>
          <w:p w14:paraId="0B158797"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veb</w:t>
            </w:r>
          </w:p>
        </w:tc>
        <w:tc>
          <w:tcPr>
            <w:tcW w:w="267" w:type="dxa"/>
            <w:noWrap/>
            <w:hideMark/>
          </w:tcPr>
          <w:p w14:paraId="53FF680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0846828D"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21%</w:t>
            </w:r>
          </w:p>
        </w:tc>
        <w:tc>
          <w:tcPr>
            <w:tcW w:w="597" w:type="dxa"/>
            <w:noWrap/>
            <w:hideMark/>
          </w:tcPr>
          <w:p w14:paraId="140B22EF"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jan</w:t>
            </w:r>
          </w:p>
        </w:tc>
        <w:tc>
          <w:tcPr>
            <w:tcW w:w="267" w:type="dxa"/>
            <w:noWrap/>
            <w:hideMark/>
          </w:tcPr>
          <w:p w14:paraId="0A47D7C9"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 </w:t>
            </w:r>
          </w:p>
        </w:tc>
        <w:tc>
          <w:tcPr>
            <w:tcW w:w="597" w:type="dxa"/>
            <w:noWrap/>
            <w:hideMark/>
          </w:tcPr>
          <w:p w14:paraId="012DECE6"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18%</w:t>
            </w:r>
          </w:p>
        </w:tc>
        <w:tc>
          <w:tcPr>
            <w:tcW w:w="597" w:type="dxa"/>
            <w:noWrap/>
            <w:hideMark/>
          </w:tcPr>
          <w:p w14:paraId="59E5F3D8" w14:textId="77777777" w:rsidR="00F72778" w:rsidRPr="00413022" w:rsidRDefault="00F72778" w:rsidP="00413022">
            <w:pPr>
              <w:spacing w:before="0" w:line="240" w:lineRule="auto"/>
              <w:rPr>
                <w:rFonts w:asciiTheme="minorBidi" w:hAnsiTheme="minorBidi"/>
                <w:sz w:val="18"/>
                <w:szCs w:val="18"/>
              </w:rPr>
            </w:pPr>
            <w:r w:rsidRPr="00413022">
              <w:rPr>
                <w:rFonts w:asciiTheme="minorBidi" w:hAnsiTheme="minorBidi"/>
                <w:sz w:val="18"/>
                <w:szCs w:val="18"/>
              </w:rPr>
              <w:t>okt</w:t>
            </w:r>
          </w:p>
        </w:tc>
      </w:tr>
    </w:tbl>
    <w:p w14:paraId="4819F8BD" w14:textId="621CF9F9" w:rsidR="00F72778" w:rsidRPr="00E14EBC" w:rsidRDefault="00F72778" w:rsidP="0020239C">
      <w:pPr>
        <w:pStyle w:val="BottomCaption"/>
      </w:pPr>
      <w:r w:rsidRPr="00E14EBC">
        <w:t>Allika</w:t>
      </w:r>
      <w:r>
        <w:t>s</w:t>
      </w:r>
      <w:r w:rsidRPr="00E14EBC">
        <w:t xml:space="preserve">: </w:t>
      </w:r>
      <w:r>
        <w:t>AirDNA (Airbnb</w:t>
      </w:r>
      <w:r w:rsidRPr="00E14EBC">
        <w:t>,</w:t>
      </w:r>
      <w:r>
        <w:t>Vrbo)</w:t>
      </w:r>
      <w:r>
        <w:br w:type="page"/>
      </w:r>
    </w:p>
    <w:p w14:paraId="5137576F" w14:textId="475DACF9" w:rsidR="00F72778" w:rsidRPr="00E14EBC" w:rsidRDefault="4A7E2F16" w:rsidP="00F72778">
      <w:pPr>
        <w:pStyle w:val="Caption"/>
      </w:pPr>
      <w:r>
        <w:lastRenderedPageBreak/>
        <w:t>Tabel 23: Tallinna linnaosade ja piirkondade lühiajalise üüri pakkumised, tubade arv ja keskmine hind (euro), jaanuar 2025, märts 2025</w:t>
      </w:r>
    </w:p>
    <w:tbl>
      <w:tblPr>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1170"/>
        <w:gridCol w:w="1180"/>
        <w:gridCol w:w="831"/>
        <w:gridCol w:w="1229"/>
        <w:gridCol w:w="630"/>
        <w:gridCol w:w="1350"/>
        <w:gridCol w:w="630"/>
        <w:gridCol w:w="1350"/>
        <w:gridCol w:w="559"/>
        <w:gridCol w:w="1511"/>
        <w:gridCol w:w="559"/>
        <w:gridCol w:w="1331"/>
      </w:tblGrid>
      <w:tr w:rsidR="00F72778" w:rsidRPr="00737C62" w14:paraId="082FDBFE" w14:textId="77777777" w:rsidTr="00737C62">
        <w:trPr>
          <w:trHeight w:val="320"/>
        </w:trPr>
        <w:tc>
          <w:tcPr>
            <w:tcW w:w="1885" w:type="dxa"/>
            <w:noWrap/>
            <w:vAlign w:val="center"/>
            <w:hideMark/>
          </w:tcPr>
          <w:p w14:paraId="60B3D756" w14:textId="77777777" w:rsidR="00F72778" w:rsidRPr="00737C62" w:rsidRDefault="00F72778" w:rsidP="00737C62">
            <w:pPr>
              <w:spacing w:before="0" w:after="0" w:line="240" w:lineRule="auto"/>
              <w:rPr>
                <w:rFonts w:asciiTheme="minorBidi" w:hAnsiTheme="minorBidi"/>
                <w:sz w:val="18"/>
                <w:szCs w:val="18"/>
              </w:rPr>
            </w:pPr>
          </w:p>
        </w:tc>
        <w:tc>
          <w:tcPr>
            <w:tcW w:w="1170" w:type="dxa"/>
            <w:noWrap/>
            <w:vAlign w:val="center"/>
            <w:hideMark/>
          </w:tcPr>
          <w:p w14:paraId="6E58FB4C" w14:textId="77777777" w:rsidR="00F72778" w:rsidRPr="00737C62" w:rsidRDefault="00F72778" w:rsidP="00737C62">
            <w:pPr>
              <w:spacing w:before="0" w:after="0" w:line="240" w:lineRule="auto"/>
              <w:rPr>
                <w:rFonts w:asciiTheme="minorBidi" w:hAnsiTheme="minorBidi"/>
                <w:sz w:val="18"/>
                <w:szCs w:val="18"/>
              </w:rPr>
            </w:pPr>
          </w:p>
        </w:tc>
        <w:tc>
          <w:tcPr>
            <w:tcW w:w="1180" w:type="dxa"/>
            <w:noWrap/>
            <w:vAlign w:val="center"/>
            <w:hideMark/>
          </w:tcPr>
          <w:p w14:paraId="66AD7284"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KOKKU</w:t>
            </w:r>
          </w:p>
        </w:tc>
        <w:tc>
          <w:tcPr>
            <w:tcW w:w="2060" w:type="dxa"/>
            <w:gridSpan w:val="2"/>
            <w:noWrap/>
            <w:vAlign w:val="center"/>
            <w:hideMark/>
          </w:tcPr>
          <w:p w14:paraId="270F1EFA"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Kogu eluase</w:t>
            </w:r>
          </w:p>
        </w:tc>
        <w:tc>
          <w:tcPr>
            <w:tcW w:w="1980" w:type="dxa"/>
            <w:gridSpan w:val="2"/>
            <w:noWrap/>
            <w:vAlign w:val="center"/>
            <w:hideMark/>
          </w:tcPr>
          <w:p w14:paraId="0A241B50"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1 voodikohaga</w:t>
            </w:r>
          </w:p>
        </w:tc>
        <w:tc>
          <w:tcPr>
            <w:tcW w:w="1980" w:type="dxa"/>
            <w:gridSpan w:val="2"/>
            <w:noWrap/>
            <w:vAlign w:val="center"/>
            <w:hideMark/>
          </w:tcPr>
          <w:p w14:paraId="26389246"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2 voodikohaga</w:t>
            </w:r>
          </w:p>
        </w:tc>
        <w:tc>
          <w:tcPr>
            <w:tcW w:w="2070" w:type="dxa"/>
            <w:gridSpan w:val="2"/>
            <w:noWrap/>
            <w:vAlign w:val="center"/>
            <w:hideMark/>
          </w:tcPr>
          <w:p w14:paraId="63504279"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3 voodikohaga</w:t>
            </w:r>
          </w:p>
        </w:tc>
        <w:tc>
          <w:tcPr>
            <w:tcW w:w="1890" w:type="dxa"/>
            <w:gridSpan w:val="2"/>
            <w:noWrap/>
            <w:vAlign w:val="center"/>
            <w:hideMark/>
          </w:tcPr>
          <w:p w14:paraId="1912FAE5"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Eraldi tuba</w:t>
            </w:r>
          </w:p>
        </w:tc>
      </w:tr>
      <w:tr w:rsidR="00F72778" w:rsidRPr="00737C62" w14:paraId="400DF9D0" w14:textId="77777777" w:rsidTr="00737C62">
        <w:trPr>
          <w:trHeight w:val="320"/>
        </w:trPr>
        <w:tc>
          <w:tcPr>
            <w:tcW w:w="1885" w:type="dxa"/>
            <w:noWrap/>
            <w:vAlign w:val="center"/>
            <w:hideMark/>
          </w:tcPr>
          <w:p w14:paraId="2F17469D" w14:textId="77777777" w:rsidR="00F72778" w:rsidRPr="00737C62" w:rsidRDefault="00F72778" w:rsidP="00737C62">
            <w:pPr>
              <w:spacing w:before="0" w:after="0" w:line="240" w:lineRule="auto"/>
              <w:jc w:val="center"/>
              <w:rPr>
                <w:rFonts w:asciiTheme="minorBidi" w:hAnsiTheme="minorBidi"/>
                <w:b/>
                <w:color w:val="000000"/>
                <w:sz w:val="18"/>
                <w:szCs w:val="18"/>
              </w:rPr>
            </w:pPr>
          </w:p>
        </w:tc>
        <w:tc>
          <w:tcPr>
            <w:tcW w:w="1170" w:type="dxa"/>
            <w:noWrap/>
            <w:vAlign w:val="center"/>
            <w:hideMark/>
          </w:tcPr>
          <w:p w14:paraId="2AFCB660" w14:textId="77777777" w:rsidR="00F72778" w:rsidRPr="00737C62" w:rsidRDefault="00F72778" w:rsidP="00737C62">
            <w:pPr>
              <w:spacing w:before="0" w:after="0" w:line="240" w:lineRule="auto"/>
              <w:rPr>
                <w:rFonts w:asciiTheme="minorBidi" w:hAnsiTheme="minorBidi"/>
                <w:sz w:val="18"/>
                <w:szCs w:val="18"/>
              </w:rPr>
            </w:pPr>
          </w:p>
        </w:tc>
        <w:tc>
          <w:tcPr>
            <w:tcW w:w="1180" w:type="dxa"/>
            <w:noWrap/>
            <w:vAlign w:val="center"/>
            <w:hideMark/>
          </w:tcPr>
          <w:p w14:paraId="3BED4356"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arv</w:t>
            </w:r>
          </w:p>
        </w:tc>
        <w:tc>
          <w:tcPr>
            <w:tcW w:w="831" w:type="dxa"/>
            <w:noWrap/>
            <w:vAlign w:val="center"/>
            <w:hideMark/>
          </w:tcPr>
          <w:p w14:paraId="183D1881"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arv</w:t>
            </w:r>
          </w:p>
        </w:tc>
        <w:tc>
          <w:tcPr>
            <w:tcW w:w="1229" w:type="dxa"/>
            <w:noWrap/>
            <w:vAlign w:val="center"/>
            <w:hideMark/>
          </w:tcPr>
          <w:p w14:paraId="7AE1D3AB"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keskm. hind</w:t>
            </w:r>
          </w:p>
        </w:tc>
        <w:tc>
          <w:tcPr>
            <w:tcW w:w="630" w:type="dxa"/>
            <w:noWrap/>
            <w:vAlign w:val="center"/>
            <w:hideMark/>
          </w:tcPr>
          <w:p w14:paraId="448239E9"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arv</w:t>
            </w:r>
          </w:p>
        </w:tc>
        <w:tc>
          <w:tcPr>
            <w:tcW w:w="1350" w:type="dxa"/>
            <w:noWrap/>
            <w:vAlign w:val="center"/>
            <w:hideMark/>
          </w:tcPr>
          <w:p w14:paraId="52F483F9"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keskm. hind</w:t>
            </w:r>
          </w:p>
        </w:tc>
        <w:tc>
          <w:tcPr>
            <w:tcW w:w="630" w:type="dxa"/>
            <w:noWrap/>
            <w:vAlign w:val="center"/>
            <w:hideMark/>
          </w:tcPr>
          <w:p w14:paraId="0977C99E"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arv</w:t>
            </w:r>
          </w:p>
        </w:tc>
        <w:tc>
          <w:tcPr>
            <w:tcW w:w="1350" w:type="dxa"/>
            <w:noWrap/>
            <w:vAlign w:val="center"/>
            <w:hideMark/>
          </w:tcPr>
          <w:p w14:paraId="537E63ED"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keskm. hind</w:t>
            </w:r>
          </w:p>
        </w:tc>
        <w:tc>
          <w:tcPr>
            <w:tcW w:w="559" w:type="dxa"/>
            <w:noWrap/>
            <w:vAlign w:val="center"/>
            <w:hideMark/>
          </w:tcPr>
          <w:p w14:paraId="32CC5769"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arv</w:t>
            </w:r>
          </w:p>
        </w:tc>
        <w:tc>
          <w:tcPr>
            <w:tcW w:w="1511" w:type="dxa"/>
            <w:noWrap/>
            <w:vAlign w:val="center"/>
            <w:hideMark/>
          </w:tcPr>
          <w:p w14:paraId="64422897"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keskm. hind</w:t>
            </w:r>
          </w:p>
        </w:tc>
        <w:tc>
          <w:tcPr>
            <w:tcW w:w="559" w:type="dxa"/>
            <w:noWrap/>
            <w:vAlign w:val="center"/>
            <w:hideMark/>
          </w:tcPr>
          <w:p w14:paraId="591C13B4"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arv</w:t>
            </w:r>
          </w:p>
        </w:tc>
        <w:tc>
          <w:tcPr>
            <w:tcW w:w="1331" w:type="dxa"/>
            <w:noWrap/>
            <w:vAlign w:val="center"/>
            <w:hideMark/>
          </w:tcPr>
          <w:p w14:paraId="252CBAFB" w14:textId="77777777" w:rsidR="00F72778" w:rsidRPr="00737C62" w:rsidRDefault="00F72778" w:rsidP="00737C62">
            <w:pPr>
              <w:spacing w:before="0" w:after="0" w:line="240" w:lineRule="auto"/>
              <w:jc w:val="center"/>
              <w:rPr>
                <w:rFonts w:asciiTheme="minorBidi" w:hAnsiTheme="minorBidi"/>
                <w:b/>
                <w:color w:val="000000"/>
                <w:sz w:val="18"/>
                <w:szCs w:val="18"/>
              </w:rPr>
            </w:pPr>
            <w:r w:rsidRPr="00737C62">
              <w:rPr>
                <w:rFonts w:asciiTheme="minorBidi" w:hAnsiTheme="minorBidi"/>
                <w:b/>
                <w:color w:val="000000"/>
                <w:sz w:val="18"/>
                <w:szCs w:val="18"/>
              </w:rPr>
              <w:t>keskm. hind</w:t>
            </w:r>
          </w:p>
        </w:tc>
      </w:tr>
      <w:tr w:rsidR="00F72778" w:rsidRPr="00737C62" w14:paraId="4B0D1CD5" w14:textId="77777777" w:rsidTr="00737C62">
        <w:trPr>
          <w:trHeight w:val="320"/>
        </w:trPr>
        <w:tc>
          <w:tcPr>
            <w:tcW w:w="1885" w:type="dxa"/>
            <w:vMerge w:val="restart"/>
            <w:noWrap/>
            <w:vAlign w:val="center"/>
            <w:hideMark/>
          </w:tcPr>
          <w:p w14:paraId="7335771A"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Kesklinn</w:t>
            </w:r>
          </w:p>
        </w:tc>
        <w:tc>
          <w:tcPr>
            <w:tcW w:w="1170" w:type="dxa"/>
            <w:noWrap/>
            <w:vAlign w:val="center"/>
            <w:hideMark/>
          </w:tcPr>
          <w:p w14:paraId="652718C7"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JAN 2025</w:t>
            </w:r>
          </w:p>
        </w:tc>
        <w:tc>
          <w:tcPr>
            <w:tcW w:w="1180" w:type="dxa"/>
            <w:noWrap/>
            <w:vAlign w:val="center"/>
            <w:hideMark/>
          </w:tcPr>
          <w:p w14:paraId="27EE7FB5" w14:textId="13BD53A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w:t>
            </w:r>
            <w:r w:rsidR="00153073">
              <w:rPr>
                <w:rFonts w:asciiTheme="minorBidi" w:hAnsiTheme="minorBidi"/>
                <w:color w:val="000000"/>
                <w:sz w:val="18"/>
                <w:szCs w:val="18"/>
              </w:rPr>
              <w:t xml:space="preserve"> </w:t>
            </w:r>
            <w:r w:rsidRPr="00737C62">
              <w:rPr>
                <w:rFonts w:asciiTheme="minorBidi" w:hAnsiTheme="minorBidi"/>
                <w:color w:val="000000"/>
                <w:sz w:val="18"/>
                <w:szCs w:val="18"/>
              </w:rPr>
              <w:t>140</w:t>
            </w:r>
          </w:p>
        </w:tc>
        <w:tc>
          <w:tcPr>
            <w:tcW w:w="831" w:type="dxa"/>
            <w:noWrap/>
            <w:vAlign w:val="center"/>
            <w:hideMark/>
          </w:tcPr>
          <w:p w14:paraId="03A60E6F" w14:textId="44EE3300"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w:t>
            </w:r>
            <w:r w:rsidR="00153073">
              <w:rPr>
                <w:rFonts w:asciiTheme="minorBidi" w:hAnsiTheme="minorBidi"/>
                <w:color w:val="000000"/>
                <w:sz w:val="18"/>
                <w:szCs w:val="18"/>
              </w:rPr>
              <w:t xml:space="preserve"> </w:t>
            </w:r>
            <w:r w:rsidRPr="00737C62">
              <w:rPr>
                <w:rFonts w:asciiTheme="minorBidi" w:hAnsiTheme="minorBidi"/>
                <w:color w:val="000000"/>
                <w:sz w:val="18"/>
                <w:szCs w:val="18"/>
              </w:rPr>
              <w:t>001</w:t>
            </w:r>
          </w:p>
        </w:tc>
        <w:tc>
          <w:tcPr>
            <w:tcW w:w="1229" w:type="dxa"/>
            <w:noWrap/>
            <w:vAlign w:val="center"/>
            <w:hideMark/>
          </w:tcPr>
          <w:p w14:paraId="14847D56" w14:textId="075EABEE"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73</w:t>
            </w:r>
          </w:p>
        </w:tc>
        <w:tc>
          <w:tcPr>
            <w:tcW w:w="630" w:type="dxa"/>
            <w:noWrap/>
            <w:vAlign w:val="center"/>
            <w:hideMark/>
          </w:tcPr>
          <w:p w14:paraId="39C90AE2"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606</w:t>
            </w:r>
          </w:p>
        </w:tc>
        <w:tc>
          <w:tcPr>
            <w:tcW w:w="1350" w:type="dxa"/>
            <w:noWrap/>
            <w:vAlign w:val="center"/>
            <w:hideMark/>
          </w:tcPr>
          <w:p w14:paraId="70B3543E" w14:textId="55F68E3E"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65</w:t>
            </w:r>
          </w:p>
        </w:tc>
        <w:tc>
          <w:tcPr>
            <w:tcW w:w="630" w:type="dxa"/>
            <w:noWrap/>
            <w:vAlign w:val="center"/>
            <w:hideMark/>
          </w:tcPr>
          <w:p w14:paraId="2AB3CE0E"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213</w:t>
            </w:r>
          </w:p>
        </w:tc>
        <w:tc>
          <w:tcPr>
            <w:tcW w:w="1350" w:type="dxa"/>
            <w:noWrap/>
            <w:vAlign w:val="center"/>
            <w:hideMark/>
          </w:tcPr>
          <w:p w14:paraId="4EF4A88E" w14:textId="6EBBD6FC"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87</w:t>
            </w:r>
          </w:p>
        </w:tc>
        <w:tc>
          <w:tcPr>
            <w:tcW w:w="559" w:type="dxa"/>
            <w:noWrap/>
            <w:vAlign w:val="center"/>
            <w:hideMark/>
          </w:tcPr>
          <w:p w14:paraId="1AF335A4"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67</w:t>
            </w:r>
          </w:p>
        </w:tc>
        <w:tc>
          <w:tcPr>
            <w:tcW w:w="1511" w:type="dxa"/>
            <w:noWrap/>
            <w:vAlign w:val="center"/>
            <w:hideMark/>
          </w:tcPr>
          <w:p w14:paraId="7F5D9730" w14:textId="3733620E"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125</w:t>
            </w:r>
          </w:p>
        </w:tc>
        <w:tc>
          <w:tcPr>
            <w:tcW w:w="559" w:type="dxa"/>
            <w:noWrap/>
            <w:vAlign w:val="center"/>
            <w:hideMark/>
          </w:tcPr>
          <w:p w14:paraId="447DF8A2"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71</w:t>
            </w:r>
          </w:p>
        </w:tc>
        <w:tc>
          <w:tcPr>
            <w:tcW w:w="1331" w:type="dxa"/>
            <w:noWrap/>
            <w:vAlign w:val="center"/>
            <w:hideMark/>
          </w:tcPr>
          <w:p w14:paraId="2FB843C8" w14:textId="49458B20"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41</w:t>
            </w:r>
          </w:p>
        </w:tc>
      </w:tr>
      <w:tr w:rsidR="00F72778" w:rsidRPr="00737C62" w14:paraId="0C1FC1EA" w14:textId="77777777" w:rsidTr="00737C62">
        <w:trPr>
          <w:trHeight w:val="320"/>
        </w:trPr>
        <w:tc>
          <w:tcPr>
            <w:tcW w:w="1885" w:type="dxa"/>
            <w:vMerge/>
            <w:vAlign w:val="center"/>
            <w:hideMark/>
          </w:tcPr>
          <w:p w14:paraId="5117F4AA" w14:textId="77777777" w:rsidR="00F72778" w:rsidRPr="00737C62" w:rsidRDefault="00F72778" w:rsidP="00737C62">
            <w:pPr>
              <w:spacing w:before="0" w:after="0" w:line="240" w:lineRule="auto"/>
              <w:rPr>
                <w:rFonts w:asciiTheme="minorBidi" w:hAnsiTheme="minorBidi"/>
                <w:color w:val="000000"/>
                <w:sz w:val="18"/>
                <w:szCs w:val="18"/>
              </w:rPr>
            </w:pPr>
          </w:p>
        </w:tc>
        <w:tc>
          <w:tcPr>
            <w:tcW w:w="1170" w:type="dxa"/>
            <w:noWrap/>
            <w:vAlign w:val="center"/>
            <w:hideMark/>
          </w:tcPr>
          <w:p w14:paraId="1F11FD12"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MÄR 2025</w:t>
            </w:r>
          </w:p>
        </w:tc>
        <w:tc>
          <w:tcPr>
            <w:tcW w:w="1180" w:type="dxa"/>
            <w:noWrap/>
            <w:vAlign w:val="center"/>
            <w:hideMark/>
          </w:tcPr>
          <w:p w14:paraId="102650D1" w14:textId="5F30C479"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w:t>
            </w:r>
            <w:r w:rsidR="00153073">
              <w:rPr>
                <w:rFonts w:asciiTheme="minorBidi" w:hAnsiTheme="minorBidi"/>
                <w:color w:val="000000"/>
                <w:sz w:val="18"/>
                <w:szCs w:val="18"/>
              </w:rPr>
              <w:t xml:space="preserve"> </w:t>
            </w:r>
            <w:r w:rsidRPr="00737C62">
              <w:rPr>
                <w:rFonts w:asciiTheme="minorBidi" w:hAnsiTheme="minorBidi"/>
                <w:color w:val="000000"/>
                <w:sz w:val="18"/>
                <w:szCs w:val="18"/>
              </w:rPr>
              <w:t>019</w:t>
            </w:r>
          </w:p>
        </w:tc>
        <w:tc>
          <w:tcPr>
            <w:tcW w:w="831" w:type="dxa"/>
            <w:noWrap/>
            <w:vAlign w:val="center"/>
            <w:hideMark/>
          </w:tcPr>
          <w:p w14:paraId="28F71B06"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893</w:t>
            </w:r>
          </w:p>
        </w:tc>
        <w:tc>
          <w:tcPr>
            <w:tcW w:w="1229" w:type="dxa"/>
            <w:noWrap/>
            <w:vAlign w:val="center"/>
            <w:hideMark/>
          </w:tcPr>
          <w:p w14:paraId="2AD47864" w14:textId="0BF734E0"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99</w:t>
            </w:r>
          </w:p>
        </w:tc>
        <w:tc>
          <w:tcPr>
            <w:tcW w:w="630" w:type="dxa"/>
            <w:noWrap/>
            <w:vAlign w:val="center"/>
            <w:hideMark/>
          </w:tcPr>
          <w:p w14:paraId="341B6B8C"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574</w:t>
            </w:r>
          </w:p>
        </w:tc>
        <w:tc>
          <w:tcPr>
            <w:tcW w:w="1350" w:type="dxa"/>
            <w:noWrap/>
            <w:vAlign w:val="center"/>
            <w:hideMark/>
          </w:tcPr>
          <w:p w14:paraId="1AF99DD2" w14:textId="25B43E95"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89</w:t>
            </w:r>
          </w:p>
        </w:tc>
        <w:tc>
          <w:tcPr>
            <w:tcW w:w="630" w:type="dxa"/>
            <w:noWrap/>
            <w:vAlign w:val="center"/>
            <w:hideMark/>
          </w:tcPr>
          <w:p w14:paraId="75285176"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155</w:t>
            </w:r>
          </w:p>
        </w:tc>
        <w:tc>
          <w:tcPr>
            <w:tcW w:w="1350" w:type="dxa"/>
            <w:noWrap/>
            <w:vAlign w:val="center"/>
            <w:hideMark/>
          </w:tcPr>
          <w:p w14:paraId="26CA0358" w14:textId="0ED19F5E"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116</w:t>
            </w:r>
          </w:p>
        </w:tc>
        <w:tc>
          <w:tcPr>
            <w:tcW w:w="559" w:type="dxa"/>
            <w:noWrap/>
            <w:vAlign w:val="center"/>
            <w:hideMark/>
          </w:tcPr>
          <w:p w14:paraId="2EEF1AF7"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44</w:t>
            </w:r>
          </w:p>
        </w:tc>
        <w:tc>
          <w:tcPr>
            <w:tcW w:w="1511" w:type="dxa"/>
            <w:noWrap/>
            <w:vAlign w:val="center"/>
            <w:hideMark/>
          </w:tcPr>
          <w:p w14:paraId="25EA40F6" w14:textId="1ADB8655"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179</w:t>
            </w:r>
          </w:p>
        </w:tc>
        <w:tc>
          <w:tcPr>
            <w:tcW w:w="559" w:type="dxa"/>
            <w:noWrap/>
            <w:vAlign w:val="center"/>
            <w:hideMark/>
          </w:tcPr>
          <w:p w14:paraId="26CADEEE"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66</w:t>
            </w:r>
          </w:p>
        </w:tc>
        <w:tc>
          <w:tcPr>
            <w:tcW w:w="1331" w:type="dxa"/>
            <w:noWrap/>
            <w:vAlign w:val="center"/>
            <w:hideMark/>
          </w:tcPr>
          <w:p w14:paraId="4FD727D4" w14:textId="72BD32A8"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66</w:t>
            </w:r>
          </w:p>
        </w:tc>
      </w:tr>
      <w:tr w:rsidR="00F72778" w:rsidRPr="00737C62" w14:paraId="572A1387" w14:textId="77777777" w:rsidTr="00737C62">
        <w:trPr>
          <w:trHeight w:val="320"/>
        </w:trPr>
        <w:tc>
          <w:tcPr>
            <w:tcW w:w="1885" w:type="dxa"/>
            <w:vMerge w:val="restart"/>
            <w:noWrap/>
            <w:vAlign w:val="center"/>
            <w:hideMark/>
          </w:tcPr>
          <w:p w14:paraId="395EF5F1"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Vanalinn</w:t>
            </w:r>
          </w:p>
        </w:tc>
        <w:tc>
          <w:tcPr>
            <w:tcW w:w="1170" w:type="dxa"/>
            <w:noWrap/>
            <w:vAlign w:val="center"/>
            <w:hideMark/>
          </w:tcPr>
          <w:p w14:paraId="0B0DE06B"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JAN 2025</w:t>
            </w:r>
          </w:p>
        </w:tc>
        <w:tc>
          <w:tcPr>
            <w:tcW w:w="1180" w:type="dxa"/>
            <w:noWrap/>
            <w:vAlign w:val="center"/>
            <w:hideMark/>
          </w:tcPr>
          <w:p w14:paraId="2E670F63"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664</w:t>
            </w:r>
          </w:p>
        </w:tc>
        <w:tc>
          <w:tcPr>
            <w:tcW w:w="831" w:type="dxa"/>
            <w:noWrap/>
            <w:vAlign w:val="center"/>
            <w:hideMark/>
          </w:tcPr>
          <w:p w14:paraId="42C60A61"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580</w:t>
            </w:r>
          </w:p>
        </w:tc>
        <w:tc>
          <w:tcPr>
            <w:tcW w:w="1229" w:type="dxa"/>
            <w:noWrap/>
            <w:vAlign w:val="center"/>
            <w:hideMark/>
          </w:tcPr>
          <w:p w14:paraId="4288F4AB" w14:textId="5F4D57AE"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94</w:t>
            </w:r>
          </w:p>
        </w:tc>
        <w:tc>
          <w:tcPr>
            <w:tcW w:w="630" w:type="dxa"/>
            <w:noWrap/>
            <w:vAlign w:val="center"/>
            <w:hideMark/>
          </w:tcPr>
          <w:p w14:paraId="1B1F1E43"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246</w:t>
            </w:r>
          </w:p>
        </w:tc>
        <w:tc>
          <w:tcPr>
            <w:tcW w:w="1350" w:type="dxa"/>
            <w:noWrap/>
            <w:vAlign w:val="center"/>
            <w:hideMark/>
          </w:tcPr>
          <w:p w14:paraId="13D8B786" w14:textId="3529A9C5"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71</w:t>
            </w:r>
          </w:p>
        </w:tc>
        <w:tc>
          <w:tcPr>
            <w:tcW w:w="630" w:type="dxa"/>
            <w:noWrap/>
            <w:vAlign w:val="center"/>
            <w:hideMark/>
          </w:tcPr>
          <w:p w14:paraId="7C055895"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163</w:t>
            </w:r>
          </w:p>
        </w:tc>
        <w:tc>
          <w:tcPr>
            <w:tcW w:w="1350" w:type="dxa"/>
            <w:noWrap/>
            <w:vAlign w:val="center"/>
            <w:hideMark/>
          </w:tcPr>
          <w:p w14:paraId="74244237" w14:textId="1A62B233"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105</w:t>
            </w:r>
          </w:p>
        </w:tc>
        <w:tc>
          <w:tcPr>
            <w:tcW w:w="559" w:type="dxa"/>
            <w:noWrap/>
            <w:vAlign w:val="center"/>
            <w:hideMark/>
          </w:tcPr>
          <w:p w14:paraId="2E0D1C03"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82</w:t>
            </w:r>
          </w:p>
        </w:tc>
        <w:tc>
          <w:tcPr>
            <w:tcW w:w="1511" w:type="dxa"/>
            <w:noWrap/>
            <w:vAlign w:val="center"/>
            <w:hideMark/>
          </w:tcPr>
          <w:p w14:paraId="47F86573" w14:textId="575B1AE1"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126</w:t>
            </w:r>
          </w:p>
        </w:tc>
        <w:tc>
          <w:tcPr>
            <w:tcW w:w="559" w:type="dxa"/>
            <w:noWrap/>
            <w:vAlign w:val="center"/>
            <w:hideMark/>
          </w:tcPr>
          <w:p w14:paraId="1F58B5C3"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59</w:t>
            </w:r>
          </w:p>
        </w:tc>
        <w:tc>
          <w:tcPr>
            <w:tcW w:w="1331" w:type="dxa"/>
            <w:noWrap/>
            <w:vAlign w:val="center"/>
            <w:hideMark/>
          </w:tcPr>
          <w:p w14:paraId="2941AA2C" w14:textId="5D230719"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65</w:t>
            </w:r>
          </w:p>
        </w:tc>
      </w:tr>
      <w:tr w:rsidR="00F72778" w:rsidRPr="00737C62" w14:paraId="6C4863B3" w14:textId="77777777" w:rsidTr="00737C62">
        <w:trPr>
          <w:trHeight w:val="320"/>
        </w:trPr>
        <w:tc>
          <w:tcPr>
            <w:tcW w:w="1885" w:type="dxa"/>
            <w:vMerge/>
            <w:vAlign w:val="center"/>
            <w:hideMark/>
          </w:tcPr>
          <w:p w14:paraId="043C0F11" w14:textId="77777777" w:rsidR="00F72778" w:rsidRPr="00737C62" w:rsidRDefault="00F72778" w:rsidP="00737C62">
            <w:pPr>
              <w:spacing w:before="0" w:after="0" w:line="240" w:lineRule="auto"/>
              <w:rPr>
                <w:rFonts w:asciiTheme="minorBidi" w:hAnsiTheme="minorBidi"/>
                <w:color w:val="000000"/>
                <w:sz w:val="18"/>
                <w:szCs w:val="18"/>
              </w:rPr>
            </w:pPr>
          </w:p>
        </w:tc>
        <w:tc>
          <w:tcPr>
            <w:tcW w:w="1170" w:type="dxa"/>
            <w:noWrap/>
            <w:vAlign w:val="center"/>
            <w:hideMark/>
          </w:tcPr>
          <w:p w14:paraId="0F1ABDAB"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MÄR 2025</w:t>
            </w:r>
          </w:p>
        </w:tc>
        <w:tc>
          <w:tcPr>
            <w:tcW w:w="1180" w:type="dxa"/>
            <w:noWrap/>
            <w:vAlign w:val="center"/>
            <w:hideMark/>
          </w:tcPr>
          <w:p w14:paraId="0FEB0F55"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546</w:t>
            </w:r>
          </w:p>
        </w:tc>
        <w:tc>
          <w:tcPr>
            <w:tcW w:w="831" w:type="dxa"/>
            <w:noWrap/>
            <w:vAlign w:val="center"/>
            <w:hideMark/>
          </w:tcPr>
          <w:p w14:paraId="47B7EAEC"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456</w:t>
            </w:r>
          </w:p>
        </w:tc>
        <w:tc>
          <w:tcPr>
            <w:tcW w:w="1229" w:type="dxa"/>
            <w:noWrap/>
            <w:vAlign w:val="center"/>
            <w:hideMark/>
          </w:tcPr>
          <w:p w14:paraId="75BC3EAA" w14:textId="23D4305C"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142</w:t>
            </w:r>
          </w:p>
        </w:tc>
        <w:tc>
          <w:tcPr>
            <w:tcW w:w="630" w:type="dxa"/>
            <w:noWrap/>
            <w:vAlign w:val="center"/>
            <w:hideMark/>
          </w:tcPr>
          <w:p w14:paraId="51BD0547"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213</w:t>
            </w:r>
          </w:p>
        </w:tc>
        <w:tc>
          <w:tcPr>
            <w:tcW w:w="1350" w:type="dxa"/>
            <w:noWrap/>
            <w:vAlign w:val="center"/>
            <w:hideMark/>
          </w:tcPr>
          <w:p w14:paraId="5B806901" w14:textId="1E5010F1"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101</w:t>
            </w:r>
          </w:p>
        </w:tc>
        <w:tc>
          <w:tcPr>
            <w:tcW w:w="630" w:type="dxa"/>
            <w:noWrap/>
            <w:vAlign w:val="center"/>
            <w:hideMark/>
          </w:tcPr>
          <w:p w14:paraId="68494100"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114</w:t>
            </w:r>
          </w:p>
        </w:tc>
        <w:tc>
          <w:tcPr>
            <w:tcW w:w="1350" w:type="dxa"/>
            <w:noWrap/>
            <w:vAlign w:val="center"/>
            <w:hideMark/>
          </w:tcPr>
          <w:p w14:paraId="5D4F7D95" w14:textId="00A6A706"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167</w:t>
            </w:r>
          </w:p>
        </w:tc>
        <w:tc>
          <w:tcPr>
            <w:tcW w:w="559" w:type="dxa"/>
            <w:noWrap/>
            <w:vAlign w:val="center"/>
            <w:hideMark/>
          </w:tcPr>
          <w:p w14:paraId="4D919C23"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55</w:t>
            </w:r>
          </w:p>
        </w:tc>
        <w:tc>
          <w:tcPr>
            <w:tcW w:w="1511" w:type="dxa"/>
            <w:noWrap/>
            <w:vAlign w:val="center"/>
            <w:hideMark/>
          </w:tcPr>
          <w:p w14:paraId="661FD0D7" w14:textId="146250DF"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225</w:t>
            </w:r>
          </w:p>
        </w:tc>
        <w:tc>
          <w:tcPr>
            <w:tcW w:w="559" w:type="dxa"/>
            <w:noWrap/>
            <w:vAlign w:val="center"/>
            <w:hideMark/>
          </w:tcPr>
          <w:p w14:paraId="6D9BB80C"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60</w:t>
            </w:r>
          </w:p>
        </w:tc>
        <w:tc>
          <w:tcPr>
            <w:tcW w:w="1331" w:type="dxa"/>
            <w:noWrap/>
            <w:vAlign w:val="center"/>
            <w:hideMark/>
          </w:tcPr>
          <w:p w14:paraId="09F08C70" w14:textId="1AC53DA0"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97</w:t>
            </w:r>
          </w:p>
        </w:tc>
      </w:tr>
      <w:tr w:rsidR="00F72778" w:rsidRPr="00737C62" w14:paraId="28C57E6E" w14:textId="77777777" w:rsidTr="00737C62">
        <w:trPr>
          <w:trHeight w:val="320"/>
        </w:trPr>
        <w:tc>
          <w:tcPr>
            <w:tcW w:w="1885" w:type="dxa"/>
            <w:vMerge w:val="restart"/>
            <w:noWrap/>
            <w:vAlign w:val="center"/>
            <w:hideMark/>
          </w:tcPr>
          <w:p w14:paraId="3025C104"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Kalamaja</w:t>
            </w:r>
          </w:p>
        </w:tc>
        <w:tc>
          <w:tcPr>
            <w:tcW w:w="1170" w:type="dxa"/>
            <w:noWrap/>
            <w:vAlign w:val="center"/>
            <w:hideMark/>
          </w:tcPr>
          <w:p w14:paraId="336A7B03"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JAN 2025</w:t>
            </w:r>
          </w:p>
        </w:tc>
        <w:tc>
          <w:tcPr>
            <w:tcW w:w="1180" w:type="dxa"/>
            <w:noWrap/>
            <w:vAlign w:val="center"/>
            <w:hideMark/>
          </w:tcPr>
          <w:p w14:paraId="16FE03A6"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285</w:t>
            </w:r>
          </w:p>
        </w:tc>
        <w:tc>
          <w:tcPr>
            <w:tcW w:w="831" w:type="dxa"/>
            <w:noWrap/>
            <w:vAlign w:val="center"/>
            <w:hideMark/>
          </w:tcPr>
          <w:p w14:paraId="29DEBDD0"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267</w:t>
            </w:r>
          </w:p>
        </w:tc>
        <w:tc>
          <w:tcPr>
            <w:tcW w:w="1229" w:type="dxa"/>
            <w:noWrap/>
            <w:vAlign w:val="center"/>
            <w:hideMark/>
          </w:tcPr>
          <w:p w14:paraId="6124AB7A" w14:textId="1BD9F476"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71</w:t>
            </w:r>
          </w:p>
        </w:tc>
        <w:tc>
          <w:tcPr>
            <w:tcW w:w="630" w:type="dxa"/>
            <w:noWrap/>
            <w:vAlign w:val="center"/>
            <w:hideMark/>
          </w:tcPr>
          <w:p w14:paraId="56D35C22"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158</w:t>
            </w:r>
          </w:p>
        </w:tc>
        <w:tc>
          <w:tcPr>
            <w:tcW w:w="1350" w:type="dxa"/>
            <w:noWrap/>
            <w:vAlign w:val="center"/>
            <w:hideMark/>
          </w:tcPr>
          <w:p w14:paraId="05826503" w14:textId="13842015"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63</w:t>
            </w:r>
          </w:p>
        </w:tc>
        <w:tc>
          <w:tcPr>
            <w:tcW w:w="630" w:type="dxa"/>
            <w:noWrap/>
            <w:vAlign w:val="center"/>
            <w:hideMark/>
          </w:tcPr>
          <w:p w14:paraId="7669E3B3"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57</w:t>
            </w:r>
          </w:p>
        </w:tc>
        <w:tc>
          <w:tcPr>
            <w:tcW w:w="1350" w:type="dxa"/>
            <w:noWrap/>
            <w:vAlign w:val="center"/>
            <w:hideMark/>
          </w:tcPr>
          <w:p w14:paraId="57515265" w14:textId="4ECF933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98</w:t>
            </w:r>
          </w:p>
        </w:tc>
        <w:tc>
          <w:tcPr>
            <w:tcW w:w="559" w:type="dxa"/>
            <w:noWrap/>
            <w:vAlign w:val="center"/>
            <w:hideMark/>
          </w:tcPr>
          <w:p w14:paraId="65D2DD02"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8</w:t>
            </w:r>
          </w:p>
        </w:tc>
        <w:tc>
          <w:tcPr>
            <w:tcW w:w="1511" w:type="dxa"/>
            <w:noWrap/>
            <w:vAlign w:val="center"/>
            <w:hideMark/>
          </w:tcPr>
          <w:p w14:paraId="65757A47" w14:textId="0C4F956A"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159</w:t>
            </w:r>
          </w:p>
        </w:tc>
        <w:tc>
          <w:tcPr>
            <w:tcW w:w="559" w:type="dxa"/>
            <w:noWrap/>
            <w:vAlign w:val="center"/>
            <w:hideMark/>
          </w:tcPr>
          <w:p w14:paraId="66E0ECDA"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12</w:t>
            </w:r>
          </w:p>
        </w:tc>
        <w:tc>
          <w:tcPr>
            <w:tcW w:w="1331" w:type="dxa"/>
            <w:noWrap/>
            <w:vAlign w:val="center"/>
            <w:hideMark/>
          </w:tcPr>
          <w:p w14:paraId="5DEB5916" w14:textId="6423B901"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60</w:t>
            </w:r>
          </w:p>
        </w:tc>
      </w:tr>
      <w:tr w:rsidR="00F72778" w:rsidRPr="00737C62" w14:paraId="516658F1" w14:textId="77777777" w:rsidTr="00737C62">
        <w:trPr>
          <w:trHeight w:val="320"/>
        </w:trPr>
        <w:tc>
          <w:tcPr>
            <w:tcW w:w="1885" w:type="dxa"/>
            <w:vMerge/>
            <w:vAlign w:val="center"/>
            <w:hideMark/>
          </w:tcPr>
          <w:p w14:paraId="3B9008D8" w14:textId="77777777" w:rsidR="00F72778" w:rsidRPr="00737C62" w:rsidRDefault="00F72778" w:rsidP="00737C62">
            <w:pPr>
              <w:spacing w:before="0" w:after="0" w:line="240" w:lineRule="auto"/>
              <w:rPr>
                <w:rFonts w:asciiTheme="minorBidi" w:hAnsiTheme="minorBidi"/>
                <w:color w:val="000000"/>
                <w:sz w:val="18"/>
                <w:szCs w:val="18"/>
              </w:rPr>
            </w:pPr>
          </w:p>
        </w:tc>
        <w:tc>
          <w:tcPr>
            <w:tcW w:w="1170" w:type="dxa"/>
            <w:noWrap/>
            <w:vAlign w:val="center"/>
            <w:hideMark/>
          </w:tcPr>
          <w:p w14:paraId="1FB019DE"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MÄR 2025</w:t>
            </w:r>
          </w:p>
        </w:tc>
        <w:tc>
          <w:tcPr>
            <w:tcW w:w="1180" w:type="dxa"/>
            <w:noWrap/>
            <w:vAlign w:val="center"/>
            <w:hideMark/>
          </w:tcPr>
          <w:p w14:paraId="41DD137E"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282</w:t>
            </w:r>
          </w:p>
        </w:tc>
        <w:tc>
          <w:tcPr>
            <w:tcW w:w="831" w:type="dxa"/>
            <w:noWrap/>
            <w:vAlign w:val="center"/>
            <w:hideMark/>
          </w:tcPr>
          <w:p w14:paraId="5941AB4E"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265</w:t>
            </w:r>
          </w:p>
        </w:tc>
        <w:tc>
          <w:tcPr>
            <w:tcW w:w="1229" w:type="dxa"/>
            <w:noWrap/>
            <w:vAlign w:val="center"/>
            <w:hideMark/>
          </w:tcPr>
          <w:p w14:paraId="4755A3B4" w14:textId="497D4FBA"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102</w:t>
            </w:r>
          </w:p>
        </w:tc>
        <w:tc>
          <w:tcPr>
            <w:tcW w:w="630" w:type="dxa"/>
            <w:noWrap/>
            <w:vAlign w:val="center"/>
            <w:hideMark/>
          </w:tcPr>
          <w:p w14:paraId="3B761E76"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166</w:t>
            </w:r>
          </w:p>
        </w:tc>
        <w:tc>
          <w:tcPr>
            <w:tcW w:w="1350" w:type="dxa"/>
            <w:noWrap/>
            <w:vAlign w:val="center"/>
            <w:hideMark/>
          </w:tcPr>
          <w:p w14:paraId="3D7B6830" w14:textId="67686FC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89</w:t>
            </w:r>
          </w:p>
        </w:tc>
        <w:tc>
          <w:tcPr>
            <w:tcW w:w="630" w:type="dxa"/>
            <w:noWrap/>
            <w:vAlign w:val="center"/>
            <w:hideMark/>
          </w:tcPr>
          <w:p w14:paraId="4258D2AD"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47</w:t>
            </w:r>
          </w:p>
        </w:tc>
        <w:tc>
          <w:tcPr>
            <w:tcW w:w="1350" w:type="dxa"/>
            <w:noWrap/>
            <w:vAlign w:val="center"/>
            <w:hideMark/>
          </w:tcPr>
          <w:p w14:paraId="64971D7F" w14:textId="2C952400"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152</w:t>
            </w:r>
          </w:p>
        </w:tc>
        <w:tc>
          <w:tcPr>
            <w:tcW w:w="559" w:type="dxa"/>
            <w:noWrap/>
            <w:vAlign w:val="center"/>
            <w:hideMark/>
          </w:tcPr>
          <w:p w14:paraId="14538B7F"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7</w:t>
            </w:r>
          </w:p>
        </w:tc>
        <w:tc>
          <w:tcPr>
            <w:tcW w:w="1511" w:type="dxa"/>
            <w:noWrap/>
            <w:vAlign w:val="center"/>
            <w:hideMark/>
          </w:tcPr>
          <w:p w14:paraId="641B525D" w14:textId="7092CD64"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184</w:t>
            </w:r>
          </w:p>
        </w:tc>
        <w:tc>
          <w:tcPr>
            <w:tcW w:w="559" w:type="dxa"/>
            <w:noWrap/>
            <w:vAlign w:val="center"/>
            <w:hideMark/>
          </w:tcPr>
          <w:p w14:paraId="0733A1B7"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10</w:t>
            </w:r>
          </w:p>
        </w:tc>
        <w:tc>
          <w:tcPr>
            <w:tcW w:w="1331" w:type="dxa"/>
            <w:noWrap/>
            <w:vAlign w:val="center"/>
            <w:hideMark/>
          </w:tcPr>
          <w:p w14:paraId="62CF9A7B" w14:textId="4ADE7AC6"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69</w:t>
            </w:r>
          </w:p>
        </w:tc>
      </w:tr>
      <w:tr w:rsidR="00F72778" w:rsidRPr="00737C62" w14:paraId="52C9193E" w14:textId="77777777" w:rsidTr="00737C62">
        <w:trPr>
          <w:trHeight w:val="320"/>
        </w:trPr>
        <w:tc>
          <w:tcPr>
            <w:tcW w:w="1885" w:type="dxa"/>
            <w:vMerge w:val="restart"/>
            <w:noWrap/>
            <w:vAlign w:val="center"/>
            <w:hideMark/>
          </w:tcPr>
          <w:p w14:paraId="5E6F03D8"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Põhja-Tallinn</w:t>
            </w:r>
          </w:p>
        </w:tc>
        <w:tc>
          <w:tcPr>
            <w:tcW w:w="1170" w:type="dxa"/>
            <w:noWrap/>
            <w:vAlign w:val="center"/>
            <w:hideMark/>
          </w:tcPr>
          <w:p w14:paraId="63F35DB1"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JAN 2025</w:t>
            </w:r>
          </w:p>
        </w:tc>
        <w:tc>
          <w:tcPr>
            <w:tcW w:w="1180" w:type="dxa"/>
            <w:noWrap/>
            <w:vAlign w:val="center"/>
            <w:hideMark/>
          </w:tcPr>
          <w:p w14:paraId="0A5E428B"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179</w:t>
            </w:r>
          </w:p>
        </w:tc>
        <w:tc>
          <w:tcPr>
            <w:tcW w:w="831" w:type="dxa"/>
            <w:noWrap/>
            <w:vAlign w:val="center"/>
            <w:hideMark/>
          </w:tcPr>
          <w:p w14:paraId="5D2B8FE8"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170</w:t>
            </w:r>
          </w:p>
        </w:tc>
        <w:tc>
          <w:tcPr>
            <w:tcW w:w="1229" w:type="dxa"/>
            <w:noWrap/>
            <w:vAlign w:val="center"/>
            <w:hideMark/>
          </w:tcPr>
          <w:p w14:paraId="6B3CA712" w14:textId="5418EB19"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54</w:t>
            </w:r>
          </w:p>
        </w:tc>
        <w:tc>
          <w:tcPr>
            <w:tcW w:w="630" w:type="dxa"/>
            <w:noWrap/>
            <w:vAlign w:val="center"/>
            <w:hideMark/>
          </w:tcPr>
          <w:p w14:paraId="10E25E0B"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126</w:t>
            </w:r>
          </w:p>
        </w:tc>
        <w:tc>
          <w:tcPr>
            <w:tcW w:w="1350" w:type="dxa"/>
            <w:noWrap/>
            <w:vAlign w:val="center"/>
            <w:hideMark/>
          </w:tcPr>
          <w:p w14:paraId="573E9340" w14:textId="5B0010DF"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51</w:t>
            </w:r>
          </w:p>
        </w:tc>
        <w:tc>
          <w:tcPr>
            <w:tcW w:w="630" w:type="dxa"/>
            <w:noWrap/>
            <w:vAlign w:val="center"/>
            <w:hideMark/>
          </w:tcPr>
          <w:p w14:paraId="16A3F47D"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27</w:t>
            </w:r>
          </w:p>
        </w:tc>
        <w:tc>
          <w:tcPr>
            <w:tcW w:w="1350" w:type="dxa"/>
            <w:noWrap/>
            <w:vAlign w:val="center"/>
            <w:hideMark/>
          </w:tcPr>
          <w:p w14:paraId="2AE72B04" w14:textId="2C941F58"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62</w:t>
            </w:r>
          </w:p>
        </w:tc>
        <w:tc>
          <w:tcPr>
            <w:tcW w:w="559" w:type="dxa"/>
            <w:noWrap/>
            <w:vAlign w:val="center"/>
            <w:hideMark/>
          </w:tcPr>
          <w:p w14:paraId="0169F67F"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w:t>
            </w:r>
          </w:p>
        </w:tc>
        <w:tc>
          <w:tcPr>
            <w:tcW w:w="1511" w:type="dxa"/>
            <w:noWrap/>
            <w:vAlign w:val="center"/>
            <w:hideMark/>
          </w:tcPr>
          <w:p w14:paraId="592228E6" w14:textId="49832EC3"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179</w:t>
            </w:r>
          </w:p>
        </w:tc>
        <w:tc>
          <w:tcPr>
            <w:tcW w:w="559" w:type="dxa"/>
            <w:noWrap/>
            <w:vAlign w:val="center"/>
            <w:hideMark/>
          </w:tcPr>
          <w:p w14:paraId="0E87D354"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8</w:t>
            </w:r>
          </w:p>
        </w:tc>
        <w:tc>
          <w:tcPr>
            <w:tcW w:w="1331" w:type="dxa"/>
            <w:noWrap/>
            <w:vAlign w:val="center"/>
            <w:hideMark/>
          </w:tcPr>
          <w:p w14:paraId="0BC2FF4E" w14:textId="48A5C6BB"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55</w:t>
            </w:r>
          </w:p>
        </w:tc>
      </w:tr>
      <w:tr w:rsidR="00F72778" w:rsidRPr="00737C62" w14:paraId="2B3B0345" w14:textId="77777777" w:rsidTr="00737C62">
        <w:trPr>
          <w:trHeight w:val="320"/>
        </w:trPr>
        <w:tc>
          <w:tcPr>
            <w:tcW w:w="1885" w:type="dxa"/>
            <w:vMerge/>
            <w:vAlign w:val="center"/>
            <w:hideMark/>
          </w:tcPr>
          <w:p w14:paraId="07DA4B6D" w14:textId="77777777" w:rsidR="00F72778" w:rsidRPr="00737C62" w:rsidRDefault="00F72778" w:rsidP="00737C62">
            <w:pPr>
              <w:spacing w:before="0" w:after="0" w:line="240" w:lineRule="auto"/>
              <w:rPr>
                <w:rFonts w:asciiTheme="minorBidi" w:hAnsiTheme="minorBidi"/>
                <w:color w:val="000000"/>
                <w:sz w:val="18"/>
                <w:szCs w:val="18"/>
              </w:rPr>
            </w:pPr>
          </w:p>
        </w:tc>
        <w:tc>
          <w:tcPr>
            <w:tcW w:w="1170" w:type="dxa"/>
            <w:noWrap/>
            <w:vAlign w:val="center"/>
            <w:hideMark/>
          </w:tcPr>
          <w:p w14:paraId="5C8C374A"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MÄR 2025</w:t>
            </w:r>
          </w:p>
        </w:tc>
        <w:tc>
          <w:tcPr>
            <w:tcW w:w="1180" w:type="dxa"/>
            <w:noWrap/>
            <w:vAlign w:val="center"/>
            <w:hideMark/>
          </w:tcPr>
          <w:p w14:paraId="0A31EF8C"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154</w:t>
            </w:r>
          </w:p>
        </w:tc>
        <w:tc>
          <w:tcPr>
            <w:tcW w:w="831" w:type="dxa"/>
            <w:noWrap/>
            <w:vAlign w:val="center"/>
            <w:hideMark/>
          </w:tcPr>
          <w:p w14:paraId="38BF8349"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147</w:t>
            </w:r>
          </w:p>
        </w:tc>
        <w:tc>
          <w:tcPr>
            <w:tcW w:w="1229" w:type="dxa"/>
            <w:noWrap/>
            <w:vAlign w:val="center"/>
            <w:hideMark/>
          </w:tcPr>
          <w:p w14:paraId="261C4E8E" w14:textId="1AC5D03F"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70</w:t>
            </w:r>
          </w:p>
        </w:tc>
        <w:tc>
          <w:tcPr>
            <w:tcW w:w="630" w:type="dxa"/>
            <w:noWrap/>
            <w:vAlign w:val="center"/>
            <w:hideMark/>
          </w:tcPr>
          <w:p w14:paraId="26FE588E"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108</w:t>
            </w:r>
          </w:p>
        </w:tc>
        <w:tc>
          <w:tcPr>
            <w:tcW w:w="1350" w:type="dxa"/>
            <w:noWrap/>
            <w:vAlign w:val="center"/>
            <w:hideMark/>
          </w:tcPr>
          <w:p w14:paraId="0698178E" w14:textId="31D2D256"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66</w:t>
            </w:r>
          </w:p>
        </w:tc>
        <w:tc>
          <w:tcPr>
            <w:tcW w:w="630" w:type="dxa"/>
            <w:noWrap/>
            <w:vAlign w:val="center"/>
            <w:hideMark/>
          </w:tcPr>
          <w:p w14:paraId="13CC5F81"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21</w:t>
            </w:r>
          </w:p>
        </w:tc>
        <w:tc>
          <w:tcPr>
            <w:tcW w:w="1350" w:type="dxa"/>
            <w:noWrap/>
            <w:vAlign w:val="center"/>
            <w:hideMark/>
          </w:tcPr>
          <w:p w14:paraId="2278A531" w14:textId="7FDBF1B9"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94</w:t>
            </w:r>
          </w:p>
        </w:tc>
        <w:tc>
          <w:tcPr>
            <w:tcW w:w="559" w:type="dxa"/>
            <w:noWrap/>
            <w:vAlign w:val="center"/>
            <w:hideMark/>
          </w:tcPr>
          <w:p w14:paraId="09660DAA"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w:t>
            </w:r>
          </w:p>
        </w:tc>
        <w:tc>
          <w:tcPr>
            <w:tcW w:w="1511" w:type="dxa"/>
            <w:noWrap/>
            <w:vAlign w:val="center"/>
            <w:hideMark/>
          </w:tcPr>
          <w:p w14:paraId="2B26E376" w14:textId="33D54729"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170</w:t>
            </w:r>
          </w:p>
        </w:tc>
        <w:tc>
          <w:tcPr>
            <w:tcW w:w="559" w:type="dxa"/>
            <w:noWrap/>
            <w:vAlign w:val="center"/>
            <w:hideMark/>
          </w:tcPr>
          <w:p w14:paraId="0DF10242"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7</w:t>
            </w:r>
          </w:p>
        </w:tc>
        <w:tc>
          <w:tcPr>
            <w:tcW w:w="1331" w:type="dxa"/>
            <w:noWrap/>
            <w:vAlign w:val="center"/>
            <w:hideMark/>
          </w:tcPr>
          <w:p w14:paraId="71F05007" w14:textId="1817BA9A"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43</w:t>
            </w:r>
          </w:p>
        </w:tc>
      </w:tr>
      <w:tr w:rsidR="00F72778" w:rsidRPr="00737C62" w14:paraId="7F210FF6" w14:textId="77777777" w:rsidTr="00737C62">
        <w:trPr>
          <w:trHeight w:val="320"/>
        </w:trPr>
        <w:tc>
          <w:tcPr>
            <w:tcW w:w="1885" w:type="dxa"/>
            <w:vMerge w:val="restart"/>
            <w:noWrap/>
            <w:vAlign w:val="center"/>
            <w:hideMark/>
          </w:tcPr>
          <w:p w14:paraId="11F9491B"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Lasnamäe</w:t>
            </w:r>
          </w:p>
        </w:tc>
        <w:tc>
          <w:tcPr>
            <w:tcW w:w="1170" w:type="dxa"/>
            <w:noWrap/>
            <w:vAlign w:val="center"/>
            <w:hideMark/>
          </w:tcPr>
          <w:p w14:paraId="23765EE3"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JAN 2025</w:t>
            </w:r>
          </w:p>
        </w:tc>
        <w:tc>
          <w:tcPr>
            <w:tcW w:w="1180" w:type="dxa"/>
            <w:noWrap/>
            <w:vAlign w:val="center"/>
            <w:hideMark/>
          </w:tcPr>
          <w:p w14:paraId="0F22E849"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121</w:t>
            </w:r>
          </w:p>
        </w:tc>
        <w:tc>
          <w:tcPr>
            <w:tcW w:w="831" w:type="dxa"/>
            <w:noWrap/>
            <w:vAlign w:val="center"/>
            <w:hideMark/>
          </w:tcPr>
          <w:p w14:paraId="4935E660"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93</w:t>
            </w:r>
          </w:p>
        </w:tc>
        <w:tc>
          <w:tcPr>
            <w:tcW w:w="1229" w:type="dxa"/>
            <w:noWrap/>
            <w:vAlign w:val="center"/>
            <w:hideMark/>
          </w:tcPr>
          <w:p w14:paraId="33D3D102" w14:textId="615E5D1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83</w:t>
            </w:r>
          </w:p>
        </w:tc>
        <w:tc>
          <w:tcPr>
            <w:tcW w:w="630" w:type="dxa"/>
            <w:noWrap/>
            <w:vAlign w:val="center"/>
            <w:hideMark/>
          </w:tcPr>
          <w:p w14:paraId="6006154A"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55</w:t>
            </w:r>
          </w:p>
        </w:tc>
        <w:tc>
          <w:tcPr>
            <w:tcW w:w="1350" w:type="dxa"/>
            <w:noWrap/>
            <w:vAlign w:val="center"/>
            <w:hideMark/>
          </w:tcPr>
          <w:p w14:paraId="646B905F" w14:textId="7C262F91"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55</w:t>
            </w:r>
          </w:p>
        </w:tc>
        <w:tc>
          <w:tcPr>
            <w:tcW w:w="630" w:type="dxa"/>
            <w:noWrap/>
            <w:vAlign w:val="center"/>
            <w:hideMark/>
          </w:tcPr>
          <w:p w14:paraId="0D8E7A36"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24</w:t>
            </w:r>
          </w:p>
        </w:tc>
        <w:tc>
          <w:tcPr>
            <w:tcW w:w="1350" w:type="dxa"/>
            <w:noWrap/>
            <w:vAlign w:val="center"/>
            <w:hideMark/>
          </w:tcPr>
          <w:p w14:paraId="2DF31A19" w14:textId="5FFBC350"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78</w:t>
            </w:r>
          </w:p>
        </w:tc>
        <w:tc>
          <w:tcPr>
            <w:tcW w:w="559" w:type="dxa"/>
            <w:noWrap/>
            <w:vAlign w:val="center"/>
            <w:hideMark/>
          </w:tcPr>
          <w:p w14:paraId="623CF890"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7</w:t>
            </w:r>
          </w:p>
        </w:tc>
        <w:tc>
          <w:tcPr>
            <w:tcW w:w="1511" w:type="dxa"/>
            <w:noWrap/>
            <w:vAlign w:val="center"/>
            <w:hideMark/>
          </w:tcPr>
          <w:p w14:paraId="58189117" w14:textId="5880B4CB"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82</w:t>
            </w:r>
          </w:p>
        </w:tc>
        <w:tc>
          <w:tcPr>
            <w:tcW w:w="559" w:type="dxa"/>
            <w:noWrap/>
            <w:vAlign w:val="center"/>
            <w:hideMark/>
          </w:tcPr>
          <w:p w14:paraId="418304F5"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18</w:t>
            </w:r>
          </w:p>
        </w:tc>
        <w:tc>
          <w:tcPr>
            <w:tcW w:w="1331" w:type="dxa"/>
            <w:noWrap/>
            <w:vAlign w:val="center"/>
            <w:hideMark/>
          </w:tcPr>
          <w:p w14:paraId="5A621088" w14:textId="5CA4BCB1"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40</w:t>
            </w:r>
          </w:p>
        </w:tc>
      </w:tr>
      <w:tr w:rsidR="00F72778" w:rsidRPr="00737C62" w14:paraId="06939F28" w14:textId="77777777" w:rsidTr="00737C62">
        <w:trPr>
          <w:trHeight w:val="320"/>
        </w:trPr>
        <w:tc>
          <w:tcPr>
            <w:tcW w:w="1885" w:type="dxa"/>
            <w:vMerge/>
            <w:vAlign w:val="center"/>
            <w:hideMark/>
          </w:tcPr>
          <w:p w14:paraId="326E596A" w14:textId="77777777" w:rsidR="00F72778" w:rsidRPr="00737C62" w:rsidRDefault="00F72778" w:rsidP="00737C62">
            <w:pPr>
              <w:spacing w:before="0" w:after="0" w:line="240" w:lineRule="auto"/>
              <w:rPr>
                <w:rFonts w:asciiTheme="minorBidi" w:hAnsiTheme="minorBidi"/>
                <w:color w:val="000000"/>
                <w:sz w:val="18"/>
                <w:szCs w:val="18"/>
              </w:rPr>
            </w:pPr>
          </w:p>
        </w:tc>
        <w:tc>
          <w:tcPr>
            <w:tcW w:w="1170" w:type="dxa"/>
            <w:noWrap/>
            <w:vAlign w:val="center"/>
            <w:hideMark/>
          </w:tcPr>
          <w:p w14:paraId="4E68F386"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MÄR 2025</w:t>
            </w:r>
          </w:p>
        </w:tc>
        <w:tc>
          <w:tcPr>
            <w:tcW w:w="1180" w:type="dxa"/>
            <w:noWrap/>
            <w:vAlign w:val="center"/>
            <w:hideMark/>
          </w:tcPr>
          <w:p w14:paraId="2B53487A"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88</w:t>
            </w:r>
          </w:p>
        </w:tc>
        <w:tc>
          <w:tcPr>
            <w:tcW w:w="831" w:type="dxa"/>
            <w:noWrap/>
            <w:vAlign w:val="center"/>
            <w:hideMark/>
          </w:tcPr>
          <w:p w14:paraId="35104045"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71</w:t>
            </w:r>
          </w:p>
        </w:tc>
        <w:tc>
          <w:tcPr>
            <w:tcW w:w="1229" w:type="dxa"/>
            <w:noWrap/>
            <w:vAlign w:val="center"/>
            <w:hideMark/>
          </w:tcPr>
          <w:p w14:paraId="4B7E69A3" w14:textId="36E7B030"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85</w:t>
            </w:r>
          </w:p>
        </w:tc>
        <w:tc>
          <w:tcPr>
            <w:tcW w:w="630" w:type="dxa"/>
            <w:noWrap/>
            <w:vAlign w:val="center"/>
            <w:hideMark/>
          </w:tcPr>
          <w:p w14:paraId="4BA7727F"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42</w:t>
            </w:r>
          </w:p>
        </w:tc>
        <w:tc>
          <w:tcPr>
            <w:tcW w:w="1350" w:type="dxa"/>
            <w:noWrap/>
            <w:vAlign w:val="center"/>
            <w:hideMark/>
          </w:tcPr>
          <w:p w14:paraId="71E05BA2" w14:textId="715EEBC4"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73</w:t>
            </w:r>
          </w:p>
        </w:tc>
        <w:tc>
          <w:tcPr>
            <w:tcW w:w="630" w:type="dxa"/>
            <w:noWrap/>
            <w:vAlign w:val="center"/>
            <w:hideMark/>
          </w:tcPr>
          <w:p w14:paraId="47284C77"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21</w:t>
            </w:r>
          </w:p>
        </w:tc>
        <w:tc>
          <w:tcPr>
            <w:tcW w:w="1350" w:type="dxa"/>
            <w:noWrap/>
            <w:vAlign w:val="center"/>
            <w:hideMark/>
          </w:tcPr>
          <w:p w14:paraId="700A3962" w14:textId="61879F3C"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113</w:t>
            </w:r>
          </w:p>
        </w:tc>
        <w:tc>
          <w:tcPr>
            <w:tcW w:w="559" w:type="dxa"/>
            <w:noWrap/>
            <w:vAlign w:val="center"/>
            <w:hideMark/>
          </w:tcPr>
          <w:p w14:paraId="534861BB"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3</w:t>
            </w:r>
          </w:p>
        </w:tc>
        <w:tc>
          <w:tcPr>
            <w:tcW w:w="1511" w:type="dxa"/>
            <w:noWrap/>
            <w:vAlign w:val="center"/>
            <w:hideMark/>
          </w:tcPr>
          <w:p w14:paraId="1ADA29F6" w14:textId="2AF4A354"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146</w:t>
            </w:r>
          </w:p>
        </w:tc>
        <w:tc>
          <w:tcPr>
            <w:tcW w:w="559" w:type="dxa"/>
            <w:noWrap/>
            <w:vAlign w:val="center"/>
            <w:hideMark/>
          </w:tcPr>
          <w:p w14:paraId="3E8892D7"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14</w:t>
            </w:r>
          </w:p>
        </w:tc>
        <w:tc>
          <w:tcPr>
            <w:tcW w:w="1331" w:type="dxa"/>
            <w:noWrap/>
            <w:vAlign w:val="center"/>
            <w:hideMark/>
          </w:tcPr>
          <w:p w14:paraId="18761F18" w14:textId="062AA1E4"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65</w:t>
            </w:r>
          </w:p>
        </w:tc>
      </w:tr>
      <w:tr w:rsidR="00F72778" w:rsidRPr="00737C62" w14:paraId="34890149" w14:textId="77777777" w:rsidTr="00737C62">
        <w:trPr>
          <w:trHeight w:val="320"/>
        </w:trPr>
        <w:tc>
          <w:tcPr>
            <w:tcW w:w="1885" w:type="dxa"/>
            <w:vMerge w:val="restart"/>
            <w:noWrap/>
            <w:vAlign w:val="center"/>
            <w:hideMark/>
          </w:tcPr>
          <w:p w14:paraId="684D874A"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Kristiine</w:t>
            </w:r>
          </w:p>
        </w:tc>
        <w:tc>
          <w:tcPr>
            <w:tcW w:w="1170" w:type="dxa"/>
            <w:noWrap/>
            <w:vAlign w:val="center"/>
            <w:hideMark/>
          </w:tcPr>
          <w:p w14:paraId="014BFFD9"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JAN 2025</w:t>
            </w:r>
          </w:p>
        </w:tc>
        <w:tc>
          <w:tcPr>
            <w:tcW w:w="1180" w:type="dxa"/>
            <w:noWrap/>
            <w:vAlign w:val="center"/>
            <w:hideMark/>
          </w:tcPr>
          <w:p w14:paraId="5BA2D2C4"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110</w:t>
            </w:r>
          </w:p>
        </w:tc>
        <w:tc>
          <w:tcPr>
            <w:tcW w:w="831" w:type="dxa"/>
            <w:noWrap/>
            <w:vAlign w:val="center"/>
            <w:hideMark/>
          </w:tcPr>
          <w:p w14:paraId="107C861E"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92</w:t>
            </w:r>
          </w:p>
        </w:tc>
        <w:tc>
          <w:tcPr>
            <w:tcW w:w="1229" w:type="dxa"/>
            <w:noWrap/>
            <w:vAlign w:val="center"/>
            <w:hideMark/>
          </w:tcPr>
          <w:p w14:paraId="1431F4D5" w14:textId="2C91492C"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78</w:t>
            </w:r>
          </w:p>
        </w:tc>
        <w:tc>
          <w:tcPr>
            <w:tcW w:w="630" w:type="dxa"/>
            <w:noWrap/>
            <w:vAlign w:val="center"/>
            <w:hideMark/>
          </w:tcPr>
          <w:p w14:paraId="5B8A513D"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59</w:t>
            </w:r>
          </w:p>
        </w:tc>
        <w:tc>
          <w:tcPr>
            <w:tcW w:w="1350" w:type="dxa"/>
            <w:noWrap/>
            <w:vAlign w:val="center"/>
            <w:hideMark/>
          </w:tcPr>
          <w:p w14:paraId="645B8466" w14:textId="5CB0F04E"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67</w:t>
            </w:r>
          </w:p>
        </w:tc>
        <w:tc>
          <w:tcPr>
            <w:tcW w:w="630" w:type="dxa"/>
            <w:noWrap/>
            <w:vAlign w:val="center"/>
            <w:hideMark/>
          </w:tcPr>
          <w:p w14:paraId="25F324D5"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21</w:t>
            </w:r>
          </w:p>
        </w:tc>
        <w:tc>
          <w:tcPr>
            <w:tcW w:w="1350" w:type="dxa"/>
            <w:noWrap/>
            <w:vAlign w:val="center"/>
            <w:hideMark/>
          </w:tcPr>
          <w:p w14:paraId="7BD8C8CE" w14:textId="0AFFB994"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100</w:t>
            </w:r>
          </w:p>
        </w:tc>
        <w:tc>
          <w:tcPr>
            <w:tcW w:w="559" w:type="dxa"/>
            <w:noWrap/>
            <w:vAlign w:val="center"/>
            <w:hideMark/>
          </w:tcPr>
          <w:p w14:paraId="469C8756"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w:t>
            </w:r>
          </w:p>
        </w:tc>
        <w:tc>
          <w:tcPr>
            <w:tcW w:w="1511" w:type="dxa"/>
            <w:noWrap/>
            <w:vAlign w:val="center"/>
            <w:hideMark/>
          </w:tcPr>
          <w:p w14:paraId="7E00DBDC" w14:textId="0F7F230F"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104</w:t>
            </w:r>
          </w:p>
        </w:tc>
        <w:tc>
          <w:tcPr>
            <w:tcW w:w="559" w:type="dxa"/>
            <w:noWrap/>
            <w:vAlign w:val="center"/>
            <w:hideMark/>
          </w:tcPr>
          <w:p w14:paraId="01FF7D2A"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6</w:t>
            </w:r>
          </w:p>
        </w:tc>
        <w:tc>
          <w:tcPr>
            <w:tcW w:w="1331" w:type="dxa"/>
            <w:noWrap/>
            <w:vAlign w:val="center"/>
            <w:hideMark/>
          </w:tcPr>
          <w:p w14:paraId="417159A6" w14:textId="1B70A415"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50</w:t>
            </w:r>
          </w:p>
        </w:tc>
      </w:tr>
      <w:tr w:rsidR="00F72778" w:rsidRPr="00737C62" w14:paraId="0D6F62D6" w14:textId="77777777" w:rsidTr="00737C62">
        <w:trPr>
          <w:trHeight w:val="320"/>
        </w:trPr>
        <w:tc>
          <w:tcPr>
            <w:tcW w:w="1885" w:type="dxa"/>
            <w:vMerge/>
            <w:vAlign w:val="center"/>
            <w:hideMark/>
          </w:tcPr>
          <w:p w14:paraId="07031F0C" w14:textId="77777777" w:rsidR="00F72778" w:rsidRPr="00737C62" w:rsidRDefault="00F72778" w:rsidP="00737C62">
            <w:pPr>
              <w:spacing w:before="0" w:after="0" w:line="240" w:lineRule="auto"/>
              <w:rPr>
                <w:rFonts w:asciiTheme="minorBidi" w:hAnsiTheme="minorBidi"/>
                <w:color w:val="000000"/>
                <w:sz w:val="18"/>
                <w:szCs w:val="18"/>
              </w:rPr>
            </w:pPr>
          </w:p>
        </w:tc>
        <w:tc>
          <w:tcPr>
            <w:tcW w:w="1170" w:type="dxa"/>
            <w:noWrap/>
            <w:vAlign w:val="center"/>
            <w:hideMark/>
          </w:tcPr>
          <w:p w14:paraId="1DCAB474"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MÄR 2025</w:t>
            </w:r>
          </w:p>
        </w:tc>
        <w:tc>
          <w:tcPr>
            <w:tcW w:w="1180" w:type="dxa"/>
            <w:noWrap/>
            <w:vAlign w:val="center"/>
            <w:hideMark/>
          </w:tcPr>
          <w:p w14:paraId="04797640"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94</w:t>
            </w:r>
          </w:p>
        </w:tc>
        <w:tc>
          <w:tcPr>
            <w:tcW w:w="831" w:type="dxa"/>
            <w:noWrap/>
            <w:vAlign w:val="center"/>
            <w:hideMark/>
          </w:tcPr>
          <w:p w14:paraId="42BA19E4"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74</w:t>
            </w:r>
          </w:p>
        </w:tc>
        <w:tc>
          <w:tcPr>
            <w:tcW w:w="1229" w:type="dxa"/>
            <w:noWrap/>
            <w:vAlign w:val="center"/>
            <w:hideMark/>
          </w:tcPr>
          <w:p w14:paraId="788012D8" w14:textId="4B5384DB"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89</w:t>
            </w:r>
          </w:p>
        </w:tc>
        <w:tc>
          <w:tcPr>
            <w:tcW w:w="630" w:type="dxa"/>
            <w:noWrap/>
            <w:vAlign w:val="center"/>
            <w:hideMark/>
          </w:tcPr>
          <w:p w14:paraId="645FF28F"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51</w:t>
            </w:r>
          </w:p>
        </w:tc>
        <w:tc>
          <w:tcPr>
            <w:tcW w:w="1350" w:type="dxa"/>
            <w:noWrap/>
            <w:vAlign w:val="center"/>
            <w:hideMark/>
          </w:tcPr>
          <w:p w14:paraId="4FE94F29" w14:textId="5E1CAD7C"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70</w:t>
            </w:r>
          </w:p>
        </w:tc>
        <w:tc>
          <w:tcPr>
            <w:tcW w:w="630" w:type="dxa"/>
            <w:noWrap/>
            <w:vAlign w:val="center"/>
            <w:hideMark/>
          </w:tcPr>
          <w:p w14:paraId="448EB15C"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13</w:t>
            </w:r>
          </w:p>
        </w:tc>
        <w:tc>
          <w:tcPr>
            <w:tcW w:w="1350" w:type="dxa"/>
            <w:noWrap/>
            <w:vAlign w:val="center"/>
            <w:hideMark/>
          </w:tcPr>
          <w:p w14:paraId="3136EB9E" w14:textId="0D38456B"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139</w:t>
            </w:r>
          </w:p>
        </w:tc>
        <w:tc>
          <w:tcPr>
            <w:tcW w:w="559" w:type="dxa"/>
            <w:noWrap/>
            <w:vAlign w:val="center"/>
            <w:hideMark/>
          </w:tcPr>
          <w:p w14:paraId="22F9D408"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3</w:t>
            </w:r>
          </w:p>
        </w:tc>
        <w:tc>
          <w:tcPr>
            <w:tcW w:w="1511" w:type="dxa"/>
            <w:noWrap/>
            <w:vAlign w:val="center"/>
            <w:hideMark/>
          </w:tcPr>
          <w:p w14:paraId="65480342" w14:textId="42CBC568"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136</w:t>
            </w:r>
          </w:p>
        </w:tc>
        <w:tc>
          <w:tcPr>
            <w:tcW w:w="559" w:type="dxa"/>
            <w:noWrap/>
            <w:vAlign w:val="center"/>
            <w:hideMark/>
          </w:tcPr>
          <w:p w14:paraId="16B1D857"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w:t>
            </w:r>
          </w:p>
        </w:tc>
        <w:tc>
          <w:tcPr>
            <w:tcW w:w="1331" w:type="dxa"/>
            <w:noWrap/>
            <w:vAlign w:val="center"/>
            <w:hideMark/>
          </w:tcPr>
          <w:p w14:paraId="3FC54185" w14:textId="1E60EEB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67</w:t>
            </w:r>
          </w:p>
        </w:tc>
      </w:tr>
      <w:tr w:rsidR="00F72778" w:rsidRPr="00737C62" w14:paraId="230CA55D" w14:textId="77777777" w:rsidTr="00737C62">
        <w:trPr>
          <w:trHeight w:val="320"/>
        </w:trPr>
        <w:tc>
          <w:tcPr>
            <w:tcW w:w="1885" w:type="dxa"/>
            <w:vMerge w:val="restart"/>
            <w:noWrap/>
            <w:vAlign w:val="center"/>
            <w:hideMark/>
          </w:tcPr>
          <w:p w14:paraId="052F6537"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Mustamäe</w:t>
            </w:r>
          </w:p>
        </w:tc>
        <w:tc>
          <w:tcPr>
            <w:tcW w:w="1170" w:type="dxa"/>
            <w:noWrap/>
            <w:vAlign w:val="center"/>
            <w:hideMark/>
          </w:tcPr>
          <w:p w14:paraId="064AAEAC"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JAN 2025</w:t>
            </w:r>
          </w:p>
        </w:tc>
        <w:tc>
          <w:tcPr>
            <w:tcW w:w="1180" w:type="dxa"/>
            <w:noWrap/>
            <w:vAlign w:val="center"/>
            <w:hideMark/>
          </w:tcPr>
          <w:p w14:paraId="7A1BBF18"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62</w:t>
            </w:r>
          </w:p>
        </w:tc>
        <w:tc>
          <w:tcPr>
            <w:tcW w:w="831" w:type="dxa"/>
            <w:noWrap/>
            <w:vAlign w:val="center"/>
            <w:hideMark/>
          </w:tcPr>
          <w:p w14:paraId="157EE7EB"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47</w:t>
            </w:r>
          </w:p>
        </w:tc>
        <w:tc>
          <w:tcPr>
            <w:tcW w:w="1229" w:type="dxa"/>
            <w:noWrap/>
            <w:vAlign w:val="center"/>
            <w:hideMark/>
          </w:tcPr>
          <w:p w14:paraId="4093E0F0" w14:textId="07B2A459"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57</w:t>
            </w:r>
          </w:p>
        </w:tc>
        <w:tc>
          <w:tcPr>
            <w:tcW w:w="630" w:type="dxa"/>
            <w:noWrap/>
            <w:vAlign w:val="center"/>
            <w:hideMark/>
          </w:tcPr>
          <w:p w14:paraId="0429245E"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29</w:t>
            </w:r>
          </w:p>
        </w:tc>
        <w:tc>
          <w:tcPr>
            <w:tcW w:w="1350" w:type="dxa"/>
            <w:noWrap/>
            <w:vAlign w:val="center"/>
            <w:hideMark/>
          </w:tcPr>
          <w:p w14:paraId="3964E112" w14:textId="6B5790D8"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59</w:t>
            </w:r>
          </w:p>
        </w:tc>
        <w:tc>
          <w:tcPr>
            <w:tcW w:w="630" w:type="dxa"/>
            <w:noWrap/>
            <w:vAlign w:val="center"/>
            <w:hideMark/>
          </w:tcPr>
          <w:p w14:paraId="6E1B4ED8"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8</w:t>
            </w:r>
          </w:p>
        </w:tc>
        <w:tc>
          <w:tcPr>
            <w:tcW w:w="1350" w:type="dxa"/>
            <w:noWrap/>
            <w:vAlign w:val="center"/>
            <w:hideMark/>
          </w:tcPr>
          <w:p w14:paraId="28ACB679" w14:textId="195C963F"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74</w:t>
            </w:r>
          </w:p>
        </w:tc>
        <w:tc>
          <w:tcPr>
            <w:tcW w:w="559" w:type="dxa"/>
            <w:noWrap/>
            <w:vAlign w:val="center"/>
            <w:hideMark/>
          </w:tcPr>
          <w:p w14:paraId="04E0F922"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0</w:t>
            </w:r>
          </w:p>
        </w:tc>
        <w:tc>
          <w:tcPr>
            <w:tcW w:w="1511" w:type="dxa"/>
            <w:noWrap/>
            <w:vAlign w:val="center"/>
            <w:hideMark/>
          </w:tcPr>
          <w:p w14:paraId="45C2312B"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n/a</w:t>
            </w:r>
          </w:p>
        </w:tc>
        <w:tc>
          <w:tcPr>
            <w:tcW w:w="559" w:type="dxa"/>
            <w:noWrap/>
            <w:vAlign w:val="center"/>
            <w:hideMark/>
          </w:tcPr>
          <w:p w14:paraId="45E511B7"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3</w:t>
            </w:r>
          </w:p>
        </w:tc>
        <w:tc>
          <w:tcPr>
            <w:tcW w:w="1331" w:type="dxa"/>
            <w:noWrap/>
            <w:vAlign w:val="center"/>
            <w:hideMark/>
          </w:tcPr>
          <w:p w14:paraId="7FE5842D" w14:textId="0FFCB865"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54</w:t>
            </w:r>
          </w:p>
        </w:tc>
      </w:tr>
      <w:tr w:rsidR="00F72778" w:rsidRPr="00737C62" w14:paraId="0A6B290F" w14:textId="77777777" w:rsidTr="00737C62">
        <w:trPr>
          <w:trHeight w:val="320"/>
        </w:trPr>
        <w:tc>
          <w:tcPr>
            <w:tcW w:w="1885" w:type="dxa"/>
            <w:vMerge/>
            <w:vAlign w:val="center"/>
            <w:hideMark/>
          </w:tcPr>
          <w:p w14:paraId="3730B3BB" w14:textId="77777777" w:rsidR="00F72778" w:rsidRPr="00737C62" w:rsidRDefault="00F72778" w:rsidP="00737C62">
            <w:pPr>
              <w:spacing w:before="0" w:after="0" w:line="240" w:lineRule="auto"/>
              <w:rPr>
                <w:rFonts w:asciiTheme="minorBidi" w:hAnsiTheme="minorBidi"/>
                <w:color w:val="000000"/>
                <w:sz w:val="18"/>
                <w:szCs w:val="18"/>
              </w:rPr>
            </w:pPr>
          </w:p>
        </w:tc>
        <w:tc>
          <w:tcPr>
            <w:tcW w:w="1170" w:type="dxa"/>
            <w:noWrap/>
            <w:vAlign w:val="center"/>
            <w:hideMark/>
          </w:tcPr>
          <w:p w14:paraId="626BE9B1"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MÄR 2025</w:t>
            </w:r>
          </w:p>
        </w:tc>
        <w:tc>
          <w:tcPr>
            <w:tcW w:w="1180" w:type="dxa"/>
            <w:noWrap/>
            <w:vAlign w:val="center"/>
            <w:hideMark/>
          </w:tcPr>
          <w:p w14:paraId="60F1268E"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64</w:t>
            </w:r>
          </w:p>
        </w:tc>
        <w:tc>
          <w:tcPr>
            <w:tcW w:w="831" w:type="dxa"/>
            <w:noWrap/>
            <w:vAlign w:val="center"/>
            <w:hideMark/>
          </w:tcPr>
          <w:p w14:paraId="1E610E13"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46</w:t>
            </w:r>
          </w:p>
        </w:tc>
        <w:tc>
          <w:tcPr>
            <w:tcW w:w="1229" w:type="dxa"/>
            <w:noWrap/>
            <w:vAlign w:val="center"/>
            <w:hideMark/>
          </w:tcPr>
          <w:p w14:paraId="0C65A561" w14:textId="6D3AB56F"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79</w:t>
            </w:r>
          </w:p>
        </w:tc>
        <w:tc>
          <w:tcPr>
            <w:tcW w:w="630" w:type="dxa"/>
            <w:noWrap/>
            <w:vAlign w:val="center"/>
            <w:hideMark/>
          </w:tcPr>
          <w:p w14:paraId="32862FBD"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31</w:t>
            </w:r>
          </w:p>
        </w:tc>
        <w:tc>
          <w:tcPr>
            <w:tcW w:w="1350" w:type="dxa"/>
            <w:noWrap/>
            <w:vAlign w:val="center"/>
            <w:hideMark/>
          </w:tcPr>
          <w:p w14:paraId="60E233A9" w14:textId="004F4CC1"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84</w:t>
            </w:r>
          </w:p>
        </w:tc>
        <w:tc>
          <w:tcPr>
            <w:tcW w:w="630" w:type="dxa"/>
            <w:noWrap/>
            <w:vAlign w:val="center"/>
            <w:hideMark/>
          </w:tcPr>
          <w:p w14:paraId="60E4B79B"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w:t>
            </w:r>
          </w:p>
        </w:tc>
        <w:tc>
          <w:tcPr>
            <w:tcW w:w="1350" w:type="dxa"/>
            <w:noWrap/>
            <w:vAlign w:val="center"/>
            <w:hideMark/>
          </w:tcPr>
          <w:p w14:paraId="41648DA6" w14:textId="7D402B1A"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100</w:t>
            </w:r>
          </w:p>
        </w:tc>
        <w:tc>
          <w:tcPr>
            <w:tcW w:w="559" w:type="dxa"/>
            <w:noWrap/>
            <w:vAlign w:val="center"/>
            <w:hideMark/>
          </w:tcPr>
          <w:p w14:paraId="499AF910"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0</w:t>
            </w:r>
          </w:p>
        </w:tc>
        <w:tc>
          <w:tcPr>
            <w:tcW w:w="1511" w:type="dxa"/>
            <w:noWrap/>
            <w:vAlign w:val="center"/>
            <w:hideMark/>
          </w:tcPr>
          <w:p w14:paraId="5951B9E5"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n/a</w:t>
            </w:r>
          </w:p>
        </w:tc>
        <w:tc>
          <w:tcPr>
            <w:tcW w:w="559" w:type="dxa"/>
            <w:noWrap/>
            <w:vAlign w:val="center"/>
            <w:hideMark/>
          </w:tcPr>
          <w:p w14:paraId="2F55734A"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w:t>
            </w:r>
          </w:p>
        </w:tc>
        <w:tc>
          <w:tcPr>
            <w:tcW w:w="1331" w:type="dxa"/>
            <w:noWrap/>
            <w:vAlign w:val="center"/>
            <w:hideMark/>
          </w:tcPr>
          <w:p w14:paraId="7C34A357" w14:textId="21C27DFC"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53</w:t>
            </w:r>
          </w:p>
        </w:tc>
      </w:tr>
      <w:tr w:rsidR="00F72778" w:rsidRPr="00737C62" w14:paraId="352CE71A" w14:textId="77777777" w:rsidTr="00737C62">
        <w:trPr>
          <w:trHeight w:val="320"/>
        </w:trPr>
        <w:tc>
          <w:tcPr>
            <w:tcW w:w="1885" w:type="dxa"/>
            <w:vMerge w:val="restart"/>
            <w:noWrap/>
            <w:vAlign w:val="center"/>
            <w:hideMark/>
          </w:tcPr>
          <w:p w14:paraId="4C12E004"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Haabersti</w:t>
            </w:r>
          </w:p>
        </w:tc>
        <w:tc>
          <w:tcPr>
            <w:tcW w:w="1170" w:type="dxa"/>
            <w:noWrap/>
            <w:vAlign w:val="center"/>
            <w:hideMark/>
          </w:tcPr>
          <w:p w14:paraId="0B28E2CE"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JAN 2025</w:t>
            </w:r>
          </w:p>
        </w:tc>
        <w:tc>
          <w:tcPr>
            <w:tcW w:w="1180" w:type="dxa"/>
            <w:noWrap/>
            <w:vAlign w:val="center"/>
            <w:hideMark/>
          </w:tcPr>
          <w:p w14:paraId="3A91BB26"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59</w:t>
            </w:r>
          </w:p>
        </w:tc>
        <w:tc>
          <w:tcPr>
            <w:tcW w:w="831" w:type="dxa"/>
            <w:noWrap/>
            <w:vAlign w:val="center"/>
            <w:hideMark/>
          </w:tcPr>
          <w:p w14:paraId="03C57122"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47</w:t>
            </w:r>
          </w:p>
        </w:tc>
        <w:tc>
          <w:tcPr>
            <w:tcW w:w="1229" w:type="dxa"/>
            <w:noWrap/>
            <w:vAlign w:val="center"/>
            <w:hideMark/>
          </w:tcPr>
          <w:p w14:paraId="4891CE0A" w14:textId="3D67DFE0"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193</w:t>
            </w:r>
          </w:p>
        </w:tc>
        <w:tc>
          <w:tcPr>
            <w:tcW w:w="630" w:type="dxa"/>
            <w:noWrap/>
            <w:vAlign w:val="center"/>
            <w:hideMark/>
          </w:tcPr>
          <w:p w14:paraId="1C9A2150"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27</w:t>
            </w:r>
          </w:p>
        </w:tc>
        <w:tc>
          <w:tcPr>
            <w:tcW w:w="1350" w:type="dxa"/>
            <w:noWrap/>
            <w:vAlign w:val="center"/>
            <w:hideMark/>
          </w:tcPr>
          <w:p w14:paraId="5FFCBF12" w14:textId="5504581C"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74</w:t>
            </w:r>
          </w:p>
        </w:tc>
        <w:tc>
          <w:tcPr>
            <w:tcW w:w="630" w:type="dxa"/>
            <w:noWrap/>
            <w:vAlign w:val="center"/>
            <w:hideMark/>
          </w:tcPr>
          <w:p w14:paraId="7E3AFA8A"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14</w:t>
            </w:r>
          </w:p>
        </w:tc>
        <w:tc>
          <w:tcPr>
            <w:tcW w:w="1350" w:type="dxa"/>
            <w:noWrap/>
            <w:vAlign w:val="center"/>
            <w:hideMark/>
          </w:tcPr>
          <w:p w14:paraId="37AA7AA4" w14:textId="22B50BCE"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103</w:t>
            </w:r>
          </w:p>
        </w:tc>
        <w:tc>
          <w:tcPr>
            <w:tcW w:w="559" w:type="dxa"/>
            <w:noWrap/>
            <w:vAlign w:val="center"/>
            <w:hideMark/>
          </w:tcPr>
          <w:p w14:paraId="222FBED2"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w:t>
            </w:r>
          </w:p>
        </w:tc>
        <w:tc>
          <w:tcPr>
            <w:tcW w:w="1511" w:type="dxa"/>
            <w:noWrap/>
            <w:vAlign w:val="center"/>
            <w:hideMark/>
          </w:tcPr>
          <w:p w14:paraId="1CB83E94" w14:textId="1692AB51"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147</w:t>
            </w:r>
          </w:p>
        </w:tc>
        <w:tc>
          <w:tcPr>
            <w:tcW w:w="559" w:type="dxa"/>
            <w:noWrap/>
            <w:vAlign w:val="center"/>
            <w:hideMark/>
          </w:tcPr>
          <w:p w14:paraId="634587C2"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9</w:t>
            </w:r>
          </w:p>
        </w:tc>
        <w:tc>
          <w:tcPr>
            <w:tcW w:w="1331" w:type="dxa"/>
            <w:noWrap/>
            <w:vAlign w:val="center"/>
            <w:hideMark/>
          </w:tcPr>
          <w:p w14:paraId="7D760F10" w14:textId="13C2EEDC"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42</w:t>
            </w:r>
          </w:p>
        </w:tc>
      </w:tr>
      <w:tr w:rsidR="00F72778" w:rsidRPr="00737C62" w14:paraId="611CCE77" w14:textId="77777777" w:rsidTr="00737C62">
        <w:trPr>
          <w:trHeight w:val="320"/>
        </w:trPr>
        <w:tc>
          <w:tcPr>
            <w:tcW w:w="1885" w:type="dxa"/>
            <w:vMerge/>
            <w:vAlign w:val="center"/>
            <w:hideMark/>
          </w:tcPr>
          <w:p w14:paraId="16AAA7E4" w14:textId="77777777" w:rsidR="00F72778" w:rsidRPr="00737C62" w:rsidRDefault="00F72778" w:rsidP="00737C62">
            <w:pPr>
              <w:spacing w:before="0" w:after="0" w:line="240" w:lineRule="auto"/>
              <w:rPr>
                <w:rFonts w:asciiTheme="minorBidi" w:hAnsiTheme="minorBidi"/>
                <w:color w:val="000000"/>
                <w:sz w:val="18"/>
                <w:szCs w:val="18"/>
              </w:rPr>
            </w:pPr>
          </w:p>
        </w:tc>
        <w:tc>
          <w:tcPr>
            <w:tcW w:w="1170" w:type="dxa"/>
            <w:noWrap/>
            <w:vAlign w:val="center"/>
            <w:hideMark/>
          </w:tcPr>
          <w:p w14:paraId="2BF78855"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MÄR 2025</w:t>
            </w:r>
          </w:p>
        </w:tc>
        <w:tc>
          <w:tcPr>
            <w:tcW w:w="1180" w:type="dxa"/>
            <w:noWrap/>
            <w:vAlign w:val="center"/>
            <w:hideMark/>
          </w:tcPr>
          <w:p w14:paraId="5235E8B0"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48</w:t>
            </w:r>
          </w:p>
        </w:tc>
        <w:tc>
          <w:tcPr>
            <w:tcW w:w="831" w:type="dxa"/>
            <w:noWrap/>
            <w:vAlign w:val="center"/>
            <w:hideMark/>
          </w:tcPr>
          <w:p w14:paraId="792C9089"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35</w:t>
            </w:r>
          </w:p>
        </w:tc>
        <w:tc>
          <w:tcPr>
            <w:tcW w:w="1229" w:type="dxa"/>
            <w:noWrap/>
            <w:vAlign w:val="center"/>
            <w:hideMark/>
          </w:tcPr>
          <w:p w14:paraId="3DB1C77D" w14:textId="38523CBF"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108</w:t>
            </w:r>
          </w:p>
        </w:tc>
        <w:tc>
          <w:tcPr>
            <w:tcW w:w="630" w:type="dxa"/>
            <w:noWrap/>
            <w:vAlign w:val="center"/>
            <w:hideMark/>
          </w:tcPr>
          <w:p w14:paraId="683ED9A7"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22</w:t>
            </w:r>
          </w:p>
        </w:tc>
        <w:tc>
          <w:tcPr>
            <w:tcW w:w="1350" w:type="dxa"/>
            <w:noWrap/>
            <w:vAlign w:val="center"/>
            <w:hideMark/>
          </w:tcPr>
          <w:p w14:paraId="4E30D44D" w14:textId="45F14886"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80</w:t>
            </w:r>
          </w:p>
        </w:tc>
        <w:tc>
          <w:tcPr>
            <w:tcW w:w="630" w:type="dxa"/>
            <w:noWrap/>
            <w:vAlign w:val="center"/>
            <w:hideMark/>
          </w:tcPr>
          <w:p w14:paraId="424D78BF"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7</w:t>
            </w:r>
          </w:p>
        </w:tc>
        <w:tc>
          <w:tcPr>
            <w:tcW w:w="1350" w:type="dxa"/>
            <w:noWrap/>
            <w:vAlign w:val="center"/>
            <w:hideMark/>
          </w:tcPr>
          <w:p w14:paraId="311E0B02" w14:textId="54780E0D"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129</w:t>
            </w:r>
          </w:p>
        </w:tc>
        <w:tc>
          <w:tcPr>
            <w:tcW w:w="559" w:type="dxa"/>
            <w:noWrap/>
            <w:vAlign w:val="center"/>
            <w:hideMark/>
          </w:tcPr>
          <w:p w14:paraId="68991A79"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w:t>
            </w:r>
          </w:p>
        </w:tc>
        <w:tc>
          <w:tcPr>
            <w:tcW w:w="1511" w:type="dxa"/>
            <w:noWrap/>
            <w:vAlign w:val="center"/>
            <w:hideMark/>
          </w:tcPr>
          <w:p w14:paraId="5499907D" w14:textId="1CBFEC9B"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197</w:t>
            </w:r>
          </w:p>
        </w:tc>
        <w:tc>
          <w:tcPr>
            <w:tcW w:w="559" w:type="dxa"/>
            <w:noWrap/>
            <w:vAlign w:val="center"/>
            <w:hideMark/>
          </w:tcPr>
          <w:p w14:paraId="2248E0E8"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10</w:t>
            </w:r>
          </w:p>
        </w:tc>
        <w:tc>
          <w:tcPr>
            <w:tcW w:w="1331" w:type="dxa"/>
            <w:noWrap/>
            <w:vAlign w:val="center"/>
            <w:hideMark/>
          </w:tcPr>
          <w:p w14:paraId="60E8E16C" w14:textId="09E4AEA9"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45</w:t>
            </w:r>
          </w:p>
        </w:tc>
      </w:tr>
      <w:tr w:rsidR="00F72778" w:rsidRPr="00737C62" w14:paraId="1E5693EB" w14:textId="77777777" w:rsidTr="00737C62">
        <w:trPr>
          <w:trHeight w:val="320"/>
        </w:trPr>
        <w:tc>
          <w:tcPr>
            <w:tcW w:w="1885" w:type="dxa"/>
            <w:vMerge w:val="restart"/>
            <w:noWrap/>
            <w:vAlign w:val="center"/>
            <w:hideMark/>
          </w:tcPr>
          <w:p w14:paraId="29298A17"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Nõmme</w:t>
            </w:r>
          </w:p>
        </w:tc>
        <w:tc>
          <w:tcPr>
            <w:tcW w:w="1170" w:type="dxa"/>
            <w:noWrap/>
            <w:vAlign w:val="center"/>
            <w:hideMark/>
          </w:tcPr>
          <w:p w14:paraId="39A36C8C"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JAN 2025</w:t>
            </w:r>
          </w:p>
        </w:tc>
        <w:tc>
          <w:tcPr>
            <w:tcW w:w="1180" w:type="dxa"/>
            <w:noWrap/>
            <w:vAlign w:val="center"/>
            <w:hideMark/>
          </w:tcPr>
          <w:p w14:paraId="4D8808AE"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58</w:t>
            </w:r>
          </w:p>
        </w:tc>
        <w:tc>
          <w:tcPr>
            <w:tcW w:w="831" w:type="dxa"/>
            <w:noWrap/>
            <w:vAlign w:val="center"/>
            <w:hideMark/>
          </w:tcPr>
          <w:p w14:paraId="76C1E289"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44</w:t>
            </w:r>
          </w:p>
        </w:tc>
        <w:tc>
          <w:tcPr>
            <w:tcW w:w="1229" w:type="dxa"/>
            <w:noWrap/>
            <w:vAlign w:val="center"/>
            <w:hideMark/>
          </w:tcPr>
          <w:p w14:paraId="071C8E1F" w14:textId="250D2D4A"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76</w:t>
            </w:r>
          </w:p>
        </w:tc>
        <w:tc>
          <w:tcPr>
            <w:tcW w:w="630" w:type="dxa"/>
            <w:noWrap/>
            <w:vAlign w:val="center"/>
            <w:hideMark/>
          </w:tcPr>
          <w:p w14:paraId="6D84E18C"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20</w:t>
            </w:r>
          </w:p>
        </w:tc>
        <w:tc>
          <w:tcPr>
            <w:tcW w:w="1350" w:type="dxa"/>
            <w:noWrap/>
            <w:vAlign w:val="center"/>
            <w:hideMark/>
          </w:tcPr>
          <w:p w14:paraId="1DCDB119" w14:textId="058F2396"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58</w:t>
            </w:r>
          </w:p>
        </w:tc>
        <w:tc>
          <w:tcPr>
            <w:tcW w:w="630" w:type="dxa"/>
            <w:noWrap/>
            <w:vAlign w:val="center"/>
            <w:hideMark/>
          </w:tcPr>
          <w:p w14:paraId="770FBBA9"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15</w:t>
            </w:r>
          </w:p>
        </w:tc>
        <w:tc>
          <w:tcPr>
            <w:tcW w:w="1350" w:type="dxa"/>
            <w:noWrap/>
            <w:vAlign w:val="center"/>
            <w:hideMark/>
          </w:tcPr>
          <w:p w14:paraId="319F2959" w14:textId="5F54F1B4"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78</w:t>
            </w:r>
          </w:p>
        </w:tc>
        <w:tc>
          <w:tcPr>
            <w:tcW w:w="559" w:type="dxa"/>
            <w:noWrap/>
            <w:vAlign w:val="center"/>
            <w:hideMark/>
          </w:tcPr>
          <w:p w14:paraId="420204FD"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w:t>
            </w:r>
          </w:p>
        </w:tc>
        <w:tc>
          <w:tcPr>
            <w:tcW w:w="1511" w:type="dxa"/>
            <w:noWrap/>
            <w:vAlign w:val="center"/>
            <w:hideMark/>
          </w:tcPr>
          <w:p w14:paraId="62862697" w14:textId="58C979C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116</w:t>
            </w:r>
          </w:p>
        </w:tc>
        <w:tc>
          <w:tcPr>
            <w:tcW w:w="559" w:type="dxa"/>
            <w:noWrap/>
            <w:vAlign w:val="center"/>
            <w:hideMark/>
          </w:tcPr>
          <w:p w14:paraId="4F835009"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11</w:t>
            </w:r>
          </w:p>
        </w:tc>
        <w:tc>
          <w:tcPr>
            <w:tcW w:w="1331" w:type="dxa"/>
            <w:noWrap/>
            <w:vAlign w:val="center"/>
            <w:hideMark/>
          </w:tcPr>
          <w:p w14:paraId="7BA259A9" w14:textId="4451BD01"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40</w:t>
            </w:r>
          </w:p>
        </w:tc>
      </w:tr>
      <w:tr w:rsidR="00F72778" w:rsidRPr="00737C62" w14:paraId="7CC269A0" w14:textId="77777777" w:rsidTr="00737C62">
        <w:trPr>
          <w:trHeight w:val="320"/>
        </w:trPr>
        <w:tc>
          <w:tcPr>
            <w:tcW w:w="1885" w:type="dxa"/>
            <w:vMerge/>
            <w:vAlign w:val="center"/>
            <w:hideMark/>
          </w:tcPr>
          <w:p w14:paraId="7A756B05" w14:textId="77777777" w:rsidR="00F72778" w:rsidRPr="00737C62" w:rsidRDefault="00F72778" w:rsidP="00737C62">
            <w:pPr>
              <w:spacing w:before="0" w:after="0" w:line="240" w:lineRule="auto"/>
              <w:rPr>
                <w:rFonts w:asciiTheme="minorBidi" w:hAnsiTheme="minorBidi"/>
                <w:color w:val="000000"/>
                <w:sz w:val="18"/>
                <w:szCs w:val="18"/>
              </w:rPr>
            </w:pPr>
          </w:p>
        </w:tc>
        <w:tc>
          <w:tcPr>
            <w:tcW w:w="1170" w:type="dxa"/>
            <w:noWrap/>
            <w:vAlign w:val="center"/>
            <w:hideMark/>
          </w:tcPr>
          <w:p w14:paraId="0597980E"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MÄR 2025</w:t>
            </w:r>
          </w:p>
        </w:tc>
        <w:tc>
          <w:tcPr>
            <w:tcW w:w="1180" w:type="dxa"/>
            <w:noWrap/>
            <w:vAlign w:val="center"/>
            <w:hideMark/>
          </w:tcPr>
          <w:p w14:paraId="23B100AB"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46</w:t>
            </w:r>
          </w:p>
        </w:tc>
        <w:tc>
          <w:tcPr>
            <w:tcW w:w="831" w:type="dxa"/>
            <w:noWrap/>
            <w:vAlign w:val="center"/>
            <w:hideMark/>
          </w:tcPr>
          <w:p w14:paraId="587360B5"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35</w:t>
            </w:r>
          </w:p>
        </w:tc>
        <w:tc>
          <w:tcPr>
            <w:tcW w:w="1229" w:type="dxa"/>
            <w:noWrap/>
            <w:vAlign w:val="center"/>
            <w:hideMark/>
          </w:tcPr>
          <w:p w14:paraId="5D51EF9F" w14:textId="0ECCB6EB"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84</w:t>
            </w:r>
          </w:p>
        </w:tc>
        <w:tc>
          <w:tcPr>
            <w:tcW w:w="630" w:type="dxa"/>
            <w:noWrap/>
            <w:vAlign w:val="center"/>
            <w:hideMark/>
          </w:tcPr>
          <w:p w14:paraId="2B6287DF"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18</w:t>
            </w:r>
          </w:p>
        </w:tc>
        <w:tc>
          <w:tcPr>
            <w:tcW w:w="1350" w:type="dxa"/>
            <w:noWrap/>
            <w:vAlign w:val="center"/>
            <w:hideMark/>
          </w:tcPr>
          <w:p w14:paraId="7E033912" w14:textId="5E9209E5"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66</w:t>
            </w:r>
          </w:p>
        </w:tc>
        <w:tc>
          <w:tcPr>
            <w:tcW w:w="630" w:type="dxa"/>
            <w:noWrap/>
            <w:vAlign w:val="center"/>
            <w:hideMark/>
          </w:tcPr>
          <w:p w14:paraId="5CB1572E"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9</w:t>
            </w:r>
          </w:p>
        </w:tc>
        <w:tc>
          <w:tcPr>
            <w:tcW w:w="1350" w:type="dxa"/>
            <w:noWrap/>
            <w:vAlign w:val="center"/>
            <w:hideMark/>
          </w:tcPr>
          <w:p w14:paraId="1A6A726E" w14:textId="23927CB2"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66</w:t>
            </w:r>
          </w:p>
        </w:tc>
        <w:tc>
          <w:tcPr>
            <w:tcW w:w="559" w:type="dxa"/>
            <w:noWrap/>
            <w:vAlign w:val="center"/>
            <w:hideMark/>
          </w:tcPr>
          <w:p w14:paraId="00B49CF6"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5</w:t>
            </w:r>
          </w:p>
        </w:tc>
        <w:tc>
          <w:tcPr>
            <w:tcW w:w="1511" w:type="dxa"/>
            <w:noWrap/>
            <w:vAlign w:val="center"/>
            <w:hideMark/>
          </w:tcPr>
          <w:p w14:paraId="2BF64948" w14:textId="45C67EB9"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122</w:t>
            </w:r>
          </w:p>
        </w:tc>
        <w:tc>
          <w:tcPr>
            <w:tcW w:w="559" w:type="dxa"/>
            <w:noWrap/>
            <w:vAlign w:val="center"/>
            <w:hideMark/>
          </w:tcPr>
          <w:p w14:paraId="226626AD"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9</w:t>
            </w:r>
          </w:p>
        </w:tc>
        <w:tc>
          <w:tcPr>
            <w:tcW w:w="1331" w:type="dxa"/>
            <w:noWrap/>
            <w:vAlign w:val="center"/>
            <w:hideMark/>
          </w:tcPr>
          <w:p w14:paraId="43E67FD2" w14:textId="6AF852AD"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39</w:t>
            </w:r>
          </w:p>
        </w:tc>
      </w:tr>
      <w:tr w:rsidR="00F72778" w:rsidRPr="00737C62" w14:paraId="695252B4" w14:textId="77777777" w:rsidTr="00737C62">
        <w:trPr>
          <w:trHeight w:val="320"/>
        </w:trPr>
        <w:tc>
          <w:tcPr>
            <w:tcW w:w="1885" w:type="dxa"/>
            <w:vMerge w:val="restart"/>
            <w:noWrap/>
            <w:vAlign w:val="center"/>
            <w:hideMark/>
          </w:tcPr>
          <w:p w14:paraId="495B0879"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Pirita</w:t>
            </w:r>
          </w:p>
        </w:tc>
        <w:tc>
          <w:tcPr>
            <w:tcW w:w="1170" w:type="dxa"/>
            <w:noWrap/>
            <w:vAlign w:val="center"/>
            <w:hideMark/>
          </w:tcPr>
          <w:p w14:paraId="4460F2C8"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JAN 2025</w:t>
            </w:r>
          </w:p>
        </w:tc>
        <w:tc>
          <w:tcPr>
            <w:tcW w:w="1180" w:type="dxa"/>
            <w:noWrap/>
            <w:vAlign w:val="center"/>
            <w:hideMark/>
          </w:tcPr>
          <w:p w14:paraId="564EC0EA"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35</w:t>
            </w:r>
          </w:p>
        </w:tc>
        <w:tc>
          <w:tcPr>
            <w:tcW w:w="831" w:type="dxa"/>
            <w:noWrap/>
            <w:vAlign w:val="center"/>
            <w:hideMark/>
          </w:tcPr>
          <w:p w14:paraId="264BBE2E"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26</w:t>
            </w:r>
          </w:p>
        </w:tc>
        <w:tc>
          <w:tcPr>
            <w:tcW w:w="1229" w:type="dxa"/>
            <w:noWrap/>
            <w:vAlign w:val="center"/>
            <w:hideMark/>
          </w:tcPr>
          <w:p w14:paraId="42CBB723" w14:textId="53889E06"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97</w:t>
            </w:r>
          </w:p>
        </w:tc>
        <w:tc>
          <w:tcPr>
            <w:tcW w:w="630" w:type="dxa"/>
            <w:noWrap/>
            <w:vAlign w:val="center"/>
            <w:hideMark/>
          </w:tcPr>
          <w:p w14:paraId="1C3D9E0C"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19</w:t>
            </w:r>
          </w:p>
        </w:tc>
        <w:tc>
          <w:tcPr>
            <w:tcW w:w="1350" w:type="dxa"/>
            <w:noWrap/>
            <w:vAlign w:val="center"/>
            <w:hideMark/>
          </w:tcPr>
          <w:p w14:paraId="02E4EE28" w14:textId="3B232AAA"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66</w:t>
            </w:r>
          </w:p>
        </w:tc>
        <w:tc>
          <w:tcPr>
            <w:tcW w:w="630" w:type="dxa"/>
            <w:noWrap/>
            <w:vAlign w:val="center"/>
            <w:hideMark/>
          </w:tcPr>
          <w:p w14:paraId="23912610"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1</w:t>
            </w:r>
          </w:p>
        </w:tc>
        <w:tc>
          <w:tcPr>
            <w:tcW w:w="1350" w:type="dxa"/>
            <w:noWrap/>
            <w:vAlign w:val="center"/>
            <w:hideMark/>
          </w:tcPr>
          <w:p w14:paraId="126DE9C4" w14:textId="4F289778"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144</w:t>
            </w:r>
          </w:p>
        </w:tc>
        <w:tc>
          <w:tcPr>
            <w:tcW w:w="559" w:type="dxa"/>
            <w:noWrap/>
            <w:vAlign w:val="center"/>
            <w:hideMark/>
          </w:tcPr>
          <w:p w14:paraId="1DADC64B"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w:t>
            </w:r>
          </w:p>
        </w:tc>
        <w:tc>
          <w:tcPr>
            <w:tcW w:w="1511" w:type="dxa"/>
            <w:noWrap/>
            <w:vAlign w:val="center"/>
            <w:hideMark/>
          </w:tcPr>
          <w:p w14:paraId="2E9CE6AA" w14:textId="6347BD05"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218</w:t>
            </w:r>
          </w:p>
        </w:tc>
        <w:tc>
          <w:tcPr>
            <w:tcW w:w="559" w:type="dxa"/>
            <w:noWrap/>
            <w:vAlign w:val="center"/>
            <w:hideMark/>
          </w:tcPr>
          <w:p w14:paraId="5449E32B"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8</w:t>
            </w:r>
          </w:p>
        </w:tc>
        <w:tc>
          <w:tcPr>
            <w:tcW w:w="1331" w:type="dxa"/>
            <w:noWrap/>
            <w:vAlign w:val="center"/>
            <w:hideMark/>
          </w:tcPr>
          <w:p w14:paraId="319CD98A" w14:textId="522B4E45"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50</w:t>
            </w:r>
          </w:p>
        </w:tc>
      </w:tr>
      <w:tr w:rsidR="00F72778" w:rsidRPr="00737C62" w14:paraId="2FBFC4DD" w14:textId="77777777" w:rsidTr="00737C62">
        <w:trPr>
          <w:trHeight w:val="320"/>
        </w:trPr>
        <w:tc>
          <w:tcPr>
            <w:tcW w:w="1885" w:type="dxa"/>
            <w:vMerge/>
            <w:vAlign w:val="center"/>
            <w:hideMark/>
          </w:tcPr>
          <w:p w14:paraId="163BBFD9" w14:textId="77777777" w:rsidR="00F72778" w:rsidRPr="00737C62" w:rsidRDefault="00F72778" w:rsidP="00737C62">
            <w:pPr>
              <w:spacing w:before="0" w:after="0" w:line="240" w:lineRule="auto"/>
              <w:rPr>
                <w:rFonts w:asciiTheme="minorBidi" w:hAnsiTheme="minorBidi"/>
                <w:color w:val="000000"/>
                <w:sz w:val="18"/>
                <w:szCs w:val="18"/>
              </w:rPr>
            </w:pPr>
          </w:p>
        </w:tc>
        <w:tc>
          <w:tcPr>
            <w:tcW w:w="1170" w:type="dxa"/>
            <w:noWrap/>
            <w:vAlign w:val="center"/>
            <w:hideMark/>
          </w:tcPr>
          <w:p w14:paraId="0D3BB65C" w14:textId="77777777" w:rsidR="00F72778" w:rsidRPr="00737C62" w:rsidRDefault="00F72778" w:rsidP="00737C62">
            <w:pPr>
              <w:spacing w:before="0" w:after="0" w:line="240" w:lineRule="auto"/>
              <w:rPr>
                <w:rFonts w:asciiTheme="minorBidi" w:hAnsiTheme="minorBidi"/>
                <w:color w:val="000000"/>
                <w:sz w:val="18"/>
                <w:szCs w:val="18"/>
              </w:rPr>
            </w:pPr>
            <w:r w:rsidRPr="00737C62">
              <w:rPr>
                <w:rFonts w:asciiTheme="minorBidi" w:hAnsiTheme="minorBidi"/>
                <w:color w:val="000000"/>
                <w:sz w:val="18"/>
                <w:szCs w:val="18"/>
              </w:rPr>
              <w:t>MÄR 2025</w:t>
            </w:r>
          </w:p>
        </w:tc>
        <w:tc>
          <w:tcPr>
            <w:tcW w:w="1180" w:type="dxa"/>
            <w:noWrap/>
            <w:vAlign w:val="center"/>
            <w:hideMark/>
          </w:tcPr>
          <w:p w14:paraId="46CFA8AF"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35</w:t>
            </w:r>
          </w:p>
        </w:tc>
        <w:tc>
          <w:tcPr>
            <w:tcW w:w="831" w:type="dxa"/>
            <w:noWrap/>
            <w:vAlign w:val="center"/>
            <w:hideMark/>
          </w:tcPr>
          <w:p w14:paraId="2787236F"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31</w:t>
            </w:r>
          </w:p>
        </w:tc>
        <w:tc>
          <w:tcPr>
            <w:tcW w:w="1229" w:type="dxa"/>
            <w:noWrap/>
            <w:vAlign w:val="center"/>
            <w:hideMark/>
          </w:tcPr>
          <w:p w14:paraId="06671558" w14:textId="626684A8"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158</w:t>
            </w:r>
          </w:p>
        </w:tc>
        <w:tc>
          <w:tcPr>
            <w:tcW w:w="630" w:type="dxa"/>
            <w:noWrap/>
            <w:vAlign w:val="center"/>
            <w:hideMark/>
          </w:tcPr>
          <w:p w14:paraId="3BAA9767"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20</w:t>
            </w:r>
          </w:p>
        </w:tc>
        <w:tc>
          <w:tcPr>
            <w:tcW w:w="1350" w:type="dxa"/>
            <w:noWrap/>
            <w:vAlign w:val="center"/>
            <w:hideMark/>
          </w:tcPr>
          <w:p w14:paraId="1A7F1A5E" w14:textId="11FC07D6"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111</w:t>
            </w:r>
          </w:p>
        </w:tc>
        <w:tc>
          <w:tcPr>
            <w:tcW w:w="630" w:type="dxa"/>
            <w:noWrap/>
            <w:vAlign w:val="center"/>
            <w:hideMark/>
          </w:tcPr>
          <w:p w14:paraId="19235AB9"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w:t>
            </w:r>
          </w:p>
        </w:tc>
        <w:tc>
          <w:tcPr>
            <w:tcW w:w="1350" w:type="dxa"/>
            <w:noWrap/>
            <w:vAlign w:val="center"/>
            <w:hideMark/>
          </w:tcPr>
          <w:p w14:paraId="7C5C2520" w14:textId="0CC55850"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136</w:t>
            </w:r>
          </w:p>
        </w:tc>
        <w:tc>
          <w:tcPr>
            <w:tcW w:w="559" w:type="dxa"/>
            <w:noWrap/>
            <w:vAlign w:val="center"/>
            <w:hideMark/>
          </w:tcPr>
          <w:p w14:paraId="7609261F"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4</w:t>
            </w:r>
          </w:p>
        </w:tc>
        <w:tc>
          <w:tcPr>
            <w:tcW w:w="1511" w:type="dxa"/>
            <w:noWrap/>
            <w:vAlign w:val="center"/>
            <w:hideMark/>
          </w:tcPr>
          <w:p w14:paraId="580869DF" w14:textId="09D9B80D"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330</w:t>
            </w:r>
          </w:p>
        </w:tc>
        <w:tc>
          <w:tcPr>
            <w:tcW w:w="559" w:type="dxa"/>
            <w:noWrap/>
            <w:vAlign w:val="center"/>
            <w:hideMark/>
          </w:tcPr>
          <w:p w14:paraId="55D27E88" w14:textId="77777777"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2</w:t>
            </w:r>
          </w:p>
        </w:tc>
        <w:tc>
          <w:tcPr>
            <w:tcW w:w="1331" w:type="dxa"/>
            <w:noWrap/>
            <w:vAlign w:val="center"/>
            <w:hideMark/>
          </w:tcPr>
          <w:p w14:paraId="074CFE2D" w14:textId="00768D0A" w:rsidR="00F72778" w:rsidRPr="00737C62" w:rsidRDefault="00F72778" w:rsidP="00737C62">
            <w:pPr>
              <w:spacing w:before="0" w:after="0" w:line="240" w:lineRule="auto"/>
              <w:jc w:val="right"/>
              <w:rPr>
                <w:rFonts w:asciiTheme="minorBidi" w:hAnsiTheme="minorBidi"/>
                <w:color w:val="000000"/>
                <w:sz w:val="18"/>
                <w:szCs w:val="18"/>
              </w:rPr>
            </w:pPr>
            <w:r w:rsidRPr="00737C62">
              <w:rPr>
                <w:rFonts w:asciiTheme="minorBidi" w:hAnsiTheme="minorBidi"/>
                <w:color w:val="000000"/>
                <w:sz w:val="18"/>
                <w:szCs w:val="18"/>
              </w:rPr>
              <w:t xml:space="preserve"> 61</w:t>
            </w:r>
          </w:p>
        </w:tc>
      </w:tr>
    </w:tbl>
    <w:p w14:paraId="3CA38A78" w14:textId="0CAEA824" w:rsidR="00F72778" w:rsidRPr="00E14EBC" w:rsidRDefault="00F72778" w:rsidP="00F72778">
      <w:pPr>
        <w:pStyle w:val="BottomCaption"/>
      </w:pPr>
      <w:r w:rsidRPr="00E14EBC">
        <w:t>Allikas: Doorbll.com (Airbnb, Vrbo ja Booking kuulutused)</w:t>
      </w:r>
    </w:p>
    <w:p w14:paraId="6A98FABB" w14:textId="3F5153F2" w:rsidR="00F72778" w:rsidRPr="00E14EBC" w:rsidRDefault="00F72778" w:rsidP="00F72778">
      <w:pPr>
        <w:pStyle w:val="Caption"/>
      </w:pPr>
    </w:p>
    <w:p w14:paraId="71EF6E12" w14:textId="66DBA1E9" w:rsidR="00F72778" w:rsidRPr="00E14EBC" w:rsidRDefault="00F72778" w:rsidP="4A7E2F16">
      <w:r>
        <w:br w:type="page"/>
      </w:r>
    </w:p>
    <w:p w14:paraId="60FDAA21" w14:textId="7DDA79A4" w:rsidR="00F72778" w:rsidRPr="00E14EBC" w:rsidRDefault="4A7E2F16" w:rsidP="00F72778">
      <w:pPr>
        <w:pStyle w:val="Caption"/>
      </w:pPr>
      <w:r>
        <w:lastRenderedPageBreak/>
        <w:t>Tabel 24. Tallinna lühiajalise üüri teenuse pakkumise peamised näitajad 2023/2024</w:t>
      </w:r>
    </w:p>
    <w:tbl>
      <w:tblPr>
        <w:tblW w:w="13855" w:type="dxa"/>
        <w:tblLook w:val="04A0" w:firstRow="1" w:lastRow="0" w:firstColumn="1" w:lastColumn="0" w:noHBand="0" w:noVBand="1"/>
      </w:tblPr>
      <w:tblGrid>
        <w:gridCol w:w="1075"/>
        <w:gridCol w:w="1170"/>
        <w:gridCol w:w="1170"/>
        <w:gridCol w:w="1260"/>
        <w:gridCol w:w="1842"/>
        <w:gridCol w:w="1134"/>
        <w:gridCol w:w="1074"/>
        <w:gridCol w:w="1080"/>
        <w:gridCol w:w="990"/>
        <w:gridCol w:w="990"/>
        <w:gridCol w:w="990"/>
        <w:gridCol w:w="1080"/>
      </w:tblGrid>
      <w:tr w:rsidR="00F72778" w:rsidRPr="0018092F" w14:paraId="061C4193" w14:textId="77777777" w:rsidTr="0018092F">
        <w:trPr>
          <w:trHeight w:val="771"/>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6C048908"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 </w:t>
            </w:r>
          </w:p>
        </w:tc>
        <w:tc>
          <w:tcPr>
            <w:tcW w:w="1170" w:type="dxa"/>
            <w:tcBorders>
              <w:top w:val="single" w:sz="4" w:space="0" w:color="auto"/>
              <w:left w:val="nil"/>
              <w:bottom w:val="single" w:sz="4" w:space="0" w:color="auto"/>
              <w:right w:val="single" w:sz="4" w:space="0" w:color="auto"/>
            </w:tcBorders>
            <w:vAlign w:val="center"/>
            <w:hideMark/>
          </w:tcPr>
          <w:p w14:paraId="0509FAF6" w14:textId="77777777" w:rsidR="00F72778" w:rsidRPr="0018092F" w:rsidRDefault="00F72778" w:rsidP="00211605">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Aktiivsete kuulutuste arv</w:t>
            </w:r>
          </w:p>
        </w:tc>
        <w:tc>
          <w:tcPr>
            <w:tcW w:w="1170" w:type="dxa"/>
            <w:tcBorders>
              <w:top w:val="single" w:sz="4" w:space="0" w:color="auto"/>
              <w:left w:val="nil"/>
              <w:bottom w:val="single" w:sz="4" w:space="0" w:color="auto"/>
              <w:right w:val="single" w:sz="4" w:space="0" w:color="auto"/>
            </w:tcBorders>
            <w:vAlign w:val="center"/>
            <w:hideMark/>
          </w:tcPr>
          <w:p w14:paraId="6AED5701" w14:textId="77777777" w:rsidR="00F72778" w:rsidRPr="0018092F" w:rsidRDefault="00F72778" w:rsidP="00211605">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Kõikide kuulutuste arv</w:t>
            </w:r>
          </w:p>
        </w:tc>
        <w:tc>
          <w:tcPr>
            <w:tcW w:w="1260" w:type="dxa"/>
            <w:tcBorders>
              <w:top w:val="single" w:sz="4" w:space="0" w:color="auto"/>
              <w:left w:val="nil"/>
              <w:bottom w:val="single" w:sz="4" w:space="0" w:color="auto"/>
              <w:right w:val="single" w:sz="4" w:space="0" w:color="auto"/>
            </w:tcBorders>
            <w:vAlign w:val="center"/>
            <w:hideMark/>
          </w:tcPr>
          <w:p w14:paraId="2E2F9E93" w14:textId="77777777" w:rsidR="00F72778" w:rsidRPr="0018092F" w:rsidRDefault="00F72778" w:rsidP="00211605">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Majutuse keskm. kestus, p</w:t>
            </w:r>
          </w:p>
        </w:tc>
        <w:tc>
          <w:tcPr>
            <w:tcW w:w="1842" w:type="dxa"/>
            <w:tcBorders>
              <w:top w:val="single" w:sz="4" w:space="0" w:color="auto"/>
              <w:left w:val="nil"/>
              <w:bottom w:val="single" w:sz="4" w:space="0" w:color="auto"/>
              <w:right w:val="single" w:sz="4" w:space="0" w:color="auto"/>
            </w:tcBorders>
            <w:vAlign w:val="center"/>
            <w:hideMark/>
          </w:tcPr>
          <w:p w14:paraId="73E345BD" w14:textId="77777777" w:rsidR="00F72778" w:rsidRPr="0018092F" w:rsidRDefault="00F72778" w:rsidP="00211605">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Keskm. müügitulu majutuskoha kohta aastas, €</w:t>
            </w:r>
          </w:p>
        </w:tc>
        <w:tc>
          <w:tcPr>
            <w:tcW w:w="1134" w:type="dxa"/>
            <w:tcBorders>
              <w:top w:val="single" w:sz="4" w:space="0" w:color="auto"/>
              <w:left w:val="nil"/>
              <w:bottom w:val="single" w:sz="4" w:space="0" w:color="auto"/>
              <w:right w:val="single" w:sz="4" w:space="0" w:color="auto"/>
            </w:tcBorders>
            <w:vAlign w:val="center"/>
            <w:hideMark/>
          </w:tcPr>
          <w:p w14:paraId="70F769C7" w14:textId="77777777" w:rsidR="00F72778" w:rsidRPr="0018092F" w:rsidRDefault="00F72778" w:rsidP="00211605">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ADR, €</w:t>
            </w:r>
          </w:p>
        </w:tc>
        <w:tc>
          <w:tcPr>
            <w:tcW w:w="1074" w:type="dxa"/>
            <w:tcBorders>
              <w:top w:val="single" w:sz="4" w:space="0" w:color="auto"/>
              <w:left w:val="nil"/>
              <w:bottom w:val="single" w:sz="4" w:space="0" w:color="auto"/>
              <w:right w:val="single" w:sz="4" w:space="0" w:color="auto"/>
            </w:tcBorders>
            <w:vAlign w:val="center"/>
            <w:hideMark/>
          </w:tcPr>
          <w:p w14:paraId="5EA1FCE3" w14:textId="77777777" w:rsidR="00F72778" w:rsidRPr="0018092F" w:rsidRDefault="00F72778" w:rsidP="00211605">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RevPAR, €</w:t>
            </w:r>
          </w:p>
        </w:tc>
        <w:tc>
          <w:tcPr>
            <w:tcW w:w="1080" w:type="dxa"/>
            <w:tcBorders>
              <w:top w:val="single" w:sz="4" w:space="0" w:color="auto"/>
              <w:left w:val="nil"/>
              <w:bottom w:val="single" w:sz="4" w:space="0" w:color="auto"/>
              <w:right w:val="single" w:sz="4" w:space="0" w:color="auto"/>
            </w:tcBorders>
            <w:vAlign w:val="center"/>
            <w:hideMark/>
          </w:tcPr>
          <w:p w14:paraId="076F8B93" w14:textId="77777777" w:rsidR="00F72778" w:rsidRPr="0018092F" w:rsidRDefault="00F72778" w:rsidP="00211605">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Täitumus</w:t>
            </w:r>
          </w:p>
        </w:tc>
        <w:tc>
          <w:tcPr>
            <w:tcW w:w="4050" w:type="dxa"/>
            <w:gridSpan w:val="4"/>
            <w:tcBorders>
              <w:top w:val="single" w:sz="4" w:space="0" w:color="auto"/>
              <w:left w:val="nil"/>
              <w:bottom w:val="single" w:sz="4" w:space="0" w:color="auto"/>
              <w:right w:val="single" w:sz="4" w:space="0" w:color="auto"/>
            </w:tcBorders>
            <w:noWrap/>
            <w:vAlign w:val="center"/>
            <w:hideMark/>
          </w:tcPr>
          <w:p w14:paraId="5D4A4A96" w14:textId="77777777" w:rsidR="00F72778" w:rsidRPr="0018092F" w:rsidRDefault="00F72778" w:rsidP="00211605">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Saadavus, p</w:t>
            </w:r>
          </w:p>
        </w:tc>
      </w:tr>
      <w:tr w:rsidR="00F72778" w:rsidRPr="0018092F" w14:paraId="450AFDB7" w14:textId="77777777" w:rsidTr="0018092F">
        <w:trPr>
          <w:trHeight w:val="288"/>
        </w:trPr>
        <w:tc>
          <w:tcPr>
            <w:tcW w:w="9805" w:type="dxa"/>
            <w:gridSpan w:val="8"/>
            <w:tcBorders>
              <w:top w:val="nil"/>
              <w:left w:val="single" w:sz="4" w:space="0" w:color="auto"/>
              <w:bottom w:val="single" w:sz="4" w:space="0" w:color="auto"/>
              <w:right w:val="single" w:sz="4" w:space="0" w:color="auto"/>
            </w:tcBorders>
            <w:noWrap/>
            <w:vAlign w:val="bottom"/>
            <w:hideMark/>
          </w:tcPr>
          <w:p w14:paraId="050C5928"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  </w:t>
            </w:r>
          </w:p>
        </w:tc>
        <w:tc>
          <w:tcPr>
            <w:tcW w:w="990" w:type="dxa"/>
            <w:tcBorders>
              <w:top w:val="nil"/>
              <w:left w:val="nil"/>
              <w:bottom w:val="single" w:sz="4" w:space="0" w:color="auto"/>
              <w:right w:val="single" w:sz="4" w:space="0" w:color="auto"/>
            </w:tcBorders>
            <w:noWrap/>
            <w:vAlign w:val="center"/>
            <w:hideMark/>
          </w:tcPr>
          <w:p w14:paraId="45C50236"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1 - 90</w:t>
            </w:r>
          </w:p>
        </w:tc>
        <w:tc>
          <w:tcPr>
            <w:tcW w:w="990" w:type="dxa"/>
            <w:tcBorders>
              <w:top w:val="nil"/>
              <w:left w:val="nil"/>
              <w:bottom w:val="single" w:sz="4" w:space="0" w:color="auto"/>
              <w:right w:val="single" w:sz="4" w:space="0" w:color="auto"/>
            </w:tcBorders>
            <w:noWrap/>
            <w:vAlign w:val="center"/>
            <w:hideMark/>
          </w:tcPr>
          <w:p w14:paraId="31F2B1AD"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91 - 180</w:t>
            </w:r>
          </w:p>
        </w:tc>
        <w:tc>
          <w:tcPr>
            <w:tcW w:w="990" w:type="dxa"/>
            <w:tcBorders>
              <w:top w:val="nil"/>
              <w:left w:val="nil"/>
              <w:bottom w:val="single" w:sz="4" w:space="0" w:color="auto"/>
              <w:right w:val="single" w:sz="4" w:space="0" w:color="auto"/>
            </w:tcBorders>
            <w:noWrap/>
            <w:vAlign w:val="center"/>
            <w:hideMark/>
          </w:tcPr>
          <w:p w14:paraId="46970E71"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181 - 270</w:t>
            </w:r>
          </w:p>
        </w:tc>
        <w:tc>
          <w:tcPr>
            <w:tcW w:w="1080" w:type="dxa"/>
            <w:tcBorders>
              <w:top w:val="nil"/>
              <w:left w:val="nil"/>
              <w:bottom w:val="single" w:sz="4" w:space="0" w:color="auto"/>
              <w:right w:val="single" w:sz="4" w:space="0" w:color="auto"/>
            </w:tcBorders>
            <w:noWrap/>
            <w:vAlign w:val="center"/>
            <w:hideMark/>
          </w:tcPr>
          <w:p w14:paraId="2C11E1AA"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271 - 365</w:t>
            </w:r>
          </w:p>
        </w:tc>
      </w:tr>
      <w:tr w:rsidR="00F72778" w:rsidRPr="0018092F" w14:paraId="40C263DE" w14:textId="77777777" w:rsidTr="0018092F">
        <w:trPr>
          <w:trHeight w:val="288"/>
        </w:trPr>
        <w:tc>
          <w:tcPr>
            <w:tcW w:w="1075" w:type="dxa"/>
            <w:tcBorders>
              <w:top w:val="nil"/>
              <w:left w:val="single" w:sz="4" w:space="0" w:color="auto"/>
              <w:bottom w:val="single" w:sz="4" w:space="0" w:color="auto"/>
              <w:right w:val="single" w:sz="4" w:space="0" w:color="auto"/>
            </w:tcBorders>
            <w:noWrap/>
            <w:vAlign w:val="bottom"/>
            <w:hideMark/>
          </w:tcPr>
          <w:p w14:paraId="51B42FD8"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Colliers</w:t>
            </w:r>
          </w:p>
        </w:tc>
        <w:tc>
          <w:tcPr>
            <w:tcW w:w="1170" w:type="dxa"/>
            <w:tcBorders>
              <w:top w:val="nil"/>
              <w:left w:val="nil"/>
              <w:bottom w:val="single" w:sz="4" w:space="0" w:color="auto"/>
              <w:right w:val="single" w:sz="4" w:space="0" w:color="auto"/>
            </w:tcBorders>
            <w:noWrap/>
            <w:vAlign w:val="center"/>
            <w:hideMark/>
          </w:tcPr>
          <w:p w14:paraId="089C4D8F"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170" w:type="dxa"/>
            <w:tcBorders>
              <w:top w:val="nil"/>
              <w:left w:val="nil"/>
              <w:bottom w:val="single" w:sz="4" w:space="0" w:color="auto"/>
              <w:right w:val="single" w:sz="4" w:space="0" w:color="auto"/>
            </w:tcBorders>
            <w:noWrap/>
            <w:vAlign w:val="center"/>
            <w:hideMark/>
          </w:tcPr>
          <w:p w14:paraId="6F58237D"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260" w:type="dxa"/>
            <w:tcBorders>
              <w:top w:val="nil"/>
              <w:left w:val="nil"/>
              <w:bottom w:val="single" w:sz="4" w:space="0" w:color="auto"/>
              <w:right w:val="single" w:sz="4" w:space="0" w:color="auto"/>
            </w:tcBorders>
            <w:noWrap/>
            <w:vAlign w:val="center"/>
            <w:hideMark/>
          </w:tcPr>
          <w:p w14:paraId="235669A0"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w:t>
            </w:r>
          </w:p>
        </w:tc>
        <w:tc>
          <w:tcPr>
            <w:tcW w:w="1842" w:type="dxa"/>
            <w:tcBorders>
              <w:top w:val="nil"/>
              <w:left w:val="nil"/>
              <w:bottom w:val="single" w:sz="4" w:space="0" w:color="auto"/>
              <w:right w:val="single" w:sz="4" w:space="0" w:color="auto"/>
            </w:tcBorders>
            <w:noWrap/>
            <w:vAlign w:val="center"/>
            <w:hideMark/>
          </w:tcPr>
          <w:p w14:paraId="451ED24D" w14:textId="37E02936"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15</w:t>
            </w:r>
            <w:r w:rsidR="00153073">
              <w:rPr>
                <w:rFonts w:asciiTheme="minorBidi" w:hAnsiTheme="minorBidi"/>
                <w:color w:val="000000"/>
                <w:sz w:val="18"/>
                <w:szCs w:val="18"/>
              </w:rPr>
              <w:t xml:space="preserve"> </w:t>
            </w:r>
            <w:r w:rsidRPr="0018092F">
              <w:rPr>
                <w:rFonts w:asciiTheme="minorBidi" w:hAnsiTheme="minorBidi"/>
                <w:color w:val="000000"/>
                <w:sz w:val="18"/>
                <w:szCs w:val="18"/>
              </w:rPr>
              <w:t>600</w:t>
            </w:r>
          </w:p>
        </w:tc>
        <w:tc>
          <w:tcPr>
            <w:tcW w:w="1134" w:type="dxa"/>
            <w:tcBorders>
              <w:top w:val="nil"/>
              <w:left w:val="nil"/>
              <w:bottom w:val="single" w:sz="4" w:space="0" w:color="auto"/>
              <w:right w:val="single" w:sz="4" w:space="0" w:color="auto"/>
            </w:tcBorders>
            <w:noWrap/>
            <w:vAlign w:val="center"/>
            <w:hideMark/>
          </w:tcPr>
          <w:p w14:paraId="4A76B022"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84</w:t>
            </w:r>
          </w:p>
        </w:tc>
        <w:tc>
          <w:tcPr>
            <w:tcW w:w="1074" w:type="dxa"/>
            <w:tcBorders>
              <w:top w:val="nil"/>
              <w:left w:val="nil"/>
              <w:bottom w:val="single" w:sz="4" w:space="0" w:color="auto"/>
              <w:right w:val="single" w:sz="4" w:space="0" w:color="auto"/>
            </w:tcBorders>
            <w:noWrap/>
            <w:vAlign w:val="center"/>
            <w:hideMark/>
          </w:tcPr>
          <w:p w14:paraId="464FF23A"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49</w:t>
            </w:r>
          </w:p>
        </w:tc>
        <w:tc>
          <w:tcPr>
            <w:tcW w:w="1080" w:type="dxa"/>
            <w:tcBorders>
              <w:top w:val="nil"/>
              <w:left w:val="nil"/>
              <w:bottom w:val="single" w:sz="4" w:space="0" w:color="auto"/>
              <w:right w:val="single" w:sz="4" w:space="0" w:color="auto"/>
            </w:tcBorders>
            <w:noWrap/>
            <w:vAlign w:val="center"/>
            <w:hideMark/>
          </w:tcPr>
          <w:p w14:paraId="040C67CD"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55%</w:t>
            </w:r>
          </w:p>
        </w:tc>
        <w:tc>
          <w:tcPr>
            <w:tcW w:w="990" w:type="dxa"/>
            <w:tcBorders>
              <w:top w:val="nil"/>
              <w:left w:val="nil"/>
              <w:bottom w:val="single" w:sz="4" w:space="0" w:color="auto"/>
              <w:right w:val="single" w:sz="4" w:space="0" w:color="auto"/>
            </w:tcBorders>
            <w:noWrap/>
            <w:vAlign w:val="center"/>
            <w:hideMark/>
          </w:tcPr>
          <w:p w14:paraId="6AF6D6F2"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40%</w:t>
            </w:r>
          </w:p>
        </w:tc>
        <w:tc>
          <w:tcPr>
            <w:tcW w:w="990" w:type="dxa"/>
            <w:tcBorders>
              <w:top w:val="nil"/>
              <w:left w:val="nil"/>
              <w:bottom w:val="single" w:sz="4" w:space="0" w:color="auto"/>
              <w:right w:val="single" w:sz="4" w:space="0" w:color="auto"/>
            </w:tcBorders>
            <w:noWrap/>
            <w:vAlign w:val="center"/>
            <w:hideMark/>
          </w:tcPr>
          <w:p w14:paraId="1AA0F9F4"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22%</w:t>
            </w:r>
          </w:p>
        </w:tc>
        <w:tc>
          <w:tcPr>
            <w:tcW w:w="990" w:type="dxa"/>
            <w:tcBorders>
              <w:top w:val="nil"/>
              <w:left w:val="nil"/>
              <w:bottom w:val="single" w:sz="4" w:space="0" w:color="auto"/>
              <w:right w:val="single" w:sz="4" w:space="0" w:color="auto"/>
            </w:tcBorders>
            <w:noWrap/>
            <w:vAlign w:val="center"/>
            <w:hideMark/>
          </w:tcPr>
          <w:p w14:paraId="2CA1B8D1"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16%</w:t>
            </w:r>
          </w:p>
        </w:tc>
        <w:tc>
          <w:tcPr>
            <w:tcW w:w="1080" w:type="dxa"/>
            <w:tcBorders>
              <w:top w:val="nil"/>
              <w:left w:val="nil"/>
              <w:bottom w:val="single" w:sz="4" w:space="0" w:color="auto"/>
              <w:right w:val="single" w:sz="4" w:space="0" w:color="auto"/>
            </w:tcBorders>
            <w:noWrap/>
            <w:vAlign w:val="center"/>
            <w:hideMark/>
          </w:tcPr>
          <w:p w14:paraId="533C0616"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22%</w:t>
            </w:r>
          </w:p>
        </w:tc>
      </w:tr>
      <w:tr w:rsidR="00F72778" w:rsidRPr="0018092F" w14:paraId="56882E6A" w14:textId="77777777" w:rsidTr="0018092F">
        <w:trPr>
          <w:trHeight w:val="288"/>
        </w:trPr>
        <w:tc>
          <w:tcPr>
            <w:tcW w:w="1075" w:type="dxa"/>
            <w:tcBorders>
              <w:top w:val="nil"/>
              <w:left w:val="single" w:sz="4" w:space="0" w:color="auto"/>
              <w:bottom w:val="single" w:sz="4" w:space="0" w:color="auto"/>
              <w:right w:val="single" w:sz="4" w:space="0" w:color="auto"/>
            </w:tcBorders>
            <w:noWrap/>
            <w:vAlign w:val="bottom"/>
            <w:hideMark/>
          </w:tcPr>
          <w:p w14:paraId="7C7E085F"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AirDNA</w:t>
            </w:r>
          </w:p>
        </w:tc>
        <w:tc>
          <w:tcPr>
            <w:tcW w:w="1170" w:type="dxa"/>
            <w:tcBorders>
              <w:top w:val="nil"/>
              <w:left w:val="nil"/>
              <w:bottom w:val="single" w:sz="4" w:space="0" w:color="auto"/>
              <w:right w:val="single" w:sz="4" w:space="0" w:color="auto"/>
            </w:tcBorders>
            <w:noWrap/>
            <w:vAlign w:val="center"/>
            <w:hideMark/>
          </w:tcPr>
          <w:p w14:paraId="0A1424B8" w14:textId="7F8911E8"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w:t>
            </w:r>
            <w:r w:rsidR="00153073">
              <w:rPr>
                <w:rFonts w:asciiTheme="minorBidi" w:hAnsiTheme="minorBidi"/>
                <w:color w:val="000000"/>
                <w:sz w:val="18"/>
                <w:szCs w:val="18"/>
              </w:rPr>
              <w:t xml:space="preserve"> </w:t>
            </w:r>
            <w:r w:rsidRPr="0018092F">
              <w:rPr>
                <w:rFonts w:asciiTheme="minorBidi" w:hAnsiTheme="minorBidi"/>
                <w:color w:val="000000"/>
                <w:sz w:val="18"/>
                <w:szCs w:val="18"/>
              </w:rPr>
              <w:t>628</w:t>
            </w:r>
          </w:p>
        </w:tc>
        <w:tc>
          <w:tcPr>
            <w:tcW w:w="1170" w:type="dxa"/>
            <w:tcBorders>
              <w:top w:val="nil"/>
              <w:left w:val="nil"/>
              <w:bottom w:val="single" w:sz="4" w:space="0" w:color="auto"/>
              <w:right w:val="single" w:sz="4" w:space="0" w:color="auto"/>
            </w:tcBorders>
            <w:noWrap/>
            <w:vAlign w:val="center"/>
            <w:hideMark/>
          </w:tcPr>
          <w:p w14:paraId="41D1523A" w14:textId="17D67BB0"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w:t>
            </w:r>
            <w:r w:rsidR="00153073">
              <w:rPr>
                <w:rFonts w:asciiTheme="minorBidi" w:hAnsiTheme="minorBidi"/>
                <w:color w:val="000000"/>
                <w:sz w:val="18"/>
                <w:szCs w:val="18"/>
              </w:rPr>
              <w:t xml:space="preserve"> </w:t>
            </w:r>
            <w:r w:rsidRPr="0018092F">
              <w:rPr>
                <w:rFonts w:asciiTheme="minorBidi" w:hAnsiTheme="minorBidi"/>
                <w:color w:val="000000"/>
                <w:sz w:val="18"/>
                <w:szCs w:val="18"/>
              </w:rPr>
              <w:t>072</w:t>
            </w:r>
          </w:p>
        </w:tc>
        <w:tc>
          <w:tcPr>
            <w:tcW w:w="1260" w:type="dxa"/>
            <w:tcBorders>
              <w:top w:val="nil"/>
              <w:left w:val="nil"/>
              <w:bottom w:val="single" w:sz="4" w:space="0" w:color="auto"/>
              <w:right w:val="single" w:sz="4" w:space="0" w:color="auto"/>
            </w:tcBorders>
            <w:noWrap/>
            <w:vAlign w:val="center"/>
            <w:hideMark/>
          </w:tcPr>
          <w:p w14:paraId="164C5B6E"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842" w:type="dxa"/>
            <w:tcBorders>
              <w:top w:val="nil"/>
              <w:left w:val="nil"/>
              <w:bottom w:val="single" w:sz="4" w:space="0" w:color="auto"/>
              <w:right w:val="single" w:sz="4" w:space="0" w:color="auto"/>
            </w:tcBorders>
            <w:noWrap/>
            <w:vAlign w:val="center"/>
            <w:hideMark/>
          </w:tcPr>
          <w:p w14:paraId="0A5C5512" w14:textId="1BDA3CB9"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14</w:t>
            </w:r>
            <w:r w:rsidR="00153073">
              <w:rPr>
                <w:rFonts w:asciiTheme="minorBidi" w:hAnsiTheme="minorBidi"/>
                <w:color w:val="000000"/>
                <w:sz w:val="18"/>
                <w:szCs w:val="18"/>
              </w:rPr>
              <w:t xml:space="preserve"> </w:t>
            </w:r>
            <w:r w:rsidRPr="0018092F">
              <w:rPr>
                <w:rFonts w:asciiTheme="minorBidi" w:hAnsiTheme="minorBidi"/>
                <w:color w:val="000000"/>
                <w:sz w:val="18"/>
                <w:szCs w:val="18"/>
              </w:rPr>
              <w:t>400</w:t>
            </w:r>
          </w:p>
        </w:tc>
        <w:tc>
          <w:tcPr>
            <w:tcW w:w="1134" w:type="dxa"/>
            <w:tcBorders>
              <w:top w:val="nil"/>
              <w:left w:val="nil"/>
              <w:bottom w:val="single" w:sz="4" w:space="0" w:color="auto"/>
              <w:right w:val="single" w:sz="4" w:space="0" w:color="auto"/>
            </w:tcBorders>
            <w:noWrap/>
            <w:vAlign w:val="center"/>
            <w:hideMark/>
          </w:tcPr>
          <w:p w14:paraId="1338394E"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83</w:t>
            </w:r>
          </w:p>
        </w:tc>
        <w:tc>
          <w:tcPr>
            <w:tcW w:w="1074" w:type="dxa"/>
            <w:tcBorders>
              <w:top w:val="nil"/>
              <w:left w:val="nil"/>
              <w:bottom w:val="single" w:sz="4" w:space="0" w:color="auto"/>
              <w:right w:val="single" w:sz="4" w:space="0" w:color="auto"/>
            </w:tcBorders>
            <w:noWrap/>
            <w:vAlign w:val="center"/>
            <w:hideMark/>
          </w:tcPr>
          <w:p w14:paraId="6EFB2DCA"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44</w:t>
            </w:r>
          </w:p>
        </w:tc>
        <w:tc>
          <w:tcPr>
            <w:tcW w:w="1080" w:type="dxa"/>
            <w:tcBorders>
              <w:top w:val="nil"/>
              <w:left w:val="nil"/>
              <w:bottom w:val="single" w:sz="4" w:space="0" w:color="auto"/>
              <w:right w:val="single" w:sz="4" w:space="0" w:color="auto"/>
            </w:tcBorders>
            <w:noWrap/>
            <w:vAlign w:val="center"/>
            <w:hideMark/>
          </w:tcPr>
          <w:p w14:paraId="35189106"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55%</w:t>
            </w:r>
          </w:p>
        </w:tc>
        <w:tc>
          <w:tcPr>
            <w:tcW w:w="990" w:type="dxa"/>
            <w:tcBorders>
              <w:top w:val="nil"/>
              <w:left w:val="nil"/>
              <w:bottom w:val="single" w:sz="4" w:space="0" w:color="auto"/>
              <w:right w:val="single" w:sz="4" w:space="0" w:color="auto"/>
            </w:tcBorders>
            <w:noWrap/>
            <w:vAlign w:val="center"/>
            <w:hideMark/>
          </w:tcPr>
          <w:p w14:paraId="0A8069BA"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32%</w:t>
            </w:r>
          </w:p>
        </w:tc>
        <w:tc>
          <w:tcPr>
            <w:tcW w:w="990" w:type="dxa"/>
            <w:tcBorders>
              <w:top w:val="nil"/>
              <w:left w:val="nil"/>
              <w:bottom w:val="single" w:sz="4" w:space="0" w:color="auto"/>
              <w:right w:val="single" w:sz="4" w:space="0" w:color="auto"/>
            </w:tcBorders>
            <w:noWrap/>
            <w:vAlign w:val="center"/>
            <w:hideMark/>
          </w:tcPr>
          <w:p w14:paraId="7B64B02D"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21%</w:t>
            </w:r>
          </w:p>
        </w:tc>
        <w:tc>
          <w:tcPr>
            <w:tcW w:w="990" w:type="dxa"/>
            <w:tcBorders>
              <w:top w:val="nil"/>
              <w:left w:val="nil"/>
              <w:bottom w:val="single" w:sz="4" w:space="0" w:color="auto"/>
              <w:right w:val="single" w:sz="4" w:space="0" w:color="auto"/>
            </w:tcBorders>
            <w:noWrap/>
            <w:vAlign w:val="center"/>
            <w:hideMark/>
          </w:tcPr>
          <w:p w14:paraId="60C7A39C"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18%</w:t>
            </w:r>
          </w:p>
        </w:tc>
        <w:tc>
          <w:tcPr>
            <w:tcW w:w="1080" w:type="dxa"/>
            <w:tcBorders>
              <w:top w:val="nil"/>
              <w:left w:val="nil"/>
              <w:bottom w:val="single" w:sz="4" w:space="0" w:color="auto"/>
              <w:right w:val="single" w:sz="4" w:space="0" w:color="auto"/>
            </w:tcBorders>
            <w:noWrap/>
            <w:vAlign w:val="center"/>
            <w:hideMark/>
          </w:tcPr>
          <w:p w14:paraId="65DC7BD9"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28%</w:t>
            </w:r>
          </w:p>
        </w:tc>
      </w:tr>
      <w:tr w:rsidR="00F72778" w:rsidRPr="0018092F" w14:paraId="1095EAC4" w14:textId="77777777" w:rsidTr="0018092F">
        <w:trPr>
          <w:trHeight w:val="288"/>
        </w:trPr>
        <w:tc>
          <w:tcPr>
            <w:tcW w:w="1075" w:type="dxa"/>
            <w:tcBorders>
              <w:top w:val="nil"/>
              <w:left w:val="single" w:sz="4" w:space="0" w:color="auto"/>
              <w:bottom w:val="single" w:sz="4" w:space="0" w:color="auto"/>
              <w:right w:val="single" w:sz="4" w:space="0" w:color="auto"/>
            </w:tcBorders>
            <w:noWrap/>
            <w:vAlign w:val="bottom"/>
            <w:hideMark/>
          </w:tcPr>
          <w:p w14:paraId="416978A4"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AirROI</w:t>
            </w:r>
          </w:p>
        </w:tc>
        <w:tc>
          <w:tcPr>
            <w:tcW w:w="1170" w:type="dxa"/>
            <w:tcBorders>
              <w:top w:val="nil"/>
              <w:left w:val="nil"/>
              <w:bottom w:val="single" w:sz="4" w:space="0" w:color="auto"/>
              <w:right w:val="single" w:sz="4" w:space="0" w:color="auto"/>
            </w:tcBorders>
            <w:noWrap/>
            <w:vAlign w:val="center"/>
            <w:hideMark/>
          </w:tcPr>
          <w:p w14:paraId="06460725" w14:textId="3C4F230B"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w:t>
            </w:r>
            <w:r w:rsidR="00153073">
              <w:rPr>
                <w:rFonts w:asciiTheme="minorBidi" w:hAnsiTheme="minorBidi"/>
                <w:color w:val="000000"/>
                <w:sz w:val="18"/>
                <w:szCs w:val="18"/>
              </w:rPr>
              <w:t xml:space="preserve"> </w:t>
            </w:r>
            <w:r w:rsidRPr="0018092F">
              <w:rPr>
                <w:rFonts w:asciiTheme="minorBidi" w:hAnsiTheme="minorBidi"/>
                <w:color w:val="000000"/>
                <w:sz w:val="18"/>
                <w:szCs w:val="18"/>
              </w:rPr>
              <w:t>875</w:t>
            </w:r>
          </w:p>
        </w:tc>
        <w:tc>
          <w:tcPr>
            <w:tcW w:w="1170" w:type="dxa"/>
            <w:tcBorders>
              <w:top w:val="nil"/>
              <w:left w:val="nil"/>
              <w:bottom w:val="single" w:sz="4" w:space="0" w:color="auto"/>
              <w:right w:val="single" w:sz="4" w:space="0" w:color="auto"/>
            </w:tcBorders>
            <w:noWrap/>
            <w:vAlign w:val="center"/>
            <w:hideMark/>
          </w:tcPr>
          <w:p w14:paraId="478CC891"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260" w:type="dxa"/>
            <w:tcBorders>
              <w:top w:val="nil"/>
              <w:left w:val="nil"/>
              <w:bottom w:val="single" w:sz="4" w:space="0" w:color="auto"/>
              <w:right w:val="single" w:sz="4" w:space="0" w:color="auto"/>
            </w:tcBorders>
            <w:noWrap/>
            <w:vAlign w:val="center"/>
            <w:hideMark/>
          </w:tcPr>
          <w:p w14:paraId="7EF7505E"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842" w:type="dxa"/>
            <w:tcBorders>
              <w:top w:val="nil"/>
              <w:left w:val="nil"/>
              <w:bottom w:val="single" w:sz="4" w:space="0" w:color="auto"/>
              <w:right w:val="single" w:sz="4" w:space="0" w:color="auto"/>
            </w:tcBorders>
            <w:noWrap/>
            <w:vAlign w:val="center"/>
            <w:hideMark/>
          </w:tcPr>
          <w:p w14:paraId="70D3235A" w14:textId="7BA61181"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12</w:t>
            </w:r>
            <w:r w:rsidR="00153073">
              <w:rPr>
                <w:rFonts w:asciiTheme="minorBidi" w:hAnsiTheme="minorBidi"/>
                <w:color w:val="000000"/>
                <w:sz w:val="18"/>
                <w:szCs w:val="18"/>
              </w:rPr>
              <w:t xml:space="preserve"> </w:t>
            </w:r>
            <w:r w:rsidRPr="0018092F">
              <w:rPr>
                <w:rFonts w:asciiTheme="minorBidi" w:hAnsiTheme="minorBidi"/>
                <w:color w:val="000000"/>
                <w:sz w:val="18"/>
                <w:szCs w:val="18"/>
              </w:rPr>
              <w:t>643</w:t>
            </w:r>
          </w:p>
        </w:tc>
        <w:tc>
          <w:tcPr>
            <w:tcW w:w="1134" w:type="dxa"/>
            <w:tcBorders>
              <w:top w:val="nil"/>
              <w:left w:val="nil"/>
              <w:bottom w:val="single" w:sz="4" w:space="0" w:color="auto"/>
              <w:right w:val="single" w:sz="4" w:space="0" w:color="auto"/>
            </w:tcBorders>
            <w:noWrap/>
            <w:vAlign w:val="center"/>
            <w:hideMark/>
          </w:tcPr>
          <w:p w14:paraId="6F00219D"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90</w:t>
            </w:r>
          </w:p>
        </w:tc>
        <w:tc>
          <w:tcPr>
            <w:tcW w:w="1074" w:type="dxa"/>
            <w:tcBorders>
              <w:top w:val="nil"/>
              <w:left w:val="nil"/>
              <w:bottom w:val="single" w:sz="4" w:space="0" w:color="auto"/>
              <w:right w:val="single" w:sz="4" w:space="0" w:color="auto"/>
            </w:tcBorders>
            <w:noWrap/>
            <w:vAlign w:val="center"/>
            <w:hideMark/>
          </w:tcPr>
          <w:p w14:paraId="73166FDB"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080" w:type="dxa"/>
            <w:tcBorders>
              <w:top w:val="nil"/>
              <w:left w:val="nil"/>
              <w:bottom w:val="single" w:sz="4" w:space="0" w:color="auto"/>
              <w:right w:val="single" w:sz="4" w:space="0" w:color="auto"/>
            </w:tcBorders>
            <w:noWrap/>
            <w:vAlign w:val="center"/>
            <w:hideMark/>
          </w:tcPr>
          <w:p w14:paraId="3ECE0D15"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47%</w:t>
            </w:r>
          </w:p>
        </w:tc>
        <w:tc>
          <w:tcPr>
            <w:tcW w:w="990" w:type="dxa"/>
            <w:tcBorders>
              <w:top w:val="nil"/>
              <w:left w:val="nil"/>
              <w:bottom w:val="single" w:sz="4" w:space="0" w:color="auto"/>
              <w:right w:val="single" w:sz="4" w:space="0" w:color="auto"/>
            </w:tcBorders>
            <w:noWrap/>
            <w:vAlign w:val="center"/>
            <w:hideMark/>
          </w:tcPr>
          <w:p w14:paraId="01D8C775"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7%</w:t>
            </w:r>
          </w:p>
        </w:tc>
        <w:tc>
          <w:tcPr>
            <w:tcW w:w="990" w:type="dxa"/>
            <w:tcBorders>
              <w:top w:val="nil"/>
              <w:left w:val="nil"/>
              <w:bottom w:val="single" w:sz="4" w:space="0" w:color="auto"/>
              <w:right w:val="single" w:sz="4" w:space="0" w:color="auto"/>
            </w:tcBorders>
            <w:noWrap/>
            <w:vAlign w:val="center"/>
            <w:hideMark/>
          </w:tcPr>
          <w:p w14:paraId="74688B66"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28%</w:t>
            </w:r>
          </w:p>
        </w:tc>
        <w:tc>
          <w:tcPr>
            <w:tcW w:w="990" w:type="dxa"/>
            <w:tcBorders>
              <w:top w:val="nil"/>
              <w:left w:val="nil"/>
              <w:bottom w:val="single" w:sz="4" w:space="0" w:color="auto"/>
              <w:right w:val="single" w:sz="4" w:space="0" w:color="auto"/>
            </w:tcBorders>
            <w:noWrap/>
            <w:vAlign w:val="center"/>
            <w:hideMark/>
          </w:tcPr>
          <w:p w14:paraId="69B8B53A"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32%</w:t>
            </w:r>
          </w:p>
        </w:tc>
        <w:tc>
          <w:tcPr>
            <w:tcW w:w="1080" w:type="dxa"/>
            <w:tcBorders>
              <w:top w:val="nil"/>
              <w:left w:val="nil"/>
              <w:bottom w:val="single" w:sz="4" w:space="0" w:color="auto"/>
              <w:right w:val="single" w:sz="4" w:space="0" w:color="auto"/>
            </w:tcBorders>
            <w:noWrap/>
            <w:vAlign w:val="center"/>
            <w:hideMark/>
          </w:tcPr>
          <w:p w14:paraId="6E0D557F"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32%</w:t>
            </w:r>
          </w:p>
        </w:tc>
      </w:tr>
      <w:tr w:rsidR="00F72778" w:rsidRPr="0018092F" w14:paraId="7F2AEE6B" w14:textId="77777777" w:rsidTr="0018092F">
        <w:trPr>
          <w:trHeight w:val="288"/>
        </w:trPr>
        <w:tc>
          <w:tcPr>
            <w:tcW w:w="1075" w:type="dxa"/>
            <w:tcBorders>
              <w:top w:val="nil"/>
              <w:left w:val="single" w:sz="4" w:space="0" w:color="auto"/>
              <w:bottom w:val="single" w:sz="4" w:space="0" w:color="auto"/>
              <w:right w:val="single" w:sz="4" w:space="0" w:color="auto"/>
            </w:tcBorders>
            <w:noWrap/>
            <w:vAlign w:val="bottom"/>
            <w:hideMark/>
          </w:tcPr>
          <w:p w14:paraId="625C1DF8"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A.Liblik</w:t>
            </w:r>
          </w:p>
        </w:tc>
        <w:tc>
          <w:tcPr>
            <w:tcW w:w="1170" w:type="dxa"/>
            <w:tcBorders>
              <w:top w:val="nil"/>
              <w:left w:val="nil"/>
              <w:bottom w:val="single" w:sz="4" w:space="0" w:color="auto"/>
              <w:right w:val="single" w:sz="4" w:space="0" w:color="auto"/>
            </w:tcBorders>
            <w:noWrap/>
            <w:vAlign w:val="center"/>
            <w:hideMark/>
          </w:tcPr>
          <w:p w14:paraId="02F698DA"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170" w:type="dxa"/>
            <w:tcBorders>
              <w:top w:val="nil"/>
              <w:left w:val="nil"/>
              <w:bottom w:val="single" w:sz="4" w:space="0" w:color="auto"/>
              <w:right w:val="single" w:sz="4" w:space="0" w:color="auto"/>
            </w:tcBorders>
            <w:noWrap/>
            <w:vAlign w:val="center"/>
            <w:hideMark/>
          </w:tcPr>
          <w:p w14:paraId="495289EF" w14:textId="201206B9"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w:t>
            </w:r>
            <w:r w:rsidR="00153073">
              <w:rPr>
                <w:rFonts w:asciiTheme="minorBidi" w:hAnsiTheme="minorBidi"/>
                <w:color w:val="000000"/>
                <w:sz w:val="18"/>
                <w:szCs w:val="18"/>
              </w:rPr>
              <w:t xml:space="preserve"> </w:t>
            </w:r>
            <w:r w:rsidRPr="0018092F">
              <w:rPr>
                <w:rFonts w:asciiTheme="minorBidi" w:hAnsiTheme="minorBidi"/>
                <w:color w:val="000000"/>
                <w:sz w:val="18"/>
                <w:szCs w:val="18"/>
              </w:rPr>
              <w:t>100</w:t>
            </w:r>
          </w:p>
        </w:tc>
        <w:tc>
          <w:tcPr>
            <w:tcW w:w="1260" w:type="dxa"/>
            <w:tcBorders>
              <w:top w:val="nil"/>
              <w:left w:val="nil"/>
              <w:bottom w:val="single" w:sz="4" w:space="0" w:color="auto"/>
              <w:right w:val="single" w:sz="4" w:space="0" w:color="auto"/>
            </w:tcBorders>
            <w:noWrap/>
            <w:vAlign w:val="center"/>
            <w:hideMark/>
          </w:tcPr>
          <w:p w14:paraId="7E826C24"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w:t>
            </w:r>
          </w:p>
        </w:tc>
        <w:tc>
          <w:tcPr>
            <w:tcW w:w="1842" w:type="dxa"/>
            <w:tcBorders>
              <w:top w:val="nil"/>
              <w:left w:val="nil"/>
              <w:bottom w:val="single" w:sz="4" w:space="0" w:color="auto"/>
              <w:right w:val="single" w:sz="4" w:space="0" w:color="auto"/>
            </w:tcBorders>
            <w:noWrap/>
            <w:vAlign w:val="center"/>
            <w:hideMark/>
          </w:tcPr>
          <w:p w14:paraId="6C7B9B82" w14:textId="716A069D"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13</w:t>
            </w:r>
            <w:r w:rsidR="00153073">
              <w:rPr>
                <w:rFonts w:asciiTheme="minorBidi" w:hAnsiTheme="minorBidi"/>
                <w:color w:val="000000"/>
                <w:sz w:val="18"/>
                <w:szCs w:val="18"/>
              </w:rPr>
              <w:t xml:space="preserve"> </w:t>
            </w:r>
            <w:r w:rsidRPr="0018092F">
              <w:rPr>
                <w:rFonts w:asciiTheme="minorBidi" w:hAnsiTheme="minorBidi"/>
                <w:color w:val="000000"/>
                <w:sz w:val="18"/>
                <w:szCs w:val="18"/>
              </w:rPr>
              <w:t>300</w:t>
            </w:r>
          </w:p>
        </w:tc>
        <w:tc>
          <w:tcPr>
            <w:tcW w:w="1134" w:type="dxa"/>
            <w:tcBorders>
              <w:top w:val="nil"/>
              <w:left w:val="nil"/>
              <w:bottom w:val="single" w:sz="4" w:space="0" w:color="auto"/>
              <w:right w:val="single" w:sz="4" w:space="0" w:color="auto"/>
            </w:tcBorders>
            <w:noWrap/>
            <w:vAlign w:val="center"/>
            <w:hideMark/>
          </w:tcPr>
          <w:p w14:paraId="5D09C2EF"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074" w:type="dxa"/>
            <w:tcBorders>
              <w:top w:val="nil"/>
              <w:left w:val="nil"/>
              <w:bottom w:val="single" w:sz="4" w:space="0" w:color="auto"/>
              <w:right w:val="single" w:sz="4" w:space="0" w:color="auto"/>
            </w:tcBorders>
            <w:noWrap/>
            <w:vAlign w:val="center"/>
            <w:hideMark/>
          </w:tcPr>
          <w:p w14:paraId="5A883CA4"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080" w:type="dxa"/>
            <w:tcBorders>
              <w:top w:val="nil"/>
              <w:left w:val="nil"/>
              <w:bottom w:val="single" w:sz="4" w:space="0" w:color="auto"/>
              <w:right w:val="single" w:sz="4" w:space="0" w:color="auto"/>
            </w:tcBorders>
            <w:noWrap/>
            <w:vAlign w:val="center"/>
            <w:hideMark/>
          </w:tcPr>
          <w:p w14:paraId="378B360C"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53%</w:t>
            </w:r>
          </w:p>
        </w:tc>
        <w:tc>
          <w:tcPr>
            <w:tcW w:w="990" w:type="dxa"/>
            <w:tcBorders>
              <w:top w:val="nil"/>
              <w:left w:val="nil"/>
              <w:bottom w:val="single" w:sz="4" w:space="0" w:color="auto"/>
              <w:right w:val="single" w:sz="4" w:space="0" w:color="auto"/>
            </w:tcBorders>
            <w:noWrap/>
            <w:vAlign w:val="center"/>
            <w:hideMark/>
          </w:tcPr>
          <w:p w14:paraId="72A5355C"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990" w:type="dxa"/>
            <w:tcBorders>
              <w:top w:val="nil"/>
              <w:left w:val="nil"/>
              <w:bottom w:val="single" w:sz="4" w:space="0" w:color="auto"/>
              <w:right w:val="single" w:sz="4" w:space="0" w:color="auto"/>
            </w:tcBorders>
            <w:noWrap/>
            <w:vAlign w:val="center"/>
            <w:hideMark/>
          </w:tcPr>
          <w:p w14:paraId="46FD03CE"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990" w:type="dxa"/>
            <w:tcBorders>
              <w:top w:val="nil"/>
              <w:left w:val="nil"/>
              <w:bottom w:val="single" w:sz="4" w:space="0" w:color="auto"/>
              <w:right w:val="single" w:sz="4" w:space="0" w:color="auto"/>
            </w:tcBorders>
            <w:noWrap/>
            <w:vAlign w:val="center"/>
            <w:hideMark/>
          </w:tcPr>
          <w:p w14:paraId="7387D990"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080" w:type="dxa"/>
            <w:tcBorders>
              <w:top w:val="nil"/>
              <w:left w:val="nil"/>
              <w:bottom w:val="single" w:sz="4" w:space="0" w:color="auto"/>
              <w:right w:val="single" w:sz="4" w:space="0" w:color="auto"/>
            </w:tcBorders>
            <w:noWrap/>
            <w:vAlign w:val="center"/>
            <w:hideMark/>
          </w:tcPr>
          <w:p w14:paraId="3DB26073"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r>
      <w:tr w:rsidR="00F72778" w:rsidRPr="0018092F" w14:paraId="6E35770C" w14:textId="77777777" w:rsidTr="0018092F">
        <w:trPr>
          <w:trHeight w:val="144"/>
        </w:trPr>
        <w:tc>
          <w:tcPr>
            <w:tcW w:w="13855" w:type="dxa"/>
            <w:gridSpan w:val="12"/>
            <w:tcBorders>
              <w:top w:val="nil"/>
              <w:left w:val="single" w:sz="4" w:space="0" w:color="auto"/>
              <w:bottom w:val="single" w:sz="4" w:space="0" w:color="auto"/>
              <w:right w:val="single" w:sz="4" w:space="0" w:color="auto"/>
            </w:tcBorders>
            <w:noWrap/>
            <w:vAlign w:val="bottom"/>
            <w:hideMark/>
          </w:tcPr>
          <w:p w14:paraId="2D098C7D"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 </w:t>
            </w:r>
          </w:p>
          <w:p w14:paraId="625F5693"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 </w:t>
            </w:r>
          </w:p>
          <w:p w14:paraId="7E8923F5"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 </w:t>
            </w:r>
          </w:p>
        </w:tc>
      </w:tr>
      <w:tr w:rsidR="00F72778" w:rsidRPr="0018092F" w14:paraId="67D7E69A" w14:textId="77777777" w:rsidTr="0018092F">
        <w:trPr>
          <w:trHeight w:val="438"/>
        </w:trPr>
        <w:tc>
          <w:tcPr>
            <w:tcW w:w="1075" w:type="dxa"/>
            <w:tcBorders>
              <w:top w:val="nil"/>
              <w:left w:val="single" w:sz="4" w:space="0" w:color="auto"/>
              <w:bottom w:val="single" w:sz="4" w:space="0" w:color="auto"/>
              <w:right w:val="single" w:sz="4" w:space="0" w:color="auto"/>
            </w:tcBorders>
            <w:noWrap/>
            <w:vAlign w:val="bottom"/>
            <w:hideMark/>
          </w:tcPr>
          <w:p w14:paraId="1424E9BE"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 </w:t>
            </w:r>
          </w:p>
        </w:tc>
        <w:tc>
          <w:tcPr>
            <w:tcW w:w="3600" w:type="dxa"/>
            <w:gridSpan w:val="3"/>
            <w:tcBorders>
              <w:top w:val="single" w:sz="4" w:space="0" w:color="auto"/>
              <w:left w:val="nil"/>
              <w:bottom w:val="single" w:sz="4" w:space="0" w:color="auto"/>
              <w:right w:val="single" w:sz="4" w:space="0" w:color="auto"/>
            </w:tcBorders>
            <w:vAlign w:val="center"/>
            <w:hideMark/>
          </w:tcPr>
          <w:p w14:paraId="6727E487" w14:textId="77777777" w:rsidR="00F72778" w:rsidRPr="0018092F" w:rsidRDefault="00F72778" w:rsidP="00211605">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Välja üüritakse</w:t>
            </w:r>
          </w:p>
        </w:tc>
        <w:tc>
          <w:tcPr>
            <w:tcW w:w="4050" w:type="dxa"/>
            <w:gridSpan w:val="3"/>
            <w:tcBorders>
              <w:top w:val="single" w:sz="4" w:space="0" w:color="auto"/>
              <w:left w:val="nil"/>
              <w:bottom w:val="single" w:sz="4" w:space="0" w:color="auto"/>
              <w:right w:val="single" w:sz="4" w:space="0" w:color="auto"/>
            </w:tcBorders>
            <w:vAlign w:val="center"/>
            <w:hideMark/>
          </w:tcPr>
          <w:p w14:paraId="00770C54" w14:textId="77777777" w:rsidR="00F72778" w:rsidRPr="0018092F" w:rsidRDefault="00F72778" w:rsidP="00211605">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Magamistubade arv</w:t>
            </w:r>
          </w:p>
        </w:tc>
        <w:tc>
          <w:tcPr>
            <w:tcW w:w="5130" w:type="dxa"/>
            <w:gridSpan w:val="5"/>
            <w:tcBorders>
              <w:top w:val="single" w:sz="4" w:space="0" w:color="auto"/>
              <w:left w:val="nil"/>
              <w:bottom w:val="single" w:sz="4" w:space="0" w:color="auto"/>
              <w:right w:val="single" w:sz="4" w:space="0" w:color="auto"/>
            </w:tcBorders>
            <w:vAlign w:val="center"/>
            <w:hideMark/>
          </w:tcPr>
          <w:p w14:paraId="72209A99" w14:textId="77777777" w:rsidR="00F72778" w:rsidRPr="0018092F" w:rsidRDefault="00F72778" w:rsidP="00211605">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Maks. külaliste arv</w:t>
            </w:r>
          </w:p>
        </w:tc>
      </w:tr>
      <w:tr w:rsidR="00F72778" w:rsidRPr="0018092F" w14:paraId="7094C78E" w14:textId="77777777" w:rsidTr="0018092F">
        <w:trPr>
          <w:trHeight w:val="330"/>
        </w:trPr>
        <w:tc>
          <w:tcPr>
            <w:tcW w:w="1075" w:type="dxa"/>
            <w:tcBorders>
              <w:top w:val="nil"/>
              <w:left w:val="single" w:sz="4" w:space="0" w:color="auto"/>
              <w:bottom w:val="single" w:sz="4" w:space="0" w:color="auto"/>
              <w:right w:val="single" w:sz="4" w:space="0" w:color="auto"/>
            </w:tcBorders>
            <w:noWrap/>
            <w:vAlign w:val="bottom"/>
            <w:hideMark/>
          </w:tcPr>
          <w:p w14:paraId="60B69376"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 </w:t>
            </w:r>
          </w:p>
        </w:tc>
        <w:tc>
          <w:tcPr>
            <w:tcW w:w="1170" w:type="dxa"/>
            <w:tcBorders>
              <w:top w:val="nil"/>
              <w:left w:val="nil"/>
              <w:bottom w:val="single" w:sz="4" w:space="0" w:color="auto"/>
              <w:right w:val="single" w:sz="4" w:space="0" w:color="auto"/>
            </w:tcBorders>
            <w:vAlign w:val="center"/>
            <w:hideMark/>
          </w:tcPr>
          <w:p w14:paraId="5743F6D3"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kogu eluase</w:t>
            </w:r>
          </w:p>
        </w:tc>
        <w:tc>
          <w:tcPr>
            <w:tcW w:w="1170" w:type="dxa"/>
            <w:tcBorders>
              <w:top w:val="nil"/>
              <w:left w:val="nil"/>
              <w:bottom w:val="single" w:sz="4" w:space="0" w:color="auto"/>
              <w:right w:val="single" w:sz="4" w:space="0" w:color="auto"/>
            </w:tcBorders>
            <w:vAlign w:val="center"/>
            <w:hideMark/>
          </w:tcPr>
          <w:p w14:paraId="6560D823"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eraldi ruum</w:t>
            </w:r>
          </w:p>
        </w:tc>
        <w:tc>
          <w:tcPr>
            <w:tcW w:w="1260" w:type="dxa"/>
            <w:tcBorders>
              <w:top w:val="nil"/>
              <w:left w:val="nil"/>
              <w:bottom w:val="single" w:sz="4" w:space="0" w:color="auto"/>
              <w:right w:val="single" w:sz="4" w:space="0" w:color="auto"/>
            </w:tcBorders>
            <w:vAlign w:val="center"/>
            <w:hideMark/>
          </w:tcPr>
          <w:p w14:paraId="4F50AE99"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jagatud ruum</w:t>
            </w:r>
          </w:p>
        </w:tc>
        <w:tc>
          <w:tcPr>
            <w:tcW w:w="1842" w:type="dxa"/>
            <w:tcBorders>
              <w:top w:val="nil"/>
              <w:left w:val="nil"/>
              <w:bottom w:val="single" w:sz="4" w:space="0" w:color="auto"/>
              <w:right w:val="single" w:sz="4" w:space="0" w:color="auto"/>
            </w:tcBorders>
            <w:vAlign w:val="center"/>
            <w:hideMark/>
          </w:tcPr>
          <w:p w14:paraId="65471565"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1</w:t>
            </w:r>
          </w:p>
        </w:tc>
        <w:tc>
          <w:tcPr>
            <w:tcW w:w="1134" w:type="dxa"/>
            <w:tcBorders>
              <w:top w:val="nil"/>
              <w:left w:val="nil"/>
              <w:bottom w:val="single" w:sz="4" w:space="0" w:color="auto"/>
              <w:right w:val="single" w:sz="4" w:space="0" w:color="auto"/>
            </w:tcBorders>
            <w:vAlign w:val="center"/>
            <w:hideMark/>
          </w:tcPr>
          <w:p w14:paraId="730CC085"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2</w:t>
            </w:r>
          </w:p>
        </w:tc>
        <w:tc>
          <w:tcPr>
            <w:tcW w:w="1074" w:type="dxa"/>
            <w:tcBorders>
              <w:top w:val="nil"/>
              <w:left w:val="nil"/>
              <w:bottom w:val="single" w:sz="4" w:space="0" w:color="auto"/>
              <w:right w:val="single" w:sz="4" w:space="0" w:color="auto"/>
            </w:tcBorders>
            <w:vAlign w:val="center"/>
            <w:hideMark/>
          </w:tcPr>
          <w:p w14:paraId="4B429FAF"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3</w:t>
            </w:r>
          </w:p>
        </w:tc>
        <w:tc>
          <w:tcPr>
            <w:tcW w:w="1080" w:type="dxa"/>
            <w:tcBorders>
              <w:top w:val="nil"/>
              <w:left w:val="nil"/>
              <w:bottom w:val="single" w:sz="4" w:space="0" w:color="auto"/>
              <w:right w:val="single" w:sz="4" w:space="0" w:color="auto"/>
            </w:tcBorders>
            <w:vAlign w:val="center"/>
            <w:hideMark/>
          </w:tcPr>
          <w:p w14:paraId="55F4CFAB"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1</w:t>
            </w:r>
          </w:p>
        </w:tc>
        <w:tc>
          <w:tcPr>
            <w:tcW w:w="990" w:type="dxa"/>
            <w:tcBorders>
              <w:top w:val="nil"/>
              <w:left w:val="nil"/>
              <w:bottom w:val="single" w:sz="4" w:space="0" w:color="auto"/>
              <w:right w:val="single" w:sz="4" w:space="0" w:color="auto"/>
            </w:tcBorders>
            <w:vAlign w:val="center"/>
            <w:hideMark/>
          </w:tcPr>
          <w:p w14:paraId="2BCFBDD2"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2</w:t>
            </w:r>
          </w:p>
        </w:tc>
        <w:tc>
          <w:tcPr>
            <w:tcW w:w="990" w:type="dxa"/>
            <w:tcBorders>
              <w:top w:val="nil"/>
              <w:left w:val="nil"/>
              <w:bottom w:val="single" w:sz="4" w:space="0" w:color="auto"/>
              <w:right w:val="single" w:sz="4" w:space="0" w:color="auto"/>
            </w:tcBorders>
            <w:vAlign w:val="center"/>
            <w:hideMark/>
          </w:tcPr>
          <w:p w14:paraId="5BB1EDF0"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3</w:t>
            </w:r>
          </w:p>
        </w:tc>
        <w:tc>
          <w:tcPr>
            <w:tcW w:w="990" w:type="dxa"/>
            <w:tcBorders>
              <w:top w:val="nil"/>
              <w:left w:val="nil"/>
              <w:bottom w:val="single" w:sz="4" w:space="0" w:color="auto"/>
              <w:right w:val="single" w:sz="4" w:space="0" w:color="auto"/>
            </w:tcBorders>
            <w:noWrap/>
            <w:vAlign w:val="center"/>
            <w:hideMark/>
          </w:tcPr>
          <w:p w14:paraId="5402096C"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4</w:t>
            </w:r>
          </w:p>
        </w:tc>
        <w:tc>
          <w:tcPr>
            <w:tcW w:w="1080" w:type="dxa"/>
            <w:tcBorders>
              <w:top w:val="nil"/>
              <w:left w:val="nil"/>
              <w:bottom w:val="single" w:sz="4" w:space="0" w:color="auto"/>
              <w:right w:val="single" w:sz="4" w:space="0" w:color="auto"/>
            </w:tcBorders>
            <w:noWrap/>
            <w:vAlign w:val="center"/>
            <w:hideMark/>
          </w:tcPr>
          <w:p w14:paraId="6D304A06" w14:textId="77777777" w:rsidR="00F72778" w:rsidRPr="0018092F" w:rsidRDefault="00F72778" w:rsidP="00211605">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5+</w:t>
            </w:r>
          </w:p>
        </w:tc>
      </w:tr>
      <w:tr w:rsidR="00F72778" w:rsidRPr="0018092F" w14:paraId="5163D607" w14:textId="77777777" w:rsidTr="0018092F">
        <w:trPr>
          <w:trHeight w:val="288"/>
        </w:trPr>
        <w:tc>
          <w:tcPr>
            <w:tcW w:w="1075" w:type="dxa"/>
            <w:tcBorders>
              <w:top w:val="nil"/>
              <w:left w:val="single" w:sz="4" w:space="0" w:color="auto"/>
              <w:bottom w:val="single" w:sz="4" w:space="0" w:color="auto"/>
              <w:right w:val="single" w:sz="4" w:space="0" w:color="auto"/>
            </w:tcBorders>
            <w:noWrap/>
            <w:vAlign w:val="bottom"/>
            <w:hideMark/>
          </w:tcPr>
          <w:p w14:paraId="16B88AB3"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Colliers</w:t>
            </w:r>
          </w:p>
        </w:tc>
        <w:tc>
          <w:tcPr>
            <w:tcW w:w="1170" w:type="dxa"/>
            <w:tcBorders>
              <w:top w:val="nil"/>
              <w:left w:val="nil"/>
              <w:bottom w:val="single" w:sz="4" w:space="0" w:color="auto"/>
              <w:right w:val="single" w:sz="4" w:space="0" w:color="auto"/>
            </w:tcBorders>
            <w:noWrap/>
            <w:vAlign w:val="center"/>
            <w:hideMark/>
          </w:tcPr>
          <w:p w14:paraId="40ADAF19"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91%</w:t>
            </w:r>
          </w:p>
        </w:tc>
        <w:tc>
          <w:tcPr>
            <w:tcW w:w="1170" w:type="dxa"/>
            <w:tcBorders>
              <w:top w:val="nil"/>
              <w:left w:val="nil"/>
              <w:bottom w:val="single" w:sz="4" w:space="0" w:color="auto"/>
              <w:right w:val="single" w:sz="4" w:space="0" w:color="auto"/>
            </w:tcBorders>
            <w:noWrap/>
            <w:vAlign w:val="center"/>
            <w:hideMark/>
          </w:tcPr>
          <w:p w14:paraId="62232327"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8%</w:t>
            </w:r>
          </w:p>
        </w:tc>
        <w:tc>
          <w:tcPr>
            <w:tcW w:w="1260" w:type="dxa"/>
            <w:tcBorders>
              <w:top w:val="nil"/>
              <w:left w:val="nil"/>
              <w:bottom w:val="single" w:sz="4" w:space="0" w:color="auto"/>
              <w:right w:val="single" w:sz="4" w:space="0" w:color="auto"/>
            </w:tcBorders>
            <w:noWrap/>
            <w:vAlign w:val="center"/>
            <w:hideMark/>
          </w:tcPr>
          <w:p w14:paraId="79087D89"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w:t>
            </w:r>
          </w:p>
        </w:tc>
        <w:tc>
          <w:tcPr>
            <w:tcW w:w="1842" w:type="dxa"/>
            <w:tcBorders>
              <w:top w:val="nil"/>
              <w:left w:val="nil"/>
              <w:bottom w:val="single" w:sz="4" w:space="0" w:color="auto"/>
              <w:right w:val="single" w:sz="4" w:space="0" w:color="auto"/>
            </w:tcBorders>
            <w:noWrap/>
            <w:vAlign w:val="center"/>
            <w:hideMark/>
          </w:tcPr>
          <w:p w14:paraId="55C4DFF6"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73%</w:t>
            </w:r>
          </w:p>
        </w:tc>
        <w:tc>
          <w:tcPr>
            <w:tcW w:w="1134" w:type="dxa"/>
            <w:tcBorders>
              <w:top w:val="nil"/>
              <w:left w:val="nil"/>
              <w:bottom w:val="single" w:sz="4" w:space="0" w:color="auto"/>
              <w:right w:val="single" w:sz="4" w:space="0" w:color="auto"/>
            </w:tcBorders>
            <w:noWrap/>
            <w:vAlign w:val="center"/>
            <w:hideMark/>
          </w:tcPr>
          <w:p w14:paraId="7CD0CF7C"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19%</w:t>
            </w:r>
          </w:p>
        </w:tc>
        <w:tc>
          <w:tcPr>
            <w:tcW w:w="1074" w:type="dxa"/>
            <w:tcBorders>
              <w:top w:val="nil"/>
              <w:left w:val="nil"/>
              <w:bottom w:val="single" w:sz="4" w:space="0" w:color="auto"/>
              <w:right w:val="single" w:sz="4" w:space="0" w:color="auto"/>
            </w:tcBorders>
            <w:noWrap/>
            <w:vAlign w:val="center"/>
            <w:hideMark/>
          </w:tcPr>
          <w:p w14:paraId="71B4B032"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6%</w:t>
            </w:r>
          </w:p>
        </w:tc>
        <w:tc>
          <w:tcPr>
            <w:tcW w:w="1080" w:type="dxa"/>
            <w:tcBorders>
              <w:top w:val="nil"/>
              <w:left w:val="nil"/>
              <w:bottom w:val="single" w:sz="4" w:space="0" w:color="auto"/>
              <w:right w:val="single" w:sz="4" w:space="0" w:color="auto"/>
            </w:tcBorders>
            <w:noWrap/>
            <w:vAlign w:val="center"/>
            <w:hideMark/>
          </w:tcPr>
          <w:p w14:paraId="3BD85A96"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4%</w:t>
            </w:r>
          </w:p>
        </w:tc>
        <w:tc>
          <w:tcPr>
            <w:tcW w:w="990" w:type="dxa"/>
            <w:tcBorders>
              <w:top w:val="nil"/>
              <w:left w:val="nil"/>
              <w:bottom w:val="single" w:sz="4" w:space="0" w:color="auto"/>
              <w:right w:val="single" w:sz="4" w:space="0" w:color="auto"/>
            </w:tcBorders>
            <w:noWrap/>
            <w:vAlign w:val="center"/>
            <w:hideMark/>
          </w:tcPr>
          <w:p w14:paraId="76180009"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34%</w:t>
            </w:r>
          </w:p>
        </w:tc>
        <w:tc>
          <w:tcPr>
            <w:tcW w:w="990" w:type="dxa"/>
            <w:tcBorders>
              <w:top w:val="nil"/>
              <w:left w:val="nil"/>
              <w:bottom w:val="single" w:sz="4" w:space="0" w:color="auto"/>
              <w:right w:val="single" w:sz="4" w:space="0" w:color="auto"/>
            </w:tcBorders>
            <w:noWrap/>
            <w:vAlign w:val="center"/>
            <w:hideMark/>
          </w:tcPr>
          <w:p w14:paraId="11C6476B"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13%</w:t>
            </w:r>
          </w:p>
        </w:tc>
        <w:tc>
          <w:tcPr>
            <w:tcW w:w="990" w:type="dxa"/>
            <w:tcBorders>
              <w:top w:val="nil"/>
              <w:left w:val="nil"/>
              <w:bottom w:val="single" w:sz="4" w:space="0" w:color="auto"/>
              <w:right w:val="single" w:sz="4" w:space="0" w:color="auto"/>
            </w:tcBorders>
            <w:noWrap/>
            <w:vAlign w:val="center"/>
            <w:hideMark/>
          </w:tcPr>
          <w:p w14:paraId="7EAE87F1"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30%</w:t>
            </w:r>
          </w:p>
        </w:tc>
        <w:tc>
          <w:tcPr>
            <w:tcW w:w="1080" w:type="dxa"/>
            <w:tcBorders>
              <w:top w:val="nil"/>
              <w:left w:val="nil"/>
              <w:bottom w:val="single" w:sz="4" w:space="0" w:color="auto"/>
              <w:right w:val="single" w:sz="4" w:space="0" w:color="auto"/>
            </w:tcBorders>
            <w:noWrap/>
            <w:vAlign w:val="center"/>
            <w:hideMark/>
          </w:tcPr>
          <w:p w14:paraId="08A231F9"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19%</w:t>
            </w:r>
          </w:p>
        </w:tc>
      </w:tr>
      <w:tr w:rsidR="00F72778" w:rsidRPr="0018092F" w14:paraId="74883B39" w14:textId="77777777" w:rsidTr="0018092F">
        <w:trPr>
          <w:trHeight w:val="177"/>
        </w:trPr>
        <w:tc>
          <w:tcPr>
            <w:tcW w:w="1075" w:type="dxa"/>
            <w:tcBorders>
              <w:top w:val="nil"/>
              <w:left w:val="single" w:sz="4" w:space="0" w:color="auto"/>
              <w:bottom w:val="single" w:sz="4" w:space="0" w:color="auto"/>
              <w:right w:val="single" w:sz="4" w:space="0" w:color="auto"/>
            </w:tcBorders>
            <w:noWrap/>
            <w:vAlign w:val="bottom"/>
            <w:hideMark/>
          </w:tcPr>
          <w:p w14:paraId="7E16A9B3"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AirDNA</w:t>
            </w:r>
          </w:p>
        </w:tc>
        <w:tc>
          <w:tcPr>
            <w:tcW w:w="1170" w:type="dxa"/>
            <w:tcBorders>
              <w:top w:val="nil"/>
              <w:left w:val="nil"/>
              <w:bottom w:val="single" w:sz="4" w:space="0" w:color="auto"/>
              <w:right w:val="single" w:sz="4" w:space="0" w:color="auto"/>
            </w:tcBorders>
            <w:noWrap/>
            <w:vAlign w:val="center"/>
            <w:hideMark/>
          </w:tcPr>
          <w:p w14:paraId="46792C17"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91%</w:t>
            </w:r>
          </w:p>
        </w:tc>
        <w:tc>
          <w:tcPr>
            <w:tcW w:w="1170" w:type="dxa"/>
            <w:tcBorders>
              <w:top w:val="nil"/>
              <w:left w:val="nil"/>
              <w:bottom w:val="single" w:sz="4" w:space="0" w:color="auto"/>
              <w:right w:val="single" w:sz="4" w:space="0" w:color="auto"/>
            </w:tcBorders>
            <w:noWrap/>
            <w:vAlign w:val="center"/>
            <w:hideMark/>
          </w:tcPr>
          <w:p w14:paraId="319D5622"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8%</w:t>
            </w:r>
          </w:p>
        </w:tc>
        <w:tc>
          <w:tcPr>
            <w:tcW w:w="1260" w:type="dxa"/>
            <w:tcBorders>
              <w:top w:val="nil"/>
              <w:left w:val="nil"/>
              <w:bottom w:val="single" w:sz="4" w:space="0" w:color="auto"/>
              <w:right w:val="single" w:sz="4" w:space="0" w:color="auto"/>
            </w:tcBorders>
            <w:noWrap/>
            <w:vAlign w:val="center"/>
            <w:hideMark/>
          </w:tcPr>
          <w:p w14:paraId="7BFE1FC7"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w:t>
            </w:r>
          </w:p>
        </w:tc>
        <w:tc>
          <w:tcPr>
            <w:tcW w:w="1842" w:type="dxa"/>
            <w:tcBorders>
              <w:top w:val="nil"/>
              <w:left w:val="nil"/>
              <w:bottom w:val="single" w:sz="4" w:space="0" w:color="auto"/>
              <w:right w:val="single" w:sz="4" w:space="0" w:color="auto"/>
            </w:tcBorders>
            <w:noWrap/>
            <w:vAlign w:val="center"/>
            <w:hideMark/>
          </w:tcPr>
          <w:p w14:paraId="5F1615CB"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74%</w:t>
            </w:r>
          </w:p>
        </w:tc>
        <w:tc>
          <w:tcPr>
            <w:tcW w:w="1134" w:type="dxa"/>
            <w:tcBorders>
              <w:top w:val="nil"/>
              <w:left w:val="nil"/>
              <w:bottom w:val="single" w:sz="4" w:space="0" w:color="auto"/>
              <w:right w:val="single" w:sz="4" w:space="0" w:color="auto"/>
            </w:tcBorders>
            <w:noWrap/>
            <w:vAlign w:val="center"/>
            <w:hideMark/>
          </w:tcPr>
          <w:p w14:paraId="6D4EFA5D"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19%</w:t>
            </w:r>
          </w:p>
        </w:tc>
        <w:tc>
          <w:tcPr>
            <w:tcW w:w="1074" w:type="dxa"/>
            <w:tcBorders>
              <w:top w:val="nil"/>
              <w:left w:val="nil"/>
              <w:bottom w:val="single" w:sz="4" w:space="0" w:color="auto"/>
              <w:right w:val="single" w:sz="4" w:space="0" w:color="auto"/>
            </w:tcBorders>
            <w:noWrap/>
            <w:vAlign w:val="center"/>
            <w:hideMark/>
          </w:tcPr>
          <w:p w14:paraId="09E7B807"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6%</w:t>
            </w:r>
          </w:p>
        </w:tc>
        <w:tc>
          <w:tcPr>
            <w:tcW w:w="1080" w:type="dxa"/>
            <w:tcBorders>
              <w:top w:val="nil"/>
              <w:left w:val="nil"/>
              <w:bottom w:val="single" w:sz="4" w:space="0" w:color="auto"/>
              <w:right w:val="single" w:sz="4" w:space="0" w:color="auto"/>
            </w:tcBorders>
            <w:noWrap/>
            <w:vAlign w:val="center"/>
            <w:hideMark/>
          </w:tcPr>
          <w:p w14:paraId="198B89EF"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990" w:type="dxa"/>
            <w:tcBorders>
              <w:top w:val="nil"/>
              <w:left w:val="nil"/>
              <w:bottom w:val="single" w:sz="4" w:space="0" w:color="auto"/>
              <w:right w:val="single" w:sz="4" w:space="0" w:color="auto"/>
            </w:tcBorders>
            <w:noWrap/>
            <w:vAlign w:val="center"/>
            <w:hideMark/>
          </w:tcPr>
          <w:p w14:paraId="193761CE"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990" w:type="dxa"/>
            <w:tcBorders>
              <w:top w:val="nil"/>
              <w:left w:val="nil"/>
              <w:bottom w:val="single" w:sz="4" w:space="0" w:color="auto"/>
              <w:right w:val="single" w:sz="4" w:space="0" w:color="auto"/>
            </w:tcBorders>
            <w:noWrap/>
            <w:vAlign w:val="center"/>
            <w:hideMark/>
          </w:tcPr>
          <w:p w14:paraId="7CAFD65A"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990" w:type="dxa"/>
            <w:tcBorders>
              <w:top w:val="nil"/>
              <w:left w:val="nil"/>
              <w:bottom w:val="single" w:sz="4" w:space="0" w:color="auto"/>
              <w:right w:val="single" w:sz="4" w:space="0" w:color="auto"/>
            </w:tcBorders>
            <w:noWrap/>
            <w:vAlign w:val="center"/>
            <w:hideMark/>
          </w:tcPr>
          <w:p w14:paraId="00BF3595"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080" w:type="dxa"/>
            <w:tcBorders>
              <w:top w:val="nil"/>
              <w:left w:val="nil"/>
              <w:bottom w:val="single" w:sz="4" w:space="0" w:color="auto"/>
              <w:right w:val="single" w:sz="4" w:space="0" w:color="auto"/>
            </w:tcBorders>
            <w:noWrap/>
            <w:vAlign w:val="center"/>
            <w:hideMark/>
          </w:tcPr>
          <w:p w14:paraId="42774469"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r>
      <w:tr w:rsidR="00F72778" w:rsidRPr="0018092F" w14:paraId="124662A4" w14:textId="77777777" w:rsidTr="0018092F">
        <w:trPr>
          <w:trHeight w:val="288"/>
        </w:trPr>
        <w:tc>
          <w:tcPr>
            <w:tcW w:w="1075" w:type="dxa"/>
            <w:tcBorders>
              <w:top w:val="nil"/>
              <w:left w:val="single" w:sz="4" w:space="0" w:color="auto"/>
              <w:bottom w:val="single" w:sz="4" w:space="0" w:color="auto"/>
              <w:right w:val="single" w:sz="4" w:space="0" w:color="auto"/>
            </w:tcBorders>
            <w:noWrap/>
            <w:vAlign w:val="bottom"/>
            <w:hideMark/>
          </w:tcPr>
          <w:p w14:paraId="2954DF29" w14:textId="77777777" w:rsidR="00F72778" w:rsidRPr="0018092F" w:rsidRDefault="00F72778" w:rsidP="00211605">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AirROI</w:t>
            </w:r>
          </w:p>
        </w:tc>
        <w:tc>
          <w:tcPr>
            <w:tcW w:w="1170" w:type="dxa"/>
            <w:tcBorders>
              <w:top w:val="nil"/>
              <w:left w:val="nil"/>
              <w:bottom w:val="single" w:sz="4" w:space="0" w:color="auto"/>
              <w:right w:val="single" w:sz="4" w:space="0" w:color="auto"/>
            </w:tcBorders>
            <w:noWrap/>
            <w:vAlign w:val="center"/>
            <w:hideMark/>
          </w:tcPr>
          <w:p w14:paraId="3801FFA3"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93%</w:t>
            </w:r>
          </w:p>
        </w:tc>
        <w:tc>
          <w:tcPr>
            <w:tcW w:w="1170" w:type="dxa"/>
            <w:tcBorders>
              <w:top w:val="nil"/>
              <w:left w:val="nil"/>
              <w:bottom w:val="single" w:sz="4" w:space="0" w:color="auto"/>
              <w:right w:val="single" w:sz="4" w:space="0" w:color="auto"/>
            </w:tcBorders>
            <w:noWrap/>
            <w:vAlign w:val="center"/>
            <w:hideMark/>
          </w:tcPr>
          <w:p w14:paraId="3FB8DE97"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7%</w:t>
            </w:r>
          </w:p>
        </w:tc>
        <w:tc>
          <w:tcPr>
            <w:tcW w:w="1260" w:type="dxa"/>
            <w:tcBorders>
              <w:top w:val="nil"/>
              <w:left w:val="nil"/>
              <w:bottom w:val="single" w:sz="4" w:space="0" w:color="auto"/>
              <w:right w:val="single" w:sz="4" w:space="0" w:color="auto"/>
            </w:tcBorders>
            <w:noWrap/>
            <w:vAlign w:val="center"/>
            <w:hideMark/>
          </w:tcPr>
          <w:p w14:paraId="3240208C"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842" w:type="dxa"/>
            <w:tcBorders>
              <w:top w:val="nil"/>
              <w:left w:val="nil"/>
              <w:bottom w:val="single" w:sz="4" w:space="0" w:color="auto"/>
              <w:right w:val="single" w:sz="4" w:space="0" w:color="auto"/>
            </w:tcBorders>
            <w:noWrap/>
            <w:vAlign w:val="center"/>
            <w:hideMark/>
          </w:tcPr>
          <w:p w14:paraId="612D5E98"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61%</w:t>
            </w:r>
          </w:p>
        </w:tc>
        <w:tc>
          <w:tcPr>
            <w:tcW w:w="1134" w:type="dxa"/>
            <w:tcBorders>
              <w:top w:val="nil"/>
              <w:left w:val="nil"/>
              <w:bottom w:val="single" w:sz="4" w:space="0" w:color="auto"/>
              <w:right w:val="single" w:sz="4" w:space="0" w:color="auto"/>
            </w:tcBorders>
            <w:noWrap/>
            <w:vAlign w:val="center"/>
            <w:hideMark/>
          </w:tcPr>
          <w:p w14:paraId="2492CEDA"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18%</w:t>
            </w:r>
          </w:p>
        </w:tc>
        <w:tc>
          <w:tcPr>
            <w:tcW w:w="1074" w:type="dxa"/>
            <w:tcBorders>
              <w:top w:val="nil"/>
              <w:left w:val="nil"/>
              <w:bottom w:val="single" w:sz="4" w:space="0" w:color="auto"/>
              <w:right w:val="single" w:sz="4" w:space="0" w:color="auto"/>
            </w:tcBorders>
            <w:noWrap/>
            <w:vAlign w:val="center"/>
            <w:hideMark/>
          </w:tcPr>
          <w:p w14:paraId="2F164EAC"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6%</w:t>
            </w:r>
          </w:p>
        </w:tc>
        <w:tc>
          <w:tcPr>
            <w:tcW w:w="1080" w:type="dxa"/>
            <w:tcBorders>
              <w:top w:val="nil"/>
              <w:left w:val="nil"/>
              <w:bottom w:val="single" w:sz="4" w:space="0" w:color="auto"/>
              <w:right w:val="single" w:sz="4" w:space="0" w:color="auto"/>
            </w:tcBorders>
            <w:noWrap/>
            <w:vAlign w:val="center"/>
            <w:hideMark/>
          </w:tcPr>
          <w:p w14:paraId="05D4EF49"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w:t>
            </w:r>
          </w:p>
        </w:tc>
        <w:tc>
          <w:tcPr>
            <w:tcW w:w="990" w:type="dxa"/>
            <w:tcBorders>
              <w:top w:val="nil"/>
              <w:left w:val="nil"/>
              <w:bottom w:val="single" w:sz="4" w:space="0" w:color="auto"/>
              <w:right w:val="single" w:sz="4" w:space="0" w:color="auto"/>
            </w:tcBorders>
            <w:noWrap/>
            <w:vAlign w:val="center"/>
            <w:hideMark/>
          </w:tcPr>
          <w:p w14:paraId="54EC6BFB"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32%</w:t>
            </w:r>
          </w:p>
        </w:tc>
        <w:tc>
          <w:tcPr>
            <w:tcW w:w="990" w:type="dxa"/>
            <w:tcBorders>
              <w:top w:val="nil"/>
              <w:left w:val="nil"/>
              <w:bottom w:val="single" w:sz="4" w:space="0" w:color="auto"/>
              <w:right w:val="single" w:sz="4" w:space="0" w:color="auto"/>
            </w:tcBorders>
            <w:noWrap/>
            <w:vAlign w:val="center"/>
            <w:hideMark/>
          </w:tcPr>
          <w:p w14:paraId="0CF75953"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13%</w:t>
            </w:r>
          </w:p>
        </w:tc>
        <w:tc>
          <w:tcPr>
            <w:tcW w:w="990" w:type="dxa"/>
            <w:tcBorders>
              <w:top w:val="nil"/>
              <w:left w:val="nil"/>
              <w:bottom w:val="single" w:sz="4" w:space="0" w:color="auto"/>
              <w:right w:val="single" w:sz="4" w:space="0" w:color="auto"/>
            </w:tcBorders>
            <w:noWrap/>
            <w:vAlign w:val="center"/>
            <w:hideMark/>
          </w:tcPr>
          <w:p w14:paraId="082A702A"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29%</w:t>
            </w:r>
          </w:p>
        </w:tc>
        <w:tc>
          <w:tcPr>
            <w:tcW w:w="1080" w:type="dxa"/>
            <w:tcBorders>
              <w:top w:val="nil"/>
              <w:left w:val="nil"/>
              <w:bottom w:val="single" w:sz="4" w:space="0" w:color="auto"/>
              <w:right w:val="single" w:sz="4" w:space="0" w:color="auto"/>
            </w:tcBorders>
            <w:noWrap/>
            <w:vAlign w:val="center"/>
            <w:hideMark/>
          </w:tcPr>
          <w:p w14:paraId="5F1DB8C6" w14:textId="77777777" w:rsidR="00F72778" w:rsidRPr="0018092F" w:rsidRDefault="00F72778" w:rsidP="00211605">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24%</w:t>
            </w:r>
          </w:p>
        </w:tc>
      </w:tr>
    </w:tbl>
    <w:p w14:paraId="2525AB11" w14:textId="7D0535CC" w:rsidR="00F72778" w:rsidRPr="00E14EBC" w:rsidRDefault="00F72778" w:rsidP="00F72778">
      <w:pPr>
        <w:pStyle w:val="BottomCaption"/>
      </w:pPr>
      <w:r w:rsidRPr="00E14EBC">
        <w:t>Allikad:</w:t>
      </w:r>
    </w:p>
    <w:p w14:paraId="67326573" w14:textId="212192EA" w:rsidR="00F72778" w:rsidRPr="00E14EBC" w:rsidRDefault="00F72778" w:rsidP="00F72778">
      <w:pPr>
        <w:pStyle w:val="BottomCaption"/>
      </w:pPr>
      <w:r w:rsidRPr="00E14EBC">
        <w:rPr>
          <w:rFonts w:ascii="Times New Roman" w:eastAsia="Times New Roman" w:hAnsi="Times New Roman" w:cs="Times New Roman"/>
        </w:rPr>
        <w:t xml:space="preserve"> </w:t>
      </w:r>
      <w:r w:rsidRPr="00E14EBC">
        <w:t>Colliers Baltics. Tallinn short-term rental residential market overview (mai 2023)</w:t>
      </w:r>
    </w:p>
    <w:p w14:paraId="6FBECE2F" w14:textId="77777777" w:rsidR="00F72778" w:rsidRPr="00E14EBC" w:rsidRDefault="00F72778" w:rsidP="00F72778">
      <w:pPr>
        <w:pStyle w:val="BottomCaption"/>
      </w:pPr>
      <w:r w:rsidRPr="00E14EBC">
        <w:t>AirDNA.com (märts 2025) periood: märts 2024 – veebruar 2025</w:t>
      </w:r>
    </w:p>
    <w:p w14:paraId="730BF049" w14:textId="4BCB31EE" w:rsidR="00F72778" w:rsidRPr="00E14EBC" w:rsidRDefault="00F72778" w:rsidP="00F72778">
      <w:pPr>
        <w:pStyle w:val="BottomCaption"/>
      </w:pPr>
      <w:r w:rsidRPr="00E14EBC">
        <w:t xml:space="preserve">AirROI.com (märts 2025) periood: märts 2024 – veebruar 2025 </w:t>
      </w:r>
    </w:p>
    <w:p w14:paraId="5B218319" w14:textId="22384A1F" w:rsidR="00F72778" w:rsidRPr="00E14EBC" w:rsidRDefault="00F72778" w:rsidP="00F72778">
      <w:pPr>
        <w:pStyle w:val="BottomCaption"/>
      </w:pPr>
      <w:r w:rsidRPr="00E14EBC">
        <w:t>1Estate Kinnisvara OÜ juhi ja omaniku, kinnisvaramaakler Algis Libliku hinnang Tallinna lühiajalise üüri turule (mai 2024 podcast).</w:t>
      </w:r>
    </w:p>
    <w:p w14:paraId="03549494" w14:textId="3D1A1046" w:rsidR="00F72778" w:rsidRPr="00E14EBC" w:rsidRDefault="00F72778" w:rsidP="00F72778">
      <w:pPr>
        <w:pStyle w:val="BottomCaption"/>
      </w:pPr>
      <w:r w:rsidRPr="00E14EBC">
        <w:t>USD on ümber arvestatud eurodesse 2023 – 2024 keskmise kursiga 0,924. https://www.exchange-rates.org/exchange-rate-history/usd-eur-2023?utm_source=chatgpt.com</w:t>
      </w:r>
    </w:p>
    <w:p w14:paraId="4BAA1436" w14:textId="7623F33A" w:rsidR="00F72778" w:rsidRPr="00E14EBC" w:rsidRDefault="00F72778" w:rsidP="00F72778">
      <w:pPr>
        <w:spacing w:line="257" w:lineRule="auto"/>
        <w:rPr>
          <w:rFonts w:ascii="Arial" w:eastAsia="Arial" w:hAnsi="Arial" w:cs="Arial"/>
          <w:sz w:val="20"/>
          <w:szCs w:val="20"/>
        </w:rPr>
      </w:pPr>
    </w:p>
    <w:p w14:paraId="7252A7AF" w14:textId="1FC0D949" w:rsidR="00F72778" w:rsidRPr="00E14EBC" w:rsidRDefault="00F72778" w:rsidP="00F72778">
      <w:pPr>
        <w:pStyle w:val="Caption"/>
      </w:pPr>
      <w:r w:rsidRPr="00E14EBC">
        <w:br w:type="page"/>
      </w:r>
      <w:r w:rsidRPr="00E14EBC">
        <w:lastRenderedPageBreak/>
        <w:t xml:space="preserve">Tabel </w:t>
      </w:r>
      <w:r>
        <w:t>25</w:t>
      </w:r>
      <w:r w:rsidRPr="00E14EBC">
        <w:t>. Tartu lühiajalise üüri teenuse pakkumise peamised näitajad 2023/2024</w:t>
      </w:r>
    </w:p>
    <w:tbl>
      <w:tblPr>
        <w:tblW w:w="13912" w:type="dxa"/>
        <w:tblLook w:val="04A0" w:firstRow="1" w:lastRow="0" w:firstColumn="1" w:lastColumn="0" w:noHBand="0" w:noVBand="1"/>
      </w:tblPr>
      <w:tblGrid>
        <w:gridCol w:w="1140"/>
        <w:gridCol w:w="1195"/>
        <w:gridCol w:w="1170"/>
        <w:gridCol w:w="1170"/>
        <w:gridCol w:w="1842"/>
        <w:gridCol w:w="1053"/>
        <w:gridCol w:w="1170"/>
        <w:gridCol w:w="1080"/>
        <w:gridCol w:w="885"/>
        <w:gridCol w:w="900"/>
        <w:gridCol w:w="990"/>
        <w:gridCol w:w="1317"/>
      </w:tblGrid>
      <w:tr w:rsidR="00F72778" w:rsidRPr="0018092F" w14:paraId="1CE0B632" w14:textId="77777777" w:rsidTr="0018092F">
        <w:trPr>
          <w:trHeight w:val="861"/>
        </w:trPr>
        <w:tc>
          <w:tcPr>
            <w:tcW w:w="1140" w:type="dxa"/>
            <w:tcBorders>
              <w:top w:val="single" w:sz="4" w:space="0" w:color="auto"/>
              <w:left w:val="single" w:sz="4" w:space="0" w:color="auto"/>
              <w:bottom w:val="single" w:sz="4" w:space="0" w:color="auto"/>
              <w:right w:val="single" w:sz="4" w:space="0" w:color="auto"/>
            </w:tcBorders>
            <w:noWrap/>
            <w:vAlign w:val="bottom"/>
            <w:hideMark/>
          </w:tcPr>
          <w:p w14:paraId="190A9191" w14:textId="77777777" w:rsidR="00F72778" w:rsidRPr="0018092F" w:rsidRDefault="00F72778" w:rsidP="00DA6388">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 </w:t>
            </w:r>
          </w:p>
        </w:tc>
        <w:tc>
          <w:tcPr>
            <w:tcW w:w="1195" w:type="dxa"/>
            <w:tcBorders>
              <w:top w:val="single" w:sz="4" w:space="0" w:color="auto"/>
              <w:left w:val="nil"/>
              <w:bottom w:val="single" w:sz="4" w:space="0" w:color="auto"/>
              <w:right w:val="single" w:sz="4" w:space="0" w:color="auto"/>
            </w:tcBorders>
            <w:vAlign w:val="center"/>
            <w:hideMark/>
          </w:tcPr>
          <w:p w14:paraId="457F1EC0" w14:textId="77777777" w:rsidR="00F72778" w:rsidRPr="0018092F" w:rsidRDefault="00F72778" w:rsidP="00DA6388">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Aktiivsete kuulutuste arv</w:t>
            </w:r>
          </w:p>
        </w:tc>
        <w:tc>
          <w:tcPr>
            <w:tcW w:w="1170" w:type="dxa"/>
            <w:tcBorders>
              <w:top w:val="single" w:sz="4" w:space="0" w:color="auto"/>
              <w:left w:val="nil"/>
              <w:bottom w:val="single" w:sz="4" w:space="0" w:color="auto"/>
              <w:right w:val="single" w:sz="4" w:space="0" w:color="auto"/>
            </w:tcBorders>
            <w:vAlign w:val="center"/>
            <w:hideMark/>
          </w:tcPr>
          <w:p w14:paraId="38CB72A2" w14:textId="77777777" w:rsidR="00F72778" w:rsidRPr="0018092F" w:rsidRDefault="00F72778" w:rsidP="00DA6388">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Kõikide kuulutuste arv</w:t>
            </w:r>
          </w:p>
        </w:tc>
        <w:tc>
          <w:tcPr>
            <w:tcW w:w="1170" w:type="dxa"/>
            <w:tcBorders>
              <w:top w:val="single" w:sz="4" w:space="0" w:color="auto"/>
              <w:left w:val="nil"/>
              <w:bottom w:val="single" w:sz="4" w:space="0" w:color="auto"/>
              <w:right w:val="single" w:sz="4" w:space="0" w:color="auto"/>
            </w:tcBorders>
            <w:vAlign w:val="center"/>
            <w:hideMark/>
          </w:tcPr>
          <w:p w14:paraId="6FF9843F" w14:textId="77777777" w:rsidR="00F72778" w:rsidRPr="0018092F" w:rsidRDefault="00F72778" w:rsidP="00DA6388">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Majutuse keskm. kestus, p</w:t>
            </w:r>
          </w:p>
        </w:tc>
        <w:tc>
          <w:tcPr>
            <w:tcW w:w="1842" w:type="dxa"/>
            <w:tcBorders>
              <w:top w:val="single" w:sz="4" w:space="0" w:color="auto"/>
              <w:left w:val="nil"/>
              <w:bottom w:val="single" w:sz="4" w:space="0" w:color="auto"/>
              <w:right w:val="single" w:sz="4" w:space="0" w:color="auto"/>
            </w:tcBorders>
            <w:vAlign w:val="center"/>
            <w:hideMark/>
          </w:tcPr>
          <w:p w14:paraId="52534518" w14:textId="77777777" w:rsidR="00F72778" w:rsidRPr="0018092F" w:rsidRDefault="00F72778" w:rsidP="00DA6388">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Keskm. müügitulu majutuskoha kohta aastas, €</w:t>
            </w:r>
          </w:p>
        </w:tc>
        <w:tc>
          <w:tcPr>
            <w:tcW w:w="1053" w:type="dxa"/>
            <w:tcBorders>
              <w:top w:val="single" w:sz="4" w:space="0" w:color="auto"/>
              <w:left w:val="nil"/>
              <w:bottom w:val="single" w:sz="4" w:space="0" w:color="auto"/>
              <w:right w:val="single" w:sz="4" w:space="0" w:color="auto"/>
            </w:tcBorders>
            <w:vAlign w:val="center"/>
            <w:hideMark/>
          </w:tcPr>
          <w:p w14:paraId="5F8E8C3F" w14:textId="77777777" w:rsidR="00F72778" w:rsidRPr="0018092F" w:rsidRDefault="00F72778" w:rsidP="00DA6388">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ADR, €</w:t>
            </w:r>
          </w:p>
        </w:tc>
        <w:tc>
          <w:tcPr>
            <w:tcW w:w="1170" w:type="dxa"/>
            <w:tcBorders>
              <w:top w:val="single" w:sz="4" w:space="0" w:color="auto"/>
              <w:left w:val="nil"/>
              <w:bottom w:val="single" w:sz="4" w:space="0" w:color="auto"/>
              <w:right w:val="single" w:sz="4" w:space="0" w:color="auto"/>
            </w:tcBorders>
            <w:vAlign w:val="center"/>
            <w:hideMark/>
          </w:tcPr>
          <w:p w14:paraId="7AA7479E" w14:textId="77777777" w:rsidR="00F72778" w:rsidRPr="0018092F" w:rsidRDefault="00F72778" w:rsidP="00DA6388">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RevPAR, €</w:t>
            </w:r>
          </w:p>
        </w:tc>
        <w:tc>
          <w:tcPr>
            <w:tcW w:w="1080" w:type="dxa"/>
            <w:tcBorders>
              <w:top w:val="single" w:sz="4" w:space="0" w:color="auto"/>
              <w:left w:val="nil"/>
              <w:bottom w:val="single" w:sz="4" w:space="0" w:color="auto"/>
              <w:right w:val="single" w:sz="4" w:space="0" w:color="auto"/>
            </w:tcBorders>
            <w:vAlign w:val="center"/>
            <w:hideMark/>
          </w:tcPr>
          <w:p w14:paraId="7E736677" w14:textId="77777777" w:rsidR="00F72778" w:rsidRPr="0018092F" w:rsidRDefault="00F72778" w:rsidP="00DA6388">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Täitumus</w:t>
            </w:r>
          </w:p>
        </w:tc>
        <w:tc>
          <w:tcPr>
            <w:tcW w:w="4092" w:type="dxa"/>
            <w:gridSpan w:val="4"/>
            <w:tcBorders>
              <w:top w:val="single" w:sz="4" w:space="0" w:color="auto"/>
              <w:left w:val="nil"/>
              <w:bottom w:val="single" w:sz="4" w:space="0" w:color="auto"/>
              <w:right w:val="single" w:sz="4" w:space="0" w:color="auto"/>
            </w:tcBorders>
            <w:noWrap/>
            <w:vAlign w:val="center"/>
            <w:hideMark/>
          </w:tcPr>
          <w:p w14:paraId="2C2EDCFE" w14:textId="77777777" w:rsidR="00F72778" w:rsidRPr="0018092F" w:rsidRDefault="00F72778" w:rsidP="00DA6388">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Saadavus, p</w:t>
            </w:r>
          </w:p>
        </w:tc>
      </w:tr>
      <w:tr w:rsidR="00F72778" w:rsidRPr="0018092F" w14:paraId="37950F7C" w14:textId="77777777" w:rsidTr="0018092F">
        <w:trPr>
          <w:trHeight w:val="380"/>
        </w:trPr>
        <w:tc>
          <w:tcPr>
            <w:tcW w:w="9820" w:type="dxa"/>
            <w:gridSpan w:val="8"/>
            <w:tcBorders>
              <w:top w:val="nil"/>
              <w:left w:val="single" w:sz="4" w:space="0" w:color="auto"/>
              <w:bottom w:val="single" w:sz="4" w:space="0" w:color="auto"/>
              <w:right w:val="single" w:sz="4" w:space="0" w:color="auto"/>
            </w:tcBorders>
            <w:noWrap/>
            <w:vAlign w:val="bottom"/>
            <w:hideMark/>
          </w:tcPr>
          <w:p w14:paraId="73BA5F4C" w14:textId="77777777" w:rsidR="00F72778" w:rsidRPr="0018092F" w:rsidRDefault="00F72778" w:rsidP="00DA6388">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 </w:t>
            </w:r>
          </w:p>
        </w:tc>
        <w:tc>
          <w:tcPr>
            <w:tcW w:w="885" w:type="dxa"/>
            <w:tcBorders>
              <w:top w:val="nil"/>
              <w:left w:val="nil"/>
              <w:bottom w:val="single" w:sz="4" w:space="0" w:color="auto"/>
              <w:right w:val="single" w:sz="4" w:space="0" w:color="auto"/>
            </w:tcBorders>
            <w:noWrap/>
            <w:vAlign w:val="center"/>
            <w:hideMark/>
          </w:tcPr>
          <w:p w14:paraId="4FE6DD38"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1 - 90</w:t>
            </w:r>
          </w:p>
        </w:tc>
        <w:tc>
          <w:tcPr>
            <w:tcW w:w="900" w:type="dxa"/>
            <w:tcBorders>
              <w:top w:val="nil"/>
              <w:left w:val="nil"/>
              <w:bottom w:val="single" w:sz="4" w:space="0" w:color="auto"/>
              <w:right w:val="single" w:sz="4" w:space="0" w:color="auto"/>
            </w:tcBorders>
            <w:noWrap/>
            <w:vAlign w:val="center"/>
            <w:hideMark/>
          </w:tcPr>
          <w:p w14:paraId="66C19BDC"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91 - 180</w:t>
            </w:r>
          </w:p>
        </w:tc>
        <w:tc>
          <w:tcPr>
            <w:tcW w:w="990" w:type="dxa"/>
            <w:tcBorders>
              <w:top w:val="nil"/>
              <w:left w:val="nil"/>
              <w:bottom w:val="single" w:sz="4" w:space="0" w:color="auto"/>
              <w:right w:val="single" w:sz="4" w:space="0" w:color="auto"/>
            </w:tcBorders>
            <w:noWrap/>
            <w:vAlign w:val="center"/>
            <w:hideMark/>
          </w:tcPr>
          <w:p w14:paraId="2C85440E"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181 - 270</w:t>
            </w:r>
          </w:p>
        </w:tc>
        <w:tc>
          <w:tcPr>
            <w:tcW w:w="1317" w:type="dxa"/>
            <w:tcBorders>
              <w:top w:val="nil"/>
              <w:left w:val="nil"/>
              <w:bottom w:val="single" w:sz="4" w:space="0" w:color="auto"/>
              <w:right w:val="single" w:sz="4" w:space="0" w:color="auto"/>
            </w:tcBorders>
            <w:noWrap/>
            <w:vAlign w:val="center"/>
            <w:hideMark/>
          </w:tcPr>
          <w:p w14:paraId="0F908D9A"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271 - 365</w:t>
            </w:r>
          </w:p>
        </w:tc>
      </w:tr>
      <w:tr w:rsidR="00F72778" w:rsidRPr="0018092F" w14:paraId="248ECD3E" w14:textId="77777777" w:rsidTr="0018092F">
        <w:trPr>
          <w:trHeight w:val="380"/>
        </w:trPr>
        <w:tc>
          <w:tcPr>
            <w:tcW w:w="1140" w:type="dxa"/>
            <w:tcBorders>
              <w:top w:val="nil"/>
              <w:left w:val="single" w:sz="4" w:space="0" w:color="auto"/>
              <w:bottom w:val="single" w:sz="4" w:space="0" w:color="auto"/>
              <w:right w:val="single" w:sz="4" w:space="0" w:color="auto"/>
            </w:tcBorders>
            <w:noWrap/>
            <w:vAlign w:val="bottom"/>
            <w:hideMark/>
          </w:tcPr>
          <w:p w14:paraId="6C7FC6E9" w14:textId="77777777" w:rsidR="00F72778" w:rsidRPr="0018092F" w:rsidRDefault="00F72778" w:rsidP="00DA6388">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AirDNA</w:t>
            </w:r>
          </w:p>
        </w:tc>
        <w:tc>
          <w:tcPr>
            <w:tcW w:w="1195" w:type="dxa"/>
            <w:tcBorders>
              <w:top w:val="nil"/>
              <w:left w:val="nil"/>
              <w:bottom w:val="single" w:sz="4" w:space="0" w:color="auto"/>
              <w:right w:val="single" w:sz="4" w:space="0" w:color="auto"/>
            </w:tcBorders>
            <w:noWrap/>
            <w:vAlign w:val="center"/>
            <w:hideMark/>
          </w:tcPr>
          <w:p w14:paraId="7CFEC1B1"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434</w:t>
            </w:r>
          </w:p>
        </w:tc>
        <w:tc>
          <w:tcPr>
            <w:tcW w:w="1170" w:type="dxa"/>
            <w:tcBorders>
              <w:top w:val="nil"/>
              <w:left w:val="nil"/>
              <w:bottom w:val="single" w:sz="4" w:space="0" w:color="auto"/>
              <w:right w:val="single" w:sz="4" w:space="0" w:color="auto"/>
            </w:tcBorders>
            <w:noWrap/>
            <w:vAlign w:val="center"/>
            <w:hideMark/>
          </w:tcPr>
          <w:p w14:paraId="5459969D"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776</w:t>
            </w:r>
          </w:p>
        </w:tc>
        <w:tc>
          <w:tcPr>
            <w:tcW w:w="1170" w:type="dxa"/>
            <w:tcBorders>
              <w:top w:val="nil"/>
              <w:left w:val="nil"/>
              <w:bottom w:val="single" w:sz="4" w:space="0" w:color="auto"/>
              <w:right w:val="single" w:sz="4" w:space="0" w:color="auto"/>
            </w:tcBorders>
            <w:noWrap/>
            <w:vAlign w:val="center"/>
            <w:hideMark/>
          </w:tcPr>
          <w:p w14:paraId="0BF3F3DC"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842" w:type="dxa"/>
            <w:tcBorders>
              <w:top w:val="nil"/>
              <w:left w:val="nil"/>
              <w:bottom w:val="single" w:sz="4" w:space="0" w:color="auto"/>
              <w:right w:val="single" w:sz="4" w:space="0" w:color="auto"/>
            </w:tcBorders>
            <w:noWrap/>
            <w:vAlign w:val="center"/>
            <w:hideMark/>
          </w:tcPr>
          <w:p w14:paraId="28DEE4D6" w14:textId="4EFA4962"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10</w:t>
            </w:r>
            <w:r w:rsidR="00153073">
              <w:rPr>
                <w:rFonts w:asciiTheme="minorBidi" w:hAnsiTheme="minorBidi"/>
                <w:color w:val="000000"/>
                <w:sz w:val="18"/>
                <w:szCs w:val="18"/>
              </w:rPr>
              <w:t xml:space="preserve"> </w:t>
            </w:r>
            <w:r w:rsidRPr="0018092F">
              <w:rPr>
                <w:rFonts w:asciiTheme="minorBidi" w:hAnsiTheme="minorBidi"/>
                <w:color w:val="000000"/>
                <w:sz w:val="18"/>
                <w:szCs w:val="18"/>
              </w:rPr>
              <w:t>300</w:t>
            </w:r>
          </w:p>
        </w:tc>
        <w:tc>
          <w:tcPr>
            <w:tcW w:w="1053" w:type="dxa"/>
            <w:tcBorders>
              <w:top w:val="nil"/>
              <w:left w:val="nil"/>
              <w:bottom w:val="single" w:sz="4" w:space="0" w:color="auto"/>
              <w:right w:val="single" w:sz="4" w:space="0" w:color="auto"/>
            </w:tcBorders>
            <w:noWrap/>
            <w:vAlign w:val="center"/>
            <w:hideMark/>
          </w:tcPr>
          <w:p w14:paraId="09FDBC23"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82</w:t>
            </w:r>
          </w:p>
        </w:tc>
        <w:tc>
          <w:tcPr>
            <w:tcW w:w="1170" w:type="dxa"/>
            <w:tcBorders>
              <w:top w:val="nil"/>
              <w:left w:val="nil"/>
              <w:bottom w:val="single" w:sz="4" w:space="0" w:color="auto"/>
              <w:right w:val="single" w:sz="4" w:space="0" w:color="auto"/>
            </w:tcBorders>
            <w:noWrap/>
            <w:vAlign w:val="center"/>
            <w:hideMark/>
          </w:tcPr>
          <w:p w14:paraId="66274EBF"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32</w:t>
            </w:r>
          </w:p>
        </w:tc>
        <w:tc>
          <w:tcPr>
            <w:tcW w:w="1080" w:type="dxa"/>
            <w:tcBorders>
              <w:top w:val="nil"/>
              <w:left w:val="nil"/>
              <w:bottom w:val="single" w:sz="4" w:space="0" w:color="auto"/>
              <w:right w:val="single" w:sz="4" w:space="0" w:color="auto"/>
            </w:tcBorders>
            <w:noWrap/>
            <w:vAlign w:val="center"/>
            <w:hideMark/>
          </w:tcPr>
          <w:p w14:paraId="0D04F2E5"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44%</w:t>
            </w:r>
          </w:p>
        </w:tc>
        <w:tc>
          <w:tcPr>
            <w:tcW w:w="885" w:type="dxa"/>
            <w:tcBorders>
              <w:top w:val="nil"/>
              <w:left w:val="nil"/>
              <w:bottom w:val="single" w:sz="4" w:space="0" w:color="auto"/>
              <w:right w:val="single" w:sz="4" w:space="0" w:color="auto"/>
            </w:tcBorders>
            <w:noWrap/>
            <w:vAlign w:val="center"/>
            <w:hideMark/>
          </w:tcPr>
          <w:p w14:paraId="11E6F830"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35%</w:t>
            </w:r>
          </w:p>
        </w:tc>
        <w:tc>
          <w:tcPr>
            <w:tcW w:w="900" w:type="dxa"/>
            <w:tcBorders>
              <w:top w:val="nil"/>
              <w:left w:val="nil"/>
              <w:bottom w:val="single" w:sz="4" w:space="0" w:color="auto"/>
              <w:right w:val="single" w:sz="4" w:space="0" w:color="auto"/>
            </w:tcBorders>
            <w:noWrap/>
            <w:vAlign w:val="center"/>
            <w:hideMark/>
          </w:tcPr>
          <w:p w14:paraId="64CBF75E"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21%</w:t>
            </w:r>
          </w:p>
        </w:tc>
        <w:tc>
          <w:tcPr>
            <w:tcW w:w="990" w:type="dxa"/>
            <w:tcBorders>
              <w:top w:val="nil"/>
              <w:left w:val="nil"/>
              <w:bottom w:val="single" w:sz="4" w:space="0" w:color="auto"/>
              <w:right w:val="single" w:sz="4" w:space="0" w:color="auto"/>
            </w:tcBorders>
            <w:noWrap/>
            <w:vAlign w:val="center"/>
            <w:hideMark/>
          </w:tcPr>
          <w:p w14:paraId="7FDDB83F"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17%</w:t>
            </w:r>
          </w:p>
        </w:tc>
        <w:tc>
          <w:tcPr>
            <w:tcW w:w="1317" w:type="dxa"/>
            <w:tcBorders>
              <w:top w:val="nil"/>
              <w:left w:val="nil"/>
              <w:bottom w:val="single" w:sz="4" w:space="0" w:color="auto"/>
              <w:right w:val="single" w:sz="4" w:space="0" w:color="auto"/>
            </w:tcBorders>
            <w:noWrap/>
            <w:vAlign w:val="center"/>
            <w:hideMark/>
          </w:tcPr>
          <w:p w14:paraId="77F246B0"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28%</w:t>
            </w:r>
          </w:p>
        </w:tc>
      </w:tr>
      <w:tr w:rsidR="00F72778" w:rsidRPr="0018092F" w14:paraId="022B52D2" w14:textId="77777777" w:rsidTr="0018092F">
        <w:trPr>
          <w:trHeight w:val="380"/>
        </w:trPr>
        <w:tc>
          <w:tcPr>
            <w:tcW w:w="1140" w:type="dxa"/>
            <w:tcBorders>
              <w:top w:val="nil"/>
              <w:left w:val="single" w:sz="4" w:space="0" w:color="auto"/>
              <w:bottom w:val="single" w:sz="4" w:space="0" w:color="auto"/>
              <w:right w:val="single" w:sz="4" w:space="0" w:color="auto"/>
            </w:tcBorders>
            <w:noWrap/>
            <w:vAlign w:val="bottom"/>
            <w:hideMark/>
          </w:tcPr>
          <w:p w14:paraId="15648E61" w14:textId="77777777" w:rsidR="00F72778" w:rsidRPr="0018092F" w:rsidRDefault="00F72778" w:rsidP="00DA6388">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AirROI</w:t>
            </w:r>
          </w:p>
        </w:tc>
        <w:tc>
          <w:tcPr>
            <w:tcW w:w="1195" w:type="dxa"/>
            <w:tcBorders>
              <w:top w:val="nil"/>
              <w:left w:val="nil"/>
              <w:bottom w:val="single" w:sz="4" w:space="0" w:color="auto"/>
              <w:right w:val="single" w:sz="4" w:space="0" w:color="auto"/>
            </w:tcBorders>
            <w:noWrap/>
            <w:vAlign w:val="center"/>
            <w:hideMark/>
          </w:tcPr>
          <w:p w14:paraId="4DB6E452"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391</w:t>
            </w:r>
          </w:p>
        </w:tc>
        <w:tc>
          <w:tcPr>
            <w:tcW w:w="1170" w:type="dxa"/>
            <w:tcBorders>
              <w:top w:val="nil"/>
              <w:left w:val="nil"/>
              <w:bottom w:val="single" w:sz="4" w:space="0" w:color="auto"/>
              <w:right w:val="single" w:sz="4" w:space="0" w:color="auto"/>
            </w:tcBorders>
            <w:noWrap/>
            <w:vAlign w:val="center"/>
            <w:hideMark/>
          </w:tcPr>
          <w:p w14:paraId="7C6209C2"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170" w:type="dxa"/>
            <w:tcBorders>
              <w:top w:val="nil"/>
              <w:left w:val="nil"/>
              <w:bottom w:val="single" w:sz="4" w:space="0" w:color="auto"/>
              <w:right w:val="single" w:sz="4" w:space="0" w:color="auto"/>
            </w:tcBorders>
            <w:noWrap/>
            <w:vAlign w:val="center"/>
            <w:hideMark/>
          </w:tcPr>
          <w:p w14:paraId="581D4DDD"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842" w:type="dxa"/>
            <w:tcBorders>
              <w:top w:val="nil"/>
              <w:left w:val="nil"/>
              <w:bottom w:val="single" w:sz="4" w:space="0" w:color="auto"/>
              <w:right w:val="single" w:sz="4" w:space="0" w:color="auto"/>
            </w:tcBorders>
            <w:noWrap/>
            <w:vAlign w:val="center"/>
            <w:hideMark/>
          </w:tcPr>
          <w:p w14:paraId="7740F0D2" w14:textId="4A58C82E"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8</w:t>
            </w:r>
            <w:r w:rsidR="00153073">
              <w:rPr>
                <w:rFonts w:asciiTheme="minorBidi" w:hAnsiTheme="minorBidi"/>
                <w:color w:val="000000"/>
                <w:sz w:val="18"/>
                <w:szCs w:val="18"/>
              </w:rPr>
              <w:t xml:space="preserve"> </w:t>
            </w:r>
            <w:r w:rsidRPr="0018092F">
              <w:rPr>
                <w:rFonts w:asciiTheme="minorBidi" w:hAnsiTheme="minorBidi"/>
                <w:color w:val="000000"/>
                <w:sz w:val="18"/>
                <w:szCs w:val="18"/>
              </w:rPr>
              <w:t>577</w:t>
            </w:r>
          </w:p>
        </w:tc>
        <w:tc>
          <w:tcPr>
            <w:tcW w:w="1053" w:type="dxa"/>
            <w:tcBorders>
              <w:top w:val="nil"/>
              <w:left w:val="nil"/>
              <w:bottom w:val="single" w:sz="4" w:space="0" w:color="auto"/>
              <w:right w:val="single" w:sz="4" w:space="0" w:color="auto"/>
            </w:tcBorders>
            <w:noWrap/>
            <w:vAlign w:val="center"/>
            <w:hideMark/>
          </w:tcPr>
          <w:p w14:paraId="1163AAD1"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72</w:t>
            </w:r>
          </w:p>
        </w:tc>
        <w:tc>
          <w:tcPr>
            <w:tcW w:w="1170" w:type="dxa"/>
            <w:tcBorders>
              <w:top w:val="nil"/>
              <w:left w:val="nil"/>
              <w:bottom w:val="single" w:sz="4" w:space="0" w:color="auto"/>
              <w:right w:val="single" w:sz="4" w:space="0" w:color="auto"/>
            </w:tcBorders>
            <w:noWrap/>
            <w:vAlign w:val="center"/>
            <w:hideMark/>
          </w:tcPr>
          <w:p w14:paraId="379CD796"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080" w:type="dxa"/>
            <w:tcBorders>
              <w:top w:val="nil"/>
              <w:left w:val="nil"/>
              <w:bottom w:val="single" w:sz="4" w:space="0" w:color="auto"/>
              <w:right w:val="single" w:sz="4" w:space="0" w:color="auto"/>
            </w:tcBorders>
            <w:noWrap/>
            <w:vAlign w:val="center"/>
            <w:hideMark/>
          </w:tcPr>
          <w:p w14:paraId="17077029"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39%</w:t>
            </w:r>
          </w:p>
        </w:tc>
        <w:tc>
          <w:tcPr>
            <w:tcW w:w="885" w:type="dxa"/>
            <w:tcBorders>
              <w:top w:val="nil"/>
              <w:left w:val="nil"/>
              <w:bottom w:val="single" w:sz="4" w:space="0" w:color="auto"/>
              <w:right w:val="single" w:sz="4" w:space="0" w:color="auto"/>
            </w:tcBorders>
            <w:noWrap/>
            <w:vAlign w:val="center"/>
            <w:hideMark/>
          </w:tcPr>
          <w:p w14:paraId="13668022"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4%</w:t>
            </w:r>
          </w:p>
        </w:tc>
        <w:tc>
          <w:tcPr>
            <w:tcW w:w="900" w:type="dxa"/>
            <w:tcBorders>
              <w:top w:val="nil"/>
              <w:left w:val="nil"/>
              <w:bottom w:val="single" w:sz="4" w:space="0" w:color="auto"/>
              <w:right w:val="single" w:sz="4" w:space="0" w:color="auto"/>
            </w:tcBorders>
            <w:noWrap/>
            <w:vAlign w:val="center"/>
            <w:hideMark/>
          </w:tcPr>
          <w:p w14:paraId="5E4E4468"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25%</w:t>
            </w:r>
          </w:p>
        </w:tc>
        <w:tc>
          <w:tcPr>
            <w:tcW w:w="990" w:type="dxa"/>
            <w:tcBorders>
              <w:top w:val="nil"/>
              <w:left w:val="nil"/>
              <w:bottom w:val="single" w:sz="4" w:space="0" w:color="auto"/>
              <w:right w:val="single" w:sz="4" w:space="0" w:color="auto"/>
            </w:tcBorders>
            <w:noWrap/>
            <w:vAlign w:val="center"/>
            <w:hideMark/>
          </w:tcPr>
          <w:p w14:paraId="7BA3427D"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28%</w:t>
            </w:r>
          </w:p>
        </w:tc>
        <w:tc>
          <w:tcPr>
            <w:tcW w:w="1317" w:type="dxa"/>
            <w:tcBorders>
              <w:top w:val="nil"/>
              <w:left w:val="nil"/>
              <w:bottom w:val="single" w:sz="4" w:space="0" w:color="auto"/>
              <w:right w:val="single" w:sz="4" w:space="0" w:color="auto"/>
            </w:tcBorders>
            <w:noWrap/>
            <w:vAlign w:val="center"/>
            <w:hideMark/>
          </w:tcPr>
          <w:p w14:paraId="413AA727"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44%</w:t>
            </w:r>
          </w:p>
        </w:tc>
      </w:tr>
      <w:tr w:rsidR="00F72778" w:rsidRPr="0018092F" w14:paraId="4B16A3A1" w14:textId="77777777" w:rsidTr="0018092F">
        <w:trPr>
          <w:trHeight w:val="380"/>
        </w:trPr>
        <w:tc>
          <w:tcPr>
            <w:tcW w:w="1140" w:type="dxa"/>
            <w:tcBorders>
              <w:top w:val="nil"/>
              <w:left w:val="single" w:sz="4" w:space="0" w:color="auto"/>
              <w:bottom w:val="single" w:sz="4" w:space="0" w:color="auto"/>
              <w:right w:val="single" w:sz="4" w:space="0" w:color="auto"/>
            </w:tcBorders>
            <w:noWrap/>
            <w:vAlign w:val="bottom"/>
            <w:hideMark/>
          </w:tcPr>
          <w:p w14:paraId="5314F8FC" w14:textId="77777777" w:rsidR="00F72778" w:rsidRPr="0018092F" w:rsidRDefault="00F72778" w:rsidP="00DA6388">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A.Liblik</w:t>
            </w:r>
          </w:p>
        </w:tc>
        <w:tc>
          <w:tcPr>
            <w:tcW w:w="1195" w:type="dxa"/>
            <w:tcBorders>
              <w:top w:val="nil"/>
              <w:left w:val="nil"/>
              <w:bottom w:val="single" w:sz="4" w:space="0" w:color="auto"/>
              <w:right w:val="single" w:sz="4" w:space="0" w:color="auto"/>
            </w:tcBorders>
            <w:noWrap/>
            <w:vAlign w:val="center"/>
            <w:hideMark/>
          </w:tcPr>
          <w:p w14:paraId="66A0CC50"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406</w:t>
            </w:r>
          </w:p>
        </w:tc>
        <w:tc>
          <w:tcPr>
            <w:tcW w:w="1170" w:type="dxa"/>
            <w:tcBorders>
              <w:top w:val="nil"/>
              <w:left w:val="nil"/>
              <w:bottom w:val="single" w:sz="4" w:space="0" w:color="auto"/>
              <w:right w:val="single" w:sz="4" w:space="0" w:color="auto"/>
            </w:tcBorders>
            <w:noWrap/>
            <w:vAlign w:val="center"/>
            <w:hideMark/>
          </w:tcPr>
          <w:p w14:paraId="41CB1811"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723</w:t>
            </w:r>
          </w:p>
        </w:tc>
        <w:tc>
          <w:tcPr>
            <w:tcW w:w="1170" w:type="dxa"/>
            <w:tcBorders>
              <w:top w:val="nil"/>
              <w:left w:val="nil"/>
              <w:bottom w:val="single" w:sz="4" w:space="0" w:color="auto"/>
              <w:right w:val="single" w:sz="4" w:space="0" w:color="auto"/>
            </w:tcBorders>
            <w:noWrap/>
            <w:vAlign w:val="center"/>
            <w:hideMark/>
          </w:tcPr>
          <w:p w14:paraId="27671972"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2</w:t>
            </w:r>
          </w:p>
        </w:tc>
        <w:tc>
          <w:tcPr>
            <w:tcW w:w="1842" w:type="dxa"/>
            <w:tcBorders>
              <w:top w:val="nil"/>
              <w:left w:val="nil"/>
              <w:bottom w:val="single" w:sz="4" w:space="0" w:color="auto"/>
              <w:right w:val="single" w:sz="4" w:space="0" w:color="auto"/>
            </w:tcBorders>
            <w:noWrap/>
            <w:vAlign w:val="center"/>
            <w:hideMark/>
          </w:tcPr>
          <w:p w14:paraId="3947F904" w14:textId="05B3604F"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9</w:t>
            </w:r>
            <w:r w:rsidR="00153073">
              <w:rPr>
                <w:rFonts w:asciiTheme="minorBidi" w:hAnsiTheme="minorBidi"/>
                <w:color w:val="000000"/>
                <w:sz w:val="18"/>
                <w:szCs w:val="18"/>
              </w:rPr>
              <w:t xml:space="preserve"> </w:t>
            </w:r>
            <w:r w:rsidRPr="0018092F">
              <w:rPr>
                <w:rFonts w:asciiTheme="minorBidi" w:hAnsiTheme="minorBidi"/>
                <w:color w:val="000000"/>
                <w:sz w:val="18"/>
                <w:szCs w:val="18"/>
              </w:rPr>
              <w:t>700</w:t>
            </w:r>
          </w:p>
        </w:tc>
        <w:tc>
          <w:tcPr>
            <w:tcW w:w="1053" w:type="dxa"/>
            <w:tcBorders>
              <w:top w:val="nil"/>
              <w:left w:val="nil"/>
              <w:bottom w:val="single" w:sz="4" w:space="0" w:color="auto"/>
              <w:right w:val="single" w:sz="4" w:space="0" w:color="auto"/>
            </w:tcBorders>
            <w:noWrap/>
            <w:vAlign w:val="center"/>
            <w:hideMark/>
          </w:tcPr>
          <w:p w14:paraId="1928D6B0"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170" w:type="dxa"/>
            <w:tcBorders>
              <w:top w:val="nil"/>
              <w:left w:val="nil"/>
              <w:bottom w:val="single" w:sz="4" w:space="0" w:color="auto"/>
              <w:right w:val="single" w:sz="4" w:space="0" w:color="auto"/>
            </w:tcBorders>
            <w:noWrap/>
            <w:vAlign w:val="center"/>
            <w:hideMark/>
          </w:tcPr>
          <w:p w14:paraId="4EC0D54F"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080" w:type="dxa"/>
            <w:tcBorders>
              <w:top w:val="nil"/>
              <w:left w:val="nil"/>
              <w:bottom w:val="single" w:sz="4" w:space="0" w:color="auto"/>
              <w:right w:val="single" w:sz="4" w:space="0" w:color="auto"/>
            </w:tcBorders>
            <w:noWrap/>
            <w:vAlign w:val="center"/>
            <w:hideMark/>
          </w:tcPr>
          <w:p w14:paraId="56C41A74"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42%</w:t>
            </w:r>
          </w:p>
        </w:tc>
        <w:tc>
          <w:tcPr>
            <w:tcW w:w="885" w:type="dxa"/>
            <w:tcBorders>
              <w:top w:val="nil"/>
              <w:left w:val="nil"/>
              <w:bottom w:val="single" w:sz="4" w:space="0" w:color="auto"/>
              <w:right w:val="single" w:sz="4" w:space="0" w:color="auto"/>
            </w:tcBorders>
            <w:noWrap/>
            <w:vAlign w:val="center"/>
            <w:hideMark/>
          </w:tcPr>
          <w:p w14:paraId="3C37BD6A"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900" w:type="dxa"/>
            <w:tcBorders>
              <w:top w:val="nil"/>
              <w:left w:val="nil"/>
              <w:bottom w:val="single" w:sz="4" w:space="0" w:color="auto"/>
              <w:right w:val="single" w:sz="4" w:space="0" w:color="auto"/>
            </w:tcBorders>
            <w:noWrap/>
            <w:vAlign w:val="center"/>
            <w:hideMark/>
          </w:tcPr>
          <w:p w14:paraId="416A6D37"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990" w:type="dxa"/>
            <w:tcBorders>
              <w:top w:val="nil"/>
              <w:left w:val="nil"/>
              <w:bottom w:val="single" w:sz="4" w:space="0" w:color="auto"/>
              <w:right w:val="single" w:sz="4" w:space="0" w:color="auto"/>
            </w:tcBorders>
            <w:noWrap/>
            <w:vAlign w:val="center"/>
            <w:hideMark/>
          </w:tcPr>
          <w:p w14:paraId="2AECAB6D"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317" w:type="dxa"/>
            <w:tcBorders>
              <w:top w:val="nil"/>
              <w:left w:val="nil"/>
              <w:bottom w:val="single" w:sz="4" w:space="0" w:color="auto"/>
              <w:right w:val="single" w:sz="4" w:space="0" w:color="auto"/>
            </w:tcBorders>
            <w:noWrap/>
            <w:vAlign w:val="center"/>
            <w:hideMark/>
          </w:tcPr>
          <w:p w14:paraId="54794345"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r>
      <w:tr w:rsidR="00F72778" w:rsidRPr="0018092F" w14:paraId="104F0E28" w14:textId="77777777" w:rsidTr="0018092F">
        <w:trPr>
          <w:trHeight w:val="141"/>
        </w:trPr>
        <w:tc>
          <w:tcPr>
            <w:tcW w:w="13912" w:type="dxa"/>
            <w:gridSpan w:val="12"/>
            <w:tcBorders>
              <w:top w:val="nil"/>
              <w:left w:val="single" w:sz="4" w:space="0" w:color="auto"/>
              <w:bottom w:val="single" w:sz="4" w:space="0" w:color="auto"/>
              <w:right w:val="single" w:sz="4" w:space="0" w:color="auto"/>
            </w:tcBorders>
            <w:noWrap/>
            <w:vAlign w:val="bottom"/>
            <w:hideMark/>
          </w:tcPr>
          <w:p w14:paraId="3E90311A" w14:textId="77777777" w:rsidR="00F72778" w:rsidRPr="0018092F" w:rsidRDefault="00F72778" w:rsidP="00DA6388">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 </w:t>
            </w:r>
          </w:p>
          <w:p w14:paraId="3CB89593" w14:textId="77777777" w:rsidR="00F72778" w:rsidRPr="0018092F" w:rsidRDefault="00F72778" w:rsidP="00DA6388">
            <w:pPr>
              <w:spacing w:before="0" w:after="0" w:line="240" w:lineRule="auto"/>
              <w:rPr>
                <w:rFonts w:asciiTheme="minorBidi" w:hAnsiTheme="minorBidi"/>
                <w:color w:val="000000"/>
                <w:sz w:val="18"/>
                <w:szCs w:val="18"/>
              </w:rPr>
            </w:pPr>
          </w:p>
        </w:tc>
      </w:tr>
      <w:tr w:rsidR="00F72778" w:rsidRPr="0018092F" w14:paraId="37CE1E87" w14:textId="77777777" w:rsidTr="0018092F">
        <w:trPr>
          <w:trHeight w:val="447"/>
        </w:trPr>
        <w:tc>
          <w:tcPr>
            <w:tcW w:w="1140" w:type="dxa"/>
            <w:tcBorders>
              <w:top w:val="nil"/>
              <w:left w:val="single" w:sz="4" w:space="0" w:color="auto"/>
              <w:bottom w:val="single" w:sz="4" w:space="0" w:color="auto"/>
              <w:right w:val="single" w:sz="4" w:space="0" w:color="auto"/>
            </w:tcBorders>
            <w:noWrap/>
            <w:vAlign w:val="bottom"/>
            <w:hideMark/>
          </w:tcPr>
          <w:p w14:paraId="43DEE1A2" w14:textId="77777777" w:rsidR="00F72778" w:rsidRPr="0018092F" w:rsidRDefault="00F72778" w:rsidP="00DA6388">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 </w:t>
            </w:r>
          </w:p>
        </w:tc>
        <w:tc>
          <w:tcPr>
            <w:tcW w:w="3535" w:type="dxa"/>
            <w:gridSpan w:val="3"/>
            <w:tcBorders>
              <w:top w:val="single" w:sz="4" w:space="0" w:color="auto"/>
              <w:left w:val="nil"/>
              <w:bottom w:val="single" w:sz="4" w:space="0" w:color="auto"/>
              <w:right w:val="single" w:sz="4" w:space="0" w:color="auto"/>
            </w:tcBorders>
            <w:vAlign w:val="center"/>
            <w:hideMark/>
          </w:tcPr>
          <w:p w14:paraId="5882DA2B" w14:textId="77777777" w:rsidR="00F72778" w:rsidRPr="0018092F" w:rsidRDefault="00F72778" w:rsidP="00DA6388">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Välja üüritakse</w:t>
            </w:r>
          </w:p>
        </w:tc>
        <w:tc>
          <w:tcPr>
            <w:tcW w:w="4065" w:type="dxa"/>
            <w:gridSpan w:val="3"/>
            <w:tcBorders>
              <w:top w:val="single" w:sz="4" w:space="0" w:color="auto"/>
              <w:left w:val="nil"/>
              <w:bottom w:val="single" w:sz="4" w:space="0" w:color="auto"/>
              <w:right w:val="single" w:sz="4" w:space="0" w:color="auto"/>
            </w:tcBorders>
            <w:vAlign w:val="center"/>
            <w:hideMark/>
          </w:tcPr>
          <w:p w14:paraId="2EF8870D" w14:textId="77777777" w:rsidR="00F72778" w:rsidRPr="0018092F" w:rsidRDefault="00F72778" w:rsidP="00DA6388">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Magamistubade arv</w:t>
            </w:r>
          </w:p>
        </w:tc>
        <w:tc>
          <w:tcPr>
            <w:tcW w:w="5172" w:type="dxa"/>
            <w:gridSpan w:val="5"/>
            <w:tcBorders>
              <w:top w:val="single" w:sz="4" w:space="0" w:color="auto"/>
              <w:left w:val="nil"/>
              <w:bottom w:val="single" w:sz="4" w:space="0" w:color="auto"/>
              <w:right w:val="single" w:sz="4" w:space="0" w:color="auto"/>
            </w:tcBorders>
            <w:vAlign w:val="center"/>
            <w:hideMark/>
          </w:tcPr>
          <w:p w14:paraId="0F61D8FD" w14:textId="77777777" w:rsidR="00F72778" w:rsidRPr="0018092F" w:rsidRDefault="00F72778" w:rsidP="00DA6388">
            <w:pPr>
              <w:spacing w:before="0" w:after="0" w:line="240" w:lineRule="auto"/>
              <w:jc w:val="center"/>
              <w:rPr>
                <w:rFonts w:asciiTheme="minorBidi" w:hAnsiTheme="minorBidi"/>
                <w:b/>
                <w:color w:val="000000"/>
                <w:sz w:val="18"/>
                <w:szCs w:val="18"/>
              </w:rPr>
            </w:pPr>
            <w:r w:rsidRPr="0018092F">
              <w:rPr>
                <w:rFonts w:asciiTheme="minorBidi" w:hAnsiTheme="minorBidi"/>
                <w:b/>
                <w:color w:val="000000"/>
                <w:sz w:val="18"/>
                <w:szCs w:val="18"/>
              </w:rPr>
              <w:t>Maks. külaliste arv</w:t>
            </w:r>
          </w:p>
        </w:tc>
      </w:tr>
      <w:tr w:rsidR="00F72778" w:rsidRPr="0018092F" w14:paraId="196D2F82" w14:textId="77777777" w:rsidTr="0018092F">
        <w:trPr>
          <w:trHeight w:val="528"/>
        </w:trPr>
        <w:tc>
          <w:tcPr>
            <w:tcW w:w="1140" w:type="dxa"/>
            <w:tcBorders>
              <w:top w:val="nil"/>
              <w:left w:val="single" w:sz="4" w:space="0" w:color="auto"/>
              <w:bottom w:val="single" w:sz="4" w:space="0" w:color="auto"/>
              <w:right w:val="single" w:sz="4" w:space="0" w:color="auto"/>
            </w:tcBorders>
            <w:noWrap/>
            <w:vAlign w:val="bottom"/>
            <w:hideMark/>
          </w:tcPr>
          <w:p w14:paraId="7975F8DB" w14:textId="77777777" w:rsidR="00F72778" w:rsidRPr="0018092F" w:rsidRDefault="00F72778" w:rsidP="00DA6388">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 </w:t>
            </w:r>
          </w:p>
        </w:tc>
        <w:tc>
          <w:tcPr>
            <w:tcW w:w="1195" w:type="dxa"/>
            <w:tcBorders>
              <w:top w:val="nil"/>
              <w:left w:val="nil"/>
              <w:bottom w:val="single" w:sz="4" w:space="0" w:color="auto"/>
              <w:right w:val="single" w:sz="4" w:space="0" w:color="auto"/>
            </w:tcBorders>
            <w:vAlign w:val="center"/>
            <w:hideMark/>
          </w:tcPr>
          <w:p w14:paraId="3DD8E544"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kogu eluase</w:t>
            </w:r>
          </w:p>
        </w:tc>
        <w:tc>
          <w:tcPr>
            <w:tcW w:w="1170" w:type="dxa"/>
            <w:tcBorders>
              <w:top w:val="nil"/>
              <w:left w:val="nil"/>
              <w:bottom w:val="single" w:sz="4" w:space="0" w:color="auto"/>
              <w:right w:val="single" w:sz="4" w:space="0" w:color="auto"/>
            </w:tcBorders>
            <w:vAlign w:val="center"/>
            <w:hideMark/>
          </w:tcPr>
          <w:p w14:paraId="44E03759"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eraldi ruum</w:t>
            </w:r>
          </w:p>
        </w:tc>
        <w:tc>
          <w:tcPr>
            <w:tcW w:w="1170" w:type="dxa"/>
            <w:tcBorders>
              <w:top w:val="nil"/>
              <w:left w:val="nil"/>
              <w:bottom w:val="single" w:sz="4" w:space="0" w:color="auto"/>
              <w:right w:val="single" w:sz="4" w:space="0" w:color="auto"/>
            </w:tcBorders>
            <w:vAlign w:val="center"/>
            <w:hideMark/>
          </w:tcPr>
          <w:p w14:paraId="68B81C68"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jagatud ruum</w:t>
            </w:r>
          </w:p>
        </w:tc>
        <w:tc>
          <w:tcPr>
            <w:tcW w:w="1842" w:type="dxa"/>
            <w:tcBorders>
              <w:top w:val="nil"/>
              <w:left w:val="nil"/>
              <w:bottom w:val="single" w:sz="4" w:space="0" w:color="auto"/>
              <w:right w:val="single" w:sz="4" w:space="0" w:color="auto"/>
            </w:tcBorders>
            <w:vAlign w:val="center"/>
            <w:hideMark/>
          </w:tcPr>
          <w:p w14:paraId="7A26C221"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1</w:t>
            </w:r>
          </w:p>
        </w:tc>
        <w:tc>
          <w:tcPr>
            <w:tcW w:w="1053" w:type="dxa"/>
            <w:tcBorders>
              <w:top w:val="nil"/>
              <w:left w:val="nil"/>
              <w:bottom w:val="single" w:sz="4" w:space="0" w:color="auto"/>
              <w:right w:val="single" w:sz="4" w:space="0" w:color="auto"/>
            </w:tcBorders>
            <w:vAlign w:val="center"/>
            <w:hideMark/>
          </w:tcPr>
          <w:p w14:paraId="3BF271F6"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2</w:t>
            </w:r>
          </w:p>
        </w:tc>
        <w:tc>
          <w:tcPr>
            <w:tcW w:w="1170" w:type="dxa"/>
            <w:tcBorders>
              <w:top w:val="nil"/>
              <w:left w:val="nil"/>
              <w:bottom w:val="single" w:sz="4" w:space="0" w:color="auto"/>
              <w:right w:val="single" w:sz="4" w:space="0" w:color="auto"/>
            </w:tcBorders>
            <w:vAlign w:val="center"/>
            <w:hideMark/>
          </w:tcPr>
          <w:p w14:paraId="5F0ABB83"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3</w:t>
            </w:r>
          </w:p>
        </w:tc>
        <w:tc>
          <w:tcPr>
            <w:tcW w:w="1080" w:type="dxa"/>
            <w:tcBorders>
              <w:top w:val="nil"/>
              <w:left w:val="nil"/>
              <w:bottom w:val="single" w:sz="4" w:space="0" w:color="auto"/>
              <w:right w:val="single" w:sz="4" w:space="0" w:color="auto"/>
            </w:tcBorders>
            <w:vAlign w:val="center"/>
            <w:hideMark/>
          </w:tcPr>
          <w:p w14:paraId="39C885EE"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1</w:t>
            </w:r>
          </w:p>
        </w:tc>
        <w:tc>
          <w:tcPr>
            <w:tcW w:w="885" w:type="dxa"/>
            <w:tcBorders>
              <w:top w:val="nil"/>
              <w:left w:val="nil"/>
              <w:bottom w:val="single" w:sz="4" w:space="0" w:color="auto"/>
              <w:right w:val="single" w:sz="4" w:space="0" w:color="auto"/>
            </w:tcBorders>
            <w:vAlign w:val="center"/>
            <w:hideMark/>
          </w:tcPr>
          <w:p w14:paraId="5CC6C02B"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2</w:t>
            </w:r>
          </w:p>
        </w:tc>
        <w:tc>
          <w:tcPr>
            <w:tcW w:w="900" w:type="dxa"/>
            <w:tcBorders>
              <w:top w:val="nil"/>
              <w:left w:val="nil"/>
              <w:bottom w:val="single" w:sz="4" w:space="0" w:color="auto"/>
              <w:right w:val="single" w:sz="4" w:space="0" w:color="auto"/>
            </w:tcBorders>
            <w:vAlign w:val="center"/>
            <w:hideMark/>
          </w:tcPr>
          <w:p w14:paraId="4FC7211D"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3</w:t>
            </w:r>
          </w:p>
        </w:tc>
        <w:tc>
          <w:tcPr>
            <w:tcW w:w="990" w:type="dxa"/>
            <w:tcBorders>
              <w:top w:val="nil"/>
              <w:left w:val="nil"/>
              <w:bottom w:val="single" w:sz="4" w:space="0" w:color="auto"/>
              <w:right w:val="single" w:sz="4" w:space="0" w:color="auto"/>
            </w:tcBorders>
            <w:noWrap/>
            <w:vAlign w:val="center"/>
            <w:hideMark/>
          </w:tcPr>
          <w:p w14:paraId="254E3A2A"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4</w:t>
            </w:r>
          </w:p>
        </w:tc>
        <w:tc>
          <w:tcPr>
            <w:tcW w:w="1317" w:type="dxa"/>
            <w:tcBorders>
              <w:top w:val="nil"/>
              <w:left w:val="nil"/>
              <w:bottom w:val="single" w:sz="4" w:space="0" w:color="auto"/>
              <w:right w:val="single" w:sz="4" w:space="0" w:color="auto"/>
            </w:tcBorders>
            <w:noWrap/>
            <w:vAlign w:val="center"/>
            <w:hideMark/>
          </w:tcPr>
          <w:p w14:paraId="451A34ED" w14:textId="77777777" w:rsidR="00F72778" w:rsidRPr="0018092F" w:rsidRDefault="00F72778" w:rsidP="00DA6388">
            <w:pPr>
              <w:spacing w:before="0" w:after="0" w:line="240" w:lineRule="auto"/>
              <w:jc w:val="center"/>
              <w:rPr>
                <w:rFonts w:asciiTheme="minorBidi" w:hAnsiTheme="minorBidi"/>
                <w:color w:val="000000"/>
                <w:sz w:val="18"/>
                <w:szCs w:val="18"/>
              </w:rPr>
            </w:pPr>
            <w:r w:rsidRPr="0018092F">
              <w:rPr>
                <w:rFonts w:asciiTheme="minorBidi" w:hAnsiTheme="minorBidi"/>
                <w:color w:val="000000"/>
                <w:sz w:val="18"/>
                <w:szCs w:val="18"/>
              </w:rPr>
              <w:t>5+</w:t>
            </w:r>
          </w:p>
        </w:tc>
      </w:tr>
      <w:tr w:rsidR="00F72778" w:rsidRPr="0018092F" w14:paraId="5A109BFA" w14:textId="77777777" w:rsidTr="0018092F">
        <w:trPr>
          <w:trHeight w:val="380"/>
        </w:trPr>
        <w:tc>
          <w:tcPr>
            <w:tcW w:w="1140" w:type="dxa"/>
            <w:tcBorders>
              <w:top w:val="nil"/>
              <w:left w:val="single" w:sz="4" w:space="0" w:color="auto"/>
              <w:bottom w:val="single" w:sz="4" w:space="0" w:color="auto"/>
              <w:right w:val="single" w:sz="4" w:space="0" w:color="auto"/>
            </w:tcBorders>
            <w:noWrap/>
            <w:vAlign w:val="bottom"/>
            <w:hideMark/>
          </w:tcPr>
          <w:p w14:paraId="0CC445AD" w14:textId="77777777" w:rsidR="00F72778" w:rsidRPr="0018092F" w:rsidRDefault="00F72778" w:rsidP="00DA6388">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AirDNA</w:t>
            </w:r>
          </w:p>
        </w:tc>
        <w:tc>
          <w:tcPr>
            <w:tcW w:w="1195" w:type="dxa"/>
            <w:tcBorders>
              <w:top w:val="nil"/>
              <w:left w:val="nil"/>
              <w:bottom w:val="single" w:sz="4" w:space="0" w:color="auto"/>
              <w:right w:val="single" w:sz="4" w:space="0" w:color="auto"/>
            </w:tcBorders>
            <w:noWrap/>
            <w:vAlign w:val="center"/>
            <w:hideMark/>
          </w:tcPr>
          <w:p w14:paraId="60B1C135"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92%</w:t>
            </w:r>
          </w:p>
        </w:tc>
        <w:tc>
          <w:tcPr>
            <w:tcW w:w="1170" w:type="dxa"/>
            <w:tcBorders>
              <w:top w:val="nil"/>
              <w:left w:val="nil"/>
              <w:bottom w:val="single" w:sz="4" w:space="0" w:color="auto"/>
              <w:right w:val="single" w:sz="4" w:space="0" w:color="auto"/>
            </w:tcBorders>
            <w:noWrap/>
            <w:vAlign w:val="center"/>
            <w:hideMark/>
          </w:tcPr>
          <w:p w14:paraId="1E4DF369"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8%</w:t>
            </w:r>
          </w:p>
        </w:tc>
        <w:tc>
          <w:tcPr>
            <w:tcW w:w="1170" w:type="dxa"/>
            <w:tcBorders>
              <w:top w:val="nil"/>
              <w:left w:val="nil"/>
              <w:bottom w:val="single" w:sz="4" w:space="0" w:color="auto"/>
              <w:right w:val="single" w:sz="4" w:space="0" w:color="auto"/>
            </w:tcBorders>
            <w:noWrap/>
            <w:vAlign w:val="center"/>
            <w:hideMark/>
          </w:tcPr>
          <w:p w14:paraId="2F7FBEDD"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842" w:type="dxa"/>
            <w:tcBorders>
              <w:top w:val="nil"/>
              <w:left w:val="nil"/>
              <w:bottom w:val="single" w:sz="4" w:space="0" w:color="auto"/>
              <w:right w:val="single" w:sz="4" w:space="0" w:color="auto"/>
            </w:tcBorders>
            <w:noWrap/>
            <w:vAlign w:val="center"/>
            <w:hideMark/>
          </w:tcPr>
          <w:p w14:paraId="52C9F535"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75%</w:t>
            </w:r>
          </w:p>
        </w:tc>
        <w:tc>
          <w:tcPr>
            <w:tcW w:w="1053" w:type="dxa"/>
            <w:tcBorders>
              <w:top w:val="nil"/>
              <w:left w:val="nil"/>
              <w:bottom w:val="single" w:sz="4" w:space="0" w:color="auto"/>
              <w:right w:val="single" w:sz="4" w:space="0" w:color="auto"/>
            </w:tcBorders>
            <w:noWrap/>
            <w:vAlign w:val="center"/>
            <w:hideMark/>
          </w:tcPr>
          <w:p w14:paraId="28D0D2B0"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18%</w:t>
            </w:r>
          </w:p>
        </w:tc>
        <w:tc>
          <w:tcPr>
            <w:tcW w:w="1170" w:type="dxa"/>
            <w:tcBorders>
              <w:top w:val="nil"/>
              <w:left w:val="nil"/>
              <w:bottom w:val="single" w:sz="4" w:space="0" w:color="auto"/>
              <w:right w:val="single" w:sz="4" w:space="0" w:color="auto"/>
            </w:tcBorders>
            <w:noWrap/>
            <w:vAlign w:val="center"/>
            <w:hideMark/>
          </w:tcPr>
          <w:p w14:paraId="6E2F7B02"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4%</w:t>
            </w:r>
          </w:p>
        </w:tc>
        <w:tc>
          <w:tcPr>
            <w:tcW w:w="1080" w:type="dxa"/>
            <w:tcBorders>
              <w:top w:val="nil"/>
              <w:left w:val="nil"/>
              <w:bottom w:val="single" w:sz="4" w:space="0" w:color="auto"/>
              <w:right w:val="single" w:sz="4" w:space="0" w:color="auto"/>
            </w:tcBorders>
            <w:noWrap/>
            <w:vAlign w:val="center"/>
            <w:hideMark/>
          </w:tcPr>
          <w:p w14:paraId="2E8EEA19"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885" w:type="dxa"/>
            <w:tcBorders>
              <w:top w:val="nil"/>
              <w:left w:val="nil"/>
              <w:bottom w:val="single" w:sz="4" w:space="0" w:color="auto"/>
              <w:right w:val="single" w:sz="4" w:space="0" w:color="auto"/>
            </w:tcBorders>
            <w:noWrap/>
            <w:vAlign w:val="center"/>
            <w:hideMark/>
          </w:tcPr>
          <w:p w14:paraId="3BB789FD"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900" w:type="dxa"/>
            <w:tcBorders>
              <w:top w:val="nil"/>
              <w:left w:val="nil"/>
              <w:bottom w:val="single" w:sz="4" w:space="0" w:color="auto"/>
              <w:right w:val="single" w:sz="4" w:space="0" w:color="auto"/>
            </w:tcBorders>
            <w:noWrap/>
            <w:vAlign w:val="center"/>
            <w:hideMark/>
          </w:tcPr>
          <w:p w14:paraId="0B357EA3"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990" w:type="dxa"/>
            <w:tcBorders>
              <w:top w:val="nil"/>
              <w:left w:val="nil"/>
              <w:bottom w:val="single" w:sz="4" w:space="0" w:color="auto"/>
              <w:right w:val="single" w:sz="4" w:space="0" w:color="auto"/>
            </w:tcBorders>
            <w:noWrap/>
            <w:vAlign w:val="center"/>
            <w:hideMark/>
          </w:tcPr>
          <w:p w14:paraId="1E47F0E2"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317" w:type="dxa"/>
            <w:tcBorders>
              <w:top w:val="nil"/>
              <w:left w:val="nil"/>
              <w:bottom w:val="single" w:sz="4" w:space="0" w:color="auto"/>
              <w:right w:val="single" w:sz="4" w:space="0" w:color="auto"/>
            </w:tcBorders>
            <w:noWrap/>
            <w:vAlign w:val="center"/>
            <w:hideMark/>
          </w:tcPr>
          <w:p w14:paraId="48F0D462"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r>
      <w:tr w:rsidR="00F72778" w:rsidRPr="0018092F" w14:paraId="7E5FADE1" w14:textId="77777777" w:rsidTr="0018092F">
        <w:trPr>
          <w:trHeight w:val="380"/>
        </w:trPr>
        <w:tc>
          <w:tcPr>
            <w:tcW w:w="1140" w:type="dxa"/>
            <w:tcBorders>
              <w:top w:val="nil"/>
              <w:left w:val="single" w:sz="4" w:space="0" w:color="auto"/>
              <w:bottom w:val="single" w:sz="4" w:space="0" w:color="auto"/>
              <w:right w:val="single" w:sz="4" w:space="0" w:color="auto"/>
            </w:tcBorders>
            <w:noWrap/>
            <w:vAlign w:val="bottom"/>
            <w:hideMark/>
          </w:tcPr>
          <w:p w14:paraId="4A3CA0A2" w14:textId="77777777" w:rsidR="00F72778" w:rsidRPr="0018092F" w:rsidRDefault="00F72778" w:rsidP="00DA6388">
            <w:pPr>
              <w:spacing w:before="0" w:after="0" w:line="240" w:lineRule="auto"/>
              <w:rPr>
                <w:rFonts w:asciiTheme="minorBidi" w:hAnsiTheme="minorBidi"/>
                <w:color w:val="000000"/>
                <w:sz w:val="18"/>
                <w:szCs w:val="18"/>
              </w:rPr>
            </w:pPr>
            <w:r w:rsidRPr="0018092F">
              <w:rPr>
                <w:rFonts w:asciiTheme="minorBidi" w:hAnsiTheme="minorBidi"/>
                <w:color w:val="000000"/>
                <w:sz w:val="18"/>
                <w:szCs w:val="18"/>
              </w:rPr>
              <w:t>AirROI</w:t>
            </w:r>
          </w:p>
        </w:tc>
        <w:tc>
          <w:tcPr>
            <w:tcW w:w="1195" w:type="dxa"/>
            <w:tcBorders>
              <w:top w:val="nil"/>
              <w:left w:val="nil"/>
              <w:bottom w:val="single" w:sz="4" w:space="0" w:color="auto"/>
              <w:right w:val="single" w:sz="4" w:space="0" w:color="auto"/>
            </w:tcBorders>
            <w:noWrap/>
            <w:vAlign w:val="center"/>
            <w:hideMark/>
          </w:tcPr>
          <w:p w14:paraId="12EB4663"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91%</w:t>
            </w:r>
          </w:p>
        </w:tc>
        <w:tc>
          <w:tcPr>
            <w:tcW w:w="1170" w:type="dxa"/>
            <w:tcBorders>
              <w:top w:val="nil"/>
              <w:left w:val="nil"/>
              <w:bottom w:val="single" w:sz="4" w:space="0" w:color="auto"/>
              <w:right w:val="single" w:sz="4" w:space="0" w:color="auto"/>
            </w:tcBorders>
            <w:noWrap/>
            <w:vAlign w:val="center"/>
            <w:hideMark/>
          </w:tcPr>
          <w:p w14:paraId="66F80E24"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9%</w:t>
            </w:r>
          </w:p>
        </w:tc>
        <w:tc>
          <w:tcPr>
            <w:tcW w:w="1170" w:type="dxa"/>
            <w:tcBorders>
              <w:top w:val="nil"/>
              <w:left w:val="nil"/>
              <w:bottom w:val="single" w:sz="4" w:space="0" w:color="auto"/>
              <w:right w:val="single" w:sz="4" w:space="0" w:color="auto"/>
            </w:tcBorders>
            <w:noWrap/>
            <w:vAlign w:val="center"/>
            <w:hideMark/>
          </w:tcPr>
          <w:p w14:paraId="55437489"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 </w:t>
            </w:r>
          </w:p>
        </w:tc>
        <w:tc>
          <w:tcPr>
            <w:tcW w:w="1842" w:type="dxa"/>
            <w:tcBorders>
              <w:top w:val="nil"/>
              <w:left w:val="nil"/>
              <w:bottom w:val="single" w:sz="4" w:space="0" w:color="auto"/>
              <w:right w:val="single" w:sz="4" w:space="0" w:color="auto"/>
            </w:tcBorders>
            <w:noWrap/>
            <w:vAlign w:val="center"/>
            <w:hideMark/>
          </w:tcPr>
          <w:p w14:paraId="17DA9678"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63%</w:t>
            </w:r>
          </w:p>
        </w:tc>
        <w:tc>
          <w:tcPr>
            <w:tcW w:w="1053" w:type="dxa"/>
            <w:tcBorders>
              <w:top w:val="nil"/>
              <w:left w:val="nil"/>
              <w:bottom w:val="single" w:sz="4" w:space="0" w:color="auto"/>
              <w:right w:val="single" w:sz="4" w:space="0" w:color="auto"/>
            </w:tcBorders>
            <w:noWrap/>
            <w:vAlign w:val="center"/>
            <w:hideMark/>
          </w:tcPr>
          <w:p w14:paraId="37CB463F"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18%</w:t>
            </w:r>
          </w:p>
        </w:tc>
        <w:tc>
          <w:tcPr>
            <w:tcW w:w="1170" w:type="dxa"/>
            <w:tcBorders>
              <w:top w:val="nil"/>
              <w:left w:val="nil"/>
              <w:bottom w:val="single" w:sz="4" w:space="0" w:color="auto"/>
              <w:right w:val="single" w:sz="4" w:space="0" w:color="auto"/>
            </w:tcBorders>
            <w:noWrap/>
            <w:vAlign w:val="center"/>
            <w:hideMark/>
          </w:tcPr>
          <w:p w14:paraId="0C52B1C3"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w:t>
            </w:r>
          </w:p>
        </w:tc>
        <w:tc>
          <w:tcPr>
            <w:tcW w:w="1080" w:type="dxa"/>
            <w:tcBorders>
              <w:top w:val="nil"/>
              <w:left w:val="nil"/>
              <w:bottom w:val="single" w:sz="4" w:space="0" w:color="auto"/>
              <w:right w:val="single" w:sz="4" w:space="0" w:color="auto"/>
            </w:tcBorders>
            <w:noWrap/>
            <w:vAlign w:val="center"/>
            <w:hideMark/>
          </w:tcPr>
          <w:p w14:paraId="5B7A3545"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w:t>
            </w:r>
          </w:p>
        </w:tc>
        <w:tc>
          <w:tcPr>
            <w:tcW w:w="885" w:type="dxa"/>
            <w:tcBorders>
              <w:top w:val="nil"/>
              <w:left w:val="nil"/>
              <w:bottom w:val="single" w:sz="4" w:space="0" w:color="auto"/>
              <w:right w:val="single" w:sz="4" w:space="0" w:color="auto"/>
            </w:tcBorders>
            <w:noWrap/>
            <w:vAlign w:val="center"/>
            <w:hideMark/>
          </w:tcPr>
          <w:p w14:paraId="7A5A7114"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32%</w:t>
            </w:r>
          </w:p>
        </w:tc>
        <w:tc>
          <w:tcPr>
            <w:tcW w:w="900" w:type="dxa"/>
            <w:tcBorders>
              <w:top w:val="nil"/>
              <w:left w:val="nil"/>
              <w:bottom w:val="single" w:sz="4" w:space="0" w:color="auto"/>
              <w:right w:val="single" w:sz="4" w:space="0" w:color="auto"/>
            </w:tcBorders>
            <w:noWrap/>
            <w:vAlign w:val="center"/>
            <w:hideMark/>
          </w:tcPr>
          <w:p w14:paraId="7AB1045F"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13%</w:t>
            </w:r>
          </w:p>
        </w:tc>
        <w:tc>
          <w:tcPr>
            <w:tcW w:w="990" w:type="dxa"/>
            <w:tcBorders>
              <w:top w:val="nil"/>
              <w:left w:val="nil"/>
              <w:bottom w:val="single" w:sz="4" w:space="0" w:color="auto"/>
              <w:right w:val="single" w:sz="4" w:space="0" w:color="auto"/>
            </w:tcBorders>
            <w:noWrap/>
            <w:vAlign w:val="center"/>
            <w:hideMark/>
          </w:tcPr>
          <w:p w14:paraId="7401B74E"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34%</w:t>
            </w:r>
          </w:p>
        </w:tc>
        <w:tc>
          <w:tcPr>
            <w:tcW w:w="1317" w:type="dxa"/>
            <w:tcBorders>
              <w:top w:val="nil"/>
              <w:left w:val="nil"/>
              <w:bottom w:val="single" w:sz="4" w:space="0" w:color="auto"/>
              <w:right w:val="single" w:sz="4" w:space="0" w:color="auto"/>
            </w:tcBorders>
            <w:noWrap/>
            <w:vAlign w:val="center"/>
            <w:hideMark/>
          </w:tcPr>
          <w:p w14:paraId="00E222DA" w14:textId="77777777" w:rsidR="00F72778" w:rsidRPr="0018092F" w:rsidRDefault="00F72778" w:rsidP="00DA6388">
            <w:pPr>
              <w:spacing w:before="0" w:after="0" w:line="240" w:lineRule="auto"/>
              <w:jc w:val="right"/>
              <w:rPr>
                <w:rFonts w:asciiTheme="minorBidi" w:hAnsiTheme="minorBidi"/>
                <w:color w:val="000000"/>
                <w:sz w:val="18"/>
                <w:szCs w:val="18"/>
              </w:rPr>
            </w:pPr>
            <w:r w:rsidRPr="0018092F">
              <w:rPr>
                <w:rFonts w:asciiTheme="minorBidi" w:hAnsiTheme="minorBidi"/>
                <w:color w:val="000000"/>
                <w:sz w:val="18"/>
                <w:szCs w:val="18"/>
              </w:rPr>
              <w:t>19%</w:t>
            </w:r>
          </w:p>
        </w:tc>
      </w:tr>
    </w:tbl>
    <w:p w14:paraId="62BB2C91" w14:textId="77777777" w:rsidR="00F72778" w:rsidRPr="00E14EBC" w:rsidRDefault="00F72778" w:rsidP="00F72778">
      <w:pPr>
        <w:pStyle w:val="BottomCaption"/>
      </w:pPr>
      <w:r w:rsidRPr="00E14EBC">
        <w:rPr>
          <w:rFonts w:ascii="Times New Roman" w:eastAsia="Times New Roman" w:hAnsi="Times New Roman" w:cs="Times New Roman"/>
        </w:rPr>
        <w:t xml:space="preserve"> </w:t>
      </w:r>
      <w:r w:rsidRPr="00E14EBC">
        <w:t>Allikad:</w:t>
      </w:r>
    </w:p>
    <w:p w14:paraId="259D2423" w14:textId="77777777" w:rsidR="00F72778" w:rsidRPr="00E14EBC" w:rsidRDefault="00F72778" w:rsidP="00F72778">
      <w:pPr>
        <w:pStyle w:val="BottomCaption"/>
      </w:pPr>
      <w:r w:rsidRPr="00E14EBC">
        <w:t>AirDNA.com (märts 2025) periood: märts 2024 – veebruar 2025</w:t>
      </w:r>
    </w:p>
    <w:p w14:paraId="49DF836C" w14:textId="389D2360" w:rsidR="00F72778" w:rsidRPr="00E14EBC" w:rsidRDefault="00F72778" w:rsidP="00F72778">
      <w:pPr>
        <w:pStyle w:val="BottomCaption"/>
      </w:pPr>
      <w:r w:rsidRPr="00E14EBC">
        <w:t xml:space="preserve">AirROI.com (märts 2025) periood: märts 2024 – veebruar 2025 </w:t>
      </w:r>
    </w:p>
    <w:p w14:paraId="27C56A97" w14:textId="338B2174" w:rsidR="00F72778" w:rsidRPr="00E14EBC" w:rsidRDefault="00F72778" w:rsidP="00F72778">
      <w:pPr>
        <w:pStyle w:val="BottomCaption"/>
      </w:pPr>
      <w:r w:rsidRPr="00E14EBC">
        <w:t>1Estate Kinnisvara OÜ juhi ja omaniku, kinnisvaramaakler Algis Libliku hinnang Tartu lühiajalise üüri turule (mai 2024 podcast).</w:t>
      </w:r>
    </w:p>
    <w:p w14:paraId="5F5C3C62" w14:textId="301AAEA7" w:rsidR="00F72778" w:rsidRPr="00E14EBC" w:rsidRDefault="00F72778" w:rsidP="00F72778">
      <w:pPr>
        <w:pStyle w:val="BottomCaption"/>
        <w:rPr>
          <w:szCs w:val="24"/>
        </w:rPr>
      </w:pPr>
      <w:r w:rsidRPr="00DE7DA8">
        <w:t xml:space="preserve">USD on ümber arvestatud eurodesse 2023 – 2024 keskmise kursiga 0,924. </w:t>
      </w:r>
      <w:hyperlink r:id="rId38" w:history="1">
        <w:r w:rsidR="00DE7DA8" w:rsidRPr="00DE7DA8">
          <w:t>Link</w:t>
        </w:r>
      </w:hyperlink>
    </w:p>
    <w:p w14:paraId="08DCABB3" w14:textId="3144EFC9" w:rsidR="00F72778" w:rsidRPr="00E14EBC" w:rsidRDefault="00F72778" w:rsidP="00F72778">
      <w:pPr>
        <w:spacing w:line="257" w:lineRule="auto"/>
      </w:pPr>
    </w:p>
    <w:p w14:paraId="3AB689DA" w14:textId="08D1836B" w:rsidR="00F72778" w:rsidRDefault="00F72778" w:rsidP="00F72778">
      <w:r w:rsidRPr="00E14EBC">
        <w:br w:type="page"/>
      </w:r>
    </w:p>
    <w:p w14:paraId="48203073" w14:textId="602A954B" w:rsidR="00F72778" w:rsidRPr="00E14EBC" w:rsidRDefault="00F72778" w:rsidP="00F72778">
      <w:pPr>
        <w:pStyle w:val="Caption"/>
      </w:pPr>
      <w:r w:rsidRPr="00E14EBC">
        <w:lastRenderedPageBreak/>
        <w:t xml:space="preserve">Tabel </w:t>
      </w:r>
      <w:r>
        <w:t>26</w:t>
      </w:r>
      <w:r w:rsidRPr="00E14EBC">
        <w:t>. Pärnu lühiajalise üüri teenuse pakkumise peamised näitajad 2023/2024</w:t>
      </w:r>
    </w:p>
    <w:tbl>
      <w:tblPr>
        <w:tblW w:w="0" w:type="auto"/>
        <w:tblLook w:val="04A0" w:firstRow="1" w:lastRow="0" w:firstColumn="1" w:lastColumn="0" w:noHBand="0" w:noVBand="1"/>
      </w:tblPr>
      <w:tblGrid>
        <w:gridCol w:w="817"/>
        <w:gridCol w:w="1537"/>
        <w:gridCol w:w="1470"/>
        <w:gridCol w:w="1499"/>
        <w:gridCol w:w="2321"/>
        <w:gridCol w:w="707"/>
        <w:gridCol w:w="1014"/>
        <w:gridCol w:w="1017"/>
        <w:gridCol w:w="677"/>
        <w:gridCol w:w="877"/>
        <w:gridCol w:w="977"/>
        <w:gridCol w:w="977"/>
      </w:tblGrid>
      <w:tr w:rsidR="00F72778" w:rsidRPr="00034DC5" w14:paraId="755EB74B" w14:textId="77777777" w:rsidTr="00056841">
        <w:trPr>
          <w:trHeight w:val="978"/>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0F8B4D0" w14:textId="77777777" w:rsidR="00F72778" w:rsidRPr="00034DC5" w:rsidRDefault="00F72778" w:rsidP="00D539E4">
            <w:pPr>
              <w:spacing w:before="0" w:after="0" w:line="240" w:lineRule="auto"/>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single" w:sz="4" w:space="0" w:color="auto"/>
              <w:left w:val="nil"/>
              <w:bottom w:val="single" w:sz="4" w:space="0" w:color="auto"/>
              <w:right w:val="single" w:sz="4" w:space="0" w:color="auto"/>
            </w:tcBorders>
            <w:vAlign w:val="center"/>
            <w:hideMark/>
          </w:tcPr>
          <w:p w14:paraId="503D5AF1" w14:textId="77777777" w:rsidR="00F72778" w:rsidRPr="00034DC5" w:rsidRDefault="00F72778" w:rsidP="00D539E4">
            <w:pPr>
              <w:spacing w:before="0" w:after="0" w:line="240" w:lineRule="auto"/>
              <w:jc w:val="center"/>
              <w:rPr>
                <w:rFonts w:asciiTheme="minorBidi" w:hAnsiTheme="minorBidi"/>
                <w:b/>
                <w:color w:val="000000"/>
                <w:sz w:val="18"/>
                <w:szCs w:val="18"/>
              </w:rPr>
            </w:pPr>
            <w:r w:rsidRPr="00034DC5">
              <w:rPr>
                <w:rFonts w:asciiTheme="minorBidi" w:hAnsiTheme="minorBidi"/>
                <w:b/>
                <w:color w:val="000000"/>
                <w:sz w:val="18"/>
                <w:szCs w:val="18"/>
              </w:rPr>
              <w:t>Aktiivsete kuulutuste arv</w:t>
            </w:r>
          </w:p>
        </w:tc>
        <w:tc>
          <w:tcPr>
            <w:tcW w:w="0" w:type="auto"/>
            <w:tcBorders>
              <w:top w:val="single" w:sz="4" w:space="0" w:color="auto"/>
              <w:left w:val="nil"/>
              <w:bottom w:val="single" w:sz="4" w:space="0" w:color="auto"/>
              <w:right w:val="single" w:sz="4" w:space="0" w:color="auto"/>
            </w:tcBorders>
            <w:vAlign w:val="center"/>
            <w:hideMark/>
          </w:tcPr>
          <w:p w14:paraId="5CD69F0C" w14:textId="77777777" w:rsidR="00F72778" w:rsidRPr="00034DC5" w:rsidRDefault="00F72778" w:rsidP="00D539E4">
            <w:pPr>
              <w:spacing w:before="0" w:after="0" w:line="240" w:lineRule="auto"/>
              <w:jc w:val="center"/>
              <w:rPr>
                <w:rFonts w:asciiTheme="minorBidi" w:hAnsiTheme="minorBidi"/>
                <w:b/>
                <w:color w:val="000000"/>
                <w:sz w:val="18"/>
                <w:szCs w:val="18"/>
              </w:rPr>
            </w:pPr>
            <w:r w:rsidRPr="00034DC5">
              <w:rPr>
                <w:rFonts w:asciiTheme="minorBidi" w:hAnsiTheme="minorBidi"/>
                <w:b/>
                <w:color w:val="000000"/>
                <w:sz w:val="18"/>
                <w:szCs w:val="18"/>
              </w:rPr>
              <w:t>Kõikide kuulutuste arv</w:t>
            </w:r>
          </w:p>
        </w:tc>
        <w:tc>
          <w:tcPr>
            <w:tcW w:w="0" w:type="auto"/>
            <w:tcBorders>
              <w:top w:val="single" w:sz="4" w:space="0" w:color="auto"/>
              <w:left w:val="nil"/>
              <w:bottom w:val="single" w:sz="4" w:space="0" w:color="auto"/>
              <w:right w:val="single" w:sz="4" w:space="0" w:color="auto"/>
            </w:tcBorders>
            <w:vAlign w:val="center"/>
            <w:hideMark/>
          </w:tcPr>
          <w:p w14:paraId="30A084D9" w14:textId="77777777" w:rsidR="00F72778" w:rsidRPr="00034DC5" w:rsidRDefault="00F72778" w:rsidP="00D539E4">
            <w:pPr>
              <w:spacing w:before="0" w:after="0" w:line="240" w:lineRule="auto"/>
              <w:jc w:val="center"/>
              <w:rPr>
                <w:rFonts w:asciiTheme="minorBidi" w:hAnsiTheme="minorBidi"/>
                <w:b/>
                <w:color w:val="000000"/>
                <w:sz w:val="18"/>
                <w:szCs w:val="18"/>
              </w:rPr>
            </w:pPr>
            <w:r w:rsidRPr="00034DC5">
              <w:rPr>
                <w:rFonts w:asciiTheme="minorBidi" w:hAnsiTheme="minorBidi"/>
                <w:b/>
                <w:color w:val="000000"/>
                <w:sz w:val="18"/>
                <w:szCs w:val="18"/>
              </w:rPr>
              <w:t>Majutuse keskm. kestus, p</w:t>
            </w:r>
          </w:p>
        </w:tc>
        <w:tc>
          <w:tcPr>
            <w:tcW w:w="0" w:type="auto"/>
            <w:tcBorders>
              <w:top w:val="single" w:sz="4" w:space="0" w:color="auto"/>
              <w:left w:val="nil"/>
              <w:bottom w:val="single" w:sz="4" w:space="0" w:color="auto"/>
              <w:right w:val="single" w:sz="4" w:space="0" w:color="auto"/>
            </w:tcBorders>
            <w:vAlign w:val="center"/>
            <w:hideMark/>
          </w:tcPr>
          <w:p w14:paraId="19154B7B" w14:textId="77777777" w:rsidR="00F72778" w:rsidRPr="00034DC5" w:rsidRDefault="00F72778" w:rsidP="00D539E4">
            <w:pPr>
              <w:spacing w:before="0" w:after="0" w:line="240" w:lineRule="auto"/>
              <w:jc w:val="center"/>
              <w:rPr>
                <w:rFonts w:asciiTheme="minorBidi" w:hAnsiTheme="minorBidi"/>
                <w:b/>
                <w:color w:val="000000"/>
                <w:sz w:val="18"/>
                <w:szCs w:val="18"/>
              </w:rPr>
            </w:pPr>
            <w:r w:rsidRPr="00034DC5">
              <w:rPr>
                <w:rFonts w:asciiTheme="minorBidi" w:hAnsiTheme="minorBidi"/>
                <w:b/>
                <w:color w:val="000000"/>
                <w:sz w:val="18"/>
                <w:szCs w:val="18"/>
              </w:rPr>
              <w:t>Keskm. müügitulu majutuskoha kohta aastas, €</w:t>
            </w:r>
          </w:p>
        </w:tc>
        <w:tc>
          <w:tcPr>
            <w:tcW w:w="0" w:type="auto"/>
            <w:tcBorders>
              <w:top w:val="single" w:sz="4" w:space="0" w:color="auto"/>
              <w:left w:val="nil"/>
              <w:bottom w:val="single" w:sz="4" w:space="0" w:color="auto"/>
              <w:right w:val="single" w:sz="4" w:space="0" w:color="auto"/>
            </w:tcBorders>
            <w:vAlign w:val="center"/>
            <w:hideMark/>
          </w:tcPr>
          <w:p w14:paraId="60FD6E92" w14:textId="77777777" w:rsidR="00F72778" w:rsidRPr="00034DC5" w:rsidRDefault="00F72778" w:rsidP="00D539E4">
            <w:pPr>
              <w:spacing w:before="0" w:after="0" w:line="240" w:lineRule="auto"/>
              <w:jc w:val="center"/>
              <w:rPr>
                <w:rFonts w:asciiTheme="minorBidi" w:hAnsiTheme="minorBidi"/>
                <w:b/>
                <w:color w:val="000000"/>
                <w:sz w:val="18"/>
                <w:szCs w:val="18"/>
              </w:rPr>
            </w:pPr>
            <w:r w:rsidRPr="00034DC5">
              <w:rPr>
                <w:rFonts w:asciiTheme="minorBidi" w:hAnsiTheme="minorBidi"/>
                <w:b/>
                <w:color w:val="000000"/>
                <w:sz w:val="18"/>
                <w:szCs w:val="18"/>
              </w:rPr>
              <w:t>ADR, €</w:t>
            </w:r>
          </w:p>
        </w:tc>
        <w:tc>
          <w:tcPr>
            <w:tcW w:w="0" w:type="auto"/>
            <w:tcBorders>
              <w:top w:val="single" w:sz="4" w:space="0" w:color="auto"/>
              <w:left w:val="nil"/>
              <w:bottom w:val="single" w:sz="4" w:space="0" w:color="auto"/>
              <w:right w:val="single" w:sz="4" w:space="0" w:color="auto"/>
            </w:tcBorders>
            <w:vAlign w:val="center"/>
            <w:hideMark/>
          </w:tcPr>
          <w:p w14:paraId="7587BC6A" w14:textId="77777777" w:rsidR="00F72778" w:rsidRPr="00034DC5" w:rsidRDefault="00F72778" w:rsidP="00D539E4">
            <w:pPr>
              <w:spacing w:before="0" w:after="0" w:line="240" w:lineRule="auto"/>
              <w:jc w:val="center"/>
              <w:rPr>
                <w:rFonts w:asciiTheme="minorBidi" w:hAnsiTheme="minorBidi"/>
                <w:b/>
                <w:color w:val="000000"/>
                <w:sz w:val="18"/>
                <w:szCs w:val="18"/>
              </w:rPr>
            </w:pPr>
            <w:r w:rsidRPr="00034DC5">
              <w:rPr>
                <w:rFonts w:asciiTheme="minorBidi" w:hAnsiTheme="minorBidi"/>
                <w:b/>
                <w:color w:val="000000"/>
                <w:sz w:val="18"/>
                <w:szCs w:val="18"/>
              </w:rPr>
              <w:t>RevPAR, €</w:t>
            </w:r>
          </w:p>
        </w:tc>
        <w:tc>
          <w:tcPr>
            <w:tcW w:w="0" w:type="auto"/>
            <w:tcBorders>
              <w:top w:val="single" w:sz="4" w:space="0" w:color="auto"/>
              <w:left w:val="nil"/>
              <w:bottom w:val="single" w:sz="4" w:space="0" w:color="auto"/>
              <w:right w:val="single" w:sz="4" w:space="0" w:color="auto"/>
            </w:tcBorders>
            <w:vAlign w:val="center"/>
            <w:hideMark/>
          </w:tcPr>
          <w:p w14:paraId="7354257E" w14:textId="77777777" w:rsidR="00F72778" w:rsidRPr="00034DC5" w:rsidRDefault="00F72778" w:rsidP="00D539E4">
            <w:pPr>
              <w:spacing w:before="0" w:after="0" w:line="240" w:lineRule="auto"/>
              <w:jc w:val="center"/>
              <w:rPr>
                <w:rFonts w:asciiTheme="minorBidi" w:hAnsiTheme="minorBidi"/>
                <w:b/>
                <w:color w:val="000000"/>
                <w:sz w:val="18"/>
                <w:szCs w:val="18"/>
              </w:rPr>
            </w:pPr>
            <w:r w:rsidRPr="00034DC5">
              <w:rPr>
                <w:rFonts w:asciiTheme="minorBidi" w:hAnsiTheme="minorBidi"/>
                <w:b/>
                <w:color w:val="000000"/>
                <w:sz w:val="18"/>
                <w:szCs w:val="18"/>
              </w:rPr>
              <w:t>Täitumus</w:t>
            </w:r>
          </w:p>
        </w:tc>
        <w:tc>
          <w:tcPr>
            <w:tcW w:w="0" w:type="auto"/>
            <w:gridSpan w:val="4"/>
            <w:tcBorders>
              <w:top w:val="single" w:sz="4" w:space="0" w:color="auto"/>
              <w:left w:val="nil"/>
              <w:bottom w:val="single" w:sz="4" w:space="0" w:color="auto"/>
              <w:right w:val="single" w:sz="4" w:space="0" w:color="auto"/>
            </w:tcBorders>
            <w:noWrap/>
            <w:vAlign w:val="center"/>
            <w:hideMark/>
          </w:tcPr>
          <w:p w14:paraId="7E2F3DB1" w14:textId="77777777" w:rsidR="00F72778" w:rsidRPr="00034DC5" w:rsidRDefault="00F72778" w:rsidP="00D539E4">
            <w:pPr>
              <w:spacing w:before="0" w:after="0" w:line="240" w:lineRule="auto"/>
              <w:jc w:val="center"/>
              <w:rPr>
                <w:rFonts w:asciiTheme="minorBidi" w:hAnsiTheme="minorBidi"/>
                <w:b/>
                <w:color w:val="000000"/>
                <w:sz w:val="18"/>
                <w:szCs w:val="18"/>
              </w:rPr>
            </w:pPr>
            <w:r w:rsidRPr="00034DC5">
              <w:rPr>
                <w:rFonts w:asciiTheme="minorBidi" w:hAnsiTheme="minorBidi"/>
                <w:b/>
                <w:color w:val="000000"/>
                <w:sz w:val="18"/>
                <w:szCs w:val="18"/>
              </w:rPr>
              <w:t>Saadavus, p</w:t>
            </w:r>
          </w:p>
        </w:tc>
      </w:tr>
      <w:tr w:rsidR="00F72778" w:rsidRPr="00034DC5" w14:paraId="5A25262E" w14:textId="77777777" w:rsidTr="00056841">
        <w:trPr>
          <w:trHeight w:val="380"/>
        </w:trPr>
        <w:tc>
          <w:tcPr>
            <w:tcW w:w="0" w:type="auto"/>
            <w:gridSpan w:val="8"/>
            <w:tcBorders>
              <w:top w:val="nil"/>
              <w:left w:val="single" w:sz="4" w:space="0" w:color="auto"/>
              <w:bottom w:val="single" w:sz="4" w:space="0" w:color="auto"/>
              <w:right w:val="single" w:sz="4" w:space="0" w:color="auto"/>
            </w:tcBorders>
            <w:noWrap/>
            <w:vAlign w:val="bottom"/>
            <w:hideMark/>
          </w:tcPr>
          <w:p w14:paraId="4DAAAC29" w14:textId="77777777" w:rsidR="00F72778" w:rsidRPr="00034DC5" w:rsidRDefault="00F72778" w:rsidP="00D539E4">
            <w:pPr>
              <w:spacing w:before="0" w:after="0" w:line="240" w:lineRule="auto"/>
              <w:rPr>
                <w:rFonts w:asciiTheme="minorBidi" w:hAnsiTheme="minorBidi"/>
                <w:color w:val="000000"/>
                <w:sz w:val="18"/>
                <w:szCs w:val="18"/>
              </w:rPr>
            </w:pPr>
          </w:p>
        </w:tc>
        <w:tc>
          <w:tcPr>
            <w:tcW w:w="0" w:type="auto"/>
            <w:tcBorders>
              <w:top w:val="nil"/>
              <w:left w:val="nil"/>
              <w:bottom w:val="single" w:sz="4" w:space="0" w:color="auto"/>
              <w:right w:val="single" w:sz="4" w:space="0" w:color="auto"/>
            </w:tcBorders>
            <w:noWrap/>
            <w:vAlign w:val="center"/>
            <w:hideMark/>
          </w:tcPr>
          <w:p w14:paraId="279B7ABC"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1 - 90</w:t>
            </w:r>
          </w:p>
        </w:tc>
        <w:tc>
          <w:tcPr>
            <w:tcW w:w="0" w:type="auto"/>
            <w:tcBorders>
              <w:top w:val="nil"/>
              <w:left w:val="nil"/>
              <w:bottom w:val="single" w:sz="4" w:space="0" w:color="auto"/>
              <w:right w:val="single" w:sz="4" w:space="0" w:color="auto"/>
            </w:tcBorders>
            <w:noWrap/>
            <w:vAlign w:val="center"/>
            <w:hideMark/>
          </w:tcPr>
          <w:p w14:paraId="12C04FF9"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91 - 180</w:t>
            </w:r>
          </w:p>
        </w:tc>
        <w:tc>
          <w:tcPr>
            <w:tcW w:w="0" w:type="auto"/>
            <w:tcBorders>
              <w:top w:val="nil"/>
              <w:left w:val="nil"/>
              <w:bottom w:val="single" w:sz="4" w:space="0" w:color="auto"/>
              <w:right w:val="single" w:sz="4" w:space="0" w:color="auto"/>
            </w:tcBorders>
            <w:noWrap/>
            <w:vAlign w:val="center"/>
            <w:hideMark/>
          </w:tcPr>
          <w:p w14:paraId="76C8B67B"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181 - 270</w:t>
            </w:r>
          </w:p>
        </w:tc>
        <w:tc>
          <w:tcPr>
            <w:tcW w:w="0" w:type="auto"/>
            <w:tcBorders>
              <w:top w:val="nil"/>
              <w:left w:val="nil"/>
              <w:bottom w:val="single" w:sz="4" w:space="0" w:color="auto"/>
              <w:right w:val="single" w:sz="4" w:space="0" w:color="auto"/>
            </w:tcBorders>
            <w:noWrap/>
            <w:vAlign w:val="center"/>
            <w:hideMark/>
          </w:tcPr>
          <w:p w14:paraId="0D0D8147"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271 - 365</w:t>
            </w:r>
          </w:p>
        </w:tc>
      </w:tr>
      <w:tr w:rsidR="00F72778" w:rsidRPr="00034DC5" w14:paraId="44652114" w14:textId="77777777" w:rsidTr="00056841">
        <w:trPr>
          <w:trHeight w:val="380"/>
        </w:trPr>
        <w:tc>
          <w:tcPr>
            <w:tcW w:w="0" w:type="auto"/>
            <w:tcBorders>
              <w:top w:val="nil"/>
              <w:left w:val="single" w:sz="4" w:space="0" w:color="auto"/>
              <w:bottom w:val="single" w:sz="4" w:space="0" w:color="auto"/>
              <w:right w:val="single" w:sz="4" w:space="0" w:color="auto"/>
            </w:tcBorders>
            <w:noWrap/>
            <w:vAlign w:val="bottom"/>
            <w:hideMark/>
          </w:tcPr>
          <w:p w14:paraId="5E36A50D" w14:textId="77777777" w:rsidR="00F72778" w:rsidRPr="00034DC5" w:rsidRDefault="00F72778" w:rsidP="00D539E4">
            <w:pPr>
              <w:spacing w:before="0" w:after="0" w:line="240" w:lineRule="auto"/>
              <w:rPr>
                <w:rFonts w:asciiTheme="minorBidi" w:hAnsiTheme="minorBidi"/>
                <w:color w:val="000000"/>
                <w:sz w:val="18"/>
                <w:szCs w:val="18"/>
              </w:rPr>
            </w:pPr>
            <w:r w:rsidRPr="00034DC5">
              <w:rPr>
                <w:rFonts w:asciiTheme="minorBidi" w:hAnsiTheme="minorBidi"/>
                <w:color w:val="000000"/>
                <w:sz w:val="18"/>
                <w:szCs w:val="18"/>
              </w:rPr>
              <w:t>AirDNA</w:t>
            </w:r>
          </w:p>
        </w:tc>
        <w:tc>
          <w:tcPr>
            <w:tcW w:w="0" w:type="auto"/>
            <w:tcBorders>
              <w:top w:val="nil"/>
              <w:left w:val="nil"/>
              <w:bottom w:val="single" w:sz="4" w:space="0" w:color="auto"/>
              <w:right w:val="single" w:sz="4" w:space="0" w:color="auto"/>
            </w:tcBorders>
            <w:noWrap/>
            <w:vAlign w:val="center"/>
            <w:hideMark/>
          </w:tcPr>
          <w:p w14:paraId="7166C49A"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208</w:t>
            </w:r>
          </w:p>
        </w:tc>
        <w:tc>
          <w:tcPr>
            <w:tcW w:w="0" w:type="auto"/>
            <w:tcBorders>
              <w:top w:val="nil"/>
              <w:left w:val="nil"/>
              <w:bottom w:val="single" w:sz="4" w:space="0" w:color="auto"/>
              <w:right w:val="single" w:sz="4" w:space="0" w:color="auto"/>
            </w:tcBorders>
            <w:noWrap/>
            <w:vAlign w:val="center"/>
            <w:hideMark/>
          </w:tcPr>
          <w:p w14:paraId="0E9142D5"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773</w:t>
            </w:r>
          </w:p>
        </w:tc>
        <w:tc>
          <w:tcPr>
            <w:tcW w:w="0" w:type="auto"/>
            <w:tcBorders>
              <w:top w:val="nil"/>
              <w:left w:val="nil"/>
              <w:bottom w:val="single" w:sz="4" w:space="0" w:color="auto"/>
              <w:right w:val="single" w:sz="4" w:space="0" w:color="auto"/>
            </w:tcBorders>
            <w:noWrap/>
            <w:vAlign w:val="center"/>
            <w:hideMark/>
          </w:tcPr>
          <w:p w14:paraId="75BD94A8"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04FCE27A" w14:textId="2C62D64E"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10</w:t>
            </w:r>
            <w:r w:rsidR="00153073">
              <w:rPr>
                <w:rFonts w:asciiTheme="minorBidi" w:hAnsiTheme="minorBidi"/>
                <w:color w:val="000000"/>
                <w:sz w:val="18"/>
                <w:szCs w:val="18"/>
              </w:rPr>
              <w:t xml:space="preserve"> </w:t>
            </w:r>
            <w:r w:rsidRPr="00034DC5">
              <w:rPr>
                <w:rFonts w:asciiTheme="minorBidi" w:hAnsiTheme="minorBidi"/>
                <w:color w:val="000000"/>
                <w:sz w:val="18"/>
                <w:szCs w:val="18"/>
              </w:rPr>
              <w:t xml:space="preserve">400 </w:t>
            </w:r>
          </w:p>
        </w:tc>
        <w:tc>
          <w:tcPr>
            <w:tcW w:w="0" w:type="auto"/>
            <w:tcBorders>
              <w:top w:val="nil"/>
              <w:left w:val="nil"/>
              <w:bottom w:val="single" w:sz="4" w:space="0" w:color="auto"/>
              <w:right w:val="single" w:sz="4" w:space="0" w:color="auto"/>
            </w:tcBorders>
            <w:noWrap/>
            <w:vAlign w:val="center"/>
            <w:hideMark/>
          </w:tcPr>
          <w:p w14:paraId="74891618"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107</w:t>
            </w:r>
          </w:p>
        </w:tc>
        <w:tc>
          <w:tcPr>
            <w:tcW w:w="0" w:type="auto"/>
            <w:tcBorders>
              <w:top w:val="nil"/>
              <w:left w:val="nil"/>
              <w:bottom w:val="single" w:sz="4" w:space="0" w:color="auto"/>
              <w:right w:val="single" w:sz="4" w:space="0" w:color="auto"/>
            </w:tcBorders>
            <w:noWrap/>
            <w:vAlign w:val="center"/>
            <w:hideMark/>
          </w:tcPr>
          <w:p w14:paraId="4A218443"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45</w:t>
            </w:r>
          </w:p>
        </w:tc>
        <w:tc>
          <w:tcPr>
            <w:tcW w:w="0" w:type="auto"/>
            <w:tcBorders>
              <w:top w:val="nil"/>
              <w:left w:val="nil"/>
              <w:bottom w:val="single" w:sz="4" w:space="0" w:color="auto"/>
              <w:right w:val="single" w:sz="4" w:space="0" w:color="auto"/>
            </w:tcBorders>
            <w:noWrap/>
            <w:vAlign w:val="center"/>
            <w:hideMark/>
          </w:tcPr>
          <w:p w14:paraId="02DBEDC3"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44%</w:t>
            </w:r>
          </w:p>
        </w:tc>
        <w:tc>
          <w:tcPr>
            <w:tcW w:w="0" w:type="auto"/>
            <w:tcBorders>
              <w:top w:val="nil"/>
              <w:left w:val="nil"/>
              <w:bottom w:val="single" w:sz="4" w:space="0" w:color="auto"/>
              <w:right w:val="single" w:sz="4" w:space="0" w:color="auto"/>
            </w:tcBorders>
            <w:noWrap/>
            <w:vAlign w:val="center"/>
            <w:hideMark/>
          </w:tcPr>
          <w:p w14:paraId="4A3D0923"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47%</w:t>
            </w:r>
          </w:p>
        </w:tc>
        <w:tc>
          <w:tcPr>
            <w:tcW w:w="0" w:type="auto"/>
            <w:tcBorders>
              <w:top w:val="nil"/>
              <w:left w:val="nil"/>
              <w:bottom w:val="single" w:sz="4" w:space="0" w:color="auto"/>
              <w:right w:val="single" w:sz="4" w:space="0" w:color="auto"/>
            </w:tcBorders>
            <w:noWrap/>
            <w:vAlign w:val="center"/>
            <w:hideMark/>
          </w:tcPr>
          <w:p w14:paraId="22945F82"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29%</w:t>
            </w:r>
          </w:p>
        </w:tc>
        <w:tc>
          <w:tcPr>
            <w:tcW w:w="0" w:type="auto"/>
            <w:tcBorders>
              <w:top w:val="nil"/>
              <w:left w:val="nil"/>
              <w:bottom w:val="single" w:sz="4" w:space="0" w:color="auto"/>
              <w:right w:val="single" w:sz="4" w:space="0" w:color="auto"/>
            </w:tcBorders>
            <w:noWrap/>
            <w:vAlign w:val="center"/>
            <w:hideMark/>
          </w:tcPr>
          <w:p w14:paraId="3120B5E6"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13%</w:t>
            </w:r>
          </w:p>
        </w:tc>
        <w:tc>
          <w:tcPr>
            <w:tcW w:w="0" w:type="auto"/>
            <w:tcBorders>
              <w:top w:val="nil"/>
              <w:left w:val="nil"/>
              <w:bottom w:val="single" w:sz="4" w:space="0" w:color="auto"/>
              <w:right w:val="single" w:sz="4" w:space="0" w:color="auto"/>
            </w:tcBorders>
            <w:noWrap/>
            <w:vAlign w:val="center"/>
            <w:hideMark/>
          </w:tcPr>
          <w:p w14:paraId="4EEF10D2"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11%</w:t>
            </w:r>
          </w:p>
        </w:tc>
      </w:tr>
      <w:tr w:rsidR="00F72778" w:rsidRPr="00034DC5" w14:paraId="07F2AA21" w14:textId="77777777" w:rsidTr="00056841">
        <w:trPr>
          <w:trHeight w:val="380"/>
        </w:trPr>
        <w:tc>
          <w:tcPr>
            <w:tcW w:w="0" w:type="auto"/>
            <w:tcBorders>
              <w:top w:val="nil"/>
              <w:left w:val="single" w:sz="4" w:space="0" w:color="auto"/>
              <w:bottom w:val="single" w:sz="4" w:space="0" w:color="auto"/>
              <w:right w:val="single" w:sz="4" w:space="0" w:color="auto"/>
            </w:tcBorders>
            <w:noWrap/>
            <w:vAlign w:val="bottom"/>
            <w:hideMark/>
          </w:tcPr>
          <w:p w14:paraId="76B2DF78" w14:textId="77777777" w:rsidR="00F72778" w:rsidRPr="00034DC5" w:rsidRDefault="00F72778" w:rsidP="00D539E4">
            <w:pPr>
              <w:spacing w:before="0" w:after="0" w:line="240" w:lineRule="auto"/>
              <w:rPr>
                <w:rFonts w:asciiTheme="minorBidi" w:hAnsiTheme="minorBidi"/>
                <w:color w:val="000000"/>
                <w:sz w:val="18"/>
                <w:szCs w:val="18"/>
              </w:rPr>
            </w:pPr>
            <w:r w:rsidRPr="00034DC5">
              <w:rPr>
                <w:rFonts w:asciiTheme="minorBidi" w:hAnsiTheme="minorBidi"/>
                <w:color w:val="000000"/>
                <w:sz w:val="18"/>
                <w:szCs w:val="18"/>
              </w:rPr>
              <w:t>AirROI</w:t>
            </w:r>
          </w:p>
        </w:tc>
        <w:tc>
          <w:tcPr>
            <w:tcW w:w="0" w:type="auto"/>
            <w:tcBorders>
              <w:top w:val="nil"/>
              <w:left w:val="nil"/>
              <w:bottom w:val="single" w:sz="4" w:space="0" w:color="auto"/>
              <w:right w:val="single" w:sz="4" w:space="0" w:color="auto"/>
            </w:tcBorders>
            <w:noWrap/>
            <w:vAlign w:val="center"/>
            <w:hideMark/>
          </w:tcPr>
          <w:p w14:paraId="4733EB51"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465</w:t>
            </w:r>
          </w:p>
        </w:tc>
        <w:tc>
          <w:tcPr>
            <w:tcW w:w="0" w:type="auto"/>
            <w:tcBorders>
              <w:top w:val="nil"/>
              <w:left w:val="nil"/>
              <w:bottom w:val="single" w:sz="4" w:space="0" w:color="auto"/>
              <w:right w:val="single" w:sz="4" w:space="0" w:color="auto"/>
            </w:tcBorders>
            <w:noWrap/>
            <w:vAlign w:val="center"/>
            <w:hideMark/>
          </w:tcPr>
          <w:p w14:paraId="2DD74B7B"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37778B58"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00298AC3" w14:textId="120943EC"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8</w:t>
            </w:r>
            <w:r w:rsidR="00153073">
              <w:rPr>
                <w:rFonts w:asciiTheme="minorBidi" w:hAnsiTheme="minorBidi"/>
                <w:color w:val="000000"/>
                <w:sz w:val="18"/>
                <w:szCs w:val="18"/>
              </w:rPr>
              <w:t xml:space="preserve"> </w:t>
            </w:r>
            <w:r w:rsidRPr="00034DC5">
              <w:rPr>
                <w:rFonts w:asciiTheme="minorBidi" w:hAnsiTheme="minorBidi"/>
                <w:color w:val="000000"/>
                <w:sz w:val="18"/>
                <w:szCs w:val="18"/>
              </w:rPr>
              <w:t xml:space="preserve">238 </w:t>
            </w:r>
          </w:p>
        </w:tc>
        <w:tc>
          <w:tcPr>
            <w:tcW w:w="0" w:type="auto"/>
            <w:tcBorders>
              <w:top w:val="nil"/>
              <w:left w:val="nil"/>
              <w:bottom w:val="single" w:sz="4" w:space="0" w:color="auto"/>
              <w:right w:val="single" w:sz="4" w:space="0" w:color="auto"/>
            </w:tcBorders>
            <w:noWrap/>
            <w:vAlign w:val="center"/>
            <w:hideMark/>
          </w:tcPr>
          <w:p w14:paraId="54BCFB82"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105</w:t>
            </w:r>
          </w:p>
        </w:tc>
        <w:tc>
          <w:tcPr>
            <w:tcW w:w="0" w:type="auto"/>
            <w:tcBorders>
              <w:top w:val="nil"/>
              <w:left w:val="nil"/>
              <w:bottom w:val="single" w:sz="4" w:space="0" w:color="auto"/>
              <w:right w:val="single" w:sz="4" w:space="0" w:color="auto"/>
            </w:tcBorders>
            <w:noWrap/>
            <w:vAlign w:val="center"/>
            <w:hideMark/>
          </w:tcPr>
          <w:p w14:paraId="71098B8F"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163BD34E"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37%</w:t>
            </w:r>
          </w:p>
        </w:tc>
        <w:tc>
          <w:tcPr>
            <w:tcW w:w="0" w:type="auto"/>
            <w:tcBorders>
              <w:top w:val="nil"/>
              <w:left w:val="nil"/>
              <w:bottom w:val="single" w:sz="4" w:space="0" w:color="auto"/>
              <w:right w:val="single" w:sz="4" w:space="0" w:color="auto"/>
            </w:tcBorders>
            <w:noWrap/>
            <w:vAlign w:val="center"/>
            <w:hideMark/>
          </w:tcPr>
          <w:p w14:paraId="10260F9C"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1F3196F6"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7%</w:t>
            </w:r>
          </w:p>
        </w:tc>
        <w:tc>
          <w:tcPr>
            <w:tcW w:w="0" w:type="auto"/>
            <w:tcBorders>
              <w:top w:val="nil"/>
              <w:left w:val="nil"/>
              <w:bottom w:val="single" w:sz="4" w:space="0" w:color="auto"/>
              <w:right w:val="single" w:sz="4" w:space="0" w:color="auto"/>
            </w:tcBorders>
            <w:noWrap/>
            <w:vAlign w:val="center"/>
            <w:hideMark/>
          </w:tcPr>
          <w:p w14:paraId="4C791330"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25%</w:t>
            </w:r>
          </w:p>
        </w:tc>
        <w:tc>
          <w:tcPr>
            <w:tcW w:w="0" w:type="auto"/>
            <w:tcBorders>
              <w:top w:val="nil"/>
              <w:left w:val="nil"/>
              <w:bottom w:val="single" w:sz="4" w:space="0" w:color="auto"/>
              <w:right w:val="single" w:sz="4" w:space="0" w:color="auto"/>
            </w:tcBorders>
            <w:noWrap/>
            <w:vAlign w:val="center"/>
            <w:hideMark/>
          </w:tcPr>
          <w:p w14:paraId="5BE1FEA3"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68%</w:t>
            </w:r>
          </w:p>
        </w:tc>
      </w:tr>
      <w:tr w:rsidR="00F72778" w:rsidRPr="00034DC5" w14:paraId="053F926D" w14:textId="77777777" w:rsidTr="00056841">
        <w:trPr>
          <w:trHeight w:val="380"/>
        </w:trPr>
        <w:tc>
          <w:tcPr>
            <w:tcW w:w="0" w:type="auto"/>
            <w:tcBorders>
              <w:top w:val="nil"/>
              <w:left w:val="single" w:sz="4" w:space="0" w:color="auto"/>
              <w:bottom w:val="single" w:sz="4" w:space="0" w:color="auto"/>
              <w:right w:val="single" w:sz="4" w:space="0" w:color="auto"/>
            </w:tcBorders>
            <w:noWrap/>
            <w:vAlign w:val="bottom"/>
            <w:hideMark/>
          </w:tcPr>
          <w:p w14:paraId="03757195" w14:textId="77777777" w:rsidR="00F72778" w:rsidRPr="00034DC5" w:rsidRDefault="00F72778" w:rsidP="00D539E4">
            <w:pPr>
              <w:spacing w:before="0" w:after="0" w:line="240" w:lineRule="auto"/>
              <w:rPr>
                <w:rFonts w:asciiTheme="minorBidi" w:hAnsiTheme="minorBidi"/>
                <w:color w:val="000000"/>
                <w:sz w:val="18"/>
                <w:szCs w:val="18"/>
              </w:rPr>
            </w:pPr>
            <w:r w:rsidRPr="00034DC5">
              <w:rPr>
                <w:rFonts w:asciiTheme="minorBidi" w:hAnsiTheme="minorBidi"/>
                <w:color w:val="000000"/>
                <w:sz w:val="18"/>
                <w:szCs w:val="18"/>
              </w:rPr>
              <w:t>A.Liblik</w:t>
            </w:r>
          </w:p>
        </w:tc>
        <w:tc>
          <w:tcPr>
            <w:tcW w:w="0" w:type="auto"/>
            <w:tcBorders>
              <w:top w:val="nil"/>
              <w:left w:val="nil"/>
              <w:bottom w:val="single" w:sz="4" w:space="0" w:color="auto"/>
              <w:right w:val="single" w:sz="4" w:space="0" w:color="auto"/>
            </w:tcBorders>
            <w:noWrap/>
            <w:vAlign w:val="center"/>
            <w:hideMark/>
          </w:tcPr>
          <w:p w14:paraId="4B932071"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66507B8C"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739</w:t>
            </w:r>
          </w:p>
        </w:tc>
        <w:tc>
          <w:tcPr>
            <w:tcW w:w="0" w:type="auto"/>
            <w:tcBorders>
              <w:top w:val="nil"/>
              <w:left w:val="nil"/>
              <w:bottom w:val="single" w:sz="4" w:space="0" w:color="auto"/>
              <w:right w:val="single" w:sz="4" w:space="0" w:color="auto"/>
            </w:tcBorders>
            <w:noWrap/>
            <w:vAlign w:val="center"/>
            <w:hideMark/>
          </w:tcPr>
          <w:p w14:paraId="38A0844C"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3</w:t>
            </w:r>
          </w:p>
        </w:tc>
        <w:tc>
          <w:tcPr>
            <w:tcW w:w="0" w:type="auto"/>
            <w:tcBorders>
              <w:top w:val="nil"/>
              <w:left w:val="nil"/>
              <w:bottom w:val="single" w:sz="4" w:space="0" w:color="auto"/>
              <w:right w:val="single" w:sz="4" w:space="0" w:color="auto"/>
            </w:tcBorders>
            <w:noWrap/>
            <w:vAlign w:val="center"/>
            <w:hideMark/>
          </w:tcPr>
          <w:p w14:paraId="01003AAB" w14:textId="1A0FF9D4"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9</w:t>
            </w:r>
            <w:r w:rsidR="00153073">
              <w:rPr>
                <w:rFonts w:asciiTheme="minorBidi" w:hAnsiTheme="minorBidi"/>
                <w:color w:val="000000"/>
                <w:sz w:val="18"/>
                <w:szCs w:val="18"/>
              </w:rPr>
              <w:t xml:space="preserve"> </w:t>
            </w:r>
            <w:r w:rsidRPr="00034DC5">
              <w:rPr>
                <w:rFonts w:asciiTheme="minorBidi" w:hAnsiTheme="minorBidi"/>
                <w:color w:val="000000"/>
                <w:sz w:val="18"/>
                <w:szCs w:val="18"/>
              </w:rPr>
              <w:t xml:space="preserve">700 </w:t>
            </w:r>
          </w:p>
        </w:tc>
        <w:tc>
          <w:tcPr>
            <w:tcW w:w="0" w:type="auto"/>
            <w:tcBorders>
              <w:top w:val="nil"/>
              <w:left w:val="nil"/>
              <w:bottom w:val="single" w:sz="4" w:space="0" w:color="auto"/>
              <w:right w:val="single" w:sz="4" w:space="0" w:color="auto"/>
            </w:tcBorders>
            <w:noWrap/>
            <w:vAlign w:val="center"/>
            <w:hideMark/>
          </w:tcPr>
          <w:p w14:paraId="00D76A8C"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631F27B8"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3D439F49"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44%</w:t>
            </w:r>
          </w:p>
        </w:tc>
        <w:tc>
          <w:tcPr>
            <w:tcW w:w="0" w:type="auto"/>
            <w:tcBorders>
              <w:top w:val="nil"/>
              <w:left w:val="nil"/>
              <w:bottom w:val="single" w:sz="4" w:space="0" w:color="auto"/>
              <w:right w:val="single" w:sz="4" w:space="0" w:color="auto"/>
            </w:tcBorders>
            <w:noWrap/>
            <w:vAlign w:val="center"/>
            <w:hideMark/>
          </w:tcPr>
          <w:p w14:paraId="66429227"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22EDCBD2"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17B0EF1D"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79D1EB5F"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r>
      <w:tr w:rsidR="00F72778" w:rsidRPr="00034DC5" w14:paraId="412C7FFC" w14:textId="77777777" w:rsidTr="00056841">
        <w:trPr>
          <w:trHeight w:val="288"/>
        </w:trPr>
        <w:tc>
          <w:tcPr>
            <w:tcW w:w="0" w:type="auto"/>
            <w:gridSpan w:val="12"/>
            <w:tcBorders>
              <w:top w:val="nil"/>
              <w:left w:val="single" w:sz="4" w:space="0" w:color="auto"/>
              <w:bottom w:val="single" w:sz="4" w:space="0" w:color="auto"/>
              <w:right w:val="single" w:sz="4" w:space="0" w:color="auto"/>
            </w:tcBorders>
            <w:noWrap/>
            <w:vAlign w:val="bottom"/>
            <w:hideMark/>
          </w:tcPr>
          <w:p w14:paraId="72E11D43" w14:textId="77777777" w:rsidR="00F72778" w:rsidRPr="00034DC5" w:rsidRDefault="00F72778" w:rsidP="00D539E4">
            <w:pPr>
              <w:spacing w:before="0" w:after="0" w:line="240" w:lineRule="auto"/>
              <w:rPr>
                <w:rFonts w:asciiTheme="minorBidi" w:hAnsiTheme="minorBidi"/>
                <w:color w:val="000000"/>
                <w:sz w:val="18"/>
                <w:szCs w:val="18"/>
              </w:rPr>
            </w:pPr>
          </w:p>
        </w:tc>
      </w:tr>
      <w:tr w:rsidR="00F72778" w:rsidRPr="00034DC5" w14:paraId="407418D8" w14:textId="77777777" w:rsidTr="00056841">
        <w:trPr>
          <w:trHeight w:val="740"/>
        </w:trPr>
        <w:tc>
          <w:tcPr>
            <w:tcW w:w="0" w:type="auto"/>
            <w:tcBorders>
              <w:top w:val="nil"/>
              <w:left w:val="single" w:sz="4" w:space="0" w:color="auto"/>
              <w:bottom w:val="single" w:sz="4" w:space="0" w:color="auto"/>
              <w:right w:val="single" w:sz="4" w:space="0" w:color="auto"/>
            </w:tcBorders>
            <w:noWrap/>
            <w:vAlign w:val="bottom"/>
            <w:hideMark/>
          </w:tcPr>
          <w:p w14:paraId="6336CF12" w14:textId="77777777" w:rsidR="00F72778" w:rsidRPr="00034DC5" w:rsidRDefault="00F72778" w:rsidP="00D539E4">
            <w:pPr>
              <w:spacing w:before="0" w:after="0" w:line="240" w:lineRule="auto"/>
              <w:rPr>
                <w:rFonts w:asciiTheme="minorBidi" w:hAnsiTheme="minorBidi"/>
                <w:color w:val="000000"/>
                <w:sz w:val="18"/>
                <w:szCs w:val="18"/>
              </w:rPr>
            </w:pPr>
            <w:r w:rsidRPr="00034DC5">
              <w:rPr>
                <w:rFonts w:asciiTheme="minorBidi" w:hAnsiTheme="minorBidi"/>
                <w:color w:val="000000"/>
                <w:sz w:val="18"/>
                <w:szCs w:val="18"/>
              </w:rPr>
              <w:t> </w:t>
            </w:r>
          </w:p>
        </w:tc>
        <w:tc>
          <w:tcPr>
            <w:tcW w:w="0" w:type="auto"/>
            <w:gridSpan w:val="3"/>
            <w:tcBorders>
              <w:top w:val="single" w:sz="4" w:space="0" w:color="auto"/>
              <w:left w:val="nil"/>
              <w:bottom w:val="single" w:sz="4" w:space="0" w:color="auto"/>
              <w:right w:val="single" w:sz="4" w:space="0" w:color="auto"/>
            </w:tcBorders>
            <w:vAlign w:val="center"/>
            <w:hideMark/>
          </w:tcPr>
          <w:p w14:paraId="48B2CE4A" w14:textId="77777777" w:rsidR="00F72778" w:rsidRPr="00034DC5" w:rsidRDefault="00F72778" w:rsidP="00D539E4">
            <w:pPr>
              <w:spacing w:before="0" w:after="0" w:line="240" w:lineRule="auto"/>
              <w:jc w:val="center"/>
              <w:rPr>
                <w:rFonts w:asciiTheme="minorBidi" w:hAnsiTheme="minorBidi"/>
                <w:b/>
                <w:color w:val="000000"/>
                <w:sz w:val="18"/>
                <w:szCs w:val="18"/>
              </w:rPr>
            </w:pPr>
            <w:r w:rsidRPr="00034DC5">
              <w:rPr>
                <w:rFonts w:asciiTheme="minorBidi" w:hAnsiTheme="minorBidi"/>
                <w:b/>
                <w:color w:val="000000"/>
                <w:sz w:val="18"/>
                <w:szCs w:val="18"/>
              </w:rPr>
              <w:t>Välja üüritakse</w:t>
            </w:r>
          </w:p>
        </w:tc>
        <w:tc>
          <w:tcPr>
            <w:tcW w:w="0" w:type="auto"/>
            <w:gridSpan w:val="3"/>
            <w:tcBorders>
              <w:top w:val="single" w:sz="4" w:space="0" w:color="auto"/>
              <w:left w:val="nil"/>
              <w:bottom w:val="single" w:sz="4" w:space="0" w:color="auto"/>
              <w:right w:val="single" w:sz="4" w:space="0" w:color="auto"/>
            </w:tcBorders>
            <w:vAlign w:val="center"/>
            <w:hideMark/>
          </w:tcPr>
          <w:p w14:paraId="0EA0C42D" w14:textId="77777777" w:rsidR="00F72778" w:rsidRPr="00034DC5" w:rsidRDefault="00F72778" w:rsidP="00D539E4">
            <w:pPr>
              <w:spacing w:before="0" w:after="0" w:line="240" w:lineRule="auto"/>
              <w:jc w:val="center"/>
              <w:rPr>
                <w:rFonts w:asciiTheme="minorBidi" w:hAnsiTheme="minorBidi"/>
                <w:b/>
                <w:color w:val="000000"/>
                <w:sz w:val="18"/>
                <w:szCs w:val="18"/>
              </w:rPr>
            </w:pPr>
            <w:r w:rsidRPr="00034DC5">
              <w:rPr>
                <w:rFonts w:asciiTheme="minorBidi" w:hAnsiTheme="minorBidi"/>
                <w:b/>
                <w:color w:val="000000"/>
                <w:sz w:val="18"/>
                <w:szCs w:val="18"/>
              </w:rPr>
              <w:t>Magamistubade arv</w:t>
            </w:r>
          </w:p>
        </w:tc>
        <w:tc>
          <w:tcPr>
            <w:tcW w:w="0" w:type="auto"/>
            <w:gridSpan w:val="5"/>
            <w:tcBorders>
              <w:top w:val="single" w:sz="4" w:space="0" w:color="auto"/>
              <w:left w:val="nil"/>
              <w:bottom w:val="single" w:sz="4" w:space="0" w:color="auto"/>
              <w:right w:val="single" w:sz="4" w:space="0" w:color="auto"/>
            </w:tcBorders>
            <w:vAlign w:val="center"/>
            <w:hideMark/>
          </w:tcPr>
          <w:p w14:paraId="4892BD47" w14:textId="77777777" w:rsidR="00F72778" w:rsidRPr="00034DC5" w:rsidRDefault="00F72778" w:rsidP="00D539E4">
            <w:pPr>
              <w:spacing w:before="0" w:after="0" w:line="240" w:lineRule="auto"/>
              <w:jc w:val="center"/>
              <w:rPr>
                <w:rFonts w:asciiTheme="minorBidi" w:hAnsiTheme="minorBidi"/>
                <w:b/>
                <w:color w:val="000000"/>
                <w:sz w:val="18"/>
                <w:szCs w:val="18"/>
              </w:rPr>
            </w:pPr>
            <w:r w:rsidRPr="00034DC5">
              <w:rPr>
                <w:rFonts w:asciiTheme="minorBidi" w:hAnsiTheme="minorBidi"/>
                <w:b/>
                <w:color w:val="000000"/>
                <w:sz w:val="18"/>
                <w:szCs w:val="18"/>
              </w:rPr>
              <w:t>Maks. külaliste arv</w:t>
            </w:r>
          </w:p>
        </w:tc>
      </w:tr>
      <w:tr w:rsidR="00F72778" w:rsidRPr="00034DC5" w14:paraId="01A9F2E7" w14:textId="77777777" w:rsidTr="00056841">
        <w:trPr>
          <w:trHeight w:val="800"/>
        </w:trPr>
        <w:tc>
          <w:tcPr>
            <w:tcW w:w="0" w:type="auto"/>
            <w:tcBorders>
              <w:top w:val="nil"/>
              <w:left w:val="single" w:sz="4" w:space="0" w:color="auto"/>
              <w:bottom w:val="single" w:sz="4" w:space="0" w:color="auto"/>
              <w:right w:val="single" w:sz="4" w:space="0" w:color="auto"/>
            </w:tcBorders>
            <w:noWrap/>
            <w:vAlign w:val="bottom"/>
            <w:hideMark/>
          </w:tcPr>
          <w:p w14:paraId="40E9FE52" w14:textId="77777777" w:rsidR="00F72778" w:rsidRPr="00034DC5" w:rsidRDefault="00F72778" w:rsidP="00D539E4">
            <w:pPr>
              <w:spacing w:before="0" w:after="0" w:line="240" w:lineRule="auto"/>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vAlign w:val="center"/>
            <w:hideMark/>
          </w:tcPr>
          <w:p w14:paraId="6BCE602F"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kogu eluase</w:t>
            </w:r>
          </w:p>
        </w:tc>
        <w:tc>
          <w:tcPr>
            <w:tcW w:w="0" w:type="auto"/>
            <w:tcBorders>
              <w:top w:val="nil"/>
              <w:left w:val="nil"/>
              <w:bottom w:val="single" w:sz="4" w:space="0" w:color="auto"/>
              <w:right w:val="single" w:sz="4" w:space="0" w:color="auto"/>
            </w:tcBorders>
            <w:vAlign w:val="center"/>
            <w:hideMark/>
          </w:tcPr>
          <w:p w14:paraId="674CE774"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eraldi ruum</w:t>
            </w:r>
          </w:p>
        </w:tc>
        <w:tc>
          <w:tcPr>
            <w:tcW w:w="0" w:type="auto"/>
            <w:tcBorders>
              <w:top w:val="nil"/>
              <w:left w:val="nil"/>
              <w:bottom w:val="single" w:sz="4" w:space="0" w:color="auto"/>
              <w:right w:val="single" w:sz="4" w:space="0" w:color="auto"/>
            </w:tcBorders>
            <w:vAlign w:val="center"/>
            <w:hideMark/>
          </w:tcPr>
          <w:p w14:paraId="0C583B10"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jagatud ruum</w:t>
            </w:r>
          </w:p>
        </w:tc>
        <w:tc>
          <w:tcPr>
            <w:tcW w:w="0" w:type="auto"/>
            <w:tcBorders>
              <w:top w:val="nil"/>
              <w:left w:val="nil"/>
              <w:bottom w:val="single" w:sz="4" w:space="0" w:color="auto"/>
              <w:right w:val="single" w:sz="4" w:space="0" w:color="auto"/>
            </w:tcBorders>
            <w:vAlign w:val="center"/>
            <w:hideMark/>
          </w:tcPr>
          <w:p w14:paraId="2FDE9A33"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1</w:t>
            </w:r>
          </w:p>
        </w:tc>
        <w:tc>
          <w:tcPr>
            <w:tcW w:w="0" w:type="auto"/>
            <w:tcBorders>
              <w:top w:val="nil"/>
              <w:left w:val="nil"/>
              <w:bottom w:val="single" w:sz="4" w:space="0" w:color="auto"/>
              <w:right w:val="single" w:sz="4" w:space="0" w:color="auto"/>
            </w:tcBorders>
            <w:vAlign w:val="center"/>
            <w:hideMark/>
          </w:tcPr>
          <w:p w14:paraId="09CE51A6"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2</w:t>
            </w:r>
          </w:p>
        </w:tc>
        <w:tc>
          <w:tcPr>
            <w:tcW w:w="0" w:type="auto"/>
            <w:tcBorders>
              <w:top w:val="nil"/>
              <w:left w:val="nil"/>
              <w:bottom w:val="single" w:sz="4" w:space="0" w:color="auto"/>
              <w:right w:val="single" w:sz="4" w:space="0" w:color="auto"/>
            </w:tcBorders>
            <w:vAlign w:val="center"/>
            <w:hideMark/>
          </w:tcPr>
          <w:p w14:paraId="4B1F0CD8"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3</w:t>
            </w:r>
          </w:p>
        </w:tc>
        <w:tc>
          <w:tcPr>
            <w:tcW w:w="0" w:type="auto"/>
            <w:tcBorders>
              <w:top w:val="nil"/>
              <w:left w:val="nil"/>
              <w:bottom w:val="single" w:sz="4" w:space="0" w:color="auto"/>
              <w:right w:val="single" w:sz="4" w:space="0" w:color="auto"/>
            </w:tcBorders>
            <w:vAlign w:val="center"/>
            <w:hideMark/>
          </w:tcPr>
          <w:p w14:paraId="013C9583"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1</w:t>
            </w:r>
          </w:p>
        </w:tc>
        <w:tc>
          <w:tcPr>
            <w:tcW w:w="0" w:type="auto"/>
            <w:tcBorders>
              <w:top w:val="nil"/>
              <w:left w:val="nil"/>
              <w:bottom w:val="single" w:sz="4" w:space="0" w:color="auto"/>
              <w:right w:val="single" w:sz="4" w:space="0" w:color="auto"/>
            </w:tcBorders>
            <w:vAlign w:val="center"/>
            <w:hideMark/>
          </w:tcPr>
          <w:p w14:paraId="0C406A4E"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2</w:t>
            </w:r>
          </w:p>
        </w:tc>
        <w:tc>
          <w:tcPr>
            <w:tcW w:w="0" w:type="auto"/>
            <w:tcBorders>
              <w:top w:val="nil"/>
              <w:left w:val="nil"/>
              <w:bottom w:val="single" w:sz="4" w:space="0" w:color="auto"/>
              <w:right w:val="single" w:sz="4" w:space="0" w:color="auto"/>
            </w:tcBorders>
            <w:vAlign w:val="center"/>
            <w:hideMark/>
          </w:tcPr>
          <w:p w14:paraId="1E3AF028"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3</w:t>
            </w:r>
          </w:p>
        </w:tc>
        <w:tc>
          <w:tcPr>
            <w:tcW w:w="0" w:type="auto"/>
            <w:tcBorders>
              <w:top w:val="nil"/>
              <w:left w:val="nil"/>
              <w:bottom w:val="single" w:sz="4" w:space="0" w:color="auto"/>
              <w:right w:val="single" w:sz="4" w:space="0" w:color="auto"/>
            </w:tcBorders>
            <w:noWrap/>
            <w:vAlign w:val="center"/>
            <w:hideMark/>
          </w:tcPr>
          <w:p w14:paraId="561BE7E3"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4</w:t>
            </w:r>
          </w:p>
        </w:tc>
        <w:tc>
          <w:tcPr>
            <w:tcW w:w="0" w:type="auto"/>
            <w:tcBorders>
              <w:top w:val="nil"/>
              <w:left w:val="nil"/>
              <w:bottom w:val="single" w:sz="4" w:space="0" w:color="auto"/>
              <w:right w:val="single" w:sz="4" w:space="0" w:color="auto"/>
            </w:tcBorders>
            <w:noWrap/>
            <w:vAlign w:val="center"/>
            <w:hideMark/>
          </w:tcPr>
          <w:p w14:paraId="079BDE40" w14:textId="77777777" w:rsidR="00F72778" w:rsidRPr="00034DC5" w:rsidRDefault="00F72778" w:rsidP="00D539E4">
            <w:pPr>
              <w:spacing w:before="0" w:after="0" w:line="240" w:lineRule="auto"/>
              <w:jc w:val="center"/>
              <w:rPr>
                <w:rFonts w:asciiTheme="minorBidi" w:hAnsiTheme="minorBidi"/>
                <w:color w:val="000000"/>
                <w:sz w:val="18"/>
                <w:szCs w:val="18"/>
              </w:rPr>
            </w:pPr>
            <w:r w:rsidRPr="00034DC5">
              <w:rPr>
                <w:rFonts w:asciiTheme="minorBidi" w:hAnsiTheme="minorBidi"/>
                <w:color w:val="000000"/>
                <w:sz w:val="18"/>
                <w:szCs w:val="18"/>
              </w:rPr>
              <w:t>5+</w:t>
            </w:r>
          </w:p>
        </w:tc>
      </w:tr>
      <w:tr w:rsidR="00F72778" w:rsidRPr="00034DC5" w14:paraId="34FEC9C9" w14:textId="77777777" w:rsidTr="00056841">
        <w:trPr>
          <w:trHeight w:val="380"/>
        </w:trPr>
        <w:tc>
          <w:tcPr>
            <w:tcW w:w="0" w:type="auto"/>
            <w:tcBorders>
              <w:top w:val="nil"/>
              <w:left w:val="single" w:sz="4" w:space="0" w:color="auto"/>
              <w:bottom w:val="single" w:sz="4" w:space="0" w:color="auto"/>
              <w:right w:val="single" w:sz="4" w:space="0" w:color="auto"/>
            </w:tcBorders>
            <w:noWrap/>
            <w:vAlign w:val="bottom"/>
            <w:hideMark/>
          </w:tcPr>
          <w:p w14:paraId="6FD83D7D" w14:textId="77777777" w:rsidR="00F72778" w:rsidRPr="00034DC5" w:rsidRDefault="00F72778" w:rsidP="00D539E4">
            <w:pPr>
              <w:spacing w:before="0" w:after="0" w:line="240" w:lineRule="auto"/>
              <w:rPr>
                <w:rFonts w:asciiTheme="minorBidi" w:hAnsiTheme="minorBidi"/>
                <w:color w:val="000000"/>
                <w:sz w:val="18"/>
                <w:szCs w:val="18"/>
              </w:rPr>
            </w:pPr>
            <w:r w:rsidRPr="00034DC5">
              <w:rPr>
                <w:rFonts w:asciiTheme="minorBidi" w:hAnsiTheme="minorBidi"/>
                <w:color w:val="000000"/>
                <w:sz w:val="18"/>
                <w:szCs w:val="18"/>
              </w:rPr>
              <w:t>AirDNA</w:t>
            </w:r>
          </w:p>
        </w:tc>
        <w:tc>
          <w:tcPr>
            <w:tcW w:w="0" w:type="auto"/>
            <w:tcBorders>
              <w:top w:val="nil"/>
              <w:left w:val="nil"/>
              <w:bottom w:val="single" w:sz="4" w:space="0" w:color="auto"/>
              <w:right w:val="single" w:sz="4" w:space="0" w:color="auto"/>
            </w:tcBorders>
            <w:noWrap/>
            <w:vAlign w:val="center"/>
            <w:hideMark/>
          </w:tcPr>
          <w:p w14:paraId="55BBDFBE"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95%</w:t>
            </w:r>
          </w:p>
        </w:tc>
        <w:tc>
          <w:tcPr>
            <w:tcW w:w="0" w:type="auto"/>
            <w:tcBorders>
              <w:top w:val="nil"/>
              <w:left w:val="nil"/>
              <w:bottom w:val="single" w:sz="4" w:space="0" w:color="auto"/>
              <w:right w:val="single" w:sz="4" w:space="0" w:color="auto"/>
            </w:tcBorders>
            <w:noWrap/>
            <w:vAlign w:val="center"/>
            <w:hideMark/>
          </w:tcPr>
          <w:p w14:paraId="238360A7"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4%</w:t>
            </w:r>
          </w:p>
        </w:tc>
        <w:tc>
          <w:tcPr>
            <w:tcW w:w="0" w:type="auto"/>
            <w:tcBorders>
              <w:top w:val="nil"/>
              <w:left w:val="nil"/>
              <w:bottom w:val="single" w:sz="4" w:space="0" w:color="auto"/>
              <w:right w:val="single" w:sz="4" w:space="0" w:color="auto"/>
            </w:tcBorders>
            <w:noWrap/>
            <w:vAlign w:val="center"/>
            <w:hideMark/>
          </w:tcPr>
          <w:p w14:paraId="021FBE57"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16D5B0A7"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71%</w:t>
            </w:r>
          </w:p>
        </w:tc>
        <w:tc>
          <w:tcPr>
            <w:tcW w:w="0" w:type="auto"/>
            <w:tcBorders>
              <w:top w:val="nil"/>
              <w:left w:val="nil"/>
              <w:bottom w:val="single" w:sz="4" w:space="0" w:color="auto"/>
              <w:right w:val="single" w:sz="4" w:space="0" w:color="auto"/>
            </w:tcBorders>
            <w:noWrap/>
            <w:vAlign w:val="center"/>
            <w:hideMark/>
          </w:tcPr>
          <w:p w14:paraId="1EE6AE1F"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21%</w:t>
            </w:r>
          </w:p>
        </w:tc>
        <w:tc>
          <w:tcPr>
            <w:tcW w:w="0" w:type="auto"/>
            <w:tcBorders>
              <w:top w:val="nil"/>
              <w:left w:val="nil"/>
              <w:bottom w:val="single" w:sz="4" w:space="0" w:color="auto"/>
              <w:right w:val="single" w:sz="4" w:space="0" w:color="auto"/>
            </w:tcBorders>
            <w:noWrap/>
            <w:vAlign w:val="center"/>
            <w:hideMark/>
          </w:tcPr>
          <w:p w14:paraId="12B28F44"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6%</w:t>
            </w:r>
          </w:p>
        </w:tc>
        <w:tc>
          <w:tcPr>
            <w:tcW w:w="0" w:type="auto"/>
            <w:tcBorders>
              <w:top w:val="nil"/>
              <w:left w:val="nil"/>
              <w:bottom w:val="single" w:sz="4" w:space="0" w:color="auto"/>
              <w:right w:val="single" w:sz="4" w:space="0" w:color="auto"/>
            </w:tcBorders>
            <w:noWrap/>
            <w:vAlign w:val="center"/>
            <w:hideMark/>
          </w:tcPr>
          <w:p w14:paraId="672ED96D"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0B580D82"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4C0ADEB6"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580EC595"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49BEBA52"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r>
      <w:tr w:rsidR="00F72778" w:rsidRPr="00034DC5" w14:paraId="0C626746" w14:textId="77777777" w:rsidTr="00056841">
        <w:trPr>
          <w:trHeight w:val="380"/>
        </w:trPr>
        <w:tc>
          <w:tcPr>
            <w:tcW w:w="0" w:type="auto"/>
            <w:tcBorders>
              <w:top w:val="nil"/>
              <w:left w:val="single" w:sz="4" w:space="0" w:color="auto"/>
              <w:bottom w:val="single" w:sz="4" w:space="0" w:color="auto"/>
              <w:right w:val="single" w:sz="4" w:space="0" w:color="auto"/>
            </w:tcBorders>
            <w:noWrap/>
            <w:vAlign w:val="bottom"/>
            <w:hideMark/>
          </w:tcPr>
          <w:p w14:paraId="2D8FF05F" w14:textId="77777777" w:rsidR="00F72778" w:rsidRPr="00034DC5" w:rsidRDefault="00F72778" w:rsidP="00D539E4">
            <w:pPr>
              <w:spacing w:before="0" w:after="0" w:line="240" w:lineRule="auto"/>
              <w:rPr>
                <w:rFonts w:asciiTheme="minorBidi" w:hAnsiTheme="minorBidi"/>
                <w:color w:val="000000"/>
                <w:sz w:val="18"/>
                <w:szCs w:val="18"/>
              </w:rPr>
            </w:pPr>
            <w:r w:rsidRPr="00034DC5">
              <w:rPr>
                <w:rFonts w:asciiTheme="minorBidi" w:hAnsiTheme="minorBidi"/>
                <w:color w:val="000000"/>
                <w:sz w:val="18"/>
                <w:szCs w:val="18"/>
              </w:rPr>
              <w:t>AirROI</w:t>
            </w:r>
          </w:p>
        </w:tc>
        <w:tc>
          <w:tcPr>
            <w:tcW w:w="0" w:type="auto"/>
            <w:tcBorders>
              <w:top w:val="nil"/>
              <w:left w:val="nil"/>
              <w:bottom w:val="single" w:sz="4" w:space="0" w:color="auto"/>
              <w:right w:val="single" w:sz="4" w:space="0" w:color="auto"/>
            </w:tcBorders>
            <w:noWrap/>
            <w:vAlign w:val="center"/>
            <w:hideMark/>
          </w:tcPr>
          <w:p w14:paraId="060549E0"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94%</w:t>
            </w:r>
          </w:p>
        </w:tc>
        <w:tc>
          <w:tcPr>
            <w:tcW w:w="0" w:type="auto"/>
            <w:tcBorders>
              <w:top w:val="nil"/>
              <w:left w:val="nil"/>
              <w:bottom w:val="single" w:sz="4" w:space="0" w:color="auto"/>
              <w:right w:val="single" w:sz="4" w:space="0" w:color="auto"/>
            </w:tcBorders>
            <w:noWrap/>
            <w:vAlign w:val="center"/>
            <w:hideMark/>
          </w:tcPr>
          <w:p w14:paraId="13EFD64B"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6%</w:t>
            </w:r>
          </w:p>
        </w:tc>
        <w:tc>
          <w:tcPr>
            <w:tcW w:w="0" w:type="auto"/>
            <w:tcBorders>
              <w:top w:val="nil"/>
              <w:left w:val="nil"/>
              <w:bottom w:val="single" w:sz="4" w:space="0" w:color="auto"/>
              <w:right w:val="single" w:sz="4" w:space="0" w:color="auto"/>
            </w:tcBorders>
            <w:noWrap/>
            <w:vAlign w:val="center"/>
            <w:hideMark/>
          </w:tcPr>
          <w:p w14:paraId="72FCAC65"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 </w:t>
            </w:r>
          </w:p>
        </w:tc>
        <w:tc>
          <w:tcPr>
            <w:tcW w:w="0" w:type="auto"/>
            <w:tcBorders>
              <w:top w:val="nil"/>
              <w:left w:val="nil"/>
              <w:bottom w:val="single" w:sz="4" w:space="0" w:color="auto"/>
              <w:right w:val="single" w:sz="4" w:space="0" w:color="auto"/>
            </w:tcBorders>
            <w:noWrap/>
            <w:vAlign w:val="center"/>
            <w:hideMark/>
          </w:tcPr>
          <w:p w14:paraId="626EA4E3"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60%</w:t>
            </w:r>
          </w:p>
        </w:tc>
        <w:tc>
          <w:tcPr>
            <w:tcW w:w="0" w:type="auto"/>
            <w:tcBorders>
              <w:top w:val="nil"/>
              <w:left w:val="nil"/>
              <w:bottom w:val="single" w:sz="4" w:space="0" w:color="auto"/>
              <w:right w:val="single" w:sz="4" w:space="0" w:color="auto"/>
            </w:tcBorders>
            <w:noWrap/>
            <w:vAlign w:val="center"/>
            <w:hideMark/>
          </w:tcPr>
          <w:p w14:paraId="49B87E98"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20%</w:t>
            </w:r>
          </w:p>
        </w:tc>
        <w:tc>
          <w:tcPr>
            <w:tcW w:w="0" w:type="auto"/>
            <w:tcBorders>
              <w:top w:val="nil"/>
              <w:left w:val="nil"/>
              <w:bottom w:val="single" w:sz="4" w:space="0" w:color="auto"/>
              <w:right w:val="single" w:sz="4" w:space="0" w:color="auto"/>
            </w:tcBorders>
            <w:noWrap/>
            <w:vAlign w:val="center"/>
            <w:hideMark/>
          </w:tcPr>
          <w:p w14:paraId="45DD56CC"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8%</w:t>
            </w:r>
          </w:p>
        </w:tc>
        <w:tc>
          <w:tcPr>
            <w:tcW w:w="0" w:type="auto"/>
            <w:tcBorders>
              <w:top w:val="nil"/>
              <w:left w:val="nil"/>
              <w:bottom w:val="single" w:sz="4" w:space="0" w:color="auto"/>
              <w:right w:val="single" w:sz="4" w:space="0" w:color="auto"/>
            </w:tcBorders>
            <w:noWrap/>
            <w:vAlign w:val="center"/>
            <w:hideMark/>
          </w:tcPr>
          <w:p w14:paraId="5757B82F"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0.2%</w:t>
            </w:r>
          </w:p>
        </w:tc>
        <w:tc>
          <w:tcPr>
            <w:tcW w:w="0" w:type="auto"/>
            <w:tcBorders>
              <w:top w:val="nil"/>
              <w:left w:val="nil"/>
              <w:bottom w:val="single" w:sz="4" w:space="0" w:color="auto"/>
              <w:right w:val="single" w:sz="4" w:space="0" w:color="auto"/>
            </w:tcBorders>
            <w:noWrap/>
            <w:vAlign w:val="center"/>
            <w:hideMark/>
          </w:tcPr>
          <w:p w14:paraId="5B41C860"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17%</w:t>
            </w:r>
          </w:p>
        </w:tc>
        <w:tc>
          <w:tcPr>
            <w:tcW w:w="0" w:type="auto"/>
            <w:tcBorders>
              <w:top w:val="nil"/>
              <w:left w:val="nil"/>
              <w:bottom w:val="single" w:sz="4" w:space="0" w:color="auto"/>
              <w:right w:val="single" w:sz="4" w:space="0" w:color="auto"/>
            </w:tcBorders>
            <w:noWrap/>
            <w:vAlign w:val="center"/>
            <w:hideMark/>
          </w:tcPr>
          <w:p w14:paraId="05B0FAE6"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13%</w:t>
            </w:r>
          </w:p>
        </w:tc>
        <w:tc>
          <w:tcPr>
            <w:tcW w:w="0" w:type="auto"/>
            <w:tcBorders>
              <w:top w:val="nil"/>
              <w:left w:val="nil"/>
              <w:bottom w:val="single" w:sz="4" w:space="0" w:color="auto"/>
              <w:right w:val="single" w:sz="4" w:space="0" w:color="auto"/>
            </w:tcBorders>
            <w:noWrap/>
            <w:vAlign w:val="center"/>
            <w:hideMark/>
          </w:tcPr>
          <w:p w14:paraId="7195EBDF"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39%</w:t>
            </w:r>
          </w:p>
        </w:tc>
        <w:tc>
          <w:tcPr>
            <w:tcW w:w="0" w:type="auto"/>
            <w:tcBorders>
              <w:top w:val="nil"/>
              <w:left w:val="nil"/>
              <w:bottom w:val="single" w:sz="4" w:space="0" w:color="auto"/>
              <w:right w:val="single" w:sz="4" w:space="0" w:color="auto"/>
            </w:tcBorders>
            <w:noWrap/>
            <w:vAlign w:val="center"/>
            <w:hideMark/>
          </w:tcPr>
          <w:p w14:paraId="1F86AB32" w14:textId="77777777" w:rsidR="00F72778" w:rsidRPr="00034DC5" w:rsidRDefault="00F72778" w:rsidP="00D539E4">
            <w:pPr>
              <w:spacing w:before="0" w:after="0" w:line="240" w:lineRule="auto"/>
              <w:jc w:val="right"/>
              <w:rPr>
                <w:rFonts w:asciiTheme="minorBidi" w:hAnsiTheme="minorBidi"/>
                <w:color w:val="000000"/>
                <w:sz w:val="18"/>
                <w:szCs w:val="18"/>
              </w:rPr>
            </w:pPr>
            <w:r w:rsidRPr="00034DC5">
              <w:rPr>
                <w:rFonts w:asciiTheme="minorBidi" w:hAnsiTheme="minorBidi"/>
                <w:color w:val="000000"/>
                <w:sz w:val="18"/>
                <w:szCs w:val="18"/>
              </w:rPr>
              <w:t>31%</w:t>
            </w:r>
          </w:p>
        </w:tc>
      </w:tr>
    </w:tbl>
    <w:p w14:paraId="3F9F65A9" w14:textId="0E537297" w:rsidR="00F72778" w:rsidRPr="00E14EBC" w:rsidRDefault="00F72778" w:rsidP="00F72778">
      <w:pPr>
        <w:pStyle w:val="BottomCaption"/>
      </w:pPr>
      <w:r w:rsidRPr="00E14EBC">
        <w:t>Allikad:</w:t>
      </w:r>
    </w:p>
    <w:p w14:paraId="44A38BDE" w14:textId="1437781B" w:rsidR="00F72778" w:rsidRPr="00E14EBC" w:rsidRDefault="00F72778" w:rsidP="00F72778">
      <w:pPr>
        <w:pStyle w:val="BottomCaption"/>
      </w:pPr>
      <w:r w:rsidRPr="00E14EBC">
        <w:t>AirDNA.com (märts 2025) periood: märts 2024 – veebruar 2025</w:t>
      </w:r>
    </w:p>
    <w:p w14:paraId="7F6136C1" w14:textId="2DB17748" w:rsidR="00F72778" w:rsidRPr="00E14EBC" w:rsidRDefault="00F72778" w:rsidP="00F72778">
      <w:pPr>
        <w:pStyle w:val="BottomCaption"/>
      </w:pPr>
      <w:r w:rsidRPr="00E14EBC">
        <w:t xml:space="preserve">AirROI.com (märts 2025) periood: märts 2024 – veebruar 2025 </w:t>
      </w:r>
    </w:p>
    <w:p w14:paraId="772711EE" w14:textId="219A406B" w:rsidR="00F72778" w:rsidRPr="00E14EBC" w:rsidRDefault="00F72778" w:rsidP="00F72778">
      <w:pPr>
        <w:pStyle w:val="BottomCaption"/>
      </w:pPr>
      <w:r w:rsidRPr="00E14EBC">
        <w:t xml:space="preserve">1Estate Kinnisvara OÜ juhi ja omaniku, kinnisvaramaakler Algis Libliku hinnang Pärnu lühiajalise üüri turule (mai 2024 podcast). </w:t>
      </w:r>
    </w:p>
    <w:p w14:paraId="7EE7BBFF" w14:textId="62DAB002" w:rsidR="00F72778" w:rsidRDefault="00F72778" w:rsidP="0020239C">
      <w:pPr>
        <w:pStyle w:val="BottomCaption"/>
      </w:pPr>
      <w:r w:rsidRPr="00034DC5">
        <w:t>USD on ümber arvestatud eurodesse 2023 – 2024 keskmise kursiga 0,924</w:t>
      </w:r>
      <w:r w:rsidRPr="00E14EBC">
        <w:rPr>
          <w:sz w:val="22"/>
        </w:rPr>
        <w:t xml:space="preserve">. </w:t>
      </w:r>
      <w:hyperlink r:id="rId39" w:history="1">
        <w:r w:rsidR="00034DC5" w:rsidRPr="00034DC5">
          <w:rPr>
            <w:rStyle w:val="Hyperlink"/>
            <w:sz w:val="22"/>
          </w:rPr>
          <w:t>Link</w:t>
        </w:r>
      </w:hyperlink>
    </w:p>
    <w:p w14:paraId="0531E74D" w14:textId="77777777" w:rsidR="00DA6388" w:rsidRDefault="00DA6388" w:rsidP="00F72778">
      <w:pPr>
        <w:spacing w:line="257" w:lineRule="auto"/>
      </w:pPr>
    </w:p>
    <w:p w14:paraId="2492CB4F" w14:textId="77777777" w:rsidR="00DA6388" w:rsidRPr="00E14EBC" w:rsidRDefault="00DA6388" w:rsidP="00F72778">
      <w:pPr>
        <w:spacing w:line="257" w:lineRule="auto"/>
      </w:pPr>
    </w:p>
    <w:p w14:paraId="72C93790" w14:textId="1F59CE61" w:rsidR="00F72778" w:rsidRPr="00E14EBC" w:rsidRDefault="00F72778" w:rsidP="00F72778">
      <w:pPr>
        <w:pStyle w:val="Caption"/>
      </w:pPr>
    </w:p>
    <w:p w14:paraId="65CB4821" w14:textId="56E8BB60" w:rsidR="00F72778" w:rsidRPr="00E14EBC" w:rsidRDefault="00F72778" w:rsidP="4A7E2F16">
      <w:r>
        <w:br w:type="page"/>
      </w:r>
    </w:p>
    <w:p w14:paraId="2B486694" w14:textId="5E1D2F28" w:rsidR="00F72778" w:rsidRPr="00E14EBC" w:rsidRDefault="4A7E2F16" w:rsidP="00F72778">
      <w:pPr>
        <w:pStyle w:val="Caption"/>
      </w:pPr>
      <w:r>
        <w:lastRenderedPageBreak/>
        <w:t>Tabel 27: Ööbimiste arv ja osakaal kõigist ööbimistest lühiajalise üüri majutuskohtades ja majutusettevõtetes, maakonniti, 2018–2024</w:t>
      </w:r>
    </w:p>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928"/>
        <w:gridCol w:w="928"/>
        <w:gridCol w:w="795"/>
        <w:gridCol w:w="795"/>
        <w:gridCol w:w="928"/>
        <w:gridCol w:w="928"/>
        <w:gridCol w:w="597"/>
        <w:gridCol w:w="222"/>
        <w:gridCol w:w="928"/>
        <w:gridCol w:w="928"/>
        <w:gridCol w:w="928"/>
        <w:gridCol w:w="928"/>
        <w:gridCol w:w="967"/>
        <w:gridCol w:w="1000"/>
        <w:gridCol w:w="597"/>
      </w:tblGrid>
      <w:tr w:rsidR="00591DE0" w:rsidRPr="002D6B0E" w14:paraId="777CE2BB" w14:textId="77777777" w:rsidTr="00146B4A">
        <w:trPr>
          <w:trHeight w:val="400"/>
        </w:trPr>
        <w:tc>
          <w:tcPr>
            <w:tcW w:w="0" w:type="auto"/>
            <w:noWrap/>
            <w:vAlign w:val="center"/>
            <w:hideMark/>
          </w:tcPr>
          <w:p w14:paraId="67DB4CDC" w14:textId="77777777" w:rsidR="00F72778" w:rsidRPr="002D6B0E" w:rsidRDefault="00F72778" w:rsidP="006D7558">
            <w:pPr>
              <w:spacing w:before="0" w:after="0" w:line="240" w:lineRule="auto"/>
              <w:rPr>
                <w:rFonts w:asciiTheme="minorBidi" w:hAnsiTheme="minorBidi"/>
                <w:sz w:val="18"/>
                <w:szCs w:val="18"/>
              </w:rPr>
            </w:pPr>
          </w:p>
        </w:tc>
        <w:tc>
          <w:tcPr>
            <w:tcW w:w="5899" w:type="dxa"/>
            <w:gridSpan w:val="7"/>
            <w:noWrap/>
            <w:vAlign w:val="center"/>
            <w:hideMark/>
          </w:tcPr>
          <w:p w14:paraId="63209506" w14:textId="77777777" w:rsidR="00F72778" w:rsidRPr="002D6B0E" w:rsidRDefault="00F72778" w:rsidP="006D7558">
            <w:pPr>
              <w:spacing w:before="0" w:after="0" w:line="240" w:lineRule="auto"/>
              <w:jc w:val="center"/>
              <w:rPr>
                <w:rFonts w:asciiTheme="minorBidi" w:hAnsiTheme="minorBidi"/>
                <w:b/>
                <w:color w:val="000000"/>
                <w:sz w:val="18"/>
                <w:szCs w:val="18"/>
              </w:rPr>
            </w:pPr>
            <w:r w:rsidRPr="002D6B0E">
              <w:rPr>
                <w:rFonts w:asciiTheme="minorBidi" w:hAnsiTheme="minorBidi"/>
                <w:b/>
                <w:color w:val="000000"/>
                <w:sz w:val="18"/>
                <w:szCs w:val="18"/>
              </w:rPr>
              <w:t>Ööbimiste arv lühiajalise üüri majutuskohtades</w:t>
            </w:r>
          </w:p>
        </w:tc>
        <w:tc>
          <w:tcPr>
            <w:tcW w:w="0" w:type="auto"/>
            <w:noWrap/>
            <w:vAlign w:val="center"/>
            <w:hideMark/>
          </w:tcPr>
          <w:p w14:paraId="7401DFBE" w14:textId="77777777" w:rsidR="00F72778" w:rsidRPr="002D6B0E" w:rsidRDefault="00F72778" w:rsidP="006D7558">
            <w:pPr>
              <w:spacing w:before="0" w:after="0" w:line="240" w:lineRule="auto"/>
              <w:jc w:val="center"/>
              <w:rPr>
                <w:rFonts w:asciiTheme="minorBidi" w:hAnsiTheme="minorBidi"/>
                <w:b/>
                <w:sz w:val="18"/>
                <w:szCs w:val="18"/>
              </w:rPr>
            </w:pPr>
          </w:p>
        </w:tc>
        <w:tc>
          <w:tcPr>
            <w:tcW w:w="6247" w:type="dxa"/>
            <w:gridSpan w:val="7"/>
            <w:noWrap/>
            <w:vAlign w:val="center"/>
            <w:hideMark/>
          </w:tcPr>
          <w:p w14:paraId="06F170B1" w14:textId="77777777" w:rsidR="00F72778" w:rsidRPr="002D6B0E" w:rsidRDefault="00F72778" w:rsidP="006D7558">
            <w:pPr>
              <w:spacing w:before="0" w:after="0" w:line="240" w:lineRule="auto"/>
              <w:jc w:val="center"/>
              <w:rPr>
                <w:rFonts w:asciiTheme="minorBidi" w:hAnsiTheme="minorBidi"/>
                <w:b/>
                <w:color w:val="000000"/>
                <w:sz w:val="18"/>
                <w:szCs w:val="18"/>
              </w:rPr>
            </w:pPr>
            <w:r w:rsidRPr="002D6B0E">
              <w:rPr>
                <w:rFonts w:asciiTheme="minorBidi" w:hAnsiTheme="minorBidi"/>
                <w:b/>
                <w:color w:val="000000"/>
                <w:sz w:val="18"/>
                <w:szCs w:val="18"/>
              </w:rPr>
              <w:t>Ööbimiste arv majutusettevõtetes</w:t>
            </w:r>
          </w:p>
        </w:tc>
      </w:tr>
      <w:tr w:rsidR="007964F1" w:rsidRPr="002D6B0E" w14:paraId="413AD255" w14:textId="77777777" w:rsidTr="00146B4A">
        <w:trPr>
          <w:cantSplit/>
          <w:trHeight w:val="300"/>
        </w:trPr>
        <w:tc>
          <w:tcPr>
            <w:tcW w:w="0" w:type="auto"/>
            <w:noWrap/>
            <w:vAlign w:val="center"/>
            <w:hideMark/>
          </w:tcPr>
          <w:p w14:paraId="0D131520" w14:textId="77777777" w:rsidR="00F72778" w:rsidRPr="002D6B0E" w:rsidRDefault="00F72778" w:rsidP="0020239C">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Maakond</w:t>
            </w:r>
          </w:p>
        </w:tc>
        <w:tc>
          <w:tcPr>
            <w:tcW w:w="0" w:type="auto"/>
            <w:noWrap/>
            <w:vAlign w:val="center"/>
            <w:hideMark/>
          </w:tcPr>
          <w:p w14:paraId="301E2366" w14:textId="77777777"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2018</w:t>
            </w:r>
          </w:p>
        </w:tc>
        <w:tc>
          <w:tcPr>
            <w:tcW w:w="0" w:type="auto"/>
            <w:noWrap/>
            <w:vAlign w:val="center"/>
            <w:hideMark/>
          </w:tcPr>
          <w:p w14:paraId="0F40D16E" w14:textId="77777777"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2019</w:t>
            </w:r>
          </w:p>
        </w:tc>
        <w:tc>
          <w:tcPr>
            <w:tcW w:w="0" w:type="auto"/>
            <w:noWrap/>
            <w:vAlign w:val="center"/>
            <w:hideMark/>
          </w:tcPr>
          <w:p w14:paraId="44AF267A" w14:textId="77777777"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2020</w:t>
            </w:r>
          </w:p>
        </w:tc>
        <w:tc>
          <w:tcPr>
            <w:tcW w:w="0" w:type="auto"/>
            <w:noWrap/>
            <w:vAlign w:val="center"/>
            <w:hideMark/>
          </w:tcPr>
          <w:p w14:paraId="0E63F508" w14:textId="77777777"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2021</w:t>
            </w:r>
          </w:p>
        </w:tc>
        <w:tc>
          <w:tcPr>
            <w:tcW w:w="0" w:type="auto"/>
            <w:noWrap/>
            <w:vAlign w:val="center"/>
            <w:hideMark/>
          </w:tcPr>
          <w:p w14:paraId="2BBBFE29" w14:textId="77777777"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2022</w:t>
            </w:r>
          </w:p>
        </w:tc>
        <w:tc>
          <w:tcPr>
            <w:tcW w:w="0" w:type="auto"/>
            <w:noWrap/>
            <w:vAlign w:val="center"/>
            <w:hideMark/>
          </w:tcPr>
          <w:p w14:paraId="661244F5" w14:textId="77777777"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2023</w:t>
            </w:r>
          </w:p>
        </w:tc>
        <w:tc>
          <w:tcPr>
            <w:tcW w:w="597" w:type="dxa"/>
            <w:shd w:val="clear" w:color="auto" w:fill="E5E5E5" w:themeFill="background2" w:themeFillShade="E6"/>
            <w:noWrap/>
            <w:vAlign w:val="center"/>
            <w:hideMark/>
          </w:tcPr>
          <w:p w14:paraId="661E558E" w14:textId="77777777" w:rsidR="00146B4A" w:rsidRDefault="00D03472" w:rsidP="0020239C">
            <w:pPr>
              <w:spacing w:before="0" w:after="0" w:line="240" w:lineRule="auto"/>
              <w:jc w:val="center"/>
              <w:rPr>
                <w:rFonts w:asciiTheme="minorBidi" w:hAnsiTheme="minorBidi"/>
                <w:color w:val="000000"/>
                <w:sz w:val="18"/>
                <w:szCs w:val="18"/>
              </w:rPr>
            </w:pPr>
            <w:r>
              <w:rPr>
                <w:rFonts w:asciiTheme="minorBidi" w:hAnsiTheme="minorBidi"/>
                <w:color w:val="000000"/>
                <w:sz w:val="18"/>
                <w:szCs w:val="18"/>
              </w:rPr>
              <w:t>o</w:t>
            </w:r>
            <w:r w:rsidR="00F72778" w:rsidRPr="002D6B0E">
              <w:rPr>
                <w:rFonts w:asciiTheme="minorBidi" w:hAnsiTheme="minorBidi"/>
                <w:color w:val="000000"/>
                <w:sz w:val="18"/>
                <w:szCs w:val="18"/>
              </w:rPr>
              <w:t>sa</w:t>
            </w:r>
            <w:r w:rsidR="00146B4A">
              <w:rPr>
                <w:rFonts w:asciiTheme="minorBidi" w:hAnsiTheme="minorBidi"/>
                <w:color w:val="000000"/>
                <w:sz w:val="18"/>
                <w:szCs w:val="18"/>
              </w:rPr>
              <w:t>-</w:t>
            </w:r>
          </w:p>
          <w:p w14:paraId="65EC5194" w14:textId="6F608D6C"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kaal</w:t>
            </w:r>
            <w:r w:rsidR="00D03472">
              <w:rPr>
                <w:rFonts w:asciiTheme="minorBidi" w:hAnsiTheme="minorBidi"/>
                <w:color w:val="000000"/>
                <w:sz w:val="18"/>
                <w:szCs w:val="18"/>
              </w:rPr>
              <w:t>, %</w:t>
            </w:r>
          </w:p>
        </w:tc>
        <w:tc>
          <w:tcPr>
            <w:tcW w:w="0" w:type="auto"/>
            <w:noWrap/>
            <w:vAlign w:val="center"/>
            <w:hideMark/>
          </w:tcPr>
          <w:p w14:paraId="36028E28" w14:textId="77777777" w:rsidR="00F72778" w:rsidRPr="002D6B0E" w:rsidRDefault="00F72778" w:rsidP="0020239C">
            <w:pPr>
              <w:spacing w:before="0" w:after="0" w:line="240" w:lineRule="auto"/>
              <w:jc w:val="center"/>
              <w:rPr>
                <w:rFonts w:asciiTheme="minorBidi" w:hAnsiTheme="minorBidi"/>
                <w:color w:val="000000"/>
                <w:sz w:val="18"/>
                <w:szCs w:val="18"/>
              </w:rPr>
            </w:pPr>
          </w:p>
        </w:tc>
        <w:tc>
          <w:tcPr>
            <w:tcW w:w="0" w:type="auto"/>
            <w:noWrap/>
            <w:vAlign w:val="center"/>
            <w:hideMark/>
          </w:tcPr>
          <w:p w14:paraId="1B1463E2" w14:textId="77777777"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2019</w:t>
            </w:r>
          </w:p>
        </w:tc>
        <w:tc>
          <w:tcPr>
            <w:tcW w:w="0" w:type="auto"/>
            <w:noWrap/>
            <w:vAlign w:val="center"/>
            <w:hideMark/>
          </w:tcPr>
          <w:p w14:paraId="78489649" w14:textId="77777777"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2020</w:t>
            </w:r>
          </w:p>
        </w:tc>
        <w:tc>
          <w:tcPr>
            <w:tcW w:w="0" w:type="auto"/>
            <w:noWrap/>
            <w:vAlign w:val="center"/>
            <w:hideMark/>
          </w:tcPr>
          <w:p w14:paraId="13BA6FC6" w14:textId="77777777"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2021</w:t>
            </w:r>
          </w:p>
        </w:tc>
        <w:tc>
          <w:tcPr>
            <w:tcW w:w="928" w:type="dxa"/>
            <w:noWrap/>
            <w:vAlign w:val="center"/>
            <w:hideMark/>
          </w:tcPr>
          <w:p w14:paraId="725EBF24" w14:textId="77777777"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2022</w:t>
            </w:r>
          </w:p>
        </w:tc>
        <w:tc>
          <w:tcPr>
            <w:tcW w:w="967" w:type="dxa"/>
            <w:noWrap/>
            <w:vAlign w:val="center"/>
            <w:hideMark/>
          </w:tcPr>
          <w:p w14:paraId="37D7BB78" w14:textId="77777777"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2023</w:t>
            </w:r>
          </w:p>
        </w:tc>
        <w:tc>
          <w:tcPr>
            <w:tcW w:w="1000" w:type="dxa"/>
            <w:noWrap/>
            <w:vAlign w:val="center"/>
            <w:hideMark/>
          </w:tcPr>
          <w:p w14:paraId="6A3FB9F1" w14:textId="77777777" w:rsidR="00F72778" w:rsidRPr="002D6B0E" w:rsidRDefault="00F72778" w:rsidP="0020239C">
            <w:pPr>
              <w:spacing w:before="0" w:after="0" w:line="240" w:lineRule="auto"/>
              <w:jc w:val="center"/>
              <w:rPr>
                <w:rFonts w:asciiTheme="minorBidi" w:hAnsiTheme="minorBidi"/>
                <w:color w:val="000000"/>
                <w:sz w:val="18"/>
                <w:szCs w:val="18"/>
              </w:rPr>
            </w:pPr>
            <w:r w:rsidRPr="002D6B0E">
              <w:rPr>
                <w:rFonts w:asciiTheme="minorBidi" w:hAnsiTheme="minorBidi"/>
                <w:color w:val="000000"/>
                <w:sz w:val="18"/>
                <w:szCs w:val="18"/>
              </w:rPr>
              <w:t>2024</w:t>
            </w:r>
          </w:p>
        </w:tc>
        <w:tc>
          <w:tcPr>
            <w:tcW w:w="568" w:type="dxa"/>
            <w:shd w:val="clear" w:color="auto" w:fill="E5E5E5" w:themeFill="background2" w:themeFillShade="E6"/>
            <w:noWrap/>
            <w:vAlign w:val="center"/>
            <w:hideMark/>
          </w:tcPr>
          <w:p w14:paraId="29CD3A1A" w14:textId="3C8DCE90" w:rsidR="00F72778" w:rsidRPr="002D6B0E" w:rsidRDefault="00D03472" w:rsidP="0020239C">
            <w:pPr>
              <w:spacing w:before="0" w:after="0" w:line="240" w:lineRule="auto"/>
              <w:jc w:val="center"/>
              <w:rPr>
                <w:rFonts w:asciiTheme="minorBidi" w:hAnsiTheme="minorBidi"/>
                <w:color w:val="000000"/>
                <w:sz w:val="18"/>
                <w:szCs w:val="18"/>
              </w:rPr>
            </w:pPr>
            <w:r>
              <w:rPr>
                <w:rFonts w:asciiTheme="minorBidi" w:hAnsiTheme="minorBidi"/>
                <w:color w:val="000000"/>
                <w:sz w:val="18"/>
                <w:szCs w:val="18"/>
              </w:rPr>
              <w:t>o</w:t>
            </w:r>
            <w:r w:rsidR="00F72778" w:rsidRPr="002D6B0E">
              <w:rPr>
                <w:rFonts w:asciiTheme="minorBidi" w:hAnsiTheme="minorBidi"/>
                <w:color w:val="000000"/>
                <w:sz w:val="18"/>
                <w:szCs w:val="18"/>
              </w:rPr>
              <w:t>sa</w:t>
            </w:r>
            <w:r w:rsidR="00146B4A">
              <w:rPr>
                <w:rFonts w:asciiTheme="minorBidi" w:hAnsiTheme="minorBidi"/>
                <w:color w:val="000000"/>
                <w:sz w:val="18"/>
                <w:szCs w:val="18"/>
              </w:rPr>
              <w:t>-</w:t>
            </w:r>
            <w:r w:rsidR="00F72778" w:rsidRPr="002D6B0E">
              <w:rPr>
                <w:rFonts w:asciiTheme="minorBidi" w:hAnsiTheme="minorBidi"/>
                <w:color w:val="000000"/>
                <w:sz w:val="18"/>
                <w:szCs w:val="18"/>
              </w:rPr>
              <w:t>kaal</w:t>
            </w:r>
            <w:r>
              <w:rPr>
                <w:rFonts w:asciiTheme="minorBidi" w:hAnsiTheme="minorBidi"/>
                <w:color w:val="000000"/>
                <w:sz w:val="18"/>
                <w:szCs w:val="18"/>
              </w:rPr>
              <w:t>, %</w:t>
            </w:r>
          </w:p>
        </w:tc>
      </w:tr>
      <w:tr w:rsidR="00B54A22" w:rsidRPr="002D6B0E" w14:paraId="4CB4AA8F" w14:textId="77777777" w:rsidTr="00146B4A">
        <w:trPr>
          <w:trHeight w:val="300"/>
        </w:trPr>
        <w:tc>
          <w:tcPr>
            <w:tcW w:w="0" w:type="auto"/>
            <w:noWrap/>
            <w:vAlign w:val="center"/>
            <w:hideMark/>
          </w:tcPr>
          <w:p w14:paraId="08A3ED62"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Harju</w:t>
            </w:r>
          </w:p>
        </w:tc>
        <w:tc>
          <w:tcPr>
            <w:tcW w:w="0" w:type="auto"/>
            <w:noWrap/>
            <w:vAlign w:val="center"/>
            <w:hideMark/>
          </w:tcPr>
          <w:p w14:paraId="13D68EAA" w14:textId="726EAFCC"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832</w:t>
            </w:r>
            <w:r w:rsidR="00153073">
              <w:rPr>
                <w:rFonts w:asciiTheme="minorBidi" w:hAnsiTheme="minorBidi"/>
                <w:color w:val="000000"/>
                <w:sz w:val="16"/>
                <w:szCs w:val="16"/>
              </w:rPr>
              <w:t xml:space="preserve"> </w:t>
            </w:r>
            <w:r w:rsidRPr="002D6B0E">
              <w:rPr>
                <w:rFonts w:asciiTheme="minorBidi" w:hAnsiTheme="minorBidi"/>
                <w:color w:val="000000"/>
                <w:sz w:val="16"/>
                <w:szCs w:val="16"/>
              </w:rPr>
              <w:t>702</w:t>
            </w:r>
          </w:p>
        </w:tc>
        <w:tc>
          <w:tcPr>
            <w:tcW w:w="0" w:type="auto"/>
            <w:noWrap/>
            <w:vAlign w:val="center"/>
            <w:hideMark/>
          </w:tcPr>
          <w:p w14:paraId="292BBCDE" w14:textId="6A5B06E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w:t>
            </w:r>
            <w:r w:rsidR="00153073">
              <w:rPr>
                <w:rFonts w:asciiTheme="minorBidi" w:hAnsiTheme="minorBidi"/>
                <w:color w:val="000000"/>
                <w:sz w:val="16"/>
                <w:szCs w:val="16"/>
              </w:rPr>
              <w:t xml:space="preserve"> </w:t>
            </w:r>
            <w:r w:rsidRPr="002D6B0E">
              <w:rPr>
                <w:rFonts w:asciiTheme="minorBidi" w:hAnsiTheme="minorBidi"/>
                <w:color w:val="000000"/>
                <w:sz w:val="16"/>
                <w:szCs w:val="16"/>
              </w:rPr>
              <w:t>002</w:t>
            </w:r>
            <w:r w:rsidR="00153073">
              <w:rPr>
                <w:rFonts w:asciiTheme="minorBidi" w:hAnsiTheme="minorBidi"/>
                <w:color w:val="000000"/>
                <w:sz w:val="16"/>
                <w:szCs w:val="16"/>
              </w:rPr>
              <w:t xml:space="preserve"> </w:t>
            </w:r>
            <w:r w:rsidRPr="002D6B0E">
              <w:rPr>
                <w:rFonts w:asciiTheme="minorBidi" w:hAnsiTheme="minorBidi"/>
                <w:color w:val="000000"/>
                <w:sz w:val="16"/>
                <w:szCs w:val="16"/>
              </w:rPr>
              <w:t>072</w:t>
            </w:r>
          </w:p>
        </w:tc>
        <w:tc>
          <w:tcPr>
            <w:tcW w:w="0" w:type="auto"/>
            <w:noWrap/>
            <w:vAlign w:val="center"/>
            <w:hideMark/>
          </w:tcPr>
          <w:p w14:paraId="0DF95177" w14:textId="419CAF0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414</w:t>
            </w:r>
            <w:r w:rsidR="00153073">
              <w:rPr>
                <w:rFonts w:asciiTheme="minorBidi" w:hAnsiTheme="minorBidi"/>
                <w:color w:val="000000"/>
                <w:sz w:val="16"/>
                <w:szCs w:val="16"/>
              </w:rPr>
              <w:t xml:space="preserve"> </w:t>
            </w:r>
            <w:r w:rsidRPr="002D6B0E">
              <w:rPr>
                <w:rFonts w:asciiTheme="minorBidi" w:hAnsiTheme="minorBidi"/>
                <w:color w:val="000000"/>
                <w:sz w:val="16"/>
                <w:szCs w:val="16"/>
              </w:rPr>
              <w:t>148</w:t>
            </w:r>
          </w:p>
        </w:tc>
        <w:tc>
          <w:tcPr>
            <w:tcW w:w="0" w:type="auto"/>
            <w:noWrap/>
            <w:vAlign w:val="center"/>
            <w:hideMark/>
          </w:tcPr>
          <w:p w14:paraId="30B6FA47" w14:textId="506AEAA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376</w:t>
            </w:r>
            <w:r w:rsidR="00153073">
              <w:rPr>
                <w:rFonts w:asciiTheme="minorBidi" w:hAnsiTheme="minorBidi"/>
                <w:color w:val="000000"/>
                <w:sz w:val="16"/>
                <w:szCs w:val="16"/>
              </w:rPr>
              <w:t xml:space="preserve"> </w:t>
            </w:r>
            <w:r w:rsidRPr="002D6B0E">
              <w:rPr>
                <w:rFonts w:asciiTheme="minorBidi" w:hAnsiTheme="minorBidi"/>
                <w:color w:val="000000"/>
                <w:sz w:val="16"/>
                <w:szCs w:val="16"/>
              </w:rPr>
              <w:t>461</w:t>
            </w:r>
          </w:p>
        </w:tc>
        <w:tc>
          <w:tcPr>
            <w:tcW w:w="0" w:type="auto"/>
            <w:noWrap/>
            <w:vAlign w:val="center"/>
            <w:hideMark/>
          </w:tcPr>
          <w:p w14:paraId="76AC4A89" w14:textId="481CE796"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670</w:t>
            </w:r>
            <w:r w:rsidR="00153073">
              <w:rPr>
                <w:rFonts w:asciiTheme="minorBidi" w:hAnsiTheme="minorBidi"/>
                <w:color w:val="000000"/>
                <w:sz w:val="16"/>
                <w:szCs w:val="16"/>
              </w:rPr>
              <w:t xml:space="preserve"> </w:t>
            </w:r>
            <w:r w:rsidRPr="002D6B0E">
              <w:rPr>
                <w:rFonts w:asciiTheme="minorBidi" w:hAnsiTheme="minorBidi"/>
                <w:color w:val="000000"/>
                <w:sz w:val="16"/>
                <w:szCs w:val="16"/>
              </w:rPr>
              <w:t>396</w:t>
            </w:r>
          </w:p>
        </w:tc>
        <w:tc>
          <w:tcPr>
            <w:tcW w:w="0" w:type="auto"/>
            <w:noWrap/>
            <w:vAlign w:val="center"/>
            <w:hideMark/>
          </w:tcPr>
          <w:p w14:paraId="4AB45451" w14:textId="02981D9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788</w:t>
            </w:r>
            <w:r w:rsidR="00153073">
              <w:rPr>
                <w:rFonts w:asciiTheme="minorBidi" w:hAnsiTheme="minorBidi"/>
                <w:color w:val="000000"/>
                <w:sz w:val="16"/>
                <w:szCs w:val="16"/>
              </w:rPr>
              <w:t xml:space="preserve"> </w:t>
            </w:r>
            <w:r w:rsidRPr="002D6B0E">
              <w:rPr>
                <w:rFonts w:asciiTheme="minorBidi" w:hAnsiTheme="minorBidi"/>
                <w:color w:val="000000"/>
                <w:sz w:val="16"/>
                <w:szCs w:val="16"/>
              </w:rPr>
              <w:t>630</w:t>
            </w:r>
          </w:p>
        </w:tc>
        <w:tc>
          <w:tcPr>
            <w:tcW w:w="597" w:type="dxa"/>
            <w:shd w:val="clear" w:color="auto" w:fill="E5E5E5" w:themeFill="background2" w:themeFillShade="E6"/>
            <w:noWrap/>
            <w:vAlign w:val="center"/>
            <w:hideMark/>
          </w:tcPr>
          <w:p w14:paraId="03138CA8" w14:textId="39EDB09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53.2</w:t>
            </w:r>
          </w:p>
        </w:tc>
        <w:tc>
          <w:tcPr>
            <w:tcW w:w="0" w:type="auto"/>
            <w:noWrap/>
            <w:vAlign w:val="center"/>
            <w:hideMark/>
          </w:tcPr>
          <w:p w14:paraId="2007CBB8"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661F1EA5" w14:textId="15942CB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w:t>
            </w:r>
            <w:r w:rsidR="00153073">
              <w:rPr>
                <w:rFonts w:asciiTheme="minorBidi" w:hAnsiTheme="minorBidi"/>
                <w:color w:val="000000"/>
                <w:sz w:val="16"/>
                <w:szCs w:val="16"/>
              </w:rPr>
              <w:t xml:space="preserve"> </w:t>
            </w:r>
            <w:r w:rsidRPr="002D6B0E">
              <w:rPr>
                <w:rFonts w:asciiTheme="minorBidi" w:hAnsiTheme="minorBidi"/>
                <w:color w:val="000000"/>
                <w:sz w:val="16"/>
                <w:szCs w:val="16"/>
              </w:rPr>
              <w:t>591</w:t>
            </w:r>
            <w:r w:rsidR="00153073">
              <w:rPr>
                <w:rFonts w:asciiTheme="minorBidi" w:hAnsiTheme="minorBidi"/>
                <w:color w:val="000000"/>
                <w:sz w:val="16"/>
                <w:szCs w:val="16"/>
              </w:rPr>
              <w:t xml:space="preserve"> </w:t>
            </w:r>
            <w:r w:rsidRPr="002D6B0E">
              <w:rPr>
                <w:rFonts w:asciiTheme="minorBidi" w:hAnsiTheme="minorBidi"/>
                <w:color w:val="000000"/>
                <w:sz w:val="16"/>
                <w:szCs w:val="16"/>
              </w:rPr>
              <w:t>337</w:t>
            </w:r>
          </w:p>
        </w:tc>
        <w:tc>
          <w:tcPr>
            <w:tcW w:w="0" w:type="auto"/>
            <w:noWrap/>
            <w:vAlign w:val="center"/>
            <w:hideMark/>
          </w:tcPr>
          <w:p w14:paraId="52E797C0" w14:textId="2BC66D1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w:t>
            </w:r>
            <w:r w:rsidR="00153073">
              <w:rPr>
                <w:rFonts w:asciiTheme="minorBidi" w:hAnsiTheme="minorBidi"/>
                <w:color w:val="000000"/>
                <w:sz w:val="16"/>
                <w:szCs w:val="16"/>
              </w:rPr>
              <w:t xml:space="preserve"> </w:t>
            </w:r>
            <w:r w:rsidRPr="002D6B0E">
              <w:rPr>
                <w:rFonts w:asciiTheme="minorBidi" w:hAnsiTheme="minorBidi"/>
                <w:color w:val="000000"/>
                <w:sz w:val="16"/>
                <w:szCs w:val="16"/>
              </w:rPr>
              <w:t>390</w:t>
            </w:r>
            <w:r w:rsidR="00153073">
              <w:rPr>
                <w:rFonts w:asciiTheme="minorBidi" w:hAnsiTheme="minorBidi"/>
                <w:color w:val="000000"/>
                <w:sz w:val="16"/>
                <w:szCs w:val="16"/>
              </w:rPr>
              <w:t xml:space="preserve"> </w:t>
            </w:r>
            <w:r w:rsidRPr="002D6B0E">
              <w:rPr>
                <w:rFonts w:asciiTheme="minorBidi" w:hAnsiTheme="minorBidi"/>
                <w:color w:val="000000"/>
                <w:sz w:val="16"/>
                <w:szCs w:val="16"/>
              </w:rPr>
              <w:t>794</w:t>
            </w:r>
          </w:p>
        </w:tc>
        <w:tc>
          <w:tcPr>
            <w:tcW w:w="0" w:type="auto"/>
            <w:noWrap/>
            <w:vAlign w:val="center"/>
            <w:hideMark/>
          </w:tcPr>
          <w:p w14:paraId="19B58B9A" w14:textId="3C67BF44"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w:t>
            </w:r>
            <w:r w:rsidR="00153073">
              <w:rPr>
                <w:rFonts w:asciiTheme="minorBidi" w:hAnsiTheme="minorBidi"/>
                <w:color w:val="000000"/>
                <w:sz w:val="16"/>
                <w:szCs w:val="16"/>
              </w:rPr>
              <w:t xml:space="preserve"> </w:t>
            </w:r>
            <w:r w:rsidRPr="002D6B0E">
              <w:rPr>
                <w:rFonts w:asciiTheme="minorBidi" w:hAnsiTheme="minorBidi"/>
                <w:color w:val="000000"/>
                <w:sz w:val="16"/>
                <w:szCs w:val="16"/>
              </w:rPr>
              <w:t>601</w:t>
            </w:r>
            <w:r w:rsidR="00153073">
              <w:rPr>
                <w:rFonts w:asciiTheme="minorBidi" w:hAnsiTheme="minorBidi"/>
                <w:color w:val="000000"/>
                <w:sz w:val="16"/>
                <w:szCs w:val="16"/>
              </w:rPr>
              <w:t xml:space="preserve"> </w:t>
            </w:r>
            <w:r w:rsidRPr="002D6B0E">
              <w:rPr>
                <w:rFonts w:asciiTheme="minorBidi" w:hAnsiTheme="minorBidi"/>
                <w:color w:val="000000"/>
                <w:sz w:val="16"/>
                <w:szCs w:val="16"/>
              </w:rPr>
              <w:t>901</w:t>
            </w:r>
          </w:p>
        </w:tc>
        <w:tc>
          <w:tcPr>
            <w:tcW w:w="0" w:type="auto"/>
            <w:noWrap/>
            <w:vAlign w:val="center"/>
            <w:hideMark/>
          </w:tcPr>
          <w:p w14:paraId="64B9472B" w14:textId="345911D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w:t>
            </w:r>
            <w:r w:rsidR="00153073">
              <w:rPr>
                <w:rFonts w:asciiTheme="minorBidi" w:hAnsiTheme="minorBidi"/>
                <w:color w:val="000000"/>
                <w:sz w:val="16"/>
                <w:szCs w:val="16"/>
              </w:rPr>
              <w:t xml:space="preserve"> </w:t>
            </w:r>
            <w:r w:rsidRPr="002D6B0E">
              <w:rPr>
                <w:rFonts w:asciiTheme="minorBidi" w:hAnsiTheme="minorBidi"/>
                <w:color w:val="000000"/>
                <w:sz w:val="16"/>
                <w:szCs w:val="16"/>
              </w:rPr>
              <w:t>898</w:t>
            </w:r>
            <w:r w:rsidR="00153073">
              <w:rPr>
                <w:rFonts w:asciiTheme="minorBidi" w:hAnsiTheme="minorBidi"/>
                <w:color w:val="000000"/>
                <w:sz w:val="16"/>
                <w:szCs w:val="16"/>
              </w:rPr>
              <w:t xml:space="preserve"> </w:t>
            </w:r>
            <w:r w:rsidRPr="002D6B0E">
              <w:rPr>
                <w:rFonts w:asciiTheme="minorBidi" w:hAnsiTheme="minorBidi"/>
                <w:color w:val="000000"/>
                <w:sz w:val="16"/>
                <w:szCs w:val="16"/>
              </w:rPr>
              <w:t>691</w:t>
            </w:r>
          </w:p>
        </w:tc>
        <w:tc>
          <w:tcPr>
            <w:tcW w:w="0" w:type="auto"/>
            <w:noWrap/>
            <w:vAlign w:val="center"/>
            <w:hideMark/>
          </w:tcPr>
          <w:p w14:paraId="32EC2D9D" w14:textId="69DDBE7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w:t>
            </w:r>
            <w:r w:rsidR="00153073">
              <w:rPr>
                <w:rFonts w:asciiTheme="minorBidi" w:hAnsiTheme="minorBidi"/>
                <w:color w:val="000000"/>
                <w:sz w:val="16"/>
                <w:szCs w:val="16"/>
              </w:rPr>
              <w:t xml:space="preserve"> </w:t>
            </w:r>
            <w:r w:rsidRPr="002D6B0E">
              <w:rPr>
                <w:rFonts w:asciiTheme="minorBidi" w:hAnsiTheme="minorBidi"/>
                <w:color w:val="000000"/>
                <w:sz w:val="16"/>
                <w:szCs w:val="16"/>
              </w:rPr>
              <w:t>308</w:t>
            </w:r>
            <w:r w:rsidR="00153073">
              <w:rPr>
                <w:rFonts w:asciiTheme="minorBidi" w:hAnsiTheme="minorBidi"/>
                <w:color w:val="000000"/>
                <w:sz w:val="16"/>
                <w:szCs w:val="16"/>
              </w:rPr>
              <w:t xml:space="preserve"> </w:t>
            </w:r>
            <w:r w:rsidRPr="002D6B0E">
              <w:rPr>
                <w:rFonts w:asciiTheme="minorBidi" w:hAnsiTheme="minorBidi"/>
                <w:color w:val="000000"/>
                <w:sz w:val="16"/>
                <w:szCs w:val="16"/>
              </w:rPr>
              <w:t>259</w:t>
            </w:r>
          </w:p>
        </w:tc>
        <w:tc>
          <w:tcPr>
            <w:tcW w:w="1000" w:type="dxa"/>
            <w:noWrap/>
            <w:vAlign w:val="center"/>
            <w:hideMark/>
          </w:tcPr>
          <w:p w14:paraId="299EB694" w14:textId="3E34D04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w:t>
            </w:r>
            <w:r w:rsidR="00153073">
              <w:rPr>
                <w:rFonts w:asciiTheme="minorBidi" w:hAnsiTheme="minorBidi"/>
                <w:color w:val="000000"/>
                <w:sz w:val="16"/>
                <w:szCs w:val="16"/>
              </w:rPr>
              <w:t xml:space="preserve"> </w:t>
            </w:r>
            <w:r w:rsidRPr="002D6B0E">
              <w:rPr>
                <w:rFonts w:asciiTheme="minorBidi" w:hAnsiTheme="minorBidi"/>
                <w:color w:val="000000"/>
                <w:sz w:val="16"/>
                <w:szCs w:val="16"/>
              </w:rPr>
              <w:t>576</w:t>
            </w:r>
            <w:r w:rsidR="00153073">
              <w:rPr>
                <w:rFonts w:asciiTheme="minorBidi" w:hAnsiTheme="minorBidi"/>
                <w:color w:val="000000"/>
                <w:sz w:val="16"/>
                <w:szCs w:val="16"/>
              </w:rPr>
              <w:t xml:space="preserve"> </w:t>
            </w:r>
            <w:r w:rsidRPr="002D6B0E">
              <w:rPr>
                <w:rFonts w:asciiTheme="minorBidi" w:hAnsiTheme="minorBidi"/>
                <w:color w:val="000000"/>
                <w:sz w:val="16"/>
                <w:szCs w:val="16"/>
              </w:rPr>
              <w:t>218</w:t>
            </w:r>
          </w:p>
        </w:tc>
        <w:tc>
          <w:tcPr>
            <w:tcW w:w="568" w:type="dxa"/>
            <w:shd w:val="clear" w:color="auto" w:fill="E5E5E5" w:themeFill="background2" w:themeFillShade="E6"/>
            <w:noWrap/>
            <w:vAlign w:val="center"/>
            <w:hideMark/>
          </w:tcPr>
          <w:p w14:paraId="48CF1DBD" w14:textId="232F10E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53.8</w:t>
            </w:r>
          </w:p>
        </w:tc>
      </w:tr>
      <w:tr w:rsidR="00B54A22" w:rsidRPr="002D6B0E" w14:paraId="18E5FDB0" w14:textId="77777777" w:rsidTr="00146B4A">
        <w:trPr>
          <w:trHeight w:val="300"/>
        </w:trPr>
        <w:tc>
          <w:tcPr>
            <w:tcW w:w="0" w:type="auto"/>
            <w:noWrap/>
            <w:vAlign w:val="center"/>
            <w:hideMark/>
          </w:tcPr>
          <w:p w14:paraId="4A00140E"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Hiiu</w:t>
            </w:r>
          </w:p>
        </w:tc>
        <w:tc>
          <w:tcPr>
            <w:tcW w:w="0" w:type="auto"/>
            <w:noWrap/>
            <w:vAlign w:val="center"/>
            <w:hideMark/>
          </w:tcPr>
          <w:p w14:paraId="000E2A57" w14:textId="6A95010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11</w:t>
            </w:r>
            <w:r w:rsidR="00153073">
              <w:rPr>
                <w:rFonts w:asciiTheme="minorBidi" w:hAnsiTheme="minorBidi"/>
                <w:color w:val="000000"/>
                <w:sz w:val="16"/>
                <w:szCs w:val="16"/>
              </w:rPr>
              <w:t xml:space="preserve"> </w:t>
            </w:r>
            <w:r w:rsidRPr="002D6B0E">
              <w:rPr>
                <w:rFonts w:asciiTheme="minorBidi" w:hAnsiTheme="minorBidi"/>
                <w:color w:val="000000"/>
                <w:sz w:val="16"/>
                <w:szCs w:val="16"/>
              </w:rPr>
              <w:t>303</w:t>
            </w:r>
          </w:p>
        </w:tc>
        <w:tc>
          <w:tcPr>
            <w:tcW w:w="0" w:type="auto"/>
            <w:noWrap/>
            <w:vAlign w:val="center"/>
            <w:hideMark/>
          </w:tcPr>
          <w:p w14:paraId="3A7B097F" w14:textId="4A2700F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11</w:t>
            </w:r>
            <w:r w:rsidR="00153073">
              <w:rPr>
                <w:rFonts w:asciiTheme="minorBidi" w:hAnsiTheme="minorBidi"/>
                <w:color w:val="000000"/>
                <w:sz w:val="16"/>
                <w:szCs w:val="16"/>
              </w:rPr>
              <w:t xml:space="preserve"> </w:t>
            </w:r>
            <w:r w:rsidRPr="002D6B0E">
              <w:rPr>
                <w:rFonts w:asciiTheme="minorBidi" w:hAnsiTheme="minorBidi"/>
                <w:color w:val="000000"/>
                <w:sz w:val="16"/>
                <w:szCs w:val="16"/>
              </w:rPr>
              <w:t>841</w:t>
            </w:r>
          </w:p>
        </w:tc>
        <w:tc>
          <w:tcPr>
            <w:tcW w:w="0" w:type="auto"/>
            <w:noWrap/>
            <w:vAlign w:val="center"/>
            <w:hideMark/>
          </w:tcPr>
          <w:p w14:paraId="1D282854" w14:textId="7C53025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14</w:t>
            </w:r>
            <w:r w:rsidR="00153073">
              <w:rPr>
                <w:rFonts w:asciiTheme="minorBidi" w:hAnsiTheme="minorBidi"/>
                <w:color w:val="000000"/>
                <w:sz w:val="16"/>
                <w:szCs w:val="16"/>
              </w:rPr>
              <w:t xml:space="preserve"> </w:t>
            </w:r>
            <w:r w:rsidRPr="002D6B0E">
              <w:rPr>
                <w:rFonts w:asciiTheme="minorBidi" w:hAnsiTheme="minorBidi"/>
                <w:color w:val="000000"/>
                <w:sz w:val="16"/>
                <w:szCs w:val="16"/>
              </w:rPr>
              <w:t>861</w:t>
            </w:r>
          </w:p>
        </w:tc>
        <w:tc>
          <w:tcPr>
            <w:tcW w:w="0" w:type="auto"/>
            <w:noWrap/>
            <w:vAlign w:val="center"/>
            <w:hideMark/>
          </w:tcPr>
          <w:p w14:paraId="289FE1CE" w14:textId="5C29A67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23</w:t>
            </w:r>
            <w:r w:rsidR="00153073">
              <w:rPr>
                <w:rFonts w:asciiTheme="minorBidi" w:hAnsiTheme="minorBidi"/>
                <w:color w:val="000000"/>
                <w:sz w:val="16"/>
                <w:szCs w:val="16"/>
              </w:rPr>
              <w:t xml:space="preserve"> </w:t>
            </w:r>
            <w:r w:rsidRPr="002D6B0E">
              <w:rPr>
                <w:rFonts w:asciiTheme="minorBidi" w:hAnsiTheme="minorBidi"/>
                <w:color w:val="000000"/>
                <w:sz w:val="16"/>
                <w:szCs w:val="16"/>
              </w:rPr>
              <w:t>363</w:t>
            </w:r>
          </w:p>
        </w:tc>
        <w:tc>
          <w:tcPr>
            <w:tcW w:w="0" w:type="auto"/>
            <w:noWrap/>
            <w:vAlign w:val="center"/>
            <w:hideMark/>
          </w:tcPr>
          <w:p w14:paraId="18A653A9" w14:textId="72B69AAD"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23</w:t>
            </w:r>
            <w:r w:rsidR="00153073">
              <w:rPr>
                <w:rFonts w:asciiTheme="minorBidi" w:hAnsiTheme="minorBidi"/>
                <w:color w:val="000000"/>
                <w:sz w:val="16"/>
                <w:szCs w:val="16"/>
              </w:rPr>
              <w:t xml:space="preserve"> </w:t>
            </w:r>
            <w:r w:rsidRPr="002D6B0E">
              <w:rPr>
                <w:rFonts w:asciiTheme="minorBidi" w:hAnsiTheme="minorBidi"/>
                <w:color w:val="000000"/>
                <w:sz w:val="16"/>
                <w:szCs w:val="16"/>
              </w:rPr>
              <w:t>947</w:t>
            </w:r>
          </w:p>
        </w:tc>
        <w:tc>
          <w:tcPr>
            <w:tcW w:w="0" w:type="auto"/>
            <w:noWrap/>
            <w:vAlign w:val="center"/>
            <w:hideMark/>
          </w:tcPr>
          <w:p w14:paraId="3FE43A3C" w14:textId="029D93A6"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27</w:t>
            </w:r>
            <w:r w:rsidR="00153073">
              <w:rPr>
                <w:rFonts w:asciiTheme="minorBidi" w:hAnsiTheme="minorBidi"/>
                <w:color w:val="000000"/>
                <w:sz w:val="16"/>
                <w:szCs w:val="16"/>
              </w:rPr>
              <w:t xml:space="preserve"> </w:t>
            </w:r>
            <w:r w:rsidRPr="002D6B0E">
              <w:rPr>
                <w:rFonts w:asciiTheme="minorBidi" w:hAnsiTheme="minorBidi"/>
                <w:color w:val="000000"/>
                <w:sz w:val="16"/>
                <w:szCs w:val="16"/>
              </w:rPr>
              <w:t>702</w:t>
            </w:r>
          </w:p>
        </w:tc>
        <w:tc>
          <w:tcPr>
            <w:tcW w:w="597" w:type="dxa"/>
            <w:shd w:val="clear" w:color="auto" w:fill="E5E5E5" w:themeFill="background2" w:themeFillShade="E6"/>
            <w:noWrap/>
            <w:vAlign w:val="center"/>
            <w:hideMark/>
          </w:tcPr>
          <w:p w14:paraId="319AE059" w14:textId="6E9BC82C"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1.9</w:t>
            </w:r>
          </w:p>
        </w:tc>
        <w:tc>
          <w:tcPr>
            <w:tcW w:w="0" w:type="auto"/>
            <w:noWrap/>
            <w:vAlign w:val="center"/>
            <w:hideMark/>
          </w:tcPr>
          <w:p w14:paraId="1D9D73ED"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3C750A6A" w14:textId="1BC8BD7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40</w:t>
            </w:r>
            <w:r w:rsidR="00153073">
              <w:rPr>
                <w:rFonts w:asciiTheme="minorBidi" w:hAnsiTheme="minorBidi"/>
                <w:color w:val="000000"/>
                <w:sz w:val="16"/>
                <w:szCs w:val="16"/>
              </w:rPr>
              <w:t xml:space="preserve"> </w:t>
            </w:r>
            <w:r w:rsidRPr="002D6B0E">
              <w:rPr>
                <w:rFonts w:asciiTheme="minorBidi" w:hAnsiTheme="minorBidi"/>
                <w:color w:val="000000"/>
                <w:sz w:val="16"/>
                <w:szCs w:val="16"/>
              </w:rPr>
              <w:t>354</w:t>
            </w:r>
          </w:p>
        </w:tc>
        <w:tc>
          <w:tcPr>
            <w:tcW w:w="0" w:type="auto"/>
            <w:noWrap/>
            <w:vAlign w:val="center"/>
            <w:hideMark/>
          </w:tcPr>
          <w:p w14:paraId="711D4AA3" w14:textId="35C307F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42</w:t>
            </w:r>
            <w:r w:rsidR="00153073">
              <w:rPr>
                <w:rFonts w:asciiTheme="minorBidi" w:hAnsiTheme="minorBidi"/>
                <w:color w:val="000000"/>
                <w:sz w:val="16"/>
                <w:szCs w:val="16"/>
              </w:rPr>
              <w:t xml:space="preserve"> </w:t>
            </w:r>
            <w:r w:rsidRPr="002D6B0E">
              <w:rPr>
                <w:rFonts w:asciiTheme="minorBidi" w:hAnsiTheme="minorBidi"/>
                <w:color w:val="000000"/>
                <w:sz w:val="16"/>
                <w:szCs w:val="16"/>
              </w:rPr>
              <w:t>009</w:t>
            </w:r>
          </w:p>
        </w:tc>
        <w:tc>
          <w:tcPr>
            <w:tcW w:w="0" w:type="auto"/>
            <w:noWrap/>
            <w:vAlign w:val="center"/>
            <w:hideMark/>
          </w:tcPr>
          <w:p w14:paraId="0BC55005" w14:textId="626193F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52</w:t>
            </w:r>
            <w:r w:rsidR="00153073">
              <w:rPr>
                <w:rFonts w:asciiTheme="minorBidi" w:hAnsiTheme="minorBidi"/>
                <w:color w:val="000000"/>
                <w:sz w:val="16"/>
                <w:szCs w:val="16"/>
              </w:rPr>
              <w:t xml:space="preserve"> </w:t>
            </w:r>
            <w:r w:rsidRPr="002D6B0E">
              <w:rPr>
                <w:rFonts w:asciiTheme="minorBidi" w:hAnsiTheme="minorBidi"/>
                <w:color w:val="000000"/>
                <w:sz w:val="16"/>
                <w:szCs w:val="16"/>
              </w:rPr>
              <w:t>650</w:t>
            </w:r>
          </w:p>
        </w:tc>
        <w:tc>
          <w:tcPr>
            <w:tcW w:w="0" w:type="auto"/>
            <w:noWrap/>
            <w:vAlign w:val="center"/>
            <w:hideMark/>
          </w:tcPr>
          <w:p w14:paraId="2B9B8C96" w14:textId="026F4031"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52</w:t>
            </w:r>
            <w:r w:rsidR="00153073">
              <w:rPr>
                <w:rFonts w:asciiTheme="minorBidi" w:hAnsiTheme="minorBidi"/>
                <w:color w:val="000000"/>
                <w:sz w:val="16"/>
                <w:szCs w:val="16"/>
              </w:rPr>
              <w:t xml:space="preserve"> </w:t>
            </w:r>
            <w:r w:rsidRPr="002D6B0E">
              <w:rPr>
                <w:rFonts w:asciiTheme="minorBidi" w:hAnsiTheme="minorBidi"/>
                <w:color w:val="000000"/>
                <w:sz w:val="16"/>
                <w:szCs w:val="16"/>
              </w:rPr>
              <w:t>098</w:t>
            </w:r>
          </w:p>
        </w:tc>
        <w:tc>
          <w:tcPr>
            <w:tcW w:w="0" w:type="auto"/>
            <w:noWrap/>
            <w:vAlign w:val="center"/>
            <w:hideMark/>
          </w:tcPr>
          <w:p w14:paraId="096D15E3" w14:textId="35D73D4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49</w:t>
            </w:r>
            <w:r w:rsidR="00153073">
              <w:rPr>
                <w:rFonts w:asciiTheme="minorBidi" w:hAnsiTheme="minorBidi"/>
                <w:color w:val="000000"/>
                <w:sz w:val="16"/>
                <w:szCs w:val="16"/>
              </w:rPr>
              <w:t xml:space="preserve"> </w:t>
            </w:r>
            <w:r w:rsidRPr="002D6B0E">
              <w:rPr>
                <w:rFonts w:asciiTheme="minorBidi" w:hAnsiTheme="minorBidi"/>
                <w:color w:val="000000"/>
                <w:sz w:val="16"/>
                <w:szCs w:val="16"/>
              </w:rPr>
              <w:t>655</w:t>
            </w:r>
          </w:p>
        </w:tc>
        <w:tc>
          <w:tcPr>
            <w:tcW w:w="1000" w:type="dxa"/>
            <w:noWrap/>
            <w:vAlign w:val="center"/>
            <w:hideMark/>
          </w:tcPr>
          <w:p w14:paraId="38ED4C34" w14:textId="08A61D0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51</w:t>
            </w:r>
            <w:r w:rsidR="00153073">
              <w:rPr>
                <w:rFonts w:asciiTheme="minorBidi" w:hAnsiTheme="minorBidi"/>
                <w:color w:val="000000"/>
                <w:sz w:val="16"/>
                <w:szCs w:val="16"/>
              </w:rPr>
              <w:t xml:space="preserve"> </w:t>
            </w:r>
            <w:r w:rsidRPr="002D6B0E">
              <w:rPr>
                <w:rFonts w:asciiTheme="minorBidi" w:hAnsiTheme="minorBidi"/>
                <w:color w:val="000000"/>
                <w:sz w:val="16"/>
                <w:szCs w:val="16"/>
              </w:rPr>
              <w:t>736</w:t>
            </w:r>
          </w:p>
        </w:tc>
        <w:tc>
          <w:tcPr>
            <w:tcW w:w="568" w:type="dxa"/>
            <w:shd w:val="clear" w:color="auto" w:fill="E5E5E5" w:themeFill="background2" w:themeFillShade="E6"/>
            <w:noWrap/>
            <w:vAlign w:val="center"/>
            <w:hideMark/>
          </w:tcPr>
          <w:p w14:paraId="02913D36" w14:textId="5FA86F2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0.8</w:t>
            </w:r>
          </w:p>
        </w:tc>
      </w:tr>
      <w:tr w:rsidR="00B54A22" w:rsidRPr="002D6B0E" w14:paraId="73A474CD" w14:textId="77777777" w:rsidTr="00146B4A">
        <w:trPr>
          <w:trHeight w:val="300"/>
        </w:trPr>
        <w:tc>
          <w:tcPr>
            <w:tcW w:w="0" w:type="auto"/>
            <w:noWrap/>
            <w:vAlign w:val="center"/>
            <w:hideMark/>
          </w:tcPr>
          <w:p w14:paraId="4A41FDD7"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Ida-Viru</w:t>
            </w:r>
          </w:p>
        </w:tc>
        <w:tc>
          <w:tcPr>
            <w:tcW w:w="0" w:type="auto"/>
            <w:noWrap/>
            <w:vAlign w:val="center"/>
            <w:hideMark/>
          </w:tcPr>
          <w:p w14:paraId="60B3F4B9" w14:textId="0DB4F036"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40</w:t>
            </w:r>
            <w:r w:rsidR="00153073">
              <w:rPr>
                <w:rFonts w:asciiTheme="minorBidi" w:hAnsiTheme="minorBidi"/>
                <w:color w:val="000000"/>
                <w:sz w:val="16"/>
                <w:szCs w:val="16"/>
              </w:rPr>
              <w:t xml:space="preserve"> </w:t>
            </w:r>
            <w:r w:rsidRPr="002D6B0E">
              <w:rPr>
                <w:rFonts w:asciiTheme="minorBidi" w:hAnsiTheme="minorBidi"/>
                <w:color w:val="000000"/>
                <w:sz w:val="16"/>
                <w:szCs w:val="16"/>
              </w:rPr>
              <w:t>173</w:t>
            </w:r>
          </w:p>
        </w:tc>
        <w:tc>
          <w:tcPr>
            <w:tcW w:w="0" w:type="auto"/>
            <w:noWrap/>
            <w:vAlign w:val="center"/>
            <w:hideMark/>
          </w:tcPr>
          <w:p w14:paraId="72C05251" w14:textId="711A4CB7"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48</w:t>
            </w:r>
            <w:r w:rsidR="00153073">
              <w:rPr>
                <w:rFonts w:asciiTheme="minorBidi" w:hAnsiTheme="minorBidi"/>
                <w:color w:val="000000"/>
                <w:sz w:val="16"/>
                <w:szCs w:val="16"/>
              </w:rPr>
              <w:t xml:space="preserve"> </w:t>
            </w:r>
            <w:r w:rsidRPr="002D6B0E">
              <w:rPr>
                <w:rFonts w:asciiTheme="minorBidi" w:hAnsiTheme="minorBidi"/>
                <w:color w:val="000000"/>
                <w:sz w:val="16"/>
                <w:szCs w:val="16"/>
              </w:rPr>
              <w:t>822</w:t>
            </w:r>
          </w:p>
        </w:tc>
        <w:tc>
          <w:tcPr>
            <w:tcW w:w="0" w:type="auto"/>
            <w:noWrap/>
            <w:vAlign w:val="center"/>
            <w:hideMark/>
          </w:tcPr>
          <w:p w14:paraId="5722E9F5" w14:textId="6186970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33</w:t>
            </w:r>
            <w:r w:rsidR="00153073">
              <w:rPr>
                <w:rFonts w:asciiTheme="minorBidi" w:hAnsiTheme="minorBidi"/>
                <w:color w:val="000000"/>
                <w:sz w:val="16"/>
                <w:szCs w:val="16"/>
              </w:rPr>
              <w:t xml:space="preserve"> </w:t>
            </w:r>
            <w:r w:rsidRPr="002D6B0E">
              <w:rPr>
                <w:rFonts w:asciiTheme="minorBidi" w:hAnsiTheme="minorBidi"/>
                <w:color w:val="000000"/>
                <w:sz w:val="16"/>
                <w:szCs w:val="16"/>
              </w:rPr>
              <w:t>128</w:t>
            </w:r>
          </w:p>
        </w:tc>
        <w:tc>
          <w:tcPr>
            <w:tcW w:w="0" w:type="auto"/>
            <w:noWrap/>
            <w:vAlign w:val="center"/>
            <w:hideMark/>
          </w:tcPr>
          <w:p w14:paraId="717631A5" w14:textId="062910F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33</w:t>
            </w:r>
            <w:r w:rsidR="00153073">
              <w:rPr>
                <w:rFonts w:asciiTheme="minorBidi" w:hAnsiTheme="minorBidi"/>
                <w:color w:val="000000"/>
                <w:sz w:val="16"/>
                <w:szCs w:val="16"/>
              </w:rPr>
              <w:t xml:space="preserve"> </w:t>
            </w:r>
            <w:r w:rsidRPr="002D6B0E">
              <w:rPr>
                <w:rFonts w:asciiTheme="minorBidi" w:hAnsiTheme="minorBidi"/>
                <w:color w:val="000000"/>
                <w:sz w:val="16"/>
                <w:szCs w:val="16"/>
              </w:rPr>
              <w:t>615</w:t>
            </w:r>
          </w:p>
        </w:tc>
        <w:tc>
          <w:tcPr>
            <w:tcW w:w="0" w:type="auto"/>
            <w:noWrap/>
            <w:vAlign w:val="center"/>
            <w:hideMark/>
          </w:tcPr>
          <w:p w14:paraId="5E5B7862" w14:textId="5D3D383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55</w:t>
            </w:r>
            <w:r w:rsidR="00153073">
              <w:rPr>
                <w:rFonts w:asciiTheme="minorBidi" w:hAnsiTheme="minorBidi"/>
                <w:color w:val="000000"/>
                <w:sz w:val="16"/>
                <w:szCs w:val="16"/>
              </w:rPr>
              <w:t xml:space="preserve"> </w:t>
            </w:r>
            <w:r w:rsidRPr="002D6B0E">
              <w:rPr>
                <w:rFonts w:asciiTheme="minorBidi" w:hAnsiTheme="minorBidi"/>
                <w:color w:val="000000"/>
                <w:sz w:val="16"/>
                <w:szCs w:val="16"/>
              </w:rPr>
              <w:t>641</w:t>
            </w:r>
          </w:p>
        </w:tc>
        <w:tc>
          <w:tcPr>
            <w:tcW w:w="0" w:type="auto"/>
            <w:noWrap/>
            <w:vAlign w:val="center"/>
            <w:hideMark/>
          </w:tcPr>
          <w:p w14:paraId="762621BD" w14:textId="3826160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44</w:t>
            </w:r>
            <w:r w:rsidR="00153073">
              <w:rPr>
                <w:rFonts w:asciiTheme="minorBidi" w:hAnsiTheme="minorBidi"/>
                <w:color w:val="000000"/>
                <w:sz w:val="16"/>
                <w:szCs w:val="16"/>
              </w:rPr>
              <w:t xml:space="preserve"> </w:t>
            </w:r>
            <w:r w:rsidRPr="002D6B0E">
              <w:rPr>
                <w:rFonts w:asciiTheme="minorBidi" w:hAnsiTheme="minorBidi"/>
                <w:color w:val="000000"/>
                <w:sz w:val="16"/>
                <w:szCs w:val="16"/>
              </w:rPr>
              <w:t>407</w:t>
            </w:r>
          </w:p>
        </w:tc>
        <w:tc>
          <w:tcPr>
            <w:tcW w:w="597" w:type="dxa"/>
            <w:shd w:val="clear" w:color="auto" w:fill="E5E5E5" w:themeFill="background2" w:themeFillShade="E6"/>
            <w:noWrap/>
            <w:vAlign w:val="center"/>
            <w:hideMark/>
          </w:tcPr>
          <w:p w14:paraId="2FE93D35" w14:textId="695B38D7"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3.0</w:t>
            </w:r>
          </w:p>
        </w:tc>
        <w:tc>
          <w:tcPr>
            <w:tcW w:w="0" w:type="auto"/>
            <w:noWrap/>
            <w:vAlign w:val="center"/>
            <w:hideMark/>
          </w:tcPr>
          <w:p w14:paraId="21DDE350"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58662B5C" w14:textId="03C63CE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481</w:t>
            </w:r>
            <w:r w:rsidR="00153073">
              <w:rPr>
                <w:rFonts w:asciiTheme="minorBidi" w:hAnsiTheme="minorBidi"/>
                <w:color w:val="000000"/>
                <w:sz w:val="16"/>
                <w:szCs w:val="16"/>
              </w:rPr>
              <w:t xml:space="preserve"> </w:t>
            </w:r>
            <w:r w:rsidRPr="002D6B0E">
              <w:rPr>
                <w:rFonts w:asciiTheme="minorBidi" w:hAnsiTheme="minorBidi"/>
                <w:color w:val="000000"/>
                <w:sz w:val="16"/>
                <w:szCs w:val="16"/>
              </w:rPr>
              <w:t>117</w:t>
            </w:r>
          </w:p>
        </w:tc>
        <w:tc>
          <w:tcPr>
            <w:tcW w:w="0" w:type="auto"/>
            <w:noWrap/>
            <w:vAlign w:val="center"/>
            <w:hideMark/>
          </w:tcPr>
          <w:p w14:paraId="629A4435" w14:textId="2AB311F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310</w:t>
            </w:r>
            <w:r w:rsidR="00153073">
              <w:rPr>
                <w:rFonts w:asciiTheme="minorBidi" w:hAnsiTheme="minorBidi"/>
                <w:color w:val="000000"/>
                <w:sz w:val="16"/>
                <w:szCs w:val="16"/>
              </w:rPr>
              <w:t xml:space="preserve"> </w:t>
            </w:r>
            <w:r w:rsidRPr="002D6B0E">
              <w:rPr>
                <w:rFonts w:asciiTheme="minorBidi" w:hAnsiTheme="minorBidi"/>
                <w:color w:val="000000"/>
                <w:sz w:val="16"/>
                <w:szCs w:val="16"/>
              </w:rPr>
              <w:t>537</w:t>
            </w:r>
          </w:p>
        </w:tc>
        <w:tc>
          <w:tcPr>
            <w:tcW w:w="0" w:type="auto"/>
            <w:noWrap/>
            <w:vAlign w:val="center"/>
            <w:hideMark/>
          </w:tcPr>
          <w:p w14:paraId="533792A6" w14:textId="7174E79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311</w:t>
            </w:r>
            <w:r w:rsidR="00153073">
              <w:rPr>
                <w:rFonts w:asciiTheme="minorBidi" w:hAnsiTheme="minorBidi"/>
                <w:color w:val="000000"/>
                <w:sz w:val="16"/>
                <w:szCs w:val="16"/>
              </w:rPr>
              <w:t xml:space="preserve"> </w:t>
            </w:r>
            <w:r w:rsidRPr="002D6B0E">
              <w:rPr>
                <w:rFonts w:asciiTheme="minorBidi" w:hAnsiTheme="minorBidi"/>
                <w:color w:val="000000"/>
                <w:sz w:val="16"/>
                <w:szCs w:val="16"/>
              </w:rPr>
              <w:t>336</w:t>
            </w:r>
          </w:p>
        </w:tc>
        <w:tc>
          <w:tcPr>
            <w:tcW w:w="0" w:type="auto"/>
            <w:noWrap/>
            <w:vAlign w:val="center"/>
            <w:hideMark/>
          </w:tcPr>
          <w:p w14:paraId="1601CBA4" w14:textId="11B6014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386</w:t>
            </w:r>
            <w:r w:rsidR="00153073">
              <w:rPr>
                <w:rFonts w:asciiTheme="minorBidi" w:hAnsiTheme="minorBidi"/>
                <w:color w:val="000000"/>
                <w:sz w:val="16"/>
                <w:szCs w:val="16"/>
              </w:rPr>
              <w:t xml:space="preserve"> </w:t>
            </w:r>
            <w:r w:rsidRPr="002D6B0E">
              <w:rPr>
                <w:rFonts w:asciiTheme="minorBidi" w:hAnsiTheme="minorBidi"/>
                <w:color w:val="000000"/>
                <w:sz w:val="16"/>
                <w:szCs w:val="16"/>
              </w:rPr>
              <w:t>715</w:t>
            </w:r>
          </w:p>
        </w:tc>
        <w:tc>
          <w:tcPr>
            <w:tcW w:w="0" w:type="auto"/>
            <w:noWrap/>
            <w:vAlign w:val="center"/>
            <w:hideMark/>
          </w:tcPr>
          <w:p w14:paraId="5DEE042E" w14:textId="1E738BA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383</w:t>
            </w:r>
            <w:r w:rsidR="00153073">
              <w:rPr>
                <w:rFonts w:asciiTheme="minorBidi" w:hAnsiTheme="minorBidi"/>
                <w:color w:val="000000"/>
                <w:sz w:val="16"/>
                <w:szCs w:val="16"/>
              </w:rPr>
              <w:t xml:space="preserve"> </w:t>
            </w:r>
            <w:r w:rsidRPr="002D6B0E">
              <w:rPr>
                <w:rFonts w:asciiTheme="minorBidi" w:hAnsiTheme="minorBidi"/>
                <w:color w:val="000000"/>
                <w:sz w:val="16"/>
                <w:szCs w:val="16"/>
              </w:rPr>
              <w:t>028</w:t>
            </w:r>
          </w:p>
        </w:tc>
        <w:tc>
          <w:tcPr>
            <w:tcW w:w="1000" w:type="dxa"/>
            <w:noWrap/>
            <w:vAlign w:val="center"/>
            <w:hideMark/>
          </w:tcPr>
          <w:p w14:paraId="0F233BFF" w14:textId="61292F9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381</w:t>
            </w:r>
            <w:r w:rsidR="00153073">
              <w:rPr>
                <w:rFonts w:asciiTheme="minorBidi" w:hAnsiTheme="minorBidi"/>
                <w:color w:val="000000"/>
                <w:sz w:val="16"/>
                <w:szCs w:val="16"/>
              </w:rPr>
              <w:t xml:space="preserve"> </w:t>
            </w:r>
            <w:r w:rsidRPr="002D6B0E">
              <w:rPr>
                <w:rFonts w:asciiTheme="minorBidi" w:hAnsiTheme="minorBidi"/>
                <w:color w:val="000000"/>
                <w:sz w:val="16"/>
                <w:szCs w:val="16"/>
              </w:rPr>
              <w:t>914</w:t>
            </w:r>
          </w:p>
        </w:tc>
        <w:tc>
          <w:tcPr>
            <w:tcW w:w="568" w:type="dxa"/>
            <w:shd w:val="clear" w:color="auto" w:fill="E5E5E5" w:themeFill="background2" w:themeFillShade="E6"/>
            <w:noWrap/>
            <w:vAlign w:val="center"/>
            <w:hideMark/>
          </w:tcPr>
          <w:p w14:paraId="55C14C99" w14:textId="5BBDAB1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5.7</w:t>
            </w:r>
          </w:p>
        </w:tc>
      </w:tr>
      <w:tr w:rsidR="00B54A22" w:rsidRPr="002D6B0E" w14:paraId="52FFBB4E" w14:textId="77777777" w:rsidTr="00146B4A">
        <w:trPr>
          <w:trHeight w:val="300"/>
        </w:trPr>
        <w:tc>
          <w:tcPr>
            <w:tcW w:w="0" w:type="auto"/>
            <w:noWrap/>
            <w:vAlign w:val="center"/>
            <w:hideMark/>
          </w:tcPr>
          <w:p w14:paraId="0721D9E8"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Jõgeva</w:t>
            </w:r>
          </w:p>
        </w:tc>
        <w:tc>
          <w:tcPr>
            <w:tcW w:w="0" w:type="auto"/>
            <w:noWrap/>
            <w:vAlign w:val="center"/>
            <w:hideMark/>
          </w:tcPr>
          <w:p w14:paraId="38B14F75" w14:textId="18421F8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w:t>
            </w:r>
            <w:r w:rsidR="00153073">
              <w:rPr>
                <w:rFonts w:asciiTheme="minorBidi" w:hAnsiTheme="minorBidi"/>
                <w:color w:val="000000"/>
                <w:sz w:val="16"/>
                <w:szCs w:val="16"/>
              </w:rPr>
              <w:t xml:space="preserve"> </w:t>
            </w:r>
            <w:r w:rsidRPr="002D6B0E">
              <w:rPr>
                <w:rFonts w:asciiTheme="minorBidi" w:hAnsiTheme="minorBidi"/>
                <w:color w:val="000000"/>
                <w:sz w:val="16"/>
                <w:szCs w:val="16"/>
              </w:rPr>
              <w:t>607</w:t>
            </w:r>
          </w:p>
        </w:tc>
        <w:tc>
          <w:tcPr>
            <w:tcW w:w="0" w:type="auto"/>
            <w:noWrap/>
            <w:vAlign w:val="center"/>
            <w:hideMark/>
          </w:tcPr>
          <w:p w14:paraId="0541FB7F" w14:textId="62AF68F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w:t>
            </w:r>
            <w:r w:rsidR="00153073">
              <w:rPr>
                <w:rFonts w:asciiTheme="minorBidi" w:hAnsiTheme="minorBidi"/>
                <w:color w:val="000000"/>
                <w:sz w:val="16"/>
                <w:szCs w:val="16"/>
              </w:rPr>
              <w:t xml:space="preserve"> </w:t>
            </w:r>
            <w:r w:rsidRPr="002D6B0E">
              <w:rPr>
                <w:rFonts w:asciiTheme="minorBidi" w:hAnsiTheme="minorBidi"/>
                <w:color w:val="000000"/>
                <w:sz w:val="16"/>
                <w:szCs w:val="16"/>
              </w:rPr>
              <w:t>076</w:t>
            </w:r>
          </w:p>
        </w:tc>
        <w:tc>
          <w:tcPr>
            <w:tcW w:w="0" w:type="auto"/>
            <w:noWrap/>
            <w:vAlign w:val="center"/>
            <w:hideMark/>
          </w:tcPr>
          <w:p w14:paraId="4F59EF42" w14:textId="5B98FA3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w:t>
            </w:r>
            <w:r w:rsidR="00153073">
              <w:rPr>
                <w:rFonts w:asciiTheme="minorBidi" w:hAnsiTheme="minorBidi"/>
                <w:color w:val="000000"/>
                <w:sz w:val="16"/>
                <w:szCs w:val="16"/>
              </w:rPr>
              <w:t xml:space="preserve"> </w:t>
            </w:r>
            <w:r w:rsidRPr="002D6B0E">
              <w:rPr>
                <w:rFonts w:asciiTheme="minorBidi" w:hAnsiTheme="minorBidi"/>
                <w:color w:val="000000"/>
                <w:sz w:val="16"/>
                <w:szCs w:val="16"/>
              </w:rPr>
              <w:t>708</w:t>
            </w:r>
          </w:p>
        </w:tc>
        <w:tc>
          <w:tcPr>
            <w:tcW w:w="0" w:type="auto"/>
            <w:noWrap/>
            <w:vAlign w:val="center"/>
            <w:hideMark/>
          </w:tcPr>
          <w:p w14:paraId="483C92B0" w14:textId="7FE9307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w:t>
            </w:r>
            <w:r w:rsidR="00153073">
              <w:rPr>
                <w:rFonts w:asciiTheme="minorBidi" w:hAnsiTheme="minorBidi"/>
                <w:color w:val="000000"/>
                <w:sz w:val="16"/>
                <w:szCs w:val="16"/>
              </w:rPr>
              <w:t xml:space="preserve"> </w:t>
            </w:r>
            <w:r w:rsidRPr="002D6B0E">
              <w:rPr>
                <w:rFonts w:asciiTheme="minorBidi" w:hAnsiTheme="minorBidi"/>
                <w:color w:val="000000"/>
                <w:sz w:val="16"/>
                <w:szCs w:val="16"/>
              </w:rPr>
              <w:t>624</w:t>
            </w:r>
          </w:p>
        </w:tc>
        <w:tc>
          <w:tcPr>
            <w:tcW w:w="0" w:type="auto"/>
            <w:noWrap/>
            <w:vAlign w:val="center"/>
            <w:hideMark/>
          </w:tcPr>
          <w:p w14:paraId="56D4505D" w14:textId="004D4316"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w:t>
            </w:r>
            <w:r w:rsidR="00153073">
              <w:rPr>
                <w:rFonts w:asciiTheme="minorBidi" w:hAnsiTheme="minorBidi"/>
                <w:color w:val="000000"/>
                <w:sz w:val="16"/>
                <w:szCs w:val="16"/>
              </w:rPr>
              <w:t xml:space="preserve"> </w:t>
            </w:r>
            <w:r w:rsidRPr="002D6B0E">
              <w:rPr>
                <w:rFonts w:asciiTheme="minorBidi" w:hAnsiTheme="minorBidi"/>
                <w:color w:val="000000"/>
                <w:sz w:val="16"/>
                <w:szCs w:val="16"/>
              </w:rPr>
              <w:t>972</w:t>
            </w:r>
          </w:p>
        </w:tc>
        <w:tc>
          <w:tcPr>
            <w:tcW w:w="0" w:type="auto"/>
            <w:noWrap/>
            <w:vAlign w:val="center"/>
            <w:hideMark/>
          </w:tcPr>
          <w:p w14:paraId="2A1BE53D" w14:textId="141FA8D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w:t>
            </w:r>
            <w:r w:rsidR="00153073">
              <w:rPr>
                <w:rFonts w:asciiTheme="minorBidi" w:hAnsiTheme="minorBidi"/>
                <w:color w:val="000000"/>
                <w:sz w:val="16"/>
                <w:szCs w:val="16"/>
              </w:rPr>
              <w:t xml:space="preserve"> </w:t>
            </w:r>
            <w:r w:rsidRPr="002D6B0E">
              <w:rPr>
                <w:rFonts w:asciiTheme="minorBidi" w:hAnsiTheme="minorBidi"/>
                <w:color w:val="000000"/>
                <w:sz w:val="16"/>
                <w:szCs w:val="16"/>
              </w:rPr>
              <w:t>102</w:t>
            </w:r>
          </w:p>
        </w:tc>
        <w:tc>
          <w:tcPr>
            <w:tcW w:w="597" w:type="dxa"/>
            <w:shd w:val="clear" w:color="auto" w:fill="E5E5E5" w:themeFill="background2" w:themeFillShade="E6"/>
            <w:noWrap/>
            <w:vAlign w:val="center"/>
            <w:hideMark/>
          </w:tcPr>
          <w:p w14:paraId="0B362CC1" w14:textId="6BA08FD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0.3</w:t>
            </w:r>
          </w:p>
        </w:tc>
        <w:tc>
          <w:tcPr>
            <w:tcW w:w="0" w:type="auto"/>
            <w:noWrap/>
            <w:vAlign w:val="center"/>
            <w:hideMark/>
          </w:tcPr>
          <w:p w14:paraId="385FA88D"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48D20B27" w14:textId="02D586F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38</w:t>
            </w:r>
            <w:r w:rsidR="00153073">
              <w:rPr>
                <w:rFonts w:asciiTheme="minorBidi" w:hAnsiTheme="minorBidi"/>
                <w:color w:val="000000"/>
                <w:sz w:val="16"/>
                <w:szCs w:val="16"/>
              </w:rPr>
              <w:t xml:space="preserve"> </w:t>
            </w:r>
            <w:r w:rsidRPr="002D6B0E">
              <w:rPr>
                <w:rFonts w:asciiTheme="minorBidi" w:hAnsiTheme="minorBidi"/>
                <w:color w:val="000000"/>
                <w:sz w:val="16"/>
                <w:szCs w:val="16"/>
              </w:rPr>
              <w:t>103</w:t>
            </w:r>
          </w:p>
        </w:tc>
        <w:tc>
          <w:tcPr>
            <w:tcW w:w="0" w:type="auto"/>
            <w:noWrap/>
            <w:vAlign w:val="center"/>
            <w:hideMark/>
          </w:tcPr>
          <w:p w14:paraId="3D02C085" w14:textId="3C264041"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36</w:t>
            </w:r>
            <w:r w:rsidR="00153073">
              <w:rPr>
                <w:rFonts w:asciiTheme="minorBidi" w:hAnsiTheme="minorBidi"/>
                <w:color w:val="000000"/>
                <w:sz w:val="16"/>
                <w:szCs w:val="16"/>
              </w:rPr>
              <w:t xml:space="preserve"> </w:t>
            </w:r>
            <w:r w:rsidRPr="002D6B0E">
              <w:rPr>
                <w:rFonts w:asciiTheme="minorBidi" w:hAnsiTheme="minorBidi"/>
                <w:color w:val="000000"/>
                <w:sz w:val="16"/>
                <w:szCs w:val="16"/>
              </w:rPr>
              <w:t>014</w:t>
            </w:r>
          </w:p>
        </w:tc>
        <w:tc>
          <w:tcPr>
            <w:tcW w:w="0" w:type="auto"/>
            <w:noWrap/>
            <w:vAlign w:val="center"/>
            <w:hideMark/>
          </w:tcPr>
          <w:p w14:paraId="2DA070A1" w14:textId="0483C92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37</w:t>
            </w:r>
            <w:r w:rsidR="00153073">
              <w:rPr>
                <w:rFonts w:asciiTheme="minorBidi" w:hAnsiTheme="minorBidi"/>
                <w:color w:val="000000"/>
                <w:sz w:val="16"/>
                <w:szCs w:val="16"/>
              </w:rPr>
              <w:t xml:space="preserve"> </w:t>
            </w:r>
            <w:r w:rsidRPr="002D6B0E">
              <w:rPr>
                <w:rFonts w:asciiTheme="minorBidi" w:hAnsiTheme="minorBidi"/>
                <w:color w:val="000000"/>
                <w:sz w:val="16"/>
                <w:szCs w:val="16"/>
              </w:rPr>
              <w:t>712</w:t>
            </w:r>
          </w:p>
        </w:tc>
        <w:tc>
          <w:tcPr>
            <w:tcW w:w="0" w:type="auto"/>
            <w:noWrap/>
            <w:vAlign w:val="center"/>
            <w:hideMark/>
          </w:tcPr>
          <w:p w14:paraId="7F0DA0CF" w14:textId="58A4D9C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47</w:t>
            </w:r>
            <w:r w:rsidR="00153073">
              <w:rPr>
                <w:rFonts w:asciiTheme="minorBidi" w:hAnsiTheme="minorBidi"/>
                <w:color w:val="000000"/>
                <w:sz w:val="16"/>
                <w:szCs w:val="16"/>
              </w:rPr>
              <w:t xml:space="preserve"> </w:t>
            </w:r>
            <w:r w:rsidRPr="002D6B0E">
              <w:rPr>
                <w:rFonts w:asciiTheme="minorBidi" w:hAnsiTheme="minorBidi"/>
                <w:color w:val="000000"/>
                <w:sz w:val="16"/>
                <w:szCs w:val="16"/>
              </w:rPr>
              <w:t>059</w:t>
            </w:r>
          </w:p>
        </w:tc>
        <w:tc>
          <w:tcPr>
            <w:tcW w:w="0" w:type="auto"/>
            <w:noWrap/>
            <w:vAlign w:val="center"/>
            <w:hideMark/>
          </w:tcPr>
          <w:p w14:paraId="48DF1A9D" w14:textId="12A71B4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44</w:t>
            </w:r>
            <w:r w:rsidR="00153073">
              <w:rPr>
                <w:rFonts w:asciiTheme="minorBidi" w:hAnsiTheme="minorBidi"/>
                <w:color w:val="000000"/>
                <w:sz w:val="16"/>
                <w:szCs w:val="16"/>
              </w:rPr>
              <w:t xml:space="preserve"> </w:t>
            </w:r>
            <w:r w:rsidRPr="002D6B0E">
              <w:rPr>
                <w:rFonts w:asciiTheme="minorBidi" w:hAnsiTheme="minorBidi"/>
                <w:color w:val="000000"/>
                <w:sz w:val="16"/>
                <w:szCs w:val="16"/>
              </w:rPr>
              <w:t>665</w:t>
            </w:r>
          </w:p>
        </w:tc>
        <w:tc>
          <w:tcPr>
            <w:tcW w:w="1000" w:type="dxa"/>
            <w:noWrap/>
            <w:vAlign w:val="center"/>
            <w:hideMark/>
          </w:tcPr>
          <w:p w14:paraId="320CC4CA" w14:textId="1A475E8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43</w:t>
            </w:r>
            <w:r w:rsidR="00153073">
              <w:rPr>
                <w:rFonts w:asciiTheme="minorBidi" w:hAnsiTheme="minorBidi"/>
                <w:color w:val="000000"/>
                <w:sz w:val="16"/>
                <w:szCs w:val="16"/>
              </w:rPr>
              <w:t xml:space="preserve"> </w:t>
            </w:r>
            <w:r w:rsidRPr="002D6B0E">
              <w:rPr>
                <w:rFonts w:asciiTheme="minorBidi" w:hAnsiTheme="minorBidi"/>
                <w:color w:val="000000"/>
                <w:sz w:val="16"/>
                <w:szCs w:val="16"/>
              </w:rPr>
              <w:t>013</w:t>
            </w:r>
          </w:p>
        </w:tc>
        <w:tc>
          <w:tcPr>
            <w:tcW w:w="568" w:type="dxa"/>
            <w:shd w:val="clear" w:color="auto" w:fill="E5E5E5" w:themeFill="background2" w:themeFillShade="E6"/>
            <w:noWrap/>
            <w:vAlign w:val="center"/>
            <w:hideMark/>
          </w:tcPr>
          <w:p w14:paraId="2EE6455D" w14:textId="165AB0B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0.6</w:t>
            </w:r>
          </w:p>
        </w:tc>
      </w:tr>
      <w:tr w:rsidR="00B54A22" w:rsidRPr="002D6B0E" w14:paraId="2139B541" w14:textId="77777777" w:rsidTr="00146B4A">
        <w:trPr>
          <w:trHeight w:val="300"/>
        </w:trPr>
        <w:tc>
          <w:tcPr>
            <w:tcW w:w="0" w:type="auto"/>
            <w:noWrap/>
            <w:vAlign w:val="center"/>
            <w:hideMark/>
          </w:tcPr>
          <w:p w14:paraId="37C173DB"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Järva</w:t>
            </w:r>
          </w:p>
        </w:tc>
        <w:tc>
          <w:tcPr>
            <w:tcW w:w="0" w:type="auto"/>
            <w:noWrap/>
            <w:vAlign w:val="center"/>
            <w:hideMark/>
          </w:tcPr>
          <w:p w14:paraId="13866E34" w14:textId="63468D3C"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w:t>
            </w:r>
            <w:r w:rsidR="00153073">
              <w:rPr>
                <w:rFonts w:asciiTheme="minorBidi" w:hAnsiTheme="minorBidi"/>
                <w:color w:val="000000"/>
                <w:sz w:val="16"/>
                <w:szCs w:val="16"/>
              </w:rPr>
              <w:t xml:space="preserve"> </w:t>
            </w:r>
            <w:r w:rsidRPr="002D6B0E">
              <w:rPr>
                <w:rFonts w:asciiTheme="minorBidi" w:hAnsiTheme="minorBidi"/>
                <w:color w:val="000000"/>
                <w:sz w:val="16"/>
                <w:szCs w:val="16"/>
              </w:rPr>
              <w:t>220</w:t>
            </w:r>
          </w:p>
        </w:tc>
        <w:tc>
          <w:tcPr>
            <w:tcW w:w="0" w:type="auto"/>
            <w:noWrap/>
            <w:vAlign w:val="center"/>
            <w:hideMark/>
          </w:tcPr>
          <w:p w14:paraId="273E8BF8" w14:textId="6BA44D1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w:t>
            </w:r>
            <w:r w:rsidR="00153073">
              <w:rPr>
                <w:rFonts w:asciiTheme="minorBidi" w:hAnsiTheme="minorBidi"/>
                <w:color w:val="000000"/>
                <w:sz w:val="16"/>
                <w:szCs w:val="16"/>
              </w:rPr>
              <w:t xml:space="preserve"> </w:t>
            </w:r>
            <w:r w:rsidRPr="002D6B0E">
              <w:rPr>
                <w:rFonts w:asciiTheme="minorBidi" w:hAnsiTheme="minorBidi"/>
                <w:color w:val="000000"/>
                <w:sz w:val="16"/>
                <w:szCs w:val="16"/>
              </w:rPr>
              <w:t>154</w:t>
            </w:r>
          </w:p>
        </w:tc>
        <w:tc>
          <w:tcPr>
            <w:tcW w:w="0" w:type="auto"/>
            <w:noWrap/>
            <w:vAlign w:val="center"/>
            <w:hideMark/>
          </w:tcPr>
          <w:p w14:paraId="258C8316" w14:textId="77777777"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559</w:t>
            </w:r>
          </w:p>
        </w:tc>
        <w:tc>
          <w:tcPr>
            <w:tcW w:w="0" w:type="auto"/>
            <w:noWrap/>
            <w:vAlign w:val="center"/>
            <w:hideMark/>
          </w:tcPr>
          <w:p w14:paraId="1A8D9C3D" w14:textId="0AEB49B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w:t>
            </w:r>
            <w:r w:rsidR="00153073">
              <w:rPr>
                <w:rFonts w:asciiTheme="minorBidi" w:hAnsiTheme="minorBidi"/>
                <w:color w:val="000000"/>
                <w:sz w:val="16"/>
                <w:szCs w:val="16"/>
              </w:rPr>
              <w:t xml:space="preserve"> </w:t>
            </w:r>
            <w:r w:rsidRPr="002D6B0E">
              <w:rPr>
                <w:rFonts w:asciiTheme="minorBidi" w:hAnsiTheme="minorBidi"/>
                <w:color w:val="000000"/>
                <w:sz w:val="16"/>
                <w:szCs w:val="16"/>
              </w:rPr>
              <w:t>480</w:t>
            </w:r>
          </w:p>
        </w:tc>
        <w:tc>
          <w:tcPr>
            <w:tcW w:w="0" w:type="auto"/>
            <w:noWrap/>
            <w:vAlign w:val="center"/>
            <w:hideMark/>
          </w:tcPr>
          <w:p w14:paraId="45AFA14F" w14:textId="180C227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w:t>
            </w:r>
            <w:r w:rsidR="00153073">
              <w:rPr>
                <w:rFonts w:asciiTheme="minorBidi" w:hAnsiTheme="minorBidi"/>
                <w:color w:val="000000"/>
                <w:sz w:val="16"/>
                <w:szCs w:val="16"/>
              </w:rPr>
              <w:t xml:space="preserve"> </w:t>
            </w:r>
            <w:r w:rsidRPr="002D6B0E">
              <w:rPr>
                <w:rFonts w:asciiTheme="minorBidi" w:hAnsiTheme="minorBidi"/>
                <w:color w:val="000000"/>
                <w:sz w:val="16"/>
                <w:szCs w:val="16"/>
              </w:rPr>
              <w:t>563</w:t>
            </w:r>
          </w:p>
        </w:tc>
        <w:tc>
          <w:tcPr>
            <w:tcW w:w="0" w:type="auto"/>
            <w:noWrap/>
            <w:vAlign w:val="center"/>
            <w:hideMark/>
          </w:tcPr>
          <w:p w14:paraId="7DCC22AC" w14:textId="599C03F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w:t>
            </w:r>
            <w:r w:rsidR="00153073">
              <w:rPr>
                <w:rFonts w:asciiTheme="minorBidi" w:hAnsiTheme="minorBidi"/>
                <w:color w:val="000000"/>
                <w:sz w:val="16"/>
                <w:szCs w:val="16"/>
              </w:rPr>
              <w:t xml:space="preserve"> </w:t>
            </w:r>
            <w:r w:rsidRPr="002D6B0E">
              <w:rPr>
                <w:rFonts w:asciiTheme="minorBidi" w:hAnsiTheme="minorBidi"/>
                <w:color w:val="000000"/>
                <w:sz w:val="16"/>
                <w:szCs w:val="16"/>
              </w:rPr>
              <w:t>040</w:t>
            </w:r>
          </w:p>
        </w:tc>
        <w:tc>
          <w:tcPr>
            <w:tcW w:w="597" w:type="dxa"/>
            <w:shd w:val="clear" w:color="auto" w:fill="E5E5E5" w:themeFill="background2" w:themeFillShade="E6"/>
            <w:noWrap/>
            <w:vAlign w:val="center"/>
            <w:hideMark/>
          </w:tcPr>
          <w:p w14:paraId="1B5B0B8F" w14:textId="09BBB927"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0.3</w:t>
            </w:r>
          </w:p>
        </w:tc>
        <w:tc>
          <w:tcPr>
            <w:tcW w:w="0" w:type="auto"/>
            <w:noWrap/>
            <w:vAlign w:val="center"/>
            <w:hideMark/>
          </w:tcPr>
          <w:p w14:paraId="0ED73628"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714561C3" w14:textId="053F7B4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46</w:t>
            </w:r>
            <w:r w:rsidR="00153073">
              <w:rPr>
                <w:rFonts w:asciiTheme="minorBidi" w:hAnsiTheme="minorBidi"/>
                <w:color w:val="000000"/>
                <w:sz w:val="16"/>
                <w:szCs w:val="16"/>
              </w:rPr>
              <w:t xml:space="preserve"> </w:t>
            </w:r>
            <w:r w:rsidRPr="002D6B0E">
              <w:rPr>
                <w:rFonts w:asciiTheme="minorBidi" w:hAnsiTheme="minorBidi"/>
                <w:color w:val="000000"/>
                <w:sz w:val="16"/>
                <w:szCs w:val="16"/>
              </w:rPr>
              <w:t>214</w:t>
            </w:r>
          </w:p>
        </w:tc>
        <w:tc>
          <w:tcPr>
            <w:tcW w:w="0" w:type="auto"/>
            <w:noWrap/>
            <w:vAlign w:val="center"/>
            <w:hideMark/>
          </w:tcPr>
          <w:p w14:paraId="0DC46FC0" w14:textId="32BF3F0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31</w:t>
            </w:r>
            <w:r w:rsidR="00153073">
              <w:rPr>
                <w:rFonts w:asciiTheme="minorBidi" w:hAnsiTheme="minorBidi"/>
                <w:color w:val="000000"/>
                <w:sz w:val="16"/>
                <w:szCs w:val="16"/>
              </w:rPr>
              <w:t xml:space="preserve"> </w:t>
            </w:r>
            <w:r w:rsidRPr="002D6B0E">
              <w:rPr>
                <w:rFonts w:asciiTheme="minorBidi" w:hAnsiTheme="minorBidi"/>
                <w:color w:val="000000"/>
                <w:sz w:val="16"/>
                <w:szCs w:val="16"/>
              </w:rPr>
              <w:t>760</w:t>
            </w:r>
          </w:p>
        </w:tc>
        <w:tc>
          <w:tcPr>
            <w:tcW w:w="0" w:type="auto"/>
            <w:noWrap/>
            <w:vAlign w:val="center"/>
            <w:hideMark/>
          </w:tcPr>
          <w:p w14:paraId="43FFE09B" w14:textId="331BAC6D"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40</w:t>
            </w:r>
            <w:r w:rsidR="00153073">
              <w:rPr>
                <w:rFonts w:asciiTheme="minorBidi" w:hAnsiTheme="minorBidi"/>
                <w:color w:val="000000"/>
                <w:sz w:val="16"/>
                <w:szCs w:val="16"/>
              </w:rPr>
              <w:t xml:space="preserve"> </w:t>
            </w:r>
            <w:r w:rsidRPr="002D6B0E">
              <w:rPr>
                <w:rFonts w:asciiTheme="minorBidi" w:hAnsiTheme="minorBidi"/>
                <w:color w:val="000000"/>
                <w:sz w:val="16"/>
                <w:szCs w:val="16"/>
              </w:rPr>
              <w:t>831</w:t>
            </w:r>
          </w:p>
        </w:tc>
        <w:tc>
          <w:tcPr>
            <w:tcW w:w="0" w:type="auto"/>
            <w:noWrap/>
            <w:vAlign w:val="center"/>
            <w:hideMark/>
          </w:tcPr>
          <w:p w14:paraId="4A587B91" w14:textId="28F2613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70</w:t>
            </w:r>
            <w:r w:rsidR="00153073">
              <w:rPr>
                <w:rFonts w:asciiTheme="minorBidi" w:hAnsiTheme="minorBidi"/>
                <w:color w:val="000000"/>
                <w:sz w:val="16"/>
                <w:szCs w:val="16"/>
              </w:rPr>
              <w:t xml:space="preserve"> </w:t>
            </w:r>
            <w:r w:rsidRPr="002D6B0E">
              <w:rPr>
                <w:rFonts w:asciiTheme="minorBidi" w:hAnsiTheme="minorBidi"/>
                <w:color w:val="000000"/>
                <w:sz w:val="16"/>
                <w:szCs w:val="16"/>
              </w:rPr>
              <w:t>063</w:t>
            </w:r>
          </w:p>
        </w:tc>
        <w:tc>
          <w:tcPr>
            <w:tcW w:w="0" w:type="auto"/>
            <w:noWrap/>
            <w:vAlign w:val="center"/>
            <w:hideMark/>
          </w:tcPr>
          <w:p w14:paraId="3F893AAC" w14:textId="6819965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89</w:t>
            </w:r>
            <w:r w:rsidR="00153073">
              <w:rPr>
                <w:rFonts w:asciiTheme="minorBidi" w:hAnsiTheme="minorBidi"/>
                <w:color w:val="000000"/>
                <w:sz w:val="16"/>
                <w:szCs w:val="16"/>
              </w:rPr>
              <w:t xml:space="preserve"> </w:t>
            </w:r>
            <w:r w:rsidRPr="002D6B0E">
              <w:rPr>
                <w:rFonts w:asciiTheme="minorBidi" w:hAnsiTheme="minorBidi"/>
                <w:color w:val="000000"/>
                <w:sz w:val="16"/>
                <w:szCs w:val="16"/>
              </w:rPr>
              <w:t>911</w:t>
            </w:r>
          </w:p>
        </w:tc>
        <w:tc>
          <w:tcPr>
            <w:tcW w:w="1000" w:type="dxa"/>
            <w:noWrap/>
            <w:vAlign w:val="center"/>
            <w:hideMark/>
          </w:tcPr>
          <w:p w14:paraId="0E9CBFE4" w14:textId="4EC26C8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50</w:t>
            </w:r>
            <w:r w:rsidR="00153073">
              <w:rPr>
                <w:rFonts w:asciiTheme="minorBidi" w:hAnsiTheme="minorBidi"/>
                <w:color w:val="000000"/>
                <w:sz w:val="16"/>
                <w:szCs w:val="16"/>
              </w:rPr>
              <w:t xml:space="preserve"> </w:t>
            </w:r>
            <w:r w:rsidRPr="002D6B0E">
              <w:rPr>
                <w:rFonts w:asciiTheme="minorBidi" w:hAnsiTheme="minorBidi"/>
                <w:color w:val="000000"/>
                <w:sz w:val="16"/>
                <w:szCs w:val="16"/>
              </w:rPr>
              <w:t>922</w:t>
            </w:r>
          </w:p>
        </w:tc>
        <w:tc>
          <w:tcPr>
            <w:tcW w:w="568" w:type="dxa"/>
            <w:shd w:val="clear" w:color="auto" w:fill="E5E5E5" w:themeFill="background2" w:themeFillShade="E6"/>
            <w:noWrap/>
            <w:vAlign w:val="center"/>
            <w:hideMark/>
          </w:tcPr>
          <w:p w14:paraId="2E7A346B" w14:textId="3038FD0C"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0.8</w:t>
            </w:r>
          </w:p>
        </w:tc>
      </w:tr>
      <w:tr w:rsidR="00B54A22" w:rsidRPr="002D6B0E" w14:paraId="7C9F0734" w14:textId="77777777" w:rsidTr="00146B4A">
        <w:trPr>
          <w:trHeight w:val="300"/>
        </w:trPr>
        <w:tc>
          <w:tcPr>
            <w:tcW w:w="0" w:type="auto"/>
            <w:noWrap/>
            <w:vAlign w:val="center"/>
            <w:hideMark/>
          </w:tcPr>
          <w:p w14:paraId="3DEB43EC"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Lääne</w:t>
            </w:r>
          </w:p>
        </w:tc>
        <w:tc>
          <w:tcPr>
            <w:tcW w:w="0" w:type="auto"/>
            <w:noWrap/>
            <w:vAlign w:val="center"/>
            <w:hideMark/>
          </w:tcPr>
          <w:p w14:paraId="05998F40" w14:textId="37A3C147"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27</w:t>
            </w:r>
            <w:r w:rsidR="00153073">
              <w:rPr>
                <w:rFonts w:asciiTheme="minorBidi" w:hAnsiTheme="minorBidi"/>
                <w:color w:val="000000"/>
                <w:sz w:val="16"/>
                <w:szCs w:val="16"/>
              </w:rPr>
              <w:t xml:space="preserve"> </w:t>
            </w:r>
            <w:r w:rsidRPr="002D6B0E">
              <w:rPr>
                <w:rFonts w:asciiTheme="minorBidi" w:hAnsiTheme="minorBidi"/>
                <w:color w:val="000000"/>
                <w:sz w:val="16"/>
                <w:szCs w:val="16"/>
              </w:rPr>
              <w:t>314</w:t>
            </w:r>
          </w:p>
        </w:tc>
        <w:tc>
          <w:tcPr>
            <w:tcW w:w="0" w:type="auto"/>
            <w:noWrap/>
            <w:vAlign w:val="center"/>
            <w:hideMark/>
          </w:tcPr>
          <w:p w14:paraId="6F194DE8" w14:textId="038487F1"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33</w:t>
            </w:r>
            <w:r w:rsidR="00153073">
              <w:rPr>
                <w:rFonts w:asciiTheme="minorBidi" w:hAnsiTheme="minorBidi"/>
                <w:color w:val="000000"/>
                <w:sz w:val="16"/>
                <w:szCs w:val="16"/>
              </w:rPr>
              <w:t xml:space="preserve"> </w:t>
            </w:r>
            <w:r w:rsidRPr="002D6B0E">
              <w:rPr>
                <w:rFonts w:asciiTheme="minorBidi" w:hAnsiTheme="minorBidi"/>
                <w:color w:val="000000"/>
                <w:sz w:val="16"/>
                <w:szCs w:val="16"/>
              </w:rPr>
              <w:t>801</w:t>
            </w:r>
          </w:p>
        </w:tc>
        <w:tc>
          <w:tcPr>
            <w:tcW w:w="0" w:type="auto"/>
            <w:noWrap/>
            <w:vAlign w:val="center"/>
            <w:hideMark/>
          </w:tcPr>
          <w:p w14:paraId="38CEBE4F" w14:textId="0D9D14D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29</w:t>
            </w:r>
            <w:r w:rsidR="00153073">
              <w:rPr>
                <w:rFonts w:asciiTheme="minorBidi" w:hAnsiTheme="minorBidi"/>
                <w:color w:val="000000"/>
                <w:sz w:val="16"/>
                <w:szCs w:val="16"/>
              </w:rPr>
              <w:t xml:space="preserve"> </w:t>
            </w:r>
            <w:r w:rsidRPr="002D6B0E">
              <w:rPr>
                <w:rFonts w:asciiTheme="minorBidi" w:hAnsiTheme="minorBidi"/>
                <w:color w:val="000000"/>
                <w:sz w:val="16"/>
                <w:szCs w:val="16"/>
              </w:rPr>
              <w:t>529</w:t>
            </w:r>
          </w:p>
        </w:tc>
        <w:tc>
          <w:tcPr>
            <w:tcW w:w="0" w:type="auto"/>
            <w:noWrap/>
            <w:vAlign w:val="center"/>
            <w:hideMark/>
          </w:tcPr>
          <w:p w14:paraId="6E67AE72" w14:textId="21454F1D"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36</w:t>
            </w:r>
            <w:r w:rsidR="00153073">
              <w:rPr>
                <w:rFonts w:asciiTheme="minorBidi" w:hAnsiTheme="minorBidi"/>
                <w:color w:val="000000"/>
                <w:sz w:val="16"/>
                <w:szCs w:val="16"/>
              </w:rPr>
              <w:t xml:space="preserve"> </w:t>
            </w:r>
            <w:r w:rsidRPr="002D6B0E">
              <w:rPr>
                <w:rFonts w:asciiTheme="minorBidi" w:hAnsiTheme="minorBidi"/>
                <w:color w:val="000000"/>
                <w:sz w:val="16"/>
                <w:szCs w:val="16"/>
              </w:rPr>
              <w:t>247</w:t>
            </w:r>
          </w:p>
        </w:tc>
        <w:tc>
          <w:tcPr>
            <w:tcW w:w="0" w:type="auto"/>
            <w:noWrap/>
            <w:vAlign w:val="center"/>
            <w:hideMark/>
          </w:tcPr>
          <w:p w14:paraId="1A9C2BC6" w14:textId="34B05D2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40</w:t>
            </w:r>
            <w:r w:rsidR="00153073">
              <w:rPr>
                <w:rFonts w:asciiTheme="minorBidi" w:hAnsiTheme="minorBidi"/>
                <w:color w:val="000000"/>
                <w:sz w:val="16"/>
                <w:szCs w:val="16"/>
              </w:rPr>
              <w:t xml:space="preserve"> </w:t>
            </w:r>
            <w:r w:rsidRPr="002D6B0E">
              <w:rPr>
                <w:rFonts w:asciiTheme="minorBidi" w:hAnsiTheme="minorBidi"/>
                <w:color w:val="000000"/>
                <w:sz w:val="16"/>
                <w:szCs w:val="16"/>
              </w:rPr>
              <w:t>692</w:t>
            </w:r>
          </w:p>
        </w:tc>
        <w:tc>
          <w:tcPr>
            <w:tcW w:w="0" w:type="auto"/>
            <w:noWrap/>
            <w:vAlign w:val="center"/>
            <w:hideMark/>
          </w:tcPr>
          <w:p w14:paraId="7448152E" w14:textId="342DFF4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44</w:t>
            </w:r>
            <w:r w:rsidR="00153073">
              <w:rPr>
                <w:rFonts w:asciiTheme="minorBidi" w:hAnsiTheme="minorBidi"/>
                <w:color w:val="000000"/>
                <w:sz w:val="16"/>
                <w:szCs w:val="16"/>
              </w:rPr>
              <w:t xml:space="preserve"> </w:t>
            </w:r>
            <w:r w:rsidRPr="002D6B0E">
              <w:rPr>
                <w:rFonts w:asciiTheme="minorBidi" w:hAnsiTheme="minorBidi"/>
                <w:color w:val="000000"/>
                <w:sz w:val="16"/>
                <w:szCs w:val="16"/>
              </w:rPr>
              <w:t>611</w:t>
            </w:r>
          </w:p>
        </w:tc>
        <w:tc>
          <w:tcPr>
            <w:tcW w:w="597" w:type="dxa"/>
            <w:shd w:val="clear" w:color="auto" w:fill="E5E5E5" w:themeFill="background2" w:themeFillShade="E6"/>
            <w:noWrap/>
            <w:vAlign w:val="center"/>
            <w:hideMark/>
          </w:tcPr>
          <w:p w14:paraId="0C618624" w14:textId="01BAB29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3.0</w:t>
            </w:r>
          </w:p>
        </w:tc>
        <w:tc>
          <w:tcPr>
            <w:tcW w:w="0" w:type="auto"/>
            <w:noWrap/>
            <w:vAlign w:val="center"/>
            <w:hideMark/>
          </w:tcPr>
          <w:p w14:paraId="1463D372"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54B37103" w14:textId="29BC2CD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178</w:t>
            </w:r>
            <w:r w:rsidR="00153073">
              <w:rPr>
                <w:rFonts w:asciiTheme="minorBidi" w:hAnsiTheme="minorBidi"/>
                <w:color w:val="000000"/>
                <w:sz w:val="16"/>
                <w:szCs w:val="16"/>
              </w:rPr>
              <w:t xml:space="preserve"> </w:t>
            </w:r>
            <w:r w:rsidRPr="002D6B0E">
              <w:rPr>
                <w:rFonts w:asciiTheme="minorBidi" w:hAnsiTheme="minorBidi"/>
                <w:color w:val="000000"/>
                <w:sz w:val="16"/>
                <w:szCs w:val="16"/>
              </w:rPr>
              <w:t>494</w:t>
            </w:r>
          </w:p>
        </w:tc>
        <w:tc>
          <w:tcPr>
            <w:tcW w:w="0" w:type="auto"/>
            <w:noWrap/>
            <w:vAlign w:val="center"/>
            <w:hideMark/>
          </w:tcPr>
          <w:p w14:paraId="03036D90" w14:textId="4167C9C1"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126</w:t>
            </w:r>
            <w:r w:rsidR="00153073">
              <w:rPr>
                <w:rFonts w:asciiTheme="minorBidi" w:hAnsiTheme="minorBidi"/>
                <w:color w:val="000000"/>
                <w:sz w:val="16"/>
                <w:szCs w:val="16"/>
              </w:rPr>
              <w:t xml:space="preserve"> </w:t>
            </w:r>
            <w:r w:rsidRPr="002D6B0E">
              <w:rPr>
                <w:rFonts w:asciiTheme="minorBidi" w:hAnsiTheme="minorBidi"/>
                <w:color w:val="000000"/>
                <w:sz w:val="16"/>
                <w:szCs w:val="16"/>
              </w:rPr>
              <w:t>047</w:t>
            </w:r>
          </w:p>
        </w:tc>
        <w:tc>
          <w:tcPr>
            <w:tcW w:w="0" w:type="auto"/>
            <w:noWrap/>
            <w:vAlign w:val="center"/>
            <w:hideMark/>
          </w:tcPr>
          <w:p w14:paraId="358EEF40" w14:textId="1A9265F1"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112</w:t>
            </w:r>
            <w:r w:rsidR="00153073">
              <w:rPr>
                <w:rFonts w:asciiTheme="minorBidi" w:hAnsiTheme="minorBidi"/>
                <w:color w:val="000000"/>
                <w:sz w:val="16"/>
                <w:szCs w:val="16"/>
              </w:rPr>
              <w:t xml:space="preserve"> </w:t>
            </w:r>
            <w:r w:rsidRPr="002D6B0E">
              <w:rPr>
                <w:rFonts w:asciiTheme="minorBidi" w:hAnsiTheme="minorBidi"/>
                <w:color w:val="000000"/>
                <w:sz w:val="16"/>
                <w:szCs w:val="16"/>
              </w:rPr>
              <w:t>228</w:t>
            </w:r>
          </w:p>
        </w:tc>
        <w:tc>
          <w:tcPr>
            <w:tcW w:w="0" w:type="auto"/>
            <w:noWrap/>
            <w:vAlign w:val="center"/>
            <w:hideMark/>
          </w:tcPr>
          <w:p w14:paraId="477D3E19" w14:textId="06D95DA6"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162</w:t>
            </w:r>
            <w:r w:rsidR="00153073">
              <w:rPr>
                <w:rFonts w:asciiTheme="minorBidi" w:hAnsiTheme="minorBidi"/>
                <w:color w:val="000000"/>
                <w:sz w:val="16"/>
                <w:szCs w:val="16"/>
              </w:rPr>
              <w:t xml:space="preserve"> </w:t>
            </w:r>
            <w:r w:rsidRPr="002D6B0E">
              <w:rPr>
                <w:rFonts w:asciiTheme="minorBidi" w:hAnsiTheme="minorBidi"/>
                <w:color w:val="000000"/>
                <w:sz w:val="16"/>
                <w:szCs w:val="16"/>
              </w:rPr>
              <w:t>184</w:t>
            </w:r>
          </w:p>
        </w:tc>
        <w:tc>
          <w:tcPr>
            <w:tcW w:w="0" w:type="auto"/>
            <w:noWrap/>
            <w:vAlign w:val="center"/>
            <w:hideMark/>
          </w:tcPr>
          <w:p w14:paraId="2AC41961" w14:textId="4BD6153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166</w:t>
            </w:r>
            <w:r w:rsidR="00153073">
              <w:rPr>
                <w:rFonts w:asciiTheme="minorBidi" w:hAnsiTheme="minorBidi"/>
                <w:color w:val="000000"/>
                <w:sz w:val="16"/>
                <w:szCs w:val="16"/>
              </w:rPr>
              <w:t xml:space="preserve"> </w:t>
            </w:r>
            <w:r w:rsidRPr="002D6B0E">
              <w:rPr>
                <w:rFonts w:asciiTheme="minorBidi" w:hAnsiTheme="minorBidi"/>
                <w:color w:val="000000"/>
                <w:sz w:val="16"/>
                <w:szCs w:val="16"/>
              </w:rPr>
              <w:t>377</w:t>
            </w:r>
          </w:p>
        </w:tc>
        <w:tc>
          <w:tcPr>
            <w:tcW w:w="1000" w:type="dxa"/>
            <w:noWrap/>
            <w:vAlign w:val="center"/>
            <w:hideMark/>
          </w:tcPr>
          <w:p w14:paraId="400E5EFA" w14:textId="5F657F6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175</w:t>
            </w:r>
            <w:r w:rsidR="00153073">
              <w:rPr>
                <w:rFonts w:asciiTheme="minorBidi" w:hAnsiTheme="minorBidi"/>
                <w:color w:val="000000"/>
                <w:sz w:val="16"/>
                <w:szCs w:val="16"/>
              </w:rPr>
              <w:t xml:space="preserve"> </w:t>
            </w:r>
            <w:r w:rsidRPr="002D6B0E">
              <w:rPr>
                <w:rFonts w:asciiTheme="minorBidi" w:hAnsiTheme="minorBidi"/>
                <w:color w:val="000000"/>
                <w:sz w:val="16"/>
                <w:szCs w:val="16"/>
              </w:rPr>
              <w:t>776</w:t>
            </w:r>
          </w:p>
        </w:tc>
        <w:tc>
          <w:tcPr>
            <w:tcW w:w="568" w:type="dxa"/>
            <w:shd w:val="clear" w:color="auto" w:fill="E5E5E5" w:themeFill="background2" w:themeFillShade="E6"/>
            <w:noWrap/>
            <w:vAlign w:val="center"/>
            <w:hideMark/>
          </w:tcPr>
          <w:p w14:paraId="025E7444" w14:textId="1550762D"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2.6</w:t>
            </w:r>
          </w:p>
        </w:tc>
      </w:tr>
      <w:tr w:rsidR="00B54A22" w:rsidRPr="002D6B0E" w14:paraId="5BD0F277" w14:textId="77777777" w:rsidTr="00146B4A">
        <w:trPr>
          <w:trHeight w:val="300"/>
        </w:trPr>
        <w:tc>
          <w:tcPr>
            <w:tcW w:w="0" w:type="auto"/>
            <w:noWrap/>
            <w:vAlign w:val="center"/>
            <w:hideMark/>
          </w:tcPr>
          <w:p w14:paraId="7BE44010"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Lääne-Viru</w:t>
            </w:r>
          </w:p>
        </w:tc>
        <w:tc>
          <w:tcPr>
            <w:tcW w:w="0" w:type="auto"/>
            <w:noWrap/>
            <w:vAlign w:val="center"/>
            <w:hideMark/>
          </w:tcPr>
          <w:p w14:paraId="7E7AA569" w14:textId="4FA9A236"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14</w:t>
            </w:r>
            <w:r w:rsidR="00153073">
              <w:rPr>
                <w:rFonts w:asciiTheme="minorBidi" w:hAnsiTheme="minorBidi"/>
                <w:color w:val="000000"/>
                <w:sz w:val="16"/>
                <w:szCs w:val="16"/>
              </w:rPr>
              <w:t xml:space="preserve"> </w:t>
            </w:r>
            <w:r w:rsidRPr="002D6B0E">
              <w:rPr>
                <w:rFonts w:asciiTheme="minorBidi" w:hAnsiTheme="minorBidi"/>
                <w:color w:val="000000"/>
                <w:sz w:val="16"/>
                <w:szCs w:val="16"/>
              </w:rPr>
              <w:t>975</w:t>
            </w:r>
          </w:p>
        </w:tc>
        <w:tc>
          <w:tcPr>
            <w:tcW w:w="0" w:type="auto"/>
            <w:noWrap/>
            <w:vAlign w:val="center"/>
            <w:hideMark/>
          </w:tcPr>
          <w:p w14:paraId="4228BA3C" w14:textId="32786E21"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17</w:t>
            </w:r>
            <w:r w:rsidR="00153073">
              <w:rPr>
                <w:rFonts w:asciiTheme="minorBidi" w:hAnsiTheme="minorBidi"/>
                <w:color w:val="000000"/>
                <w:sz w:val="16"/>
                <w:szCs w:val="16"/>
              </w:rPr>
              <w:t xml:space="preserve"> </w:t>
            </w:r>
            <w:r w:rsidRPr="002D6B0E">
              <w:rPr>
                <w:rFonts w:asciiTheme="minorBidi" w:hAnsiTheme="minorBidi"/>
                <w:color w:val="000000"/>
                <w:sz w:val="16"/>
                <w:szCs w:val="16"/>
              </w:rPr>
              <w:t>233</w:t>
            </w:r>
          </w:p>
        </w:tc>
        <w:tc>
          <w:tcPr>
            <w:tcW w:w="0" w:type="auto"/>
            <w:noWrap/>
            <w:vAlign w:val="center"/>
            <w:hideMark/>
          </w:tcPr>
          <w:p w14:paraId="2F7D6AD6" w14:textId="2D08DC0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15</w:t>
            </w:r>
            <w:r w:rsidR="00153073">
              <w:rPr>
                <w:rFonts w:asciiTheme="minorBidi" w:hAnsiTheme="minorBidi"/>
                <w:color w:val="000000"/>
                <w:sz w:val="16"/>
                <w:szCs w:val="16"/>
              </w:rPr>
              <w:t xml:space="preserve"> </w:t>
            </w:r>
            <w:r w:rsidRPr="002D6B0E">
              <w:rPr>
                <w:rFonts w:asciiTheme="minorBidi" w:hAnsiTheme="minorBidi"/>
                <w:color w:val="000000"/>
                <w:sz w:val="16"/>
                <w:szCs w:val="16"/>
              </w:rPr>
              <w:t>081</w:t>
            </w:r>
          </w:p>
        </w:tc>
        <w:tc>
          <w:tcPr>
            <w:tcW w:w="0" w:type="auto"/>
            <w:noWrap/>
            <w:vAlign w:val="center"/>
            <w:hideMark/>
          </w:tcPr>
          <w:p w14:paraId="797861D0" w14:textId="1811E57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17</w:t>
            </w:r>
            <w:r w:rsidR="00153073">
              <w:rPr>
                <w:rFonts w:asciiTheme="minorBidi" w:hAnsiTheme="minorBidi"/>
                <w:color w:val="000000"/>
                <w:sz w:val="16"/>
                <w:szCs w:val="16"/>
              </w:rPr>
              <w:t xml:space="preserve"> </w:t>
            </w:r>
            <w:r w:rsidRPr="002D6B0E">
              <w:rPr>
                <w:rFonts w:asciiTheme="minorBidi" w:hAnsiTheme="minorBidi"/>
                <w:color w:val="000000"/>
                <w:sz w:val="16"/>
                <w:szCs w:val="16"/>
              </w:rPr>
              <w:t>752</w:t>
            </w:r>
          </w:p>
        </w:tc>
        <w:tc>
          <w:tcPr>
            <w:tcW w:w="0" w:type="auto"/>
            <w:noWrap/>
            <w:vAlign w:val="center"/>
            <w:hideMark/>
          </w:tcPr>
          <w:p w14:paraId="1A4D731C" w14:textId="0D1E8B77"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22</w:t>
            </w:r>
            <w:r w:rsidR="00153073">
              <w:rPr>
                <w:rFonts w:asciiTheme="minorBidi" w:hAnsiTheme="minorBidi"/>
                <w:color w:val="000000"/>
                <w:sz w:val="16"/>
                <w:szCs w:val="16"/>
              </w:rPr>
              <w:t xml:space="preserve"> </w:t>
            </w:r>
            <w:r w:rsidRPr="002D6B0E">
              <w:rPr>
                <w:rFonts w:asciiTheme="minorBidi" w:hAnsiTheme="minorBidi"/>
                <w:color w:val="000000"/>
                <w:sz w:val="16"/>
                <w:szCs w:val="16"/>
              </w:rPr>
              <w:t>296</w:t>
            </w:r>
          </w:p>
        </w:tc>
        <w:tc>
          <w:tcPr>
            <w:tcW w:w="0" w:type="auto"/>
            <w:noWrap/>
            <w:vAlign w:val="center"/>
            <w:hideMark/>
          </w:tcPr>
          <w:p w14:paraId="2845A71B" w14:textId="0BBECB4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25</w:t>
            </w:r>
            <w:r w:rsidR="00153073">
              <w:rPr>
                <w:rFonts w:asciiTheme="minorBidi" w:hAnsiTheme="minorBidi"/>
                <w:color w:val="000000"/>
                <w:sz w:val="16"/>
                <w:szCs w:val="16"/>
              </w:rPr>
              <w:t xml:space="preserve"> </w:t>
            </w:r>
            <w:r w:rsidRPr="002D6B0E">
              <w:rPr>
                <w:rFonts w:asciiTheme="minorBidi" w:hAnsiTheme="minorBidi"/>
                <w:color w:val="000000"/>
                <w:sz w:val="16"/>
                <w:szCs w:val="16"/>
              </w:rPr>
              <w:t>307</w:t>
            </w:r>
          </w:p>
        </w:tc>
        <w:tc>
          <w:tcPr>
            <w:tcW w:w="597" w:type="dxa"/>
            <w:shd w:val="clear" w:color="auto" w:fill="E5E5E5" w:themeFill="background2" w:themeFillShade="E6"/>
            <w:noWrap/>
            <w:vAlign w:val="center"/>
            <w:hideMark/>
          </w:tcPr>
          <w:p w14:paraId="1328778D" w14:textId="7260E3EC"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1.7</w:t>
            </w:r>
          </w:p>
        </w:tc>
        <w:tc>
          <w:tcPr>
            <w:tcW w:w="0" w:type="auto"/>
            <w:noWrap/>
            <w:vAlign w:val="center"/>
            <w:hideMark/>
          </w:tcPr>
          <w:p w14:paraId="127F0D4E"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2F2E1BD7" w14:textId="0B15B326"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244</w:t>
            </w:r>
            <w:r w:rsidR="00153073">
              <w:rPr>
                <w:rFonts w:asciiTheme="minorBidi" w:hAnsiTheme="minorBidi"/>
                <w:color w:val="000000"/>
                <w:sz w:val="16"/>
                <w:szCs w:val="16"/>
              </w:rPr>
              <w:t xml:space="preserve"> </w:t>
            </w:r>
            <w:r w:rsidRPr="002D6B0E">
              <w:rPr>
                <w:rFonts w:asciiTheme="minorBidi" w:hAnsiTheme="minorBidi"/>
                <w:color w:val="000000"/>
                <w:sz w:val="16"/>
                <w:szCs w:val="16"/>
              </w:rPr>
              <w:t>661</w:t>
            </w:r>
          </w:p>
        </w:tc>
        <w:tc>
          <w:tcPr>
            <w:tcW w:w="0" w:type="auto"/>
            <w:noWrap/>
            <w:vAlign w:val="center"/>
            <w:hideMark/>
          </w:tcPr>
          <w:p w14:paraId="16EECAEB" w14:textId="725F330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181</w:t>
            </w:r>
            <w:r w:rsidR="00153073">
              <w:rPr>
                <w:rFonts w:asciiTheme="minorBidi" w:hAnsiTheme="minorBidi"/>
                <w:color w:val="000000"/>
                <w:sz w:val="16"/>
                <w:szCs w:val="16"/>
              </w:rPr>
              <w:t xml:space="preserve"> </w:t>
            </w:r>
            <w:r w:rsidRPr="002D6B0E">
              <w:rPr>
                <w:rFonts w:asciiTheme="minorBidi" w:hAnsiTheme="minorBidi"/>
                <w:color w:val="000000"/>
                <w:sz w:val="16"/>
                <w:szCs w:val="16"/>
              </w:rPr>
              <w:t>344</w:t>
            </w:r>
          </w:p>
        </w:tc>
        <w:tc>
          <w:tcPr>
            <w:tcW w:w="0" w:type="auto"/>
            <w:noWrap/>
            <w:vAlign w:val="center"/>
            <w:hideMark/>
          </w:tcPr>
          <w:p w14:paraId="61EB5B9B" w14:textId="38C530A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174</w:t>
            </w:r>
            <w:r w:rsidR="00153073">
              <w:rPr>
                <w:rFonts w:asciiTheme="minorBidi" w:hAnsiTheme="minorBidi"/>
                <w:color w:val="000000"/>
                <w:sz w:val="16"/>
                <w:szCs w:val="16"/>
              </w:rPr>
              <w:t xml:space="preserve"> </w:t>
            </w:r>
            <w:r w:rsidRPr="002D6B0E">
              <w:rPr>
                <w:rFonts w:asciiTheme="minorBidi" w:hAnsiTheme="minorBidi"/>
                <w:color w:val="000000"/>
                <w:sz w:val="16"/>
                <w:szCs w:val="16"/>
              </w:rPr>
              <w:t>534</w:t>
            </w:r>
          </w:p>
        </w:tc>
        <w:tc>
          <w:tcPr>
            <w:tcW w:w="0" w:type="auto"/>
            <w:noWrap/>
            <w:vAlign w:val="center"/>
            <w:hideMark/>
          </w:tcPr>
          <w:p w14:paraId="1D263907" w14:textId="179792FC"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200</w:t>
            </w:r>
            <w:r w:rsidR="00153073">
              <w:rPr>
                <w:rFonts w:asciiTheme="minorBidi" w:hAnsiTheme="minorBidi"/>
                <w:color w:val="000000"/>
                <w:sz w:val="16"/>
                <w:szCs w:val="16"/>
              </w:rPr>
              <w:t xml:space="preserve"> </w:t>
            </w:r>
            <w:r w:rsidRPr="002D6B0E">
              <w:rPr>
                <w:rFonts w:asciiTheme="minorBidi" w:hAnsiTheme="minorBidi"/>
                <w:color w:val="000000"/>
                <w:sz w:val="16"/>
                <w:szCs w:val="16"/>
              </w:rPr>
              <w:t>883</w:t>
            </w:r>
          </w:p>
        </w:tc>
        <w:tc>
          <w:tcPr>
            <w:tcW w:w="0" w:type="auto"/>
            <w:noWrap/>
            <w:vAlign w:val="center"/>
            <w:hideMark/>
          </w:tcPr>
          <w:p w14:paraId="5E6694B6" w14:textId="54E9D41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213</w:t>
            </w:r>
            <w:r w:rsidR="00153073">
              <w:rPr>
                <w:rFonts w:asciiTheme="minorBidi" w:hAnsiTheme="minorBidi"/>
                <w:color w:val="000000"/>
                <w:sz w:val="16"/>
                <w:szCs w:val="16"/>
              </w:rPr>
              <w:t xml:space="preserve"> </w:t>
            </w:r>
            <w:r w:rsidRPr="002D6B0E">
              <w:rPr>
                <w:rFonts w:asciiTheme="minorBidi" w:hAnsiTheme="minorBidi"/>
                <w:color w:val="000000"/>
                <w:sz w:val="16"/>
                <w:szCs w:val="16"/>
              </w:rPr>
              <w:t>998</w:t>
            </w:r>
          </w:p>
        </w:tc>
        <w:tc>
          <w:tcPr>
            <w:tcW w:w="1000" w:type="dxa"/>
            <w:noWrap/>
            <w:vAlign w:val="center"/>
            <w:hideMark/>
          </w:tcPr>
          <w:p w14:paraId="2063FBC9" w14:textId="3F5E51E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199</w:t>
            </w:r>
            <w:r w:rsidR="00153073">
              <w:rPr>
                <w:rFonts w:asciiTheme="minorBidi" w:hAnsiTheme="minorBidi"/>
                <w:color w:val="000000"/>
                <w:sz w:val="16"/>
                <w:szCs w:val="16"/>
              </w:rPr>
              <w:t xml:space="preserve"> </w:t>
            </w:r>
            <w:r w:rsidRPr="002D6B0E">
              <w:rPr>
                <w:rFonts w:asciiTheme="minorBidi" w:hAnsiTheme="minorBidi"/>
                <w:color w:val="000000"/>
                <w:sz w:val="16"/>
                <w:szCs w:val="16"/>
              </w:rPr>
              <w:t>139</w:t>
            </w:r>
          </w:p>
        </w:tc>
        <w:tc>
          <w:tcPr>
            <w:tcW w:w="568" w:type="dxa"/>
            <w:shd w:val="clear" w:color="auto" w:fill="E5E5E5" w:themeFill="background2" w:themeFillShade="E6"/>
            <w:noWrap/>
            <w:vAlign w:val="center"/>
            <w:hideMark/>
          </w:tcPr>
          <w:p w14:paraId="36BF168D" w14:textId="4AD2546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3.0</w:t>
            </w:r>
          </w:p>
        </w:tc>
      </w:tr>
      <w:tr w:rsidR="00B54A22" w:rsidRPr="002D6B0E" w14:paraId="637979C9" w14:textId="77777777" w:rsidTr="00146B4A">
        <w:trPr>
          <w:trHeight w:val="300"/>
        </w:trPr>
        <w:tc>
          <w:tcPr>
            <w:tcW w:w="0" w:type="auto"/>
            <w:noWrap/>
            <w:vAlign w:val="center"/>
            <w:hideMark/>
          </w:tcPr>
          <w:p w14:paraId="79F2B7DD"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Põlva</w:t>
            </w:r>
          </w:p>
        </w:tc>
        <w:tc>
          <w:tcPr>
            <w:tcW w:w="0" w:type="auto"/>
            <w:noWrap/>
            <w:vAlign w:val="center"/>
            <w:hideMark/>
          </w:tcPr>
          <w:p w14:paraId="6F84840E" w14:textId="0763610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w:t>
            </w:r>
            <w:r w:rsidR="00153073">
              <w:rPr>
                <w:rFonts w:asciiTheme="minorBidi" w:hAnsiTheme="minorBidi"/>
                <w:color w:val="000000"/>
                <w:sz w:val="16"/>
                <w:szCs w:val="16"/>
              </w:rPr>
              <w:t xml:space="preserve"> </w:t>
            </w:r>
            <w:r w:rsidRPr="002D6B0E">
              <w:rPr>
                <w:rFonts w:asciiTheme="minorBidi" w:hAnsiTheme="minorBidi"/>
                <w:color w:val="000000"/>
                <w:sz w:val="16"/>
                <w:szCs w:val="16"/>
              </w:rPr>
              <w:t>094</w:t>
            </w:r>
          </w:p>
        </w:tc>
        <w:tc>
          <w:tcPr>
            <w:tcW w:w="0" w:type="auto"/>
            <w:noWrap/>
            <w:vAlign w:val="center"/>
            <w:hideMark/>
          </w:tcPr>
          <w:p w14:paraId="49CB0725" w14:textId="5EAFAA6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w:t>
            </w:r>
            <w:r w:rsidR="00153073">
              <w:rPr>
                <w:rFonts w:asciiTheme="minorBidi" w:hAnsiTheme="minorBidi"/>
                <w:color w:val="000000"/>
                <w:sz w:val="16"/>
                <w:szCs w:val="16"/>
              </w:rPr>
              <w:t xml:space="preserve"> </w:t>
            </w:r>
            <w:r w:rsidRPr="002D6B0E">
              <w:rPr>
                <w:rFonts w:asciiTheme="minorBidi" w:hAnsiTheme="minorBidi"/>
                <w:color w:val="000000"/>
                <w:sz w:val="16"/>
                <w:szCs w:val="16"/>
              </w:rPr>
              <w:t>881</w:t>
            </w:r>
          </w:p>
        </w:tc>
        <w:tc>
          <w:tcPr>
            <w:tcW w:w="0" w:type="auto"/>
            <w:noWrap/>
            <w:vAlign w:val="center"/>
            <w:hideMark/>
          </w:tcPr>
          <w:p w14:paraId="0CDDEC3D" w14:textId="3817AF7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w:t>
            </w:r>
            <w:r w:rsidR="00153073">
              <w:rPr>
                <w:rFonts w:asciiTheme="minorBidi" w:hAnsiTheme="minorBidi"/>
                <w:color w:val="000000"/>
                <w:sz w:val="16"/>
                <w:szCs w:val="16"/>
              </w:rPr>
              <w:t xml:space="preserve"> </w:t>
            </w:r>
            <w:r w:rsidRPr="002D6B0E">
              <w:rPr>
                <w:rFonts w:asciiTheme="minorBidi" w:hAnsiTheme="minorBidi"/>
                <w:color w:val="000000"/>
                <w:sz w:val="16"/>
                <w:szCs w:val="16"/>
              </w:rPr>
              <w:t>232</w:t>
            </w:r>
          </w:p>
        </w:tc>
        <w:tc>
          <w:tcPr>
            <w:tcW w:w="0" w:type="auto"/>
            <w:noWrap/>
            <w:vAlign w:val="center"/>
            <w:hideMark/>
          </w:tcPr>
          <w:p w14:paraId="38BC92D0" w14:textId="10D3F32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w:t>
            </w:r>
            <w:r w:rsidR="00153073">
              <w:rPr>
                <w:rFonts w:asciiTheme="minorBidi" w:hAnsiTheme="minorBidi"/>
                <w:color w:val="000000"/>
                <w:sz w:val="16"/>
                <w:szCs w:val="16"/>
              </w:rPr>
              <w:t xml:space="preserve"> </w:t>
            </w:r>
            <w:r w:rsidRPr="002D6B0E">
              <w:rPr>
                <w:rFonts w:asciiTheme="minorBidi" w:hAnsiTheme="minorBidi"/>
                <w:color w:val="000000"/>
                <w:sz w:val="16"/>
                <w:szCs w:val="16"/>
              </w:rPr>
              <w:t>238</w:t>
            </w:r>
          </w:p>
        </w:tc>
        <w:tc>
          <w:tcPr>
            <w:tcW w:w="0" w:type="auto"/>
            <w:noWrap/>
            <w:vAlign w:val="center"/>
            <w:hideMark/>
          </w:tcPr>
          <w:p w14:paraId="3559074F" w14:textId="07AC1E6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7</w:t>
            </w:r>
            <w:r w:rsidR="00153073">
              <w:rPr>
                <w:rFonts w:asciiTheme="minorBidi" w:hAnsiTheme="minorBidi"/>
                <w:color w:val="000000"/>
                <w:sz w:val="16"/>
                <w:szCs w:val="16"/>
              </w:rPr>
              <w:t xml:space="preserve"> </w:t>
            </w:r>
            <w:r w:rsidRPr="002D6B0E">
              <w:rPr>
                <w:rFonts w:asciiTheme="minorBidi" w:hAnsiTheme="minorBidi"/>
                <w:color w:val="000000"/>
                <w:sz w:val="16"/>
                <w:szCs w:val="16"/>
              </w:rPr>
              <w:t>535</w:t>
            </w:r>
          </w:p>
        </w:tc>
        <w:tc>
          <w:tcPr>
            <w:tcW w:w="0" w:type="auto"/>
            <w:noWrap/>
            <w:vAlign w:val="center"/>
            <w:hideMark/>
          </w:tcPr>
          <w:p w14:paraId="337A420F" w14:textId="128DB4A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8</w:t>
            </w:r>
            <w:r w:rsidR="00153073">
              <w:rPr>
                <w:rFonts w:asciiTheme="minorBidi" w:hAnsiTheme="minorBidi"/>
                <w:color w:val="000000"/>
                <w:sz w:val="16"/>
                <w:szCs w:val="16"/>
              </w:rPr>
              <w:t xml:space="preserve"> </w:t>
            </w:r>
            <w:r w:rsidRPr="002D6B0E">
              <w:rPr>
                <w:rFonts w:asciiTheme="minorBidi" w:hAnsiTheme="minorBidi"/>
                <w:color w:val="000000"/>
                <w:sz w:val="16"/>
                <w:szCs w:val="16"/>
              </w:rPr>
              <w:t>638</w:t>
            </w:r>
          </w:p>
        </w:tc>
        <w:tc>
          <w:tcPr>
            <w:tcW w:w="597" w:type="dxa"/>
            <w:shd w:val="clear" w:color="auto" w:fill="E5E5E5" w:themeFill="background2" w:themeFillShade="E6"/>
            <w:noWrap/>
            <w:vAlign w:val="center"/>
            <w:hideMark/>
          </w:tcPr>
          <w:p w14:paraId="7445038D" w14:textId="0A14DBFC"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0.6</w:t>
            </w:r>
          </w:p>
        </w:tc>
        <w:tc>
          <w:tcPr>
            <w:tcW w:w="0" w:type="auto"/>
            <w:noWrap/>
            <w:vAlign w:val="center"/>
            <w:hideMark/>
          </w:tcPr>
          <w:p w14:paraId="16A62AB7"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7FC176EF" w14:textId="117A0A37"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43</w:t>
            </w:r>
            <w:r w:rsidR="00153073">
              <w:rPr>
                <w:rFonts w:asciiTheme="minorBidi" w:hAnsiTheme="minorBidi"/>
                <w:color w:val="000000"/>
                <w:sz w:val="16"/>
                <w:szCs w:val="16"/>
              </w:rPr>
              <w:t xml:space="preserve"> </w:t>
            </w:r>
            <w:r w:rsidRPr="002D6B0E">
              <w:rPr>
                <w:rFonts w:asciiTheme="minorBidi" w:hAnsiTheme="minorBidi"/>
                <w:color w:val="000000"/>
                <w:sz w:val="16"/>
                <w:szCs w:val="16"/>
              </w:rPr>
              <w:t>459</w:t>
            </w:r>
          </w:p>
        </w:tc>
        <w:tc>
          <w:tcPr>
            <w:tcW w:w="0" w:type="auto"/>
            <w:noWrap/>
            <w:vAlign w:val="center"/>
            <w:hideMark/>
          </w:tcPr>
          <w:p w14:paraId="3BFCA177" w14:textId="541B938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38</w:t>
            </w:r>
            <w:r w:rsidR="00153073">
              <w:rPr>
                <w:rFonts w:asciiTheme="minorBidi" w:hAnsiTheme="minorBidi"/>
                <w:color w:val="000000"/>
                <w:sz w:val="16"/>
                <w:szCs w:val="16"/>
              </w:rPr>
              <w:t xml:space="preserve"> </w:t>
            </w:r>
            <w:r w:rsidRPr="002D6B0E">
              <w:rPr>
                <w:rFonts w:asciiTheme="minorBidi" w:hAnsiTheme="minorBidi"/>
                <w:color w:val="000000"/>
                <w:sz w:val="16"/>
                <w:szCs w:val="16"/>
              </w:rPr>
              <w:t>564</w:t>
            </w:r>
          </w:p>
        </w:tc>
        <w:tc>
          <w:tcPr>
            <w:tcW w:w="0" w:type="auto"/>
            <w:noWrap/>
            <w:vAlign w:val="center"/>
            <w:hideMark/>
          </w:tcPr>
          <w:p w14:paraId="65CB28C5" w14:textId="03FC081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41</w:t>
            </w:r>
            <w:r w:rsidR="00153073">
              <w:rPr>
                <w:rFonts w:asciiTheme="minorBidi" w:hAnsiTheme="minorBidi"/>
                <w:color w:val="000000"/>
                <w:sz w:val="16"/>
                <w:szCs w:val="16"/>
              </w:rPr>
              <w:t xml:space="preserve"> </w:t>
            </w:r>
            <w:r w:rsidRPr="002D6B0E">
              <w:rPr>
                <w:rFonts w:asciiTheme="minorBidi" w:hAnsiTheme="minorBidi"/>
                <w:color w:val="000000"/>
                <w:sz w:val="16"/>
                <w:szCs w:val="16"/>
              </w:rPr>
              <w:t>123</w:t>
            </w:r>
          </w:p>
        </w:tc>
        <w:tc>
          <w:tcPr>
            <w:tcW w:w="0" w:type="auto"/>
            <w:noWrap/>
            <w:vAlign w:val="center"/>
            <w:hideMark/>
          </w:tcPr>
          <w:p w14:paraId="3DE805E7" w14:textId="09E9479C"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49</w:t>
            </w:r>
            <w:r w:rsidR="00153073">
              <w:rPr>
                <w:rFonts w:asciiTheme="minorBidi" w:hAnsiTheme="minorBidi"/>
                <w:color w:val="000000"/>
                <w:sz w:val="16"/>
                <w:szCs w:val="16"/>
              </w:rPr>
              <w:t xml:space="preserve"> </w:t>
            </w:r>
            <w:r w:rsidRPr="002D6B0E">
              <w:rPr>
                <w:rFonts w:asciiTheme="minorBidi" w:hAnsiTheme="minorBidi"/>
                <w:color w:val="000000"/>
                <w:sz w:val="16"/>
                <w:szCs w:val="16"/>
              </w:rPr>
              <w:t>802</w:t>
            </w:r>
          </w:p>
        </w:tc>
        <w:tc>
          <w:tcPr>
            <w:tcW w:w="0" w:type="auto"/>
            <w:noWrap/>
            <w:vAlign w:val="center"/>
            <w:hideMark/>
          </w:tcPr>
          <w:p w14:paraId="09373DD2" w14:textId="4E2975EC"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41</w:t>
            </w:r>
            <w:r w:rsidR="00153073">
              <w:rPr>
                <w:rFonts w:asciiTheme="minorBidi" w:hAnsiTheme="minorBidi"/>
                <w:color w:val="000000"/>
                <w:sz w:val="16"/>
                <w:szCs w:val="16"/>
              </w:rPr>
              <w:t xml:space="preserve"> </w:t>
            </w:r>
            <w:r w:rsidRPr="002D6B0E">
              <w:rPr>
                <w:rFonts w:asciiTheme="minorBidi" w:hAnsiTheme="minorBidi"/>
                <w:color w:val="000000"/>
                <w:sz w:val="16"/>
                <w:szCs w:val="16"/>
              </w:rPr>
              <w:t>885</w:t>
            </w:r>
          </w:p>
        </w:tc>
        <w:tc>
          <w:tcPr>
            <w:tcW w:w="1000" w:type="dxa"/>
            <w:noWrap/>
            <w:vAlign w:val="center"/>
            <w:hideMark/>
          </w:tcPr>
          <w:p w14:paraId="274B5F08" w14:textId="6A1D614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39</w:t>
            </w:r>
            <w:r w:rsidR="00153073">
              <w:rPr>
                <w:rFonts w:asciiTheme="minorBidi" w:hAnsiTheme="minorBidi"/>
                <w:color w:val="000000"/>
                <w:sz w:val="16"/>
                <w:szCs w:val="16"/>
              </w:rPr>
              <w:t xml:space="preserve"> </w:t>
            </w:r>
            <w:r w:rsidRPr="002D6B0E">
              <w:rPr>
                <w:rFonts w:asciiTheme="minorBidi" w:hAnsiTheme="minorBidi"/>
                <w:color w:val="000000"/>
                <w:sz w:val="16"/>
                <w:szCs w:val="16"/>
              </w:rPr>
              <w:t>094</w:t>
            </w:r>
          </w:p>
        </w:tc>
        <w:tc>
          <w:tcPr>
            <w:tcW w:w="568" w:type="dxa"/>
            <w:shd w:val="clear" w:color="auto" w:fill="E5E5E5" w:themeFill="background2" w:themeFillShade="E6"/>
            <w:noWrap/>
            <w:vAlign w:val="center"/>
            <w:hideMark/>
          </w:tcPr>
          <w:p w14:paraId="11898329" w14:textId="01FC7B7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0.6</w:t>
            </w:r>
          </w:p>
        </w:tc>
      </w:tr>
      <w:tr w:rsidR="00B54A22" w:rsidRPr="002D6B0E" w14:paraId="3DEB8567" w14:textId="77777777" w:rsidTr="00146B4A">
        <w:trPr>
          <w:trHeight w:val="300"/>
        </w:trPr>
        <w:tc>
          <w:tcPr>
            <w:tcW w:w="0" w:type="auto"/>
            <w:noWrap/>
            <w:vAlign w:val="center"/>
            <w:hideMark/>
          </w:tcPr>
          <w:p w14:paraId="4641EF35"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Pärnu</w:t>
            </w:r>
          </w:p>
        </w:tc>
        <w:tc>
          <w:tcPr>
            <w:tcW w:w="0" w:type="auto"/>
            <w:noWrap/>
            <w:vAlign w:val="center"/>
            <w:hideMark/>
          </w:tcPr>
          <w:p w14:paraId="6A82A043" w14:textId="6BFBE73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161</w:t>
            </w:r>
            <w:r w:rsidR="00153073">
              <w:rPr>
                <w:rFonts w:asciiTheme="minorBidi" w:hAnsiTheme="minorBidi"/>
                <w:color w:val="000000"/>
                <w:sz w:val="16"/>
                <w:szCs w:val="16"/>
              </w:rPr>
              <w:t xml:space="preserve"> </w:t>
            </w:r>
            <w:r w:rsidRPr="002D6B0E">
              <w:rPr>
                <w:rFonts w:asciiTheme="minorBidi" w:hAnsiTheme="minorBidi"/>
                <w:color w:val="000000"/>
                <w:sz w:val="16"/>
                <w:szCs w:val="16"/>
              </w:rPr>
              <w:t>833</w:t>
            </w:r>
          </w:p>
        </w:tc>
        <w:tc>
          <w:tcPr>
            <w:tcW w:w="0" w:type="auto"/>
            <w:noWrap/>
            <w:vAlign w:val="center"/>
            <w:hideMark/>
          </w:tcPr>
          <w:p w14:paraId="304B2CA4" w14:textId="2591ABC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168</w:t>
            </w:r>
            <w:r w:rsidR="00153073">
              <w:rPr>
                <w:rFonts w:asciiTheme="minorBidi" w:hAnsiTheme="minorBidi"/>
                <w:color w:val="000000"/>
                <w:sz w:val="16"/>
                <w:szCs w:val="16"/>
              </w:rPr>
              <w:t xml:space="preserve"> </w:t>
            </w:r>
            <w:r w:rsidRPr="002D6B0E">
              <w:rPr>
                <w:rFonts w:asciiTheme="minorBidi" w:hAnsiTheme="minorBidi"/>
                <w:color w:val="000000"/>
                <w:sz w:val="16"/>
                <w:szCs w:val="16"/>
              </w:rPr>
              <w:t>362</w:t>
            </w:r>
          </w:p>
        </w:tc>
        <w:tc>
          <w:tcPr>
            <w:tcW w:w="0" w:type="auto"/>
            <w:noWrap/>
            <w:vAlign w:val="center"/>
            <w:hideMark/>
          </w:tcPr>
          <w:p w14:paraId="4EFC648C" w14:textId="4E1480F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111</w:t>
            </w:r>
            <w:r w:rsidR="00153073">
              <w:rPr>
                <w:rFonts w:asciiTheme="minorBidi" w:hAnsiTheme="minorBidi"/>
                <w:color w:val="000000"/>
                <w:sz w:val="16"/>
                <w:szCs w:val="16"/>
              </w:rPr>
              <w:t xml:space="preserve"> </w:t>
            </w:r>
            <w:r w:rsidRPr="002D6B0E">
              <w:rPr>
                <w:rFonts w:asciiTheme="minorBidi" w:hAnsiTheme="minorBidi"/>
                <w:color w:val="000000"/>
                <w:sz w:val="16"/>
                <w:szCs w:val="16"/>
              </w:rPr>
              <w:t>227</w:t>
            </w:r>
          </w:p>
        </w:tc>
        <w:tc>
          <w:tcPr>
            <w:tcW w:w="0" w:type="auto"/>
            <w:noWrap/>
            <w:vAlign w:val="center"/>
            <w:hideMark/>
          </w:tcPr>
          <w:p w14:paraId="43AA27F3" w14:textId="60AA05D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128</w:t>
            </w:r>
            <w:r w:rsidR="00153073">
              <w:rPr>
                <w:rFonts w:asciiTheme="minorBidi" w:hAnsiTheme="minorBidi"/>
                <w:color w:val="000000"/>
                <w:sz w:val="16"/>
                <w:szCs w:val="16"/>
              </w:rPr>
              <w:t xml:space="preserve"> </w:t>
            </w:r>
            <w:r w:rsidRPr="002D6B0E">
              <w:rPr>
                <w:rFonts w:asciiTheme="minorBidi" w:hAnsiTheme="minorBidi"/>
                <w:color w:val="000000"/>
                <w:sz w:val="16"/>
                <w:szCs w:val="16"/>
              </w:rPr>
              <w:t>024</w:t>
            </w:r>
          </w:p>
        </w:tc>
        <w:tc>
          <w:tcPr>
            <w:tcW w:w="0" w:type="auto"/>
            <w:noWrap/>
            <w:vAlign w:val="center"/>
            <w:hideMark/>
          </w:tcPr>
          <w:p w14:paraId="71CB6DFD" w14:textId="37523A7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178</w:t>
            </w:r>
            <w:r w:rsidR="00153073">
              <w:rPr>
                <w:rFonts w:asciiTheme="minorBidi" w:hAnsiTheme="minorBidi"/>
                <w:color w:val="000000"/>
                <w:sz w:val="16"/>
                <w:szCs w:val="16"/>
              </w:rPr>
              <w:t xml:space="preserve"> </w:t>
            </w:r>
            <w:r w:rsidRPr="002D6B0E">
              <w:rPr>
                <w:rFonts w:asciiTheme="minorBidi" w:hAnsiTheme="minorBidi"/>
                <w:color w:val="000000"/>
                <w:sz w:val="16"/>
                <w:szCs w:val="16"/>
              </w:rPr>
              <w:t>803</w:t>
            </w:r>
          </w:p>
        </w:tc>
        <w:tc>
          <w:tcPr>
            <w:tcW w:w="0" w:type="auto"/>
            <w:noWrap/>
            <w:vAlign w:val="center"/>
            <w:hideMark/>
          </w:tcPr>
          <w:p w14:paraId="24478583" w14:textId="6375959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206</w:t>
            </w:r>
            <w:r w:rsidR="00153073">
              <w:rPr>
                <w:rFonts w:asciiTheme="minorBidi" w:hAnsiTheme="minorBidi"/>
                <w:color w:val="000000"/>
                <w:sz w:val="16"/>
                <w:szCs w:val="16"/>
              </w:rPr>
              <w:t xml:space="preserve"> </w:t>
            </w:r>
            <w:r w:rsidRPr="002D6B0E">
              <w:rPr>
                <w:rFonts w:asciiTheme="minorBidi" w:hAnsiTheme="minorBidi"/>
                <w:color w:val="000000"/>
                <w:sz w:val="16"/>
                <w:szCs w:val="16"/>
              </w:rPr>
              <w:t>823</w:t>
            </w:r>
          </w:p>
        </w:tc>
        <w:tc>
          <w:tcPr>
            <w:tcW w:w="597" w:type="dxa"/>
            <w:shd w:val="clear" w:color="auto" w:fill="E5E5E5" w:themeFill="background2" w:themeFillShade="E6"/>
            <w:noWrap/>
            <w:vAlign w:val="center"/>
            <w:hideMark/>
          </w:tcPr>
          <w:p w14:paraId="66D9BD24" w14:textId="5D4817B4"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14.0</w:t>
            </w:r>
          </w:p>
        </w:tc>
        <w:tc>
          <w:tcPr>
            <w:tcW w:w="0" w:type="auto"/>
            <w:noWrap/>
            <w:vAlign w:val="center"/>
            <w:hideMark/>
          </w:tcPr>
          <w:p w14:paraId="4A3A0404"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2EB8E38C" w14:textId="61901A76"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924</w:t>
            </w:r>
            <w:r w:rsidR="00153073">
              <w:rPr>
                <w:rFonts w:asciiTheme="minorBidi" w:hAnsiTheme="minorBidi"/>
                <w:color w:val="000000"/>
                <w:sz w:val="16"/>
                <w:szCs w:val="16"/>
              </w:rPr>
              <w:t xml:space="preserve"> </w:t>
            </w:r>
            <w:r w:rsidRPr="002D6B0E">
              <w:rPr>
                <w:rFonts w:asciiTheme="minorBidi" w:hAnsiTheme="minorBidi"/>
                <w:color w:val="000000"/>
                <w:sz w:val="16"/>
                <w:szCs w:val="16"/>
              </w:rPr>
              <w:t>557</w:t>
            </w:r>
          </w:p>
        </w:tc>
        <w:tc>
          <w:tcPr>
            <w:tcW w:w="0" w:type="auto"/>
            <w:noWrap/>
            <w:vAlign w:val="center"/>
            <w:hideMark/>
          </w:tcPr>
          <w:p w14:paraId="05FE4063" w14:textId="6235B2D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576</w:t>
            </w:r>
            <w:r w:rsidR="00153073">
              <w:rPr>
                <w:rFonts w:asciiTheme="minorBidi" w:hAnsiTheme="minorBidi"/>
                <w:color w:val="000000"/>
                <w:sz w:val="16"/>
                <w:szCs w:val="16"/>
              </w:rPr>
              <w:t xml:space="preserve"> </w:t>
            </w:r>
            <w:r w:rsidRPr="002D6B0E">
              <w:rPr>
                <w:rFonts w:asciiTheme="minorBidi" w:hAnsiTheme="minorBidi"/>
                <w:color w:val="000000"/>
                <w:sz w:val="16"/>
                <w:szCs w:val="16"/>
              </w:rPr>
              <w:t>647</w:t>
            </w:r>
          </w:p>
        </w:tc>
        <w:tc>
          <w:tcPr>
            <w:tcW w:w="0" w:type="auto"/>
            <w:noWrap/>
            <w:vAlign w:val="center"/>
            <w:hideMark/>
          </w:tcPr>
          <w:p w14:paraId="05F8D73B" w14:textId="690B62D4"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587</w:t>
            </w:r>
            <w:r w:rsidR="00153073">
              <w:rPr>
                <w:rFonts w:asciiTheme="minorBidi" w:hAnsiTheme="minorBidi"/>
                <w:color w:val="000000"/>
                <w:sz w:val="16"/>
                <w:szCs w:val="16"/>
              </w:rPr>
              <w:t xml:space="preserve"> </w:t>
            </w:r>
            <w:r w:rsidRPr="002D6B0E">
              <w:rPr>
                <w:rFonts w:asciiTheme="minorBidi" w:hAnsiTheme="minorBidi"/>
                <w:color w:val="000000"/>
                <w:sz w:val="16"/>
                <w:szCs w:val="16"/>
              </w:rPr>
              <w:t>108</w:t>
            </w:r>
          </w:p>
        </w:tc>
        <w:tc>
          <w:tcPr>
            <w:tcW w:w="0" w:type="auto"/>
            <w:noWrap/>
            <w:vAlign w:val="center"/>
            <w:hideMark/>
          </w:tcPr>
          <w:p w14:paraId="3665ADED" w14:textId="1CF80F01"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831</w:t>
            </w:r>
            <w:r w:rsidR="00153073">
              <w:rPr>
                <w:rFonts w:asciiTheme="minorBidi" w:hAnsiTheme="minorBidi"/>
                <w:color w:val="000000"/>
                <w:sz w:val="16"/>
                <w:szCs w:val="16"/>
              </w:rPr>
              <w:t xml:space="preserve"> </w:t>
            </w:r>
            <w:r w:rsidRPr="002D6B0E">
              <w:rPr>
                <w:rFonts w:asciiTheme="minorBidi" w:hAnsiTheme="minorBidi"/>
                <w:color w:val="000000"/>
                <w:sz w:val="16"/>
                <w:szCs w:val="16"/>
              </w:rPr>
              <w:t>101</w:t>
            </w:r>
          </w:p>
        </w:tc>
        <w:tc>
          <w:tcPr>
            <w:tcW w:w="0" w:type="auto"/>
            <w:noWrap/>
            <w:vAlign w:val="center"/>
            <w:hideMark/>
          </w:tcPr>
          <w:p w14:paraId="75CE3F7A" w14:textId="6B54953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840</w:t>
            </w:r>
            <w:r w:rsidR="00153073">
              <w:rPr>
                <w:rFonts w:asciiTheme="minorBidi" w:hAnsiTheme="minorBidi"/>
                <w:color w:val="000000"/>
                <w:sz w:val="16"/>
                <w:szCs w:val="16"/>
              </w:rPr>
              <w:t xml:space="preserve"> </w:t>
            </w:r>
            <w:r w:rsidRPr="002D6B0E">
              <w:rPr>
                <w:rFonts w:asciiTheme="minorBidi" w:hAnsiTheme="minorBidi"/>
                <w:color w:val="000000"/>
                <w:sz w:val="16"/>
                <w:szCs w:val="16"/>
              </w:rPr>
              <w:t>367</w:t>
            </w:r>
          </w:p>
        </w:tc>
        <w:tc>
          <w:tcPr>
            <w:tcW w:w="1000" w:type="dxa"/>
            <w:noWrap/>
            <w:vAlign w:val="center"/>
            <w:hideMark/>
          </w:tcPr>
          <w:p w14:paraId="0466181F" w14:textId="028D8D9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866</w:t>
            </w:r>
            <w:r w:rsidR="00153073">
              <w:rPr>
                <w:rFonts w:asciiTheme="minorBidi" w:hAnsiTheme="minorBidi"/>
                <w:color w:val="000000"/>
                <w:sz w:val="16"/>
                <w:szCs w:val="16"/>
              </w:rPr>
              <w:t xml:space="preserve"> </w:t>
            </w:r>
            <w:r w:rsidRPr="002D6B0E">
              <w:rPr>
                <w:rFonts w:asciiTheme="minorBidi" w:hAnsiTheme="minorBidi"/>
                <w:color w:val="000000"/>
                <w:sz w:val="16"/>
                <w:szCs w:val="16"/>
              </w:rPr>
              <w:t>211</w:t>
            </w:r>
          </w:p>
        </w:tc>
        <w:tc>
          <w:tcPr>
            <w:tcW w:w="568" w:type="dxa"/>
            <w:shd w:val="clear" w:color="auto" w:fill="E5E5E5" w:themeFill="background2" w:themeFillShade="E6"/>
            <w:noWrap/>
            <w:vAlign w:val="center"/>
            <w:hideMark/>
          </w:tcPr>
          <w:p w14:paraId="5BB806D8" w14:textId="4E183BD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13.0</w:t>
            </w:r>
          </w:p>
        </w:tc>
      </w:tr>
      <w:tr w:rsidR="00B54A22" w:rsidRPr="002D6B0E" w14:paraId="2005ECB6" w14:textId="77777777" w:rsidTr="00146B4A">
        <w:trPr>
          <w:trHeight w:val="300"/>
        </w:trPr>
        <w:tc>
          <w:tcPr>
            <w:tcW w:w="0" w:type="auto"/>
            <w:noWrap/>
            <w:vAlign w:val="center"/>
            <w:hideMark/>
          </w:tcPr>
          <w:p w14:paraId="0F69A0B4"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Rapla</w:t>
            </w:r>
          </w:p>
        </w:tc>
        <w:tc>
          <w:tcPr>
            <w:tcW w:w="0" w:type="auto"/>
            <w:noWrap/>
            <w:vAlign w:val="center"/>
            <w:hideMark/>
          </w:tcPr>
          <w:p w14:paraId="6246DC86" w14:textId="52C77A5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w:t>
            </w:r>
            <w:r w:rsidR="00153073">
              <w:rPr>
                <w:rFonts w:asciiTheme="minorBidi" w:hAnsiTheme="minorBidi"/>
                <w:color w:val="000000"/>
                <w:sz w:val="16"/>
                <w:szCs w:val="16"/>
              </w:rPr>
              <w:t xml:space="preserve"> </w:t>
            </w:r>
            <w:r w:rsidRPr="002D6B0E">
              <w:rPr>
                <w:rFonts w:asciiTheme="minorBidi" w:hAnsiTheme="minorBidi"/>
                <w:color w:val="000000"/>
                <w:sz w:val="16"/>
                <w:szCs w:val="16"/>
              </w:rPr>
              <w:t>643</w:t>
            </w:r>
          </w:p>
        </w:tc>
        <w:tc>
          <w:tcPr>
            <w:tcW w:w="0" w:type="auto"/>
            <w:noWrap/>
            <w:vAlign w:val="center"/>
            <w:hideMark/>
          </w:tcPr>
          <w:p w14:paraId="5386F74A" w14:textId="4216C3A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w:t>
            </w:r>
            <w:r w:rsidR="00153073">
              <w:rPr>
                <w:rFonts w:asciiTheme="minorBidi" w:hAnsiTheme="minorBidi"/>
                <w:color w:val="000000"/>
                <w:sz w:val="16"/>
                <w:szCs w:val="16"/>
              </w:rPr>
              <w:t xml:space="preserve"> </w:t>
            </w:r>
            <w:r w:rsidRPr="002D6B0E">
              <w:rPr>
                <w:rFonts w:asciiTheme="minorBidi" w:hAnsiTheme="minorBidi"/>
                <w:color w:val="000000"/>
                <w:sz w:val="16"/>
                <w:szCs w:val="16"/>
              </w:rPr>
              <w:t>894</w:t>
            </w:r>
          </w:p>
        </w:tc>
        <w:tc>
          <w:tcPr>
            <w:tcW w:w="0" w:type="auto"/>
            <w:noWrap/>
            <w:vAlign w:val="center"/>
            <w:hideMark/>
          </w:tcPr>
          <w:p w14:paraId="7BC9C053" w14:textId="5B0F1506"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w:t>
            </w:r>
            <w:r w:rsidR="00153073">
              <w:rPr>
                <w:rFonts w:asciiTheme="minorBidi" w:hAnsiTheme="minorBidi"/>
                <w:color w:val="000000"/>
                <w:sz w:val="16"/>
                <w:szCs w:val="16"/>
              </w:rPr>
              <w:t xml:space="preserve"> </w:t>
            </w:r>
            <w:r w:rsidRPr="002D6B0E">
              <w:rPr>
                <w:rFonts w:asciiTheme="minorBidi" w:hAnsiTheme="minorBidi"/>
                <w:color w:val="000000"/>
                <w:sz w:val="16"/>
                <w:szCs w:val="16"/>
              </w:rPr>
              <w:t>972</w:t>
            </w:r>
          </w:p>
        </w:tc>
        <w:tc>
          <w:tcPr>
            <w:tcW w:w="0" w:type="auto"/>
            <w:noWrap/>
            <w:vAlign w:val="center"/>
            <w:hideMark/>
          </w:tcPr>
          <w:p w14:paraId="05E42651" w14:textId="4754BDE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w:t>
            </w:r>
            <w:r w:rsidR="00153073">
              <w:rPr>
                <w:rFonts w:asciiTheme="minorBidi" w:hAnsiTheme="minorBidi"/>
                <w:color w:val="000000"/>
                <w:sz w:val="16"/>
                <w:szCs w:val="16"/>
              </w:rPr>
              <w:t xml:space="preserve"> </w:t>
            </w:r>
            <w:r w:rsidRPr="002D6B0E">
              <w:rPr>
                <w:rFonts w:asciiTheme="minorBidi" w:hAnsiTheme="minorBidi"/>
                <w:color w:val="000000"/>
                <w:sz w:val="16"/>
                <w:szCs w:val="16"/>
              </w:rPr>
              <w:t>149</w:t>
            </w:r>
          </w:p>
        </w:tc>
        <w:tc>
          <w:tcPr>
            <w:tcW w:w="0" w:type="auto"/>
            <w:noWrap/>
            <w:vAlign w:val="center"/>
            <w:hideMark/>
          </w:tcPr>
          <w:p w14:paraId="1C9EB623" w14:textId="4A85E26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w:t>
            </w:r>
            <w:r w:rsidR="00153073">
              <w:rPr>
                <w:rFonts w:asciiTheme="minorBidi" w:hAnsiTheme="minorBidi"/>
                <w:color w:val="000000"/>
                <w:sz w:val="16"/>
                <w:szCs w:val="16"/>
              </w:rPr>
              <w:t xml:space="preserve"> </w:t>
            </w:r>
            <w:r w:rsidRPr="002D6B0E">
              <w:rPr>
                <w:rFonts w:asciiTheme="minorBidi" w:hAnsiTheme="minorBidi"/>
                <w:color w:val="000000"/>
                <w:sz w:val="16"/>
                <w:szCs w:val="16"/>
              </w:rPr>
              <w:t>597</w:t>
            </w:r>
          </w:p>
        </w:tc>
        <w:tc>
          <w:tcPr>
            <w:tcW w:w="0" w:type="auto"/>
            <w:noWrap/>
            <w:vAlign w:val="center"/>
            <w:hideMark/>
          </w:tcPr>
          <w:p w14:paraId="0FBE25D9" w14:textId="12C38711"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w:t>
            </w:r>
            <w:r w:rsidR="00153073">
              <w:rPr>
                <w:rFonts w:asciiTheme="minorBidi" w:hAnsiTheme="minorBidi"/>
                <w:color w:val="000000"/>
                <w:sz w:val="16"/>
                <w:szCs w:val="16"/>
              </w:rPr>
              <w:t xml:space="preserve"> </w:t>
            </w:r>
            <w:r w:rsidRPr="002D6B0E">
              <w:rPr>
                <w:rFonts w:asciiTheme="minorBidi" w:hAnsiTheme="minorBidi"/>
                <w:color w:val="000000"/>
                <w:sz w:val="16"/>
                <w:szCs w:val="16"/>
              </w:rPr>
              <w:t>321</w:t>
            </w:r>
          </w:p>
        </w:tc>
        <w:tc>
          <w:tcPr>
            <w:tcW w:w="597" w:type="dxa"/>
            <w:shd w:val="clear" w:color="auto" w:fill="E5E5E5" w:themeFill="background2" w:themeFillShade="E6"/>
            <w:noWrap/>
            <w:vAlign w:val="center"/>
            <w:hideMark/>
          </w:tcPr>
          <w:p w14:paraId="0CBEB41A" w14:textId="31C2475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0.4</w:t>
            </w:r>
          </w:p>
        </w:tc>
        <w:tc>
          <w:tcPr>
            <w:tcW w:w="0" w:type="auto"/>
            <w:noWrap/>
            <w:vAlign w:val="center"/>
            <w:hideMark/>
          </w:tcPr>
          <w:p w14:paraId="0B0FFAC0"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7F135F27" w14:textId="03A9A9C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30</w:t>
            </w:r>
            <w:r w:rsidR="00153073">
              <w:rPr>
                <w:rFonts w:asciiTheme="minorBidi" w:hAnsiTheme="minorBidi"/>
                <w:color w:val="000000"/>
                <w:sz w:val="16"/>
                <w:szCs w:val="16"/>
              </w:rPr>
              <w:t xml:space="preserve"> </w:t>
            </w:r>
            <w:r w:rsidRPr="002D6B0E">
              <w:rPr>
                <w:rFonts w:asciiTheme="minorBidi" w:hAnsiTheme="minorBidi"/>
                <w:color w:val="000000"/>
                <w:sz w:val="16"/>
                <w:szCs w:val="16"/>
              </w:rPr>
              <w:t>593</w:t>
            </w:r>
          </w:p>
        </w:tc>
        <w:tc>
          <w:tcPr>
            <w:tcW w:w="0" w:type="auto"/>
            <w:noWrap/>
            <w:vAlign w:val="center"/>
            <w:hideMark/>
          </w:tcPr>
          <w:p w14:paraId="25365F58" w14:textId="14F9028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24</w:t>
            </w:r>
            <w:r w:rsidR="00153073">
              <w:rPr>
                <w:rFonts w:asciiTheme="minorBidi" w:hAnsiTheme="minorBidi"/>
                <w:color w:val="000000"/>
                <w:sz w:val="16"/>
                <w:szCs w:val="16"/>
              </w:rPr>
              <w:t xml:space="preserve"> </w:t>
            </w:r>
            <w:r w:rsidRPr="002D6B0E">
              <w:rPr>
                <w:rFonts w:asciiTheme="minorBidi" w:hAnsiTheme="minorBidi"/>
                <w:color w:val="000000"/>
                <w:sz w:val="16"/>
                <w:szCs w:val="16"/>
              </w:rPr>
              <w:t>515</w:t>
            </w:r>
          </w:p>
        </w:tc>
        <w:tc>
          <w:tcPr>
            <w:tcW w:w="0" w:type="auto"/>
            <w:noWrap/>
            <w:vAlign w:val="center"/>
            <w:hideMark/>
          </w:tcPr>
          <w:p w14:paraId="31F47655" w14:textId="573CCA0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35</w:t>
            </w:r>
            <w:r w:rsidR="00153073">
              <w:rPr>
                <w:rFonts w:asciiTheme="minorBidi" w:hAnsiTheme="minorBidi"/>
                <w:color w:val="000000"/>
                <w:sz w:val="16"/>
                <w:szCs w:val="16"/>
              </w:rPr>
              <w:t xml:space="preserve"> </w:t>
            </w:r>
            <w:r w:rsidRPr="002D6B0E">
              <w:rPr>
                <w:rFonts w:asciiTheme="minorBidi" w:hAnsiTheme="minorBidi"/>
                <w:color w:val="000000"/>
                <w:sz w:val="16"/>
                <w:szCs w:val="16"/>
              </w:rPr>
              <w:t>540</w:t>
            </w:r>
          </w:p>
        </w:tc>
        <w:tc>
          <w:tcPr>
            <w:tcW w:w="0" w:type="auto"/>
            <w:noWrap/>
            <w:vAlign w:val="center"/>
            <w:hideMark/>
          </w:tcPr>
          <w:p w14:paraId="0A6C59AC" w14:textId="27D7D214"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44</w:t>
            </w:r>
            <w:r w:rsidR="00153073">
              <w:rPr>
                <w:rFonts w:asciiTheme="minorBidi" w:hAnsiTheme="minorBidi"/>
                <w:color w:val="000000"/>
                <w:sz w:val="16"/>
                <w:szCs w:val="16"/>
              </w:rPr>
              <w:t xml:space="preserve"> </w:t>
            </w:r>
            <w:r w:rsidRPr="002D6B0E">
              <w:rPr>
                <w:rFonts w:asciiTheme="minorBidi" w:hAnsiTheme="minorBidi"/>
                <w:color w:val="000000"/>
                <w:sz w:val="16"/>
                <w:szCs w:val="16"/>
              </w:rPr>
              <w:t>042</w:t>
            </w:r>
          </w:p>
        </w:tc>
        <w:tc>
          <w:tcPr>
            <w:tcW w:w="0" w:type="auto"/>
            <w:noWrap/>
            <w:vAlign w:val="center"/>
            <w:hideMark/>
          </w:tcPr>
          <w:p w14:paraId="79B8D733" w14:textId="122586EC"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40</w:t>
            </w:r>
            <w:r w:rsidR="00153073">
              <w:rPr>
                <w:rFonts w:asciiTheme="minorBidi" w:hAnsiTheme="minorBidi"/>
                <w:color w:val="000000"/>
                <w:sz w:val="16"/>
                <w:szCs w:val="16"/>
              </w:rPr>
              <w:t xml:space="preserve"> </w:t>
            </w:r>
            <w:r w:rsidRPr="002D6B0E">
              <w:rPr>
                <w:rFonts w:asciiTheme="minorBidi" w:hAnsiTheme="minorBidi"/>
                <w:color w:val="000000"/>
                <w:sz w:val="16"/>
                <w:szCs w:val="16"/>
              </w:rPr>
              <w:t>811</w:t>
            </w:r>
          </w:p>
        </w:tc>
        <w:tc>
          <w:tcPr>
            <w:tcW w:w="1000" w:type="dxa"/>
            <w:noWrap/>
            <w:vAlign w:val="center"/>
            <w:hideMark/>
          </w:tcPr>
          <w:p w14:paraId="4324B6D0" w14:textId="0AC8D40D"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40</w:t>
            </w:r>
            <w:r w:rsidR="00153073">
              <w:rPr>
                <w:rFonts w:asciiTheme="minorBidi" w:hAnsiTheme="minorBidi"/>
                <w:color w:val="000000"/>
                <w:sz w:val="16"/>
                <w:szCs w:val="16"/>
              </w:rPr>
              <w:t xml:space="preserve"> </w:t>
            </w:r>
            <w:r w:rsidRPr="002D6B0E">
              <w:rPr>
                <w:rFonts w:asciiTheme="minorBidi" w:hAnsiTheme="minorBidi"/>
                <w:color w:val="000000"/>
                <w:sz w:val="16"/>
                <w:szCs w:val="16"/>
              </w:rPr>
              <w:t>153</w:t>
            </w:r>
          </w:p>
        </w:tc>
        <w:tc>
          <w:tcPr>
            <w:tcW w:w="568" w:type="dxa"/>
            <w:shd w:val="clear" w:color="auto" w:fill="E5E5E5" w:themeFill="background2" w:themeFillShade="E6"/>
            <w:noWrap/>
            <w:vAlign w:val="center"/>
            <w:hideMark/>
          </w:tcPr>
          <w:p w14:paraId="728629FE" w14:textId="12BDBF1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0.6</w:t>
            </w:r>
          </w:p>
        </w:tc>
      </w:tr>
      <w:tr w:rsidR="00B54A22" w:rsidRPr="002D6B0E" w14:paraId="4D134CE8" w14:textId="77777777" w:rsidTr="00146B4A">
        <w:trPr>
          <w:trHeight w:val="300"/>
        </w:trPr>
        <w:tc>
          <w:tcPr>
            <w:tcW w:w="0" w:type="auto"/>
            <w:noWrap/>
            <w:vAlign w:val="center"/>
            <w:hideMark/>
          </w:tcPr>
          <w:p w14:paraId="1E56CA47"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Saare</w:t>
            </w:r>
          </w:p>
        </w:tc>
        <w:tc>
          <w:tcPr>
            <w:tcW w:w="0" w:type="auto"/>
            <w:noWrap/>
            <w:vAlign w:val="center"/>
            <w:hideMark/>
          </w:tcPr>
          <w:p w14:paraId="029AB633" w14:textId="06BB5B7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62</w:t>
            </w:r>
            <w:r w:rsidR="00153073">
              <w:rPr>
                <w:rFonts w:asciiTheme="minorBidi" w:hAnsiTheme="minorBidi"/>
                <w:color w:val="000000"/>
                <w:sz w:val="16"/>
                <w:szCs w:val="16"/>
              </w:rPr>
              <w:t xml:space="preserve"> </w:t>
            </w:r>
            <w:r w:rsidRPr="002D6B0E">
              <w:rPr>
                <w:rFonts w:asciiTheme="minorBidi" w:hAnsiTheme="minorBidi"/>
                <w:color w:val="000000"/>
                <w:sz w:val="16"/>
                <w:szCs w:val="16"/>
              </w:rPr>
              <w:t>040</w:t>
            </w:r>
          </w:p>
        </w:tc>
        <w:tc>
          <w:tcPr>
            <w:tcW w:w="0" w:type="auto"/>
            <w:noWrap/>
            <w:vAlign w:val="center"/>
            <w:hideMark/>
          </w:tcPr>
          <w:p w14:paraId="044C830B" w14:textId="26C5F39D"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70</w:t>
            </w:r>
            <w:r w:rsidR="00153073">
              <w:rPr>
                <w:rFonts w:asciiTheme="minorBidi" w:hAnsiTheme="minorBidi"/>
                <w:color w:val="000000"/>
                <w:sz w:val="16"/>
                <w:szCs w:val="16"/>
              </w:rPr>
              <w:t xml:space="preserve"> </w:t>
            </w:r>
            <w:r w:rsidRPr="002D6B0E">
              <w:rPr>
                <w:rFonts w:asciiTheme="minorBidi" w:hAnsiTheme="minorBidi"/>
                <w:color w:val="000000"/>
                <w:sz w:val="16"/>
                <w:szCs w:val="16"/>
              </w:rPr>
              <w:t>565</w:t>
            </w:r>
          </w:p>
        </w:tc>
        <w:tc>
          <w:tcPr>
            <w:tcW w:w="0" w:type="auto"/>
            <w:noWrap/>
            <w:vAlign w:val="center"/>
            <w:hideMark/>
          </w:tcPr>
          <w:p w14:paraId="064BFF8A" w14:textId="3C2DFF7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55</w:t>
            </w:r>
            <w:r w:rsidR="00153073">
              <w:rPr>
                <w:rFonts w:asciiTheme="minorBidi" w:hAnsiTheme="minorBidi"/>
                <w:color w:val="000000"/>
                <w:sz w:val="16"/>
                <w:szCs w:val="16"/>
              </w:rPr>
              <w:t xml:space="preserve"> </w:t>
            </w:r>
            <w:r w:rsidRPr="002D6B0E">
              <w:rPr>
                <w:rFonts w:asciiTheme="minorBidi" w:hAnsiTheme="minorBidi"/>
                <w:color w:val="000000"/>
                <w:sz w:val="16"/>
                <w:szCs w:val="16"/>
              </w:rPr>
              <w:t>159</w:t>
            </w:r>
          </w:p>
        </w:tc>
        <w:tc>
          <w:tcPr>
            <w:tcW w:w="0" w:type="auto"/>
            <w:noWrap/>
            <w:vAlign w:val="center"/>
            <w:hideMark/>
          </w:tcPr>
          <w:p w14:paraId="2C9700A1" w14:textId="62B2D584"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67</w:t>
            </w:r>
            <w:r w:rsidR="00153073">
              <w:rPr>
                <w:rFonts w:asciiTheme="minorBidi" w:hAnsiTheme="minorBidi"/>
                <w:color w:val="000000"/>
                <w:sz w:val="16"/>
                <w:szCs w:val="16"/>
              </w:rPr>
              <w:t xml:space="preserve"> </w:t>
            </w:r>
            <w:r w:rsidRPr="002D6B0E">
              <w:rPr>
                <w:rFonts w:asciiTheme="minorBidi" w:hAnsiTheme="minorBidi"/>
                <w:color w:val="000000"/>
                <w:sz w:val="16"/>
                <w:szCs w:val="16"/>
              </w:rPr>
              <w:t>764</w:t>
            </w:r>
          </w:p>
        </w:tc>
        <w:tc>
          <w:tcPr>
            <w:tcW w:w="0" w:type="auto"/>
            <w:noWrap/>
            <w:vAlign w:val="center"/>
            <w:hideMark/>
          </w:tcPr>
          <w:p w14:paraId="37FFF137" w14:textId="429B091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68</w:t>
            </w:r>
            <w:r w:rsidR="00153073">
              <w:rPr>
                <w:rFonts w:asciiTheme="minorBidi" w:hAnsiTheme="minorBidi"/>
                <w:color w:val="000000"/>
                <w:sz w:val="16"/>
                <w:szCs w:val="16"/>
              </w:rPr>
              <w:t xml:space="preserve"> </w:t>
            </w:r>
            <w:r w:rsidRPr="002D6B0E">
              <w:rPr>
                <w:rFonts w:asciiTheme="minorBidi" w:hAnsiTheme="minorBidi"/>
                <w:color w:val="000000"/>
                <w:sz w:val="16"/>
                <w:szCs w:val="16"/>
              </w:rPr>
              <w:t>621</w:t>
            </w:r>
          </w:p>
        </w:tc>
        <w:tc>
          <w:tcPr>
            <w:tcW w:w="0" w:type="auto"/>
            <w:noWrap/>
            <w:vAlign w:val="center"/>
            <w:hideMark/>
          </w:tcPr>
          <w:p w14:paraId="70D59DEC" w14:textId="7EF3212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77</w:t>
            </w:r>
            <w:r w:rsidR="00153073">
              <w:rPr>
                <w:rFonts w:asciiTheme="minorBidi" w:hAnsiTheme="minorBidi"/>
                <w:color w:val="000000"/>
                <w:sz w:val="16"/>
                <w:szCs w:val="16"/>
              </w:rPr>
              <w:t xml:space="preserve"> </w:t>
            </w:r>
            <w:r w:rsidRPr="002D6B0E">
              <w:rPr>
                <w:rFonts w:asciiTheme="minorBidi" w:hAnsiTheme="minorBidi"/>
                <w:color w:val="000000"/>
                <w:sz w:val="16"/>
                <w:szCs w:val="16"/>
              </w:rPr>
              <w:t>333</w:t>
            </w:r>
          </w:p>
        </w:tc>
        <w:tc>
          <w:tcPr>
            <w:tcW w:w="597" w:type="dxa"/>
            <w:shd w:val="clear" w:color="auto" w:fill="E5E5E5" w:themeFill="background2" w:themeFillShade="E6"/>
            <w:noWrap/>
            <w:vAlign w:val="center"/>
            <w:hideMark/>
          </w:tcPr>
          <w:p w14:paraId="4E1869DC" w14:textId="053753C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5.2</w:t>
            </w:r>
          </w:p>
        </w:tc>
        <w:tc>
          <w:tcPr>
            <w:tcW w:w="0" w:type="auto"/>
            <w:noWrap/>
            <w:vAlign w:val="center"/>
            <w:hideMark/>
          </w:tcPr>
          <w:p w14:paraId="19A1F1F8"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74CC70C9" w14:textId="0B562BE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326</w:t>
            </w:r>
            <w:r w:rsidR="00153073">
              <w:rPr>
                <w:rFonts w:asciiTheme="minorBidi" w:hAnsiTheme="minorBidi"/>
                <w:color w:val="000000"/>
                <w:sz w:val="16"/>
                <w:szCs w:val="16"/>
              </w:rPr>
              <w:t xml:space="preserve"> </w:t>
            </w:r>
            <w:r w:rsidRPr="002D6B0E">
              <w:rPr>
                <w:rFonts w:asciiTheme="minorBidi" w:hAnsiTheme="minorBidi"/>
                <w:color w:val="000000"/>
                <w:sz w:val="16"/>
                <w:szCs w:val="16"/>
              </w:rPr>
              <w:t>165</w:t>
            </w:r>
          </w:p>
        </w:tc>
        <w:tc>
          <w:tcPr>
            <w:tcW w:w="0" w:type="auto"/>
            <w:noWrap/>
            <w:vAlign w:val="center"/>
            <w:hideMark/>
          </w:tcPr>
          <w:p w14:paraId="620FC9FA" w14:textId="7C0925C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235</w:t>
            </w:r>
            <w:r w:rsidR="00153073">
              <w:rPr>
                <w:rFonts w:asciiTheme="minorBidi" w:hAnsiTheme="minorBidi"/>
                <w:color w:val="000000"/>
                <w:sz w:val="16"/>
                <w:szCs w:val="16"/>
              </w:rPr>
              <w:t xml:space="preserve"> </w:t>
            </w:r>
            <w:r w:rsidRPr="002D6B0E">
              <w:rPr>
                <w:rFonts w:asciiTheme="minorBidi" w:hAnsiTheme="minorBidi"/>
                <w:color w:val="000000"/>
                <w:sz w:val="16"/>
                <w:szCs w:val="16"/>
              </w:rPr>
              <w:t>392</w:t>
            </w:r>
          </w:p>
        </w:tc>
        <w:tc>
          <w:tcPr>
            <w:tcW w:w="0" w:type="auto"/>
            <w:noWrap/>
            <w:vAlign w:val="center"/>
            <w:hideMark/>
          </w:tcPr>
          <w:p w14:paraId="12C45882" w14:textId="3EE19B6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234</w:t>
            </w:r>
            <w:r w:rsidR="00153073">
              <w:rPr>
                <w:rFonts w:asciiTheme="minorBidi" w:hAnsiTheme="minorBidi"/>
                <w:color w:val="000000"/>
                <w:sz w:val="16"/>
                <w:szCs w:val="16"/>
              </w:rPr>
              <w:t xml:space="preserve"> </w:t>
            </w:r>
            <w:r w:rsidRPr="002D6B0E">
              <w:rPr>
                <w:rFonts w:asciiTheme="minorBidi" w:hAnsiTheme="minorBidi"/>
                <w:color w:val="000000"/>
                <w:sz w:val="16"/>
                <w:szCs w:val="16"/>
              </w:rPr>
              <w:t>767</w:t>
            </w:r>
          </w:p>
        </w:tc>
        <w:tc>
          <w:tcPr>
            <w:tcW w:w="0" w:type="auto"/>
            <w:noWrap/>
            <w:vAlign w:val="center"/>
            <w:hideMark/>
          </w:tcPr>
          <w:p w14:paraId="11844128" w14:textId="4938673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300</w:t>
            </w:r>
            <w:r w:rsidR="00153073">
              <w:rPr>
                <w:rFonts w:asciiTheme="minorBidi" w:hAnsiTheme="minorBidi"/>
                <w:color w:val="000000"/>
                <w:sz w:val="16"/>
                <w:szCs w:val="16"/>
              </w:rPr>
              <w:t xml:space="preserve"> </w:t>
            </w:r>
            <w:r w:rsidRPr="002D6B0E">
              <w:rPr>
                <w:rFonts w:asciiTheme="minorBidi" w:hAnsiTheme="minorBidi"/>
                <w:color w:val="000000"/>
                <w:sz w:val="16"/>
                <w:szCs w:val="16"/>
              </w:rPr>
              <w:t>264</w:t>
            </w:r>
          </w:p>
        </w:tc>
        <w:tc>
          <w:tcPr>
            <w:tcW w:w="0" w:type="auto"/>
            <w:noWrap/>
            <w:vAlign w:val="center"/>
            <w:hideMark/>
          </w:tcPr>
          <w:p w14:paraId="19C44B6A" w14:textId="0092D9B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292</w:t>
            </w:r>
            <w:r w:rsidR="00153073">
              <w:rPr>
                <w:rFonts w:asciiTheme="minorBidi" w:hAnsiTheme="minorBidi"/>
                <w:color w:val="000000"/>
                <w:sz w:val="16"/>
                <w:szCs w:val="16"/>
              </w:rPr>
              <w:t xml:space="preserve"> </w:t>
            </w:r>
            <w:r w:rsidRPr="002D6B0E">
              <w:rPr>
                <w:rFonts w:asciiTheme="minorBidi" w:hAnsiTheme="minorBidi"/>
                <w:color w:val="000000"/>
                <w:sz w:val="16"/>
                <w:szCs w:val="16"/>
              </w:rPr>
              <w:t>258</w:t>
            </w:r>
          </w:p>
        </w:tc>
        <w:tc>
          <w:tcPr>
            <w:tcW w:w="1000" w:type="dxa"/>
            <w:noWrap/>
            <w:vAlign w:val="center"/>
            <w:hideMark/>
          </w:tcPr>
          <w:p w14:paraId="1A8DD79C" w14:textId="3F930EE6"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286</w:t>
            </w:r>
            <w:r w:rsidR="00153073">
              <w:rPr>
                <w:rFonts w:asciiTheme="minorBidi" w:hAnsiTheme="minorBidi"/>
                <w:color w:val="000000"/>
                <w:sz w:val="16"/>
                <w:szCs w:val="16"/>
              </w:rPr>
              <w:t xml:space="preserve"> </w:t>
            </w:r>
            <w:r w:rsidRPr="002D6B0E">
              <w:rPr>
                <w:rFonts w:asciiTheme="minorBidi" w:hAnsiTheme="minorBidi"/>
                <w:color w:val="000000"/>
                <w:sz w:val="16"/>
                <w:szCs w:val="16"/>
              </w:rPr>
              <w:t>662</w:t>
            </w:r>
          </w:p>
        </w:tc>
        <w:tc>
          <w:tcPr>
            <w:tcW w:w="568" w:type="dxa"/>
            <w:shd w:val="clear" w:color="auto" w:fill="E5E5E5" w:themeFill="background2" w:themeFillShade="E6"/>
            <w:noWrap/>
            <w:vAlign w:val="center"/>
            <w:hideMark/>
          </w:tcPr>
          <w:p w14:paraId="4E9534B1" w14:textId="1458C77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4.3</w:t>
            </w:r>
          </w:p>
        </w:tc>
      </w:tr>
      <w:tr w:rsidR="00B54A22" w:rsidRPr="002D6B0E" w14:paraId="6076B9AB" w14:textId="77777777" w:rsidTr="00146B4A">
        <w:trPr>
          <w:trHeight w:val="300"/>
        </w:trPr>
        <w:tc>
          <w:tcPr>
            <w:tcW w:w="0" w:type="auto"/>
            <w:noWrap/>
            <w:vAlign w:val="center"/>
            <w:hideMark/>
          </w:tcPr>
          <w:p w14:paraId="787A3B9E"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Tartu</w:t>
            </w:r>
          </w:p>
        </w:tc>
        <w:tc>
          <w:tcPr>
            <w:tcW w:w="0" w:type="auto"/>
            <w:noWrap/>
            <w:vAlign w:val="center"/>
            <w:hideMark/>
          </w:tcPr>
          <w:p w14:paraId="044E065A" w14:textId="7075DFF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90</w:t>
            </w:r>
            <w:r w:rsidR="00153073">
              <w:rPr>
                <w:rFonts w:asciiTheme="minorBidi" w:hAnsiTheme="minorBidi"/>
                <w:color w:val="000000"/>
                <w:sz w:val="16"/>
                <w:szCs w:val="16"/>
              </w:rPr>
              <w:t xml:space="preserve"> </w:t>
            </w:r>
            <w:r w:rsidRPr="002D6B0E">
              <w:rPr>
                <w:rFonts w:asciiTheme="minorBidi" w:hAnsiTheme="minorBidi"/>
                <w:color w:val="000000"/>
                <w:sz w:val="16"/>
                <w:szCs w:val="16"/>
              </w:rPr>
              <w:t>212</w:t>
            </w:r>
          </w:p>
        </w:tc>
        <w:tc>
          <w:tcPr>
            <w:tcW w:w="0" w:type="auto"/>
            <w:noWrap/>
            <w:vAlign w:val="center"/>
            <w:hideMark/>
          </w:tcPr>
          <w:p w14:paraId="4056582D" w14:textId="7AE2CDD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123</w:t>
            </w:r>
            <w:r w:rsidR="00153073">
              <w:rPr>
                <w:rFonts w:asciiTheme="minorBidi" w:hAnsiTheme="minorBidi"/>
                <w:color w:val="000000"/>
                <w:sz w:val="16"/>
                <w:szCs w:val="16"/>
              </w:rPr>
              <w:t xml:space="preserve"> </w:t>
            </w:r>
            <w:r w:rsidRPr="002D6B0E">
              <w:rPr>
                <w:rFonts w:asciiTheme="minorBidi" w:hAnsiTheme="minorBidi"/>
                <w:color w:val="000000"/>
                <w:sz w:val="16"/>
                <w:szCs w:val="16"/>
              </w:rPr>
              <w:t>496</w:t>
            </w:r>
          </w:p>
        </w:tc>
        <w:tc>
          <w:tcPr>
            <w:tcW w:w="0" w:type="auto"/>
            <w:noWrap/>
            <w:vAlign w:val="center"/>
            <w:hideMark/>
          </w:tcPr>
          <w:p w14:paraId="4B819A00" w14:textId="73A8CA5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84</w:t>
            </w:r>
            <w:r w:rsidR="00153073">
              <w:rPr>
                <w:rFonts w:asciiTheme="minorBidi" w:hAnsiTheme="minorBidi"/>
                <w:color w:val="000000"/>
                <w:sz w:val="16"/>
                <w:szCs w:val="16"/>
              </w:rPr>
              <w:t xml:space="preserve"> </w:t>
            </w:r>
            <w:r w:rsidRPr="002D6B0E">
              <w:rPr>
                <w:rFonts w:asciiTheme="minorBidi" w:hAnsiTheme="minorBidi"/>
                <w:color w:val="000000"/>
                <w:sz w:val="16"/>
                <w:szCs w:val="16"/>
              </w:rPr>
              <w:t>792</w:t>
            </w:r>
          </w:p>
        </w:tc>
        <w:tc>
          <w:tcPr>
            <w:tcW w:w="0" w:type="auto"/>
            <w:noWrap/>
            <w:vAlign w:val="center"/>
            <w:hideMark/>
          </w:tcPr>
          <w:p w14:paraId="45FDE22B" w14:textId="7B4AFDB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97</w:t>
            </w:r>
            <w:r w:rsidR="00153073">
              <w:rPr>
                <w:rFonts w:asciiTheme="minorBidi" w:hAnsiTheme="minorBidi"/>
                <w:color w:val="000000"/>
                <w:sz w:val="16"/>
                <w:szCs w:val="16"/>
              </w:rPr>
              <w:t xml:space="preserve"> </w:t>
            </w:r>
            <w:r w:rsidRPr="002D6B0E">
              <w:rPr>
                <w:rFonts w:asciiTheme="minorBidi" w:hAnsiTheme="minorBidi"/>
                <w:color w:val="000000"/>
                <w:sz w:val="16"/>
                <w:szCs w:val="16"/>
              </w:rPr>
              <w:t>842</w:t>
            </w:r>
          </w:p>
        </w:tc>
        <w:tc>
          <w:tcPr>
            <w:tcW w:w="0" w:type="auto"/>
            <w:noWrap/>
            <w:vAlign w:val="center"/>
            <w:hideMark/>
          </w:tcPr>
          <w:p w14:paraId="37DA623D" w14:textId="3E2FDD1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150</w:t>
            </w:r>
            <w:r w:rsidR="00153073">
              <w:rPr>
                <w:rFonts w:asciiTheme="minorBidi" w:hAnsiTheme="minorBidi"/>
                <w:color w:val="000000"/>
                <w:sz w:val="16"/>
                <w:szCs w:val="16"/>
              </w:rPr>
              <w:t xml:space="preserve"> </w:t>
            </w:r>
            <w:r w:rsidRPr="002D6B0E">
              <w:rPr>
                <w:rFonts w:asciiTheme="minorBidi" w:hAnsiTheme="minorBidi"/>
                <w:color w:val="000000"/>
                <w:sz w:val="16"/>
                <w:szCs w:val="16"/>
              </w:rPr>
              <w:t>121</w:t>
            </w:r>
          </w:p>
        </w:tc>
        <w:tc>
          <w:tcPr>
            <w:tcW w:w="0" w:type="auto"/>
            <w:noWrap/>
            <w:vAlign w:val="center"/>
            <w:hideMark/>
          </w:tcPr>
          <w:p w14:paraId="4FF79719" w14:textId="419BCB4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177</w:t>
            </w:r>
            <w:r w:rsidR="00153073">
              <w:rPr>
                <w:rFonts w:asciiTheme="minorBidi" w:hAnsiTheme="minorBidi"/>
                <w:color w:val="000000"/>
                <w:sz w:val="16"/>
                <w:szCs w:val="16"/>
              </w:rPr>
              <w:t xml:space="preserve"> </w:t>
            </w:r>
            <w:r w:rsidRPr="002D6B0E">
              <w:rPr>
                <w:rFonts w:asciiTheme="minorBidi" w:hAnsiTheme="minorBidi"/>
                <w:color w:val="000000"/>
                <w:sz w:val="16"/>
                <w:szCs w:val="16"/>
              </w:rPr>
              <w:t>638</w:t>
            </w:r>
          </w:p>
        </w:tc>
        <w:tc>
          <w:tcPr>
            <w:tcW w:w="597" w:type="dxa"/>
            <w:shd w:val="clear" w:color="auto" w:fill="E5E5E5" w:themeFill="background2" w:themeFillShade="E6"/>
            <w:noWrap/>
            <w:vAlign w:val="center"/>
            <w:hideMark/>
          </w:tcPr>
          <w:p w14:paraId="686C8B39" w14:textId="3695F99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12.0</w:t>
            </w:r>
          </w:p>
        </w:tc>
        <w:tc>
          <w:tcPr>
            <w:tcW w:w="0" w:type="auto"/>
            <w:noWrap/>
            <w:vAlign w:val="center"/>
            <w:hideMark/>
          </w:tcPr>
          <w:p w14:paraId="2725EE30"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752F712A" w14:textId="526E6FE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564</w:t>
            </w:r>
            <w:r w:rsidR="00153073">
              <w:rPr>
                <w:rFonts w:asciiTheme="minorBidi" w:hAnsiTheme="minorBidi"/>
                <w:color w:val="000000"/>
                <w:sz w:val="16"/>
                <w:szCs w:val="16"/>
              </w:rPr>
              <w:t xml:space="preserve"> </w:t>
            </w:r>
            <w:r w:rsidRPr="002D6B0E">
              <w:rPr>
                <w:rFonts w:asciiTheme="minorBidi" w:hAnsiTheme="minorBidi"/>
                <w:color w:val="000000"/>
                <w:sz w:val="16"/>
                <w:szCs w:val="16"/>
              </w:rPr>
              <w:t>177</w:t>
            </w:r>
          </w:p>
        </w:tc>
        <w:tc>
          <w:tcPr>
            <w:tcW w:w="0" w:type="auto"/>
            <w:noWrap/>
            <w:vAlign w:val="center"/>
            <w:hideMark/>
          </w:tcPr>
          <w:p w14:paraId="38154E45" w14:textId="2813B55D"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327</w:t>
            </w:r>
            <w:r w:rsidR="00153073">
              <w:rPr>
                <w:rFonts w:asciiTheme="minorBidi" w:hAnsiTheme="minorBidi"/>
                <w:color w:val="000000"/>
                <w:sz w:val="16"/>
                <w:szCs w:val="16"/>
              </w:rPr>
              <w:t xml:space="preserve"> </w:t>
            </w:r>
            <w:r w:rsidRPr="002D6B0E">
              <w:rPr>
                <w:rFonts w:asciiTheme="minorBidi" w:hAnsiTheme="minorBidi"/>
                <w:color w:val="000000"/>
                <w:sz w:val="16"/>
                <w:szCs w:val="16"/>
              </w:rPr>
              <w:t>566</w:t>
            </w:r>
          </w:p>
        </w:tc>
        <w:tc>
          <w:tcPr>
            <w:tcW w:w="0" w:type="auto"/>
            <w:noWrap/>
            <w:vAlign w:val="center"/>
            <w:hideMark/>
          </w:tcPr>
          <w:p w14:paraId="24688A34" w14:textId="77E4E67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362</w:t>
            </w:r>
            <w:r w:rsidR="00153073">
              <w:rPr>
                <w:rFonts w:asciiTheme="minorBidi" w:hAnsiTheme="minorBidi"/>
                <w:color w:val="000000"/>
                <w:sz w:val="16"/>
                <w:szCs w:val="16"/>
              </w:rPr>
              <w:t xml:space="preserve"> </w:t>
            </w:r>
            <w:r w:rsidRPr="002D6B0E">
              <w:rPr>
                <w:rFonts w:asciiTheme="minorBidi" w:hAnsiTheme="minorBidi"/>
                <w:color w:val="000000"/>
                <w:sz w:val="16"/>
                <w:szCs w:val="16"/>
              </w:rPr>
              <w:t>188</w:t>
            </w:r>
          </w:p>
        </w:tc>
        <w:tc>
          <w:tcPr>
            <w:tcW w:w="0" w:type="auto"/>
            <w:noWrap/>
            <w:vAlign w:val="center"/>
            <w:hideMark/>
          </w:tcPr>
          <w:p w14:paraId="598ABE43" w14:textId="1B70B7F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455</w:t>
            </w:r>
            <w:r w:rsidR="00153073">
              <w:rPr>
                <w:rFonts w:asciiTheme="minorBidi" w:hAnsiTheme="minorBidi"/>
                <w:color w:val="000000"/>
                <w:sz w:val="16"/>
                <w:szCs w:val="16"/>
              </w:rPr>
              <w:t xml:space="preserve"> </w:t>
            </w:r>
            <w:r w:rsidRPr="002D6B0E">
              <w:rPr>
                <w:rFonts w:asciiTheme="minorBidi" w:hAnsiTheme="minorBidi"/>
                <w:color w:val="000000"/>
                <w:sz w:val="16"/>
                <w:szCs w:val="16"/>
              </w:rPr>
              <w:t>084</w:t>
            </w:r>
          </w:p>
        </w:tc>
        <w:tc>
          <w:tcPr>
            <w:tcW w:w="0" w:type="auto"/>
            <w:noWrap/>
            <w:vAlign w:val="center"/>
            <w:hideMark/>
          </w:tcPr>
          <w:p w14:paraId="3AB1F438" w14:textId="5146BC0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448</w:t>
            </w:r>
            <w:r w:rsidR="00153073">
              <w:rPr>
                <w:rFonts w:asciiTheme="minorBidi" w:hAnsiTheme="minorBidi"/>
                <w:color w:val="000000"/>
                <w:sz w:val="16"/>
                <w:szCs w:val="16"/>
              </w:rPr>
              <w:t xml:space="preserve"> </w:t>
            </w:r>
            <w:r w:rsidRPr="002D6B0E">
              <w:rPr>
                <w:rFonts w:asciiTheme="minorBidi" w:hAnsiTheme="minorBidi"/>
                <w:color w:val="000000"/>
                <w:sz w:val="16"/>
                <w:szCs w:val="16"/>
              </w:rPr>
              <w:t>458</w:t>
            </w:r>
          </w:p>
        </w:tc>
        <w:tc>
          <w:tcPr>
            <w:tcW w:w="1000" w:type="dxa"/>
            <w:noWrap/>
            <w:vAlign w:val="center"/>
            <w:hideMark/>
          </w:tcPr>
          <w:p w14:paraId="57F2E70D" w14:textId="2346E79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470</w:t>
            </w:r>
            <w:r w:rsidR="00153073">
              <w:rPr>
                <w:rFonts w:asciiTheme="minorBidi" w:hAnsiTheme="minorBidi"/>
                <w:color w:val="000000"/>
                <w:sz w:val="16"/>
                <w:szCs w:val="16"/>
              </w:rPr>
              <w:t xml:space="preserve"> </w:t>
            </w:r>
            <w:r w:rsidRPr="002D6B0E">
              <w:rPr>
                <w:rFonts w:asciiTheme="minorBidi" w:hAnsiTheme="minorBidi"/>
                <w:color w:val="000000"/>
                <w:sz w:val="16"/>
                <w:szCs w:val="16"/>
              </w:rPr>
              <w:t>324</w:t>
            </w:r>
          </w:p>
        </w:tc>
        <w:tc>
          <w:tcPr>
            <w:tcW w:w="568" w:type="dxa"/>
            <w:shd w:val="clear" w:color="auto" w:fill="E5E5E5" w:themeFill="background2" w:themeFillShade="E6"/>
            <w:noWrap/>
            <w:vAlign w:val="center"/>
            <w:hideMark/>
          </w:tcPr>
          <w:p w14:paraId="1C96CE58" w14:textId="2CE938F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7.1</w:t>
            </w:r>
          </w:p>
        </w:tc>
      </w:tr>
      <w:tr w:rsidR="00B54A22" w:rsidRPr="002D6B0E" w14:paraId="41732A9E" w14:textId="77777777" w:rsidTr="00146B4A">
        <w:trPr>
          <w:trHeight w:val="300"/>
        </w:trPr>
        <w:tc>
          <w:tcPr>
            <w:tcW w:w="0" w:type="auto"/>
            <w:noWrap/>
            <w:vAlign w:val="center"/>
            <w:hideMark/>
          </w:tcPr>
          <w:p w14:paraId="45BDBBB3"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Valga</w:t>
            </w:r>
          </w:p>
        </w:tc>
        <w:tc>
          <w:tcPr>
            <w:tcW w:w="0" w:type="auto"/>
            <w:noWrap/>
            <w:vAlign w:val="center"/>
            <w:hideMark/>
          </w:tcPr>
          <w:p w14:paraId="1AD68F0E" w14:textId="11B2ECB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13</w:t>
            </w:r>
            <w:r w:rsidR="00153073">
              <w:rPr>
                <w:rFonts w:asciiTheme="minorBidi" w:hAnsiTheme="minorBidi"/>
                <w:color w:val="000000"/>
                <w:sz w:val="16"/>
                <w:szCs w:val="16"/>
              </w:rPr>
              <w:t xml:space="preserve"> </w:t>
            </w:r>
            <w:r w:rsidRPr="002D6B0E">
              <w:rPr>
                <w:rFonts w:asciiTheme="minorBidi" w:hAnsiTheme="minorBidi"/>
                <w:color w:val="000000"/>
                <w:sz w:val="16"/>
                <w:szCs w:val="16"/>
              </w:rPr>
              <w:t>206</w:t>
            </w:r>
          </w:p>
        </w:tc>
        <w:tc>
          <w:tcPr>
            <w:tcW w:w="0" w:type="auto"/>
            <w:noWrap/>
            <w:vAlign w:val="center"/>
            <w:hideMark/>
          </w:tcPr>
          <w:p w14:paraId="343ADB70" w14:textId="147CE12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14</w:t>
            </w:r>
            <w:r w:rsidR="00153073">
              <w:rPr>
                <w:rFonts w:asciiTheme="minorBidi" w:hAnsiTheme="minorBidi"/>
                <w:color w:val="000000"/>
                <w:sz w:val="16"/>
                <w:szCs w:val="16"/>
              </w:rPr>
              <w:t xml:space="preserve"> </w:t>
            </w:r>
            <w:r w:rsidRPr="002D6B0E">
              <w:rPr>
                <w:rFonts w:asciiTheme="minorBidi" w:hAnsiTheme="minorBidi"/>
                <w:color w:val="000000"/>
                <w:sz w:val="16"/>
                <w:szCs w:val="16"/>
              </w:rPr>
              <w:t>592</w:t>
            </w:r>
          </w:p>
        </w:tc>
        <w:tc>
          <w:tcPr>
            <w:tcW w:w="0" w:type="auto"/>
            <w:noWrap/>
            <w:vAlign w:val="center"/>
            <w:hideMark/>
          </w:tcPr>
          <w:p w14:paraId="510118E0" w14:textId="081011DD"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14</w:t>
            </w:r>
            <w:r w:rsidR="00153073">
              <w:rPr>
                <w:rFonts w:asciiTheme="minorBidi" w:hAnsiTheme="minorBidi"/>
                <w:color w:val="000000"/>
                <w:sz w:val="16"/>
                <w:szCs w:val="16"/>
              </w:rPr>
              <w:t xml:space="preserve"> </w:t>
            </w:r>
            <w:r w:rsidRPr="002D6B0E">
              <w:rPr>
                <w:rFonts w:asciiTheme="minorBidi" w:hAnsiTheme="minorBidi"/>
                <w:color w:val="000000"/>
                <w:sz w:val="16"/>
                <w:szCs w:val="16"/>
              </w:rPr>
              <w:t>713</w:t>
            </w:r>
          </w:p>
        </w:tc>
        <w:tc>
          <w:tcPr>
            <w:tcW w:w="0" w:type="auto"/>
            <w:noWrap/>
            <w:vAlign w:val="center"/>
            <w:hideMark/>
          </w:tcPr>
          <w:p w14:paraId="32242444" w14:textId="2616A68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22</w:t>
            </w:r>
            <w:r w:rsidR="00153073">
              <w:rPr>
                <w:rFonts w:asciiTheme="minorBidi" w:hAnsiTheme="minorBidi"/>
                <w:color w:val="000000"/>
                <w:sz w:val="16"/>
                <w:szCs w:val="16"/>
              </w:rPr>
              <w:t xml:space="preserve"> </w:t>
            </w:r>
            <w:r w:rsidRPr="002D6B0E">
              <w:rPr>
                <w:rFonts w:asciiTheme="minorBidi" w:hAnsiTheme="minorBidi"/>
                <w:color w:val="000000"/>
                <w:sz w:val="16"/>
                <w:szCs w:val="16"/>
              </w:rPr>
              <w:t>315</w:t>
            </w:r>
          </w:p>
        </w:tc>
        <w:tc>
          <w:tcPr>
            <w:tcW w:w="0" w:type="auto"/>
            <w:noWrap/>
            <w:vAlign w:val="center"/>
            <w:hideMark/>
          </w:tcPr>
          <w:p w14:paraId="2F9004D8" w14:textId="2CF34AF1"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23</w:t>
            </w:r>
            <w:r w:rsidR="00153073">
              <w:rPr>
                <w:rFonts w:asciiTheme="minorBidi" w:hAnsiTheme="minorBidi"/>
                <w:color w:val="000000"/>
                <w:sz w:val="16"/>
                <w:szCs w:val="16"/>
              </w:rPr>
              <w:t xml:space="preserve"> </w:t>
            </w:r>
            <w:r w:rsidRPr="002D6B0E">
              <w:rPr>
                <w:rFonts w:asciiTheme="minorBidi" w:hAnsiTheme="minorBidi"/>
                <w:color w:val="000000"/>
                <w:sz w:val="16"/>
                <w:szCs w:val="16"/>
              </w:rPr>
              <w:t>789</w:t>
            </w:r>
          </w:p>
        </w:tc>
        <w:tc>
          <w:tcPr>
            <w:tcW w:w="0" w:type="auto"/>
            <w:noWrap/>
            <w:vAlign w:val="center"/>
            <w:hideMark/>
          </w:tcPr>
          <w:p w14:paraId="43169887" w14:textId="5AD5957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25</w:t>
            </w:r>
            <w:r w:rsidR="00153073">
              <w:rPr>
                <w:rFonts w:asciiTheme="minorBidi" w:hAnsiTheme="minorBidi"/>
                <w:color w:val="000000"/>
                <w:sz w:val="16"/>
                <w:szCs w:val="16"/>
              </w:rPr>
              <w:t xml:space="preserve"> </w:t>
            </w:r>
            <w:r w:rsidRPr="002D6B0E">
              <w:rPr>
                <w:rFonts w:asciiTheme="minorBidi" w:hAnsiTheme="minorBidi"/>
                <w:color w:val="000000"/>
                <w:sz w:val="16"/>
                <w:szCs w:val="16"/>
              </w:rPr>
              <w:t>926</w:t>
            </w:r>
          </w:p>
        </w:tc>
        <w:tc>
          <w:tcPr>
            <w:tcW w:w="597" w:type="dxa"/>
            <w:shd w:val="clear" w:color="auto" w:fill="E5E5E5" w:themeFill="background2" w:themeFillShade="E6"/>
            <w:noWrap/>
            <w:vAlign w:val="center"/>
            <w:hideMark/>
          </w:tcPr>
          <w:p w14:paraId="54E64683" w14:textId="32942EA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1.7</w:t>
            </w:r>
          </w:p>
        </w:tc>
        <w:tc>
          <w:tcPr>
            <w:tcW w:w="0" w:type="auto"/>
            <w:noWrap/>
            <w:vAlign w:val="center"/>
            <w:hideMark/>
          </w:tcPr>
          <w:p w14:paraId="212BF6C5"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2EA69B9D" w14:textId="05F76B7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187</w:t>
            </w:r>
            <w:r w:rsidR="00153073">
              <w:rPr>
                <w:rFonts w:asciiTheme="minorBidi" w:hAnsiTheme="minorBidi"/>
                <w:color w:val="000000"/>
                <w:sz w:val="16"/>
                <w:szCs w:val="16"/>
              </w:rPr>
              <w:t xml:space="preserve"> </w:t>
            </w:r>
            <w:r w:rsidRPr="002D6B0E">
              <w:rPr>
                <w:rFonts w:asciiTheme="minorBidi" w:hAnsiTheme="minorBidi"/>
                <w:color w:val="000000"/>
                <w:sz w:val="16"/>
                <w:szCs w:val="16"/>
              </w:rPr>
              <w:t>093</w:t>
            </w:r>
          </w:p>
        </w:tc>
        <w:tc>
          <w:tcPr>
            <w:tcW w:w="0" w:type="auto"/>
            <w:noWrap/>
            <w:vAlign w:val="center"/>
            <w:hideMark/>
          </w:tcPr>
          <w:p w14:paraId="48ACAAC7" w14:textId="3F6EB91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141</w:t>
            </w:r>
            <w:r w:rsidR="00153073">
              <w:rPr>
                <w:rFonts w:asciiTheme="minorBidi" w:hAnsiTheme="minorBidi"/>
                <w:color w:val="000000"/>
                <w:sz w:val="16"/>
                <w:szCs w:val="16"/>
              </w:rPr>
              <w:t xml:space="preserve"> </w:t>
            </w:r>
            <w:r w:rsidRPr="002D6B0E">
              <w:rPr>
                <w:rFonts w:asciiTheme="minorBidi" w:hAnsiTheme="minorBidi"/>
                <w:color w:val="000000"/>
                <w:sz w:val="16"/>
                <w:szCs w:val="16"/>
              </w:rPr>
              <w:t>825</w:t>
            </w:r>
          </w:p>
        </w:tc>
        <w:tc>
          <w:tcPr>
            <w:tcW w:w="0" w:type="auto"/>
            <w:noWrap/>
            <w:vAlign w:val="center"/>
            <w:hideMark/>
          </w:tcPr>
          <w:p w14:paraId="23207ED8" w14:textId="52DC6E9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176</w:t>
            </w:r>
            <w:r w:rsidR="00153073">
              <w:rPr>
                <w:rFonts w:asciiTheme="minorBidi" w:hAnsiTheme="minorBidi"/>
                <w:color w:val="000000"/>
                <w:sz w:val="16"/>
                <w:szCs w:val="16"/>
              </w:rPr>
              <w:t xml:space="preserve"> </w:t>
            </w:r>
            <w:r w:rsidRPr="002D6B0E">
              <w:rPr>
                <w:rFonts w:asciiTheme="minorBidi" w:hAnsiTheme="minorBidi"/>
                <w:color w:val="000000"/>
                <w:sz w:val="16"/>
                <w:szCs w:val="16"/>
              </w:rPr>
              <w:t>252</w:t>
            </w:r>
          </w:p>
        </w:tc>
        <w:tc>
          <w:tcPr>
            <w:tcW w:w="0" w:type="auto"/>
            <w:noWrap/>
            <w:vAlign w:val="center"/>
            <w:hideMark/>
          </w:tcPr>
          <w:p w14:paraId="30AEE32F" w14:textId="2664591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189</w:t>
            </w:r>
            <w:r w:rsidR="00153073">
              <w:rPr>
                <w:rFonts w:asciiTheme="minorBidi" w:hAnsiTheme="minorBidi"/>
                <w:color w:val="000000"/>
                <w:sz w:val="16"/>
                <w:szCs w:val="16"/>
              </w:rPr>
              <w:t xml:space="preserve"> </w:t>
            </w:r>
            <w:r w:rsidRPr="002D6B0E">
              <w:rPr>
                <w:rFonts w:asciiTheme="minorBidi" w:hAnsiTheme="minorBidi"/>
                <w:color w:val="000000"/>
                <w:sz w:val="16"/>
                <w:szCs w:val="16"/>
              </w:rPr>
              <w:t>861</w:t>
            </w:r>
          </w:p>
        </w:tc>
        <w:tc>
          <w:tcPr>
            <w:tcW w:w="0" w:type="auto"/>
            <w:noWrap/>
            <w:vAlign w:val="center"/>
            <w:hideMark/>
          </w:tcPr>
          <w:p w14:paraId="404E5D30" w14:textId="02A9091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211</w:t>
            </w:r>
            <w:r w:rsidR="00153073">
              <w:rPr>
                <w:rFonts w:asciiTheme="minorBidi" w:hAnsiTheme="minorBidi"/>
                <w:color w:val="000000"/>
                <w:sz w:val="16"/>
                <w:szCs w:val="16"/>
              </w:rPr>
              <w:t xml:space="preserve"> </w:t>
            </w:r>
            <w:r w:rsidRPr="002D6B0E">
              <w:rPr>
                <w:rFonts w:asciiTheme="minorBidi" w:hAnsiTheme="minorBidi"/>
                <w:color w:val="000000"/>
                <w:sz w:val="16"/>
                <w:szCs w:val="16"/>
              </w:rPr>
              <w:t>481</w:t>
            </w:r>
          </w:p>
        </w:tc>
        <w:tc>
          <w:tcPr>
            <w:tcW w:w="1000" w:type="dxa"/>
            <w:noWrap/>
            <w:vAlign w:val="center"/>
            <w:hideMark/>
          </w:tcPr>
          <w:p w14:paraId="1959CF7C" w14:textId="56315B9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230</w:t>
            </w:r>
            <w:r w:rsidR="00153073">
              <w:rPr>
                <w:rFonts w:asciiTheme="minorBidi" w:hAnsiTheme="minorBidi"/>
                <w:color w:val="000000"/>
                <w:sz w:val="16"/>
                <w:szCs w:val="16"/>
              </w:rPr>
              <w:t xml:space="preserve"> </w:t>
            </w:r>
            <w:r w:rsidRPr="002D6B0E">
              <w:rPr>
                <w:rFonts w:asciiTheme="minorBidi" w:hAnsiTheme="minorBidi"/>
                <w:color w:val="000000"/>
                <w:sz w:val="16"/>
                <w:szCs w:val="16"/>
              </w:rPr>
              <w:t>403</w:t>
            </w:r>
          </w:p>
        </w:tc>
        <w:tc>
          <w:tcPr>
            <w:tcW w:w="568" w:type="dxa"/>
            <w:shd w:val="clear" w:color="auto" w:fill="E5E5E5" w:themeFill="background2" w:themeFillShade="E6"/>
            <w:noWrap/>
            <w:vAlign w:val="center"/>
            <w:hideMark/>
          </w:tcPr>
          <w:p w14:paraId="257981BE" w14:textId="0A3A09B6"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3.5</w:t>
            </w:r>
          </w:p>
        </w:tc>
      </w:tr>
      <w:tr w:rsidR="00B54A22" w:rsidRPr="002D6B0E" w14:paraId="7A49A425" w14:textId="77777777" w:rsidTr="00146B4A">
        <w:trPr>
          <w:trHeight w:val="300"/>
        </w:trPr>
        <w:tc>
          <w:tcPr>
            <w:tcW w:w="0" w:type="auto"/>
            <w:noWrap/>
            <w:vAlign w:val="center"/>
            <w:hideMark/>
          </w:tcPr>
          <w:p w14:paraId="7A36CC02"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Viljandi</w:t>
            </w:r>
          </w:p>
        </w:tc>
        <w:tc>
          <w:tcPr>
            <w:tcW w:w="0" w:type="auto"/>
            <w:noWrap/>
            <w:vAlign w:val="center"/>
            <w:hideMark/>
          </w:tcPr>
          <w:p w14:paraId="233D560D" w14:textId="1FDBF3F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7</w:t>
            </w:r>
            <w:r w:rsidR="00153073">
              <w:rPr>
                <w:rFonts w:asciiTheme="minorBidi" w:hAnsiTheme="minorBidi"/>
                <w:color w:val="000000"/>
                <w:sz w:val="16"/>
                <w:szCs w:val="16"/>
              </w:rPr>
              <w:t xml:space="preserve"> </w:t>
            </w:r>
            <w:r w:rsidRPr="002D6B0E">
              <w:rPr>
                <w:rFonts w:asciiTheme="minorBidi" w:hAnsiTheme="minorBidi"/>
                <w:color w:val="000000"/>
                <w:sz w:val="16"/>
                <w:szCs w:val="16"/>
              </w:rPr>
              <w:t>858</w:t>
            </w:r>
          </w:p>
        </w:tc>
        <w:tc>
          <w:tcPr>
            <w:tcW w:w="0" w:type="auto"/>
            <w:noWrap/>
            <w:vAlign w:val="center"/>
            <w:hideMark/>
          </w:tcPr>
          <w:p w14:paraId="031AE4CD" w14:textId="1F647C47"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9</w:t>
            </w:r>
            <w:r w:rsidR="00153073">
              <w:rPr>
                <w:rFonts w:asciiTheme="minorBidi" w:hAnsiTheme="minorBidi"/>
                <w:color w:val="000000"/>
                <w:sz w:val="16"/>
                <w:szCs w:val="16"/>
              </w:rPr>
              <w:t xml:space="preserve"> </w:t>
            </w:r>
            <w:r w:rsidRPr="002D6B0E">
              <w:rPr>
                <w:rFonts w:asciiTheme="minorBidi" w:hAnsiTheme="minorBidi"/>
                <w:color w:val="000000"/>
                <w:sz w:val="16"/>
                <w:szCs w:val="16"/>
              </w:rPr>
              <w:t>361</w:t>
            </w:r>
          </w:p>
        </w:tc>
        <w:tc>
          <w:tcPr>
            <w:tcW w:w="0" w:type="auto"/>
            <w:noWrap/>
            <w:vAlign w:val="center"/>
            <w:hideMark/>
          </w:tcPr>
          <w:p w14:paraId="39C8492A" w14:textId="4642D954"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7</w:t>
            </w:r>
            <w:r w:rsidR="00153073">
              <w:rPr>
                <w:rFonts w:asciiTheme="minorBidi" w:hAnsiTheme="minorBidi"/>
                <w:color w:val="000000"/>
                <w:sz w:val="16"/>
                <w:szCs w:val="16"/>
              </w:rPr>
              <w:t xml:space="preserve"> </w:t>
            </w:r>
            <w:r w:rsidRPr="002D6B0E">
              <w:rPr>
                <w:rFonts w:asciiTheme="minorBidi" w:hAnsiTheme="minorBidi"/>
                <w:color w:val="000000"/>
                <w:sz w:val="16"/>
                <w:szCs w:val="16"/>
              </w:rPr>
              <w:t>329</w:t>
            </w:r>
          </w:p>
        </w:tc>
        <w:tc>
          <w:tcPr>
            <w:tcW w:w="0" w:type="auto"/>
            <w:noWrap/>
            <w:vAlign w:val="center"/>
            <w:hideMark/>
          </w:tcPr>
          <w:p w14:paraId="53ABAF0B" w14:textId="2628000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9</w:t>
            </w:r>
            <w:r w:rsidR="00153073">
              <w:rPr>
                <w:rFonts w:asciiTheme="minorBidi" w:hAnsiTheme="minorBidi"/>
                <w:color w:val="000000"/>
                <w:sz w:val="16"/>
                <w:szCs w:val="16"/>
              </w:rPr>
              <w:t xml:space="preserve"> </w:t>
            </w:r>
            <w:r w:rsidRPr="002D6B0E">
              <w:rPr>
                <w:rFonts w:asciiTheme="minorBidi" w:hAnsiTheme="minorBidi"/>
                <w:color w:val="000000"/>
                <w:sz w:val="16"/>
                <w:szCs w:val="16"/>
              </w:rPr>
              <w:t>227</w:t>
            </w:r>
          </w:p>
        </w:tc>
        <w:tc>
          <w:tcPr>
            <w:tcW w:w="0" w:type="auto"/>
            <w:noWrap/>
            <w:vAlign w:val="center"/>
            <w:hideMark/>
          </w:tcPr>
          <w:p w14:paraId="7C672138" w14:textId="0F74774D"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12</w:t>
            </w:r>
            <w:r w:rsidR="00153073">
              <w:rPr>
                <w:rFonts w:asciiTheme="minorBidi" w:hAnsiTheme="minorBidi"/>
                <w:color w:val="000000"/>
                <w:sz w:val="16"/>
                <w:szCs w:val="16"/>
              </w:rPr>
              <w:t xml:space="preserve"> </w:t>
            </w:r>
            <w:r w:rsidRPr="002D6B0E">
              <w:rPr>
                <w:rFonts w:asciiTheme="minorBidi" w:hAnsiTheme="minorBidi"/>
                <w:color w:val="000000"/>
                <w:sz w:val="16"/>
                <w:szCs w:val="16"/>
              </w:rPr>
              <w:t>066</w:t>
            </w:r>
          </w:p>
        </w:tc>
        <w:tc>
          <w:tcPr>
            <w:tcW w:w="0" w:type="auto"/>
            <w:noWrap/>
            <w:vAlign w:val="center"/>
            <w:hideMark/>
          </w:tcPr>
          <w:p w14:paraId="1B725496" w14:textId="76B07E2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17</w:t>
            </w:r>
            <w:r w:rsidR="00153073">
              <w:rPr>
                <w:rFonts w:asciiTheme="minorBidi" w:hAnsiTheme="minorBidi"/>
                <w:color w:val="000000"/>
                <w:sz w:val="16"/>
                <w:szCs w:val="16"/>
              </w:rPr>
              <w:t xml:space="preserve"> </w:t>
            </w:r>
            <w:r w:rsidRPr="002D6B0E">
              <w:rPr>
                <w:rFonts w:asciiTheme="minorBidi" w:hAnsiTheme="minorBidi"/>
                <w:color w:val="000000"/>
                <w:sz w:val="16"/>
                <w:szCs w:val="16"/>
              </w:rPr>
              <w:t>772</w:t>
            </w:r>
          </w:p>
        </w:tc>
        <w:tc>
          <w:tcPr>
            <w:tcW w:w="597" w:type="dxa"/>
            <w:shd w:val="clear" w:color="auto" w:fill="E5E5E5" w:themeFill="background2" w:themeFillShade="E6"/>
            <w:noWrap/>
            <w:vAlign w:val="center"/>
            <w:hideMark/>
          </w:tcPr>
          <w:p w14:paraId="0C23C00F" w14:textId="79CF9E7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1.2</w:t>
            </w:r>
          </w:p>
        </w:tc>
        <w:tc>
          <w:tcPr>
            <w:tcW w:w="0" w:type="auto"/>
            <w:noWrap/>
            <w:vAlign w:val="center"/>
            <w:hideMark/>
          </w:tcPr>
          <w:p w14:paraId="528BB074"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53FD2409" w14:textId="1C06C27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99</w:t>
            </w:r>
            <w:r w:rsidR="00153073">
              <w:rPr>
                <w:rFonts w:asciiTheme="minorBidi" w:hAnsiTheme="minorBidi"/>
                <w:color w:val="000000"/>
                <w:sz w:val="16"/>
                <w:szCs w:val="16"/>
              </w:rPr>
              <w:t xml:space="preserve"> </w:t>
            </w:r>
            <w:r w:rsidRPr="002D6B0E">
              <w:rPr>
                <w:rFonts w:asciiTheme="minorBidi" w:hAnsiTheme="minorBidi"/>
                <w:color w:val="000000"/>
                <w:sz w:val="16"/>
                <w:szCs w:val="16"/>
              </w:rPr>
              <w:t>499</w:t>
            </w:r>
          </w:p>
        </w:tc>
        <w:tc>
          <w:tcPr>
            <w:tcW w:w="0" w:type="auto"/>
            <w:noWrap/>
            <w:vAlign w:val="center"/>
            <w:hideMark/>
          </w:tcPr>
          <w:p w14:paraId="315C5B91" w14:textId="650A3B54"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79</w:t>
            </w:r>
            <w:r w:rsidR="00153073">
              <w:rPr>
                <w:rFonts w:asciiTheme="minorBidi" w:hAnsiTheme="minorBidi"/>
                <w:color w:val="000000"/>
                <w:sz w:val="16"/>
                <w:szCs w:val="16"/>
              </w:rPr>
              <w:t xml:space="preserve"> </w:t>
            </w:r>
            <w:r w:rsidRPr="002D6B0E">
              <w:rPr>
                <w:rFonts w:asciiTheme="minorBidi" w:hAnsiTheme="minorBidi"/>
                <w:color w:val="000000"/>
                <w:sz w:val="16"/>
                <w:szCs w:val="16"/>
              </w:rPr>
              <w:t>095</w:t>
            </w:r>
          </w:p>
        </w:tc>
        <w:tc>
          <w:tcPr>
            <w:tcW w:w="0" w:type="auto"/>
            <w:noWrap/>
            <w:vAlign w:val="center"/>
            <w:hideMark/>
          </w:tcPr>
          <w:p w14:paraId="3F318B8A" w14:textId="26D67AF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89</w:t>
            </w:r>
            <w:r w:rsidR="00153073">
              <w:rPr>
                <w:rFonts w:asciiTheme="minorBidi" w:hAnsiTheme="minorBidi"/>
                <w:color w:val="000000"/>
                <w:sz w:val="16"/>
                <w:szCs w:val="16"/>
              </w:rPr>
              <w:t xml:space="preserve"> </w:t>
            </w:r>
            <w:r w:rsidRPr="002D6B0E">
              <w:rPr>
                <w:rFonts w:asciiTheme="minorBidi" w:hAnsiTheme="minorBidi"/>
                <w:color w:val="000000"/>
                <w:sz w:val="16"/>
                <w:szCs w:val="16"/>
              </w:rPr>
              <w:t>239</w:t>
            </w:r>
          </w:p>
        </w:tc>
        <w:tc>
          <w:tcPr>
            <w:tcW w:w="0" w:type="auto"/>
            <w:noWrap/>
            <w:vAlign w:val="center"/>
            <w:hideMark/>
          </w:tcPr>
          <w:p w14:paraId="6AC2FA02" w14:textId="25A6EFA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104</w:t>
            </w:r>
            <w:r w:rsidR="00153073">
              <w:rPr>
                <w:rFonts w:asciiTheme="minorBidi" w:hAnsiTheme="minorBidi"/>
                <w:color w:val="000000"/>
                <w:sz w:val="16"/>
                <w:szCs w:val="16"/>
              </w:rPr>
              <w:t xml:space="preserve"> </w:t>
            </w:r>
            <w:r w:rsidRPr="002D6B0E">
              <w:rPr>
                <w:rFonts w:asciiTheme="minorBidi" w:hAnsiTheme="minorBidi"/>
                <w:color w:val="000000"/>
                <w:sz w:val="16"/>
                <w:szCs w:val="16"/>
              </w:rPr>
              <w:t>847</w:t>
            </w:r>
          </w:p>
        </w:tc>
        <w:tc>
          <w:tcPr>
            <w:tcW w:w="0" w:type="auto"/>
            <w:noWrap/>
            <w:vAlign w:val="center"/>
            <w:hideMark/>
          </w:tcPr>
          <w:p w14:paraId="54FE0680" w14:textId="5BF46647"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96</w:t>
            </w:r>
            <w:r w:rsidR="00153073">
              <w:rPr>
                <w:rFonts w:asciiTheme="minorBidi" w:hAnsiTheme="minorBidi"/>
                <w:color w:val="000000"/>
                <w:sz w:val="16"/>
                <w:szCs w:val="16"/>
              </w:rPr>
              <w:t xml:space="preserve"> </w:t>
            </w:r>
            <w:r w:rsidRPr="002D6B0E">
              <w:rPr>
                <w:rFonts w:asciiTheme="minorBidi" w:hAnsiTheme="minorBidi"/>
                <w:color w:val="000000"/>
                <w:sz w:val="16"/>
                <w:szCs w:val="16"/>
              </w:rPr>
              <w:t>068</w:t>
            </w:r>
          </w:p>
        </w:tc>
        <w:tc>
          <w:tcPr>
            <w:tcW w:w="1000" w:type="dxa"/>
            <w:noWrap/>
            <w:vAlign w:val="center"/>
            <w:hideMark/>
          </w:tcPr>
          <w:p w14:paraId="304C4C4B" w14:textId="2C310EB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92</w:t>
            </w:r>
            <w:r w:rsidR="00153073">
              <w:rPr>
                <w:rFonts w:asciiTheme="minorBidi" w:hAnsiTheme="minorBidi"/>
                <w:color w:val="000000"/>
                <w:sz w:val="16"/>
                <w:szCs w:val="16"/>
              </w:rPr>
              <w:t xml:space="preserve"> </w:t>
            </w:r>
            <w:r w:rsidRPr="002D6B0E">
              <w:rPr>
                <w:rFonts w:asciiTheme="minorBidi" w:hAnsiTheme="minorBidi"/>
                <w:color w:val="000000"/>
                <w:sz w:val="16"/>
                <w:szCs w:val="16"/>
              </w:rPr>
              <w:t>137</w:t>
            </w:r>
          </w:p>
        </w:tc>
        <w:tc>
          <w:tcPr>
            <w:tcW w:w="568" w:type="dxa"/>
            <w:shd w:val="clear" w:color="auto" w:fill="E5E5E5" w:themeFill="background2" w:themeFillShade="E6"/>
            <w:noWrap/>
            <w:vAlign w:val="center"/>
            <w:hideMark/>
          </w:tcPr>
          <w:p w14:paraId="7A17B362" w14:textId="6F93394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1.4</w:t>
            </w:r>
          </w:p>
        </w:tc>
      </w:tr>
      <w:tr w:rsidR="00B54A22" w:rsidRPr="002D6B0E" w14:paraId="4FC46ABD" w14:textId="77777777" w:rsidTr="00146B4A">
        <w:trPr>
          <w:trHeight w:val="300"/>
        </w:trPr>
        <w:tc>
          <w:tcPr>
            <w:tcW w:w="0" w:type="auto"/>
            <w:noWrap/>
            <w:vAlign w:val="center"/>
            <w:hideMark/>
          </w:tcPr>
          <w:p w14:paraId="762B0EDB"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Võru</w:t>
            </w:r>
          </w:p>
        </w:tc>
        <w:tc>
          <w:tcPr>
            <w:tcW w:w="0" w:type="auto"/>
            <w:noWrap/>
            <w:vAlign w:val="center"/>
            <w:hideMark/>
          </w:tcPr>
          <w:p w14:paraId="6CE5EBA8" w14:textId="6425D38D"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11</w:t>
            </w:r>
            <w:r w:rsidR="00153073">
              <w:rPr>
                <w:rFonts w:asciiTheme="minorBidi" w:hAnsiTheme="minorBidi"/>
                <w:color w:val="000000"/>
                <w:sz w:val="16"/>
                <w:szCs w:val="16"/>
              </w:rPr>
              <w:t xml:space="preserve"> </w:t>
            </w:r>
            <w:r w:rsidRPr="002D6B0E">
              <w:rPr>
                <w:rFonts w:asciiTheme="minorBidi" w:hAnsiTheme="minorBidi"/>
                <w:color w:val="000000"/>
                <w:sz w:val="16"/>
                <w:szCs w:val="16"/>
              </w:rPr>
              <w:t>121</w:t>
            </w:r>
          </w:p>
        </w:tc>
        <w:tc>
          <w:tcPr>
            <w:tcW w:w="0" w:type="auto"/>
            <w:noWrap/>
            <w:vAlign w:val="center"/>
            <w:hideMark/>
          </w:tcPr>
          <w:p w14:paraId="4B8E6EDC" w14:textId="7F61F79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14</w:t>
            </w:r>
            <w:r w:rsidR="00153073">
              <w:rPr>
                <w:rFonts w:asciiTheme="minorBidi" w:hAnsiTheme="minorBidi"/>
                <w:color w:val="000000"/>
                <w:sz w:val="16"/>
                <w:szCs w:val="16"/>
              </w:rPr>
              <w:t xml:space="preserve"> </w:t>
            </w:r>
            <w:r w:rsidRPr="002D6B0E">
              <w:rPr>
                <w:rFonts w:asciiTheme="minorBidi" w:hAnsiTheme="minorBidi"/>
                <w:color w:val="000000"/>
                <w:sz w:val="16"/>
                <w:szCs w:val="16"/>
              </w:rPr>
              <w:t>188</w:t>
            </w:r>
          </w:p>
        </w:tc>
        <w:tc>
          <w:tcPr>
            <w:tcW w:w="0" w:type="auto"/>
            <w:noWrap/>
            <w:vAlign w:val="center"/>
            <w:hideMark/>
          </w:tcPr>
          <w:p w14:paraId="323FDE3E" w14:textId="06908E8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15</w:t>
            </w:r>
            <w:r w:rsidR="00153073">
              <w:rPr>
                <w:rFonts w:asciiTheme="minorBidi" w:hAnsiTheme="minorBidi"/>
                <w:color w:val="000000"/>
                <w:sz w:val="16"/>
                <w:szCs w:val="16"/>
              </w:rPr>
              <w:t xml:space="preserve"> </w:t>
            </w:r>
            <w:r w:rsidRPr="002D6B0E">
              <w:rPr>
                <w:rFonts w:asciiTheme="minorBidi" w:hAnsiTheme="minorBidi"/>
                <w:color w:val="000000"/>
                <w:sz w:val="16"/>
                <w:szCs w:val="16"/>
              </w:rPr>
              <w:t>653</w:t>
            </w:r>
          </w:p>
        </w:tc>
        <w:tc>
          <w:tcPr>
            <w:tcW w:w="0" w:type="auto"/>
            <w:noWrap/>
            <w:vAlign w:val="center"/>
            <w:hideMark/>
          </w:tcPr>
          <w:p w14:paraId="573DAEB6" w14:textId="45604CD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20</w:t>
            </w:r>
            <w:r w:rsidR="00153073">
              <w:rPr>
                <w:rFonts w:asciiTheme="minorBidi" w:hAnsiTheme="minorBidi"/>
                <w:color w:val="000000"/>
                <w:sz w:val="16"/>
                <w:szCs w:val="16"/>
              </w:rPr>
              <w:t xml:space="preserve"> </w:t>
            </w:r>
            <w:r w:rsidRPr="002D6B0E">
              <w:rPr>
                <w:rFonts w:asciiTheme="minorBidi" w:hAnsiTheme="minorBidi"/>
                <w:color w:val="000000"/>
                <w:sz w:val="16"/>
                <w:szCs w:val="16"/>
              </w:rPr>
              <w:t>415</w:t>
            </w:r>
          </w:p>
        </w:tc>
        <w:tc>
          <w:tcPr>
            <w:tcW w:w="0" w:type="auto"/>
            <w:noWrap/>
            <w:vAlign w:val="center"/>
            <w:hideMark/>
          </w:tcPr>
          <w:p w14:paraId="7464732D" w14:textId="1731A8E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21</w:t>
            </w:r>
            <w:r w:rsidR="00153073">
              <w:rPr>
                <w:rFonts w:asciiTheme="minorBidi" w:hAnsiTheme="minorBidi"/>
                <w:color w:val="000000"/>
                <w:sz w:val="16"/>
                <w:szCs w:val="16"/>
              </w:rPr>
              <w:t xml:space="preserve"> </w:t>
            </w:r>
            <w:r w:rsidRPr="002D6B0E">
              <w:rPr>
                <w:rFonts w:asciiTheme="minorBidi" w:hAnsiTheme="minorBidi"/>
                <w:color w:val="000000"/>
                <w:sz w:val="16"/>
                <w:szCs w:val="16"/>
              </w:rPr>
              <w:t>162</w:t>
            </w:r>
          </w:p>
        </w:tc>
        <w:tc>
          <w:tcPr>
            <w:tcW w:w="0" w:type="auto"/>
            <w:noWrap/>
            <w:vAlign w:val="center"/>
            <w:hideMark/>
          </w:tcPr>
          <w:p w14:paraId="4CA3773D" w14:textId="4A76B8A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23</w:t>
            </w:r>
            <w:r w:rsidR="00153073">
              <w:rPr>
                <w:rFonts w:asciiTheme="minorBidi" w:hAnsiTheme="minorBidi"/>
                <w:color w:val="000000"/>
                <w:sz w:val="16"/>
                <w:szCs w:val="16"/>
              </w:rPr>
              <w:t xml:space="preserve"> </w:t>
            </w:r>
            <w:r w:rsidRPr="002D6B0E">
              <w:rPr>
                <w:rFonts w:asciiTheme="minorBidi" w:hAnsiTheme="minorBidi"/>
                <w:color w:val="000000"/>
                <w:sz w:val="16"/>
                <w:szCs w:val="16"/>
              </w:rPr>
              <w:t>977</w:t>
            </w:r>
          </w:p>
        </w:tc>
        <w:tc>
          <w:tcPr>
            <w:tcW w:w="597" w:type="dxa"/>
            <w:shd w:val="clear" w:color="auto" w:fill="E5E5E5" w:themeFill="background2" w:themeFillShade="E6"/>
            <w:noWrap/>
            <w:vAlign w:val="center"/>
            <w:hideMark/>
          </w:tcPr>
          <w:p w14:paraId="36223C99" w14:textId="2CFFA349"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1.6</w:t>
            </w:r>
          </w:p>
        </w:tc>
        <w:tc>
          <w:tcPr>
            <w:tcW w:w="0" w:type="auto"/>
            <w:noWrap/>
            <w:vAlign w:val="center"/>
            <w:hideMark/>
          </w:tcPr>
          <w:p w14:paraId="5A7B8077" w14:textId="77777777" w:rsidR="00F72778" w:rsidRPr="002D6B0E" w:rsidRDefault="00F72778" w:rsidP="006D7558">
            <w:pPr>
              <w:spacing w:before="0" w:after="0" w:line="240" w:lineRule="auto"/>
              <w:jc w:val="right"/>
              <w:rPr>
                <w:rFonts w:asciiTheme="minorBidi" w:hAnsiTheme="minorBidi"/>
                <w:color w:val="000000"/>
                <w:sz w:val="16"/>
                <w:szCs w:val="16"/>
              </w:rPr>
            </w:pPr>
          </w:p>
        </w:tc>
        <w:tc>
          <w:tcPr>
            <w:tcW w:w="0" w:type="auto"/>
            <w:noWrap/>
            <w:vAlign w:val="center"/>
            <w:hideMark/>
          </w:tcPr>
          <w:p w14:paraId="4EFC28A0" w14:textId="5D3389D6"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171</w:t>
            </w:r>
            <w:r w:rsidR="00153073">
              <w:rPr>
                <w:rFonts w:asciiTheme="minorBidi" w:hAnsiTheme="minorBidi"/>
                <w:color w:val="000000"/>
                <w:sz w:val="16"/>
                <w:szCs w:val="16"/>
              </w:rPr>
              <w:t xml:space="preserve"> </w:t>
            </w:r>
            <w:r w:rsidRPr="002D6B0E">
              <w:rPr>
                <w:rFonts w:asciiTheme="minorBidi" w:hAnsiTheme="minorBidi"/>
                <w:color w:val="000000"/>
                <w:sz w:val="16"/>
                <w:szCs w:val="16"/>
              </w:rPr>
              <w:t>224</w:t>
            </w:r>
          </w:p>
        </w:tc>
        <w:tc>
          <w:tcPr>
            <w:tcW w:w="0" w:type="auto"/>
            <w:noWrap/>
            <w:vAlign w:val="center"/>
            <w:hideMark/>
          </w:tcPr>
          <w:p w14:paraId="3AAF6255" w14:textId="18A9B68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131</w:t>
            </w:r>
            <w:r w:rsidR="00153073">
              <w:rPr>
                <w:rFonts w:asciiTheme="minorBidi" w:hAnsiTheme="minorBidi"/>
                <w:color w:val="000000"/>
                <w:sz w:val="16"/>
                <w:szCs w:val="16"/>
              </w:rPr>
              <w:t xml:space="preserve"> </w:t>
            </w:r>
            <w:r w:rsidRPr="002D6B0E">
              <w:rPr>
                <w:rFonts w:asciiTheme="minorBidi" w:hAnsiTheme="minorBidi"/>
                <w:color w:val="000000"/>
                <w:sz w:val="16"/>
                <w:szCs w:val="16"/>
              </w:rPr>
              <w:t>903</w:t>
            </w:r>
          </w:p>
        </w:tc>
        <w:tc>
          <w:tcPr>
            <w:tcW w:w="0" w:type="auto"/>
            <w:noWrap/>
            <w:vAlign w:val="center"/>
            <w:hideMark/>
          </w:tcPr>
          <w:p w14:paraId="755C3968" w14:textId="2F3EE79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141</w:t>
            </w:r>
            <w:r w:rsidR="00153073">
              <w:rPr>
                <w:rFonts w:asciiTheme="minorBidi" w:hAnsiTheme="minorBidi"/>
                <w:color w:val="000000"/>
                <w:sz w:val="16"/>
                <w:szCs w:val="16"/>
              </w:rPr>
              <w:t xml:space="preserve"> </w:t>
            </w:r>
            <w:r w:rsidRPr="002D6B0E">
              <w:rPr>
                <w:rFonts w:asciiTheme="minorBidi" w:hAnsiTheme="minorBidi"/>
                <w:color w:val="000000"/>
                <w:sz w:val="16"/>
                <w:szCs w:val="16"/>
              </w:rPr>
              <w:t>588</w:t>
            </w:r>
          </w:p>
        </w:tc>
        <w:tc>
          <w:tcPr>
            <w:tcW w:w="0" w:type="auto"/>
            <w:noWrap/>
            <w:vAlign w:val="center"/>
            <w:hideMark/>
          </w:tcPr>
          <w:p w14:paraId="6E134583" w14:textId="0E3D1A4F"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158</w:t>
            </w:r>
            <w:r w:rsidR="00153073">
              <w:rPr>
                <w:rFonts w:asciiTheme="minorBidi" w:hAnsiTheme="minorBidi"/>
                <w:color w:val="000000"/>
                <w:sz w:val="16"/>
                <w:szCs w:val="16"/>
              </w:rPr>
              <w:t xml:space="preserve"> </w:t>
            </w:r>
            <w:r w:rsidRPr="002D6B0E">
              <w:rPr>
                <w:rFonts w:asciiTheme="minorBidi" w:hAnsiTheme="minorBidi"/>
                <w:color w:val="000000"/>
                <w:sz w:val="16"/>
                <w:szCs w:val="16"/>
              </w:rPr>
              <w:t>179</w:t>
            </w:r>
          </w:p>
        </w:tc>
        <w:tc>
          <w:tcPr>
            <w:tcW w:w="0" w:type="auto"/>
            <w:noWrap/>
            <w:vAlign w:val="center"/>
            <w:hideMark/>
          </w:tcPr>
          <w:p w14:paraId="745EA0CE" w14:textId="47A51C0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147</w:t>
            </w:r>
            <w:r w:rsidR="00153073">
              <w:rPr>
                <w:rFonts w:asciiTheme="minorBidi" w:hAnsiTheme="minorBidi"/>
                <w:color w:val="000000"/>
                <w:sz w:val="16"/>
                <w:szCs w:val="16"/>
              </w:rPr>
              <w:t xml:space="preserve"> </w:t>
            </w:r>
            <w:r w:rsidRPr="002D6B0E">
              <w:rPr>
                <w:rFonts w:asciiTheme="minorBidi" w:hAnsiTheme="minorBidi"/>
                <w:color w:val="000000"/>
                <w:sz w:val="16"/>
                <w:szCs w:val="16"/>
              </w:rPr>
              <w:t>641</w:t>
            </w:r>
          </w:p>
        </w:tc>
        <w:tc>
          <w:tcPr>
            <w:tcW w:w="1000" w:type="dxa"/>
            <w:noWrap/>
            <w:vAlign w:val="center"/>
            <w:hideMark/>
          </w:tcPr>
          <w:p w14:paraId="6D4C0687" w14:textId="7E0A507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142</w:t>
            </w:r>
            <w:r w:rsidR="00153073">
              <w:rPr>
                <w:rFonts w:asciiTheme="minorBidi" w:hAnsiTheme="minorBidi"/>
                <w:color w:val="000000"/>
                <w:sz w:val="16"/>
                <w:szCs w:val="16"/>
              </w:rPr>
              <w:t xml:space="preserve"> </w:t>
            </w:r>
            <w:r w:rsidRPr="002D6B0E">
              <w:rPr>
                <w:rFonts w:asciiTheme="minorBidi" w:hAnsiTheme="minorBidi"/>
                <w:color w:val="000000"/>
                <w:sz w:val="16"/>
                <w:szCs w:val="16"/>
              </w:rPr>
              <w:t>206</w:t>
            </w:r>
          </w:p>
        </w:tc>
        <w:tc>
          <w:tcPr>
            <w:tcW w:w="568" w:type="dxa"/>
            <w:shd w:val="clear" w:color="auto" w:fill="E5E5E5" w:themeFill="background2" w:themeFillShade="E6"/>
            <w:noWrap/>
            <w:vAlign w:val="center"/>
            <w:hideMark/>
          </w:tcPr>
          <w:p w14:paraId="18A36773" w14:textId="7E090812"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2.1</w:t>
            </w:r>
          </w:p>
        </w:tc>
      </w:tr>
      <w:tr w:rsidR="00B54A22" w:rsidRPr="002D6B0E" w14:paraId="4B657E05" w14:textId="77777777" w:rsidTr="00146B4A">
        <w:trPr>
          <w:trHeight w:val="300"/>
        </w:trPr>
        <w:tc>
          <w:tcPr>
            <w:tcW w:w="0" w:type="auto"/>
            <w:noWrap/>
            <w:vAlign w:val="center"/>
            <w:hideMark/>
          </w:tcPr>
          <w:p w14:paraId="3D3FA4D5" w14:textId="77777777" w:rsidR="00F72778" w:rsidRPr="002D6B0E" w:rsidRDefault="00F72778" w:rsidP="006D7558">
            <w:pPr>
              <w:spacing w:before="0" w:after="0" w:line="240" w:lineRule="auto"/>
              <w:rPr>
                <w:rFonts w:asciiTheme="minorBidi" w:hAnsiTheme="minorBidi"/>
                <w:b/>
                <w:color w:val="000000"/>
                <w:sz w:val="18"/>
                <w:szCs w:val="18"/>
              </w:rPr>
            </w:pPr>
            <w:r w:rsidRPr="002D6B0E">
              <w:rPr>
                <w:rFonts w:asciiTheme="minorBidi" w:hAnsiTheme="minorBidi"/>
                <w:b/>
                <w:color w:val="000000"/>
                <w:sz w:val="18"/>
                <w:szCs w:val="18"/>
              </w:rPr>
              <w:t>Eesti kokku</w:t>
            </w:r>
          </w:p>
        </w:tc>
        <w:tc>
          <w:tcPr>
            <w:tcW w:w="0" w:type="auto"/>
            <w:noWrap/>
            <w:vAlign w:val="center"/>
            <w:hideMark/>
          </w:tcPr>
          <w:p w14:paraId="4DA366DB" w14:textId="6BBE09D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w:t>
            </w:r>
            <w:r w:rsidR="00153073">
              <w:rPr>
                <w:rFonts w:asciiTheme="minorBidi" w:hAnsiTheme="minorBidi"/>
                <w:color w:val="000000"/>
                <w:sz w:val="16"/>
                <w:szCs w:val="16"/>
              </w:rPr>
              <w:t xml:space="preserve"> </w:t>
            </w:r>
            <w:r w:rsidRPr="002D6B0E">
              <w:rPr>
                <w:rFonts w:asciiTheme="minorBidi" w:hAnsiTheme="minorBidi"/>
                <w:color w:val="000000"/>
                <w:sz w:val="16"/>
                <w:szCs w:val="16"/>
              </w:rPr>
              <w:t>280</w:t>
            </w:r>
            <w:r w:rsidR="00153073">
              <w:rPr>
                <w:rFonts w:asciiTheme="minorBidi" w:hAnsiTheme="minorBidi"/>
                <w:color w:val="000000"/>
                <w:sz w:val="16"/>
                <w:szCs w:val="16"/>
              </w:rPr>
              <w:t xml:space="preserve"> </w:t>
            </w:r>
            <w:r w:rsidRPr="002D6B0E">
              <w:rPr>
                <w:rFonts w:asciiTheme="minorBidi" w:hAnsiTheme="minorBidi"/>
                <w:color w:val="000000"/>
                <w:sz w:val="16"/>
                <w:szCs w:val="16"/>
              </w:rPr>
              <w:t>301</w:t>
            </w:r>
          </w:p>
        </w:tc>
        <w:tc>
          <w:tcPr>
            <w:tcW w:w="0" w:type="auto"/>
            <w:noWrap/>
            <w:vAlign w:val="center"/>
            <w:hideMark/>
          </w:tcPr>
          <w:p w14:paraId="10ADB37B" w14:textId="54B8BA15"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w:t>
            </w:r>
            <w:r w:rsidR="00153073">
              <w:rPr>
                <w:rFonts w:asciiTheme="minorBidi" w:hAnsiTheme="minorBidi"/>
                <w:color w:val="000000"/>
                <w:sz w:val="16"/>
                <w:szCs w:val="16"/>
              </w:rPr>
              <w:t xml:space="preserve"> </w:t>
            </w:r>
            <w:r w:rsidRPr="002D6B0E">
              <w:rPr>
                <w:rFonts w:asciiTheme="minorBidi" w:hAnsiTheme="minorBidi"/>
                <w:color w:val="000000"/>
                <w:sz w:val="16"/>
                <w:szCs w:val="16"/>
              </w:rPr>
              <w:t>523</w:t>
            </w:r>
            <w:r w:rsidR="00153073">
              <w:rPr>
                <w:rFonts w:asciiTheme="minorBidi" w:hAnsiTheme="minorBidi"/>
                <w:color w:val="000000"/>
                <w:sz w:val="16"/>
                <w:szCs w:val="16"/>
              </w:rPr>
              <w:t xml:space="preserve"> </w:t>
            </w:r>
            <w:r w:rsidRPr="002D6B0E">
              <w:rPr>
                <w:rFonts w:asciiTheme="minorBidi" w:hAnsiTheme="minorBidi"/>
                <w:color w:val="000000"/>
                <w:sz w:val="16"/>
                <w:szCs w:val="16"/>
              </w:rPr>
              <w:t>338</w:t>
            </w:r>
          </w:p>
        </w:tc>
        <w:tc>
          <w:tcPr>
            <w:tcW w:w="0" w:type="auto"/>
            <w:noWrap/>
            <w:vAlign w:val="center"/>
            <w:hideMark/>
          </w:tcPr>
          <w:p w14:paraId="72CB39F1" w14:textId="7C9D4337"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806</w:t>
            </w:r>
            <w:r w:rsidR="00153073">
              <w:rPr>
                <w:rFonts w:asciiTheme="minorBidi" w:hAnsiTheme="minorBidi"/>
                <w:color w:val="000000"/>
                <w:sz w:val="16"/>
                <w:szCs w:val="16"/>
              </w:rPr>
              <w:t xml:space="preserve"> </w:t>
            </w:r>
            <w:r w:rsidRPr="002D6B0E">
              <w:rPr>
                <w:rFonts w:asciiTheme="minorBidi" w:hAnsiTheme="minorBidi"/>
                <w:color w:val="000000"/>
                <w:sz w:val="16"/>
                <w:szCs w:val="16"/>
              </w:rPr>
              <w:t>091</w:t>
            </w:r>
          </w:p>
        </w:tc>
        <w:tc>
          <w:tcPr>
            <w:tcW w:w="0" w:type="auto"/>
            <w:noWrap/>
            <w:vAlign w:val="center"/>
            <w:hideMark/>
          </w:tcPr>
          <w:p w14:paraId="797ABE98" w14:textId="09F5668C"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847</w:t>
            </w:r>
            <w:r w:rsidR="00153073">
              <w:rPr>
                <w:rFonts w:asciiTheme="minorBidi" w:hAnsiTheme="minorBidi"/>
                <w:color w:val="000000"/>
                <w:sz w:val="16"/>
                <w:szCs w:val="16"/>
              </w:rPr>
              <w:t xml:space="preserve"> </w:t>
            </w:r>
            <w:r w:rsidRPr="002D6B0E">
              <w:rPr>
                <w:rFonts w:asciiTheme="minorBidi" w:hAnsiTheme="minorBidi"/>
                <w:color w:val="000000"/>
                <w:sz w:val="16"/>
                <w:szCs w:val="16"/>
              </w:rPr>
              <w:t>516</w:t>
            </w:r>
          </w:p>
        </w:tc>
        <w:tc>
          <w:tcPr>
            <w:tcW w:w="0" w:type="auto"/>
            <w:noWrap/>
            <w:vAlign w:val="center"/>
            <w:hideMark/>
          </w:tcPr>
          <w:p w14:paraId="74EECAB9" w14:textId="6BF6780B"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w:t>
            </w:r>
            <w:r w:rsidR="00153073">
              <w:rPr>
                <w:rFonts w:asciiTheme="minorBidi" w:hAnsiTheme="minorBidi"/>
                <w:color w:val="000000"/>
                <w:sz w:val="16"/>
                <w:szCs w:val="16"/>
              </w:rPr>
              <w:t xml:space="preserve"> </w:t>
            </w:r>
            <w:r w:rsidRPr="002D6B0E">
              <w:rPr>
                <w:rFonts w:asciiTheme="minorBidi" w:hAnsiTheme="minorBidi"/>
                <w:color w:val="000000"/>
                <w:sz w:val="16"/>
                <w:szCs w:val="16"/>
              </w:rPr>
              <w:t>286</w:t>
            </w:r>
            <w:r w:rsidR="00153073">
              <w:rPr>
                <w:rFonts w:asciiTheme="minorBidi" w:hAnsiTheme="minorBidi"/>
                <w:color w:val="000000"/>
                <w:sz w:val="16"/>
                <w:szCs w:val="16"/>
              </w:rPr>
              <w:t xml:space="preserve"> </w:t>
            </w:r>
            <w:r w:rsidRPr="002D6B0E">
              <w:rPr>
                <w:rFonts w:asciiTheme="minorBidi" w:hAnsiTheme="minorBidi"/>
                <w:color w:val="000000"/>
                <w:sz w:val="16"/>
                <w:szCs w:val="16"/>
              </w:rPr>
              <w:t>201</w:t>
            </w:r>
          </w:p>
        </w:tc>
        <w:tc>
          <w:tcPr>
            <w:tcW w:w="0" w:type="auto"/>
            <w:noWrap/>
            <w:vAlign w:val="center"/>
            <w:hideMark/>
          </w:tcPr>
          <w:p w14:paraId="07E3FEA4" w14:textId="213D93C8"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w:t>
            </w:r>
            <w:r w:rsidR="00153073">
              <w:rPr>
                <w:rFonts w:asciiTheme="minorBidi" w:hAnsiTheme="minorBidi"/>
                <w:color w:val="000000"/>
                <w:sz w:val="16"/>
                <w:szCs w:val="16"/>
              </w:rPr>
              <w:t xml:space="preserve"> </w:t>
            </w:r>
            <w:r w:rsidRPr="002D6B0E">
              <w:rPr>
                <w:rFonts w:asciiTheme="minorBidi" w:hAnsiTheme="minorBidi"/>
                <w:color w:val="000000"/>
                <w:sz w:val="16"/>
                <w:szCs w:val="16"/>
              </w:rPr>
              <w:t>482</w:t>
            </w:r>
            <w:r w:rsidR="00153073">
              <w:rPr>
                <w:rFonts w:asciiTheme="minorBidi" w:hAnsiTheme="minorBidi"/>
                <w:color w:val="000000"/>
                <w:sz w:val="16"/>
                <w:szCs w:val="16"/>
              </w:rPr>
              <w:t xml:space="preserve"> </w:t>
            </w:r>
            <w:r w:rsidRPr="002D6B0E">
              <w:rPr>
                <w:rFonts w:asciiTheme="minorBidi" w:hAnsiTheme="minorBidi"/>
                <w:color w:val="000000"/>
                <w:sz w:val="16"/>
                <w:szCs w:val="16"/>
              </w:rPr>
              <w:t>227</w:t>
            </w:r>
          </w:p>
        </w:tc>
        <w:tc>
          <w:tcPr>
            <w:tcW w:w="597" w:type="dxa"/>
            <w:shd w:val="clear" w:color="auto" w:fill="E5E5E5" w:themeFill="background2" w:themeFillShade="E6"/>
            <w:noWrap/>
            <w:vAlign w:val="center"/>
            <w:hideMark/>
          </w:tcPr>
          <w:p w14:paraId="50AC8E8D" w14:textId="6627EFD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100</w:t>
            </w:r>
          </w:p>
        </w:tc>
        <w:tc>
          <w:tcPr>
            <w:tcW w:w="0" w:type="auto"/>
            <w:noWrap/>
            <w:vAlign w:val="center"/>
            <w:hideMark/>
          </w:tcPr>
          <w:p w14:paraId="06E5A12D" w14:textId="77777777" w:rsidR="00F72778" w:rsidRPr="002D6B0E" w:rsidRDefault="00F72778" w:rsidP="006D7558">
            <w:pPr>
              <w:spacing w:before="0" w:after="0" w:line="240" w:lineRule="auto"/>
              <w:jc w:val="right"/>
              <w:rPr>
                <w:rFonts w:asciiTheme="minorBidi" w:hAnsiTheme="minorBidi"/>
                <w:sz w:val="16"/>
                <w:szCs w:val="16"/>
              </w:rPr>
            </w:pPr>
          </w:p>
        </w:tc>
        <w:tc>
          <w:tcPr>
            <w:tcW w:w="0" w:type="auto"/>
            <w:noWrap/>
            <w:vAlign w:val="center"/>
            <w:hideMark/>
          </w:tcPr>
          <w:p w14:paraId="3264E8AE" w14:textId="2BF29E53"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6</w:t>
            </w:r>
            <w:r w:rsidR="00153073">
              <w:rPr>
                <w:rFonts w:asciiTheme="minorBidi" w:hAnsiTheme="minorBidi"/>
                <w:color w:val="000000"/>
                <w:sz w:val="16"/>
                <w:szCs w:val="16"/>
              </w:rPr>
              <w:t xml:space="preserve"> </w:t>
            </w:r>
            <w:r w:rsidRPr="002D6B0E">
              <w:rPr>
                <w:rFonts w:asciiTheme="minorBidi" w:hAnsiTheme="minorBidi"/>
                <w:color w:val="000000"/>
                <w:sz w:val="16"/>
                <w:szCs w:val="16"/>
              </w:rPr>
              <w:t>967</w:t>
            </w:r>
            <w:r w:rsidR="00153073">
              <w:rPr>
                <w:rFonts w:asciiTheme="minorBidi" w:hAnsiTheme="minorBidi"/>
                <w:color w:val="000000"/>
                <w:sz w:val="16"/>
                <w:szCs w:val="16"/>
              </w:rPr>
              <w:t xml:space="preserve"> </w:t>
            </w:r>
            <w:r w:rsidRPr="002D6B0E">
              <w:rPr>
                <w:rFonts w:asciiTheme="minorBidi" w:hAnsiTheme="minorBidi"/>
                <w:color w:val="000000"/>
                <w:sz w:val="16"/>
                <w:szCs w:val="16"/>
              </w:rPr>
              <w:t>047</w:t>
            </w:r>
          </w:p>
        </w:tc>
        <w:tc>
          <w:tcPr>
            <w:tcW w:w="0" w:type="auto"/>
            <w:noWrap/>
            <w:vAlign w:val="center"/>
            <w:hideMark/>
          </w:tcPr>
          <w:p w14:paraId="643F30ED" w14:textId="4911BBF7"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w:t>
            </w:r>
            <w:r w:rsidR="00153073">
              <w:rPr>
                <w:rFonts w:asciiTheme="minorBidi" w:hAnsiTheme="minorBidi"/>
                <w:color w:val="000000"/>
                <w:sz w:val="16"/>
                <w:szCs w:val="16"/>
              </w:rPr>
              <w:t xml:space="preserve"> </w:t>
            </w:r>
            <w:r w:rsidRPr="002D6B0E">
              <w:rPr>
                <w:rFonts w:asciiTheme="minorBidi" w:hAnsiTheme="minorBidi"/>
                <w:color w:val="000000"/>
                <w:sz w:val="16"/>
                <w:szCs w:val="16"/>
              </w:rPr>
              <w:t>674</w:t>
            </w:r>
            <w:r w:rsidR="00153073">
              <w:rPr>
                <w:rFonts w:asciiTheme="minorBidi" w:hAnsiTheme="minorBidi"/>
                <w:color w:val="000000"/>
                <w:sz w:val="16"/>
                <w:szCs w:val="16"/>
              </w:rPr>
              <w:t xml:space="preserve"> </w:t>
            </w:r>
            <w:r w:rsidRPr="002D6B0E">
              <w:rPr>
                <w:rFonts w:asciiTheme="minorBidi" w:hAnsiTheme="minorBidi"/>
                <w:color w:val="000000"/>
                <w:sz w:val="16"/>
                <w:szCs w:val="16"/>
              </w:rPr>
              <w:t>012</w:t>
            </w:r>
          </w:p>
        </w:tc>
        <w:tc>
          <w:tcPr>
            <w:tcW w:w="0" w:type="auto"/>
            <w:noWrap/>
            <w:vAlign w:val="center"/>
            <w:hideMark/>
          </w:tcPr>
          <w:p w14:paraId="6744EC81" w14:textId="7175F97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3</w:t>
            </w:r>
            <w:r w:rsidR="00153073">
              <w:rPr>
                <w:rFonts w:asciiTheme="minorBidi" w:hAnsiTheme="minorBidi"/>
                <w:color w:val="000000"/>
                <w:sz w:val="16"/>
                <w:szCs w:val="16"/>
              </w:rPr>
              <w:t xml:space="preserve"> </w:t>
            </w:r>
            <w:r w:rsidRPr="002D6B0E">
              <w:rPr>
                <w:rFonts w:asciiTheme="minorBidi" w:hAnsiTheme="minorBidi"/>
                <w:color w:val="000000"/>
                <w:sz w:val="16"/>
                <w:szCs w:val="16"/>
              </w:rPr>
              <w:t>998</w:t>
            </w:r>
            <w:r w:rsidR="00153073">
              <w:rPr>
                <w:rFonts w:asciiTheme="minorBidi" w:hAnsiTheme="minorBidi"/>
                <w:color w:val="000000"/>
                <w:sz w:val="16"/>
                <w:szCs w:val="16"/>
              </w:rPr>
              <w:t xml:space="preserve"> </w:t>
            </w:r>
            <w:r w:rsidRPr="002D6B0E">
              <w:rPr>
                <w:rFonts w:asciiTheme="minorBidi" w:hAnsiTheme="minorBidi"/>
                <w:color w:val="000000"/>
                <w:sz w:val="16"/>
                <w:szCs w:val="16"/>
              </w:rPr>
              <w:t>997</w:t>
            </w:r>
          </w:p>
        </w:tc>
        <w:tc>
          <w:tcPr>
            <w:tcW w:w="0" w:type="auto"/>
            <w:noWrap/>
            <w:vAlign w:val="center"/>
            <w:hideMark/>
          </w:tcPr>
          <w:p w14:paraId="5A320D18" w14:textId="54FBB5F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5</w:t>
            </w:r>
            <w:r w:rsidR="00153073">
              <w:rPr>
                <w:rFonts w:asciiTheme="minorBidi" w:hAnsiTheme="minorBidi"/>
                <w:color w:val="000000"/>
                <w:sz w:val="16"/>
                <w:szCs w:val="16"/>
              </w:rPr>
              <w:t xml:space="preserve"> </w:t>
            </w:r>
            <w:r w:rsidRPr="002D6B0E">
              <w:rPr>
                <w:rFonts w:asciiTheme="minorBidi" w:hAnsiTheme="minorBidi"/>
                <w:color w:val="000000"/>
                <w:sz w:val="16"/>
                <w:szCs w:val="16"/>
              </w:rPr>
              <w:t>950</w:t>
            </w:r>
            <w:r w:rsidR="00153073">
              <w:rPr>
                <w:rFonts w:asciiTheme="minorBidi" w:hAnsiTheme="minorBidi"/>
                <w:color w:val="000000"/>
                <w:sz w:val="16"/>
                <w:szCs w:val="16"/>
              </w:rPr>
              <w:t xml:space="preserve"> </w:t>
            </w:r>
            <w:r w:rsidRPr="002D6B0E">
              <w:rPr>
                <w:rFonts w:asciiTheme="minorBidi" w:hAnsiTheme="minorBidi"/>
                <w:color w:val="000000"/>
                <w:sz w:val="16"/>
                <w:szCs w:val="16"/>
              </w:rPr>
              <w:t>873</w:t>
            </w:r>
          </w:p>
        </w:tc>
        <w:tc>
          <w:tcPr>
            <w:tcW w:w="0" w:type="auto"/>
            <w:noWrap/>
            <w:vAlign w:val="center"/>
            <w:hideMark/>
          </w:tcPr>
          <w:p w14:paraId="4D2D31B4" w14:textId="50A43B7A"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6</w:t>
            </w:r>
            <w:r w:rsidR="00153073">
              <w:rPr>
                <w:rFonts w:asciiTheme="minorBidi" w:hAnsiTheme="minorBidi"/>
                <w:color w:val="000000"/>
                <w:sz w:val="16"/>
                <w:szCs w:val="16"/>
              </w:rPr>
              <w:t xml:space="preserve"> </w:t>
            </w:r>
            <w:r w:rsidRPr="002D6B0E">
              <w:rPr>
                <w:rFonts w:asciiTheme="minorBidi" w:hAnsiTheme="minorBidi"/>
                <w:color w:val="000000"/>
                <w:sz w:val="16"/>
                <w:szCs w:val="16"/>
              </w:rPr>
              <w:t>374</w:t>
            </w:r>
            <w:r w:rsidR="00153073">
              <w:rPr>
                <w:rFonts w:asciiTheme="minorBidi" w:hAnsiTheme="minorBidi"/>
                <w:color w:val="000000"/>
                <w:sz w:val="16"/>
                <w:szCs w:val="16"/>
              </w:rPr>
              <w:t xml:space="preserve"> </w:t>
            </w:r>
            <w:r w:rsidRPr="002D6B0E">
              <w:rPr>
                <w:rFonts w:asciiTheme="minorBidi" w:hAnsiTheme="minorBidi"/>
                <w:color w:val="000000"/>
                <w:sz w:val="16"/>
                <w:szCs w:val="16"/>
              </w:rPr>
              <w:t>862</w:t>
            </w:r>
          </w:p>
        </w:tc>
        <w:tc>
          <w:tcPr>
            <w:tcW w:w="1000" w:type="dxa"/>
            <w:noWrap/>
            <w:vAlign w:val="center"/>
            <w:hideMark/>
          </w:tcPr>
          <w:p w14:paraId="59D89404" w14:textId="01841080"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6</w:t>
            </w:r>
            <w:r w:rsidR="00153073">
              <w:rPr>
                <w:rFonts w:asciiTheme="minorBidi" w:hAnsiTheme="minorBidi"/>
                <w:color w:val="000000"/>
                <w:sz w:val="16"/>
                <w:szCs w:val="16"/>
              </w:rPr>
              <w:t xml:space="preserve"> </w:t>
            </w:r>
            <w:r w:rsidRPr="002D6B0E">
              <w:rPr>
                <w:rFonts w:asciiTheme="minorBidi" w:hAnsiTheme="minorBidi"/>
                <w:color w:val="000000"/>
                <w:sz w:val="16"/>
                <w:szCs w:val="16"/>
              </w:rPr>
              <w:t>645</w:t>
            </w:r>
            <w:r w:rsidR="00153073">
              <w:rPr>
                <w:rFonts w:asciiTheme="minorBidi" w:hAnsiTheme="minorBidi"/>
                <w:color w:val="000000"/>
                <w:sz w:val="16"/>
                <w:szCs w:val="16"/>
              </w:rPr>
              <w:t xml:space="preserve"> </w:t>
            </w:r>
            <w:r w:rsidRPr="002D6B0E">
              <w:rPr>
                <w:rFonts w:asciiTheme="minorBidi" w:hAnsiTheme="minorBidi"/>
                <w:color w:val="000000"/>
                <w:sz w:val="16"/>
                <w:szCs w:val="16"/>
              </w:rPr>
              <w:t>908</w:t>
            </w:r>
          </w:p>
        </w:tc>
        <w:tc>
          <w:tcPr>
            <w:tcW w:w="568" w:type="dxa"/>
            <w:shd w:val="clear" w:color="auto" w:fill="E5E5E5" w:themeFill="background2" w:themeFillShade="E6"/>
            <w:noWrap/>
            <w:vAlign w:val="center"/>
            <w:hideMark/>
          </w:tcPr>
          <w:p w14:paraId="64B33E2F" w14:textId="3B878C0E" w:rsidR="00F72778" w:rsidRPr="002D6B0E" w:rsidRDefault="00F72778" w:rsidP="006D7558">
            <w:pPr>
              <w:spacing w:before="0" w:after="0" w:line="240" w:lineRule="auto"/>
              <w:jc w:val="right"/>
              <w:rPr>
                <w:rFonts w:asciiTheme="minorBidi" w:hAnsiTheme="minorBidi"/>
                <w:color w:val="000000"/>
                <w:sz w:val="16"/>
                <w:szCs w:val="16"/>
              </w:rPr>
            </w:pPr>
            <w:r w:rsidRPr="002D6B0E">
              <w:rPr>
                <w:rFonts w:asciiTheme="minorBidi" w:hAnsiTheme="minorBidi"/>
                <w:color w:val="000000"/>
                <w:sz w:val="16"/>
                <w:szCs w:val="16"/>
              </w:rPr>
              <w:t>100</w:t>
            </w:r>
          </w:p>
        </w:tc>
      </w:tr>
    </w:tbl>
    <w:p w14:paraId="171DBAB9" w14:textId="77777777" w:rsidR="00F72778" w:rsidRPr="00E14EBC" w:rsidRDefault="00F72778" w:rsidP="00F72778">
      <w:pPr>
        <w:pStyle w:val="BottomCaption"/>
      </w:pPr>
      <w:r w:rsidRPr="00E14EBC">
        <w:t>Allika</w:t>
      </w:r>
      <w:r>
        <w:t>d</w:t>
      </w:r>
      <w:r w:rsidRPr="00E14EBC">
        <w:t xml:space="preserve">: </w:t>
      </w:r>
      <w:r>
        <w:t>Eurostat, SA</w:t>
      </w:r>
    </w:p>
    <w:p w14:paraId="3AF7DCBD" w14:textId="77777777" w:rsidR="00F72778" w:rsidRPr="00E14EBC" w:rsidRDefault="00F72778" w:rsidP="00F72778">
      <w:pPr>
        <w:jc w:val="right"/>
      </w:pPr>
    </w:p>
    <w:p w14:paraId="249392F6" w14:textId="7816E1F0" w:rsidR="00F72778" w:rsidRPr="00E14EBC" w:rsidRDefault="00F72778" w:rsidP="00F72778">
      <w:pPr>
        <w:pStyle w:val="Caption"/>
      </w:pPr>
    </w:p>
    <w:p w14:paraId="47CC4EAE" w14:textId="34414A44" w:rsidR="00F72778" w:rsidRPr="00E14EBC" w:rsidRDefault="00F72778" w:rsidP="4A7E2F16">
      <w:r>
        <w:br w:type="page"/>
      </w:r>
    </w:p>
    <w:p w14:paraId="63AA8028" w14:textId="7B92459E" w:rsidR="00F72778" w:rsidRPr="00E14EBC" w:rsidRDefault="4A7E2F16" w:rsidP="00F72778">
      <w:pPr>
        <w:pStyle w:val="Caption"/>
      </w:pPr>
      <w:r>
        <w:lastRenderedPageBreak/>
        <w:t>Tabel 28: Ööbimiste arv lühiajalise üüri majutuskohtades, NUTS 3 regioonide lõikes, 2018–2023</w:t>
      </w:r>
    </w:p>
    <w:tbl>
      <w:tblPr>
        <w:tblW w:w="13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420"/>
        <w:gridCol w:w="1420"/>
        <w:gridCol w:w="1420"/>
        <w:gridCol w:w="1420"/>
        <w:gridCol w:w="1420"/>
        <w:gridCol w:w="1420"/>
        <w:gridCol w:w="320"/>
        <w:gridCol w:w="965"/>
        <w:gridCol w:w="385"/>
        <w:gridCol w:w="1165"/>
      </w:tblGrid>
      <w:tr w:rsidR="00F72778" w:rsidRPr="0025144C" w14:paraId="0BFE49F9" w14:textId="77777777" w:rsidTr="009364B5">
        <w:trPr>
          <w:trHeight w:val="320"/>
        </w:trPr>
        <w:tc>
          <w:tcPr>
            <w:tcW w:w="2335" w:type="dxa"/>
            <w:noWrap/>
            <w:vAlign w:val="center"/>
            <w:hideMark/>
          </w:tcPr>
          <w:p w14:paraId="08DD67FF" w14:textId="77777777" w:rsidR="00F72778" w:rsidRPr="0025144C" w:rsidRDefault="00F72778" w:rsidP="0025144C">
            <w:pPr>
              <w:spacing w:before="0" w:after="0" w:line="240" w:lineRule="auto"/>
              <w:rPr>
                <w:rFonts w:asciiTheme="minorBidi" w:hAnsiTheme="minorBidi"/>
                <w:sz w:val="18"/>
                <w:szCs w:val="18"/>
              </w:rPr>
            </w:pPr>
          </w:p>
        </w:tc>
        <w:tc>
          <w:tcPr>
            <w:tcW w:w="1420" w:type="dxa"/>
            <w:noWrap/>
            <w:vAlign w:val="center"/>
            <w:hideMark/>
          </w:tcPr>
          <w:p w14:paraId="30EB5809" w14:textId="77777777" w:rsidR="00F72778" w:rsidRPr="0025144C" w:rsidRDefault="00F72778" w:rsidP="0025144C">
            <w:pPr>
              <w:spacing w:before="0" w:after="0" w:line="240" w:lineRule="auto"/>
              <w:jc w:val="center"/>
              <w:rPr>
                <w:rFonts w:asciiTheme="minorBidi" w:hAnsiTheme="minorBidi"/>
                <w:b/>
                <w:color w:val="000000"/>
                <w:sz w:val="18"/>
                <w:szCs w:val="18"/>
              </w:rPr>
            </w:pPr>
            <w:r w:rsidRPr="0025144C">
              <w:rPr>
                <w:rFonts w:asciiTheme="minorBidi" w:hAnsiTheme="minorBidi"/>
                <w:b/>
                <w:color w:val="000000"/>
                <w:sz w:val="18"/>
                <w:szCs w:val="18"/>
              </w:rPr>
              <w:t>2018</w:t>
            </w:r>
          </w:p>
        </w:tc>
        <w:tc>
          <w:tcPr>
            <w:tcW w:w="1420" w:type="dxa"/>
            <w:noWrap/>
            <w:vAlign w:val="center"/>
            <w:hideMark/>
          </w:tcPr>
          <w:p w14:paraId="4F9D262A" w14:textId="77777777" w:rsidR="00F72778" w:rsidRPr="0025144C" w:rsidRDefault="00F72778" w:rsidP="0025144C">
            <w:pPr>
              <w:spacing w:before="0" w:after="0" w:line="240" w:lineRule="auto"/>
              <w:jc w:val="center"/>
              <w:rPr>
                <w:rFonts w:asciiTheme="minorBidi" w:hAnsiTheme="minorBidi"/>
                <w:b/>
                <w:color w:val="000000"/>
                <w:sz w:val="18"/>
                <w:szCs w:val="18"/>
              </w:rPr>
            </w:pPr>
            <w:r w:rsidRPr="0025144C">
              <w:rPr>
                <w:rFonts w:asciiTheme="minorBidi" w:hAnsiTheme="minorBidi"/>
                <w:b/>
                <w:color w:val="000000"/>
                <w:sz w:val="18"/>
                <w:szCs w:val="18"/>
              </w:rPr>
              <w:t>2019</w:t>
            </w:r>
          </w:p>
        </w:tc>
        <w:tc>
          <w:tcPr>
            <w:tcW w:w="1420" w:type="dxa"/>
            <w:noWrap/>
            <w:vAlign w:val="center"/>
            <w:hideMark/>
          </w:tcPr>
          <w:p w14:paraId="5ACDEB61" w14:textId="77777777" w:rsidR="00F72778" w:rsidRPr="0025144C" w:rsidRDefault="00F72778" w:rsidP="0025144C">
            <w:pPr>
              <w:spacing w:before="0" w:after="0" w:line="240" w:lineRule="auto"/>
              <w:jc w:val="center"/>
              <w:rPr>
                <w:rFonts w:asciiTheme="minorBidi" w:hAnsiTheme="minorBidi"/>
                <w:b/>
                <w:color w:val="000000"/>
                <w:sz w:val="18"/>
                <w:szCs w:val="18"/>
              </w:rPr>
            </w:pPr>
            <w:r w:rsidRPr="0025144C">
              <w:rPr>
                <w:rFonts w:asciiTheme="minorBidi" w:hAnsiTheme="minorBidi"/>
                <w:b/>
                <w:color w:val="000000"/>
                <w:sz w:val="18"/>
                <w:szCs w:val="18"/>
              </w:rPr>
              <w:t>2020</w:t>
            </w:r>
          </w:p>
        </w:tc>
        <w:tc>
          <w:tcPr>
            <w:tcW w:w="1420" w:type="dxa"/>
            <w:noWrap/>
            <w:vAlign w:val="center"/>
            <w:hideMark/>
          </w:tcPr>
          <w:p w14:paraId="28CBC514" w14:textId="77777777" w:rsidR="00F72778" w:rsidRPr="0025144C" w:rsidRDefault="00F72778" w:rsidP="0025144C">
            <w:pPr>
              <w:spacing w:before="0" w:after="0" w:line="240" w:lineRule="auto"/>
              <w:jc w:val="center"/>
              <w:rPr>
                <w:rFonts w:asciiTheme="minorBidi" w:hAnsiTheme="minorBidi"/>
                <w:b/>
                <w:color w:val="000000"/>
                <w:sz w:val="18"/>
                <w:szCs w:val="18"/>
              </w:rPr>
            </w:pPr>
            <w:r w:rsidRPr="0025144C">
              <w:rPr>
                <w:rFonts w:asciiTheme="minorBidi" w:hAnsiTheme="minorBidi"/>
                <w:b/>
                <w:color w:val="000000"/>
                <w:sz w:val="18"/>
                <w:szCs w:val="18"/>
              </w:rPr>
              <w:t>2021</w:t>
            </w:r>
          </w:p>
        </w:tc>
        <w:tc>
          <w:tcPr>
            <w:tcW w:w="1420" w:type="dxa"/>
            <w:noWrap/>
            <w:vAlign w:val="center"/>
            <w:hideMark/>
          </w:tcPr>
          <w:p w14:paraId="2C5445C4" w14:textId="77777777" w:rsidR="00F72778" w:rsidRPr="0025144C" w:rsidRDefault="00F72778" w:rsidP="0025144C">
            <w:pPr>
              <w:spacing w:before="0" w:after="0" w:line="240" w:lineRule="auto"/>
              <w:jc w:val="center"/>
              <w:rPr>
                <w:rFonts w:asciiTheme="minorBidi" w:hAnsiTheme="minorBidi"/>
                <w:b/>
                <w:color w:val="000000"/>
                <w:sz w:val="18"/>
                <w:szCs w:val="18"/>
              </w:rPr>
            </w:pPr>
            <w:r w:rsidRPr="0025144C">
              <w:rPr>
                <w:rFonts w:asciiTheme="minorBidi" w:hAnsiTheme="minorBidi"/>
                <w:b/>
                <w:color w:val="000000"/>
                <w:sz w:val="18"/>
                <w:szCs w:val="18"/>
              </w:rPr>
              <w:t>2022</w:t>
            </w:r>
          </w:p>
        </w:tc>
        <w:tc>
          <w:tcPr>
            <w:tcW w:w="1420" w:type="dxa"/>
            <w:noWrap/>
            <w:vAlign w:val="center"/>
            <w:hideMark/>
          </w:tcPr>
          <w:p w14:paraId="38053E34" w14:textId="77777777" w:rsidR="00F72778" w:rsidRPr="0025144C" w:rsidRDefault="00F72778" w:rsidP="0025144C">
            <w:pPr>
              <w:spacing w:before="0" w:after="0" w:line="240" w:lineRule="auto"/>
              <w:jc w:val="center"/>
              <w:rPr>
                <w:rFonts w:asciiTheme="minorBidi" w:hAnsiTheme="minorBidi"/>
                <w:b/>
                <w:color w:val="000000"/>
                <w:sz w:val="18"/>
                <w:szCs w:val="18"/>
              </w:rPr>
            </w:pPr>
            <w:r w:rsidRPr="0025144C">
              <w:rPr>
                <w:rFonts w:asciiTheme="minorBidi" w:hAnsiTheme="minorBidi"/>
                <w:b/>
                <w:color w:val="000000"/>
                <w:sz w:val="18"/>
                <w:szCs w:val="18"/>
              </w:rPr>
              <w:t>2023</w:t>
            </w:r>
          </w:p>
        </w:tc>
        <w:tc>
          <w:tcPr>
            <w:tcW w:w="320" w:type="dxa"/>
            <w:noWrap/>
            <w:vAlign w:val="center"/>
            <w:hideMark/>
          </w:tcPr>
          <w:p w14:paraId="3C302E1A" w14:textId="77777777" w:rsidR="00F72778" w:rsidRPr="0025144C" w:rsidRDefault="00F72778" w:rsidP="0025144C">
            <w:pPr>
              <w:spacing w:before="0" w:after="0" w:line="240" w:lineRule="auto"/>
              <w:jc w:val="center"/>
              <w:rPr>
                <w:rFonts w:asciiTheme="minorBidi" w:hAnsiTheme="minorBidi"/>
                <w:b/>
                <w:color w:val="000000"/>
                <w:sz w:val="18"/>
                <w:szCs w:val="18"/>
              </w:rPr>
            </w:pPr>
          </w:p>
        </w:tc>
        <w:tc>
          <w:tcPr>
            <w:tcW w:w="965" w:type="dxa"/>
            <w:noWrap/>
            <w:vAlign w:val="center"/>
            <w:hideMark/>
          </w:tcPr>
          <w:p w14:paraId="1F6573CA" w14:textId="77777777" w:rsidR="00F72778" w:rsidRPr="00B54A22" w:rsidRDefault="00F72778" w:rsidP="0025144C">
            <w:pPr>
              <w:spacing w:before="0" w:after="0" w:line="240" w:lineRule="auto"/>
              <w:jc w:val="center"/>
              <w:rPr>
                <w:rFonts w:asciiTheme="minorBidi" w:hAnsiTheme="minorBidi"/>
                <w:b/>
                <w:sz w:val="18"/>
                <w:szCs w:val="18"/>
              </w:rPr>
            </w:pPr>
            <w:r w:rsidRPr="00B54A22">
              <w:rPr>
                <w:rFonts w:asciiTheme="minorBidi" w:hAnsiTheme="minorBidi"/>
                <w:b/>
                <w:sz w:val="18"/>
                <w:szCs w:val="18"/>
              </w:rPr>
              <w:t>osakaal</w:t>
            </w:r>
          </w:p>
        </w:tc>
        <w:tc>
          <w:tcPr>
            <w:tcW w:w="385" w:type="dxa"/>
            <w:noWrap/>
            <w:vAlign w:val="center"/>
            <w:hideMark/>
          </w:tcPr>
          <w:p w14:paraId="1217C5C8" w14:textId="77777777" w:rsidR="00F72778" w:rsidRPr="0025144C" w:rsidRDefault="00F72778" w:rsidP="0025144C">
            <w:pPr>
              <w:spacing w:before="0" w:after="0" w:line="240" w:lineRule="auto"/>
              <w:jc w:val="center"/>
              <w:rPr>
                <w:rFonts w:asciiTheme="minorBidi" w:hAnsiTheme="minorBidi"/>
                <w:b/>
                <w:color w:val="000000"/>
                <w:sz w:val="18"/>
                <w:szCs w:val="18"/>
              </w:rPr>
            </w:pPr>
          </w:p>
        </w:tc>
        <w:tc>
          <w:tcPr>
            <w:tcW w:w="1165" w:type="dxa"/>
            <w:noWrap/>
            <w:vAlign w:val="center"/>
            <w:hideMark/>
          </w:tcPr>
          <w:p w14:paraId="350B4261" w14:textId="77777777" w:rsidR="00F72778" w:rsidRPr="0025144C" w:rsidRDefault="00F72778" w:rsidP="0025144C">
            <w:pPr>
              <w:spacing w:before="0" w:after="0" w:line="240" w:lineRule="auto"/>
              <w:rPr>
                <w:rFonts w:asciiTheme="minorBidi" w:hAnsiTheme="minorBidi"/>
                <w:b/>
                <w:color w:val="000000"/>
                <w:sz w:val="18"/>
                <w:szCs w:val="18"/>
              </w:rPr>
            </w:pPr>
            <w:r w:rsidRPr="0025144C">
              <w:rPr>
                <w:rFonts w:asciiTheme="minorBidi" w:hAnsiTheme="minorBidi"/>
                <w:b/>
                <w:color w:val="000000"/>
                <w:sz w:val="18"/>
                <w:szCs w:val="18"/>
              </w:rPr>
              <w:t>2019-2023</w:t>
            </w:r>
          </w:p>
        </w:tc>
      </w:tr>
      <w:tr w:rsidR="00F72778" w:rsidRPr="0025144C" w14:paraId="01E42CDB" w14:textId="77777777" w:rsidTr="009364B5">
        <w:trPr>
          <w:trHeight w:val="300"/>
        </w:trPr>
        <w:tc>
          <w:tcPr>
            <w:tcW w:w="2335" w:type="dxa"/>
            <w:noWrap/>
            <w:vAlign w:val="center"/>
            <w:hideMark/>
          </w:tcPr>
          <w:p w14:paraId="35689AEB" w14:textId="77777777" w:rsidR="00F72778" w:rsidRPr="0025144C" w:rsidRDefault="00F72778" w:rsidP="0025144C">
            <w:pPr>
              <w:spacing w:before="0" w:after="0" w:line="240" w:lineRule="auto"/>
              <w:rPr>
                <w:rFonts w:asciiTheme="minorBidi" w:hAnsiTheme="minorBidi"/>
                <w:b/>
                <w:sz w:val="18"/>
                <w:szCs w:val="18"/>
              </w:rPr>
            </w:pPr>
            <w:r w:rsidRPr="0025144C">
              <w:rPr>
                <w:rFonts w:asciiTheme="minorBidi" w:hAnsiTheme="minorBidi"/>
                <w:b/>
                <w:sz w:val="18"/>
                <w:szCs w:val="18"/>
              </w:rPr>
              <w:t>Siseturistid EESTI, sh</w:t>
            </w:r>
          </w:p>
        </w:tc>
        <w:tc>
          <w:tcPr>
            <w:tcW w:w="1420" w:type="dxa"/>
            <w:noWrap/>
            <w:vAlign w:val="center"/>
            <w:hideMark/>
          </w:tcPr>
          <w:p w14:paraId="090BEB76" w14:textId="2D2FCF92"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252</w:t>
            </w:r>
            <w:r w:rsidR="00F65BCB">
              <w:rPr>
                <w:rFonts w:asciiTheme="minorBidi" w:hAnsiTheme="minorBidi"/>
                <w:sz w:val="18"/>
                <w:szCs w:val="18"/>
              </w:rPr>
              <w:t xml:space="preserve"> </w:t>
            </w:r>
            <w:r w:rsidRPr="0025144C">
              <w:rPr>
                <w:rFonts w:asciiTheme="minorBidi" w:hAnsiTheme="minorBidi"/>
                <w:sz w:val="18"/>
                <w:szCs w:val="18"/>
              </w:rPr>
              <w:t>396</w:t>
            </w:r>
          </w:p>
        </w:tc>
        <w:tc>
          <w:tcPr>
            <w:tcW w:w="1420" w:type="dxa"/>
            <w:noWrap/>
            <w:vAlign w:val="center"/>
            <w:hideMark/>
          </w:tcPr>
          <w:p w14:paraId="2954C949" w14:textId="55C4A269"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310</w:t>
            </w:r>
            <w:r w:rsidR="00F65BCB">
              <w:rPr>
                <w:rFonts w:asciiTheme="minorBidi" w:hAnsiTheme="minorBidi"/>
                <w:sz w:val="18"/>
                <w:szCs w:val="18"/>
              </w:rPr>
              <w:t xml:space="preserve"> </w:t>
            </w:r>
            <w:r w:rsidRPr="0025144C">
              <w:rPr>
                <w:rFonts w:asciiTheme="minorBidi" w:hAnsiTheme="minorBidi"/>
                <w:sz w:val="18"/>
                <w:szCs w:val="18"/>
              </w:rPr>
              <w:t>889</w:t>
            </w:r>
          </w:p>
        </w:tc>
        <w:tc>
          <w:tcPr>
            <w:tcW w:w="1420" w:type="dxa"/>
            <w:noWrap/>
            <w:vAlign w:val="center"/>
            <w:hideMark/>
          </w:tcPr>
          <w:p w14:paraId="34BAD0EF" w14:textId="139EA8FF"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371</w:t>
            </w:r>
            <w:r w:rsidR="00F65BCB">
              <w:rPr>
                <w:rFonts w:asciiTheme="minorBidi" w:hAnsiTheme="minorBidi"/>
                <w:sz w:val="18"/>
                <w:szCs w:val="18"/>
              </w:rPr>
              <w:t xml:space="preserve"> </w:t>
            </w:r>
            <w:r w:rsidRPr="0025144C">
              <w:rPr>
                <w:rFonts w:asciiTheme="minorBidi" w:hAnsiTheme="minorBidi"/>
                <w:sz w:val="18"/>
                <w:szCs w:val="18"/>
              </w:rPr>
              <w:t>528</w:t>
            </w:r>
          </w:p>
        </w:tc>
        <w:tc>
          <w:tcPr>
            <w:tcW w:w="1420" w:type="dxa"/>
            <w:noWrap/>
            <w:vAlign w:val="center"/>
            <w:hideMark/>
          </w:tcPr>
          <w:p w14:paraId="7DEE2B60" w14:textId="70896A4E"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478</w:t>
            </w:r>
            <w:r w:rsidR="00F65BCB">
              <w:rPr>
                <w:rFonts w:asciiTheme="minorBidi" w:hAnsiTheme="minorBidi"/>
                <w:sz w:val="18"/>
                <w:szCs w:val="18"/>
              </w:rPr>
              <w:t xml:space="preserve"> </w:t>
            </w:r>
            <w:r w:rsidRPr="0025144C">
              <w:rPr>
                <w:rFonts w:asciiTheme="minorBidi" w:hAnsiTheme="minorBidi"/>
                <w:sz w:val="18"/>
                <w:szCs w:val="18"/>
              </w:rPr>
              <w:t>494</w:t>
            </w:r>
          </w:p>
        </w:tc>
        <w:tc>
          <w:tcPr>
            <w:tcW w:w="1420" w:type="dxa"/>
            <w:noWrap/>
            <w:vAlign w:val="center"/>
            <w:hideMark/>
          </w:tcPr>
          <w:p w14:paraId="3502F7D0" w14:textId="7DAE1FEF"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502</w:t>
            </w:r>
            <w:r w:rsidR="00F65BCB">
              <w:rPr>
                <w:rFonts w:asciiTheme="minorBidi" w:hAnsiTheme="minorBidi"/>
                <w:sz w:val="18"/>
                <w:szCs w:val="18"/>
              </w:rPr>
              <w:t xml:space="preserve"> </w:t>
            </w:r>
            <w:r w:rsidRPr="0025144C">
              <w:rPr>
                <w:rFonts w:asciiTheme="minorBidi" w:hAnsiTheme="minorBidi"/>
                <w:sz w:val="18"/>
                <w:szCs w:val="18"/>
              </w:rPr>
              <w:t>758</w:t>
            </w:r>
          </w:p>
        </w:tc>
        <w:tc>
          <w:tcPr>
            <w:tcW w:w="1420" w:type="dxa"/>
            <w:noWrap/>
            <w:vAlign w:val="center"/>
            <w:hideMark/>
          </w:tcPr>
          <w:p w14:paraId="4DE9BCCE" w14:textId="16D37D6F"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514</w:t>
            </w:r>
            <w:r w:rsidR="00F65BCB">
              <w:rPr>
                <w:rFonts w:asciiTheme="minorBidi" w:hAnsiTheme="minorBidi"/>
                <w:sz w:val="18"/>
                <w:szCs w:val="18"/>
              </w:rPr>
              <w:t xml:space="preserve"> </w:t>
            </w:r>
            <w:r w:rsidRPr="0025144C">
              <w:rPr>
                <w:rFonts w:asciiTheme="minorBidi" w:hAnsiTheme="minorBidi"/>
                <w:sz w:val="18"/>
                <w:szCs w:val="18"/>
              </w:rPr>
              <w:t>517</w:t>
            </w:r>
          </w:p>
        </w:tc>
        <w:tc>
          <w:tcPr>
            <w:tcW w:w="320" w:type="dxa"/>
            <w:noWrap/>
            <w:vAlign w:val="center"/>
            <w:hideMark/>
          </w:tcPr>
          <w:p w14:paraId="1AFD074D"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780DCDFD"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35%</w:t>
            </w:r>
          </w:p>
        </w:tc>
        <w:tc>
          <w:tcPr>
            <w:tcW w:w="385" w:type="dxa"/>
            <w:noWrap/>
            <w:vAlign w:val="center"/>
            <w:hideMark/>
          </w:tcPr>
          <w:p w14:paraId="44A46BE1" w14:textId="77777777" w:rsidR="00F72778" w:rsidRPr="0025144C" w:rsidRDefault="00F72778" w:rsidP="0025144C">
            <w:pPr>
              <w:spacing w:before="0" w:after="0" w:line="240" w:lineRule="auto"/>
              <w:jc w:val="right"/>
              <w:rPr>
                <w:rFonts w:asciiTheme="minorBidi" w:hAnsiTheme="minorBidi"/>
                <w:color w:val="FF0000"/>
                <w:sz w:val="18"/>
                <w:szCs w:val="18"/>
              </w:rPr>
            </w:pPr>
          </w:p>
        </w:tc>
        <w:tc>
          <w:tcPr>
            <w:tcW w:w="1165" w:type="dxa"/>
            <w:shd w:val="clear" w:color="auto" w:fill="E5E5E5" w:themeFill="background2" w:themeFillShade="E6"/>
            <w:noWrap/>
            <w:vAlign w:val="center"/>
            <w:hideMark/>
          </w:tcPr>
          <w:p w14:paraId="72CB7213"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65%</w:t>
            </w:r>
          </w:p>
        </w:tc>
      </w:tr>
      <w:tr w:rsidR="00F72778" w:rsidRPr="0025144C" w14:paraId="032EFFF8" w14:textId="77777777" w:rsidTr="009364B5">
        <w:trPr>
          <w:trHeight w:val="300"/>
        </w:trPr>
        <w:tc>
          <w:tcPr>
            <w:tcW w:w="2335" w:type="dxa"/>
            <w:noWrap/>
            <w:vAlign w:val="center"/>
            <w:hideMark/>
          </w:tcPr>
          <w:p w14:paraId="29997B0B"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Põhja-Eesti</w:t>
            </w:r>
          </w:p>
        </w:tc>
        <w:tc>
          <w:tcPr>
            <w:tcW w:w="1420" w:type="dxa"/>
            <w:noWrap/>
            <w:vAlign w:val="center"/>
            <w:hideMark/>
          </w:tcPr>
          <w:p w14:paraId="0012124B" w14:textId="21DBAF3E"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82</w:t>
            </w:r>
            <w:r w:rsidR="00F65BCB">
              <w:rPr>
                <w:rFonts w:asciiTheme="minorBidi" w:hAnsiTheme="minorBidi"/>
                <w:sz w:val="18"/>
                <w:szCs w:val="18"/>
              </w:rPr>
              <w:t xml:space="preserve"> </w:t>
            </w:r>
            <w:r w:rsidRPr="0025144C">
              <w:rPr>
                <w:rFonts w:asciiTheme="minorBidi" w:hAnsiTheme="minorBidi"/>
                <w:sz w:val="18"/>
                <w:szCs w:val="18"/>
              </w:rPr>
              <w:t>747</w:t>
            </w:r>
          </w:p>
        </w:tc>
        <w:tc>
          <w:tcPr>
            <w:tcW w:w="1420" w:type="dxa"/>
            <w:noWrap/>
            <w:vAlign w:val="center"/>
            <w:hideMark/>
          </w:tcPr>
          <w:p w14:paraId="505481B1" w14:textId="0DC94F07"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108</w:t>
            </w:r>
            <w:r w:rsidR="00F65BCB">
              <w:rPr>
                <w:rFonts w:asciiTheme="minorBidi" w:hAnsiTheme="minorBidi"/>
                <w:sz w:val="18"/>
                <w:szCs w:val="18"/>
              </w:rPr>
              <w:t xml:space="preserve"> </w:t>
            </w:r>
            <w:r w:rsidRPr="0025144C">
              <w:rPr>
                <w:rFonts w:asciiTheme="minorBidi" w:hAnsiTheme="minorBidi"/>
                <w:sz w:val="18"/>
                <w:szCs w:val="18"/>
              </w:rPr>
              <w:t>548</w:t>
            </w:r>
          </w:p>
        </w:tc>
        <w:tc>
          <w:tcPr>
            <w:tcW w:w="1420" w:type="dxa"/>
            <w:noWrap/>
            <w:vAlign w:val="center"/>
            <w:hideMark/>
          </w:tcPr>
          <w:p w14:paraId="550030DA" w14:textId="5CDFF922"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123</w:t>
            </w:r>
            <w:r w:rsidR="00F65BCB">
              <w:rPr>
                <w:rFonts w:asciiTheme="minorBidi" w:hAnsiTheme="minorBidi"/>
                <w:sz w:val="18"/>
                <w:szCs w:val="18"/>
              </w:rPr>
              <w:t xml:space="preserve"> </w:t>
            </w:r>
            <w:r w:rsidRPr="0025144C">
              <w:rPr>
                <w:rFonts w:asciiTheme="minorBidi" w:hAnsiTheme="minorBidi"/>
                <w:sz w:val="18"/>
                <w:szCs w:val="18"/>
              </w:rPr>
              <w:t>184</w:t>
            </w:r>
          </w:p>
        </w:tc>
        <w:tc>
          <w:tcPr>
            <w:tcW w:w="1420" w:type="dxa"/>
            <w:noWrap/>
            <w:vAlign w:val="center"/>
            <w:hideMark/>
          </w:tcPr>
          <w:p w14:paraId="035F029A" w14:textId="2B3CB18E"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122</w:t>
            </w:r>
            <w:r w:rsidR="00F65BCB">
              <w:rPr>
                <w:rFonts w:asciiTheme="minorBidi" w:hAnsiTheme="minorBidi"/>
                <w:sz w:val="18"/>
                <w:szCs w:val="18"/>
              </w:rPr>
              <w:t xml:space="preserve"> </w:t>
            </w:r>
            <w:r w:rsidRPr="0025144C">
              <w:rPr>
                <w:rFonts w:asciiTheme="minorBidi" w:hAnsiTheme="minorBidi"/>
                <w:sz w:val="18"/>
                <w:szCs w:val="18"/>
              </w:rPr>
              <w:t>687</w:t>
            </w:r>
          </w:p>
        </w:tc>
        <w:tc>
          <w:tcPr>
            <w:tcW w:w="1420" w:type="dxa"/>
            <w:noWrap/>
            <w:vAlign w:val="center"/>
            <w:hideMark/>
          </w:tcPr>
          <w:p w14:paraId="6EF37488" w14:textId="57A61E4E"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147</w:t>
            </w:r>
            <w:r w:rsidR="00F65BCB">
              <w:rPr>
                <w:rFonts w:asciiTheme="minorBidi" w:hAnsiTheme="minorBidi"/>
                <w:sz w:val="18"/>
                <w:szCs w:val="18"/>
              </w:rPr>
              <w:t xml:space="preserve"> </w:t>
            </w:r>
            <w:r w:rsidRPr="0025144C">
              <w:rPr>
                <w:rFonts w:asciiTheme="minorBidi" w:hAnsiTheme="minorBidi"/>
                <w:sz w:val="18"/>
                <w:szCs w:val="18"/>
              </w:rPr>
              <w:t>064</w:t>
            </w:r>
          </w:p>
        </w:tc>
        <w:tc>
          <w:tcPr>
            <w:tcW w:w="1420" w:type="dxa"/>
            <w:noWrap/>
            <w:vAlign w:val="center"/>
            <w:hideMark/>
          </w:tcPr>
          <w:p w14:paraId="0CCA7427" w14:textId="6E2D0A1B"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144</w:t>
            </w:r>
            <w:r w:rsidR="00F65BCB">
              <w:rPr>
                <w:rFonts w:asciiTheme="minorBidi" w:hAnsiTheme="minorBidi"/>
                <w:sz w:val="18"/>
                <w:szCs w:val="18"/>
              </w:rPr>
              <w:t xml:space="preserve"> </w:t>
            </w:r>
            <w:r w:rsidRPr="0025144C">
              <w:rPr>
                <w:rFonts w:asciiTheme="minorBidi" w:hAnsiTheme="minorBidi"/>
                <w:sz w:val="18"/>
                <w:szCs w:val="18"/>
              </w:rPr>
              <w:t>585</w:t>
            </w:r>
          </w:p>
        </w:tc>
        <w:tc>
          <w:tcPr>
            <w:tcW w:w="320" w:type="dxa"/>
            <w:noWrap/>
            <w:vAlign w:val="center"/>
            <w:hideMark/>
          </w:tcPr>
          <w:p w14:paraId="4DD6C1A0"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42CEFF93"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18%</w:t>
            </w:r>
          </w:p>
        </w:tc>
        <w:tc>
          <w:tcPr>
            <w:tcW w:w="385" w:type="dxa"/>
            <w:noWrap/>
            <w:vAlign w:val="center"/>
            <w:hideMark/>
          </w:tcPr>
          <w:p w14:paraId="1A2F8C30" w14:textId="77777777" w:rsidR="00F72778" w:rsidRPr="0025144C" w:rsidRDefault="00F72778" w:rsidP="0025144C">
            <w:pPr>
              <w:spacing w:before="0" w:after="0" w:line="240" w:lineRule="auto"/>
              <w:jc w:val="right"/>
              <w:rPr>
                <w:rFonts w:asciiTheme="minorBidi" w:hAnsiTheme="minorBidi"/>
                <w:color w:val="00B0F0"/>
                <w:sz w:val="18"/>
                <w:szCs w:val="18"/>
              </w:rPr>
            </w:pPr>
          </w:p>
        </w:tc>
        <w:tc>
          <w:tcPr>
            <w:tcW w:w="1165" w:type="dxa"/>
            <w:shd w:val="clear" w:color="auto" w:fill="E5E5E5" w:themeFill="background2" w:themeFillShade="E6"/>
            <w:noWrap/>
            <w:vAlign w:val="center"/>
            <w:hideMark/>
          </w:tcPr>
          <w:p w14:paraId="2D21C27D"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33%</w:t>
            </w:r>
          </w:p>
        </w:tc>
      </w:tr>
      <w:tr w:rsidR="00F72778" w:rsidRPr="0025144C" w14:paraId="0B015018" w14:textId="77777777" w:rsidTr="009364B5">
        <w:trPr>
          <w:trHeight w:val="300"/>
        </w:trPr>
        <w:tc>
          <w:tcPr>
            <w:tcW w:w="2335" w:type="dxa"/>
            <w:noWrap/>
            <w:vAlign w:val="center"/>
            <w:hideMark/>
          </w:tcPr>
          <w:p w14:paraId="3D1E764E"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Lääne-Eesti</w:t>
            </w:r>
          </w:p>
        </w:tc>
        <w:tc>
          <w:tcPr>
            <w:tcW w:w="1420" w:type="dxa"/>
            <w:noWrap/>
            <w:vAlign w:val="center"/>
            <w:hideMark/>
          </w:tcPr>
          <w:p w14:paraId="54AD646E" w14:textId="2C2224BD"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93</w:t>
            </w:r>
            <w:r w:rsidR="00F65BCB">
              <w:rPr>
                <w:rFonts w:asciiTheme="minorBidi" w:hAnsiTheme="minorBidi"/>
                <w:sz w:val="18"/>
                <w:szCs w:val="18"/>
              </w:rPr>
              <w:t xml:space="preserve"> </w:t>
            </w:r>
            <w:r w:rsidRPr="0025144C">
              <w:rPr>
                <w:rFonts w:asciiTheme="minorBidi" w:hAnsiTheme="minorBidi"/>
                <w:sz w:val="18"/>
                <w:szCs w:val="18"/>
              </w:rPr>
              <w:t>324</w:t>
            </w:r>
          </w:p>
        </w:tc>
        <w:tc>
          <w:tcPr>
            <w:tcW w:w="1420" w:type="dxa"/>
            <w:noWrap/>
            <w:vAlign w:val="center"/>
            <w:hideMark/>
          </w:tcPr>
          <w:p w14:paraId="1AF2B57E" w14:textId="4CD9E1DA"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102</w:t>
            </w:r>
            <w:r w:rsidR="00F65BCB">
              <w:rPr>
                <w:rFonts w:asciiTheme="minorBidi" w:hAnsiTheme="minorBidi"/>
                <w:sz w:val="18"/>
                <w:szCs w:val="18"/>
              </w:rPr>
              <w:t xml:space="preserve"> </w:t>
            </w:r>
            <w:r w:rsidRPr="0025144C">
              <w:rPr>
                <w:rFonts w:asciiTheme="minorBidi" w:hAnsiTheme="minorBidi"/>
                <w:sz w:val="18"/>
                <w:szCs w:val="18"/>
              </w:rPr>
              <w:t>699</w:t>
            </w:r>
          </w:p>
        </w:tc>
        <w:tc>
          <w:tcPr>
            <w:tcW w:w="1420" w:type="dxa"/>
            <w:noWrap/>
            <w:vAlign w:val="center"/>
            <w:hideMark/>
          </w:tcPr>
          <w:p w14:paraId="6C295AF8" w14:textId="4FBA6B77"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127</w:t>
            </w:r>
            <w:r w:rsidR="00F65BCB">
              <w:rPr>
                <w:rFonts w:asciiTheme="minorBidi" w:hAnsiTheme="minorBidi"/>
                <w:sz w:val="18"/>
                <w:szCs w:val="18"/>
              </w:rPr>
              <w:t xml:space="preserve"> </w:t>
            </w:r>
            <w:r w:rsidRPr="0025144C">
              <w:rPr>
                <w:rFonts w:asciiTheme="minorBidi" w:hAnsiTheme="minorBidi"/>
                <w:sz w:val="18"/>
                <w:szCs w:val="18"/>
              </w:rPr>
              <w:t>936</w:t>
            </w:r>
          </w:p>
        </w:tc>
        <w:tc>
          <w:tcPr>
            <w:tcW w:w="1420" w:type="dxa"/>
            <w:noWrap/>
            <w:vAlign w:val="center"/>
            <w:hideMark/>
          </w:tcPr>
          <w:p w14:paraId="0993BEC7" w14:textId="118C45B9"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194</w:t>
            </w:r>
            <w:r w:rsidR="00F65BCB">
              <w:rPr>
                <w:rFonts w:asciiTheme="minorBidi" w:hAnsiTheme="minorBidi"/>
                <w:sz w:val="18"/>
                <w:szCs w:val="18"/>
              </w:rPr>
              <w:t xml:space="preserve"> </w:t>
            </w:r>
            <w:r w:rsidRPr="0025144C">
              <w:rPr>
                <w:rFonts w:asciiTheme="minorBidi" w:hAnsiTheme="minorBidi"/>
                <w:sz w:val="18"/>
                <w:szCs w:val="18"/>
              </w:rPr>
              <w:t>399</w:t>
            </w:r>
          </w:p>
        </w:tc>
        <w:tc>
          <w:tcPr>
            <w:tcW w:w="1420" w:type="dxa"/>
            <w:noWrap/>
            <w:vAlign w:val="center"/>
            <w:hideMark/>
          </w:tcPr>
          <w:p w14:paraId="040A9451" w14:textId="4D192FE8"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171</w:t>
            </w:r>
            <w:r w:rsidR="00F65BCB">
              <w:rPr>
                <w:rFonts w:asciiTheme="minorBidi" w:hAnsiTheme="minorBidi"/>
                <w:sz w:val="18"/>
                <w:szCs w:val="18"/>
              </w:rPr>
              <w:t xml:space="preserve"> </w:t>
            </w:r>
            <w:r w:rsidRPr="0025144C">
              <w:rPr>
                <w:rFonts w:asciiTheme="minorBidi" w:hAnsiTheme="minorBidi"/>
                <w:sz w:val="18"/>
                <w:szCs w:val="18"/>
              </w:rPr>
              <w:t>145</w:t>
            </w:r>
          </w:p>
        </w:tc>
        <w:tc>
          <w:tcPr>
            <w:tcW w:w="1420" w:type="dxa"/>
            <w:noWrap/>
            <w:vAlign w:val="center"/>
            <w:hideMark/>
          </w:tcPr>
          <w:p w14:paraId="24E8877F" w14:textId="3D2870FF"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174</w:t>
            </w:r>
            <w:r w:rsidR="00F65BCB">
              <w:rPr>
                <w:rFonts w:asciiTheme="minorBidi" w:hAnsiTheme="minorBidi"/>
                <w:sz w:val="18"/>
                <w:szCs w:val="18"/>
              </w:rPr>
              <w:t xml:space="preserve"> </w:t>
            </w:r>
            <w:r w:rsidRPr="0025144C">
              <w:rPr>
                <w:rFonts w:asciiTheme="minorBidi" w:hAnsiTheme="minorBidi"/>
                <w:sz w:val="18"/>
                <w:szCs w:val="18"/>
              </w:rPr>
              <w:t>001</w:t>
            </w:r>
          </w:p>
        </w:tc>
        <w:tc>
          <w:tcPr>
            <w:tcW w:w="320" w:type="dxa"/>
            <w:noWrap/>
            <w:vAlign w:val="center"/>
            <w:hideMark/>
          </w:tcPr>
          <w:p w14:paraId="07A2E317"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0EEE9591"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49%</w:t>
            </w:r>
          </w:p>
        </w:tc>
        <w:tc>
          <w:tcPr>
            <w:tcW w:w="385" w:type="dxa"/>
            <w:noWrap/>
            <w:vAlign w:val="center"/>
            <w:hideMark/>
          </w:tcPr>
          <w:p w14:paraId="71EC9598" w14:textId="77777777" w:rsidR="00F72778" w:rsidRPr="0025144C" w:rsidRDefault="00F72778" w:rsidP="0025144C">
            <w:pPr>
              <w:spacing w:before="0" w:after="0" w:line="240" w:lineRule="auto"/>
              <w:jc w:val="right"/>
              <w:rPr>
                <w:rFonts w:asciiTheme="minorBidi" w:hAnsiTheme="minorBidi"/>
                <w:color w:val="00B0F0"/>
                <w:sz w:val="18"/>
                <w:szCs w:val="18"/>
              </w:rPr>
            </w:pPr>
          </w:p>
        </w:tc>
        <w:tc>
          <w:tcPr>
            <w:tcW w:w="1165" w:type="dxa"/>
            <w:shd w:val="clear" w:color="auto" w:fill="E5E5E5" w:themeFill="background2" w:themeFillShade="E6"/>
            <w:noWrap/>
            <w:vAlign w:val="center"/>
            <w:hideMark/>
          </w:tcPr>
          <w:p w14:paraId="1C33D1B8"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69%</w:t>
            </w:r>
          </w:p>
        </w:tc>
      </w:tr>
      <w:tr w:rsidR="00F72778" w:rsidRPr="0025144C" w14:paraId="5126EA43" w14:textId="77777777" w:rsidTr="009364B5">
        <w:trPr>
          <w:trHeight w:val="300"/>
        </w:trPr>
        <w:tc>
          <w:tcPr>
            <w:tcW w:w="2335" w:type="dxa"/>
            <w:noWrap/>
            <w:vAlign w:val="center"/>
            <w:hideMark/>
          </w:tcPr>
          <w:p w14:paraId="4C6A70CD"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Lõuna-Eesti</w:t>
            </w:r>
          </w:p>
        </w:tc>
        <w:tc>
          <w:tcPr>
            <w:tcW w:w="1420" w:type="dxa"/>
            <w:noWrap/>
            <w:vAlign w:val="center"/>
            <w:hideMark/>
          </w:tcPr>
          <w:p w14:paraId="2A763846" w14:textId="7F8D44B9"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55</w:t>
            </w:r>
            <w:r w:rsidR="00F65BCB">
              <w:rPr>
                <w:rFonts w:asciiTheme="minorBidi" w:hAnsiTheme="minorBidi"/>
                <w:sz w:val="18"/>
                <w:szCs w:val="18"/>
              </w:rPr>
              <w:t xml:space="preserve"> </w:t>
            </w:r>
            <w:r w:rsidRPr="0025144C">
              <w:rPr>
                <w:rFonts w:asciiTheme="minorBidi" w:hAnsiTheme="minorBidi"/>
                <w:sz w:val="18"/>
                <w:szCs w:val="18"/>
              </w:rPr>
              <w:t>275</w:t>
            </w:r>
          </w:p>
        </w:tc>
        <w:tc>
          <w:tcPr>
            <w:tcW w:w="1420" w:type="dxa"/>
            <w:noWrap/>
            <w:vAlign w:val="center"/>
            <w:hideMark/>
          </w:tcPr>
          <w:p w14:paraId="14599A11" w14:textId="30EF4D4E"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73</w:t>
            </w:r>
            <w:r w:rsidR="00F65BCB">
              <w:rPr>
                <w:rFonts w:asciiTheme="minorBidi" w:hAnsiTheme="minorBidi"/>
                <w:sz w:val="18"/>
                <w:szCs w:val="18"/>
              </w:rPr>
              <w:t xml:space="preserve"> </w:t>
            </w:r>
            <w:r w:rsidRPr="0025144C">
              <w:rPr>
                <w:rFonts w:asciiTheme="minorBidi" w:hAnsiTheme="minorBidi"/>
                <w:sz w:val="18"/>
                <w:szCs w:val="18"/>
              </w:rPr>
              <w:t>389</w:t>
            </w:r>
          </w:p>
        </w:tc>
        <w:tc>
          <w:tcPr>
            <w:tcW w:w="1420" w:type="dxa"/>
            <w:noWrap/>
            <w:vAlign w:val="center"/>
            <w:hideMark/>
          </w:tcPr>
          <w:p w14:paraId="4C784056" w14:textId="1FFFE080"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86</w:t>
            </w:r>
            <w:r w:rsidR="00F65BCB">
              <w:rPr>
                <w:rFonts w:asciiTheme="minorBidi" w:hAnsiTheme="minorBidi"/>
                <w:sz w:val="18"/>
                <w:szCs w:val="18"/>
              </w:rPr>
              <w:t xml:space="preserve"> </w:t>
            </w:r>
            <w:r w:rsidRPr="0025144C">
              <w:rPr>
                <w:rFonts w:asciiTheme="minorBidi" w:hAnsiTheme="minorBidi"/>
                <w:sz w:val="18"/>
                <w:szCs w:val="18"/>
              </w:rPr>
              <w:t>128</w:t>
            </w:r>
          </w:p>
        </w:tc>
        <w:tc>
          <w:tcPr>
            <w:tcW w:w="1420" w:type="dxa"/>
            <w:noWrap/>
            <w:vAlign w:val="center"/>
            <w:hideMark/>
          </w:tcPr>
          <w:p w14:paraId="3C490BFE" w14:textId="5A513B88"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116</w:t>
            </w:r>
            <w:r w:rsidR="00F65BCB">
              <w:rPr>
                <w:rFonts w:asciiTheme="minorBidi" w:hAnsiTheme="minorBidi"/>
                <w:sz w:val="18"/>
                <w:szCs w:val="18"/>
              </w:rPr>
              <w:t xml:space="preserve"> </w:t>
            </w:r>
            <w:r w:rsidRPr="0025144C">
              <w:rPr>
                <w:rFonts w:asciiTheme="minorBidi" w:hAnsiTheme="minorBidi"/>
                <w:sz w:val="18"/>
                <w:szCs w:val="18"/>
              </w:rPr>
              <w:t>903</w:t>
            </w:r>
          </w:p>
        </w:tc>
        <w:tc>
          <w:tcPr>
            <w:tcW w:w="1420" w:type="dxa"/>
            <w:noWrap/>
            <w:vAlign w:val="center"/>
            <w:hideMark/>
          </w:tcPr>
          <w:p w14:paraId="595DE690" w14:textId="505FF518"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132</w:t>
            </w:r>
            <w:r w:rsidR="00F65BCB">
              <w:rPr>
                <w:rFonts w:asciiTheme="minorBidi" w:hAnsiTheme="minorBidi"/>
                <w:sz w:val="18"/>
                <w:szCs w:val="18"/>
              </w:rPr>
              <w:t xml:space="preserve"> </w:t>
            </w:r>
            <w:r w:rsidRPr="0025144C">
              <w:rPr>
                <w:rFonts w:asciiTheme="minorBidi" w:hAnsiTheme="minorBidi"/>
                <w:sz w:val="18"/>
                <w:szCs w:val="18"/>
              </w:rPr>
              <w:t>989</w:t>
            </w:r>
          </w:p>
        </w:tc>
        <w:tc>
          <w:tcPr>
            <w:tcW w:w="1420" w:type="dxa"/>
            <w:noWrap/>
            <w:vAlign w:val="center"/>
            <w:hideMark/>
          </w:tcPr>
          <w:p w14:paraId="0263139C" w14:textId="2281A11E"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149</w:t>
            </w:r>
            <w:r w:rsidR="00F65BCB">
              <w:rPr>
                <w:rFonts w:asciiTheme="minorBidi" w:hAnsiTheme="minorBidi"/>
                <w:sz w:val="18"/>
                <w:szCs w:val="18"/>
              </w:rPr>
              <w:t xml:space="preserve"> </w:t>
            </w:r>
            <w:r w:rsidRPr="0025144C">
              <w:rPr>
                <w:rFonts w:asciiTheme="minorBidi" w:hAnsiTheme="minorBidi"/>
                <w:sz w:val="18"/>
                <w:szCs w:val="18"/>
              </w:rPr>
              <w:t>239</w:t>
            </w:r>
          </w:p>
        </w:tc>
        <w:tc>
          <w:tcPr>
            <w:tcW w:w="320" w:type="dxa"/>
            <w:noWrap/>
            <w:vAlign w:val="center"/>
            <w:hideMark/>
          </w:tcPr>
          <w:p w14:paraId="2DF3ED5D"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01E5CA47"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58%</w:t>
            </w:r>
          </w:p>
        </w:tc>
        <w:tc>
          <w:tcPr>
            <w:tcW w:w="385" w:type="dxa"/>
            <w:noWrap/>
            <w:vAlign w:val="center"/>
            <w:hideMark/>
          </w:tcPr>
          <w:p w14:paraId="678DC6D4" w14:textId="77777777" w:rsidR="00F72778" w:rsidRPr="0025144C" w:rsidRDefault="00F72778" w:rsidP="0025144C">
            <w:pPr>
              <w:spacing w:before="0" w:after="0" w:line="240" w:lineRule="auto"/>
              <w:jc w:val="right"/>
              <w:rPr>
                <w:rFonts w:asciiTheme="minorBidi" w:hAnsiTheme="minorBidi"/>
                <w:color w:val="00B0F0"/>
                <w:sz w:val="18"/>
                <w:szCs w:val="18"/>
              </w:rPr>
            </w:pPr>
          </w:p>
        </w:tc>
        <w:tc>
          <w:tcPr>
            <w:tcW w:w="1165" w:type="dxa"/>
            <w:shd w:val="clear" w:color="auto" w:fill="E5E5E5" w:themeFill="background2" w:themeFillShade="E6"/>
            <w:noWrap/>
            <w:vAlign w:val="center"/>
            <w:hideMark/>
          </w:tcPr>
          <w:p w14:paraId="4511A655"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103%</w:t>
            </w:r>
          </w:p>
        </w:tc>
      </w:tr>
      <w:tr w:rsidR="00F72778" w:rsidRPr="0025144C" w14:paraId="21F70C1F" w14:textId="77777777" w:rsidTr="009364B5">
        <w:trPr>
          <w:trHeight w:val="300"/>
        </w:trPr>
        <w:tc>
          <w:tcPr>
            <w:tcW w:w="2335" w:type="dxa"/>
            <w:noWrap/>
            <w:vAlign w:val="center"/>
            <w:hideMark/>
          </w:tcPr>
          <w:p w14:paraId="5CF5EEF2"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Kesk-Eesti</w:t>
            </w:r>
          </w:p>
        </w:tc>
        <w:tc>
          <w:tcPr>
            <w:tcW w:w="1420" w:type="dxa"/>
            <w:noWrap/>
            <w:vAlign w:val="center"/>
            <w:hideMark/>
          </w:tcPr>
          <w:p w14:paraId="61DC9540" w14:textId="6D391031"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6</w:t>
            </w:r>
            <w:r w:rsidR="00F65BCB">
              <w:rPr>
                <w:rFonts w:asciiTheme="minorBidi" w:hAnsiTheme="minorBidi"/>
                <w:sz w:val="18"/>
                <w:szCs w:val="18"/>
              </w:rPr>
              <w:t xml:space="preserve"> </w:t>
            </w:r>
            <w:r w:rsidRPr="0025144C">
              <w:rPr>
                <w:rFonts w:asciiTheme="minorBidi" w:hAnsiTheme="minorBidi"/>
                <w:sz w:val="18"/>
                <w:szCs w:val="18"/>
              </w:rPr>
              <w:t>688</w:t>
            </w:r>
          </w:p>
        </w:tc>
        <w:tc>
          <w:tcPr>
            <w:tcW w:w="1420" w:type="dxa"/>
            <w:noWrap/>
            <w:vAlign w:val="center"/>
            <w:hideMark/>
          </w:tcPr>
          <w:p w14:paraId="6656A232" w14:textId="492FBF55"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8</w:t>
            </w:r>
            <w:r w:rsidR="00F65BCB">
              <w:rPr>
                <w:rFonts w:asciiTheme="minorBidi" w:hAnsiTheme="minorBidi"/>
                <w:sz w:val="18"/>
                <w:szCs w:val="18"/>
              </w:rPr>
              <w:t xml:space="preserve"> </w:t>
            </w:r>
            <w:r w:rsidRPr="0025144C">
              <w:rPr>
                <w:rFonts w:asciiTheme="minorBidi" w:hAnsiTheme="minorBidi"/>
                <w:sz w:val="18"/>
                <w:szCs w:val="18"/>
              </w:rPr>
              <w:t>393</w:t>
            </w:r>
          </w:p>
        </w:tc>
        <w:tc>
          <w:tcPr>
            <w:tcW w:w="1420" w:type="dxa"/>
            <w:noWrap/>
            <w:vAlign w:val="center"/>
            <w:hideMark/>
          </w:tcPr>
          <w:p w14:paraId="24995239" w14:textId="7A3D16B9"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12</w:t>
            </w:r>
            <w:r w:rsidR="00F65BCB">
              <w:rPr>
                <w:rFonts w:asciiTheme="minorBidi" w:hAnsiTheme="minorBidi"/>
                <w:sz w:val="18"/>
                <w:szCs w:val="18"/>
              </w:rPr>
              <w:t xml:space="preserve"> </w:t>
            </w:r>
            <w:r w:rsidRPr="0025144C">
              <w:rPr>
                <w:rFonts w:asciiTheme="minorBidi" w:hAnsiTheme="minorBidi"/>
                <w:sz w:val="18"/>
                <w:szCs w:val="18"/>
              </w:rPr>
              <w:t>623</w:t>
            </w:r>
          </w:p>
        </w:tc>
        <w:tc>
          <w:tcPr>
            <w:tcW w:w="1420" w:type="dxa"/>
            <w:noWrap/>
            <w:vAlign w:val="center"/>
            <w:hideMark/>
          </w:tcPr>
          <w:p w14:paraId="28F42A6D" w14:textId="021922E4"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18</w:t>
            </w:r>
            <w:r w:rsidR="00F65BCB">
              <w:rPr>
                <w:rFonts w:asciiTheme="minorBidi" w:hAnsiTheme="minorBidi"/>
                <w:sz w:val="18"/>
                <w:szCs w:val="18"/>
              </w:rPr>
              <w:t xml:space="preserve"> </w:t>
            </w:r>
            <w:r w:rsidRPr="0025144C">
              <w:rPr>
                <w:rFonts w:asciiTheme="minorBidi" w:hAnsiTheme="minorBidi"/>
                <w:sz w:val="18"/>
                <w:szCs w:val="18"/>
              </w:rPr>
              <w:t>730</w:t>
            </w:r>
          </w:p>
        </w:tc>
        <w:tc>
          <w:tcPr>
            <w:tcW w:w="1420" w:type="dxa"/>
            <w:noWrap/>
            <w:vAlign w:val="center"/>
            <w:hideMark/>
          </w:tcPr>
          <w:p w14:paraId="3A0C69A5" w14:textId="03A665F8"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19</w:t>
            </w:r>
            <w:r w:rsidR="00F65BCB">
              <w:rPr>
                <w:rFonts w:asciiTheme="minorBidi" w:hAnsiTheme="minorBidi"/>
                <w:sz w:val="18"/>
                <w:szCs w:val="18"/>
              </w:rPr>
              <w:t xml:space="preserve"> </w:t>
            </w:r>
            <w:r w:rsidRPr="0025144C">
              <w:rPr>
                <w:rFonts w:asciiTheme="minorBidi" w:hAnsiTheme="minorBidi"/>
                <w:sz w:val="18"/>
                <w:szCs w:val="18"/>
              </w:rPr>
              <w:t>382</w:t>
            </w:r>
          </w:p>
        </w:tc>
        <w:tc>
          <w:tcPr>
            <w:tcW w:w="1420" w:type="dxa"/>
            <w:noWrap/>
            <w:vAlign w:val="center"/>
            <w:hideMark/>
          </w:tcPr>
          <w:p w14:paraId="093DB4D0" w14:textId="73E84CD9"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20</w:t>
            </w:r>
            <w:r w:rsidR="00F65BCB">
              <w:rPr>
                <w:rFonts w:asciiTheme="minorBidi" w:hAnsiTheme="minorBidi"/>
                <w:sz w:val="18"/>
                <w:szCs w:val="18"/>
              </w:rPr>
              <w:t xml:space="preserve"> </w:t>
            </w:r>
            <w:r w:rsidRPr="0025144C">
              <w:rPr>
                <w:rFonts w:asciiTheme="minorBidi" w:hAnsiTheme="minorBidi"/>
                <w:sz w:val="18"/>
                <w:szCs w:val="18"/>
              </w:rPr>
              <w:t>652</w:t>
            </w:r>
          </w:p>
        </w:tc>
        <w:tc>
          <w:tcPr>
            <w:tcW w:w="320" w:type="dxa"/>
            <w:noWrap/>
            <w:vAlign w:val="center"/>
            <w:hideMark/>
          </w:tcPr>
          <w:p w14:paraId="1F4E492F"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195A5DB4"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60%</w:t>
            </w:r>
          </w:p>
        </w:tc>
        <w:tc>
          <w:tcPr>
            <w:tcW w:w="385" w:type="dxa"/>
            <w:noWrap/>
            <w:vAlign w:val="center"/>
            <w:hideMark/>
          </w:tcPr>
          <w:p w14:paraId="3AC97CC3" w14:textId="77777777" w:rsidR="00F72778" w:rsidRPr="0025144C" w:rsidRDefault="00F72778" w:rsidP="0025144C">
            <w:pPr>
              <w:spacing w:before="0" w:after="0" w:line="240" w:lineRule="auto"/>
              <w:jc w:val="right"/>
              <w:rPr>
                <w:rFonts w:asciiTheme="minorBidi" w:hAnsiTheme="minorBidi"/>
                <w:color w:val="00B0F0"/>
                <w:sz w:val="18"/>
                <w:szCs w:val="18"/>
              </w:rPr>
            </w:pPr>
          </w:p>
        </w:tc>
        <w:tc>
          <w:tcPr>
            <w:tcW w:w="1165" w:type="dxa"/>
            <w:shd w:val="clear" w:color="auto" w:fill="E5E5E5" w:themeFill="background2" w:themeFillShade="E6"/>
            <w:noWrap/>
            <w:vAlign w:val="center"/>
            <w:hideMark/>
          </w:tcPr>
          <w:p w14:paraId="5EC40B6C"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146%</w:t>
            </w:r>
          </w:p>
        </w:tc>
      </w:tr>
      <w:tr w:rsidR="00F72778" w:rsidRPr="0025144C" w14:paraId="17DDCDF5" w14:textId="77777777" w:rsidTr="009364B5">
        <w:trPr>
          <w:trHeight w:val="300"/>
        </w:trPr>
        <w:tc>
          <w:tcPr>
            <w:tcW w:w="2335" w:type="dxa"/>
            <w:noWrap/>
            <w:vAlign w:val="center"/>
            <w:hideMark/>
          </w:tcPr>
          <w:p w14:paraId="1D98CB98"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Kirde-Eesti</w:t>
            </w:r>
          </w:p>
        </w:tc>
        <w:tc>
          <w:tcPr>
            <w:tcW w:w="1420" w:type="dxa"/>
            <w:noWrap/>
            <w:vAlign w:val="center"/>
            <w:hideMark/>
          </w:tcPr>
          <w:p w14:paraId="09C740E4" w14:textId="6E880E09"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14</w:t>
            </w:r>
            <w:r w:rsidR="00F65BCB">
              <w:rPr>
                <w:rFonts w:asciiTheme="minorBidi" w:hAnsiTheme="minorBidi"/>
                <w:sz w:val="18"/>
                <w:szCs w:val="18"/>
              </w:rPr>
              <w:t xml:space="preserve"> </w:t>
            </w:r>
            <w:r w:rsidRPr="0025144C">
              <w:rPr>
                <w:rFonts w:asciiTheme="minorBidi" w:hAnsiTheme="minorBidi"/>
                <w:sz w:val="18"/>
                <w:szCs w:val="18"/>
              </w:rPr>
              <w:t>362</w:t>
            </w:r>
          </w:p>
        </w:tc>
        <w:tc>
          <w:tcPr>
            <w:tcW w:w="1420" w:type="dxa"/>
            <w:noWrap/>
            <w:vAlign w:val="center"/>
            <w:hideMark/>
          </w:tcPr>
          <w:p w14:paraId="3C1126EC" w14:textId="3C47370E"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17</w:t>
            </w:r>
            <w:r w:rsidR="00F65BCB">
              <w:rPr>
                <w:rFonts w:asciiTheme="minorBidi" w:hAnsiTheme="minorBidi"/>
                <w:sz w:val="18"/>
                <w:szCs w:val="18"/>
              </w:rPr>
              <w:t xml:space="preserve"> </w:t>
            </w:r>
            <w:r w:rsidRPr="0025144C">
              <w:rPr>
                <w:rFonts w:asciiTheme="minorBidi" w:hAnsiTheme="minorBidi"/>
                <w:sz w:val="18"/>
                <w:szCs w:val="18"/>
              </w:rPr>
              <w:t>860</w:t>
            </w:r>
          </w:p>
        </w:tc>
        <w:tc>
          <w:tcPr>
            <w:tcW w:w="1420" w:type="dxa"/>
            <w:noWrap/>
            <w:vAlign w:val="center"/>
            <w:hideMark/>
          </w:tcPr>
          <w:p w14:paraId="790EF922" w14:textId="15F30716"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21</w:t>
            </w:r>
            <w:r w:rsidR="00F65BCB">
              <w:rPr>
                <w:rFonts w:asciiTheme="minorBidi" w:hAnsiTheme="minorBidi"/>
                <w:sz w:val="18"/>
                <w:szCs w:val="18"/>
              </w:rPr>
              <w:t xml:space="preserve"> </w:t>
            </w:r>
            <w:r w:rsidRPr="0025144C">
              <w:rPr>
                <w:rFonts w:asciiTheme="minorBidi" w:hAnsiTheme="minorBidi"/>
                <w:sz w:val="18"/>
                <w:szCs w:val="18"/>
              </w:rPr>
              <w:t>657</w:t>
            </w:r>
          </w:p>
        </w:tc>
        <w:tc>
          <w:tcPr>
            <w:tcW w:w="1420" w:type="dxa"/>
            <w:noWrap/>
            <w:vAlign w:val="center"/>
            <w:hideMark/>
          </w:tcPr>
          <w:p w14:paraId="4E787F8B" w14:textId="31D2231C"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25</w:t>
            </w:r>
            <w:r w:rsidR="00F65BCB">
              <w:rPr>
                <w:rFonts w:asciiTheme="minorBidi" w:hAnsiTheme="minorBidi"/>
                <w:sz w:val="18"/>
                <w:szCs w:val="18"/>
              </w:rPr>
              <w:t xml:space="preserve"> </w:t>
            </w:r>
            <w:r w:rsidRPr="0025144C">
              <w:rPr>
                <w:rFonts w:asciiTheme="minorBidi" w:hAnsiTheme="minorBidi"/>
                <w:sz w:val="18"/>
                <w:szCs w:val="18"/>
              </w:rPr>
              <w:t>775</w:t>
            </w:r>
          </w:p>
        </w:tc>
        <w:tc>
          <w:tcPr>
            <w:tcW w:w="1420" w:type="dxa"/>
            <w:noWrap/>
            <w:vAlign w:val="center"/>
            <w:hideMark/>
          </w:tcPr>
          <w:p w14:paraId="7FC1CA70" w14:textId="563A2301"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32</w:t>
            </w:r>
            <w:r w:rsidR="00F65BCB">
              <w:rPr>
                <w:rFonts w:asciiTheme="minorBidi" w:hAnsiTheme="minorBidi"/>
                <w:sz w:val="18"/>
                <w:szCs w:val="18"/>
              </w:rPr>
              <w:t xml:space="preserve"> </w:t>
            </w:r>
            <w:r w:rsidRPr="0025144C">
              <w:rPr>
                <w:rFonts w:asciiTheme="minorBidi" w:hAnsiTheme="minorBidi"/>
                <w:sz w:val="18"/>
                <w:szCs w:val="18"/>
              </w:rPr>
              <w:t>178</w:t>
            </w:r>
          </w:p>
        </w:tc>
        <w:tc>
          <w:tcPr>
            <w:tcW w:w="1420" w:type="dxa"/>
            <w:noWrap/>
            <w:vAlign w:val="center"/>
            <w:hideMark/>
          </w:tcPr>
          <w:p w14:paraId="48802DD0" w14:textId="194FD74E"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26</w:t>
            </w:r>
            <w:r w:rsidR="00F65BCB">
              <w:rPr>
                <w:rFonts w:asciiTheme="minorBidi" w:hAnsiTheme="minorBidi"/>
                <w:sz w:val="18"/>
                <w:szCs w:val="18"/>
              </w:rPr>
              <w:t xml:space="preserve"> </w:t>
            </w:r>
            <w:r w:rsidRPr="0025144C">
              <w:rPr>
                <w:rFonts w:asciiTheme="minorBidi" w:hAnsiTheme="minorBidi"/>
                <w:sz w:val="18"/>
                <w:szCs w:val="18"/>
              </w:rPr>
              <w:t>040</w:t>
            </w:r>
          </w:p>
        </w:tc>
        <w:tc>
          <w:tcPr>
            <w:tcW w:w="320" w:type="dxa"/>
            <w:noWrap/>
            <w:vAlign w:val="center"/>
            <w:hideMark/>
          </w:tcPr>
          <w:p w14:paraId="786A599A"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22FC6F5E"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59%</w:t>
            </w:r>
          </w:p>
        </w:tc>
        <w:tc>
          <w:tcPr>
            <w:tcW w:w="385" w:type="dxa"/>
            <w:noWrap/>
            <w:vAlign w:val="center"/>
            <w:hideMark/>
          </w:tcPr>
          <w:p w14:paraId="49493DE4" w14:textId="77777777" w:rsidR="00F72778" w:rsidRPr="0025144C" w:rsidRDefault="00F72778" w:rsidP="0025144C">
            <w:pPr>
              <w:spacing w:before="0" w:after="0" w:line="240" w:lineRule="auto"/>
              <w:jc w:val="right"/>
              <w:rPr>
                <w:rFonts w:asciiTheme="minorBidi" w:hAnsiTheme="minorBidi"/>
                <w:color w:val="00B0F0"/>
                <w:sz w:val="18"/>
                <w:szCs w:val="18"/>
              </w:rPr>
            </w:pPr>
          </w:p>
        </w:tc>
        <w:tc>
          <w:tcPr>
            <w:tcW w:w="1165" w:type="dxa"/>
            <w:shd w:val="clear" w:color="auto" w:fill="E5E5E5" w:themeFill="background2" w:themeFillShade="E6"/>
            <w:noWrap/>
            <w:vAlign w:val="center"/>
            <w:hideMark/>
          </w:tcPr>
          <w:p w14:paraId="19D83E61"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46%</w:t>
            </w:r>
          </w:p>
        </w:tc>
      </w:tr>
      <w:tr w:rsidR="00F72778" w:rsidRPr="0025144C" w14:paraId="56BCCB85" w14:textId="77777777" w:rsidTr="009364B5">
        <w:trPr>
          <w:trHeight w:val="300"/>
        </w:trPr>
        <w:tc>
          <w:tcPr>
            <w:tcW w:w="2335" w:type="dxa"/>
            <w:noWrap/>
            <w:vAlign w:val="center"/>
            <w:hideMark/>
          </w:tcPr>
          <w:p w14:paraId="3332E4C1" w14:textId="77777777" w:rsidR="00F72778" w:rsidRPr="0025144C" w:rsidRDefault="00F72778" w:rsidP="0025144C">
            <w:pPr>
              <w:spacing w:before="0" w:after="0" w:line="240" w:lineRule="auto"/>
              <w:rPr>
                <w:rFonts w:asciiTheme="minorBidi" w:hAnsiTheme="minorBidi"/>
                <w:b/>
                <w:sz w:val="18"/>
                <w:szCs w:val="18"/>
              </w:rPr>
            </w:pPr>
            <w:r w:rsidRPr="0025144C">
              <w:rPr>
                <w:rFonts w:asciiTheme="minorBidi" w:hAnsiTheme="minorBidi"/>
                <w:b/>
                <w:sz w:val="18"/>
                <w:szCs w:val="18"/>
              </w:rPr>
              <w:t>Välisturistid EESTI, sh</w:t>
            </w:r>
          </w:p>
        </w:tc>
        <w:tc>
          <w:tcPr>
            <w:tcW w:w="1420" w:type="dxa"/>
            <w:noWrap/>
            <w:vAlign w:val="center"/>
            <w:hideMark/>
          </w:tcPr>
          <w:p w14:paraId="427E9528" w14:textId="33CD45F6"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w:t>
            </w:r>
            <w:r w:rsidR="00F65BCB">
              <w:rPr>
                <w:rFonts w:asciiTheme="minorBidi" w:hAnsiTheme="minorBidi"/>
                <w:sz w:val="18"/>
                <w:szCs w:val="18"/>
              </w:rPr>
              <w:t xml:space="preserve"> </w:t>
            </w:r>
            <w:r w:rsidRPr="0025144C">
              <w:rPr>
                <w:rFonts w:asciiTheme="minorBidi" w:hAnsiTheme="minorBidi"/>
                <w:sz w:val="18"/>
                <w:szCs w:val="18"/>
              </w:rPr>
              <w:t>027</w:t>
            </w:r>
            <w:r w:rsidR="00F65BCB">
              <w:rPr>
                <w:rFonts w:asciiTheme="minorBidi" w:hAnsiTheme="minorBidi"/>
                <w:sz w:val="18"/>
                <w:szCs w:val="18"/>
              </w:rPr>
              <w:t xml:space="preserve"> </w:t>
            </w:r>
            <w:r w:rsidRPr="0025144C">
              <w:rPr>
                <w:rFonts w:asciiTheme="minorBidi" w:hAnsiTheme="minorBidi"/>
                <w:sz w:val="18"/>
                <w:szCs w:val="18"/>
              </w:rPr>
              <w:t>905</w:t>
            </w:r>
          </w:p>
        </w:tc>
        <w:tc>
          <w:tcPr>
            <w:tcW w:w="1420" w:type="dxa"/>
            <w:noWrap/>
            <w:vAlign w:val="center"/>
            <w:hideMark/>
          </w:tcPr>
          <w:p w14:paraId="0D2CFF98" w14:textId="759B4204"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w:t>
            </w:r>
            <w:r w:rsidR="00F65BCB">
              <w:rPr>
                <w:rFonts w:asciiTheme="minorBidi" w:hAnsiTheme="minorBidi"/>
                <w:sz w:val="18"/>
                <w:szCs w:val="18"/>
              </w:rPr>
              <w:t xml:space="preserve"> </w:t>
            </w:r>
            <w:r w:rsidRPr="0025144C">
              <w:rPr>
                <w:rFonts w:asciiTheme="minorBidi" w:hAnsiTheme="minorBidi"/>
                <w:sz w:val="18"/>
                <w:szCs w:val="18"/>
              </w:rPr>
              <w:t>212</w:t>
            </w:r>
            <w:r w:rsidR="00F65BCB">
              <w:rPr>
                <w:rFonts w:asciiTheme="minorBidi" w:hAnsiTheme="minorBidi"/>
                <w:sz w:val="18"/>
                <w:szCs w:val="18"/>
              </w:rPr>
              <w:t xml:space="preserve"> </w:t>
            </w:r>
            <w:r w:rsidRPr="0025144C">
              <w:rPr>
                <w:rFonts w:asciiTheme="minorBidi" w:hAnsiTheme="minorBidi"/>
                <w:sz w:val="18"/>
                <w:szCs w:val="18"/>
              </w:rPr>
              <w:t>449</w:t>
            </w:r>
          </w:p>
        </w:tc>
        <w:tc>
          <w:tcPr>
            <w:tcW w:w="1420" w:type="dxa"/>
            <w:noWrap/>
            <w:vAlign w:val="center"/>
            <w:hideMark/>
          </w:tcPr>
          <w:p w14:paraId="12561874" w14:textId="250F0C94"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434</w:t>
            </w:r>
            <w:r w:rsidR="00F65BCB">
              <w:rPr>
                <w:rFonts w:asciiTheme="minorBidi" w:hAnsiTheme="minorBidi"/>
                <w:sz w:val="18"/>
                <w:szCs w:val="18"/>
              </w:rPr>
              <w:t xml:space="preserve"> </w:t>
            </w:r>
            <w:r w:rsidRPr="0025144C">
              <w:rPr>
                <w:rFonts w:asciiTheme="minorBidi" w:hAnsiTheme="minorBidi"/>
                <w:sz w:val="18"/>
                <w:szCs w:val="18"/>
              </w:rPr>
              <w:t>563</w:t>
            </w:r>
          </w:p>
        </w:tc>
        <w:tc>
          <w:tcPr>
            <w:tcW w:w="1420" w:type="dxa"/>
            <w:noWrap/>
            <w:vAlign w:val="center"/>
            <w:hideMark/>
          </w:tcPr>
          <w:p w14:paraId="0BF4D064" w14:textId="4F1BCAF1"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369</w:t>
            </w:r>
            <w:r w:rsidR="00F65BCB">
              <w:rPr>
                <w:rFonts w:asciiTheme="minorBidi" w:hAnsiTheme="minorBidi"/>
                <w:sz w:val="18"/>
                <w:szCs w:val="18"/>
              </w:rPr>
              <w:t xml:space="preserve"> </w:t>
            </w:r>
            <w:r w:rsidRPr="0025144C">
              <w:rPr>
                <w:rFonts w:asciiTheme="minorBidi" w:hAnsiTheme="minorBidi"/>
                <w:sz w:val="18"/>
                <w:szCs w:val="18"/>
              </w:rPr>
              <w:t>022</w:t>
            </w:r>
          </w:p>
        </w:tc>
        <w:tc>
          <w:tcPr>
            <w:tcW w:w="1420" w:type="dxa"/>
            <w:noWrap/>
            <w:vAlign w:val="center"/>
            <w:hideMark/>
          </w:tcPr>
          <w:p w14:paraId="49EB5349" w14:textId="188E76FA"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783</w:t>
            </w:r>
            <w:r w:rsidR="00F65BCB">
              <w:rPr>
                <w:rFonts w:asciiTheme="minorBidi" w:hAnsiTheme="minorBidi"/>
                <w:sz w:val="18"/>
                <w:szCs w:val="18"/>
              </w:rPr>
              <w:t xml:space="preserve"> </w:t>
            </w:r>
            <w:r w:rsidRPr="0025144C">
              <w:rPr>
                <w:rFonts w:asciiTheme="minorBidi" w:hAnsiTheme="minorBidi"/>
                <w:sz w:val="18"/>
                <w:szCs w:val="18"/>
              </w:rPr>
              <w:t>443</w:t>
            </w:r>
          </w:p>
        </w:tc>
        <w:tc>
          <w:tcPr>
            <w:tcW w:w="1420" w:type="dxa"/>
            <w:noWrap/>
            <w:vAlign w:val="center"/>
            <w:hideMark/>
          </w:tcPr>
          <w:p w14:paraId="63E6F1E2" w14:textId="6D861D47"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967</w:t>
            </w:r>
            <w:r w:rsidR="00F65BCB">
              <w:rPr>
                <w:rFonts w:asciiTheme="minorBidi" w:hAnsiTheme="minorBidi"/>
                <w:sz w:val="18"/>
                <w:szCs w:val="18"/>
              </w:rPr>
              <w:t xml:space="preserve"> </w:t>
            </w:r>
            <w:r w:rsidRPr="0025144C">
              <w:rPr>
                <w:rFonts w:asciiTheme="minorBidi" w:hAnsiTheme="minorBidi"/>
                <w:sz w:val="18"/>
                <w:szCs w:val="18"/>
              </w:rPr>
              <w:t>710</w:t>
            </w:r>
          </w:p>
        </w:tc>
        <w:tc>
          <w:tcPr>
            <w:tcW w:w="320" w:type="dxa"/>
            <w:noWrap/>
            <w:vAlign w:val="center"/>
            <w:hideMark/>
          </w:tcPr>
          <w:p w14:paraId="2DDA4731"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29E9DF58"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65%</w:t>
            </w:r>
          </w:p>
        </w:tc>
        <w:tc>
          <w:tcPr>
            <w:tcW w:w="385" w:type="dxa"/>
            <w:noWrap/>
            <w:vAlign w:val="center"/>
            <w:hideMark/>
          </w:tcPr>
          <w:p w14:paraId="0C2A03D2" w14:textId="77777777" w:rsidR="00F72778" w:rsidRPr="0025144C" w:rsidRDefault="00F72778" w:rsidP="0025144C">
            <w:pPr>
              <w:spacing w:before="0" w:after="0" w:line="240" w:lineRule="auto"/>
              <w:jc w:val="right"/>
              <w:rPr>
                <w:rFonts w:asciiTheme="minorBidi" w:hAnsiTheme="minorBidi"/>
                <w:color w:val="FF0000"/>
                <w:sz w:val="18"/>
                <w:szCs w:val="18"/>
              </w:rPr>
            </w:pPr>
          </w:p>
        </w:tc>
        <w:tc>
          <w:tcPr>
            <w:tcW w:w="1165" w:type="dxa"/>
            <w:shd w:val="clear" w:color="auto" w:fill="E5E5E5" w:themeFill="background2" w:themeFillShade="E6"/>
            <w:noWrap/>
            <w:vAlign w:val="center"/>
            <w:hideMark/>
          </w:tcPr>
          <w:p w14:paraId="42E14264" w14:textId="77777777" w:rsidR="00F72778" w:rsidRPr="0025144C" w:rsidRDefault="00F72778" w:rsidP="0025144C">
            <w:pPr>
              <w:spacing w:before="0" w:after="0" w:line="240" w:lineRule="auto"/>
              <w:jc w:val="right"/>
              <w:rPr>
                <w:rFonts w:asciiTheme="minorBidi" w:hAnsiTheme="minorBidi"/>
                <w:color w:val="FF0000"/>
                <w:sz w:val="18"/>
                <w:szCs w:val="18"/>
              </w:rPr>
            </w:pPr>
            <w:r w:rsidRPr="0025144C">
              <w:rPr>
                <w:rFonts w:asciiTheme="minorBidi" w:hAnsiTheme="minorBidi"/>
                <w:color w:val="FF0000"/>
                <w:sz w:val="18"/>
                <w:szCs w:val="18"/>
              </w:rPr>
              <w:t>-20%</w:t>
            </w:r>
          </w:p>
        </w:tc>
      </w:tr>
      <w:tr w:rsidR="00F72778" w:rsidRPr="0025144C" w14:paraId="35FD867B" w14:textId="77777777" w:rsidTr="009364B5">
        <w:trPr>
          <w:trHeight w:val="300"/>
        </w:trPr>
        <w:tc>
          <w:tcPr>
            <w:tcW w:w="2335" w:type="dxa"/>
            <w:noWrap/>
            <w:vAlign w:val="center"/>
            <w:hideMark/>
          </w:tcPr>
          <w:p w14:paraId="23D89B50"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Põhja-Eesti</w:t>
            </w:r>
          </w:p>
        </w:tc>
        <w:tc>
          <w:tcPr>
            <w:tcW w:w="1420" w:type="dxa"/>
            <w:noWrap/>
            <w:vAlign w:val="center"/>
            <w:hideMark/>
          </w:tcPr>
          <w:p w14:paraId="47CB186A" w14:textId="199FC52A"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749</w:t>
            </w:r>
            <w:r w:rsidR="00F65BCB">
              <w:rPr>
                <w:rFonts w:asciiTheme="minorBidi" w:hAnsiTheme="minorBidi"/>
                <w:sz w:val="18"/>
                <w:szCs w:val="18"/>
              </w:rPr>
              <w:t xml:space="preserve"> </w:t>
            </w:r>
            <w:r w:rsidRPr="0025144C">
              <w:rPr>
                <w:rFonts w:asciiTheme="minorBidi" w:hAnsiTheme="minorBidi"/>
                <w:sz w:val="18"/>
                <w:szCs w:val="18"/>
              </w:rPr>
              <w:t>955</w:t>
            </w:r>
          </w:p>
        </w:tc>
        <w:tc>
          <w:tcPr>
            <w:tcW w:w="1420" w:type="dxa"/>
            <w:noWrap/>
            <w:vAlign w:val="center"/>
            <w:hideMark/>
          </w:tcPr>
          <w:p w14:paraId="557477DE" w14:textId="4F94DD41"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893</w:t>
            </w:r>
            <w:r w:rsidR="00F65BCB">
              <w:rPr>
                <w:rFonts w:asciiTheme="minorBidi" w:hAnsiTheme="minorBidi"/>
                <w:sz w:val="18"/>
                <w:szCs w:val="18"/>
              </w:rPr>
              <w:t xml:space="preserve"> </w:t>
            </w:r>
            <w:r w:rsidRPr="0025144C">
              <w:rPr>
                <w:rFonts w:asciiTheme="minorBidi" w:hAnsiTheme="minorBidi"/>
                <w:sz w:val="18"/>
                <w:szCs w:val="18"/>
              </w:rPr>
              <w:t>524</w:t>
            </w:r>
          </w:p>
        </w:tc>
        <w:tc>
          <w:tcPr>
            <w:tcW w:w="1420" w:type="dxa"/>
            <w:noWrap/>
            <w:vAlign w:val="center"/>
            <w:hideMark/>
          </w:tcPr>
          <w:p w14:paraId="702765EC" w14:textId="13E42703"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290</w:t>
            </w:r>
            <w:r w:rsidR="00F65BCB">
              <w:rPr>
                <w:rFonts w:asciiTheme="minorBidi" w:hAnsiTheme="minorBidi"/>
                <w:sz w:val="18"/>
                <w:szCs w:val="18"/>
              </w:rPr>
              <w:t xml:space="preserve"> </w:t>
            </w:r>
            <w:r w:rsidRPr="0025144C">
              <w:rPr>
                <w:rFonts w:asciiTheme="minorBidi" w:hAnsiTheme="minorBidi"/>
                <w:sz w:val="18"/>
                <w:szCs w:val="18"/>
              </w:rPr>
              <w:t>964</w:t>
            </w:r>
          </w:p>
        </w:tc>
        <w:tc>
          <w:tcPr>
            <w:tcW w:w="1420" w:type="dxa"/>
            <w:noWrap/>
            <w:vAlign w:val="center"/>
            <w:hideMark/>
          </w:tcPr>
          <w:p w14:paraId="327E0C9D" w14:textId="0C8341F1"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253</w:t>
            </w:r>
            <w:r w:rsidR="00F65BCB">
              <w:rPr>
                <w:rFonts w:asciiTheme="minorBidi" w:hAnsiTheme="minorBidi"/>
                <w:sz w:val="18"/>
                <w:szCs w:val="18"/>
              </w:rPr>
              <w:t xml:space="preserve"> </w:t>
            </w:r>
            <w:r w:rsidRPr="0025144C">
              <w:rPr>
                <w:rFonts w:asciiTheme="minorBidi" w:hAnsiTheme="minorBidi"/>
                <w:sz w:val="18"/>
                <w:szCs w:val="18"/>
              </w:rPr>
              <w:t>774</w:t>
            </w:r>
          </w:p>
        </w:tc>
        <w:tc>
          <w:tcPr>
            <w:tcW w:w="1420" w:type="dxa"/>
            <w:noWrap/>
            <w:vAlign w:val="center"/>
            <w:hideMark/>
          </w:tcPr>
          <w:p w14:paraId="28B6C2DF" w14:textId="76FCD021"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523</w:t>
            </w:r>
            <w:r w:rsidR="00F65BCB">
              <w:rPr>
                <w:rFonts w:asciiTheme="minorBidi" w:hAnsiTheme="minorBidi"/>
                <w:sz w:val="18"/>
                <w:szCs w:val="18"/>
              </w:rPr>
              <w:t xml:space="preserve"> </w:t>
            </w:r>
            <w:r w:rsidRPr="0025144C">
              <w:rPr>
                <w:rFonts w:asciiTheme="minorBidi" w:hAnsiTheme="minorBidi"/>
                <w:sz w:val="18"/>
                <w:szCs w:val="18"/>
              </w:rPr>
              <w:t>332</w:t>
            </w:r>
          </w:p>
        </w:tc>
        <w:tc>
          <w:tcPr>
            <w:tcW w:w="1420" w:type="dxa"/>
            <w:noWrap/>
            <w:vAlign w:val="center"/>
            <w:hideMark/>
          </w:tcPr>
          <w:p w14:paraId="065EA4B4" w14:textId="5CAE424F"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644</w:t>
            </w:r>
            <w:r w:rsidR="00F65BCB">
              <w:rPr>
                <w:rFonts w:asciiTheme="minorBidi" w:hAnsiTheme="minorBidi"/>
                <w:sz w:val="18"/>
                <w:szCs w:val="18"/>
              </w:rPr>
              <w:t xml:space="preserve"> </w:t>
            </w:r>
            <w:r w:rsidRPr="0025144C">
              <w:rPr>
                <w:rFonts w:asciiTheme="minorBidi" w:hAnsiTheme="minorBidi"/>
                <w:sz w:val="18"/>
                <w:szCs w:val="18"/>
              </w:rPr>
              <w:t>045</w:t>
            </w:r>
          </w:p>
        </w:tc>
        <w:tc>
          <w:tcPr>
            <w:tcW w:w="320" w:type="dxa"/>
            <w:noWrap/>
            <w:vAlign w:val="center"/>
            <w:hideMark/>
          </w:tcPr>
          <w:p w14:paraId="77E15000"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19C6FC33"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82%</w:t>
            </w:r>
          </w:p>
        </w:tc>
        <w:tc>
          <w:tcPr>
            <w:tcW w:w="385" w:type="dxa"/>
            <w:noWrap/>
            <w:vAlign w:val="center"/>
            <w:hideMark/>
          </w:tcPr>
          <w:p w14:paraId="01C5EF19" w14:textId="77777777" w:rsidR="00F72778" w:rsidRPr="0025144C" w:rsidRDefault="00F72778" w:rsidP="0025144C">
            <w:pPr>
              <w:spacing w:before="0" w:after="0" w:line="240" w:lineRule="auto"/>
              <w:jc w:val="right"/>
              <w:rPr>
                <w:rFonts w:asciiTheme="minorBidi" w:hAnsiTheme="minorBidi"/>
                <w:color w:val="00B0F0"/>
                <w:sz w:val="18"/>
                <w:szCs w:val="18"/>
              </w:rPr>
            </w:pPr>
          </w:p>
        </w:tc>
        <w:tc>
          <w:tcPr>
            <w:tcW w:w="1165" w:type="dxa"/>
            <w:shd w:val="clear" w:color="auto" w:fill="E5E5E5" w:themeFill="background2" w:themeFillShade="E6"/>
            <w:noWrap/>
            <w:vAlign w:val="center"/>
            <w:hideMark/>
          </w:tcPr>
          <w:p w14:paraId="217238E6" w14:textId="77777777" w:rsidR="00F72778" w:rsidRPr="0025144C" w:rsidRDefault="00F72778" w:rsidP="0025144C">
            <w:pPr>
              <w:spacing w:before="0" w:after="0" w:line="240" w:lineRule="auto"/>
              <w:jc w:val="right"/>
              <w:rPr>
                <w:rFonts w:asciiTheme="minorBidi" w:hAnsiTheme="minorBidi"/>
                <w:color w:val="FF0000"/>
                <w:sz w:val="18"/>
                <w:szCs w:val="18"/>
              </w:rPr>
            </w:pPr>
            <w:r w:rsidRPr="0025144C">
              <w:rPr>
                <w:rFonts w:asciiTheme="minorBidi" w:hAnsiTheme="minorBidi"/>
                <w:color w:val="FF0000"/>
                <w:sz w:val="18"/>
                <w:szCs w:val="18"/>
              </w:rPr>
              <w:t>-28%</w:t>
            </w:r>
          </w:p>
        </w:tc>
      </w:tr>
      <w:tr w:rsidR="00F72778" w:rsidRPr="0025144C" w14:paraId="4292B8DD" w14:textId="77777777" w:rsidTr="009364B5">
        <w:trPr>
          <w:trHeight w:val="300"/>
        </w:trPr>
        <w:tc>
          <w:tcPr>
            <w:tcW w:w="2335" w:type="dxa"/>
            <w:noWrap/>
            <w:vAlign w:val="center"/>
            <w:hideMark/>
          </w:tcPr>
          <w:p w14:paraId="5A1CECA1"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Lääne-Eesti</w:t>
            </w:r>
          </w:p>
        </w:tc>
        <w:tc>
          <w:tcPr>
            <w:tcW w:w="1420" w:type="dxa"/>
            <w:noWrap/>
            <w:vAlign w:val="center"/>
            <w:hideMark/>
          </w:tcPr>
          <w:p w14:paraId="22AED56D" w14:textId="46E4E062"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169</w:t>
            </w:r>
            <w:r w:rsidR="00F65BCB">
              <w:rPr>
                <w:rFonts w:asciiTheme="minorBidi" w:hAnsiTheme="minorBidi"/>
                <w:sz w:val="18"/>
                <w:szCs w:val="18"/>
              </w:rPr>
              <w:t xml:space="preserve"> </w:t>
            </w:r>
            <w:r w:rsidRPr="0025144C">
              <w:rPr>
                <w:rFonts w:asciiTheme="minorBidi" w:hAnsiTheme="minorBidi"/>
                <w:sz w:val="18"/>
                <w:szCs w:val="18"/>
              </w:rPr>
              <w:t>166</w:t>
            </w:r>
          </w:p>
        </w:tc>
        <w:tc>
          <w:tcPr>
            <w:tcW w:w="1420" w:type="dxa"/>
            <w:noWrap/>
            <w:vAlign w:val="center"/>
            <w:hideMark/>
          </w:tcPr>
          <w:p w14:paraId="283E7085" w14:textId="4C6BD287"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181</w:t>
            </w:r>
            <w:r w:rsidR="00F65BCB">
              <w:rPr>
                <w:rFonts w:asciiTheme="minorBidi" w:hAnsiTheme="minorBidi"/>
                <w:sz w:val="18"/>
                <w:szCs w:val="18"/>
              </w:rPr>
              <w:t xml:space="preserve"> </w:t>
            </w:r>
            <w:r w:rsidRPr="0025144C">
              <w:rPr>
                <w:rFonts w:asciiTheme="minorBidi" w:hAnsiTheme="minorBidi"/>
                <w:sz w:val="18"/>
                <w:szCs w:val="18"/>
              </w:rPr>
              <w:t>870</w:t>
            </w:r>
          </w:p>
        </w:tc>
        <w:tc>
          <w:tcPr>
            <w:tcW w:w="1420" w:type="dxa"/>
            <w:noWrap/>
            <w:vAlign w:val="center"/>
            <w:hideMark/>
          </w:tcPr>
          <w:p w14:paraId="7E6F6173" w14:textId="25B20EBC"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82</w:t>
            </w:r>
            <w:r w:rsidR="00F65BCB">
              <w:rPr>
                <w:rFonts w:asciiTheme="minorBidi" w:hAnsiTheme="minorBidi"/>
                <w:sz w:val="18"/>
                <w:szCs w:val="18"/>
              </w:rPr>
              <w:t xml:space="preserve"> </w:t>
            </w:r>
            <w:r w:rsidRPr="0025144C">
              <w:rPr>
                <w:rFonts w:asciiTheme="minorBidi" w:hAnsiTheme="minorBidi"/>
                <w:sz w:val="18"/>
                <w:szCs w:val="18"/>
              </w:rPr>
              <w:t>840</w:t>
            </w:r>
          </w:p>
        </w:tc>
        <w:tc>
          <w:tcPr>
            <w:tcW w:w="1420" w:type="dxa"/>
            <w:noWrap/>
            <w:vAlign w:val="center"/>
            <w:hideMark/>
          </w:tcPr>
          <w:p w14:paraId="11FA6F64" w14:textId="0D652EE2"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60</w:t>
            </w:r>
            <w:r w:rsidR="00F65BCB">
              <w:rPr>
                <w:rFonts w:asciiTheme="minorBidi" w:hAnsiTheme="minorBidi"/>
                <w:sz w:val="18"/>
                <w:szCs w:val="18"/>
              </w:rPr>
              <w:t xml:space="preserve"> </w:t>
            </w:r>
            <w:r w:rsidRPr="0025144C">
              <w:rPr>
                <w:rFonts w:asciiTheme="minorBidi" w:hAnsiTheme="minorBidi"/>
                <w:sz w:val="18"/>
                <w:szCs w:val="18"/>
              </w:rPr>
              <w:t>999</w:t>
            </w:r>
          </w:p>
        </w:tc>
        <w:tc>
          <w:tcPr>
            <w:tcW w:w="1420" w:type="dxa"/>
            <w:noWrap/>
            <w:vAlign w:val="center"/>
            <w:hideMark/>
          </w:tcPr>
          <w:p w14:paraId="4F90177C" w14:textId="6FFD5349"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140</w:t>
            </w:r>
            <w:r w:rsidR="00F65BCB">
              <w:rPr>
                <w:rFonts w:asciiTheme="minorBidi" w:hAnsiTheme="minorBidi"/>
                <w:sz w:val="18"/>
                <w:szCs w:val="18"/>
              </w:rPr>
              <w:t xml:space="preserve"> </w:t>
            </w:r>
            <w:r w:rsidRPr="0025144C">
              <w:rPr>
                <w:rFonts w:asciiTheme="minorBidi" w:hAnsiTheme="minorBidi"/>
                <w:sz w:val="18"/>
                <w:szCs w:val="18"/>
              </w:rPr>
              <w:t>918</w:t>
            </w:r>
          </w:p>
        </w:tc>
        <w:tc>
          <w:tcPr>
            <w:tcW w:w="1420" w:type="dxa"/>
            <w:noWrap/>
            <w:vAlign w:val="center"/>
            <w:hideMark/>
          </w:tcPr>
          <w:p w14:paraId="65E1C6D0" w14:textId="604935BB"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182</w:t>
            </w:r>
            <w:r w:rsidR="00F65BCB">
              <w:rPr>
                <w:rFonts w:asciiTheme="minorBidi" w:hAnsiTheme="minorBidi"/>
                <w:sz w:val="18"/>
                <w:szCs w:val="18"/>
              </w:rPr>
              <w:t xml:space="preserve"> </w:t>
            </w:r>
            <w:r w:rsidRPr="0025144C">
              <w:rPr>
                <w:rFonts w:asciiTheme="minorBidi" w:hAnsiTheme="minorBidi"/>
                <w:sz w:val="18"/>
                <w:szCs w:val="18"/>
              </w:rPr>
              <w:t>468</w:t>
            </w:r>
          </w:p>
        </w:tc>
        <w:tc>
          <w:tcPr>
            <w:tcW w:w="320" w:type="dxa"/>
            <w:noWrap/>
            <w:vAlign w:val="center"/>
            <w:hideMark/>
          </w:tcPr>
          <w:p w14:paraId="21950071"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6C3EB196"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51%</w:t>
            </w:r>
          </w:p>
        </w:tc>
        <w:tc>
          <w:tcPr>
            <w:tcW w:w="385" w:type="dxa"/>
            <w:noWrap/>
            <w:vAlign w:val="center"/>
            <w:hideMark/>
          </w:tcPr>
          <w:p w14:paraId="3C2FACB9" w14:textId="77777777" w:rsidR="00F72778" w:rsidRPr="0025144C" w:rsidRDefault="00F72778" w:rsidP="0025144C">
            <w:pPr>
              <w:spacing w:before="0" w:after="0" w:line="240" w:lineRule="auto"/>
              <w:jc w:val="right"/>
              <w:rPr>
                <w:rFonts w:asciiTheme="minorBidi" w:hAnsiTheme="minorBidi"/>
                <w:color w:val="00B0F0"/>
                <w:sz w:val="18"/>
                <w:szCs w:val="18"/>
              </w:rPr>
            </w:pPr>
          </w:p>
        </w:tc>
        <w:tc>
          <w:tcPr>
            <w:tcW w:w="1165" w:type="dxa"/>
            <w:shd w:val="clear" w:color="auto" w:fill="E5E5E5" w:themeFill="background2" w:themeFillShade="E6"/>
            <w:noWrap/>
            <w:vAlign w:val="center"/>
            <w:hideMark/>
          </w:tcPr>
          <w:p w14:paraId="0C01F7F9" w14:textId="77777777" w:rsidR="00F72778" w:rsidRPr="0025144C" w:rsidRDefault="00F72778" w:rsidP="0025144C">
            <w:pPr>
              <w:spacing w:before="0" w:after="0" w:line="240" w:lineRule="auto"/>
              <w:jc w:val="right"/>
              <w:rPr>
                <w:rFonts w:asciiTheme="minorBidi" w:hAnsiTheme="minorBidi"/>
                <w:color w:val="FF0000"/>
                <w:sz w:val="18"/>
                <w:szCs w:val="18"/>
              </w:rPr>
            </w:pPr>
            <w:r w:rsidRPr="0025144C">
              <w:rPr>
                <w:rFonts w:asciiTheme="minorBidi" w:hAnsiTheme="minorBidi"/>
                <w:color w:val="FF0000"/>
                <w:sz w:val="18"/>
                <w:szCs w:val="18"/>
              </w:rPr>
              <w:t>0%</w:t>
            </w:r>
          </w:p>
        </w:tc>
      </w:tr>
      <w:tr w:rsidR="00F72778" w:rsidRPr="0025144C" w14:paraId="315EDA08" w14:textId="77777777" w:rsidTr="009364B5">
        <w:trPr>
          <w:trHeight w:val="300"/>
        </w:trPr>
        <w:tc>
          <w:tcPr>
            <w:tcW w:w="2335" w:type="dxa"/>
            <w:noWrap/>
            <w:vAlign w:val="center"/>
            <w:hideMark/>
          </w:tcPr>
          <w:p w14:paraId="11CAD2F9"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Lõuna-Eesti</w:t>
            </w:r>
          </w:p>
        </w:tc>
        <w:tc>
          <w:tcPr>
            <w:tcW w:w="1420" w:type="dxa"/>
            <w:noWrap/>
            <w:vAlign w:val="center"/>
            <w:hideMark/>
          </w:tcPr>
          <w:p w14:paraId="2D0C6862" w14:textId="3C4E6B5E"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71</w:t>
            </w:r>
            <w:r w:rsidR="00F65BCB">
              <w:rPr>
                <w:rFonts w:asciiTheme="minorBidi" w:hAnsiTheme="minorBidi"/>
                <w:sz w:val="18"/>
                <w:szCs w:val="18"/>
              </w:rPr>
              <w:t xml:space="preserve"> </w:t>
            </w:r>
            <w:r w:rsidRPr="0025144C">
              <w:rPr>
                <w:rFonts w:asciiTheme="minorBidi" w:hAnsiTheme="minorBidi"/>
                <w:sz w:val="18"/>
                <w:szCs w:val="18"/>
              </w:rPr>
              <w:t>823</w:t>
            </w:r>
          </w:p>
        </w:tc>
        <w:tc>
          <w:tcPr>
            <w:tcW w:w="1420" w:type="dxa"/>
            <w:noWrap/>
            <w:vAlign w:val="center"/>
            <w:hideMark/>
          </w:tcPr>
          <w:p w14:paraId="500D4DD8" w14:textId="06209BEF"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94</w:t>
            </w:r>
            <w:r w:rsidR="00F65BCB">
              <w:rPr>
                <w:rFonts w:asciiTheme="minorBidi" w:hAnsiTheme="minorBidi"/>
                <w:sz w:val="18"/>
                <w:szCs w:val="18"/>
              </w:rPr>
              <w:t xml:space="preserve"> </w:t>
            </w:r>
            <w:r w:rsidRPr="0025144C">
              <w:rPr>
                <w:rFonts w:asciiTheme="minorBidi" w:hAnsiTheme="minorBidi"/>
                <w:sz w:val="18"/>
                <w:szCs w:val="18"/>
              </w:rPr>
              <w:t>205</w:t>
            </w:r>
          </w:p>
        </w:tc>
        <w:tc>
          <w:tcPr>
            <w:tcW w:w="1420" w:type="dxa"/>
            <w:noWrap/>
            <w:vAlign w:val="center"/>
            <w:hideMark/>
          </w:tcPr>
          <w:p w14:paraId="297033EF" w14:textId="33F1DE52"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43</w:t>
            </w:r>
            <w:r w:rsidR="00F65BCB">
              <w:rPr>
                <w:rFonts w:asciiTheme="minorBidi" w:hAnsiTheme="minorBidi"/>
                <w:sz w:val="18"/>
                <w:szCs w:val="18"/>
              </w:rPr>
              <w:t xml:space="preserve"> </w:t>
            </w:r>
            <w:r w:rsidRPr="0025144C">
              <w:rPr>
                <w:rFonts w:asciiTheme="minorBidi" w:hAnsiTheme="minorBidi"/>
                <w:sz w:val="18"/>
                <w:szCs w:val="18"/>
              </w:rPr>
              <w:t>299</w:t>
            </w:r>
          </w:p>
        </w:tc>
        <w:tc>
          <w:tcPr>
            <w:tcW w:w="1420" w:type="dxa"/>
            <w:noWrap/>
            <w:vAlign w:val="center"/>
            <w:hideMark/>
          </w:tcPr>
          <w:p w14:paraId="508510D8" w14:textId="2A2378B7"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41</w:t>
            </w:r>
            <w:r w:rsidR="00F65BCB">
              <w:rPr>
                <w:rFonts w:asciiTheme="minorBidi" w:hAnsiTheme="minorBidi"/>
                <w:sz w:val="18"/>
                <w:szCs w:val="18"/>
              </w:rPr>
              <w:t xml:space="preserve"> </w:t>
            </w:r>
            <w:r w:rsidRPr="0025144C">
              <w:rPr>
                <w:rFonts w:asciiTheme="minorBidi" w:hAnsiTheme="minorBidi"/>
                <w:sz w:val="18"/>
                <w:szCs w:val="18"/>
              </w:rPr>
              <w:t>758</w:t>
            </w:r>
          </w:p>
        </w:tc>
        <w:tc>
          <w:tcPr>
            <w:tcW w:w="1420" w:type="dxa"/>
            <w:noWrap/>
            <w:vAlign w:val="center"/>
            <w:hideMark/>
          </w:tcPr>
          <w:p w14:paraId="1BE41114" w14:textId="3C683150"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85</w:t>
            </w:r>
            <w:r w:rsidR="00F65BCB">
              <w:rPr>
                <w:rFonts w:asciiTheme="minorBidi" w:hAnsiTheme="minorBidi"/>
                <w:sz w:val="18"/>
                <w:szCs w:val="18"/>
              </w:rPr>
              <w:t xml:space="preserve"> </w:t>
            </w:r>
            <w:r w:rsidRPr="0025144C">
              <w:rPr>
                <w:rFonts w:asciiTheme="minorBidi" w:hAnsiTheme="minorBidi"/>
                <w:sz w:val="18"/>
                <w:szCs w:val="18"/>
              </w:rPr>
              <w:t>656</w:t>
            </w:r>
          </w:p>
        </w:tc>
        <w:tc>
          <w:tcPr>
            <w:tcW w:w="1420" w:type="dxa"/>
            <w:noWrap/>
            <w:vAlign w:val="center"/>
            <w:hideMark/>
          </w:tcPr>
          <w:p w14:paraId="176FE13E" w14:textId="0A6DB82F"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108</w:t>
            </w:r>
            <w:r w:rsidR="00F65BCB">
              <w:rPr>
                <w:rFonts w:asciiTheme="minorBidi" w:hAnsiTheme="minorBidi"/>
                <w:sz w:val="18"/>
                <w:szCs w:val="18"/>
              </w:rPr>
              <w:t xml:space="preserve"> </w:t>
            </w:r>
            <w:r w:rsidRPr="0025144C">
              <w:rPr>
                <w:rFonts w:asciiTheme="minorBidi" w:hAnsiTheme="minorBidi"/>
                <w:sz w:val="18"/>
                <w:szCs w:val="18"/>
              </w:rPr>
              <w:t>814</w:t>
            </w:r>
          </w:p>
        </w:tc>
        <w:tc>
          <w:tcPr>
            <w:tcW w:w="320" w:type="dxa"/>
            <w:noWrap/>
            <w:vAlign w:val="center"/>
            <w:hideMark/>
          </w:tcPr>
          <w:p w14:paraId="3A20CB1C"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171CC4DF"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42%</w:t>
            </w:r>
          </w:p>
        </w:tc>
        <w:tc>
          <w:tcPr>
            <w:tcW w:w="385" w:type="dxa"/>
            <w:noWrap/>
            <w:vAlign w:val="center"/>
            <w:hideMark/>
          </w:tcPr>
          <w:p w14:paraId="45B94E5E" w14:textId="77777777" w:rsidR="00F72778" w:rsidRPr="0025144C" w:rsidRDefault="00F72778" w:rsidP="0025144C">
            <w:pPr>
              <w:spacing w:before="0" w:after="0" w:line="240" w:lineRule="auto"/>
              <w:jc w:val="right"/>
              <w:rPr>
                <w:rFonts w:asciiTheme="minorBidi" w:hAnsiTheme="minorBidi"/>
                <w:color w:val="00B0F0"/>
                <w:sz w:val="18"/>
                <w:szCs w:val="18"/>
              </w:rPr>
            </w:pPr>
          </w:p>
        </w:tc>
        <w:tc>
          <w:tcPr>
            <w:tcW w:w="1165" w:type="dxa"/>
            <w:shd w:val="clear" w:color="auto" w:fill="E5E5E5" w:themeFill="background2" w:themeFillShade="E6"/>
            <w:noWrap/>
            <w:vAlign w:val="center"/>
            <w:hideMark/>
          </w:tcPr>
          <w:p w14:paraId="71003E31"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16%</w:t>
            </w:r>
          </w:p>
        </w:tc>
      </w:tr>
      <w:tr w:rsidR="00F72778" w:rsidRPr="0025144C" w14:paraId="27BFF950" w14:textId="77777777" w:rsidTr="009364B5">
        <w:trPr>
          <w:trHeight w:val="300"/>
        </w:trPr>
        <w:tc>
          <w:tcPr>
            <w:tcW w:w="2335" w:type="dxa"/>
            <w:noWrap/>
            <w:vAlign w:val="center"/>
            <w:hideMark/>
          </w:tcPr>
          <w:p w14:paraId="1EDF450B"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Kesk-Eesti</w:t>
            </w:r>
          </w:p>
        </w:tc>
        <w:tc>
          <w:tcPr>
            <w:tcW w:w="1420" w:type="dxa"/>
            <w:noWrap/>
            <w:vAlign w:val="center"/>
            <w:hideMark/>
          </w:tcPr>
          <w:p w14:paraId="76686C31" w14:textId="562F4B89"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11</w:t>
            </w:r>
            <w:r w:rsidR="00F65BCB">
              <w:rPr>
                <w:rFonts w:asciiTheme="minorBidi" w:hAnsiTheme="minorBidi"/>
                <w:sz w:val="18"/>
                <w:szCs w:val="18"/>
              </w:rPr>
              <w:t xml:space="preserve"> </w:t>
            </w:r>
            <w:r w:rsidRPr="0025144C">
              <w:rPr>
                <w:rFonts w:asciiTheme="minorBidi" w:hAnsiTheme="minorBidi"/>
                <w:sz w:val="18"/>
                <w:szCs w:val="18"/>
              </w:rPr>
              <w:t>150</w:t>
            </w:r>
          </w:p>
        </w:tc>
        <w:tc>
          <w:tcPr>
            <w:tcW w:w="1420" w:type="dxa"/>
            <w:noWrap/>
            <w:vAlign w:val="center"/>
            <w:hideMark/>
          </w:tcPr>
          <w:p w14:paraId="1F0B92A8" w14:textId="75D7CA95"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11</w:t>
            </w:r>
            <w:r w:rsidR="00F65BCB">
              <w:rPr>
                <w:rFonts w:asciiTheme="minorBidi" w:hAnsiTheme="minorBidi"/>
                <w:sz w:val="18"/>
                <w:szCs w:val="18"/>
              </w:rPr>
              <w:t xml:space="preserve"> </w:t>
            </w:r>
            <w:r w:rsidRPr="0025144C">
              <w:rPr>
                <w:rFonts w:asciiTheme="minorBidi" w:hAnsiTheme="minorBidi"/>
                <w:sz w:val="18"/>
                <w:szCs w:val="18"/>
              </w:rPr>
              <w:t>888</w:t>
            </w:r>
          </w:p>
        </w:tc>
        <w:tc>
          <w:tcPr>
            <w:tcW w:w="1420" w:type="dxa"/>
            <w:noWrap/>
            <w:vAlign w:val="center"/>
            <w:hideMark/>
          </w:tcPr>
          <w:p w14:paraId="1A05FE71" w14:textId="3F5BCAA1"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5</w:t>
            </w:r>
            <w:r w:rsidR="00F65BCB">
              <w:rPr>
                <w:rFonts w:asciiTheme="minorBidi" w:hAnsiTheme="minorBidi"/>
                <w:sz w:val="18"/>
                <w:szCs w:val="18"/>
              </w:rPr>
              <w:t xml:space="preserve"> </w:t>
            </w:r>
            <w:r w:rsidRPr="0025144C">
              <w:rPr>
                <w:rFonts w:asciiTheme="minorBidi" w:hAnsiTheme="minorBidi"/>
                <w:sz w:val="18"/>
                <w:szCs w:val="18"/>
              </w:rPr>
              <w:t>989</w:t>
            </w:r>
          </w:p>
        </w:tc>
        <w:tc>
          <w:tcPr>
            <w:tcW w:w="1420" w:type="dxa"/>
            <w:noWrap/>
            <w:vAlign w:val="center"/>
            <w:hideMark/>
          </w:tcPr>
          <w:p w14:paraId="72FEEC7F" w14:textId="2E61CDFB"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4</w:t>
            </w:r>
            <w:r w:rsidR="00F65BCB">
              <w:rPr>
                <w:rFonts w:asciiTheme="minorBidi" w:hAnsiTheme="minorBidi"/>
                <w:sz w:val="18"/>
                <w:szCs w:val="18"/>
              </w:rPr>
              <w:t xml:space="preserve"> </w:t>
            </w:r>
            <w:r w:rsidRPr="0025144C">
              <w:rPr>
                <w:rFonts w:asciiTheme="minorBidi" w:hAnsiTheme="minorBidi"/>
                <w:sz w:val="18"/>
                <w:szCs w:val="18"/>
              </w:rPr>
              <w:t>651</w:t>
            </w:r>
          </w:p>
        </w:tc>
        <w:tc>
          <w:tcPr>
            <w:tcW w:w="1420" w:type="dxa"/>
            <w:noWrap/>
            <w:vAlign w:val="center"/>
            <w:hideMark/>
          </w:tcPr>
          <w:p w14:paraId="38C3ADDC" w14:textId="0B38B2FA"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10</w:t>
            </w:r>
            <w:r w:rsidR="00F65BCB">
              <w:rPr>
                <w:rFonts w:asciiTheme="minorBidi" w:hAnsiTheme="minorBidi"/>
                <w:sz w:val="18"/>
                <w:szCs w:val="18"/>
              </w:rPr>
              <w:t xml:space="preserve"> </w:t>
            </w:r>
            <w:r w:rsidRPr="0025144C">
              <w:rPr>
                <w:rFonts w:asciiTheme="minorBidi" w:hAnsiTheme="minorBidi"/>
                <w:sz w:val="18"/>
                <w:szCs w:val="18"/>
              </w:rPr>
              <w:t>074</w:t>
            </w:r>
          </w:p>
        </w:tc>
        <w:tc>
          <w:tcPr>
            <w:tcW w:w="1420" w:type="dxa"/>
            <w:noWrap/>
            <w:vAlign w:val="center"/>
            <w:hideMark/>
          </w:tcPr>
          <w:p w14:paraId="45F1B626" w14:textId="68C8AA47"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14</w:t>
            </w:r>
            <w:r w:rsidR="00F65BCB">
              <w:rPr>
                <w:rFonts w:asciiTheme="minorBidi" w:hAnsiTheme="minorBidi"/>
                <w:sz w:val="18"/>
                <w:szCs w:val="18"/>
              </w:rPr>
              <w:t xml:space="preserve"> </w:t>
            </w:r>
            <w:r w:rsidRPr="0025144C">
              <w:rPr>
                <w:rFonts w:asciiTheme="minorBidi" w:hAnsiTheme="minorBidi"/>
                <w:sz w:val="18"/>
                <w:szCs w:val="18"/>
              </w:rPr>
              <w:t>016</w:t>
            </w:r>
          </w:p>
        </w:tc>
        <w:tc>
          <w:tcPr>
            <w:tcW w:w="320" w:type="dxa"/>
            <w:noWrap/>
            <w:vAlign w:val="center"/>
            <w:hideMark/>
          </w:tcPr>
          <w:p w14:paraId="64E5B8DA"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5BF1765C"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40%</w:t>
            </w:r>
          </w:p>
        </w:tc>
        <w:tc>
          <w:tcPr>
            <w:tcW w:w="385" w:type="dxa"/>
            <w:noWrap/>
            <w:vAlign w:val="center"/>
            <w:hideMark/>
          </w:tcPr>
          <w:p w14:paraId="5956883A" w14:textId="77777777" w:rsidR="00F72778" w:rsidRPr="0025144C" w:rsidRDefault="00F72778" w:rsidP="0025144C">
            <w:pPr>
              <w:spacing w:before="0" w:after="0" w:line="240" w:lineRule="auto"/>
              <w:jc w:val="right"/>
              <w:rPr>
                <w:rFonts w:asciiTheme="minorBidi" w:hAnsiTheme="minorBidi"/>
                <w:color w:val="00B0F0"/>
                <w:sz w:val="18"/>
                <w:szCs w:val="18"/>
              </w:rPr>
            </w:pPr>
          </w:p>
        </w:tc>
        <w:tc>
          <w:tcPr>
            <w:tcW w:w="1165" w:type="dxa"/>
            <w:shd w:val="clear" w:color="auto" w:fill="E5E5E5" w:themeFill="background2" w:themeFillShade="E6"/>
            <w:noWrap/>
            <w:vAlign w:val="center"/>
            <w:hideMark/>
          </w:tcPr>
          <w:p w14:paraId="67B50CFB"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18%</w:t>
            </w:r>
          </w:p>
        </w:tc>
      </w:tr>
      <w:tr w:rsidR="00F72778" w:rsidRPr="0025144C" w14:paraId="231A2A89" w14:textId="77777777" w:rsidTr="009364B5">
        <w:trPr>
          <w:trHeight w:val="300"/>
        </w:trPr>
        <w:tc>
          <w:tcPr>
            <w:tcW w:w="2335" w:type="dxa"/>
            <w:noWrap/>
            <w:vAlign w:val="center"/>
            <w:hideMark/>
          </w:tcPr>
          <w:p w14:paraId="0ACC3CC5"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Kirde-Eesti</w:t>
            </w:r>
          </w:p>
        </w:tc>
        <w:tc>
          <w:tcPr>
            <w:tcW w:w="1420" w:type="dxa"/>
            <w:noWrap/>
            <w:vAlign w:val="center"/>
            <w:hideMark/>
          </w:tcPr>
          <w:p w14:paraId="584408B6" w14:textId="3353189B"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25</w:t>
            </w:r>
            <w:r w:rsidR="00F65BCB">
              <w:rPr>
                <w:rFonts w:asciiTheme="minorBidi" w:hAnsiTheme="minorBidi"/>
                <w:sz w:val="18"/>
                <w:szCs w:val="18"/>
              </w:rPr>
              <w:t xml:space="preserve"> </w:t>
            </w:r>
            <w:r w:rsidRPr="0025144C">
              <w:rPr>
                <w:rFonts w:asciiTheme="minorBidi" w:hAnsiTheme="minorBidi"/>
                <w:sz w:val="18"/>
                <w:szCs w:val="18"/>
              </w:rPr>
              <w:t>811</w:t>
            </w:r>
          </w:p>
        </w:tc>
        <w:tc>
          <w:tcPr>
            <w:tcW w:w="1420" w:type="dxa"/>
            <w:noWrap/>
            <w:vAlign w:val="center"/>
            <w:hideMark/>
          </w:tcPr>
          <w:p w14:paraId="450F2255" w14:textId="5F04A082"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30</w:t>
            </w:r>
            <w:r w:rsidR="00F65BCB">
              <w:rPr>
                <w:rFonts w:asciiTheme="minorBidi" w:hAnsiTheme="minorBidi"/>
                <w:sz w:val="18"/>
                <w:szCs w:val="18"/>
              </w:rPr>
              <w:t xml:space="preserve"> </w:t>
            </w:r>
            <w:r w:rsidRPr="0025144C">
              <w:rPr>
                <w:rFonts w:asciiTheme="minorBidi" w:hAnsiTheme="minorBidi"/>
                <w:sz w:val="18"/>
                <w:szCs w:val="18"/>
              </w:rPr>
              <w:t>962</w:t>
            </w:r>
          </w:p>
        </w:tc>
        <w:tc>
          <w:tcPr>
            <w:tcW w:w="1420" w:type="dxa"/>
            <w:noWrap/>
            <w:vAlign w:val="center"/>
            <w:hideMark/>
          </w:tcPr>
          <w:p w14:paraId="70A4E627" w14:textId="2C0D66B9"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11</w:t>
            </w:r>
            <w:r w:rsidR="00F65BCB">
              <w:rPr>
                <w:rFonts w:asciiTheme="minorBidi" w:hAnsiTheme="minorBidi"/>
                <w:sz w:val="18"/>
                <w:szCs w:val="18"/>
              </w:rPr>
              <w:t xml:space="preserve"> </w:t>
            </w:r>
            <w:r w:rsidRPr="0025144C">
              <w:rPr>
                <w:rFonts w:asciiTheme="minorBidi" w:hAnsiTheme="minorBidi"/>
                <w:sz w:val="18"/>
                <w:szCs w:val="18"/>
              </w:rPr>
              <w:t>471</w:t>
            </w:r>
          </w:p>
        </w:tc>
        <w:tc>
          <w:tcPr>
            <w:tcW w:w="1420" w:type="dxa"/>
            <w:noWrap/>
            <w:vAlign w:val="center"/>
            <w:hideMark/>
          </w:tcPr>
          <w:p w14:paraId="011E46C1" w14:textId="0FCDC4F0"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7</w:t>
            </w:r>
            <w:r w:rsidR="00F65BCB">
              <w:rPr>
                <w:rFonts w:asciiTheme="minorBidi" w:hAnsiTheme="minorBidi"/>
                <w:sz w:val="18"/>
                <w:szCs w:val="18"/>
              </w:rPr>
              <w:t xml:space="preserve"> </w:t>
            </w:r>
            <w:r w:rsidRPr="0025144C">
              <w:rPr>
                <w:rFonts w:asciiTheme="minorBidi" w:hAnsiTheme="minorBidi"/>
                <w:sz w:val="18"/>
                <w:szCs w:val="18"/>
              </w:rPr>
              <w:t>840</w:t>
            </w:r>
          </w:p>
        </w:tc>
        <w:tc>
          <w:tcPr>
            <w:tcW w:w="1420" w:type="dxa"/>
            <w:noWrap/>
            <w:vAlign w:val="center"/>
            <w:hideMark/>
          </w:tcPr>
          <w:p w14:paraId="018D12D7" w14:textId="42223F23"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23</w:t>
            </w:r>
            <w:r w:rsidR="00F65BCB">
              <w:rPr>
                <w:rFonts w:asciiTheme="minorBidi" w:hAnsiTheme="minorBidi"/>
                <w:sz w:val="18"/>
                <w:szCs w:val="18"/>
              </w:rPr>
              <w:t xml:space="preserve"> </w:t>
            </w:r>
            <w:r w:rsidRPr="0025144C">
              <w:rPr>
                <w:rFonts w:asciiTheme="minorBidi" w:hAnsiTheme="minorBidi"/>
                <w:sz w:val="18"/>
                <w:szCs w:val="18"/>
              </w:rPr>
              <w:t>463</w:t>
            </w:r>
          </w:p>
        </w:tc>
        <w:tc>
          <w:tcPr>
            <w:tcW w:w="1420" w:type="dxa"/>
            <w:noWrap/>
            <w:vAlign w:val="center"/>
            <w:hideMark/>
          </w:tcPr>
          <w:p w14:paraId="1C18627A" w14:textId="58D32F6D"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18</w:t>
            </w:r>
            <w:r w:rsidR="00F65BCB">
              <w:rPr>
                <w:rFonts w:asciiTheme="minorBidi" w:hAnsiTheme="minorBidi"/>
                <w:sz w:val="18"/>
                <w:szCs w:val="18"/>
              </w:rPr>
              <w:t xml:space="preserve"> </w:t>
            </w:r>
            <w:r w:rsidRPr="0025144C">
              <w:rPr>
                <w:rFonts w:asciiTheme="minorBidi" w:hAnsiTheme="minorBidi"/>
                <w:sz w:val="18"/>
                <w:szCs w:val="18"/>
              </w:rPr>
              <w:t>367</w:t>
            </w:r>
          </w:p>
        </w:tc>
        <w:tc>
          <w:tcPr>
            <w:tcW w:w="320" w:type="dxa"/>
            <w:noWrap/>
            <w:vAlign w:val="center"/>
            <w:hideMark/>
          </w:tcPr>
          <w:p w14:paraId="6E86B347"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40988AE4"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41%</w:t>
            </w:r>
          </w:p>
        </w:tc>
        <w:tc>
          <w:tcPr>
            <w:tcW w:w="385" w:type="dxa"/>
            <w:noWrap/>
            <w:vAlign w:val="center"/>
            <w:hideMark/>
          </w:tcPr>
          <w:p w14:paraId="371511D7" w14:textId="77777777" w:rsidR="00F72778" w:rsidRPr="0025144C" w:rsidRDefault="00F72778" w:rsidP="0025144C">
            <w:pPr>
              <w:spacing w:before="0" w:after="0" w:line="240" w:lineRule="auto"/>
              <w:jc w:val="right"/>
              <w:rPr>
                <w:rFonts w:asciiTheme="minorBidi" w:hAnsiTheme="minorBidi"/>
                <w:color w:val="00B0F0"/>
                <w:sz w:val="18"/>
                <w:szCs w:val="18"/>
              </w:rPr>
            </w:pPr>
          </w:p>
        </w:tc>
        <w:tc>
          <w:tcPr>
            <w:tcW w:w="1165" w:type="dxa"/>
            <w:shd w:val="clear" w:color="auto" w:fill="E5E5E5" w:themeFill="background2" w:themeFillShade="E6"/>
            <w:noWrap/>
            <w:vAlign w:val="center"/>
            <w:hideMark/>
          </w:tcPr>
          <w:p w14:paraId="3E5A23BF" w14:textId="77777777" w:rsidR="00F72778" w:rsidRPr="0025144C" w:rsidRDefault="00F72778" w:rsidP="0025144C">
            <w:pPr>
              <w:spacing w:before="0" w:after="0" w:line="240" w:lineRule="auto"/>
              <w:jc w:val="right"/>
              <w:rPr>
                <w:rFonts w:asciiTheme="minorBidi" w:hAnsiTheme="minorBidi"/>
                <w:color w:val="FF0000"/>
                <w:sz w:val="18"/>
                <w:szCs w:val="18"/>
              </w:rPr>
            </w:pPr>
            <w:r w:rsidRPr="0025144C">
              <w:rPr>
                <w:rFonts w:asciiTheme="minorBidi" w:hAnsiTheme="minorBidi"/>
                <w:color w:val="FF0000"/>
                <w:sz w:val="18"/>
                <w:szCs w:val="18"/>
              </w:rPr>
              <w:t>-41%</w:t>
            </w:r>
          </w:p>
        </w:tc>
      </w:tr>
      <w:tr w:rsidR="00F72778" w:rsidRPr="0025144C" w14:paraId="3E45DB8D" w14:textId="77777777" w:rsidTr="009364B5">
        <w:trPr>
          <w:trHeight w:val="300"/>
        </w:trPr>
        <w:tc>
          <w:tcPr>
            <w:tcW w:w="2335" w:type="dxa"/>
            <w:noWrap/>
            <w:vAlign w:val="center"/>
            <w:hideMark/>
          </w:tcPr>
          <w:p w14:paraId="3DDE7C92" w14:textId="77777777" w:rsidR="00F72778" w:rsidRPr="0025144C" w:rsidRDefault="00F72778" w:rsidP="0025144C">
            <w:pPr>
              <w:spacing w:before="0" w:after="0" w:line="240" w:lineRule="auto"/>
              <w:rPr>
                <w:rFonts w:asciiTheme="minorBidi" w:hAnsiTheme="minorBidi"/>
                <w:b/>
                <w:sz w:val="18"/>
                <w:szCs w:val="18"/>
              </w:rPr>
            </w:pPr>
            <w:r w:rsidRPr="0025144C">
              <w:rPr>
                <w:rFonts w:asciiTheme="minorBidi" w:hAnsiTheme="minorBidi"/>
                <w:b/>
                <w:sz w:val="18"/>
                <w:szCs w:val="18"/>
              </w:rPr>
              <w:t>Turistid kokku EESTI, sh</w:t>
            </w:r>
          </w:p>
        </w:tc>
        <w:tc>
          <w:tcPr>
            <w:tcW w:w="1420" w:type="dxa"/>
            <w:noWrap/>
            <w:vAlign w:val="center"/>
            <w:hideMark/>
          </w:tcPr>
          <w:p w14:paraId="1B5DCCBA" w14:textId="45E34D81"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w:t>
            </w:r>
            <w:r w:rsidR="00F65BCB">
              <w:rPr>
                <w:rFonts w:asciiTheme="minorBidi" w:hAnsiTheme="minorBidi"/>
                <w:sz w:val="18"/>
                <w:szCs w:val="18"/>
              </w:rPr>
              <w:t xml:space="preserve"> </w:t>
            </w:r>
            <w:r w:rsidRPr="0025144C">
              <w:rPr>
                <w:rFonts w:asciiTheme="minorBidi" w:hAnsiTheme="minorBidi"/>
                <w:sz w:val="18"/>
                <w:szCs w:val="18"/>
              </w:rPr>
              <w:t>280</w:t>
            </w:r>
            <w:r w:rsidR="00F65BCB">
              <w:rPr>
                <w:rFonts w:asciiTheme="minorBidi" w:hAnsiTheme="minorBidi"/>
                <w:sz w:val="18"/>
                <w:szCs w:val="18"/>
              </w:rPr>
              <w:t xml:space="preserve"> </w:t>
            </w:r>
            <w:r w:rsidRPr="0025144C">
              <w:rPr>
                <w:rFonts w:asciiTheme="minorBidi" w:hAnsiTheme="minorBidi"/>
                <w:sz w:val="18"/>
                <w:szCs w:val="18"/>
              </w:rPr>
              <w:t>301</w:t>
            </w:r>
          </w:p>
        </w:tc>
        <w:tc>
          <w:tcPr>
            <w:tcW w:w="1420" w:type="dxa"/>
            <w:noWrap/>
            <w:vAlign w:val="center"/>
            <w:hideMark/>
          </w:tcPr>
          <w:p w14:paraId="7883AD52" w14:textId="29D4D44B"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w:t>
            </w:r>
            <w:r w:rsidR="00F65BCB">
              <w:rPr>
                <w:rFonts w:asciiTheme="minorBidi" w:hAnsiTheme="minorBidi"/>
                <w:sz w:val="18"/>
                <w:szCs w:val="18"/>
              </w:rPr>
              <w:t xml:space="preserve"> </w:t>
            </w:r>
            <w:r w:rsidRPr="0025144C">
              <w:rPr>
                <w:rFonts w:asciiTheme="minorBidi" w:hAnsiTheme="minorBidi"/>
                <w:sz w:val="18"/>
                <w:szCs w:val="18"/>
              </w:rPr>
              <w:t>523</w:t>
            </w:r>
            <w:r w:rsidR="00F65BCB">
              <w:rPr>
                <w:rFonts w:asciiTheme="minorBidi" w:hAnsiTheme="minorBidi"/>
                <w:sz w:val="18"/>
                <w:szCs w:val="18"/>
              </w:rPr>
              <w:t xml:space="preserve"> </w:t>
            </w:r>
            <w:r w:rsidRPr="0025144C">
              <w:rPr>
                <w:rFonts w:asciiTheme="minorBidi" w:hAnsiTheme="minorBidi"/>
                <w:sz w:val="18"/>
                <w:szCs w:val="18"/>
              </w:rPr>
              <w:t>338</w:t>
            </w:r>
          </w:p>
        </w:tc>
        <w:tc>
          <w:tcPr>
            <w:tcW w:w="1420" w:type="dxa"/>
            <w:noWrap/>
            <w:vAlign w:val="center"/>
            <w:hideMark/>
          </w:tcPr>
          <w:p w14:paraId="6E9D1401" w14:textId="2746D5CB"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806</w:t>
            </w:r>
            <w:r w:rsidR="00F65BCB">
              <w:rPr>
                <w:rFonts w:asciiTheme="minorBidi" w:hAnsiTheme="minorBidi"/>
                <w:sz w:val="18"/>
                <w:szCs w:val="18"/>
              </w:rPr>
              <w:t xml:space="preserve"> </w:t>
            </w:r>
            <w:r w:rsidRPr="0025144C">
              <w:rPr>
                <w:rFonts w:asciiTheme="minorBidi" w:hAnsiTheme="minorBidi"/>
                <w:sz w:val="18"/>
                <w:szCs w:val="18"/>
              </w:rPr>
              <w:t>091</w:t>
            </w:r>
          </w:p>
        </w:tc>
        <w:tc>
          <w:tcPr>
            <w:tcW w:w="1420" w:type="dxa"/>
            <w:noWrap/>
            <w:vAlign w:val="center"/>
            <w:hideMark/>
          </w:tcPr>
          <w:p w14:paraId="1B1555E3" w14:textId="6E12528C"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847</w:t>
            </w:r>
            <w:r w:rsidR="00F65BCB">
              <w:rPr>
                <w:rFonts w:asciiTheme="minorBidi" w:hAnsiTheme="minorBidi"/>
                <w:sz w:val="18"/>
                <w:szCs w:val="18"/>
              </w:rPr>
              <w:t xml:space="preserve"> </w:t>
            </w:r>
            <w:r w:rsidRPr="0025144C">
              <w:rPr>
                <w:rFonts w:asciiTheme="minorBidi" w:hAnsiTheme="minorBidi"/>
                <w:sz w:val="18"/>
                <w:szCs w:val="18"/>
              </w:rPr>
              <w:t>516</w:t>
            </w:r>
          </w:p>
        </w:tc>
        <w:tc>
          <w:tcPr>
            <w:tcW w:w="1420" w:type="dxa"/>
            <w:noWrap/>
            <w:vAlign w:val="center"/>
            <w:hideMark/>
          </w:tcPr>
          <w:p w14:paraId="1C8CB21E" w14:textId="5990CC8E"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w:t>
            </w:r>
            <w:r w:rsidR="00F65BCB">
              <w:rPr>
                <w:rFonts w:asciiTheme="minorBidi" w:hAnsiTheme="minorBidi"/>
                <w:sz w:val="18"/>
                <w:szCs w:val="18"/>
              </w:rPr>
              <w:t xml:space="preserve"> </w:t>
            </w:r>
            <w:r w:rsidRPr="0025144C">
              <w:rPr>
                <w:rFonts w:asciiTheme="minorBidi" w:hAnsiTheme="minorBidi"/>
                <w:sz w:val="18"/>
                <w:szCs w:val="18"/>
              </w:rPr>
              <w:t>286</w:t>
            </w:r>
            <w:r w:rsidR="00F65BCB">
              <w:rPr>
                <w:rFonts w:asciiTheme="minorBidi" w:hAnsiTheme="minorBidi"/>
                <w:sz w:val="18"/>
                <w:szCs w:val="18"/>
              </w:rPr>
              <w:t xml:space="preserve"> </w:t>
            </w:r>
            <w:r w:rsidRPr="0025144C">
              <w:rPr>
                <w:rFonts w:asciiTheme="minorBidi" w:hAnsiTheme="minorBidi"/>
                <w:sz w:val="18"/>
                <w:szCs w:val="18"/>
              </w:rPr>
              <w:t>201</w:t>
            </w:r>
          </w:p>
        </w:tc>
        <w:tc>
          <w:tcPr>
            <w:tcW w:w="1420" w:type="dxa"/>
            <w:noWrap/>
            <w:vAlign w:val="center"/>
            <w:hideMark/>
          </w:tcPr>
          <w:p w14:paraId="5C99FBC5" w14:textId="707B3CCA"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w:t>
            </w:r>
            <w:r w:rsidR="00F65BCB">
              <w:rPr>
                <w:rFonts w:asciiTheme="minorBidi" w:hAnsiTheme="minorBidi"/>
                <w:sz w:val="18"/>
                <w:szCs w:val="18"/>
              </w:rPr>
              <w:t xml:space="preserve"> </w:t>
            </w:r>
            <w:r w:rsidRPr="0025144C">
              <w:rPr>
                <w:rFonts w:asciiTheme="minorBidi" w:hAnsiTheme="minorBidi"/>
                <w:sz w:val="18"/>
                <w:szCs w:val="18"/>
              </w:rPr>
              <w:t>482</w:t>
            </w:r>
            <w:r w:rsidR="00F65BCB">
              <w:rPr>
                <w:rFonts w:asciiTheme="minorBidi" w:hAnsiTheme="minorBidi"/>
                <w:sz w:val="18"/>
                <w:szCs w:val="18"/>
              </w:rPr>
              <w:t xml:space="preserve"> </w:t>
            </w:r>
            <w:r w:rsidRPr="0025144C">
              <w:rPr>
                <w:rFonts w:asciiTheme="minorBidi" w:hAnsiTheme="minorBidi"/>
                <w:sz w:val="18"/>
                <w:szCs w:val="18"/>
              </w:rPr>
              <w:t>227</w:t>
            </w:r>
          </w:p>
        </w:tc>
        <w:tc>
          <w:tcPr>
            <w:tcW w:w="320" w:type="dxa"/>
            <w:noWrap/>
            <w:vAlign w:val="center"/>
            <w:hideMark/>
          </w:tcPr>
          <w:p w14:paraId="1A5C8A5D"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6B34C46F"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100%</w:t>
            </w:r>
          </w:p>
        </w:tc>
        <w:tc>
          <w:tcPr>
            <w:tcW w:w="385" w:type="dxa"/>
            <w:noWrap/>
            <w:vAlign w:val="center"/>
            <w:hideMark/>
          </w:tcPr>
          <w:p w14:paraId="6260CE6F" w14:textId="77777777" w:rsidR="00F72778" w:rsidRPr="0025144C" w:rsidRDefault="00F72778" w:rsidP="0025144C">
            <w:pPr>
              <w:spacing w:before="0" w:after="0" w:line="240" w:lineRule="auto"/>
              <w:jc w:val="right"/>
              <w:rPr>
                <w:rFonts w:asciiTheme="minorBidi" w:hAnsiTheme="minorBidi"/>
                <w:color w:val="FF0000"/>
                <w:sz w:val="18"/>
                <w:szCs w:val="18"/>
              </w:rPr>
            </w:pPr>
          </w:p>
        </w:tc>
        <w:tc>
          <w:tcPr>
            <w:tcW w:w="1165" w:type="dxa"/>
            <w:shd w:val="clear" w:color="auto" w:fill="E5E5E5" w:themeFill="background2" w:themeFillShade="E6"/>
            <w:noWrap/>
            <w:vAlign w:val="center"/>
            <w:hideMark/>
          </w:tcPr>
          <w:p w14:paraId="36DC58C2" w14:textId="77777777" w:rsidR="00F72778" w:rsidRPr="0025144C" w:rsidRDefault="00F72778" w:rsidP="0025144C">
            <w:pPr>
              <w:spacing w:before="0" w:after="0" w:line="240" w:lineRule="auto"/>
              <w:jc w:val="right"/>
              <w:rPr>
                <w:rFonts w:asciiTheme="minorBidi" w:hAnsiTheme="minorBidi"/>
                <w:color w:val="FF0000"/>
                <w:sz w:val="18"/>
                <w:szCs w:val="18"/>
              </w:rPr>
            </w:pPr>
            <w:r w:rsidRPr="0025144C">
              <w:rPr>
                <w:rFonts w:asciiTheme="minorBidi" w:hAnsiTheme="minorBidi"/>
                <w:color w:val="FF0000"/>
                <w:sz w:val="18"/>
                <w:szCs w:val="18"/>
              </w:rPr>
              <w:t>-3%</w:t>
            </w:r>
          </w:p>
        </w:tc>
      </w:tr>
      <w:tr w:rsidR="00F72778" w:rsidRPr="0025144C" w14:paraId="37464459" w14:textId="77777777" w:rsidTr="009364B5">
        <w:trPr>
          <w:trHeight w:val="300"/>
        </w:trPr>
        <w:tc>
          <w:tcPr>
            <w:tcW w:w="2335" w:type="dxa"/>
            <w:noWrap/>
            <w:vAlign w:val="center"/>
            <w:hideMark/>
          </w:tcPr>
          <w:p w14:paraId="1904783B"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Põhja-Eesti</w:t>
            </w:r>
          </w:p>
        </w:tc>
        <w:tc>
          <w:tcPr>
            <w:tcW w:w="1420" w:type="dxa"/>
            <w:noWrap/>
            <w:vAlign w:val="center"/>
            <w:hideMark/>
          </w:tcPr>
          <w:p w14:paraId="5B853843" w14:textId="76E810A5"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832</w:t>
            </w:r>
            <w:r w:rsidR="00F65BCB">
              <w:rPr>
                <w:rFonts w:asciiTheme="minorBidi" w:hAnsiTheme="minorBidi"/>
                <w:sz w:val="18"/>
                <w:szCs w:val="18"/>
              </w:rPr>
              <w:t xml:space="preserve"> </w:t>
            </w:r>
            <w:r w:rsidRPr="0025144C">
              <w:rPr>
                <w:rFonts w:asciiTheme="minorBidi" w:hAnsiTheme="minorBidi"/>
                <w:sz w:val="18"/>
                <w:szCs w:val="18"/>
              </w:rPr>
              <w:t>702</w:t>
            </w:r>
          </w:p>
        </w:tc>
        <w:tc>
          <w:tcPr>
            <w:tcW w:w="1420" w:type="dxa"/>
            <w:noWrap/>
            <w:vAlign w:val="center"/>
            <w:hideMark/>
          </w:tcPr>
          <w:p w14:paraId="20CC5176" w14:textId="52D46A1F"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w:t>
            </w:r>
            <w:r w:rsidR="00F65BCB">
              <w:rPr>
                <w:rFonts w:asciiTheme="minorBidi" w:hAnsiTheme="minorBidi"/>
                <w:sz w:val="18"/>
                <w:szCs w:val="18"/>
              </w:rPr>
              <w:t xml:space="preserve"> </w:t>
            </w:r>
            <w:r w:rsidRPr="0025144C">
              <w:rPr>
                <w:rFonts w:asciiTheme="minorBidi" w:hAnsiTheme="minorBidi"/>
                <w:sz w:val="18"/>
                <w:szCs w:val="18"/>
              </w:rPr>
              <w:t>002</w:t>
            </w:r>
            <w:r w:rsidR="00F65BCB">
              <w:rPr>
                <w:rFonts w:asciiTheme="minorBidi" w:hAnsiTheme="minorBidi"/>
                <w:sz w:val="18"/>
                <w:szCs w:val="18"/>
              </w:rPr>
              <w:t xml:space="preserve"> </w:t>
            </w:r>
            <w:r w:rsidRPr="0025144C">
              <w:rPr>
                <w:rFonts w:asciiTheme="minorBidi" w:hAnsiTheme="minorBidi"/>
                <w:sz w:val="18"/>
                <w:szCs w:val="18"/>
              </w:rPr>
              <w:t>072</w:t>
            </w:r>
          </w:p>
        </w:tc>
        <w:tc>
          <w:tcPr>
            <w:tcW w:w="1420" w:type="dxa"/>
            <w:noWrap/>
            <w:vAlign w:val="center"/>
            <w:hideMark/>
          </w:tcPr>
          <w:p w14:paraId="595DDDA7" w14:textId="7C9F3979"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414</w:t>
            </w:r>
            <w:r w:rsidR="00F65BCB">
              <w:rPr>
                <w:rFonts w:asciiTheme="minorBidi" w:hAnsiTheme="minorBidi"/>
                <w:sz w:val="18"/>
                <w:szCs w:val="18"/>
              </w:rPr>
              <w:t xml:space="preserve"> </w:t>
            </w:r>
            <w:r w:rsidRPr="0025144C">
              <w:rPr>
                <w:rFonts w:asciiTheme="minorBidi" w:hAnsiTheme="minorBidi"/>
                <w:sz w:val="18"/>
                <w:szCs w:val="18"/>
              </w:rPr>
              <w:t>148</w:t>
            </w:r>
          </w:p>
        </w:tc>
        <w:tc>
          <w:tcPr>
            <w:tcW w:w="1420" w:type="dxa"/>
            <w:noWrap/>
            <w:vAlign w:val="center"/>
            <w:hideMark/>
          </w:tcPr>
          <w:p w14:paraId="010D3BF2" w14:textId="00B81AF5"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376</w:t>
            </w:r>
            <w:r w:rsidR="00F65BCB">
              <w:rPr>
                <w:rFonts w:asciiTheme="minorBidi" w:hAnsiTheme="minorBidi"/>
                <w:sz w:val="18"/>
                <w:szCs w:val="18"/>
              </w:rPr>
              <w:t xml:space="preserve"> </w:t>
            </w:r>
            <w:r w:rsidRPr="0025144C">
              <w:rPr>
                <w:rFonts w:asciiTheme="minorBidi" w:hAnsiTheme="minorBidi"/>
                <w:sz w:val="18"/>
                <w:szCs w:val="18"/>
              </w:rPr>
              <w:t>461</w:t>
            </w:r>
          </w:p>
        </w:tc>
        <w:tc>
          <w:tcPr>
            <w:tcW w:w="1420" w:type="dxa"/>
            <w:noWrap/>
            <w:vAlign w:val="center"/>
            <w:hideMark/>
          </w:tcPr>
          <w:p w14:paraId="73C15215" w14:textId="330052B2"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670</w:t>
            </w:r>
            <w:r w:rsidR="00F65BCB">
              <w:rPr>
                <w:rFonts w:asciiTheme="minorBidi" w:hAnsiTheme="minorBidi"/>
                <w:sz w:val="18"/>
                <w:szCs w:val="18"/>
              </w:rPr>
              <w:t xml:space="preserve"> </w:t>
            </w:r>
            <w:r w:rsidRPr="0025144C">
              <w:rPr>
                <w:rFonts w:asciiTheme="minorBidi" w:hAnsiTheme="minorBidi"/>
                <w:sz w:val="18"/>
                <w:szCs w:val="18"/>
              </w:rPr>
              <w:t>396</w:t>
            </w:r>
          </w:p>
        </w:tc>
        <w:tc>
          <w:tcPr>
            <w:tcW w:w="1420" w:type="dxa"/>
            <w:noWrap/>
            <w:vAlign w:val="center"/>
            <w:hideMark/>
          </w:tcPr>
          <w:p w14:paraId="5A76DF0C" w14:textId="49968437"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788</w:t>
            </w:r>
            <w:r w:rsidR="00F65BCB">
              <w:rPr>
                <w:rFonts w:asciiTheme="minorBidi" w:hAnsiTheme="minorBidi"/>
                <w:sz w:val="18"/>
                <w:szCs w:val="18"/>
              </w:rPr>
              <w:t xml:space="preserve"> </w:t>
            </w:r>
            <w:r w:rsidRPr="0025144C">
              <w:rPr>
                <w:rFonts w:asciiTheme="minorBidi" w:hAnsiTheme="minorBidi"/>
                <w:sz w:val="18"/>
                <w:szCs w:val="18"/>
              </w:rPr>
              <w:t>630</w:t>
            </w:r>
          </w:p>
        </w:tc>
        <w:tc>
          <w:tcPr>
            <w:tcW w:w="320" w:type="dxa"/>
            <w:noWrap/>
            <w:vAlign w:val="center"/>
            <w:hideMark/>
          </w:tcPr>
          <w:p w14:paraId="1D57B8A3"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4953008F"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53%</w:t>
            </w:r>
          </w:p>
        </w:tc>
        <w:tc>
          <w:tcPr>
            <w:tcW w:w="385" w:type="dxa"/>
            <w:noWrap/>
            <w:vAlign w:val="center"/>
            <w:hideMark/>
          </w:tcPr>
          <w:p w14:paraId="10494266" w14:textId="77777777" w:rsidR="00F72778" w:rsidRPr="0025144C" w:rsidRDefault="00F72778" w:rsidP="0025144C">
            <w:pPr>
              <w:spacing w:before="0" w:after="0" w:line="240" w:lineRule="auto"/>
              <w:jc w:val="right"/>
              <w:rPr>
                <w:rFonts w:asciiTheme="minorBidi" w:hAnsiTheme="minorBidi"/>
                <w:color w:val="00B050"/>
                <w:sz w:val="18"/>
                <w:szCs w:val="18"/>
              </w:rPr>
            </w:pPr>
          </w:p>
        </w:tc>
        <w:tc>
          <w:tcPr>
            <w:tcW w:w="1165" w:type="dxa"/>
            <w:shd w:val="clear" w:color="auto" w:fill="E5E5E5" w:themeFill="background2" w:themeFillShade="E6"/>
            <w:noWrap/>
            <w:vAlign w:val="center"/>
            <w:hideMark/>
          </w:tcPr>
          <w:p w14:paraId="6584EB5D" w14:textId="77777777" w:rsidR="00F72778" w:rsidRPr="0025144C" w:rsidRDefault="00F72778" w:rsidP="0025144C">
            <w:pPr>
              <w:spacing w:before="0" w:after="0" w:line="240" w:lineRule="auto"/>
              <w:jc w:val="right"/>
              <w:rPr>
                <w:rFonts w:asciiTheme="minorBidi" w:hAnsiTheme="minorBidi"/>
                <w:color w:val="FF0000"/>
                <w:sz w:val="18"/>
                <w:szCs w:val="18"/>
              </w:rPr>
            </w:pPr>
            <w:r w:rsidRPr="0025144C">
              <w:rPr>
                <w:rFonts w:asciiTheme="minorBidi" w:hAnsiTheme="minorBidi"/>
                <w:color w:val="FF0000"/>
                <w:sz w:val="18"/>
                <w:szCs w:val="18"/>
              </w:rPr>
              <w:t>-21%</w:t>
            </w:r>
          </w:p>
        </w:tc>
      </w:tr>
      <w:tr w:rsidR="00F72778" w:rsidRPr="0025144C" w14:paraId="1C700D7C" w14:textId="77777777" w:rsidTr="009364B5">
        <w:trPr>
          <w:trHeight w:val="300"/>
        </w:trPr>
        <w:tc>
          <w:tcPr>
            <w:tcW w:w="2335" w:type="dxa"/>
            <w:noWrap/>
            <w:vAlign w:val="center"/>
            <w:hideMark/>
          </w:tcPr>
          <w:p w14:paraId="1DB8E3F3"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Lääne-Eesti</w:t>
            </w:r>
          </w:p>
        </w:tc>
        <w:tc>
          <w:tcPr>
            <w:tcW w:w="1420" w:type="dxa"/>
            <w:noWrap/>
            <w:vAlign w:val="center"/>
            <w:hideMark/>
          </w:tcPr>
          <w:p w14:paraId="590D9E0B" w14:textId="76B1AF8B"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262</w:t>
            </w:r>
            <w:r w:rsidR="00F65BCB">
              <w:rPr>
                <w:rFonts w:asciiTheme="minorBidi" w:hAnsiTheme="minorBidi"/>
                <w:sz w:val="18"/>
                <w:szCs w:val="18"/>
              </w:rPr>
              <w:t xml:space="preserve"> </w:t>
            </w:r>
            <w:r w:rsidRPr="0025144C">
              <w:rPr>
                <w:rFonts w:asciiTheme="minorBidi" w:hAnsiTheme="minorBidi"/>
                <w:sz w:val="18"/>
                <w:szCs w:val="18"/>
              </w:rPr>
              <w:t>490</w:t>
            </w:r>
          </w:p>
        </w:tc>
        <w:tc>
          <w:tcPr>
            <w:tcW w:w="1420" w:type="dxa"/>
            <w:noWrap/>
            <w:vAlign w:val="center"/>
            <w:hideMark/>
          </w:tcPr>
          <w:p w14:paraId="7A74F1BF" w14:textId="6D400888"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284</w:t>
            </w:r>
            <w:r w:rsidR="00F65BCB">
              <w:rPr>
                <w:rFonts w:asciiTheme="minorBidi" w:hAnsiTheme="minorBidi"/>
                <w:sz w:val="18"/>
                <w:szCs w:val="18"/>
              </w:rPr>
              <w:t xml:space="preserve"> </w:t>
            </w:r>
            <w:r w:rsidRPr="0025144C">
              <w:rPr>
                <w:rFonts w:asciiTheme="minorBidi" w:hAnsiTheme="minorBidi"/>
                <w:sz w:val="18"/>
                <w:szCs w:val="18"/>
              </w:rPr>
              <w:t>569</w:t>
            </w:r>
          </w:p>
        </w:tc>
        <w:tc>
          <w:tcPr>
            <w:tcW w:w="1420" w:type="dxa"/>
            <w:noWrap/>
            <w:vAlign w:val="center"/>
            <w:hideMark/>
          </w:tcPr>
          <w:p w14:paraId="736B1FD9" w14:textId="6AFC0F7D"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210</w:t>
            </w:r>
            <w:r w:rsidR="00F65BCB">
              <w:rPr>
                <w:rFonts w:asciiTheme="minorBidi" w:hAnsiTheme="minorBidi"/>
                <w:sz w:val="18"/>
                <w:szCs w:val="18"/>
              </w:rPr>
              <w:t xml:space="preserve"> </w:t>
            </w:r>
            <w:r w:rsidRPr="0025144C">
              <w:rPr>
                <w:rFonts w:asciiTheme="minorBidi" w:hAnsiTheme="minorBidi"/>
                <w:sz w:val="18"/>
                <w:szCs w:val="18"/>
              </w:rPr>
              <w:t>776</w:t>
            </w:r>
          </w:p>
        </w:tc>
        <w:tc>
          <w:tcPr>
            <w:tcW w:w="1420" w:type="dxa"/>
            <w:noWrap/>
            <w:vAlign w:val="center"/>
            <w:hideMark/>
          </w:tcPr>
          <w:p w14:paraId="6FB1C496" w14:textId="72A1B7C7"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255</w:t>
            </w:r>
            <w:r w:rsidR="00F65BCB">
              <w:rPr>
                <w:rFonts w:asciiTheme="minorBidi" w:hAnsiTheme="minorBidi"/>
                <w:sz w:val="18"/>
                <w:szCs w:val="18"/>
              </w:rPr>
              <w:t xml:space="preserve"> </w:t>
            </w:r>
            <w:r w:rsidRPr="0025144C">
              <w:rPr>
                <w:rFonts w:asciiTheme="minorBidi" w:hAnsiTheme="minorBidi"/>
                <w:sz w:val="18"/>
                <w:szCs w:val="18"/>
              </w:rPr>
              <w:t>398</w:t>
            </w:r>
          </w:p>
        </w:tc>
        <w:tc>
          <w:tcPr>
            <w:tcW w:w="1420" w:type="dxa"/>
            <w:noWrap/>
            <w:vAlign w:val="center"/>
            <w:hideMark/>
          </w:tcPr>
          <w:p w14:paraId="11CF98F8" w14:textId="4192029B"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312</w:t>
            </w:r>
            <w:r w:rsidR="00F65BCB">
              <w:rPr>
                <w:rFonts w:asciiTheme="minorBidi" w:hAnsiTheme="minorBidi"/>
                <w:sz w:val="18"/>
                <w:szCs w:val="18"/>
              </w:rPr>
              <w:t xml:space="preserve"> </w:t>
            </w:r>
            <w:r w:rsidRPr="0025144C">
              <w:rPr>
                <w:rFonts w:asciiTheme="minorBidi" w:hAnsiTheme="minorBidi"/>
                <w:sz w:val="18"/>
                <w:szCs w:val="18"/>
              </w:rPr>
              <w:t>063</w:t>
            </w:r>
          </w:p>
        </w:tc>
        <w:tc>
          <w:tcPr>
            <w:tcW w:w="1420" w:type="dxa"/>
            <w:noWrap/>
            <w:vAlign w:val="center"/>
            <w:hideMark/>
          </w:tcPr>
          <w:p w14:paraId="642C19EA" w14:textId="1945E254"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356</w:t>
            </w:r>
            <w:r w:rsidR="00F65BCB">
              <w:rPr>
                <w:rFonts w:asciiTheme="minorBidi" w:hAnsiTheme="minorBidi"/>
                <w:sz w:val="18"/>
                <w:szCs w:val="18"/>
              </w:rPr>
              <w:t xml:space="preserve"> </w:t>
            </w:r>
            <w:r w:rsidRPr="0025144C">
              <w:rPr>
                <w:rFonts w:asciiTheme="minorBidi" w:hAnsiTheme="minorBidi"/>
                <w:sz w:val="18"/>
                <w:szCs w:val="18"/>
              </w:rPr>
              <w:t>469</w:t>
            </w:r>
          </w:p>
        </w:tc>
        <w:tc>
          <w:tcPr>
            <w:tcW w:w="320" w:type="dxa"/>
            <w:noWrap/>
            <w:vAlign w:val="center"/>
            <w:hideMark/>
          </w:tcPr>
          <w:p w14:paraId="0AEB0C37"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7640442A"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24%</w:t>
            </w:r>
          </w:p>
        </w:tc>
        <w:tc>
          <w:tcPr>
            <w:tcW w:w="385" w:type="dxa"/>
            <w:noWrap/>
            <w:vAlign w:val="center"/>
            <w:hideMark/>
          </w:tcPr>
          <w:p w14:paraId="1A83E337" w14:textId="77777777" w:rsidR="00F72778" w:rsidRPr="0025144C" w:rsidRDefault="00F72778" w:rsidP="0025144C">
            <w:pPr>
              <w:spacing w:before="0" w:after="0" w:line="240" w:lineRule="auto"/>
              <w:jc w:val="right"/>
              <w:rPr>
                <w:rFonts w:asciiTheme="minorBidi" w:hAnsiTheme="minorBidi"/>
                <w:color w:val="00B050"/>
                <w:sz w:val="18"/>
                <w:szCs w:val="18"/>
              </w:rPr>
            </w:pPr>
          </w:p>
        </w:tc>
        <w:tc>
          <w:tcPr>
            <w:tcW w:w="1165" w:type="dxa"/>
            <w:shd w:val="clear" w:color="auto" w:fill="E5E5E5" w:themeFill="background2" w:themeFillShade="E6"/>
            <w:noWrap/>
            <w:vAlign w:val="center"/>
            <w:hideMark/>
          </w:tcPr>
          <w:p w14:paraId="50B07472"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25%</w:t>
            </w:r>
          </w:p>
        </w:tc>
      </w:tr>
      <w:tr w:rsidR="00F72778" w:rsidRPr="0025144C" w14:paraId="049059CD" w14:textId="77777777" w:rsidTr="009364B5">
        <w:trPr>
          <w:trHeight w:val="300"/>
        </w:trPr>
        <w:tc>
          <w:tcPr>
            <w:tcW w:w="2335" w:type="dxa"/>
            <w:noWrap/>
            <w:vAlign w:val="center"/>
            <w:hideMark/>
          </w:tcPr>
          <w:p w14:paraId="11C2203F"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Lõuna-Eesti</w:t>
            </w:r>
          </w:p>
        </w:tc>
        <w:tc>
          <w:tcPr>
            <w:tcW w:w="1420" w:type="dxa"/>
            <w:noWrap/>
            <w:vAlign w:val="center"/>
            <w:hideMark/>
          </w:tcPr>
          <w:p w14:paraId="5F5BCE54" w14:textId="464F06A3"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127</w:t>
            </w:r>
            <w:r w:rsidR="00F65BCB">
              <w:rPr>
                <w:rFonts w:asciiTheme="minorBidi" w:hAnsiTheme="minorBidi"/>
                <w:sz w:val="18"/>
                <w:szCs w:val="18"/>
              </w:rPr>
              <w:t xml:space="preserve"> </w:t>
            </w:r>
            <w:r w:rsidRPr="0025144C">
              <w:rPr>
                <w:rFonts w:asciiTheme="minorBidi" w:hAnsiTheme="minorBidi"/>
                <w:sz w:val="18"/>
                <w:szCs w:val="18"/>
              </w:rPr>
              <w:t>098</w:t>
            </w:r>
          </w:p>
        </w:tc>
        <w:tc>
          <w:tcPr>
            <w:tcW w:w="1420" w:type="dxa"/>
            <w:noWrap/>
            <w:vAlign w:val="center"/>
            <w:hideMark/>
          </w:tcPr>
          <w:p w14:paraId="60074441" w14:textId="06C57E71"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167</w:t>
            </w:r>
            <w:r w:rsidR="00F65BCB">
              <w:rPr>
                <w:rFonts w:asciiTheme="minorBidi" w:hAnsiTheme="minorBidi"/>
                <w:sz w:val="18"/>
                <w:szCs w:val="18"/>
              </w:rPr>
              <w:t xml:space="preserve"> </w:t>
            </w:r>
            <w:r w:rsidRPr="0025144C">
              <w:rPr>
                <w:rFonts w:asciiTheme="minorBidi" w:hAnsiTheme="minorBidi"/>
                <w:sz w:val="18"/>
                <w:szCs w:val="18"/>
              </w:rPr>
              <w:t>594</w:t>
            </w:r>
          </w:p>
        </w:tc>
        <w:tc>
          <w:tcPr>
            <w:tcW w:w="1420" w:type="dxa"/>
            <w:noWrap/>
            <w:vAlign w:val="center"/>
            <w:hideMark/>
          </w:tcPr>
          <w:p w14:paraId="11D2665B" w14:textId="7B96B9C1"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129</w:t>
            </w:r>
            <w:r w:rsidR="00F65BCB">
              <w:rPr>
                <w:rFonts w:asciiTheme="minorBidi" w:hAnsiTheme="minorBidi"/>
                <w:sz w:val="18"/>
                <w:szCs w:val="18"/>
              </w:rPr>
              <w:t xml:space="preserve"> </w:t>
            </w:r>
            <w:r w:rsidRPr="0025144C">
              <w:rPr>
                <w:rFonts w:asciiTheme="minorBidi" w:hAnsiTheme="minorBidi"/>
                <w:sz w:val="18"/>
                <w:szCs w:val="18"/>
              </w:rPr>
              <w:t>427</w:t>
            </w:r>
          </w:p>
        </w:tc>
        <w:tc>
          <w:tcPr>
            <w:tcW w:w="1420" w:type="dxa"/>
            <w:noWrap/>
            <w:vAlign w:val="center"/>
            <w:hideMark/>
          </w:tcPr>
          <w:p w14:paraId="4FAD6462" w14:textId="0A4D867C"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158</w:t>
            </w:r>
            <w:r w:rsidR="00F65BCB">
              <w:rPr>
                <w:rFonts w:asciiTheme="minorBidi" w:hAnsiTheme="minorBidi"/>
                <w:sz w:val="18"/>
                <w:szCs w:val="18"/>
              </w:rPr>
              <w:t xml:space="preserve"> </w:t>
            </w:r>
            <w:r w:rsidRPr="0025144C">
              <w:rPr>
                <w:rFonts w:asciiTheme="minorBidi" w:hAnsiTheme="minorBidi"/>
                <w:sz w:val="18"/>
                <w:szCs w:val="18"/>
              </w:rPr>
              <w:t>661</w:t>
            </w:r>
          </w:p>
        </w:tc>
        <w:tc>
          <w:tcPr>
            <w:tcW w:w="1420" w:type="dxa"/>
            <w:noWrap/>
            <w:vAlign w:val="center"/>
            <w:hideMark/>
          </w:tcPr>
          <w:p w14:paraId="49F0EDB3" w14:textId="648A806A"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218</w:t>
            </w:r>
            <w:r w:rsidR="00F65BCB">
              <w:rPr>
                <w:rFonts w:asciiTheme="minorBidi" w:hAnsiTheme="minorBidi"/>
                <w:sz w:val="18"/>
                <w:szCs w:val="18"/>
              </w:rPr>
              <w:t xml:space="preserve"> </w:t>
            </w:r>
            <w:r w:rsidRPr="0025144C">
              <w:rPr>
                <w:rFonts w:asciiTheme="minorBidi" w:hAnsiTheme="minorBidi"/>
                <w:sz w:val="18"/>
                <w:szCs w:val="18"/>
              </w:rPr>
              <w:t>645</w:t>
            </w:r>
          </w:p>
        </w:tc>
        <w:tc>
          <w:tcPr>
            <w:tcW w:w="1420" w:type="dxa"/>
            <w:noWrap/>
            <w:vAlign w:val="center"/>
            <w:hideMark/>
          </w:tcPr>
          <w:p w14:paraId="3ADBCDA9" w14:textId="6B68C037"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258</w:t>
            </w:r>
            <w:r w:rsidR="00F65BCB">
              <w:rPr>
                <w:rFonts w:asciiTheme="minorBidi" w:hAnsiTheme="minorBidi"/>
                <w:sz w:val="18"/>
                <w:szCs w:val="18"/>
              </w:rPr>
              <w:t xml:space="preserve"> </w:t>
            </w:r>
            <w:r w:rsidRPr="0025144C">
              <w:rPr>
                <w:rFonts w:asciiTheme="minorBidi" w:hAnsiTheme="minorBidi"/>
                <w:sz w:val="18"/>
                <w:szCs w:val="18"/>
              </w:rPr>
              <w:t>053</w:t>
            </w:r>
          </w:p>
        </w:tc>
        <w:tc>
          <w:tcPr>
            <w:tcW w:w="320" w:type="dxa"/>
            <w:noWrap/>
            <w:vAlign w:val="center"/>
            <w:hideMark/>
          </w:tcPr>
          <w:p w14:paraId="1D6D99DF"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10B4D2D0"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17%</w:t>
            </w:r>
          </w:p>
        </w:tc>
        <w:tc>
          <w:tcPr>
            <w:tcW w:w="385" w:type="dxa"/>
            <w:noWrap/>
            <w:vAlign w:val="center"/>
            <w:hideMark/>
          </w:tcPr>
          <w:p w14:paraId="04081E07" w14:textId="77777777" w:rsidR="00F72778" w:rsidRPr="0025144C" w:rsidRDefault="00F72778" w:rsidP="0025144C">
            <w:pPr>
              <w:spacing w:before="0" w:after="0" w:line="240" w:lineRule="auto"/>
              <w:jc w:val="right"/>
              <w:rPr>
                <w:rFonts w:asciiTheme="minorBidi" w:hAnsiTheme="minorBidi"/>
                <w:color w:val="00B050"/>
                <w:sz w:val="18"/>
                <w:szCs w:val="18"/>
              </w:rPr>
            </w:pPr>
          </w:p>
        </w:tc>
        <w:tc>
          <w:tcPr>
            <w:tcW w:w="1165" w:type="dxa"/>
            <w:shd w:val="clear" w:color="auto" w:fill="E5E5E5" w:themeFill="background2" w:themeFillShade="E6"/>
            <w:noWrap/>
            <w:vAlign w:val="center"/>
            <w:hideMark/>
          </w:tcPr>
          <w:p w14:paraId="4674A951"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54%</w:t>
            </w:r>
          </w:p>
        </w:tc>
      </w:tr>
      <w:tr w:rsidR="00F72778" w:rsidRPr="0025144C" w14:paraId="7D6B32B4" w14:textId="77777777" w:rsidTr="009364B5">
        <w:trPr>
          <w:trHeight w:val="300"/>
        </w:trPr>
        <w:tc>
          <w:tcPr>
            <w:tcW w:w="2335" w:type="dxa"/>
            <w:noWrap/>
            <w:vAlign w:val="center"/>
            <w:hideMark/>
          </w:tcPr>
          <w:p w14:paraId="30D1CAFD"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Kesk-Eesti</w:t>
            </w:r>
          </w:p>
        </w:tc>
        <w:tc>
          <w:tcPr>
            <w:tcW w:w="1420" w:type="dxa"/>
            <w:noWrap/>
            <w:vAlign w:val="center"/>
            <w:hideMark/>
          </w:tcPr>
          <w:p w14:paraId="7B652A9E" w14:textId="016BE084"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17</w:t>
            </w:r>
            <w:r w:rsidR="00F65BCB">
              <w:rPr>
                <w:rFonts w:asciiTheme="minorBidi" w:hAnsiTheme="minorBidi"/>
                <w:sz w:val="18"/>
                <w:szCs w:val="18"/>
              </w:rPr>
              <w:t xml:space="preserve"> </w:t>
            </w:r>
            <w:r w:rsidRPr="0025144C">
              <w:rPr>
                <w:rFonts w:asciiTheme="minorBidi" w:hAnsiTheme="minorBidi"/>
                <w:sz w:val="18"/>
                <w:szCs w:val="18"/>
              </w:rPr>
              <w:t>838</w:t>
            </w:r>
          </w:p>
        </w:tc>
        <w:tc>
          <w:tcPr>
            <w:tcW w:w="1420" w:type="dxa"/>
            <w:noWrap/>
            <w:vAlign w:val="center"/>
            <w:hideMark/>
          </w:tcPr>
          <w:p w14:paraId="7320E003" w14:textId="29F6FFDE"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20</w:t>
            </w:r>
            <w:r w:rsidR="00F65BCB">
              <w:rPr>
                <w:rFonts w:asciiTheme="minorBidi" w:hAnsiTheme="minorBidi"/>
                <w:sz w:val="18"/>
                <w:szCs w:val="18"/>
              </w:rPr>
              <w:t xml:space="preserve"> </w:t>
            </w:r>
            <w:r w:rsidRPr="0025144C">
              <w:rPr>
                <w:rFonts w:asciiTheme="minorBidi" w:hAnsiTheme="minorBidi"/>
                <w:sz w:val="18"/>
                <w:szCs w:val="18"/>
              </w:rPr>
              <w:t>281</w:t>
            </w:r>
          </w:p>
        </w:tc>
        <w:tc>
          <w:tcPr>
            <w:tcW w:w="1420" w:type="dxa"/>
            <w:noWrap/>
            <w:vAlign w:val="center"/>
            <w:hideMark/>
          </w:tcPr>
          <w:p w14:paraId="4F3ED397" w14:textId="615EDBD4"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18</w:t>
            </w:r>
            <w:r w:rsidR="00F65BCB">
              <w:rPr>
                <w:rFonts w:asciiTheme="minorBidi" w:hAnsiTheme="minorBidi"/>
                <w:sz w:val="18"/>
                <w:szCs w:val="18"/>
              </w:rPr>
              <w:t xml:space="preserve"> </w:t>
            </w:r>
            <w:r w:rsidRPr="0025144C">
              <w:rPr>
                <w:rFonts w:asciiTheme="minorBidi" w:hAnsiTheme="minorBidi"/>
                <w:sz w:val="18"/>
                <w:szCs w:val="18"/>
              </w:rPr>
              <w:t>612</w:t>
            </w:r>
          </w:p>
        </w:tc>
        <w:tc>
          <w:tcPr>
            <w:tcW w:w="1420" w:type="dxa"/>
            <w:noWrap/>
            <w:vAlign w:val="center"/>
            <w:hideMark/>
          </w:tcPr>
          <w:p w14:paraId="3848357A" w14:textId="79A57043"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23</w:t>
            </w:r>
            <w:r w:rsidR="00F65BCB">
              <w:rPr>
                <w:rFonts w:asciiTheme="minorBidi" w:hAnsiTheme="minorBidi"/>
                <w:sz w:val="18"/>
                <w:szCs w:val="18"/>
              </w:rPr>
              <w:t xml:space="preserve"> </w:t>
            </w:r>
            <w:r w:rsidRPr="0025144C">
              <w:rPr>
                <w:rFonts w:asciiTheme="minorBidi" w:hAnsiTheme="minorBidi"/>
                <w:sz w:val="18"/>
                <w:szCs w:val="18"/>
              </w:rPr>
              <w:t>381</w:t>
            </w:r>
          </w:p>
        </w:tc>
        <w:tc>
          <w:tcPr>
            <w:tcW w:w="1420" w:type="dxa"/>
            <w:noWrap/>
            <w:vAlign w:val="center"/>
            <w:hideMark/>
          </w:tcPr>
          <w:p w14:paraId="45385932" w14:textId="162F259F"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29</w:t>
            </w:r>
            <w:r w:rsidR="00F65BCB">
              <w:rPr>
                <w:rFonts w:asciiTheme="minorBidi" w:hAnsiTheme="minorBidi"/>
                <w:sz w:val="18"/>
                <w:szCs w:val="18"/>
              </w:rPr>
              <w:t xml:space="preserve"> </w:t>
            </w:r>
            <w:r w:rsidRPr="0025144C">
              <w:rPr>
                <w:rFonts w:asciiTheme="minorBidi" w:hAnsiTheme="minorBidi"/>
                <w:sz w:val="18"/>
                <w:szCs w:val="18"/>
              </w:rPr>
              <w:t>456</w:t>
            </w:r>
          </w:p>
        </w:tc>
        <w:tc>
          <w:tcPr>
            <w:tcW w:w="1420" w:type="dxa"/>
            <w:noWrap/>
            <w:vAlign w:val="center"/>
            <w:hideMark/>
          </w:tcPr>
          <w:p w14:paraId="1DC29EC5" w14:textId="3BC1FF68"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34</w:t>
            </w:r>
            <w:r w:rsidR="00F65BCB">
              <w:rPr>
                <w:rFonts w:asciiTheme="minorBidi" w:hAnsiTheme="minorBidi"/>
                <w:sz w:val="18"/>
                <w:szCs w:val="18"/>
              </w:rPr>
              <w:t xml:space="preserve"> </w:t>
            </w:r>
            <w:r w:rsidRPr="0025144C">
              <w:rPr>
                <w:rFonts w:asciiTheme="minorBidi" w:hAnsiTheme="minorBidi"/>
                <w:sz w:val="18"/>
                <w:szCs w:val="18"/>
              </w:rPr>
              <w:t>668</w:t>
            </w:r>
          </w:p>
        </w:tc>
        <w:tc>
          <w:tcPr>
            <w:tcW w:w="320" w:type="dxa"/>
            <w:noWrap/>
            <w:vAlign w:val="center"/>
            <w:hideMark/>
          </w:tcPr>
          <w:p w14:paraId="4E51A99B"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2DE4886F"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2%</w:t>
            </w:r>
          </w:p>
        </w:tc>
        <w:tc>
          <w:tcPr>
            <w:tcW w:w="385" w:type="dxa"/>
            <w:noWrap/>
            <w:vAlign w:val="center"/>
            <w:hideMark/>
          </w:tcPr>
          <w:p w14:paraId="3352DE18" w14:textId="77777777" w:rsidR="00F72778" w:rsidRPr="0025144C" w:rsidRDefault="00F72778" w:rsidP="0025144C">
            <w:pPr>
              <w:spacing w:before="0" w:after="0" w:line="240" w:lineRule="auto"/>
              <w:jc w:val="right"/>
              <w:rPr>
                <w:rFonts w:asciiTheme="minorBidi" w:hAnsiTheme="minorBidi"/>
                <w:color w:val="00B050"/>
                <w:sz w:val="18"/>
                <w:szCs w:val="18"/>
              </w:rPr>
            </w:pPr>
          </w:p>
        </w:tc>
        <w:tc>
          <w:tcPr>
            <w:tcW w:w="1165" w:type="dxa"/>
            <w:shd w:val="clear" w:color="auto" w:fill="E5E5E5" w:themeFill="background2" w:themeFillShade="E6"/>
            <w:noWrap/>
            <w:vAlign w:val="center"/>
            <w:hideMark/>
          </w:tcPr>
          <w:p w14:paraId="0D1F1B69"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71%</w:t>
            </w:r>
          </w:p>
        </w:tc>
      </w:tr>
      <w:tr w:rsidR="00F72778" w:rsidRPr="0025144C" w14:paraId="137BDA1A" w14:textId="77777777" w:rsidTr="009364B5">
        <w:trPr>
          <w:trHeight w:val="300"/>
        </w:trPr>
        <w:tc>
          <w:tcPr>
            <w:tcW w:w="2335" w:type="dxa"/>
            <w:noWrap/>
            <w:vAlign w:val="center"/>
            <w:hideMark/>
          </w:tcPr>
          <w:p w14:paraId="14852000" w14:textId="77777777" w:rsidR="00F72778" w:rsidRPr="0025144C" w:rsidRDefault="00F72778" w:rsidP="0025144C">
            <w:pPr>
              <w:spacing w:before="0" w:after="0" w:line="240" w:lineRule="auto"/>
              <w:jc w:val="right"/>
              <w:rPr>
                <w:rFonts w:asciiTheme="minorBidi" w:hAnsiTheme="minorBidi"/>
                <w:b/>
                <w:sz w:val="18"/>
                <w:szCs w:val="18"/>
              </w:rPr>
            </w:pPr>
            <w:r w:rsidRPr="0025144C">
              <w:rPr>
                <w:rFonts w:asciiTheme="minorBidi" w:hAnsiTheme="minorBidi"/>
                <w:b/>
                <w:sz w:val="18"/>
                <w:szCs w:val="18"/>
              </w:rPr>
              <w:t>Kirde-Eesti</w:t>
            </w:r>
          </w:p>
        </w:tc>
        <w:tc>
          <w:tcPr>
            <w:tcW w:w="1420" w:type="dxa"/>
            <w:noWrap/>
            <w:vAlign w:val="center"/>
            <w:hideMark/>
          </w:tcPr>
          <w:p w14:paraId="5229562C" w14:textId="0F373597"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40</w:t>
            </w:r>
            <w:r w:rsidR="00F65BCB">
              <w:rPr>
                <w:rFonts w:asciiTheme="minorBidi" w:hAnsiTheme="minorBidi"/>
                <w:sz w:val="18"/>
                <w:szCs w:val="18"/>
              </w:rPr>
              <w:t xml:space="preserve"> </w:t>
            </w:r>
            <w:r w:rsidRPr="0025144C">
              <w:rPr>
                <w:rFonts w:asciiTheme="minorBidi" w:hAnsiTheme="minorBidi"/>
                <w:sz w:val="18"/>
                <w:szCs w:val="18"/>
              </w:rPr>
              <w:t>173</w:t>
            </w:r>
          </w:p>
        </w:tc>
        <w:tc>
          <w:tcPr>
            <w:tcW w:w="1420" w:type="dxa"/>
            <w:noWrap/>
            <w:vAlign w:val="center"/>
            <w:hideMark/>
          </w:tcPr>
          <w:p w14:paraId="16DBBC57" w14:textId="730664E3"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48</w:t>
            </w:r>
            <w:r w:rsidR="00F65BCB">
              <w:rPr>
                <w:rFonts w:asciiTheme="minorBidi" w:hAnsiTheme="minorBidi"/>
                <w:sz w:val="18"/>
                <w:szCs w:val="18"/>
              </w:rPr>
              <w:t xml:space="preserve"> </w:t>
            </w:r>
            <w:r w:rsidRPr="0025144C">
              <w:rPr>
                <w:rFonts w:asciiTheme="minorBidi" w:hAnsiTheme="minorBidi"/>
                <w:sz w:val="18"/>
                <w:szCs w:val="18"/>
              </w:rPr>
              <w:t>822</w:t>
            </w:r>
          </w:p>
        </w:tc>
        <w:tc>
          <w:tcPr>
            <w:tcW w:w="1420" w:type="dxa"/>
            <w:noWrap/>
            <w:vAlign w:val="center"/>
            <w:hideMark/>
          </w:tcPr>
          <w:p w14:paraId="06D50DBB" w14:textId="1804DCCE"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33</w:t>
            </w:r>
            <w:r w:rsidR="00F65BCB">
              <w:rPr>
                <w:rFonts w:asciiTheme="minorBidi" w:hAnsiTheme="minorBidi"/>
                <w:sz w:val="18"/>
                <w:szCs w:val="18"/>
              </w:rPr>
              <w:t xml:space="preserve"> </w:t>
            </w:r>
            <w:r w:rsidRPr="0025144C">
              <w:rPr>
                <w:rFonts w:asciiTheme="minorBidi" w:hAnsiTheme="minorBidi"/>
                <w:sz w:val="18"/>
                <w:szCs w:val="18"/>
              </w:rPr>
              <w:t>128</w:t>
            </w:r>
          </w:p>
        </w:tc>
        <w:tc>
          <w:tcPr>
            <w:tcW w:w="1420" w:type="dxa"/>
            <w:noWrap/>
            <w:vAlign w:val="center"/>
            <w:hideMark/>
          </w:tcPr>
          <w:p w14:paraId="367C7449" w14:textId="0C508123"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33</w:t>
            </w:r>
            <w:r w:rsidR="00F65BCB">
              <w:rPr>
                <w:rFonts w:asciiTheme="minorBidi" w:hAnsiTheme="minorBidi"/>
                <w:sz w:val="18"/>
                <w:szCs w:val="18"/>
              </w:rPr>
              <w:t xml:space="preserve"> </w:t>
            </w:r>
            <w:r w:rsidRPr="0025144C">
              <w:rPr>
                <w:rFonts w:asciiTheme="minorBidi" w:hAnsiTheme="minorBidi"/>
                <w:sz w:val="18"/>
                <w:szCs w:val="18"/>
              </w:rPr>
              <w:t>615</w:t>
            </w:r>
          </w:p>
        </w:tc>
        <w:tc>
          <w:tcPr>
            <w:tcW w:w="1420" w:type="dxa"/>
            <w:noWrap/>
            <w:vAlign w:val="center"/>
            <w:hideMark/>
          </w:tcPr>
          <w:p w14:paraId="5F85D495" w14:textId="74B23410"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55</w:t>
            </w:r>
            <w:r w:rsidR="00F65BCB">
              <w:rPr>
                <w:rFonts w:asciiTheme="minorBidi" w:hAnsiTheme="minorBidi"/>
                <w:sz w:val="18"/>
                <w:szCs w:val="18"/>
              </w:rPr>
              <w:t xml:space="preserve"> </w:t>
            </w:r>
            <w:r w:rsidRPr="0025144C">
              <w:rPr>
                <w:rFonts w:asciiTheme="minorBidi" w:hAnsiTheme="minorBidi"/>
                <w:sz w:val="18"/>
                <w:szCs w:val="18"/>
              </w:rPr>
              <w:t>641</w:t>
            </w:r>
          </w:p>
        </w:tc>
        <w:tc>
          <w:tcPr>
            <w:tcW w:w="1420" w:type="dxa"/>
            <w:noWrap/>
            <w:vAlign w:val="center"/>
            <w:hideMark/>
          </w:tcPr>
          <w:p w14:paraId="2C393D95" w14:textId="3520ECE3" w:rsidR="00F72778" w:rsidRPr="0025144C" w:rsidRDefault="00F72778" w:rsidP="0025144C">
            <w:pPr>
              <w:spacing w:before="0" w:after="0" w:line="240" w:lineRule="auto"/>
              <w:jc w:val="right"/>
              <w:rPr>
                <w:rFonts w:asciiTheme="minorBidi" w:hAnsiTheme="minorBidi"/>
                <w:sz w:val="18"/>
                <w:szCs w:val="18"/>
              </w:rPr>
            </w:pPr>
            <w:r w:rsidRPr="0025144C">
              <w:rPr>
                <w:rFonts w:asciiTheme="minorBidi" w:hAnsiTheme="minorBidi"/>
                <w:sz w:val="18"/>
                <w:szCs w:val="18"/>
              </w:rPr>
              <w:t>44</w:t>
            </w:r>
            <w:r w:rsidR="00F65BCB">
              <w:rPr>
                <w:rFonts w:asciiTheme="minorBidi" w:hAnsiTheme="minorBidi"/>
                <w:sz w:val="18"/>
                <w:szCs w:val="18"/>
              </w:rPr>
              <w:t xml:space="preserve"> </w:t>
            </w:r>
            <w:r w:rsidRPr="0025144C">
              <w:rPr>
                <w:rFonts w:asciiTheme="minorBidi" w:hAnsiTheme="minorBidi"/>
                <w:sz w:val="18"/>
                <w:szCs w:val="18"/>
              </w:rPr>
              <w:t>407</w:t>
            </w:r>
          </w:p>
        </w:tc>
        <w:tc>
          <w:tcPr>
            <w:tcW w:w="320" w:type="dxa"/>
            <w:noWrap/>
            <w:vAlign w:val="center"/>
            <w:hideMark/>
          </w:tcPr>
          <w:p w14:paraId="2AFC54B9" w14:textId="77777777" w:rsidR="00F72778" w:rsidRPr="0025144C" w:rsidRDefault="00F72778" w:rsidP="0025144C">
            <w:pPr>
              <w:spacing w:before="0" w:after="0" w:line="240" w:lineRule="auto"/>
              <w:jc w:val="right"/>
              <w:rPr>
                <w:rFonts w:asciiTheme="minorBidi" w:hAnsiTheme="minorBidi"/>
                <w:sz w:val="18"/>
                <w:szCs w:val="18"/>
              </w:rPr>
            </w:pPr>
          </w:p>
        </w:tc>
        <w:tc>
          <w:tcPr>
            <w:tcW w:w="965" w:type="dxa"/>
            <w:shd w:val="clear" w:color="auto" w:fill="E5E5E5" w:themeFill="background2" w:themeFillShade="E6"/>
            <w:noWrap/>
            <w:vAlign w:val="center"/>
            <w:hideMark/>
          </w:tcPr>
          <w:p w14:paraId="2D4AFDA6" w14:textId="77777777" w:rsidR="00F72778" w:rsidRPr="00B54A22" w:rsidRDefault="00F72778" w:rsidP="0025144C">
            <w:pPr>
              <w:spacing w:before="0" w:after="0" w:line="240" w:lineRule="auto"/>
              <w:jc w:val="right"/>
              <w:rPr>
                <w:rFonts w:asciiTheme="minorBidi" w:hAnsiTheme="minorBidi"/>
                <w:sz w:val="18"/>
                <w:szCs w:val="18"/>
              </w:rPr>
            </w:pPr>
            <w:r w:rsidRPr="00B54A22">
              <w:rPr>
                <w:rFonts w:asciiTheme="minorBidi" w:hAnsiTheme="minorBidi"/>
                <w:sz w:val="18"/>
                <w:szCs w:val="18"/>
              </w:rPr>
              <w:t>3%</w:t>
            </w:r>
          </w:p>
        </w:tc>
        <w:tc>
          <w:tcPr>
            <w:tcW w:w="385" w:type="dxa"/>
            <w:noWrap/>
            <w:vAlign w:val="center"/>
            <w:hideMark/>
          </w:tcPr>
          <w:p w14:paraId="30F184E0" w14:textId="77777777" w:rsidR="00F72778" w:rsidRPr="0025144C" w:rsidRDefault="00F72778" w:rsidP="0025144C">
            <w:pPr>
              <w:spacing w:before="0" w:after="0" w:line="240" w:lineRule="auto"/>
              <w:jc w:val="right"/>
              <w:rPr>
                <w:rFonts w:asciiTheme="minorBidi" w:hAnsiTheme="minorBidi"/>
                <w:color w:val="00B050"/>
                <w:sz w:val="18"/>
                <w:szCs w:val="18"/>
              </w:rPr>
            </w:pPr>
          </w:p>
        </w:tc>
        <w:tc>
          <w:tcPr>
            <w:tcW w:w="1165" w:type="dxa"/>
            <w:shd w:val="clear" w:color="auto" w:fill="E5E5E5" w:themeFill="background2" w:themeFillShade="E6"/>
            <w:noWrap/>
            <w:vAlign w:val="center"/>
            <w:hideMark/>
          </w:tcPr>
          <w:p w14:paraId="3C83485D" w14:textId="77777777" w:rsidR="00F72778" w:rsidRPr="0025144C" w:rsidRDefault="00F72778" w:rsidP="0025144C">
            <w:pPr>
              <w:spacing w:before="0" w:after="0" w:line="240" w:lineRule="auto"/>
              <w:jc w:val="right"/>
              <w:rPr>
                <w:rFonts w:asciiTheme="minorBidi" w:hAnsiTheme="minorBidi"/>
                <w:color w:val="FF0000"/>
                <w:sz w:val="18"/>
                <w:szCs w:val="18"/>
              </w:rPr>
            </w:pPr>
            <w:r w:rsidRPr="0025144C">
              <w:rPr>
                <w:rFonts w:asciiTheme="minorBidi" w:hAnsiTheme="minorBidi"/>
                <w:color w:val="FF0000"/>
                <w:sz w:val="18"/>
                <w:szCs w:val="18"/>
              </w:rPr>
              <w:t>-9%</w:t>
            </w:r>
          </w:p>
        </w:tc>
      </w:tr>
    </w:tbl>
    <w:p w14:paraId="60870D7B" w14:textId="77777777" w:rsidR="00F72778" w:rsidRPr="00E14EBC" w:rsidRDefault="00F72778" w:rsidP="00F72778">
      <w:pPr>
        <w:pStyle w:val="BottomCaption"/>
      </w:pPr>
      <w:r w:rsidRPr="00E14EBC">
        <w:t>Allikas: Eurostat</w:t>
      </w:r>
    </w:p>
    <w:p w14:paraId="381D1395" w14:textId="77777777" w:rsidR="00F72778" w:rsidRPr="00E14EBC" w:rsidRDefault="00F72778" w:rsidP="00F72778">
      <w:pPr>
        <w:spacing w:line="259" w:lineRule="auto"/>
      </w:pPr>
    </w:p>
    <w:p w14:paraId="4E85042F" w14:textId="77777777" w:rsidR="00F72778" w:rsidRPr="00E14EBC" w:rsidRDefault="00F72778" w:rsidP="00F72778">
      <w:pPr>
        <w:rPr>
          <w:rFonts w:ascii="Arial" w:eastAsia="Arial" w:hAnsi="Arial" w:cs="Arial"/>
          <w:szCs w:val="24"/>
        </w:rPr>
      </w:pPr>
    </w:p>
    <w:p w14:paraId="5FFE5CBC" w14:textId="77777777" w:rsidR="00F72778" w:rsidRPr="00E14EBC" w:rsidRDefault="00F72778" w:rsidP="00F72778">
      <w:pPr>
        <w:rPr>
          <w:rFonts w:ascii="Arial" w:eastAsia="Arial" w:hAnsi="Arial" w:cs="Arial"/>
          <w:szCs w:val="24"/>
        </w:rPr>
      </w:pPr>
    </w:p>
    <w:p w14:paraId="38C6561D" w14:textId="77777777" w:rsidR="00F72778" w:rsidRPr="00E14EBC" w:rsidRDefault="00F72778" w:rsidP="00F72778">
      <w:pPr>
        <w:rPr>
          <w:rFonts w:ascii="Arial" w:eastAsia="Arial" w:hAnsi="Arial" w:cs="Arial"/>
          <w:szCs w:val="24"/>
        </w:rPr>
      </w:pPr>
    </w:p>
    <w:p w14:paraId="117145C1" w14:textId="77777777" w:rsidR="00F72778" w:rsidRDefault="00F72778" w:rsidP="00F72778">
      <w:pPr>
        <w:spacing w:line="259" w:lineRule="auto"/>
        <w:rPr>
          <w:iCs/>
          <w:color w:val="82009B" w:themeColor="accent6"/>
          <w:szCs w:val="18"/>
        </w:rPr>
      </w:pPr>
      <w:r>
        <w:br w:type="page"/>
      </w:r>
    </w:p>
    <w:p w14:paraId="54ADC283" w14:textId="3FB960FD" w:rsidR="00F72778" w:rsidRPr="00E14EBC" w:rsidRDefault="00F72778" w:rsidP="00F72778">
      <w:pPr>
        <w:pStyle w:val="Caption"/>
      </w:pPr>
      <w:r w:rsidRPr="00E14EBC">
        <w:lastRenderedPageBreak/>
        <w:t xml:space="preserve">Tabel </w:t>
      </w:r>
      <w:r>
        <w:t>29</w:t>
      </w:r>
      <w:r w:rsidRPr="00E14EBC">
        <w:t>: Sise- ja välisturistide ööbimiste arv kuude lõikes lühiajalise üüri majutuskohtades; kuude osatähtsus, Eesti, 2019–2023</w:t>
      </w:r>
    </w:p>
    <w:tbl>
      <w:tblPr>
        <w:tblW w:w="14097" w:type="dxa"/>
        <w:tblLook w:val="04A0" w:firstRow="1" w:lastRow="0" w:firstColumn="1" w:lastColumn="0" w:noHBand="0" w:noVBand="1"/>
      </w:tblPr>
      <w:tblGrid>
        <w:gridCol w:w="1687"/>
        <w:gridCol w:w="867"/>
        <w:gridCol w:w="1017"/>
        <w:gridCol w:w="867"/>
        <w:gridCol w:w="867"/>
        <w:gridCol w:w="867"/>
        <w:gridCol w:w="867"/>
        <w:gridCol w:w="867"/>
        <w:gridCol w:w="867"/>
        <w:gridCol w:w="867"/>
        <w:gridCol w:w="417"/>
        <w:gridCol w:w="867"/>
        <w:gridCol w:w="417"/>
        <w:gridCol w:w="267"/>
        <w:gridCol w:w="1352"/>
        <w:gridCol w:w="1137"/>
      </w:tblGrid>
      <w:tr w:rsidR="00F72778" w:rsidRPr="004F2095" w14:paraId="269AEBB7" w14:textId="77777777" w:rsidTr="4A7E2F16">
        <w:trPr>
          <w:trHeight w:val="440"/>
        </w:trPr>
        <w:tc>
          <w:tcPr>
            <w:tcW w:w="0" w:type="auto"/>
            <w:tcBorders>
              <w:left w:val="nil"/>
              <w:bottom w:val="nil"/>
              <w:right w:val="single" w:sz="4" w:space="0" w:color="auto"/>
            </w:tcBorders>
            <w:noWrap/>
            <w:vAlign w:val="center"/>
            <w:hideMark/>
          </w:tcPr>
          <w:p w14:paraId="75A7EC69" w14:textId="77777777" w:rsidR="00F72778" w:rsidRPr="004F2095" w:rsidRDefault="00F72778" w:rsidP="004F2095">
            <w:pPr>
              <w:spacing w:before="0" w:after="0" w:line="240" w:lineRule="auto"/>
              <w:rPr>
                <w:rFonts w:asciiTheme="minorBidi" w:hAnsiTheme="minorBidi"/>
                <w:color w:val="000000"/>
                <w:sz w:val="18"/>
                <w:szCs w:val="18"/>
              </w:rPr>
            </w:pPr>
            <w:r w:rsidRPr="004F2095">
              <w:rPr>
                <w:rFonts w:asciiTheme="minorBidi" w:hAnsiTheme="minorBidi"/>
                <w:color w:val="000000"/>
                <w:sz w:val="18"/>
                <w:szCs w:val="18"/>
              </w:rPr>
              <w:t> </w:t>
            </w:r>
          </w:p>
        </w:tc>
        <w:tc>
          <w:tcPr>
            <w:tcW w:w="0" w:type="auto"/>
            <w:gridSpan w:val="2"/>
            <w:tcBorders>
              <w:top w:val="single" w:sz="4" w:space="0" w:color="auto"/>
              <w:left w:val="single" w:sz="4" w:space="0" w:color="auto"/>
              <w:bottom w:val="nil"/>
              <w:right w:val="single" w:sz="4" w:space="0" w:color="auto"/>
            </w:tcBorders>
            <w:noWrap/>
            <w:vAlign w:val="center"/>
            <w:hideMark/>
          </w:tcPr>
          <w:p w14:paraId="462569BC" w14:textId="77777777" w:rsidR="00F72778" w:rsidRPr="004F2095" w:rsidRDefault="00F72778" w:rsidP="004F2095">
            <w:pPr>
              <w:spacing w:before="0" w:after="0" w:line="240" w:lineRule="auto"/>
              <w:jc w:val="center"/>
              <w:rPr>
                <w:rFonts w:asciiTheme="minorBidi" w:hAnsiTheme="minorBidi"/>
                <w:b/>
                <w:color w:val="000000"/>
                <w:sz w:val="18"/>
                <w:szCs w:val="18"/>
              </w:rPr>
            </w:pPr>
            <w:r w:rsidRPr="004F2095">
              <w:rPr>
                <w:rFonts w:asciiTheme="minorBidi" w:hAnsiTheme="minorBidi"/>
                <w:b/>
                <w:color w:val="000000"/>
                <w:sz w:val="18"/>
                <w:szCs w:val="18"/>
              </w:rPr>
              <w:t>2019</w:t>
            </w:r>
          </w:p>
        </w:tc>
        <w:tc>
          <w:tcPr>
            <w:tcW w:w="0" w:type="auto"/>
            <w:gridSpan w:val="2"/>
            <w:tcBorders>
              <w:top w:val="single" w:sz="4" w:space="0" w:color="auto"/>
              <w:left w:val="nil"/>
              <w:bottom w:val="nil"/>
              <w:right w:val="single" w:sz="4" w:space="0" w:color="auto"/>
            </w:tcBorders>
            <w:noWrap/>
            <w:vAlign w:val="center"/>
            <w:hideMark/>
          </w:tcPr>
          <w:p w14:paraId="24563939" w14:textId="77777777" w:rsidR="00F72778" w:rsidRPr="004F2095" w:rsidRDefault="00F72778" w:rsidP="004F2095">
            <w:pPr>
              <w:spacing w:before="0" w:after="0" w:line="240" w:lineRule="auto"/>
              <w:jc w:val="center"/>
              <w:rPr>
                <w:rFonts w:asciiTheme="minorBidi" w:hAnsiTheme="minorBidi"/>
                <w:b/>
                <w:color w:val="000000"/>
                <w:sz w:val="18"/>
                <w:szCs w:val="18"/>
              </w:rPr>
            </w:pPr>
            <w:r w:rsidRPr="004F2095">
              <w:rPr>
                <w:rFonts w:asciiTheme="minorBidi" w:hAnsiTheme="minorBidi"/>
                <w:b/>
                <w:color w:val="000000"/>
                <w:sz w:val="18"/>
                <w:szCs w:val="18"/>
              </w:rPr>
              <w:t>2020</w:t>
            </w:r>
          </w:p>
        </w:tc>
        <w:tc>
          <w:tcPr>
            <w:tcW w:w="0" w:type="auto"/>
            <w:gridSpan w:val="2"/>
            <w:tcBorders>
              <w:top w:val="single" w:sz="4" w:space="0" w:color="auto"/>
              <w:left w:val="nil"/>
              <w:bottom w:val="nil"/>
              <w:right w:val="single" w:sz="4" w:space="0" w:color="auto"/>
            </w:tcBorders>
            <w:noWrap/>
            <w:vAlign w:val="center"/>
            <w:hideMark/>
          </w:tcPr>
          <w:p w14:paraId="1ADE1713" w14:textId="77777777" w:rsidR="00F72778" w:rsidRPr="004F2095" w:rsidRDefault="00F72778" w:rsidP="004F2095">
            <w:pPr>
              <w:spacing w:before="0" w:after="0" w:line="240" w:lineRule="auto"/>
              <w:jc w:val="center"/>
              <w:rPr>
                <w:rFonts w:asciiTheme="minorBidi" w:hAnsiTheme="minorBidi"/>
                <w:b/>
                <w:color w:val="000000"/>
                <w:sz w:val="18"/>
                <w:szCs w:val="18"/>
              </w:rPr>
            </w:pPr>
            <w:r w:rsidRPr="004F2095">
              <w:rPr>
                <w:rFonts w:asciiTheme="minorBidi" w:hAnsiTheme="minorBidi"/>
                <w:b/>
                <w:color w:val="000000"/>
                <w:sz w:val="18"/>
                <w:szCs w:val="18"/>
              </w:rPr>
              <w:t>2021</w:t>
            </w:r>
          </w:p>
        </w:tc>
        <w:tc>
          <w:tcPr>
            <w:tcW w:w="0" w:type="auto"/>
            <w:gridSpan w:val="2"/>
            <w:tcBorders>
              <w:top w:val="single" w:sz="4" w:space="0" w:color="auto"/>
              <w:left w:val="nil"/>
              <w:bottom w:val="nil"/>
              <w:right w:val="single" w:sz="4" w:space="0" w:color="auto"/>
            </w:tcBorders>
            <w:noWrap/>
            <w:vAlign w:val="center"/>
            <w:hideMark/>
          </w:tcPr>
          <w:p w14:paraId="552805CC" w14:textId="77777777" w:rsidR="00F72778" w:rsidRPr="004F2095" w:rsidRDefault="00F72778" w:rsidP="004F2095">
            <w:pPr>
              <w:spacing w:before="0" w:after="0" w:line="240" w:lineRule="auto"/>
              <w:jc w:val="center"/>
              <w:rPr>
                <w:rFonts w:asciiTheme="minorBidi" w:hAnsiTheme="minorBidi"/>
                <w:b/>
                <w:color w:val="000000"/>
                <w:sz w:val="18"/>
                <w:szCs w:val="18"/>
              </w:rPr>
            </w:pPr>
            <w:r w:rsidRPr="004F2095">
              <w:rPr>
                <w:rFonts w:asciiTheme="minorBidi" w:hAnsiTheme="minorBidi"/>
                <w:b/>
                <w:color w:val="000000"/>
                <w:sz w:val="18"/>
                <w:szCs w:val="18"/>
              </w:rPr>
              <w:t>2022</w:t>
            </w:r>
          </w:p>
        </w:tc>
        <w:tc>
          <w:tcPr>
            <w:tcW w:w="0" w:type="auto"/>
            <w:gridSpan w:val="3"/>
            <w:tcBorders>
              <w:top w:val="single" w:sz="4" w:space="0" w:color="auto"/>
              <w:left w:val="nil"/>
              <w:bottom w:val="nil"/>
            </w:tcBorders>
            <w:noWrap/>
            <w:vAlign w:val="center"/>
            <w:hideMark/>
          </w:tcPr>
          <w:p w14:paraId="7B735167" w14:textId="77777777" w:rsidR="00F72778" w:rsidRPr="004F2095" w:rsidRDefault="00F72778" w:rsidP="004F2095">
            <w:pPr>
              <w:spacing w:before="0" w:after="0" w:line="240" w:lineRule="auto"/>
              <w:jc w:val="center"/>
              <w:rPr>
                <w:rFonts w:asciiTheme="minorBidi" w:hAnsiTheme="minorBidi"/>
                <w:b/>
                <w:color w:val="000000"/>
                <w:sz w:val="18"/>
                <w:szCs w:val="18"/>
              </w:rPr>
            </w:pPr>
            <w:r w:rsidRPr="004F2095">
              <w:rPr>
                <w:rFonts w:asciiTheme="minorBidi" w:hAnsiTheme="minorBidi"/>
                <w:b/>
                <w:color w:val="000000"/>
                <w:sz w:val="18"/>
                <w:szCs w:val="18"/>
              </w:rPr>
              <w:t>2023</w:t>
            </w:r>
          </w:p>
        </w:tc>
        <w:tc>
          <w:tcPr>
            <w:tcW w:w="0" w:type="auto"/>
            <w:tcBorders>
              <w:top w:val="single" w:sz="4" w:space="0" w:color="auto"/>
              <w:bottom w:val="nil"/>
              <w:right w:val="single" w:sz="4" w:space="0" w:color="auto"/>
            </w:tcBorders>
            <w:noWrap/>
            <w:vAlign w:val="center"/>
            <w:hideMark/>
          </w:tcPr>
          <w:p w14:paraId="1206C4A5" w14:textId="77777777" w:rsidR="00F72778" w:rsidRPr="004F2095" w:rsidRDefault="00F72778" w:rsidP="004F2095">
            <w:pPr>
              <w:spacing w:before="0" w:after="0" w:line="240" w:lineRule="auto"/>
              <w:jc w:val="center"/>
              <w:rPr>
                <w:rFonts w:asciiTheme="minorBidi" w:hAnsiTheme="minorBidi"/>
                <w:b/>
                <w:color w:val="000000"/>
                <w:sz w:val="18"/>
                <w:szCs w:val="18"/>
              </w:rPr>
            </w:pPr>
            <w:r w:rsidRPr="004F2095">
              <w:rPr>
                <w:rFonts w:asciiTheme="minorBidi" w:hAnsiTheme="minorBidi"/>
                <w:b/>
                <w:color w:val="000000"/>
                <w:sz w:val="18"/>
                <w:szCs w:val="18"/>
              </w:rPr>
              <w:t> </w:t>
            </w:r>
          </w:p>
        </w:tc>
        <w:tc>
          <w:tcPr>
            <w:tcW w:w="0" w:type="auto"/>
            <w:tcBorders>
              <w:top w:val="single" w:sz="4" w:space="0" w:color="auto"/>
              <w:left w:val="nil"/>
              <w:bottom w:val="nil"/>
              <w:right w:val="nil"/>
            </w:tcBorders>
            <w:noWrap/>
            <w:vAlign w:val="center"/>
            <w:hideMark/>
          </w:tcPr>
          <w:p w14:paraId="28B2BAE5" w14:textId="77777777" w:rsidR="00F72778" w:rsidRPr="004F2095" w:rsidRDefault="00F72778" w:rsidP="004F2095">
            <w:pPr>
              <w:spacing w:before="0" w:after="0" w:line="240" w:lineRule="auto"/>
              <w:jc w:val="center"/>
              <w:rPr>
                <w:rFonts w:asciiTheme="minorBidi" w:hAnsiTheme="minorBidi"/>
                <w:b/>
                <w:color w:val="000000"/>
                <w:sz w:val="18"/>
                <w:szCs w:val="18"/>
              </w:rPr>
            </w:pPr>
          </w:p>
        </w:tc>
        <w:tc>
          <w:tcPr>
            <w:tcW w:w="2484" w:type="dxa"/>
            <w:gridSpan w:val="2"/>
            <w:tcBorders>
              <w:top w:val="single" w:sz="4" w:space="0" w:color="auto"/>
              <w:left w:val="single" w:sz="4" w:space="0" w:color="auto"/>
              <w:bottom w:val="nil"/>
              <w:right w:val="single" w:sz="4" w:space="0" w:color="000000"/>
            </w:tcBorders>
            <w:noWrap/>
            <w:vAlign w:val="center"/>
            <w:hideMark/>
          </w:tcPr>
          <w:p w14:paraId="6BB8AB92" w14:textId="77777777" w:rsidR="00F72778" w:rsidRPr="004F2095" w:rsidRDefault="00F72778" w:rsidP="004F2095">
            <w:pPr>
              <w:spacing w:before="0" w:after="0" w:line="240" w:lineRule="auto"/>
              <w:jc w:val="center"/>
              <w:rPr>
                <w:rFonts w:asciiTheme="minorBidi" w:hAnsiTheme="minorBidi"/>
                <w:b/>
                <w:color w:val="000000"/>
                <w:sz w:val="18"/>
                <w:szCs w:val="18"/>
              </w:rPr>
            </w:pPr>
            <w:r w:rsidRPr="004F2095">
              <w:rPr>
                <w:rFonts w:asciiTheme="minorBidi" w:hAnsiTheme="minorBidi"/>
                <w:b/>
                <w:color w:val="000000"/>
                <w:sz w:val="18"/>
                <w:szCs w:val="18"/>
              </w:rPr>
              <w:t>2023</w:t>
            </w:r>
          </w:p>
        </w:tc>
      </w:tr>
      <w:tr w:rsidR="007964F1" w:rsidRPr="004F2095" w14:paraId="5D2FAEC8" w14:textId="77777777" w:rsidTr="4A7E2F16">
        <w:trPr>
          <w:trHeight w:val="300"/>
        </w:trPr>
        <w:tc>
          <w:tcPr>
            <w:tcW w:w="0" w:type="auto"/>
            <w:tcBorders>
              <w:top w:val="nil"/>
              <w:left w:val="nil"/>
              <w:bottom w:val="single" w:sz="4" w:space="0" w:color="auto"/>
              <w:right w:val="single" w:sz="4" w:space="0" w:color="auto"/>
            </w:tcBorders>
            <w:noWrap/>
            <w:vAlign w:val="center"/>
            <w:hideMark/>
          </w:tcPr>
          <w:p w14:paraId="20517FB5" w14:textId="77777777" w:rsidR="00F72778" w:rsidRPr="004F2095" w:rsidRDefault="00F72778" w:rsidP="004F2095">
            <w:pPr>
              <w:spacing w:before="0" w:after="0" w:line="240" w:lineRule="auto"/>
              <w:rPr>
                <w:rFonts w:asciiTheme="minorBidi" w:hAnsiTheme="minorBidi"/>
                <w:color w:val="000000"/>
                <w:sz w:val="18"/>
                <w:szCs w:val="18"/>
              </w:rPr>
            </w:pPr>
            <w:r w:rsidRPr="004F2095">
              <w:rPr>
                <w:rFonts w:asciiTheme="minorBidi" w:hAnsiTheme="minorBidi"/>
                <w:color w:val="000000"/>
                <w:sz w:val="18"/>
                <w:szCs w:val="18"/>
              </w:rPr>
              <w:t> </w:t>
            </w:r>
          </w:p>
        </w:tc>
        <w:tc>
          <w:tcPr>
            <w:tcW w:w="0" w:type="auto"/>
            <w:tcBorders>
              <w:top w:val="nil"/>
              <w:left w:val="single" w:sz="4" w:space="0" w:color="auto"/>
              <w:bottom w:val="single" w:sz="4" w:space="0" w:color="auto"/>
              <w:right w:val="nil"/>
            </w:tcBorders>
            <w:noWrap/>
            <w:vAlign w:val="center"/>
            <w:hideMark/>
          </w:tcPr>
          <w:p w14:paraId="719D0D61" w14:textId="77777777" w:rsidR="00F72778" w:rsidRPr="004F2095" w:rsidRDefault="00F72778" w:rsidP="004F2095">
            <w:pPr>
              <w:spacing w:before="0" w:after="0" w:line="240" w:lineRule="auto"/>
              <w:ind w:right="-46"/>
              <w:jc w:val="right"/>
              <w:rPr>
                <w:rFonts w:asciiTheme="minorBidi" w:hAnsiTheme="minorBidi"/>
                <w:b/>
                <w:color w:val="000000"/>
                <w:sz w:val="18"/>
                <w:szCs w:val="18"/>
              </w:rPr>
            </w:pPr>
            <w:r w:rsidRPr="004F2095">
              <w:rPr>
                <w:rFonts w:asciiTheme="minorBidi" w:hAnsiTheme="minorBidi"/>
                <w:b/>
                <w:color w:val="000000"/>
                <w:sz w:val="18"/>
                <w:szCs w:val="18"/>
              </w:rPr>
              <w:t>sise</w:t>
            </w:r>
          </w:p>
        </w:tc>
        <w:tc>
          <w:tcPr>
            <w:tcW w:w="0" w:type="auto"/>
            <w:tcBorders>
              <w:top w:val="nil"/>
              <w:left w:val="nil"/>
              <w:bottom w:val="single" w:sz="4" w:space="0" w:color="auto"/>
              <w:right w:val="nil"/>
            </w:tcBorders>
            <w:noWrap/>
            <w:vAlign w:val="center"/>
            <w:hideMark/>
          </w:tcPr>
          <w:p w14:paraId="31173F25" w14:textId="77777777" w:rsidR="00F72778" w:rsidRPr="004F2095" w:rsidRDefault="00F72778" w:rsidP="004F2095">
            <w:pPr>
              <w:spacing w:before="0" w:after="0" w:line="240" w:lineRule="auto"/>
              <w:jc w:val="right"/>
              <w:rPr>
                <w:rFonts w:asciiTheme="minorBidi" w:hAnsiTheme="minorBidi"/>
                <w:b/>
                <w:color w:val="000000"/>
                <w:sz w:val="18"/>
                <w:szCs w:val="18"/>
              </w:rPr>
            </w:pPr>
            <w:r w:rsidRPr="004F2095">
              <w:rPr>
                <w:rFonts w:asciiTheme="minorBidi" w:hAnsiTheme="minorBidi"/>
                <w:b/>
                <w:color w:val="000000"/>
                <w:sz w:val="18"/>
                <w:szCs w:val="18"/>
              </w:rPr>
              <w:t>välis</w:t>
            </w:r>
          </w:p>
        </w:tc>
        <w:tc>
          <w:tcPr>
            <w:tcW w:w="0" w:type="auto"/>
            <w:tcBorders>
              <w:top w:val="nil"/>
              <w:left w:val="single" w:sz="4" w:space="0" w:color="auto"/>
              <w:bottom w:val="single" w:sz="4" w:space="0" w:color="auto"/>
              <w:right w:val="nil"/>
            </w:tcBorders>
            <w:noWrap/>
            <w:vAlign w:val="center"/>
            <w:hideMark/>
          </w:tcPr>
          <w:p w14:paraId="63DE407C" w14:textId="77777777" w:rsidR="00F72778" w:rsidRPr="004F2095" w:rsidRDefault="00F72778" w:rsidP="004F2095">
            <w:pPr>
              <w:spacing w:before="0" w:after="0" w:line="240" w:lineRule="auto"/>
              <w:jc w:val="right"/>
              <w:rPr>
                <w:rFonts w:asciiTheme="minorBidi" w:hAnsiTheme="minorBidi"/>
                <w:b/>
                <w:color w:val="000000"/>
                <w:sz w:val="18"/>
                <w:szCs w:val="18"/>
              </w:rPr>
            </w:pPr>
            <w:r w:rsidRPr="004F2095">
              <w:rPr>
                <w:rFonts w:asciiTheme="minorBidi" w:hAnsiTheme="minorBidi"/>
                <w:b/>
                <w:color w:val="000000"/>
                <w:sz w:val="18"/>
                <w:szCs w:val="18"/>
              </w:rPr>
              <w:t>sise</w:t>
            </w:r>
          </w:p>
        </w:tc>
        <w:tc>
          <w:tcPr>
            <w:tcW w:w="0" w:type="auto"/>
            <w:tcBorders>
              <w:top w:val="nil"/>
              <w:left w:val="nil"/>
              <w:bottom w:val="single" w:sz="4" w:space="0" w:color="auto"/>
              <w:right w:val="single" w:sz="4" w:space="0" w:color="auto"/>
            </w:tcBorders>
            <w:noWrap/>
            <w:vAlign w:val="center"/>
            <w:hideMark/>
          </w:tcPr>
          <w:p w14:paraId="605CD147" w14:textId="77777777" w:rsidR="00F72778" w:rsidRPr="004F2095" w:rsidRDefault="00F72778" w:rsidP="004F2095">
            <w:pPr>
              <w:spacing w:before="0" w:after="0" w:line="240" w:lineRule="auto"/>
              <w:jc w:val="right"/>
              <w:rPr>
                <w:rFonts w:asciiTheme="minorBidi" w:hAnsiTheme="minorBidi"/>
                <w:b/>
                <w:color w:val="000000"/>
                <w:sz w:val="18"/>
                <w:szCs w:val="18"/>
              </w:rPr>
            </w:pPr>
            <w:r w:rsidRPr="004F2095">
              <w:rPr>
                <w:rFonts w:asciiTheme="minorBidi" w:hAnsiTheme="minorBidi"/>
                <w:b/>
                <w:color w:val="000000"/>
                <w:sz w:val="18"/>
                <w:szCs w:val="18"/>
              </w:rPr>
              <w:t>välis</w:t>
            </w:r>
          </w:p>
        </w:tc>
        <w:tc>
          <w:tcPr>
            <w:tcW w:w="0" w:type="auto"/>
            <w:tcBorders>
              <w:top w:val="nil"/>
              <w:left w:val="nil"/>
              <w:bottom w:val="single" w:sz="4" w:space="0" w:color="auto"/>
              <w:right w:val="nil"/>
            </w:tcBorders>
            <w:noWrap/>
            <w:vAlign w:val="center"/>
            <w:hideMark/>
          </w:tcPr>
          <w:p w14:paraId="63D570C6" w14:textId="77777777" w:rsidR="00F72778" w:rsidRPr="004F2095" w:rsidRDefault="00F72778" w:rsidP="004F2095">
            <w:pPr>
              <w:spacing w:before="0" w:after="0" w:line="240" w:lineRule="auto"/>
              <w:jc w:val="right"/>
              <w:rPr>
                <w:rFonts w:asciiTheme="minorBidi" w:hAnsiTheme="minorBidi"/>
                <w:b/>
                <w:color w:val="000000"/>
                <w:sz w:val="18"/>
                <w:szCs w:val="18"/>
              </w:rPr>
            </w:pPr>
            <w:r w:rsidRPr="004F2095">
              <w:rPr>
                <w:rFonts w:asciiTheme="minorBidi" w:hAnsiTheme="minorBidi"/>
                <w:b/>
                <w:color w:val="000000"/>
                <w:sz w:val="18"/>
                <w:szCs w:val="18"/>
              </w:rPr>
              <w:t>sise</w:t>
            </w:r>
          </w:p>
        </w:tc>
        <w:tc>
          <w:tcPr>
            <w:tcW w:w="0" w:type="auto"/>
            <w:tcBorders>
              <w:top w:val="nil"/>
              <w:left w:val="nil"/>
              <w:bottom w:val="single" w:sz="4" w:space="0" w:color="auto"/>
              <w:right w:val="nil"/>
            </w:tcBorders>
            <w:noWrap/>
            <w:vAlign w:val="center"/>
            <w:hideMark/>
          </w:tcPr>
          <w:p w14:paraId="0E544FEC" w14:textId="77777777" w:rsidR="00F72778" w:rsidRPr="004F2095" w:rsidRDefault="00F72778" w:rsidP="004F2095">
            <w:pPr>
              <w:spacing w:before="0" w:after="0" w:line="240" w:lineRule="auto"/>
              <w:jc w:val="right"/>
              <w:rPr>
                <w:rFonts w:asciiTheme="minorBidi" w:hAnsiTheme="minorBidi"/>
                <w:b/>
                <w:color w:val="000000"/>
                <w:sz w:val="18"/>
                <w:szCs w:val="18"/>
              </w:rPr>
            </w:pPr>
            <w:r w:rsidRPr="004F2095">
              <w:rPr>
                <w:rFonts w:asciiTheme="minorBidi" w:hAnsiTheme="minorBidi"/>
                <w:b/>
                <w:color w:val="000000"/>
                <w:sz w:val="18"/>
                <w:szCs w:val="18"/>
              </w:rPr>
              <w:t>välis</w:t>
            </w:r>
          </w:p>
        </w:tc>
        <w:tc>
          <w:tcPr>
            <w:tcW w:w="0" w:type="auto"/>
            <w:tcBorders>
              <w:top w:val="nil"/>
              <w:left w:val="single" w:sz="4" w:space="0" w:color="auto"/>
              <w:bottom w:val="single" w:sz="4" w:space="0" w:color="auto"/>
              <w:right w:val="nil"/>
            </w:tcBorders>
            <w:noWrap/>
            <w:vAlign w:val="center"/>
            <w:hideMark/>
          </w:tcPr>
          <w:p w14:paraId="538ACB1A" w14:textId="77777777" w:rsidR="00F72778" w:rsidRPr="004F2095" w:rsidRDefault="00F72778" w:rsidP="004F2095">
            <w:pPr>
              <w:spacing w:before="0" w:after="0" w:line="240" w:lineRule="auto"/>
              <w:jc w:val="right"/>
              <w:rPr>
                <w:rFonts w:asciiTheme="minorBidi" w:hAnsiTheme="minorBidi"/>
                <w:b/>
                <w:color w:val="000000"/>
                <w:sz w:val="18"/>
                <w:szCs w:val="18"/>
              </w:rPr>
            </w:pPr>
            <w:r w:rsidRPr="004F2095">
              <w:rPr>
                <w:rFonts w:asciiTheme="minorBidi" w:hAnsiTheme="minorBidi"/>
                <w:b/>
                <w:color w:val="000000"/>
                <w:sz w:val="18"/>
                <w:szCs w:val="18"/>
              </w:rPr>
              <w:t>sise</w:t>
            </w:r>
          </w:p>
        </w:tc>
        <w:tc>
          <w:tcPr>
            <w:tcW w:w="0" w:type="auto"/>
            <w:tcBorders>
              <w:top w:val="nil"/>
              <w:left w:val="nil"/>
              <w:bottom w:val="single" w:sz="4" w:space="0" w:color="auto"/>
              <w:right w:val="single" w:sz="4" w:space="0" w:color="auto"/>
            </w:tcBorders>
            <w:noWrap/>
            <w:vAlign w:val="center"/>
            <w:hideMark/>
          </w:tcPr>
          <w:p w14:paraId="0E9E9165" w14:textId="77777777" w:rsidR="00F72778" w:rsidRPr="004F2095" w:rsidRDefault="00F72778" w:rsidP="004F2095">
            <w:pPr>
              <w:spacing w:before="0" w:after="0" w:line="240" w:lineRule="auto"/>
              <w:jc w:val="right"/>
              <w:rPr>
                <w:rFonts w:asciiTheme="minorBidi" w:hAnsiTheme="minorBidi"/>
                <w:b/>
                <w:color w:val="000000"/>
                <w:sz w:val="18"/>
                <w:szCs w:val="18"/>
              </w:rPr>
            </w:pPr>
            <w:r w:rsidRPr="004F2095">
              <w:rPr>
                <w:rFonts w:asciiTheme="minorBidi" w:hAnsiTheme="minorBidi"/>
                <w:b/>
                <w:color w:val="000000"/>
                <w:sz w:val="18"/>
                <w:szCs w:val="18"/>
              </w:rPr>
              <w:t>välis</w:t>
            </w:r>
          </w:p>
        </w:tc>
        <w:tc>
          <w:tcPr>
            <w:tcW w:w="0" w:type="auto"/>
            <w:tcBorders>
              <w:top w:val="nil"/>
              <w:left w:val="nil"/>
              <w:bottom w:val="single" w:sz="4" w:space="0" w:color="auto"/>
              <w:right w:val="nil"/>
            </w:tcBorders>
            <w:noWrap/>
            <w:vAlign w:val="center"/>
            <w:hideMark/>
          </w:tcPr>
          <w:p w14:paraId="743C8736" w14:textId="77777777" w:rsidR="00F72778" w:rsidRPr="004F2095" w:rsidRDefault="00F72778" w:rsidP="004F2095">
            <w:pPr>
              <w:spacing w:before="0" w:after="0" w:line="240" w:lineRule="auto"/>
              <w:jc w:val="right"/>
              <w:rPr>
                <w:rFonts w:asciiTheme="minorBidi" w:hAnsiTheme="minorBidi"/>
                <w:b/>
                <w:color w:val="000000"/>
                <w:sz w:val="18"/>
                <w:szCs w:val="18"/>
              </w:rPr>
            </w:pPr>
            <w:r w:rsidRPr="004F2095">
              <w:rPr>
                <w:rFonts w:asciiTheme="minorBidi" w:hAnsiTheme="minorBidi"/>
                <w:b/>
                <w:color w:val="000000"/>
                <w:sz w:val="18"/>
                <w:szCs w:val="18"/>
              </w:rPr>
              <w:t>sise</w:t>
            </w:r>
          </w:p>
        </w:tc>
        <w:tc>
          <w:tcPr>
            <w:tcW w:w="0" w:type="auto"/>
            <w:tcBorders>
              <w:top w:val="nil"/>
              <w:left w:val="nil"/>
              <w:bottom w:val="single" w:sz="4" w:space="0" w:color="auto"/>
              <w:right w:val="nil"/>
            </w:tcBorders>
            <w:noWrap/>
            <w:vAlign w:val="center"/>
            <w:hideMark/>
          </w:tcPr>
          <w:p w14:paraId="511C134F" w14:textId="77777777" w:rsidR="00F72778" w:rsidRPr="004F2095" w:rsidRDefault="00F72778" w:rsidP="004F2095">
            <w:pPr>
              <w:spacing w:before="0" w:after="0" w:line="240" w:lineRule="auto"/>
              <w:jc w:val="right"/>
              <w:rPr>
                <w:rFonts w:asciiTheme="minorBidi" w:hAnsiTheme="minorBidi"/>
                <w:b/>
                <w:color w:val="000000"/>
                <w:sz w:val="18"/>
                <w:szCs w:val="18"/>
              </w:rPr>
            </w:pPr>
            <w:r w:rsidRPr="004F2095">
              <w:rPr>
                <w:rFonts w:asciiTheme="minorBidi" w:hAnsiTheme="minorBidi"/>
                <w:b/>
                <w:color w:val="000000"/>
                <w:sz w:val="18"/>
                <w:szCs w:val="18"/>
              </w:rPr>
              <w:t>%</w:t>
            </w:r>
          </w:p>
        </w:tc>
        <w:tc>
          <w:tcPr>
            <w:tcW w:w="0" w:type="auto"/>
            <w:tcBorders>
              <w:top w:val="nil"/>
              <w:left w:val="nil"/>
              <w:bottom w:val="single" w:sz="4" w:space="0" w:color="auto"/>
              <w:right w:val="nil"/>
            </w:tcBorders>
            <w:noWrap/>
            <w:vAlign w:val="center"/>
            <w:hideMark/>
          </w:tcPr>
          <w:p w14:paraId="3D1D9EBB" w14:textId="77777777" w:rsidR="00F72778" w:rsidRPr="004F2095" w:rsidRDefault="00F72778" w:rsidP="004F2095">
            <w:pPr>
              <w:spacing w:before="0" w:after="0" w:line="240" w:lineRule="auto"/>
              <w:jc w:val="right"/>
              <w:rPr>
                <w:rFonts w:asciiTheme="minorBidi" w:hAnsiTheme="minorBidi"/>
                <w:b/>
                <w:color w:val="000000"/>
                <w:sz w:val="18"/>
                <w:szCs w:val="18"/>
              </w:rPr>
            </w:pPr>
            <w:r w:rsidRPr="004F2095">
              <w:rPr>
                <w:rFonts w:asciiTheme="minorBidi" w:hAnsiTheme="minorBidi"/>
                <w:b/>
                <w:color w:val="000000"/>
                <w:sz w:val="18"/>
                <w:szCs w:val="18"/>
              </w:rPr>
              <w:t>välis</w:t>
            </w:r>
          </w:p>
        </w:tc>
        <w:tc>
          <w:tcPr>
            <w:tcW w:w="0" w:type="auto"/>
            <w:tcBorders>
              <w:top w:val="nil"/>
              <w:left w:val="nil"/>
              <w:bottom w:val="single" w:sz="4" w:space="0" w:color="auto"/>
              <w:right w:val="single" w:sz="4" w:space="0" w:color="auto"/>
            </w:tcBorders>
            <w:noWrap/>
            <w:vAlign w:val="center"/>
            <w:hideMark/>
          </w:tcPr>
          <w:p w14:paraId="345F4E64" w14:textId="77777777" w:rsidR="00F72778" w:rsidRPr="004F2095" w:rsidRDefault="00F72778" w:rsidP="004F2095">
            <w:pPr>
              <w:spacing w:before="0" w:after="0" w:line="240" w:lineRule="auto"/>
              <w:jc w:val="right"/>
              <w:rPr>
                <w:rFonts w:asciiTheme="minorBidi" w:hAnsiTheme="minorBidi"/>
                <w:b/>
                <w:color w:val="000000"/>
                <w:sz w:val="18"/>
                <w:szCs w:val="18"/>
              </w:rPr>
            </w:pPr>
            <w:r w:rsidRPr="004F2095">
              <w:rPr>
                <w:rFonts w:asciiTheme="minorBidi" w:hAnsiTheme="minorBidi"/>
                <w:b/>
                <w:color w:val="000000"/>
                <w:sz w:val="18"/>
                <w:szCs w:val="18"/>
              </w:rPr>
              <w:t>%</w:t>
            </w:r>
          </w:p>
        </w:tc>
        <w:tc>
          <w:tcPr>
            <w:tcW w:w="0" w:type="auto"/>
            <w:tcBorders>
              <w:top w:val="nil"/>
              <w:left w:val="nil"/>
              <w:bottom w:val="single" w:sz="4" w:space="0" w:color="auto"/>
              <w:right w:val="nil"/>
            </w:tcBorders>
            <w:noWrap/>
            <w:vAlign w:val="center"/>
            <w:hideMark/>
          </w:tcPr>
          <w:p w14:paraId="474F1FBB" w14:textId="77777777" w:rsidR="00F72778" w:rsidRPr="004F2095" w:rsidRDefault="00F72778" w:rsidP="004F2095">
            <w:pPr>
              <w:spacing w:before="0" w:after="0" w:line="240" w:lineRule="auto"/>
              <w:jc w:val="right"/>
              <w:rPr>
                <w:rFonts w:asciiTheme="minorBidi" w:hAnsiTheme="minorBidi"/>
                <w:b/>
                <w:color w:val="000000"/>
                <w:sz w:val="18"/>
                <w:szCs w:val="18"/>
              </w:rPr>
            </w:pPr>
            <w:r w:rsidRPr="004F2095">
              <w:rPr>
                <w:rFonts w:asciiTheme="minorBidi" w:hAnsiTheme="minorBidi"/>
                <w:b/>
                <w:color w:val="000000"/>
                <w:sz w:val="18"/>
                <w:szCs w:val="18"/>
              </w:rPr>
              <w:t> </w:t>
            </w:r>
          </w:p>
        </w:tc>
        <w:tc>
          <w:tcPr>
            <w:tcW w:w="1352" w:type="dxa"/>
            <w:tcBorders>
              <w:top w:val="nil"/>
              <w:left w:val="single" w:sz="4" w:space="0" w:color="auto"/>
              <w:bottom w:val="single" w:sz="4" w:space="0" w:color="auto"/>
              <w:right w:val="nil"/>
            </w:tcBorders>
            <w:shd w:val="clear" w:color="auto" w:fill="E5E5E5" w:themeFill="background2" w:themeFillShade="E6"/>
            <w:noWrap/>
            <w:vAlign w:val="center"/>
            <w:hideMark/>
          </w:tcPr>
          <w:p w14:paraId="418114C3" w14:textId="77777777" w:rsidR="00F72778" w:rsidRPr="00B54A22" w:rsidRDefault="00F72778" w:rsidP="004F2095">
            <w:pPr>
              <w:spacing w:before="0" w:after="0" w:line="240" w:lineRule="auto"/>
              <w:jc w:val="right"/>
              <w:rPr>
                <w:rFonts w:asciiTheme="minorBidi" w:hAnsiTheme="minorBidi"/>
                <w:b/>
                <w:bCs/>
                <w:sz w:val="18"/>
                <w:szCs w:val="18"/>
              </w:rPr>
            </w:pPr>
            <w:r w:rsidRPr="00B54A22">
              <w:rPr>
                <w:rFonts w:asciiTheme="minorBidi" w:hAnsiTheme="minorBidi"/>
                <w:b/>
                <w:bCs/>
                <w:sz w:val="18"/>
                <w:szCs w:val="18"/>
              </w:rPr>
              <w:t>kokku</w:t>
            </w:r>
          </w:p>
        </w:tc>
        <w:tc>
          <w:tcPr>
            <w:tcW w:w="0" w:type="auto"/>
            <w:tcBorders>
              <w:top w:val="nil"/>
              <w:left w:val="nil"/>
              <w:bottom w:val="single" w:sz="4" w:space="0" w:color="auto"/>
              <w:right w:val="single" w:sz="4" w:space="0" w:color="auto"/>
            </w:tcBorders>
            <w:noWrap/>
            <w:vAlign w:val="center"/>
            <w:hideMark/>
          </w:tcPr>
          <w:p w14:paraId="10064FCA" w14:textId="039D2CA4" w:rsidR="00F72778" w:rsidRPr="00B54A22" w:rsidRDefault="00760C8F" w:rsidP="004F2095">
            <w:pPr>
              <w:spacing w:before="0" w:after="0" w:line="240" w:lineRule="auto"/>
              <w:jc w:val="right"/>
              <w:rPr>
                <w:rFonts w:asciiTheme="minorBidi" w:hAnsiTheme="minorBidi"/>
                <w:b/>
                <w:bCs/>
                <w:sz w:val="18"/>
                <w:szCs w:val="18"/>
              </w:rPr>
            </w:pPr>
            <w:r w:rsidRPr="00B54A22">
              <w:rPr>
                <w:rFonts w:asciiTheme="minorBidi" w:hAnsiTheme="minorBidi"/>
                <w:b/>
                <w:bCs/>
                <w:sz w:val="18"/>
                <w:szCs w:val="18"/>
              </w:rPr>
              <w:t>o</w:t>
            </w:r>
            <w:r w:rsidR="00F72778" w:rsidRPr="00B54A22">
              <w:rPr>
                <w:rFonts w:asciiTheme="minorBidi" w:hAnsiTheme="minorBidi"/>
                <w:b/>
                <w:bCs/>
                <w:sz w:val="18"/>
                <w:szCs w:val="18"/>
              </w:rPr>
              <w:t>sakaal</w:t>
            </w:r>
            <w:r w:rsidRPr="00B54A22">
              <w:rPr>
                <w:rFonts w:asciiTheme="minorBidi" w:hAnsiTheme="minorBidi"/>
                <w:b/>
                <w:bCs/>
                <w:sz w:val="18"/>
                <w:szCs w:val="18"/>
              </w:rPr>
              <w:t>, %</w:t>
            </w:r>
          </w:p>
        </w:tc>
      </w:tr>
      <w:tr w:rsidR="007964F1" w:rsidRPr="004F2095" w14:paraId="73682413" w14:textId="77777777" w:rsidTr="4A7E2F16">
        <w:trPr>
          <w:trHeight w:val="300"/>
        </w:trPr>
        <w:tc>
          <w:tcPr>
            <w:tcW w:w="0" w:type="auto"/>
            <w:tcBorders>
              <w:top w:val="single" w:sz="4" w:space="0" w:color="auto"/>
              <w:left w:val="single" w:sz="4" w:space="0" w:color="auto"/>
              <w:bottom w:val="nil"/>
              <w:right w:val="single" w:sz="4" w:space="0" w:color="auto"/>
            </w:tcBorders>
            <w:noWrap/>
            <w:vAlign w:val="center"/>
            <w:hideMark/>
          </w:tcPr>
          <w:p w14:paraId="0951038E" w14:textId="77777777" w:rsidR="00F72778" w:rsidRPr="004F2095" w:rsidRDefault="00F72778" w:rsidP="004F2095">
            <w:pPr>
              <w:spacing w:before="0" w:after="0" w:line="240" w:lineRule="auto"/>
              <w:rPr>
                <w:rFonts w:asciiTheme="minorBidi" w:hAnsiTheme="minorBidi"/>
                <w:sz w:val="18"/>
                <w:szCs w:val="18"/>
              </w:rPr>
            </w:pPr>
            <w:r w:rsidRPr="004F2095">
              <w:rPr>
                <w:rFonts w:asciiTheme="minorBidi" w:hAnsiTheme="minorBidi"/>
                <w:sz w:val="18"/>
                <w:szCs w:val="18"/>
              </w:rPr>
              <w:t>jaanuar</w:t>
            </w:r>
          </w:p>
        </w:tc>
        <w:tc>
          <w:tcPr>
            <w:tcW w:w="0" w:type="auto"/>
            <w:tcBorders>
              <w:top w:val="nil"/>
              <w:left w:val="nil"/>
              <w:bottom w:val="nil"/>
              <w:right w:val="nil"/>
            </w:tcBorders>
            <w:noWrap/>
            <w:vAlign w:val="center"/>
            <w:hideMark/>
          </w:tcPr>
          <w:p w14:paraId="04020A59" w14:textId="0B8E8313"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13</w:t>
            </w:r>
            <w:r w:rsidR="009364B5">
              <w:rPr>
                <w:rFonts w:asciiTheme="minorBidi" w:hAnsiTheme="minorBidi"/>
                <w:sz w:val="18"/>
                <w:szCs w:val="18"/>
              </w:rPr>
              <w:t xml:space="preserve"> </w:t>
            </w:r>
            <w:r w:rsidRPr="004F2095">
              <w:rPr>
                <w:rFonts w:asciiTheme="minorBidi" w:hAnsiTheme="minorBidi"/>
                <w:sz w:val="18"/>
                <w:szCs w:val="18"/>
              </w:rPr>
              <w:t>787</w:t>
            </w:r>
          </w:p>
        </w:tc>
        <w:tc>
          <w:tcPr>
            <w:tcW w:w="0" w:type="auto"/>
            <w:tcBorders>
              <w:top w:val="nil"/>
              <w:left w:val="nil"/>
              <w:bottom w:val="nil"/>
              <w:right w:val="nil"/>
            </w:tcBorders>
            <w:noWrap/>
            <w:vAlign w:val="center"/>
            <w:hideMark/>
          </w:tcPr>
          <w:p w14:paraId="5D53AECE" w14:textId="43FA1F5C"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59</w:t>
            </w:r>
            <w:r w:rsidR="009364B5">
              <w:rPr>
                <w:rFonts w:asciiTheme="minorBidi" w:hAnsiTheme="minorBidi"/>
                <w:sz w:val="18"/>
                <w:szCs w:val="18"/>
              </w:rPr>
              <w:t xml:space="preserve"> </w:t>
            </w:r>
            <w:r w:rsidRPr="004F2095">
              <w:rPr>
                <w:rFonts w:asciiTheme="minorBidi" w:hAnsiTheme="minorBidi"/>
                <w:sz w:val="18"/>
                <w:szCs w:val="18"/>
              </w:rPr>
              <w:t>172</w:t>
            </w:r>
          </w:p>
        </w:tc>
        <w:tc>
          <w:tcPr>
            <w:tcW w:w="0" w:type="auto"/>
            <w:tcBorders>
              <w:top w:val="nil"/>
              <w:left w:val="single" w:sz="4" w:space="0" w:color="auto"/>
              <w:bottom w:val="nil"/>
              <w:right w:val="nil"/>
            </w:tcBorders>
            <w:noWrap/>
            <w:vAlign w:val="center"/>
            <w:hideMark/>
          </w:tcPr>
          <w:p w14:paraId="6E65F0B2" w14:textId="122CDF27"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18</w:t>
            </w:r>
            <w:r w:rsidR="009364B5">
              <w:rPr>
                <w:rFonts w:asciiTheme="minorBidi" w:hAnsiTheme="minorBidi"/>
                <w:sz w:val="18"/>
                <w:szCs w:val="18"/>
              </w:rPr>
              <w:t xml:space="preserve"> </w:t>
            </w:r>
            <w:r w:rsidRPr="004F2095">
              <w:rPr>
                <w:rFonts w:asciiTheme="minorBidi" w:hAnsiTheme="minorBidi"/>
                <w:sz w:val="18"/>
                <w:szCs w:val="18"/>
              </w:rPr>
              <w:t>440</w:t>
            </w:r>
          </w:p>
        </w:tc>
        <w:tc>
          <w:tcPr>
            <w:tcW w:w="0" w:type="auto"/>
            <w:tcBorders>
              <w:top w:val="nil"/>
              <w:left w:val="nil"/>
              <w:bottom w:val="nil"/>
              <w:right w:val="single" w:sz="4" w:space="0" w:color="auto"/>
            </w:tcBorders>
            <w:noWrap/>
            <w:vAlign w:val="center"/>
            <w:hideMark/>
          </w:tcPr>
          <w:p w14:paraId="57CFD107" w14:textId="783423AE"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77</w:t>
            </w:r>
            <w:r w:rsidR="009364B5">
              <w:rPr>
                <w:rFonts w:asciiTheme="minorBidi" w:hAnsiTheme="minorBidi"/>
                <w:sz w:val="18"/>
                <w:szCs w:val="18"/>
              </w:rPr>
              <w:t xml:space="preserve"> </w:t>
            </w:r>
            <w:r w:rsidRPr="004F2095">
              <w:rPr>
                <w:rFonts w:asciiTheme="minorBidi" w:hAnsiTheme="minorBidi"/>
                <w:sz w:val="18"/>
                <w:szCs w:val="18"/>
              </w:rPr>
              <w:t>302</w:t>
            </w:r>
          </w:p>
        </w:tc>
        <w:tc>
          <w:tcPr>
            <w:tcW w:w="0" w:type="auto"/>
            <w:tcBorders>
              <w:top w:val="nil"/>
              <w:left w:val="nil"/>
              <w:bottom w:val="nil"/>
              <w:right w:val="nil"/>
            </w:tcBorders>
            <w:noWrap/>
            <w:vAlign w:val="center"/>
            <w:hideMark/>
          </w:tcPr>
          <w:p w14:paraId="5A92D6D4" w14:textId="3F37E9A7"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24</w:t>
            </w:r>
            <w:r w:rsidR="009364B5">
              <w:rPr>
                <w:rFonts w:asciiTheme="minorBidi" w:hAnsiTheme="minorBidi"/>
                <w:sz w:val="18"/>
                <w:szCs w:val="18"/>
              </w:rPr>
              <w:t xml:space="preserve"> </w:t>
            </w:r>
            <w:r w:rsidRPr="004F2095">
              <w:rPr>
                <w:rFonts w:asciiTheme="minorBidi" w:hAnsiTheme="minorBidi"/>
                <w:sz w:val="18"/>
                <w:szCs w:val="18"/>
              </w:rPr>
              <w:t>514</w:t>
            </w:r>
          </w:p>
        </w:tc>
        <w:tc>
          <w:tcPr>
            <w:tcW w:w="0" w:type="auto"/>
            <w:tcBorders>
              <w:top w:val="nil"/>
              <w:left w:val="nil"/>
              <w:bottom w:val="nil"/>
              <w:right w:val="nil"/>
            </w:tcBorders>
            <w:noWrap/>
            <w:vAlign w:val="center"/>
            <w:hideMark/>
          </w:tcPr>
          <w:p w14:paraId="4E486253" w14:textId="59AE8226"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11</w:t>
            </w:r>
            <w:r w:rsidR="009364B5">
              <w:rPr>
                <w:rFonts w:asciiTheme="minorBidi" w:hAnsiTheme="minorBidi"/>
                <w:sz w:val="18"/>
                <w:szCs w:val="18"/>
              </w:rPr>
              <w:t xml:space="preserve"> </w:t>
            </w:r>
            <w:r w:rsidRPr="004F2095">
              <w:rPr>
                <w:rFonts w:asciiTheme="minorBidi" w:hAnsiTheme="minorBidi"/>
                <w:sz w:val="18"/>
                <w:szCs w:val="18"/>
              </w:rPr>
              <w:t>370</w:t>
            </w:r>
          </w:p>
        </w:tc>
        <w:tc>
          <w:tcPr>
            <w:tcW w:w="0" w:type="auto"/>
            <w:tcBorders>
              <w:top w:val="nil"/>
              <w:left w:val="single" w:sz="4" w:space="0" w:color="auto"/>
              <w:bottom w:val="nil"/>
              <w:right w:val="nil"/>
            </w:tcBorders>
            <w:noWrap/>
            <w:vAlign w:val="center"/>
            <w:hideMark/>
          </w:tcPr>
          <w:p w14:paraId="49F0E5CA" w14:textId="7084D0F9"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26</w:t>
            </w:r>
            <w:r w:rsidR="009364B5">
              <w:rPr>
                <w:rFonts w:asciiTheme="minorBidi" w:hAnsiTheme="minorBidi"/>
                <w:sz w:val="18"/>
                <w:szCs w:val="18"/>
              </w:rPr>
              <w:t xml:space="preserve"> </w:t>
            </w:r>
            <w:r w:rsidRPr="004F2095">
              <w:rPr>
                <w:rFonts w:asciiTheme="minorBidi" w:hAnsiTheme="minorBidi"/>
                <w:sz w:val="18"/>
                <w:szCs w:val="18"/>
              </w:rPr>
              <w:t>885</w:t>
            </w:r>
          </w:p>
        </w:tc>
        <w:tc>
          <w:tcPr>
            <w:tcW w:w="0" w:type="auto"/>
            <w:tcBorders>
              <w:top w:val="nil"/>
              <w:left w:val="nil"/>
              <w:bottom w:val="nil"/>
              <w:right w:val="single" w:sz="4" w:space="0" w:color="auto"/>
            </w:tcBorders>
            <w:noWrap/>
            <w:vAlign w:val="center"/>
            <w:hideMark/>
          </w:tcPr>
          <w:p w14:paraId="39AC55D8" w14:textId="063C3227"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28</w:t>
            </w:r>
            <w:r w:rsidR="009364B5">
              <w:rPr>
                <w:rFonts w:asciiTheme="minorBidi" w:hAnsiTheme="minorBidi"/>
                <w:sz w:val="18"/>
                <w:szCs w:val="18"/>
              </w:rPr>
              <w:t xml:space="preserve"> </w:t>
            </w:r>
            <w:r w:rsidRPr="004F2095">
              <w:rPr>
                <w:rFonts w:asciiTheme="minorBidi" w:hAnsiTheme="minorBidi"/>
                <w:sz w:val="18"/>
                <w:szCs w:val="18"/>
              </w:rPr>
              <w:t>070</w:t>
            </w:r>
          </w:p>
        </w:tc>
        <w:tc>
          <w:tcPr>
            <w:tcW w:w="0" w:type="auto"/>
            <w:tcBorders>
              <w:top w:val="nil"/>
              <w:left w:val="nil"/>
              <w:bottom w:val="nil"/>
              <w:right w:val="nil"/>
            </w:tcBorders>
            <w:noWrap/>
            <w:vAlign w:val="center"/>
            <w:hideMark/>
          </w:tcPr>
          <w:p w14:paraId="236602AE" w14:textId="531F0A3A"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27</w:t>
            </w:r>
            <w:r w:rsidR="009364B5">
              <w:rPr>
                <w:rFonts w:asciiTheme="minorBidi" w:hAnsiTheme="minorBidi"/>
                <w:sz w:val="18"/>
                <w:szCs w:val="18"/>
              </w:rPr>
              <w:t xml:space="preserve"> </w:t>
            </w:r>
            <w:r w:rsidRPr="004F2095">
              <w:rPr>
                <w:rFonts w:asciiTheme="minorBidi" w:hAnsiTheme="minorBidi"/>
                <w:sz w:val="18"/>
                <w:szCs w:val="18"/>
              </w:rPr>
              <w:t>137</w:t>
            </w:r>
          </w:p>
        </w:tc>
        <w:tc>
          <w:tcPr>
            <w:tcW w:w="0" w:type="auto"/>
            <w:tcBorders>
              <w:top w:val="nil"/>
              <w:left w:val="nil"/>
              <w:bottom w:val="nil"/>
              <w:right w:val="nil"/>
            </w:tcBorders>
            <w:noWrap/>
            <w:vAlign w:val="center"/>
            <w:hideMark/>
          </w:tcPr>
          <w:p w14:paraId="1B81A46E" w14:textId="0F4B1AA4"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w:t>
            </w:r>
          </w:p>
        </w:tc>
        <w:tc>
          <w:tcPr>
            <w:tcW w:w="0" w:type="auto"/>
            <w:tcBorders>
              <w:top w:val="nil"/>
              <w:left w:val="nil"/>
              <w:bottom w:val="nil"/>
              <w:right w:val="nil"/>
            </w:tcBorders>
            <w:noWrap/>
            <w:vAlign w:val="center"/>
            <w:hideMark/>
          </w:tcPr>
          <w:p w14:paraId="578DD3EB" w14:textId="4BA0F164"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35</w:t>
            </w:r>
            <w:r w:rsidR="009364B5">
              <w:rPr>
                <w:rFonts w:asciiTheme="minorBidi" w:hAnsiTheme="minorBidi"/>
                <w:sz w:val="18"/>
                <w:szCs w:val="18"/>
              </w:rPr>
              <w:t xml:space="preserve"> </w:t>
            </w:r>
            <w:r w:rsidRPr="004F2095">
              <w:rPr>
                <w:rFonts w:asciiTheme="minorBidi" w:hAnsiTheme="minorBidi"/>
                <w:sz w:val="18"/>
                <w:szCs w:val="18"/>
              </w:rPr>
              <w:t>861</w:t>
            </w:r>
          </w:p>
        </w:tc>
        <w:tc>
          <w:tcPr>
            <w:tcW w:w="0" w:type="auto"/>
            <w:tcBorders>
              <w:top w:val="nil"/>
              <w:left w:val="nil"/>
              <w:bottom w:val="nil"/>
              <w:right w:val="single" w:sz="4" w:space="0" w:color="auto"/>
            </w:tcBorders>
            <w:noWrap/>
            <w:vAlign w:val="center"/>
            <w:hideMark/>
          </w:tcPr>
          <w:p w14:paraId="7707D4E8" w14:textId="4F49BF59"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4</w:t>
            </w:r>
          </w:p>
        </w:tc>
        <w:tc>
          <w:tcPr>
            <w:tcW w:w="0" w:type="auto"/>
            <w:tcBorders>
              <w:top w:val="nil"/>
              <w:left w:val="nil"/>
              <w:bottom w:val="nil"/>
              <w:right w:val="nil"/>
            </w:tcBorders>
            <w:noWrap/>
            <w:vAlign w:val="center"/>
            <w:hideMark/>
          </w:tcPr>
          <w:p w14:paraId="027FAFC3" w14:textId="77777777" w:rsidR="00F72778" w:rsidRPr="004F2095" w:rsidRDefault="00F72778" w:rsidP="004F2095">
            <w:pPr>
              <w:spacing w:before="0" w:after="0" w:line="240" w:lineRule="auto"/>
              <w:jc w:val="right"/>
              <w:rPr>
                <w:rFonts w:asciiTheme="minorBidi" w:hAnsiTheme="minorBidi"/>
                <w:sz w:val="18"/>
                <w:szCs w:val="18"/>
              </w:rPr>
            </w:pPr>
          </w:p>
        </w:tc>
        <w:tc>
          <w:tcPr>
            <w:tcW w:w="1352" w:type="dxa"/>
            <w:tcBorders>
              <w:top w:val="nil"/>
              <w:left w:val="single" w:sz="4" w:space="0" w:color="auto"/>
              <w:bottom w:val="nil"/>
              <w:right w:val="nil"/>
            </w:tcBorders>
            <w:shd w:val="clear" w:color="auto" w:fill="E5E5E5" w:themeFill="background2" w:themeFillShade="E6"/>
            <w:noWrap/>
            <w:vAlign w:val="center"/>
            <w:hideMark/>
          </w:tcPr>
          <w:p w14:paraId="77867978" w14:textId="16417130"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62</w:t>
            </w:r>
            <w:r w:rsidR="009364B5">
              <w:rPr>
                <w:rFonts w:asciiTheme="minorBidi" w:hAnsiTheme="minorBidi"/>
                <w:sz w:val="18"/>
                <w:szCs w:val="18"/>
              </w:rPr>
              <w:t xml:space="preserve"> </w:t>
            </w:r>
            <w:r w:rsidRPr="00B54A22">
              <w:rPr>
                <w:rFonts w:asciiTheme="minorBidi" w:hAnsiTheme="minorBidi"/>
                <w:sz w:val="18"/>
                <w:szCs w:val="18"/>
              </w:rPr>
              <w:t>998</w:t>
            </w:r>
          </w:p>
        </w:tc>
        <w:tc>
          <w:tcPr>
            <w:tcW w:w="0" w:type="auto"/>
            <w:tcBorders>
              <w:top w:val="nil"/>
              <w:left w:val="nil"/>
              <w:bottom w:val="nil"/>
              <w:right w:val="single" w:sz="4" w:space="0" w:color="auto"/>
            </w:tcBorders>
            <w:noWrap/>
            <w:vAlign w:val="center"/>
            <w:hideMark/>
          </w:tcPr>
          <w:p w14:paraId="7CEEE22F" w14:textId="5B3E94E5"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4</w:t>
            </w:r>
          </w:p>
        </w:tc>
      </w:tr>
      <w:tr w:rsidR="007964F1" w:rsidRPr="004F2095" w14:paraId="27E78FB4" w14:textId="77777777" w:rsidTr="4A7E2F16">
        <w:trPr>
          <w:trHeight w:val="300"/>
        </w:trPr>
        <w:tc>
          <w:tcPr>
            <w:tcW w:w="0" w:type="auto"/>
            <w:tcBorders>
              <w:top w:val="nil"/>
              <w:left w:val="single" w:sz="4" w:space="0" w:color="auto"/>
              <w:bottom w:val="nil"/>
              <w:right w:val="single" w:sz="4" w:space="0" w:color="auto"/>
            </w:tcBorders>
            <w:noWrap/>
            <w:vAlign w:val="center"/>
            <w:hideMark/>
          </w:tcPr>
          <w:p w14:paraId="7D3CE89B" w14:textId="77777777" w:rsidR="00F72778" w:rsidRPr="004F2095" w:rsidRDefault="00F72778" w:rsidP="004F2095">
            <w:pPr>
              <w:spacing w:before="0" w:after="0" w:line="240" w:lineRule="auto"/>
              <w:rPr>
                <w:rFonts w:asciiTheme="minorBidi" w:hAnsiTheme="minorBidi"/>
                <w:sz w:val="18"/>
                <w:szCs w:val="18"/>
              </w:rPr>
            </w:pPr>
            <w:r w:rsidRPr="004F2095">
              <w:rPr>
                <w:rFonts w:asciiTheme="minorBidi" w:hAnsiTheme="minorBidi"/>
                <w:sz w:val="18"/>
                <w:szCs w:val="18"/>
              </w:rPr>
              <w:t>veebruar</w:t>
            </w:r>
          </w:p>
        </w:tc>
        <w:tc>
          <w:tcPr>
            <w:tcW w:w="0" w:type="auto"/>
            <w:tcBorders>
              <w:top w:val="nil"/>
              <w:left w:val="nil"/>
              <w:bottom w:val="nil"/>
              <w:right w:val="nil"/>
            </w:tcBorders>
            <w:noWrap/>
            <w:vAlign w:val="center"/>
            <w:hideMark/>
          </w:tcPr>
          <w:p w14:paraId="24B47E51" w14:textId="7E162F6B"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17</w:t>
            </w:r>
            <w:r w:rsidR="009364B5">
              <w:rPr>
                <w:rFonts w:asciiTheme="minorBidi" w:hAnsiTheme="minorBidi"/>
                <w:sz w:val="18"/>
                <w:szCs w:val="18"/>
              </w:rPr>
              <w:t xml:space="preserve"> </w:t>
            </w:r>
            <w:r w:rsidRPr="004F2095">
              <w:rPr>
                <w:rFonts w:asciiTheme="minorBidi" w:hAnsiTheme="minorBidi"/>
                <w:sz w:val="18"/>
                <w:szCs w:val="18"/>
              </w:rPr>
              <w:t>015</w:t>
            </w:r>
          </w:p>
        </w:tc>
        <w:tc>
          <w:tcPr>
            <w:tcW w:w="0" w:type="auto"/>
            <w:tcBorders>
              <w:top w:val="nil"/>
              <w:left w:val="nil"/>
              <w:bottom w:val="nil"/>
              <w:right w:val="nil"/>
            </w:tcBorders>
            <w:noWrap/>
            <w:vAlign w:val="center"/>
            <w:hideMark/>
          </w:tcPr>
          <w:p w14:paraId="3B5EB494" w14:textId="33C265A7"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41</w:t>
            </w:r>
            <w:r w:rsidR="009364B5">
              <w:rPr>
                <w:rFonts w:asciiTheme="minorBidi" w:hAnsiTheme="minorBidi"/>
                <w:sz w:val="18"/>
                <w:szCs w:val="18"/>
              </w:rPr>
              <w:t xml:space="preserve"> </w:t>
            </w:r>
            <w:r w:rsidRPr="004F2095">
              <w:rPr>
                <w:rFonts w:asciiTheme="minorBidi" w:hAnsiTheme="minorBidi"/>
                <w:sz w:val="18"/>
                <w:szCs w:val="18"/>
              </w:rPr>
              <w:t>183</w:t>
            </w:r>
          </w:p>
        </w:tc>
        <w:tc>
          <w:tcPr>
            <w:tcW w:w="0" w:type="auto"/>
            <w:tcBorders>
              <w:top w:val="nil"/>
              <w:left w:val="single" w:sz="4" w:space="0" w:color="auto"/>
              <w:bottom w:val="nil"/>
              <w:right w:val="nil"/>
            </w:tcBorders>
            <w:noWrap/>
            <w:vAlign w:val="center"/>
            <w:hideMark/>
          </w:tcPr>
          <w:p w14:paraId="3B4272B9" w14:textId="1835B258"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24</w:t>
            </w:r>
            <w:r w:rsidR="009364B5">
              <w:rPr>
                <w:rFonts w:asciiTheme="minorBidi" w:hAnsiTheme="minorBidi"/>
                <w:sz w:val="18"/>
                <w:szCs w:val="18"/>
              </w:rPr>
              <w:t xml:space="preserve"> </w:t>
            </w:r>
            <w:r w:rsidRPr="004F2095">
              <w:rPr>
                <w:rFonts w:asciiTheme="minorBidi" w:hAnsiTheme="minorBidi"/>
                <w:sz w:val="18"/>
                <w:szCs w:val="18"/>
              </w:rPr>
              <w:t>209</w:t>
            </w:r>
          </w:p>
        </w:tc>
        <w:tc>
          <w:tcPr>
            <w:tcW w:w="0" w:type="auto"/>
            <w:tcBorders>
              <w:top w:val="nil"/>
              <w:left w:val="nil"/>
              <w:bottom w:val="nil"/>
              <w:right w:val="single" w:sz="4" w:space="0" w:color="auto"/>
            </w:tcBorders>
            <w:noWrap/>
            <w:vAlign w:val="center"/>
            <w:hideMark/>
          </w:tcPr>
          <w:p w14:paraId="7F37FEB1" w14:textId="41766CD1"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56</w:t>
            </w:r>
            <w:r w:rsidR="009364B5">
              <w:rPr>
                <w:rFonts w:asciiTheme="minorBidi" w:hAnsiTheme="minorBidi"/>
                <w:sz w:val="18"/>
                <w:szCs w:val="18"/>
              </w:rPr>
              <w:t xml:space="preserve"> </w:t>
            </w:r>
            <w:r w:rsidRPr="004F2095">
              <w:rPr>
                <w:rFonts w:asciiTheme="minorBidi" w:hAnsiTheme="minorBidi"/>
                <w:sz w:val="18"/>
                <w:szCs w:val="18"/>
              </w:rPr>
              <w:t>283</w:t>
            </w:r>
          </w:p>
        </w:tc>
        <w:tc>
          <w:tcPr>
            <w:tcW w:w="0" w:type="auto"/>
            <w:tcBorders>
              <w:top w:val="nil"/>
              <w:left w:val="nil"/>
              <w:bottom w:val="nil"/>
              <w:right w:val="nil"/>
            </w:tcBorders>
            <w:noWrap/>
            <w:vAlign w:val="center"/>
            <w:hideMark/>
          </w:tcPr>
          <w:p w14:paraId="2232C430" w14:textId="7034BD09"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26</w:t>
            </w:r>
            <w:r w:rsidR="009364B5">
              <w:rPr>
                <w:rFonts w:asciiTheme="minorBidi" w:hAnsiTheme="minorBidi"/>
                <w:sz w:val="18"/>
                <w:szCs w:val="18"/>
              </w:rPr>
              <w:t xml:space="preserve"> </w:t>
            </w:r>
            <w:r w:rsidRPr="004F2095">
              <w:rPr>
                <w:rFonts w:asciiTheme="minorBidi" w:hAnsiTheme="minorBidi"/>
                <w:sz w:val="18"/>
                <w:szCs w:val="18"/>
              </w:rPr>
              <w:t>996</w:t>
            </w:r>
          </w:p>
        </w:tc>
        <w:tc>
          <w:tcPr>
            <w:tcW w:w="0" w:type="auto"/>
            <w:tcBorders>
              <w:top w:val="nil"/>
              <w:left w:val="nil"/>
              <w:bottom w:val="nil"/>
              <w:right w:val="nil"/>
            </w:tcBorders>
            <w:noWrap/>
            <w:vAlign w:val="center"/>
            <w:hideMark/>
          </w:tcPr>
          <w:p w14:paraId="109D30E5" w14:textId="1C3D708D"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10</w:t>
            </w:r>
            <w:r w:rsidR="009364B5">
              <w:rPr>
                <w:rFonts w:asciiTheme="minorBidi" w:hAnsiTheme="minorBidi"/>
                <w:sz w:val="18"/>
                <w:szCs w:val="18"/>
              </w:rPr>
              <w:t xml:space="preserve"> </w:t>
            </w:r>
            <w:r w:rsidRPr="004F2095">
              <w:rPr>
                <w:rFonts w:asciiTheme="minorBidi" w:hAnsiTheme="minorBidi"/>
                <w:sz w:val="18"/>
                <w:szCs w:val="18"/>
              </w:rPr>
              <w:t>241</w:t>
            </w:r>
          </w:p>
        </w:tc>
        <w:tc>
          <w:tcPr>
            <w:tcW w:w="0" w:type="auto"/>
            <w:tcBorders>
              <w:top w:val="nil"/>
              <w:left w:val="single" w:sz="4" w:space="0" w:color="auto"/>
              <w:bottom w:val="nil"/>
              <w:right w:val="nil"/>
            </w:tcBorders>
            <w:noWrap/>
            <w:vAlign w:val="center"/>
            <w:hideMark/>
          </w:tcPr>
          <w:p w14:paraId="7969714B" w14:textId="16E75565"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28</w:t>
            </w:r>
            <w:r w:rsidR="009364B5">
              <w:rPr>
                <w:rFonts w:asciiTheme="minorBidi" w:hAnsiTheme="minorBidi"/>
                <w:sz w:val="18"/>
                <w:szCs w:val="18"/>
              </w:rPr>
              <w:t xml:space="preserve"> </w:t>
            </w:r>
            <w:r w:rsidRPr="004F2095">
              <w:rPr>
                <w:rFonts w:asciiTheme="minorBidi" w:hAnsiTheme="minorBidi"/>
                <w:sz w:val="18"/>
                <w:szCs w:val="18"/>
              </w:rPr>
              <w:t>133</w:t>
            </w:r>
          </w:p>
        </w:tc>
        <w:tc>
          <w:tcPr>
            <w:tcW w:w="0" w:type="auto"/>
            <w:tcBorders>
              <w:top w:val="nil"/>
              <w:left w:val="nil"/>
              <w:bottom w:val="nil"/>
              <w:right w:val="single" w:sz="4" w:space="0" w:color="auto"/>
            </w:tcBorders>
            <w:noWrap/>
            <w:vAlign w:val="center"/>
            <w:hideMark/>
          </w:tcPr>
          <w:p w14:paraId="5D2C3B9C" w14:textId="4A281252"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28</w:t>
            </w:r>
            <w:r w:rsidR="009364B5">
              <w:rPr>
                <w:rFonts w:asciiTheme="minorBidi" w:hAnsiTheme="minorBidi"/>
                <w:sz w:val="18"/>
                <w:szCs w:val="18"/>
              </w:rPr>
              <w:t xml:space="preserve"> </w:t>
            </w:r>
            <w:r w:rsidRPr="004F2095">
              <w:rPr>
                <w:rFonts w:asciiTheme="minorBidi" w:hAnsiTheme="minorBidi"/>
                <w:sz w:val="18"/>
                <w:szCs w:val="18"/>
              </w:rPr>
              <w:t>659</w:t>
            </w:r>
          </w:p>
        </w:tc>
        <w:tc>
          <w:tcPr>
            <w:tcW w:w="0" w:type="auto"/>
            <w:tcBorders>
              <w:top w:val="nil"/>
              <w:left w:val="nil"/>
              <w:bottom w:val="nil"/>
              <w:right w:val="nil"/>
            </w:tcBorders>
            <w:noWrap/>
            <w:vAlign w:val="center"/>
            <w:hideMark/>
          </w:tcPr>
          <w:p w14:paraId="04F7C922" w14:textId="6DE4EC61"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30</w:t>
            </w:r>
            <w:r w:rsidR="009364B5">
              <w:rPr>
                <w:rFonts w:asciiTheme="minorBidi" w:hAnsiTheme="minorBidi"/>
                <w:sz w:val="18"/>
                <w:szCs w:val="18"/>
              </w:rPr>
              <w:t xml:space="preserve"> </w:t>
            </w:r>
            <w:r w:rsidRPr="004F2095">
              <w:rPr>
                <w:rFonts w:asciiTheme="minorBidi" w:hAnsiTheme="minorBidi"/>
                <w:sz w:val="18"/>
                <w:szCs w:val="18"/>
              </w:rPr>
              <w:t>127</w:t>
            </w:r>
          </w:p>
        </w:tc>
        <w:tc>
          <w:tcPr>
            <w:tcW w:w="0" w:type="auto"/>
            <w:tcBorders>
              <w:top w:val="nil"/>
              <w:left w:val="nil"/>
              <w:bottom w:val="nil"/>
              <w:right w:val="nil"/>
            </w:tcBorders>
            <w:noWrap/>
            <w:vAlign w:val="center"/>
            <w:hideMark/>
          </w:tcPr>
          <w:p w14:paraId="30EBE1B0" w14:textId="0AE2EDAF"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w:t>
            </w:r>
          </w:p>
        </w:tc>
        <w:tc>
          <w:tcPr>
            <w:tcW w:w="0" w:type="auto"/>
            <w:tcBorders>
              <w:top w:val="nil"/>
              <w:left w:val="nil"/>
              <w:bottom w:val="nil"/>
              <w:right w:val="nil"/>
            </w:tcBorders>
            <w:noWrap/>
            <w:vAlign w:val="center"/>
            <w:hideMark/>
          </w:tcPr>
          <w:p w14:paraId="643DE996" w14:textId="661AF813"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39</w:t>
            </w:r>
            <w:r w:rsidR="009364B5">
              <w:rPr>
                <w:rFonts w:asciiTheme="minorBidi" w:hAnsiTheme="minorBidi"/>
                <w:sz w:val="18"/>
                <w:szCs w:val="18"/>
              </w:rPr>
              <w:t xml:space="preserve"> </w:t>
            </w:r>
            <w:r w:rsidRPr="004F2095">
              <w:rPr>
                <w:rFonts w:asciiTheme="minorBidi" w:hAnsiTheme="minorBidi"/>
                <w:sz w:val="18"/>
                <w:szCs w:val="18"/>
              </w:rPr>
              <w:t>297</w:t>
            </w:r>
          </w:p>
        </w:tc>
        <w:tc>
          <w:tcPr>
            <w:tcW w:w="0" w:type="auto"/>
            <w:tcBorders>
              <w:top w:val="nil"/>
              <w:left w:val="nil"/>
              <w:bottom w:val="nil"/>
              <w:right w:val="single" w:sz="4" w:space="0" w:color="auto"/>
            </w:tcBorders>
            <w:noWrap/>
            <w:vAlign w:val="center"/>
            <w:hideMark/>
          </w:tcPr>
          <w:p w14:paraId="363718BA" w14:textId="3EC519E8"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4</w:t>
            </w:r>
          </w:p>
        </w:tc>
        <w:tc>
          <w:tcPr>
            <w:tcW w:w="0" w:type="auto"/>
            <w:tcBorders>
              <w:top w:val="nil"/>
              <w:left w:val="nil"/>
              <w:bottom w:val="nil"/>
              <w:right w:val="nil"/>
            </w:tcBorders>
            <w:noWrap/>
            <w:vAlign w:val="center"/>
            <w:hideMark/>
          </w:tcPr>
          <w:p w14:paraId="7ABC6D5C" w14:textId="77777777" w:rsidR="00F72778" w:rsidRPr="004F2095" w:rsidRDefault="00F72778" w:rsidP="004F2095">
            <w:pPr>
              <w:spacing w:before="0" w:after="0" w:line="240" w:lineRule="auto"/>
              <w:jc w:val="right"/>
              <w:rPr>
                <w:rFonts w:asciiTheme="minorBidi" w:hAnsiTheme="minorBidi"/>
                <w:sz w:val="18"/>
                <w:szCs w:val="18"/>
              </w:rPr>
            </w:pPr>
          </w:p>
        </w:tc>
        <w:tc>
          <w:tcPr>
            <w:tcW w:w="1352" w:type="dxa"/>
            <w:tcBorders>
              <w:top w:val="nil"/>
              <w:left w:val="single" w:sz="4" w:space="0" w:color="auto"/>
              <w:bottom w:val="nil"/>
              <w:right w:val="nil"/>
            </w:tcBorders>
            <w:shd w:val="clear" w:color="auto" w:fill="E5E5E5" w:themeFill="background2" w:themeFillShade="E6"/>
            <w:noWrap/>
            <w:vAlign w:val="center"/>
            <w:hideMark/>
          </w:tcPr>
          <w:p w14:paraId="29BC61CD" w14:textId="661CA3AE"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 xml:space="preserve"> </w:t>
            </w:r>
            <w:r w:rsidR="008C1241" w:rsidRPr="00B54A22">
              <w:rPr>
                <w:rFonts w:asciiTheme="minorBidi" w:hAnsiTheme="minorBidi"/>
                <w:sz w:val="18"/>
                <w:szCs w:val="18"/>
              </w:rPr>
              <w:t xml:space="preserve">  </w:t>
            </w:r>
            <w:r w:rsidRPr="00B54A22">
              <w:rPr>
                <w:rFonts w:asciiTheme="minorBidi" w:hAnsiTheme="minorBidi"/>
                <w:sz w:val="18"/>
                <w:szCs w:val="18"/>
              </w:rPr>
              <w:t>69</w:t>
            </w:r>
            <w:r w:rsidR="009364B5">
              <w:rPr>
                <w:rFonts w:asciiTheme="minorBidi" w:hAnsiTheme="minorBidi"/>
                <w:sz w:val="18"/>
                <w:szCs w:val="18"/>
              </w:rPr>
              <w:t xml:space="preserve"> </w:t>
            </w:r>
            <w:r w:rsidRPr="00B54A22">
              <w:rPr>
                <w:rFonts w:asciiTheme="minorBidi" w:hAnsiTheme="minorBidi"/>
                <w:sz w:val="18"/>
                <w:szCs w:val="18"/>
              </w:rPr>
              <w:t>424</w:t>
            </w:r>
          </w:p>
        </w:tc>
        <w:tc>
          <w:tcPr>
            <w:tcW w:w="0" w:type="auto"/>
            <w:tcBorders>
              <w:top w:val="nil"/>
              <w:left w:val="nil"/>
              <w:bottom w:val="nil"/>
              <w:right w:val="single" w:sz="4" w:space="0" w:color="auto"/>
            </w:tcBorders>
            <w:noWrap/>
            <w:vAlign w:val="center"/>
            <w:hideMark/>
          </w:tcPr>
          <w:p w14:paraId="3B00C738" w14:textId="2A7FB020"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5</w:t>
            </w:r>
          </w:p>
        </w:tc>
      </w:tr>
      <w:tr w:rsidR="007964F1" w:rsidRPr="004F2095" w14:paraId="45200811" w14:textId="77777777" w:rsidTr="4A7E2F16">
        <w:trPr>
          <w:trHeight w:val="300"/>
        </w:trPr>
        <w:tc>
          <w:tcPr>
            <w:tcW w:w="0" w:type="auto"/>
            <w:tcBorders>
              <w:top w:val="nil"/>
              <w:left w:val="single" w:sz="4" w:space="0" w:color="auto"/>
              <w:bottom w:val="nil"/>
              <w:right w:val="single" w:sz="4" w:space="0" w:color="auto"/>
            </w:tcBorders>
            <w:noWrap/>
            <w:vAlign w:val="center"/>
            <w:hideMark/>
          </w:tcPr>
          <w:p w14:paraId="7980B67E" w14:textId="77777777" w:rsidR="00F72778" w:rsidRPr="004F2095" w:rsidRDefault="00F72778" w:rsidP="004F2095">
            <w:pPr>
              <w:spacing w:before="0" w:after="0" w:line="240" w:lineRule="auto"/>
              <w:rPr>
                <w:rFonts w:asciiTheme="minorBidi" w:hAnsiTheme="minorBidi"/>
                <w:sz w:val="18"/>
                <w:szCs w:val="18"/>
              </w:rPr>
            </w:pPr>
            <w:r w:rsidRPr="004F2095">
              <w:rPr>
                <w:rFonts w:asciiTheme="minorBidi" w:hAnsiTheme="minorBidi"/>
                <w:sz w:val="18"/>
                <w:szCs w:val="18"/>
              </w:rPr>
              <w:t>märts</w:t>
            </w:r>
          </w:p>
        </w:tc>
        <w:tc>
          <w:tcPr>
            <w:tcW w:w="0" w:type="auto"/>
            <w:tcBorders>
              <w:top w:val="nil"/>
              <w:left w:val="nil"/>
              <w:bottom w:val="nil"/>
              <w:right w:val="nil"/>
            </w:tcBorders>
            <w:noWrap/>
            <w:vAlign w:val="center"/>
            <w:hideMark/>
          </w:tcPr>
          <w:p w14:paraId="59E5F243" w14:textId="3086B21E"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17</w:t>
            </w:r>
            <w:r w:rsidR="009364B5">
              <w:rPr>
                <w:rFonts w:asciiTheme="minorBidi" w:hAnsiTheme="minorBidi"/>
                <w:sz w:val="18"/>
                <w:szCs w:val="18"/>
              </w:rPr>
              <w:t xml:space="preserve"> </w:t>
            </w:r>
            <w:r w:rsidRPr="004F2095">
              <w:rPr>
                <w:rFonts w:asciiTheme="minorBidi" w:hAnsiTheme="minorBidi"/>
                <w:sz w:val="18"/>
                <w:szCs w:val="18"/>
              </w:rPr>
              <w:t>368</w:t>
            </w:r>
          </w:p>
        </w:tc>
        <w:tc>
          <w:tcPr>
            <w:tcW w:w="0" w:type="auto"/>
            <w:tcBorders>
              <w:top w:val="nil"/>
              <w:left w:val="nil"/>
              <w:bottom w:val="nil"/>
              <w:right w:val="nil"/>
            </w:tcBorders>
            <w:noWrap/>
            <w:vAlign w:val="center"/>
            <w:hideMark/>
          </w:tcPr>
          <w:p w14:paraId="658BE328" w14:textId="5811939D"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49</w:t>
            </w:r>
            <w:r w:rsidR="009364B5">
              <w:rPr>
                <w:rFonts w:asciiTheme="minorBidi" w:hAnsiTheme="minorBidi"/>
                <w:sz w:val="18"/>
                <w:szCs w:val="18"/>
              </w:rPr>
              <w:t xml:space="preserve"> </w:t>
            </w:r>
            <w:r w:rsidRPr="004F2095">
              <w:rPr>
                <w:rFonts w:asciiTheme="minorBidi" w:hAnsiTheme="minorBidi"/>
                <w:sz w:val="18"/>
                <w:szCs w:val="18"/>
              </w:rPr>
              <w:t>076</w:t>
            </w:r>
          </w:p>
        </w:tc>
        <w:tc>
          <w:tcPr>
            <w:tcW w:w="0" w:type="auto"/>
            <w:tcBorders>
              <w:top w:val="nil"/>
              <w:left w:val="single" w:sz="4" w:space="0" w:color="auto"/>
              <w:bottom w:val="nil"/>
              <w:right w:val="nil"/>
            </w:tcBorders>
            <w:noWrap/>
            <w:vAlign w:val="center"/>
            <w:hideMark/>
          </w:tcPr>
          <w:p w14:paraId="4296682C" w14:textId="2B62DDC1"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18</w:t>
            </w:r>
            <w:r w:rsidR="009364B5">
              <w:rPr>
                <w:rFonts w:asciiTheme="minorBidi" w:hAnsiTheme="minorBidi"/>
                <w:sz w:val="18"/>
                <w:szCs w:val="18"/>
              </w:rPr>
              <w:t xml:space="preserve"> </w:t>
            </w:r>
            <w:r w:rsidRPr="004F2095">
              <w:rPr>
                <w:rFonts w:asciiTheme="minorBidi" w:hAnsiTheme="minorBidi"/>
                <w:sz w:val="18"/>
                <w:szCs w:val="18"/>
              </w:rPr>
              <w:t>108</w:t>
            </w:r>
          </w:p>
        </w:tc>
        <w:tc>
          <w:tcPr>
            <w:tcW w:w="0" w:type="auto"/>
            <w:tcBorders>
              <w:top w:val="nil"/>
              <w:left w:val="nil"/>
              <w:bottom w:val="nil"/>
              <w:right w:val="single" w:sz="4" w:space="0" w:color="auto"/>
            </w:tcBorders>
            <w:noWrap/>
            <w:vAlign w:val="center"/>
            <w:hideMark/>
          </w:tcPr>
          <w:p w14:paraId="1F273661" w14:textId="1A3F9C87"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27</w:t>
            </w:r>
            <w:r w:rsidR="009364B5">
              <w:rPr>
                <w:rFonts w:asciiTheme="minorBidi" w:hAnsiTheme="minorBidi"/>
                <w:sz w:val="18"/>
                <w:szCs w:val="18"/>
              </w:rPr>
              <w:t xml:space="preserve"> </w:t>
            </w:r>
            <w:r w:rsidRPr="004F2095">
              <w:rPr>
                <w:rFonts w:asciiTheme="minorBidi" w:hAnsiTheme="minorBidi"/>
                <w:sz w:val="18"/>
                <w:szCs w:val="18"/>
              </w:rPr>
              <w:t>724</w:t>
            </w:r>
          </w:p>
        </w:tc>
        <w:tc>
          <w:tcPr>
            <w:tcW w:w="0" w:type="auto"/>
            <w:tcBorders>
              <w:top w:val="nil"/>
              <w:left w:val="nil"/>
              <w:bottom w:val="nil"/>
              <w:right w:val="nil"/>
            </w:tcBorders>
            <w:noWrap/>
            <w:vAlign w:val="center"/>
            <w:hideMark/>
          </w:tcPr>
          <w:p w14:paraId="3E5DEB46" w14:textId="4FEA6D97"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22</w:t>
            </w:r>
            <w:r w:rsidR="009364B5">
              <w:rPr>
                <w:rFonts w:asciiTheme="minorBidi" w:hAnsiTheme="minorBidi"/>
                <w:sz w:val="18"/>
                <w:szCs w:val="18"/>
              </w:rPr>
              <w:t xml:space="preserve"> </w:t>
            </w:r>
            <w:r w:rsidRPr="004F2095">
              <w:rPr>
                <w:rFonts w:asciiTheme="minorBidi" w:hAnsiTheme="minorBidi"/>
                <w:sz w:val="18"/>
                <w:szCs w:val="18"/>
              </w:rPr>
              <w:t>032</w:t>
            </w:r>
          </w:p>
        </w:tc>
        <w:tc>
          <w:tcPr>
            <w:tcW w:w="0" w:type="auto"/>
            <w:tcBorders>
              <w:top w:val="nil"/>
              <w:left w:val="nil"/>
              <w:bottom w:val="nil"/>
              <w:right w:val="nil"/>
            </w:tcBorders>
            <w:noWrap/>
            <w:vAlign w:val="center"/>
            <w:hideMark/>
          </w:tcPr>
          <w:p w14:paraId="3417B393" w14:textId="619DCF17"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9</w:t>
            </w:r>
            <w:r w:rsidR="009364B5">
              <w:rPr>
                <w:rFonts w:asciiTheme="minorBidi" w:hAnsiTheme="minorBidi"/>
                <w:sz w:val="18"/>
                <w:szCs w:val="18"/>
              </w:rPr>
              <w:t xml:space="preserve"> </w:t>
            </w:r>
            <w:r w:rsidRPr="004F2095">
              <w:rPr>
                <w:rFonts w:asciiTheme="minorBidi" w:hAnsiTheme="minorBidi"/>
                <w:sz w:val="18"/>
                <w:szCs w:val="18"/>
              </w:rPr>
              <w:t>228</w:t>
            </w:r>
          </w:p>
        </w:tc>
        <w:tc>
          <w:tcPr>
            <w:tcW w:w="0" w:type="auto"/>
            <w:tcBorders>
              <w:top w:val="nil"/>
              <w:left w:val="single" w:sz="4" w:space="0" w:color="auto"/>
              <w:bottom w:val="nil"/>
              <w:right w:val="nil"/>
            </w:tcBorders>
            <w:noWrap/>
            <w:vAlign w:val="center"/>
            <w:hideMark/>
          </w:tcPr>
          <w:p w14:paraId="0C50CB66" w14:textId="75F950B1"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29</w:t>
            </w:r>
            <w:r w:rsidR="009364B5">
              <w:rPr>
                <w:rFonts w:asciiTheme="minorBidi" w:hAnsiTheme="minorBidi"/>
                <w:sz w:val="18"/>
                <w:szCs w:val="18"/>
              </w:rPr>
              <w:t xml:space="preserve"> </w:t>
            </w:r>
            <w:r w:rsidRPr="004F2095">
              <w:rPr>
                <w:rFonts w:asciiTheme="minorBidi" w:hAnsiTheme="minorBidi"/>
                <w:sz w:val="18"/>
                <w:szCs w:val="18"/>
              </w:rPr>
              <w:t>627</w:t>
            </w:r>
          </w:p>
        </w:tc>
        <w:tc>
          <w:tcPr>
            <w:tcW w:w="0" w:type="auto"/>
            <w:tcBorders>
              <w:top w:val="nil"/>
              <w:left w:val="nil"/>
              <w:bottom w:val="nil"/>
              <w:right w:val="single" w:sz="4" w:space="0" w:color="auto"/>
            </w:tcBorders>
            <w:noWrap/>
            <w:vAlign w:val="center"/>
            <w:hideMark/>
          </w:tcPr>
          <w:p w14:paraId="1297B5FD" w14:textId="35133CED"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35</w:t>
            </w:r>
            <w:r w:rsidR="009364B5">
              <w:rPr>
                <w:rFonts w:asciiTheme="minorBidi" w:hAnsiTheme="minorBidi"/>
                <w:sz w:val="18"/>
                <w:szCs w:val="18"/>
              </w:rPr>
              <w:t xml:space="preserve"> </w:t>
            </w:r>
            <w:r w:rsidRPr="004F2095">
              <w:rPr>
                <w:rFonts w:asciiTheme="minorBidi" w:hAnsiTheme="minorBidi"/>
                <w:sz w:val="18"/>
                <w:szCs w:val="18"/>
              </w:rPr>
              <w:t>837</w:t>
            </w:r>
          </w:p>
        </w:tc>
        <w:tc>
          <w:tcPr>
            <w:tcW w:w="0" w:type="auto"/>
            <w:tcBorders>
              <w:top w:val="nil"/>
              <w:left w:val="nil"/>
              <w:bottom w:val="nil"/>
              <w:right w:val="nil"/>
            </w:tcBorders>
            <w:noWrap/>
            <w:vAlign w:val="center"/>
            <w:hideMark/>
          </w:tcPr>
          <w:p w14:paraId="612D6BA6" w14:textId="495357C3"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28</w:t>
            </w:r>
            <w:r w:rsidR="009364B5">
              <w:rPr>
                <w:rFonts w:asciiTheme="minorBidi" w:hAnsiTheme="minorBidi"/>
                <w:sz w:val="18"/>
                <w:szCs w:val="18"/>
              </w:rPr>
              <w:t xml:space="preserve"> </w:t>
            </w:r>
            <w:r w:rsidRPr="004F2095">
              <w:rPr>
                <w:rFonts w:asciiTheme="minorBidi" w:hAnsiTheme="minorBidi"/>
                <w:sz w:val="18"/>
                <w:szCs w:val="18"/>
              </w:rPr>
              <w:t>218</w:t>
            </w:r>
          </w:p>
        </w:tc>
        <w:tc>
          <w:tcPr>
            <w:tcW w:w="0" w:type="auto"/>
            <w:tcBorders>
              <w:top w:val="nil"/>
              <w:left w:val="nil"/>
              <w:bottom w:val="nil"/>
              <w:right w:val="nil"/>
            </w:tcBorders>
            <w:noWrap/>
            <w:vAlign w:val="center"/>
            <w:hideMark/>
          </w:tcPr>
          <w:p w14:paraId="268796BF" w14:textId="7F94831A"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w:t>
            </w:r>
          </w:p>
        </w:tc>
        <w:tc>
          <w:tcPr>
            <w:tcW w:w="0" w:type="auto"/>
            <w:tcBorders>
              <w:top w:val="nil"/>
              <w:left w:val="nil"/>
              <w:bottom w:val="nil"/>
              <w:right w:val="nil"/>
            </w:tcBorders>
            <w:noWrap/>
            <w:vAlign w:val="center"/>
            <w:hideMark/>
          </w:tcPr>
          <w:p w14:paraId="3AAEF641" w14:textId="39950B98"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39</w:t>
            </w:r>
            <w:r w:rsidR="009364B5">
              <w:rPr>
                <w:rFonts w:asciiTheme="minorBidi" w:hAnsiTheme="minorBidi"/>
                <w:sz w:val="18"/>
                <w:szCs w:val="18"/>
              </w:rPr>
              <w:t xml:space="preserve"> </w:t>
            </w:r>
            <w:r w:rsidRPr="004F2095">
              <w:rPr>
                <w:rFonts w:asciiTheme="minorBidi" w:hAnsiTheme="minorBidi"/>
                <w:sz w:val="18"/>
                <w:szCs w:val="18"/>
              </w:rPr>
              <w:t>096</w:t>
            </w:r>
          </w:p>
        </w:tc>
        <w:tc>
          <w:tcPr>
            <w:tcW w:w="0" w:type="auto"/>
            <w:tcBorders>
              <w:top w:val="nil"/>
              <w:left w:val="nil"/>
              <w:bottom w:val="nil"/>
              <w:right w:val="single" w:sz="4" w:space="0" w:color="auto"/>
            </w:tcBorders>
            <w:noWrap/>
            <w:vAlign w:val="center"/>
            <w:hideMark/>
          </w:tcPr>
          <w:p w14:paraId="6529DF6C" w14:textId="7F768795"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4</w:t>
            </w:r>
          </w:p>
        </w:tc>
        <w:tc>
          <w:tcPr>
            <w:tcW w:w="0" w:type="auto"/>
            <w:tcBorders>
              <w:top w:val="nil"/>
              <w:left w:val="nil"/>
              <w:bottom w:val="nil"/>
              <w:right w:val="nil"/>
            </w:tcBorders>
            <w:noWrap/>
            <w:vAlign w:val="center"/>
            <w:hideMark/>
          </w:tcPr>
          <w:p w14:paraId="126D1AD6" w14:textId="77777777" w:rsidR="00F72778" w:rsidRPr="004F2095" w:rsidRDefault="00F72778" w:rsidP="004F2095">
            <w:pPr>
              <w:spacing w:before="0" w:after="0" w:line="240" w:lineRule="auto"/>
              <w:jc w:val="right"/>
              <w:rPr>
                <w:rFonts w:asciiTheme="minorBidi" w:hAnsiTheme="minorBidi"/>
                <w:sz w:val="18"/>
                <w:szCs w:val="18"/>
              </w:rPr>
            </w:pPr>
          </w:p>
        </w:tc>
        <w:tc>
          <w:tcPr>
            <w:tcW w:w="1352" w:type="dxa"/>
            <w:tcBorders>
              <w:top w:val="nil"/>
              <w:left w:val="single" w:sz="4" w:space="0" w:color="auto"/>
              <w:bottom w:val="nil"/>
              <w:right w:val="nil"/>
            </w:tcBorders>
            <w:shd w:val="clear" w:color="auto" w:fill="E5E5E5" w:themeFill="background2" w:themeFillShade="E6"/>
            <w:noWrap/>
            <w:vAlign w:val="center"/>
            <w:hideMark/>
          </w:tcPr>
          <w:p w14:paraId="7EAB4D18" w14:textId="31735A82"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67</w:t>
            </w:r>
            <w:r w:rsidR="009364B5">
              <w:rPr>
                <w:rFonts w:asciiTheme="minorBidi" w:hAnsiTheme="minorBidi"/>
                <w:sz w:val="18"/>
                <w:szCs w:val="18"/>
              </w:rPr>
              <w:t xml:space="preserve"> </w:t>
            </w:r>
            <w:r w:rsidRPr="00B54A22">
              <w:rPr>
                <w:rFonts w:asciiTheme="minorBidi" w:hAnsiTheme="minorBidi"/>
                <w:sz w:val="18"/>
                <w:szCs w:val="18"/>
              </w:rPr>
              <w:t>314</w:t>
            </w:r>
          </w:p>
        </w:tc>
        <w:tc>
          <w:tcPr>
            <w:tcW w:w="0" w:type="auto"/>
            <w:tcBorders>
              <w:top w:val="nil"/>
              <w:left w:val="nil"/>
              <w:bottom w:val="nil"/>
              <w:right w:val="single" w:sz="4" w:space="0" w:color="auto"/>
            </w:tcBorders>
            <w:noWrap/>
            <w:vAlign w:val="center"/>
            <w:hideMark/>
          </w:tcPr>
          <w:p w14:paraId="0CB98B42" w14:textId="013C6B2D"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5</w:t>
            </w:r>
          </w:p>
        </w:tc>
      </w:tr>
      <w:tr w:rsidR="007964F1" w:rsidRPr="004F2095" w14:paraId="118D302C" w14:textId="77777777" w:rsidTr="4A7E2F16">
        <w:trPr>
          <w:trHeight w:val="300"/>
        </w:trPr>
        <w:tc>
          <w:tcPr>
            <w:tcW w:w="0" w:type="auto"/>
            <w:tcBorders>
              <w:top w:val="nil"/>
              <w:left w:val="single" w:sz="4" w:space="0" w:color="auto"/>
              <w:bottom w:val="nil"/>
              <w:right w:val="single" w:sz="4" w:space="0" w:color="auto"/>
            </w:tcBorders>
            <w:noWrap/>
            <w:vAlign w:val="center"/>
            <w:hideMark/>
          </w:tcPr>
          <w:p w14:paraId="78E24AA4" w14:textId="77777777" w:rsidR="00F72778" w:rsidRPr="004F2095" w:rsidRDefault="00F72778" w:rsidP="004F2095">
            <w:pPr>
              <w:spacing w:before="0" w:after="0" w:line="240" w:lineRule="auto"/>
              <w:rPr>
                <w:rFonts w:asciiTheme="minorBidi" w:hAnsiTheme="minorBidi"/>
                <w:sz w:val="18"/>
                <w:szCs w:val="18"/>
              </w:rPr>
            </w:pPr>
            <w:r w:rsidRPr="004F2095">
              <w:rPr>
                <w:rFonts w:asciiTheme="minorBidi" w:hAnsiTheme="minorBidi"/>
                <w:sz w:val="18"/>
                <w:szCs w:val="18"/>
              </w:rPr>
              <w:t>aprill</w:t>
            </w:r>
          </w:p>
        </w:tc>
        <w:tc>
          <w:tcPr>
            <w:tcW w:w="0" w:type="auto"/>
            <w:tcBorders>
              <w:top w:val="nil"/>
              <w:left w:val="nil"/>
              <w:bottom w:val="nil"/>
              <w:right w:val="nil"/>
            </w:tcBorders>
            <w:noWrap/>
            <w:vAlign w:val="center"/>
            <w:hideMark/>
          </w:tcPr>
          <w:p w14:paraId="1C5666F2" w14:textId="61C6D302"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18</w:t>
            </w:r>
            <w:r w:rsidR="009364B5">
              <w:rPr>
                <w:rFonts w:asciiTheme="minorBidi" w:hAnsiTheme="minorBidi"/>
                <w:sz w:val="18"/>
                <w:szCs w:val="18"/>
              </w:rPr>
              <w:t xml:space="preserve"> </w:t>
            </w:r>
            <w:r w:rsidRPr="004F2095">
              <w:rPr>
                <w:rFonts w:asciiTheme="minorBidi" w:hAnsiTheme="minorBidi"/>
                <w:sz w:val="18"/>
                <w:szCs w:val="18"/>
              </w:rPr>
              <w:t>663</w:t>
            </w:r>
          </w:p>
        </w:tc>
        <w:tc>
          <w:tcPr>
            <w:tcW w:w="0" w:type="auto"/>
            <w:tcBorders>
              <w:top w:val="nil"/>
              <w:left w:val="nil"/>
              <w:bottom w:val="nil"/>
              <w:right w:val="nil"/>
            </w:tcBorders>
            <w:noWrap/>
            <w:vAlign w:val="center"/>
            <w:hideMark/>
          </w:tcPr>
          <w:p w14:paraId="39B82503" w14:textId="5E7B84D4"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67</w:t>
            </w:r>
            <w:r w:rsidR="009364B5">
              <w:rPr>
                <w:rFonts w:asciiTheme="minorBidi" w:hAnsiTheme="minorBidi"/>
                <w:sz w:val="18"/>
                <w:szCs w:val="18"/>
              </w:rPr>
              <w:t xml:space="preserve"> </w:t>
            </w:r>
            <w:r w:rsidRPr="004F2095">
              <w:rPr>
                <w:rFonts w:asciiTheme="minorBidi" w:hAnsiTheme="minorBidi"/>
                <w:sz w:val="18"/>
                <w:szCs w:val="18"/>
              </w:rPr>
              <w:t>548</w:t>
            </w:r>
          </w:p>
        </w:tc>
        <w:tc>
          <w:tcPr>
            <w:tcW w:w="0" w:type="auto"/>
            <w:tcBorders>
              <w:top w:val="nil"/>
              <w:left w:val="single" w:sz="4" w:space="0" w:color="auto"/>
              <w:bottom w:val="nil"/>
              <w:right w:val="nil"/>
            </w:tcBorders>
            <w:noWrap/>
            <w:vAlign w:val="center"/>
            <w:hideMark/>
          </w:tcPr>
          <w:p w14:paraId="6870A86C" w14:textId="787BC83D"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14</w:t>
            </w:r>
            <w:r w:rsidR="009364B5">
              <w:rPr>
                <w:rFonts w:asciiTheme="minorBidi" w:hAnsiTheme="minorBidi"/>
                <w:sz w:val="18"/>
                <w:szCs w:val="18"/>
              </w:rPr>
              <w:t xml:space="preserve"> </w:t>
            </w:r>
            <w:r w:rsidRPr="004F2095">
              <w:rPr>
                <w:rFonts w:asciiTheme="minorBidi" w:hAnsiTheme="minorBidi"/>
                <w:sz w:val="18"/>
                <w:szCs w:val="18"/>
              </w:rPr>
              <w:t>168</w:t>
            </w:r>
          </w:p>
        </w:tc>
        <w:tc>
          <w:tcPr>
            <w:tcW w:w="0" w:type="auto"/>
            <w:tcBorders>
              <w:top w:val="nil"/>
              <w:left w:val="nil"/>
              <w:bottom w:val="nil"/>
              <w:right w:val="single" w:sz="4" w:space="0" w:color="auto"/>
            </w:tcBorders>
            <w:noWrap/>
            <w:vAlign w:val="center"/>
            <w:hideMark/>
          </w:tcPr>
          <w:p w14:paraId="44FA2A40" w14:textId="70DCCBF1"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w:t>
            </w:r>
            <w:r w:rsidR="009364B5">
              <w:rPr>
                <w:rFonts w:asciiTheme="minorBidi" w:hAnsiTheme="minorBidi"/>
                <w:sz w:val="18"/>
                <w:szCs w:val="18"/>
              </w:rPr>
              <w:t xml:space="preserve"> </w:t>
            </w:r>
            <w:r w:rsidRPr="004F2095">
              <w:rPr>
                <w:rFonts w:asciiTheme="minorBidi" w:hAnsiTheme="minorBidi"/>
                <w:sz w:val="18"/>
                <w:szCs w:val="18"/>
              </w:rPr>
              <w:t>446</w:t>
            </w:r>
          </w:p>
        </w:tc>
        <w:tc>
          <w:tcPr>
            <w:tcW w:w="0" w:type="auto"/>
            <w:tcBorders>
              <w:top w:val="nil"/>
              <w:left w:val="nil"/>
              <w:bottom w:val="nil"/>
              <w:right w:val="nil"/>
            </w:tcBorders>
            <w:noWrap/>
            <w:vAlign w:val="center"/>
            <w:hideMark/>
          </w:tcPr>
          <w:p w14:paraId="4C33AC1F" w14:textId="5802E708"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28</w:t>
            </w:r>
            <w:r w:rsidR="009364B5">
              <w:rPr>
                <w:rFonts w:asciiTheme="minorBidi" w:hAnsiTheme="minorBidi"/>
                <w:sz w:val="18"/>
                <w:szCs w:val="18"/>
              </w:rPr>
              <w:t xml:space="preserve"> </w:t>
            </w:r>
            <w:r w:rsidRPr="004F2095">
              <w:rPr>
                <w:rFonts w:asciiTheme="minorBidi" w:hAnsiTheme="minorBidi"/>
                <w:sz w:val="18"/>
                <w:szCs w:val="18"/>
              </w:rPr>
              <w:t>580</w:t>
            </w:r>
          </w:p>
        </w:tc>
        <w:tc>
          <w:tcPr>
            <w:tcW w:w="0" w:type="auto"/>
            <w:tcBorders>
              <w:top w:val="nil"/>
              <w:left w:val="nil"/>
              <w:bottom w:val="nil"/>
              <w:right w:val="nil"/>
            </w:tcBorders>
            <w:noWrap/>
            <w:vAlign w:val="center"/>
            <w:hideMark/>
          </w:tcPr>
          <w:p w14:paraId="755EF70D" w14:textId="1FDDA988"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9</w:t>
            </w:r>
            <w:r w:rsidR="009364B5">
              <w:rPr>
                <w:rFonts w:asciiTheme="minorBidi" w:hAnsiTheme="minorBidi"/>
                <w:sz w:val="18"/>
                <w:szCs w:val="18"/>
              </w:rPr>
              <w:t xml:space="preserve"> </w:t>
            </w:r>
            <w:r w:rsidRPr="004F2095">
              <w:rPr>
                <w:rFonts w:asciiTheme="minorBidi" w:hAnsiTheme="minorBidi"/>
                <w:sz w:val="18"/>
                <w:szCs w:val="18"/>
              </w:rPr>
              <w:t>549</w:t>
            </w:r>
          </w:p>
        </w:tc>
        <w:tc>
          <w:tcPr>
            <w:tcW w:w="0" w:type="auto"/>
            <w:tcBorders>
              <w:top w:val="nil"/>
              <w:left w:val="single" w:sz="4" w:space="0" w:color="auto"/>
              <w:bottom w:val="nil"/>
              <w:right w:val="nil"/>
            </w:tcBorders>
            <w:noWrap/>
            <w:vAlign w:val="center"/>
            <w:hideMark/>
          </w:tcPr>
          <w:p w14:paraId="5738AD1A" w14:textId="22BD0779"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34</w:t>
            </w:r>
            <w:r w:rsidR="009364B5">
              <w:rPr>
                <w:rFonts w:asciiTheme="minorBidi" w:hAnsiTheme="minorBidi"/>
                <w:sz w:val="18"/>
                <w:szCs w:val="18"/>
              </w:rPr>
              <w:t xml:space="preserve"> </w:t>
            </w:r>
            <w:r w:rsidRPr="004F2095">
              <w:rPr>
                <w:rFonts w:asciiTheme="minorBidi" w:hAnsiTheme="minorBidi"/>
                <w:sz w:val="18"/>
                <w:szCs w:val="18"/>
              </w:rPr>
              <w:t>834</w:t>
            </w:r>
          </w:p>
        </w:tc>
        <w:tc>
          <w:tcPr>
            <w:tcW w:w="0" w:type="auto"/>
            <w:tcBorders>
              <w:top w:val="nil"/>
              <w:left w:val="nil"/>
              <w:bottom w:val="nil"/>
              <w:right w:val="single" w:sz="4" w:space="0" w:color="auto"/>
            </w:tcBorders>
            <w:noWrap/>
            <w:vAlign w:val="center"/>
            <w:hideMark/>
          </w:tcPr>
          <w:p w14:paraId="34559031" w14:textId="1B9D5949"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46</w:t>
            </w:r>
            <w:r w:rsidR="009364B5">
              <w:rPr>
                <w:rFonts w:asciiTheme="minorBidi" w:hAnsiTheme="minorBidi"/>
                <w:sz w:val="18"/>
                <w:szCs w:val="18"/>
              </w:rPr>
              <w:t xml:space="preserve"> </w:t>
            </w:r>
            <w:r w:rsidRPr="004F2095">
              <w:rPr>
                <w:rFonts w:asciiTheme="minorBidi" w:hAnsiTheme="minorBidi"/>
                <w:sz w:val="18"/>
                <w:szCs w:val="18"/>
              </w:rPr>
              <w:t>264</w:t>
            </w:r>
          </w:p>
        </w:tc>
        <w:tc>
          <w:tcPr>
            <w:tcW w:w="0" w:type="auto"/>
            <w:tcBorders>
              <w:top w:val="nil"/>
              <w:left w:val="nil"/>
              <w:bottom w:val="nil"/>
              <w:right w:val="nil"/>
            </w:tcBorders>
            <w:noWrap/>
            <w:vAlign w:val="center"/>
            <w:hideMark/>
          </w:tcPr>
          <w:p w14:paraId="51898828" w14:textId="367D11D3"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34</w:t>
            </w:r>
            <w:r w:rsidR="009364B5">
              <w:rPr>
                <w:rFonts w:asciiTheme="minorBidi" w:hAnsiTheme="minorBidi"/>
                <w:sz w:val="18"/>
                <w:szCs w:val="18"/>
              </w:rPr>
              <w:t xml:space="preserve"> </w:t>
            </w:r>
            <w:r w:rsidRPr="004F2095">
              <w:rPr>
                <w:rFonts w:asciiTheme="minorBidi" w:hAnsiTheme="minorBidi"/>
                <w:sz w:val="18"/>
                <w:szCs w:val="18"/>
              </w:rPr>
              <w:t>365</w:t>
            </w:r>
          </w:p>
        </w:tc>
        <w:tc>
          <w:tcPr>
            <w:tcW w:w="0" w:type="auto"/>
            <w:tcBorders>
              <w:top w:val="nil"/>
              <w:left w:val="nil"/>
              <w:bottom w:val="nil"/>
              <w:right w:val="nil"/>
            </w:tcBorders>
            <w:noWrap/>
            <w:vAlign w:val="center"/>
            <w:hideMark/>
          </w:tcPr>
          <w:p w14:paraId="24395700" w14:textId="05E83D32"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w:t>
            </w:r>
          </w:p>
        </w:tc>
        <w:tc>
          <w:tcPr>
            <w:tcW w:w="0" w:type="auto"/>
            <w:tcBorders>
              <w:top w:val="nil"/>
              <w:left w:val="nil"/>
              <w:bottom w:val="nil"/>
              <w:right w:val="nil"/>
            </w:tcBorders>
            <w:noWrap/>
            <w:vAlign w:val="center"/>
            <w:hideMark/>
          </w:tcPr>
          <w:p w14:paraId="46CB6721" w14:textId="609D2708"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58</w:t>
            </w:r>
            <w:r w:rsidR="009364B5">
              <w:rPr>
                <w:rFonts w:asciiTheme="minorBidi" w:hAnsiTheme="minorBidi"/>
                <w:sz w:val="18"/>
                <w:szCs w:val="18"/>
              </w:rPr>
              <w:t xml:space="preserve"> </w:t>
            </w:r>
            <w:r w:rsidRPr="004F2095">
              <w:rPr>
                <w:rFonts w:asciiTheme="minorBidi" w:hAnsiTheme="minorBidi"/>
                <w:sz w:val="18"/>
                <w:szCs w:val="18"/>
              </w:rPr>
              <w:t>124</w:t>
            </w:r>
          </w:p>
        </w:tc>
        <w:tc>
          <w:tcPr>
            <w:tcW w:w="0" w:type="auto"/>
            <w:tcBorders>
              <w:top w:val="nil"/>
              <w:left w:val="nil"/>
              <w:bottom w:val="nil"/>
              <w:right w:val="single" w:sz="4" w:space="0" w:color="auto"/>
            </w:tcBorders>
            <w:noWrap/>
            <w:vAlign w:val="center"/>
            <w:hideMark/>
          </w:tcPr>
          <w:p w14:paraId="04402573" w14:textId="39806236"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w:t>
            </w:r>
          </w:p>
        </w:tc>
        <w:tc>
          <w:tcPr>
            <w:tcW w:w="0" w:type="auto"/>
            <w:tcBorders>
              <w:top w:val="nil"/>
              <w:left w:val="nil"/>
              <w:bottom w:val="nil"/>
              <w:right w:val="nil"/>
            </w:tcBorders>
            <w:noWrap/>
            <w:vAlign w:val="center"/>
            <w:hideMark/>
          </w:tcPr>
          <w:p w14:paraId="2BE952B1" w14:textId="77777777" w:rsidR="00F72778" w:rsidRPr="004F2095" w:rsidRDefault="00F72778" w:rsidP="004F2095">
            <w:pPr>
              <w:spacing w:before="0" w:after="0" w:line="240" w:lineRule="auto"/>
              <w:jc w:val="right"/>
              <w:rPr>
                <w:rFonts w:asciiTheme="minorBidi" w:hAnsiTheme="minorBidi"/>
                <w:sz w:val="18"/>
                <w:szCs w:val="18"/>
              </w:rPr>
            </w:pPr>
          </w:p>
        </w:tc>
        <w:tc>
          <w:tcPr>
            <w:tcW w:w="1352" w:type="dxa"/>
            <w:tcBorders>
              <w:top w:val="nil"/>
              <w:left w:val="single" w:sz="4" w:space="0" w:color="auto"/>
              <w:bottom w:val="nil"/>
              <w:right w:val="nil"/>
            </w:tcBorders>
            <w:shd w:val="clear" w:color="auto" w:fill="E5E5E5" w:themeFill="background2" w:themeFillShade="E6"/>
            <w:noWrap/>
            <w:vAlign w:val="center"/>
            <w:hideMark/>
          </w:tcPr>
          <w:p w14:paraId="311626B2" w14:textId="000962C0"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92</w:t>
            </w:r>
            <w:r w:rsidR="009364B5">
              <w:rPr>
                <w:rFonts w:asciiTheme="minorBidi" w:hAnsiTheme="minorBidi"/>
                <w:sz w:val="18"/>
                <w:szCs w:val="18"/>
              </w:rPr>
              <w:t xml:space="preserve"> </w:t>
            </w:r>
            <w:r w:rsidRPr="00B54A22">
              <w:rPr>
                <w:rFonts w:asciiTheme="minorBidi" w:hAnsiTheme="minorBidi"/>
                <w:sz w:val="18"/>
                <w:szCs w:val="18"/>
              </w:rPr>
              <w:t>489</w:t>
            </w:r>
          </w:p>
        </w:tc>
        <w:tc>
          <w:tcPr>
            <w:tcW w:w="0" w:type="auto"/>
            <w:tcBorders>
              <w:top w:val="nil"/>
              <w:left w:val="nil"/>
              <w:bottom w:val="nil"/>
              <w:right w:val="single" w:sz="4" w:space="0" w:color="auto"/>
            </w:tcBorders>
            <w:noWrap/>
            <w:vAlign w:val="center"/>
            <w:hideMark/>
          </w:tcPr>
          <w:p w14:paraId="39D73EB3" w14:textId="0D4475B0"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6</w:t>
            </w:r>
          </w:p>
        </w:tc>
      </w:tr>
      <w:tr w:rsidR="007964F1" w:rsidRPr="004F2095" w14:paraId="485971A0" w14:textId="77777777" w:rsidTr="4A7E2F16">
        <w:trPr>
          <w:trHeight w:val="300"/>
        </w:trPr>
        <w:tc>
          <w:tcPr>
            <w:tcW w:w="0" w:type="auto"/>
            <w:tcBorders>
              <w:top w:val="nil"/>
              <w:left w:val="single" w:sz="4" w:space="0" w:color="auto"/>
              <w:bottom w:val="nil"/>
              <w:right w:val="single" w:sz="4" w:space="0" w:color="auto"/>
            </w:tcBorders>
            <w:noWrap/>
            <w:vAlign w:val="center"/>
            <w:hideMark/>
          </w:tcPr>
          <w:p w14:paraId="707DC4F9" w14:textId="77777777" w:rsidR="00F72778" w:rsidRPr="004F2095" w:rsidRDefault="00F72778" w:rsidP="004F2095">
            <w:pPr>
              <w:spacing w:before="0" w:after="0" w:line="240" w:lineRule="auto"/>
              <w:rPr>
                <w:rFonts w:asciiTheme="minorBidi" w:hAnsiTheme="minorBidi"/>
                <w:sz w:val="18"/>
                <w:szCs w:val="18"/>
              </w:rPr>
            </w:pPr>
            <w:r w:rsidRPr="004F2095">
              <w:rPr>
                <w:rFonts w:asciiTheme="minorBidi" w:hAnsiTheme="minorBidi"/>
                <w:sz w:val="18"/>
                <w:szCs w:val="18"/>
              </w:rPr>
              <w:t>mai</w:t>
            </w:r>
          </w:p>
        </w:tc>
        <w:tc>
          <w:tcPr>
            <w:tcW w:w="0" w:type="auto"/>
            <w:tcBorders>
              <w:top w:val="nil"/>
              <w:left w:val="nil"/>
              <w:bottom w:val="nil"/>
              <w:right w:val="nil"/>
            </w:tcBorders>
            <w:noWrap/>
            <w:vAlign w:val="center"/>
            <w:hideMark/>
          </w:tcPr>
          <w:p w14:paraId="23FA7F1E" w14:textId="354A18EF"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19</w:t>
            </w:r>
            <w:r w:rsidR="009364B5">
              <w:rPr>
                <w:rFonts w:asciiTheme="minorBidi" w:hAnsiTheme="minorBidi"/>
                <w:sz w:val="18"/>
                <w:szCs w:val="18"/>
              </w:rPr>
              <w:t xml:space="preserve"> </w:t>
            </w:r>
            <w:r w:rsidRPr="004F2095">
              <w:rPr>
                <w:rFonts w:asciiTheme="minorBidi" w:hAnsiTheme="minorBidi"/>
                <w:sz w:val="18"/>
                <w:szCs w:val="18"/>
              </w:rPr>
              <w:t>027</w:t>
            </w:r>
          </w:p>
        </w:tc>
        <w:tc>
          <w:tcPr>
            <w:tcW w:w="0" w:type="auto"/>
            <w:tcBorders>
              <w:top w:val="nil"/>
              <w:left w:val="nil"/>
              <w:bottom w:val="nil"/>
              <w:right w:val="nil"/>
            </w:tcBorders>
            <w:noWrap/>
            <w:vAlign w:val="center"/>
            <w:hideMark/>
          </w:tcPr>
          <w:p w14:paraId="5BEB62B6" w14:textId="24638682"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101</w:t>
            </w:r>
            <w:r w:rsidR="009364B5">
              <w:rPr>
                <w:rFonts w:asciiTheme="minorBidi" w:hAnsiTheme="minorBidi"/>
                <w:sz w:val="18"/>
                <w:szCs w:val="18"/>
              </w:rPr>
              <w:t xml:space="preserve"> </w:t>
            </w:r>
            <w:r w:rsidRPr="004F2095">
              <w:rPr>
                <w:rFonts w:asciiTheme="minorBidi" w:hAnsiTheme="minorBidi"/>
                <w:sz w:val="18"/>
                <w:szCs w:val="18"/>
              </w:rPr>
              <w:t>165</w:t>
            </w:r>
          </w:p>
        </w:tc>
        <w:tc>
          <w:tcPr>
            <w:tcW w:w="0" w:type="auto"/>
            <w:tcBorders>
              <w:top w:val="nil"/>
              <w:left w:val="single" w:sz="4" w:space="0" w:color="auto"/>
              <w:bottom w:val="nil"/>
              <w:right w:val="nil"/>
            </w:tcBorders>
            <w:noWrap/>
            <w:vAlign w:val="center"/>
            <w:hideMark/>
          </w:tcPr>
          <w:p w14:paraId="7036BE86" w14:textId="4331B1E4"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20</w:t>
            </w:r>
            <w:r w:rsidR="009364B5">
              <w:rPr>
                <w:rFonts w:asciiTheme="minorBidi" w:hAnsiTheme="minorBidi"/>
                <w:sz w:val="18"/>
                <w:szCs w:val="18"/>
              </w:rPr>
              <w:t xml:space="preserve"> </w:t>
            </w:r>
            <w:r w:rsidRPr="004F2095">
              <w:rPr>
                <w:rFonts w:asciiTheme="minorBidi" w:hAnsiTheme="minorBidi"/>
                <w:sz w:val="18"/>
                <w:szCs w:val="18"/>
              </w:rPr>
              <w:t>286</w:t>
            </w:r>
          </w:p>
        </w:tc>
        <w:tc>
          <w:tcPr>
            <w:tcW w:w="0" w:type="auto"/>
            <w:tcBorders>
              <w:top w:val="nil"/>
              <w:left w:val="nil"/>
              <w:bottom w:val="nil"/>
              <w:right w:val="single" w:sz="4" w:space="0" w:color="auto"/>
            </w:tcBorders>
            <w:noWrap/>
            <w:vAlign w:val="center"/>
            <w:hideMark/>
          </w:tcPr>
          <w:p w14:paraId="7F3815C9" w14:textId="74BDB339"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w:t>
            </w:r>
            <w:r w:rsidR="009364B5">
              <w:rPr>
                <w:rFonts w:asciiTheme="minorBidi" w:hAnsiTheme="minorBidi"/>
                <w:sz w:val="18"/>
                <w:szCs w:val="18"/>
              </w:rPr>
              <w:t xml:space="preserve"> </w:t>
            </w:r>
            <w:r w:rsidRPr="004F2095">
              <w:rPr>
                <w:rFonts w:asciiTheme="minorBidi" w:hAnsiTheme="minorBidi"/>
                <w:sz w:val="18"/>
                <w:szCs w:val="18"/>
              </w:rPr>
              <w:t>924</w:t>
            </w:r>
          </w:p>
        </w:tc>
        <w:tc>
          <w:tcPr>
            <w:tcW w:w="0" w:type="auto"/>
            <w:tcBorders>
              <w:top w:val="nil"/>
              <w:left w:val="nil"/>
              <w:bottom w:val="nil"/>
              <w:right w:val="nil"/>
            </w:tcBorders>
            <w:noWrap/>
            <w:vAlign w:val="center"/>
            <w:hideMark/>
          </w:tcPr>
          <w:p w14:paraId="25A8AAA5" w14:textId="675DEBFA"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31</w:t>
            </w:r>
            <w:r w:rsidR="009364B5">
              <w:rPr>
                <w:rFonts w:asciiTheme="minorBidi" w:hAnsiTheme="minorBidi"/>
                <w:sz w:val="18"/>
                <w:szCs w:val="18"/>
              </w:rPr>
              <w:t xml:space="preserve"> </w:t>
            </w:r>
            <w:r w:rsidRPr="004F2095">
              <w:rPr>
                <w:rFonts w:asciiTheme="minorBidi" w:hAnsiTheme="minorBidi"/>
                <w:sz w:val="18"/>
                <w:szCs w:val="18"/>
              </w:rPr>
              <w:t>602</w:t>
            </w:r>
          </w:p>
        </w:tc>
        <w:tc>
          <w:tcPr>
            <w:tcW w:w="0" w:type="auto"/>
            <w:tcBorders>
              <w:top w:val="nil"/>
              <w:left w:val="nil"/>
              <w:bottom w:val="nil"/>
              <w:right w:val="nil"/>
            </w:tcBorders>
            <w:noWrap/>
            <w:vAlign w:val="center"/>
            <w:hideMark/>
          </w:tcPr>
          <w:p w14:paraId="52A741B3" w14:textId="4A5E42FC"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12</w:t>
            </w:r>
            <w:r w:rsidR="009364B5">
              <w:rPr>
                <w:rFonts w:asciiTheme="minorBidi" w:hAnsiTheme="minorBidi"/>
                <w:sz w:val="18"/>
                <w:szCs w:val="18"/>
              </w:rPr>
              <w:t xml:space="preserve"> </w:t>
            </w:r>
            <w:r w:rsidRPr="004F2095">
              <w:rPr>
                <w:rFonts w:asciiTheme="minorBidi" w:hAnsiTheme="minorBidi"/>
                <w:sz w:val="18"/>
                <w:szCs w:val="18"/>
              </w:rPr>
              <w:t>685</w:t>
            </w:r>
          </w:p>
        </w:tc>
        <w:tc>
          <w:tcPr>
            <w:tcW w:w="0" w:type="auto"/>
            <w:tcBorders>
              <w:top w:val="nil"/>
              <w:left w:val="single" w:sz="4" w:space="0" w:color="auto"/>
              <w:bottom w:val="nil"/>
              <w:right w:val="nil"/>
            </w:tcBorders>
            <w:noWrap/>
            <w:vAlign w:val="center"/>
            <w:hideMark/>
          </w:tcPr>
          <w:p w14:paraId="75904DFC" w14:textId="3B48C2F4"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32</w:t>
            </w:r>
            <w:r w:rsidR="009364B5">
              <w:rPr>
                <w:rFonts w:asciiTheme="minorBidi" w:hAnsiTheme="minorBidi"/>
                <w:sz w:val="18"/>
                <w:szCs w:val="18"/>
              </w:rPr>
              <w:t xml:space="preserve"> </w:t>
            </w:r>
            <w:r w:rsidRPr="004F2095">
              <w:rPr>
                <w:rFonts w:asciiTheme="minorBidi" w:hAnsiTheme="minorBidi"/>
                <w:sz w:val="18"/>
                <w:szCs w:val="18"/>
              </w:rPr>
              <w:t>043</w:t>
            </w:r>
          </w:p>
        </w:tc>
        <w:tc>
          <w:tcPr>
            <w:tcW w:w="0" w:type="auto"/>
            <w:tcBorders>
              <w:top w:val="nil"/>
              <w:left w:val="nil"/>
              <w:bottom w:val="nil"/>
              <w:right w:val="single" w:sz="4" w:space="0" w:color="auto"/>
            </w:tcBorders>
            <w:noWrap/>
            <w:vAlign w:val="center"/>
            <w:hideMark/>
          </w:tcPr>
          <w:p w14:paraId="3C0CB435" w14:textId="51434A36"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52</w:t>
            </w:r>
            <w:r w:rsidR="009364B5">
              <w:rPr>
                <w:rFonts w:asciiTheme="minorBidi" w:hAnsiTheme="minorBidi"/>
                <w:sz w:val="18"/>
                <w:szCs w:val="18"/>
              </w:rPr>
              <w:t xml:space="preserve"> </w:t>
            </w:r>
            <w:r w:rsidRPr="004F2095">
              <w:rPr>
                <w:rFonts w:asciiTheme="minorBidi" w:hAnsiTheme="minorBidi"/>
                <w:sz w:val="18"/>
                <w:szCs w:val="18"/>
              </w:rPr>
              <w:t>179</w:t>
            </w:r>
          </w:p>
        </w:tc>
        <w:tc>
          <w:tcPr>
            <w:tcW w:w="0" w:type="auto"/>
            <w:tcBorders>
              <w:top w:val="nil"/>
              <w:left w:val="nil"/>
              <w:bottom w:val="nil"/>
              <w:right w:val="nil"/>
            </w:tcBorders>
            <w:noWrap/>
            <w:vAlign w:val="center"/>
            <w:hideMark/>
          </w:tcPr>
          <w:p w14:paraId="4E6A323D" w14:textId="3FCBB79B"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30</w:t>
            </w:r>
            <w:r w:rsidR="009364B5">
              <w:rPr>
                <w:rFonts w:asciiTheme="minorBidi" w:hAnsiTheme="minorBidi"/>
                <w:sz w:val="18"/>
                <w:szCs w:val="18"/>
              </w:rPr>
              <w:t xml:space="preserve"> </w:t>
            </w:r>
            <w:r w:rsidRPr="004F2095">
              <w:rPr>
                <w:rFonts w:asciiTheme="minorBidi" w:hAnsiTheme="minorBidi"/>
                <w:sz w:val="18"/>
                <w:szCs w:val="18"/>
              </w:rPr>
              <w:t>863</w:t>
            </w:r>
          </w:p>
        </w:tc>
        <w:tc>
          <w:tcPr>
            <w:tcW w:w="0" w:type="auto"/>
            <w:tcBorders>
              <w:top w:val="nil"/>
              <w:left w:val="nil"/>
              <w:bottom w:val="nil"/>
              <w:right w:val="nil"/>
            </w:tcBorders>
            <w:noWrap/>
            <w:vAlign w:val="center"/>
            <w:hideMark/>
          </w:tcPr>
          <w:p w14:paraId="5B1637F5" w14:textId="1663A0C7"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w:t>
            </w:r>
          </w:p>
        </w:tc>
        <w:tc>
          <w:tcPr>
            <w:tcW w:w="0" w:type="auto"/>
            <w:tcBorders>
              <w:top w:val="nil"/>
              <w:left w:val="nil"/>
              <w:bottom w:val="nil"/>
              <w:right w:val="nil"/>
            </w:tcBorders>
            <w:noWrap/>
            <w:vAlign w:val="center"/>
            <w:hideMark/>
          </w:tcPr>
          <w:p w14:paraId="7E6D9E1F" w14:textId="586CF3E4"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70</w:t>
            </w:r>
            <w:r w:rsidR="009364B5">
              <w:rPr>
                <w:rFonts w:asciiTheme="minorBidi" w:hAnsiTheme="minorBidi"/>
                <w:sz w:val="18"/>
                <w:szCs w:val="18"/>
              </w:rPr>
              <w:t xml:space="preserve"> </w:t>
            </w:r>
            <w:r w:rsidRPr="004F2095">
              <w:rPr>
                <w:rFonts w:asciiTheme="minorBidi" w:hAnsiTheme="minorBidi"/>
                <w:sz w:val="18"/>
                <w:szCs w:val="18"/>
              </w:rPr>
              <w:t>574</w:t>
            </w:r>
          </w:p>
        </w:tc>
        <w:tc>
          <w:tcPr>
            <w:tcW w:w="0" w:type="auto"/>
            <w:tcBorders>
              <w:top w:val="nil"/>
              <w:left w:val="nil"/>
              <w:bottom w:val="nil"/>
              <w:right w:val="single" w:sz="4" w:space="0" w:color="auto"/>
            </w:tcBorders>
            <w:noWrap/>
            <w:vAlign w:val="center"/>
            <w:hideMark/>
          </w:tcPr>
          <w:p w14:paraId="4E580F96" w14:textId="071BC2D8"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w:t>
            </w:r>
          </w:p>
        </w:tc>
        <w:tc>
          <w:tcPr>
            <w:tcW w:w="0" w:type="auto"/>
            <w:tcBorders>
              <w:top w:val="nil"/>
              <w:left w:val="nil"/>
              <w:bottom w:val="nil"/>
              <w:right w:val="nil"/>
            </w:tcBorders>
            <w:noWrap/>
            <w:vAlign w:val="center"/>
            <w:hideMark/>
          </w:tcPr>
          <w:p w14:paraId="235ABEF1" w14:textId="77777777" w:rsidR="00F72778" w:rsidRPr="004F2095" w:rsidRDefault="00F72778" w:rsidP="004F2095">
            <w:pPr>
              <w:spacing w:before="0" w:after="0" w:line="240" w:lineRule="auto"/>
              <w:jc w:val="right"/>
              <w:rPr>
                <w:rFonts w:asciiTheme="minorBidi" w:hAnsiTheme="minorBidi"/>
                <w:sz w:val="18"/>
                <w:szCs w:val="18"/>
              </w:rPr>
            </w:pPr>
          </w:p>
        </w:tc>
        <w:tc>
          <w:tcPr>
            <w:tcW w:w="1352" w:type="dxa"/>
            <w:tcBorders>
              <w:top w:val="nil"/>
              <w:left w:val="single" w:sz="4" w:space="0" w:color="auto"/>
              <w:bottom w:val="nil"/>
              <w:right w:val="nil"/>
            </w:tcBorders>
            <w:shd w:val="clear" w:color="auto" w:fill="E5E5E5" w:themeFill="background2" w:themeFillShade="E6"/>
            <w:noWrap/>
            <w:vAlign w:val="center"/>
            <w:hideMark/>
          </w:tcPr>
          <w:p w14:paraId="6B5BE808" w14:textId="1ED8FB66"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101</w:t>
            </w:r>
            <w:r w:rsidR="009364B5">
              <w:rPr>
                <w:rFonts w:asciiTheme="minorBidi" w:hAnsiTheme="minorBidi"/>
                <w:sz w:val="18"/>
                <w:szCs w:val="18"/>
              </w:rPr>
              <w:t xml:space="preserve"> </w:t>
            </w:r>
            <w:r w:rsidRPr="00B54A22">
              <w:rPr>
                <w:rFonts w:asciiTheme="minorBidi" w:hAnsiTheme="minorBidi"/>
                <w:sz w:val="18"/>
                <w:szCs w:val="18"/>
              </w:rPr>
              <w:t>437</w:t>
            </w:r>
          </w:p>
        </w:tc>
        <w:tc>
          <w:tcPr>
            <w:tcW w:w="0" w:type="auto"/>
            <w:tcBorders>
              <w:top w:val="nil"/>
              <w:left w:val="nil"/>
              <w:bottom w:val="nil"/>
              <w:right w:val="single" w:sz="4" w:space="0" w:color="auto"/>
            </w:tcBorders>
            <w:noWrap/>
            <w:vAlign w:val="center"/>
            <w:hideMark/>
          </w:tcPr>
          <w:p w14:paraId="3FE17BDC" w14:textId="4F0E960F"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7</w:t>
            </w:r>
          </w:p>
        </w:tc>
      </w:tr>
      <w:tr w:rsidR="007964F1" w:rsidRPr="004F2095" w14:paraId="3DB39E4B" w14:textId="77777777" w:rsidTr="4A7E2F16">
        <w:trPr>
          <w:trHeight w:val="300"/>
        </w:trPr>
        <w:tc>
          <w:tcPr>
            <w:tcW w:w="0" w:type="auto"/>
            <w:tcBorders>
              <w:top w:val="nil"/>
              <w:left w:val="single" w:sz="4" w:space="0" w:color="auto"/>
              <w:bottom w:val="nil"/>
              <w:right w:val="single" w:sz="4" w:space="0" w:color="auto"/>
            </w:tcBorders>
            <w:noWrap/>
            <w:vAlign w:val="center"/>
            <w:hideMark/>
          </w:tcPr>
          <w:p w14:paraId="2A68E4A3" w14:textId="77777777" w:rsidR="00F72778" w:rsidRPr="004F2095" w:rsidRDefault="00F72778" w:rsidP="004F2095">
            <w:pPr>
              <w:spacing w:before="0" w:after="0" w:line="240" w:lineRule="auto"/>
              <w:rPr>
                <w:rFonts w:asciiTheme="minorBidi" w:hAnsiTheme="minorBidi"/>
                <w:sz w:val="18"/>
                <w:szCs w:val="18"/>
              </w:rPr>
            </w:pPr>
            <w:r w:rsidRPr="004F2095">
              <w:rPr>
                <w:rFonts w:asciiTheme="minorBidi" w:hAnsiTheme="minorBidi"/>
                <w:sz w:val="18"/>
                <w:szCs w:val="18"/>
              </w:rPr>
              <w:t>juuni</w:t>
            </w:r>
          </w:p>
        </w:tc>
        <w:tc>
          <w:tcPr>
            <w:tcW w:w="0" w:type="auto"/>
            <w:tcBorders>
              <w:top w:val="nil"/>
              <w:left w:val="nil"/>
              <w:bottom w:val="nil"/>
              <w:right w:val="nil"/>
            </w:tcBorders>
            <w:noWrap/>
            <w:vAlign w:val="center"/>
            <w:hideMark/>
          </w:tcPr>
          <w:p w14:paraId="15180F11" w14:textId="4EF49D50"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35</w:t>
            </w:r>
            <w:r w:rsidR="009364B5">
              <w:rPr>
                <w:rFonts w:asciiTheme="minorBidi" w:hAnsiTheme="minorBidi"/>
                <w:sz w:val="18"/>
                <w:szCs w:val="18"/>
              </w:rPr>
              <w:t xml:space="preserve"> </w:t>
            </w:r>
            <w:r w:rsidRPr="004F2095">
              <w:rPr>
                <w:rFonts w:asciiTheme="minorBidi" w:hAnsiTheme="minorBidi"/>
                <w:sz w:val="18"/>
                <w:szCs w:val="18"/>
              </w:rPr>
              <w:t>514</w:t>
            </w:r>
          </w:p>
        </w:tc>
        <w:tc>
          <w:tcPr>
            <w:tcW w:w="0" w:type="auto"/>
            <w:tcBorders>
              <w:top w:val="nil"/>
              <w:left w:val="nil"/>
              <w:bottom w:val="nil"/>
              <w:right w:val="nil"/>
            </w:tcBorders>
            <w:noWrap/>
            <w:vAlign w:val="center"/>
            <w:hideMark/>
          </w:tcPr>
          <w:p w14:paraId="5706CE73" w14:textId="5CDD27FC"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137</w:t>
            </w:r>
            <w:r w:rsidR="009364B5">
              <w:rPr>
                <w:rFonts w:asciiTheme="minorBidi" w:hAnsiTheme="minorBidi"/>
                <w:sz w:val="18"/>
                <w:szCs w:val="18"/>
              </w:rPr>
              <w:t xml:space="preserve"> </w:t>
            </w:r>
            <w:r w:rsidRPr="004F2095">
              <w:rPr>
                <w:rFonts w:asciiTheme="minorBidi" w:hAnsiTheme="minorBidi"/>
                <w:sz w:val="18"/>
                <w:szCs w:val="18"/>
              </w:rPr>
              <w:t>529</w:t>
            </w:r>
          </w:p>
        </w:tc>
        <w:tc>
          <w:tcPr>
            <w:tcW w:w="0" w:type="auto"/>
            <w:tcBorders>
              <w:top w:val="nil"/>
              <w:left w:val="single" w:sz="4" w:space="0" w:color="auto"/>
              <w:bottom w:val="nil"/>
              <w:right w:val="nil"/>
            </w:tcBorders>
            <w:noWrap/>
            <w:vAlign w:val="center"/>
            <w:hideMark/>
          </w:tcPr>
          <w:p w14:paraId="3B2AF25C" w14:textId="4943C3BD"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40</w:t>
            </w:r>
            <w:r w:rsidR="009364B5">
              <w:rPr>
                <w:rFonts w:asciiTheme="minorBidi" w:hAnsiTheme="minorBidi"/>
                <w:sz w:val="18"/>
                <w:szCs w:val="18"/>
              </w:rPr>
              <w:t xml:space="preserve"> </w:t>
            </w:r>
            <w:r w:rsidRPr="004F2095">
              <w:rPr>
                <w:rFonts w:asciiTheme="minorBidi" w:hAnsiTheme="minorBidi"/>
                <w:sz w:val="18"/>
                <w:szCs w:val="18"/>
              </w:rPr>
              <w:t>994</w:t>
            </w:r>
          </w:p>
        </w:tc>
        <w:tc>
          <w:tcPr>
            <w:tcW w:w="0" w:type="auto"/>
            <w:tcBorders>
              <w:top w:val="nil"/>
              <w:left w:val="nil"/>
              <w:bottom w:val="nil"/>
              <w:right w:val="single" w:sz="4" w:space="0" w:color="auto"/>
            </w:tcBorders>
            <w:noWrap/>
            <w:vAlign w:val="center"/>
            <w:hideMark/>
          </w:tcPr>
          <w:p w14:paraId="79A0926E" w14:textId="20635031"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28</w:t>
            </w:r>
            <w:r w:rsidR="009364B5">
              <w:rPr>
                <w:rFonts w:asciiTheme="minorBidi" w:hAnsiTheme="minorBidi"/>
                <w:sz w:val="18"/>
                <w:szCs w:val="18"/>
              </w:rPr>
              <w:t xml:space="preserve"> </w:t>
            </w:r>
            <w:r w:rsidRPr="004F2095">
              <w:rPr>
                <w:rFonts w:asciiTheme="minorBidi" w:hAnsiTheme="minorBidi"/>
                <w:sz w:val="18"/>
                <w:szCs w:val="18"/>
              </w:rPr>
              <w:t>055</w:t>
            </w:r>
          </w:p>
        </w:tc>
        <w:tc>
          <w:tcPr>
            <w:tcW w:w="0" w:type="auto"/>
            <w:tcBorders>
              <w:top w:val="nil"/>
              <w:left w:val="nil"/>
              <w:bottom w:val="nil"/>
              <w:right w:val="nil"/>
            </w:tcBorders>
            <w:noWrap/>
            <w:vAlign w:val="center"/>
            <w:hideMark/>
          </w:tcPr>
          <w:p w14:paraId="201E6C17" w14:textId="5C1F380C"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60</w:t>
            </w:r>
            <w:r w:rsidR="009364B5">
              <w:rPr>
                <w:rFonts w:asciiTheme="minorBidi" w:hAnsiTheme="minorBidi"/>
                <w:sz w:val="18"/>
                <w:szCs w:val="18"/>
              </w:rPr>
              <w:t xml:space="preserve"> </w:t>
            </w:r>
            <w:r w:rsidRPr="004F2095">
              <w:rPr>
                <w:rFonts w:asciiTheme="minorBidi" w:hAnsiTheme="minorBidi"/>
                <w:sz w:val="18"/>
                <w:szCs w:val="18"/>
              </w:rPr>
              <w:t>000</w:t>
            </w:r>
          </w:p>
        </w:tc>
        <w:tc>
          <w:tcPr>
            <w:tcW w:w="0" w:type="auto"/>
            <w:tcBorders>
              <w:top w:val="nil"/>
              <w:left w:val="nil"/>
              <w:bottom w:val="nil"/>
              <w:right w:val="nil"/>
            </w:tcBorders>
            <w:noWrap/>
            <w:vAlign w:val="center"/>
            <w:hideMark/>
          </w:tcPr>
          <w:p w14:paraId="4A257802" w14:textId="48C84F74"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23</w:t>
            </w:r>
            <w:r w:rsidR="009364B5">
              <w:rPr>
                <w:rFonts w:asciiTheme="minorBidi" w:hAnsiTheme="minorBidi"/>
                <w:sz w:val="18"/>
                <w:szCs w:val="18"/>
              </w:rPr>
              <w:t xml:space="preserve"> </w:t>
            </w:r>
            <w:r w:rsidRPr="004F2095">
              <w:rPr>
                <w:rFonts w:asciiTheme="minorBidi" w:hAnsiTheme="minorBidi"/>
                <w:sz w:val="18"/>
                <w:szCs w:val="18"/>
              </w:rPr>
              <w:t>688</w:t>
            </w:r>
          </w:p>
        </w:tc>
        <w:tc>
          <w:tcPr>
            <w:tcW w:w="0" w:type="auto"/>
            <w:tcBorders>
              <w:top w:val="nil"/>
              <w:left w:val="single" w:sz="4" w:space="0" w:color="auto"/>
              <w:bottom w:val="nil"/>
              <w:right w:val="nil"/>
            </w:tcBorders>
            <w:noWrap/>
            <w:vAlign w:val="center"/>
            <w:hideMark/>
          </w:tcPr>
          <w:p w14:paraId="1A79D3C6" w14:textId="698070C0"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56</w:t>
            </w:r>
            <w:r w:rsidR="009364B5">
              <w:rPr>
                <w:rFonts w:asciiTheme="minorBidi" w:hAnsiTheme="minorBidi"/>
                <w:sz w:val="18"/>
                <w:szCs w:val="18"/>
              </w:rPr>
              <w:t xml:space="preserve"> </w:t>
            </w:r>
            <w:r w:rsidRPr="004F2095">
              <w:rPr>
                <w:rFonts w:asciiTheme="minorBidi" w:hAnsiTheme="minorBidi"/>
                <w:sz w:val="18"/>
                <w:szCs w:val="18"/>
              </w:rPr>
              <w:t>495</w:t>
            </w:r>
          </w:p>
        </w:tc>
        <w:tc>
          <w:tcPr>
            <w:tcW w:w="0" w:type="auto"/>
            <w:tcBorders>
              <w:top w:val="nil"/>
              <w:left w:val="nil"/>
              <w:bottom w:val="nil"/>
              <w:right w:val="single" w:sz="4" w:space="0" w:color="auto"/>
            </w:tcBorders>
            <w:noWrap/>
            <w:vAlign w:val="center"/>
            <w:hideMark/>
          </w:tcPr>
          <w:p w14:paraId="4EBE0DBF" w14:textId="64662BD9"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84</w:t>
            </w:r>
            <w:r w:rsidR="009364B5">
              <w:rPr>
                <w:rFonts w:asciiTheme="minorBidi" w:hAnsiTheme="minorBidi"/>
                <w:sz w:val="18"/>
                <w:szCs w:val="18"/>
              </w:rPr>
              <w:t xml:space="preserve"> </w:t>
            </w:r>
            <w:r w:rsidRPr="004F2095">
              <w:rPr>
                <w:rFonts w:asciiTheme="minorBidi" w:hAnsiTheme="minorBidi"/>
                <w:sz w:val="18"/>
                <w:szCs w:val="18"/>
              </w:rPr>
              <w:t>348</w:t>
            </w:r>
          </w:p>
        </w:tc>
        <w:tc>
          <w:tcPr>
            <w:tcW w:w="0" w:type="auto"/>
            <w:tcBorders>
              <w:top w:val="nil"/>
              <w:left w:val="nil"/>
              <w:bottom w:val="nil"/>
              <w:right w:val="nil"/>
            </w:tcBorders>
            <w:noWrap/>
            <w:vAlign w:val="center"/>
            <w:hideMark/>
          </w:tcPr>
          <w:p w14:paraId="6C2248C7" w14:textId="0DFF7BFD"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62</w:t>
            </w:r>
            <w:r w:rsidR="009364B5">
              <w:rPr>
                <w:rFonts w:asciiTheme="minorBidi" w:hAnsiTheme="minorBidi"/>
                <w:sz w:val="18"/>
                <w:szCs w:val="18"/>
              </w:rPr>
              <w:t xml:space="preserve"> </w:t>
            </w:r>
            <w:r w:rsidRPr="004F2095">
              <w:rPr>
                <w:rFonts w:asciiTheme="minorBidi" w:hAnsiTheme="minorBidi"/>
                <w:sz w:val="18"/>
                <w:szCs w:val="18"/>
              </w:rPr>
              <w:t>019</w:t>
            </w:r>
          </w:p>
        </w:tc>
        <w:tc>
          <w:tcPr>
            <w:tcW w:w="0" w:type="auto"/>
            <w:tcBorders>
              <w:top w:val="nil"/>
              <w:left w:val="nil"/>
              <w:bottom w:val="nil"/>
              <w:right w:val="nil"/>
            </w:tcBorders>
            <w:noWrap/>
            <w:vAlign w:val="center"/>
            <w:hideMark/>
          </w:tcPr>
          <w:p w14:paraId="7A4EE5D0" w14:textId="7D9FA320"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12</w:t>
            </w:r>
          </w:p>
        </w:tc>
        <w:tc>
          <w:tcPr>
            <w:tcW w:w="0" w:type="auto"/>
            <w:tcBorders>
              <w:top w:val="nil"/>
              <w:left w:val="nil"/>
              <w:bottom w:val="nil"/>
              <w:right w:val="nil"/>
            </w:tcBorders>
            <w:noWrap/>
            <w:vAlign w:val="center"/>
            <w:hideMark/>
          </w:tcPr>
          <w:p w14:paraId="3FD34F94" w14:textId="5E6D1812"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109</w:t>
            </w:r>
            <w:r w:rsidR="009364B5">
              <w:rPr>
                <w:rFonts w:asciiTheme="minorBidi" w:hAnsiTheme="minorBidi"/>
                <w:sz w:val="18"/>
                <w:szCs w:val="18"/>
              </w:rPr>
              <w:t xml:space="preserve"> </w:t>
            </w:r>
            <w:r w:rsidRPr="004F2095">
              <w:rPr>
                <w:rFonts w:asciiTheme="minorBidi" w:hAnsiTheme="minorBidi"/>
                <w:sz w:val="18"/>
                <w:szCs w:val="18"/>
              </w:rPr>
              <w:t>291</w:t>
            </w:r>
          </w:p>
        </w:tc>
        <w:tc>
          <w:tcPr>
            <w:tcW w:w="0" w:type="auto"/>
            <w:tcBorders>
              <w:top w:val="nil"/>
              <w:left w:val="nil"/>
              <w:bottom w:val="nil"/>
              <w:right w:val="single" w:sz="4" w:space="0" w:color="auto"/>
            </w:tcBorders>
            <w:noWrap/>
            <w:vAlign w:val="center"/>
            <w:hideMark/>
          </w:tcPr>
          <w:p w14:paraId="28A0B3B7" w14:textId="7041EF1E"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11</w:t>
            </w:r>
          </w:p>
        </w:tc>
        <w:tc>
          <w:tcPr>
            <w:tcW w:w="0" w:type="auto"/>
            <w:tcBorders>
              <w:top w:val="nil"/>
              <w:left w:val="nil"/>
              <w:bottom w:val="nil"/>
              <w:right w:val="nil"/>
            </w:tcBorders>
            <w:noWrap/>
            <w:vAlign w:val="center"/>
            <w:hideMark/>
          </w:tcPr>
          <w:p w14:paraId="381B29E1" w14:textId="77777777" w:rsidR="00F72778" w:rsidRPr="004F2095" w:rsidRDefault="00F72778" w:rsidP="004F2095">
            <w:pPr>
              <w:spacing w:before="0" w:after="0" w:line="240" w:lineRule="auto"/>
              <w:jc w:val="right"/>
              <w:rPr>
                <w:rFonts w:asciiTheme="minorBidi" w:hAnsiTheme="minorBidi"/>
                <w:sz w:val="18"/>
                <w:szCs w:val="18"/>
              </w:rPr>
            </w:pPr>
          </w:p>
        </w:tc>
        <w:tc>
          <w:tcPr>
            <w:tcW w:w="1352" w:type="dxa"/>
            <w:tcBorders>
              <w:top w:val="nil"/>
              <w:left w:val="single" w:sz="4" w:space="0" w:color="auto"/>
              <w:bottom w:val="nil"/>
              <w:right w:val="nil"/>
            </w:tcBorders>
            <w:shd w:val="clear" w:color="auto" w:fill="E5E5E5" w:themeFill="background2" w:themeFillShade="E6"/>
            <w:noWrap/>
            <w:vAlign w:val="center"/>
            <w:hideMark/>
          </w:tcPr>
          <w:p w14:paraId="052271A3" w14:textId="54AF917F"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171</w:t>
            </w:r>
            <w:r w:rsidR="009364B5">
              <w:rPr>
                <w:rFonts w:asciiTheme="minorBidi" w:hAnsiTheme="minorBidi"/>
                <w:sz w:val="18"/>
                <w:szCs w:val="18"/>
              </w:rPr>
              <w:t xml:space="preserve"> </w:t>
            </w:r>
            <w:r w:rsidRPr="00B54A22">
              <w:rPr>
                <w:rFonts w:asciiTheme="minorBidi" w:hAnsiTheme="minorBidi"/>
                <w:sz w:val="18"/>
                <w:szCs w:val="18"/>
              </w:rPr>
              <w:t>310</w:t>
            </w:r>
          </w:p>
        </w:tc>
        <w:tc>
          <w:tcPr>
            <w:tcW w:w="0" w:type="auto"/>
            <w:tcBorders>
              <w:top w:val="nil"/>
              <w:left w:val="nil"/>
              <w:bottom w:val="nil"/>
              <w:right w:val="single" w:sz="4" w:space="0" w:color="auto"/>
            </w:tcBorders>
            <w:noWrap/>
            <w:vAlign w:val="center"/>
            <w:hideMark/>
          </w:tcPr>
          <w:p w14:paraId="156E25FA" w14:textId="2C7F52B4"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12</w:t>
            </w:r>
          </w:p>
        </w:tc>
      </w:tr>
      <w:tr w:rsidR="007964F1" w:rsidRPr="004F2095" w14:paraId="38E3FD07" w14:textId="77777777" w:rsidTr="4A7E2F16">
        <w:trPr>
          <w:trHeight w:val="300"/>
        </w:trPr>
        <w:tc>
          <w:tcPr>
            <w:tcW w:w="0" w:type="auto"/>
            <w:tcBorders>
              <w:top w:val="nil"/>
              <w:left w:val="single" w:sz="4" w:space="0" w:color="auto"/>
              <w:bottom w:val="nil"/>
              <w:right w:val="single" w:sz="4" w:space="0" w:color="auto"/>
            </w:tcBorders>
            <w:noWrap/>
            <w:vAlign w:val="center"/>
            <w:hideMark/>
          </w:tcPr>
          <w:p w14:paraId="2ECC7F1C" w14:textId="77777777" w:rsidR="00F72778" w:rsidRPr="004F2095" w:rsidRDefault="00F72778" w:rsidP="004F2095">
            <w:pPr>
              <w:spacing w:before="0" w:after="0" w:line="240" w:lineRule="auto"/>
              <w:rPr>
                <w:rFonts w:asciiTheme="minorBidi" w:hAnsiTheme="minorBidi"/>
                <w:sz w:val="18"/>
                <w:szCs w:val="18"/>
              </w:rPr>
            </w:pPr>
            <w:r w:rsidRPr="004F2095">
              <w:rPr>
                <w:rFonts w:asciiTheme="minorBidi" w:hAnsiTheme="minorBidi"/>
                <w:sz w:val="18"/>
                <w:szCs w:val="18"/>
              </w:rPr>
              <w:t>juuli</w:t>
            </w:r>
          </w:p>
        </w:tc>
        <w:tc>
          <w:tcPr>
            <w:tcW w:w="0" w:type="auto"/>
            <w:tcBorders>
              <w:top w:val="nil"/>
              <w:left w:val="nil"/>
              <w:bottom w:val="nil"/>
              <w:right w:val="nil"/>
            </w:tcBorders>
            <w:noWrap/>
            <w:vAlign w:val="center"/>
            <w:hideMark/>
          </w:tcPr>
          <w:p w14:paraId="7635232B" w14:textId="7CDC1570"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54</w:t>
            </w:r>
            <w:r w:rsidR="009364B5">
              <w:rPr>
                <w:rFonts w:asciiTheme="minorBidi" w:hAnsiTheme="minorBidi"/>
                <w:sz w:val="18"/>
                <w:szCs w:val="18"/>
              </w:rPr>
              <w:t xml:space="preserve"> </w:t>
            </w:r>
            <w:r w:rsidRPr="004F2095">
              <w:rPr>
                <w:rFonts w:asciiTheme="minorBidi" w:hAnsiTheme="minorBidi"/>
                <w:sz w:val="18"/>
                <w:szCs w:val="18"/>
              </w:rPr>
              <w:t>654</w:t>
            </w:r>
          </w:p>
        </w:tc>
        <w:tc>
          <w:tcPr>
            <w:tcW w:w="0" w:type="auto"/>
            <w:tcBorders>
              <w:top w:val="nil"/>
              <w:left w:val="nil"/>
              <w:bottom w:val="nil"/>
              <w:right w:val="nil"/>
            </w:tcBorders>
            <w:noWrap/>
            <w:vAlign w:val="center"/>
            <w:hideMark/>
          </w:tcPr>
          <w:p w14:paraId="6F932C31" w14:textId="0CF044C1"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245</w:t>
            </w:r>
            <w:r w:rsidR="009364B5">
              <w:rPr>
                <w:rFonts w:asciiTheme="minorBidi" w:hAnsiTheme="minorBidi"/>
                <w:sz w:val="18"/>
                <w:szCs w:val="18"/>
              </w:rPr>
              <w:t xml:space="preserve"> </w:t>
            </w:r>
            <w:r w:rsidRPr="004F2095">
              <w:rPr>
                <w:rFonts w:asciiTheme="minorBidi" w:hAnsiTheme="minorBidi"/>
                <w:sz w:val="18"/>
                <w:szCs w:val="18"/>
              </w:rPr>
              <w:t>561</w:t>
            </w:r>
          </w:p>
        </w:tc>
        <w:tc>
          <w:tcPr>
            <w:tcW w:w="0" w:type="auto"/>
            <w:tcBorders>
              <w:top w:val="nil"/>
              <w:left w:val="single" w:sz="4" w:space="0" w:color="auto"/>
              <w:bottom w:val="nil"/>
              <w:right w:val="nil"/>
            </w:tcBorders>
            <w:noWrap/>
            <w:vAlign w:val="center"/>
            <w:hideMark/>
          </w:tcPr>
          <w:p w14:paraId="7C135280" w14:textId="6FF19FCA"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71</w:t>
            </w:r>
            <w:r w:rsidR="009364B5">
              <w:rPr>
                <w:rFonts w:asciiTheme="minorBidi" w:hAnsiTheme="minorBidi"/>
                <w:sz w:val="18"/>
                <w:szCs w:val="18"/>
              </w:rPr>
              <w:t xml:space="preserve"> </w:t>
            </w:r>
            <w:r w:rsidRPr="004F2095">
              <w:rPr>
                <w:rFonts w:asciiTheme="minorBidi" w:hAnsiTheme="minorBidi"/>
                <w:sz w:val="18"/>
                <w:szCs w:val="18"/>
              </w:rPr>
              <w:t>106</w:t>
            </w:r>
          </w:p>
        </w:tc>
        <w:tc>
          <w:tcPr>
            <w:tcW w:w="0" w:type="auto"/>
            <w:tcBorders>
              <w:top w:val="nil"/>
              <w:left w:val="nil"/>
              <w:bottom w:val="nil"/>
              <w:right w:val="single" w:sz="4" w:space="0" w:color="auto"/>
            </w:tcBorders>
            <w:noWrap/>
            <w:vAlign w:val="center"/>
            <w:hideMark/>
          </w:tcPr>
          <w:p w14:paraId="0C50FEB3" w14:textId="4BF90DD8"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97</w:t>
            </w:r>
            <w:r w:rsidR="009364B5">
              <w:rPr>
                <w:rFonts w:asciiTheme="minorBidi" w:hAnsiTheme="minorBidi"/>
                <w:sz w:val="18"/>
                <w:szCs w:val="18"/>
              </w:rPr>
              <w:t xml:space="preserve"> </w:t>
            </w:r>
            <w:r w:rsidRPr="004F2095">
              <w:rPr>
                <w:rFonts w:asciiTheme="minorBidi" w:hAnsiTheme="minorBidi"/>
                <w:sz w:val="18"/>
                <w:szCs w:val="18"/>
              </w:rPr>
              <w:t>475</w:t>
            </w:r>
          </w:p>
        </w:tc>
        <w:tc>
          <w:tcPr>
            <w:tcW w:w="0" w:type="auto"/>
            <w:tcBorders>
              <w:top w:val="nil"/>
              <w:left w:val="nil"/>
              <w:bottom w:val="nil"/>
              <w:right w:val="nil"/>
            </w:tcBorders>
            <w:noWrap/>
            <w:vAlign w:val="center"/>
            <w:hideMark/>
          </w:tcPr>
          <w:p w14:paraId="1A47D8CB" w14:textId="6B80F845"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108</w:t>
            </w:r>
            <w:r w:rsidR="009364B5">
              <w:rPr>
                <w:rFonts w:asciiTheme="minorBidi" w:hAnsiTheme="minorBidi"/>
                <w:sz w:val="18"/>
                <w:szCs w:val="18"/>
              </w:rPr>
              <w:t xml:space="preserve"> </w:t>
            </w:r>
            <w:r w:rsidRPr="004F2095">
              <w:rPr>
                <w:rFonts w:asciiTheme="minorBidi" w:hAnsiTheme="minorBidi"/>
                <w:sz w:val="18"/>
                <w:szCs w:val="18"/>
              </w:rPr>
              <w:t>582</w:t>
            </w:r>
          </w:p>
        </w:tc>
        <w:tc>
          <w:tcPr>
            <w:tcW w:w="0" w:type="auto"/>
            <w:tcBorders>
              <w:top w:val="nil"/>
              <w:left w:val="nil"/>
              <w:bottom w:val="nil"/>
              <w:right w:val="nil"/>
            </w:tcBorders>
            <w:noWrap/>
            <w:vAlign w:val="center"/>
            <w:hideMark/>
          </w:tcPr>
          <w:p w14:paraId="5154AD53" w14:textId="0FCB27EB"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68</w:t>
            </w:r>
            <w:r w:rsidR="009364B5">
              <w:rPr>
                <w:rFonts w:asciiTheme="minorBidi" w:hAnsiTheme="minorBidi"/>
                <w:sz w:val="18"/>
                <w:szCs w:val="18"/>
              </w:rPr>
              <w:t xml:space="preserve"> </w:t>
            </w:r>
            <w:r w:rsidRPr="004F2095">
              <w:rPr>
                <w:rFonts w:asciiTheme="minorBidi" w:hAnsiTheme="minorBidi"/>
                <w:sz w:val="18"/>
                <w:szCs w:val="18"/>
              </w:rPr>
              <w:t>955</w:t>
            </w:r>
          </w:p>
        </w:tc>
        <w:tc>
          <w:tcPr>
            <w:tcW w:w="0" w:type="auto"/>
            <w:tcBorders>
              <w:top w:val="nil"/>
              <w:left w:val="single" w:sz="4" w:space="0" w:color="auto"/>
              <w:bottom w:val="nil"/>
              <w:right w:val="nil"/>
            </w:tcBorders>
            <w:noWrap/>
            <w:vAlign w:val="center"/>
            <w:hideMark/>
          </w:tcPr>
          <w:p w14:paraId="388A313B" w14:textId="159500E0"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92</w:t>
            </w:r>
            <w:r w:rsidR="009364B5">
              <w:rPr>
                <w:rFonts w:asciiTheme="minorBidi" w:hAnsiTheme="minorBidi"/>
                <w:sz w:val="18"/>
                <w:szCs w:val="18"/>
              </w:rPr>
              <w:t xml:space="preserve"> </w:t>
            </w:r>
            <w:r w:rsidRPr="004F2095">
              <w:rPr>
                <w:rFonts w:asciiTheme="minorBidi" w:hAnsiTheme="minorBidi"/>
                <w:sz w:val="18"/>
                <w:szCs w:val="18"/>
              </w:rPr>
              <w:t>463</w:t>
            </w:r>
          </w:p>
        </w:tc>
        <w:tc>
          <w:tcPr>
            <w:tcW w:w="0" w:type="auto"/>
            <w:tcBorders>
              <w:top w:val="nil"/>
              <w:left w:val="nil"/>
              <w:bottom w:val="nil"/>
              <w:right w:val="single" w:sz="4" w:space="0" w:color="auto"/>
            </w:tcBorders>
            <w:noWrap/>
            <w:vAlign w:val="center"/>
            <w:hideMark/>
          </w:tcPr>
          <w:p w14:paraId="288F6360" w14:textId="4D2AE431"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165</w:t>
            </w:r>
            <w:r w:rsidR="009364B5">
              <w:rPr>
                <w:rFonts w:asciiTheme="minorBidi" w:hAnsiTheme="minorBidi"/>
                <w:sz w:val="18"/>
                <w:szCs w:val="18"/>
              </w:rPr>
              <w:t xml:space="preserve"> </w:t>
            </w:r>
            <w:r w:rsidRPr="004F2095">
              <w:rPr>
                <w:rFonts w:asciiTheme="minorBidi" w:hAnsiTheme="minorBidi"/>
                <w:sz w:val="18"/>
                <w:szCs w:val="18"/>
              </w:rPr>
              <w:t>665</w:t>
            </w:r>
          </w:p>
        </w:tc>
        <w:tc>
          <w:tcPr>
            <w:tcW w:w="0" w:type="auto"/>
            <w:tcBorders>
              <w:top w:val="nil"/>
              <w:left w:val="nil"/>
              <w:bottom w:val="nil"/>
              <w:right w:val="nil"/>
            </w:tcBorders>
            <w:noWrap/>
            <w:vAlign w:val="center"/>
            <w:hideMark/>
          </w:tcPr>
          <w:p w14:paraId="1FE42388" w14:textId="506897BA"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96</w:t>
            </w:r>
            <w:r w:rsidR="009364B5">
              <w:rPr>
                <w:rFonts w:asciiTheme="minorBidi" w:hAnsiTheme="minorBidi"/>
                <w:sz w:val="18"/>
                <w:szCs w:val="18"/>
              </w:rPr>
              <w:t xml:space="preserve"> </w:t>
            </w:r>
            <w:r w:rsidRPr="004F2095">
              <w:rPr>
                <w:rFonts w:asciiTheme="minorBidi" w:hAnsiTheme="minorBidi"/>
                <w:sz w:val="18"/>
                <w:szCs w:val="18"/>
              </w:rPr>
              <w:t>903</w:t>
            </w:r>
          </w:p>
        </w:tc>
        <w:tc>
          <w:tcPr>
            <w:tcW w:w="0" w:type="auto"/>
            <w:tcBorders>
              <w:top w:val="nil"/>
              <w:left w:val="nil"/>
              <w:bottom w:val="nil"/>
              <w:right w:val="nil"/>
            </w:tcBorders>
            <w:noWrap/>
            <w:vAlign w:val="center"/>
            <w:hideMark/>
          </w:tcPr>
          <w:p w14:paraId="0E33E117" w14:textId="2B948029"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19</w:t>
            </w:r>
          </w:p>
        </w:tc>
        <w:tc>
          <w:tcPr>
            <w:tcW w:w="0" w:type="auto"/>
            <w:tcBorders>
              <w:top w:val="nil"/>
              <w:left w:val="nil"/>
              <w:bottom w:val="nil"/>
              <w:right w:val="nil"/>
            </w:tcBorders>
            <w:noWrap/>
            <w:vAlign w:val="center"/>
            <w:hideMark/>
          </w:tcPr>
          <w:p w14:paraId="774EEA2C" w14:textId="0AA07320"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205</w:t>
            </w:r>
            <w:r w:rsidR="009364B5">
              <w:rPr>
                <w:rFonts w:asciiTheme="minorBidi" w:hAnsiTheme="minorBidi"/>
                <w:sz w:val="18"/>
                <w:szCs w:val="18"/>
              </w:rPr>
              <w:t xml:space="preserve"> </w:t>
            </w:r>
            <w:r w:rsidRPr="004F2095">
              <w:rPr>
                <w:rFonts w:asciiTheme="minorBidi" w:hAnsiTheme="minorBidi"/>
                <w:sz w:val="18"/>
                <w:szCs w:val="18"/>
              </w:rPr>
              <w:t>739</w:t>
            </w:r>
          </w:p>
        </w:tc>
        <w:tc>
          <w:tcPr>
            <w:tcW w:w="0" w:type="auto"/>
            <w:tcBorders>
              <w:top w:val="nil"/>
              <w:left w:val="nil"/>
              <w:bottom w:val="nil"/>
              <w:right w:val="single" w:sz="4" w:space="0" w:color="auto"/>
            </w:tcBorders>
            <w:noWrap/>
            <w:vAlign w:val="center"/>
            <w:hideMark/>
          </w:tcPr>
          <w:p w14:paraId="297A8A61" w14:textId="7B056448"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21</w:t>
            </w:r>
          </w:p>
        </w:tc>
        <w:tc>
          <w:tcPr>
            <w:tcW w:w="0" w:type="auto"/>
            <w:tcBorders>
              <w:top w:val="nil"/>
              <w:left w:val="nil"/>
              <w:bottom w:val="nil"/>
              <w:right w:val="nil"/>
            </w:tcBorders>
            <w:noWrap/>
            <w:vAlign w:val="center"/>
            <w:hideMark/>
          </w:tcPr>
          <w:p w14:paraId="5D1B7065" w14:textId="77777777" w:rsidR="00F72778" w:rsidRPr="004F2095" w:rsidRDefault="00F72778" w:rsidP="004F2095">
            <w:pPr>
              <w:spacing w:before="0" w:after="0" w:line="240" w:lineRule="auto"/>
              <w:jc w:val="right"/>
              <w:rPr>
                <w:rFonts w:asciiTheme="minorBidi" w:hAnsiTheme="minorBidi"/>
                <w:sz w:val="18"/>
                <w:szCs w:val="18"/>
              </w:rPr>
            </w:pPr>
          </w:p>
        </w:tc>
        <w:tc>
          <w:tcPr>
            <w:tcW w:w="1352" w:type="dxa"/>
            <w:tcBorders>
              <w:top w:val="nil"/>
              <w:left w:val="single" w:sz="4" w:space="0" w:color="auto"/>
              <w:bottom w:val="nil"/>
              <w:right w:val="nil"/>
            </w:tcBorders>
            <w:shd w:val="clear" w:color="auto" w:fill="E5E5E5" w:themeFill="background2" w:themeFillShade="E6"/>
            <w:noWrap/>
            <w:vAlign w:val="center"/>
            <w:hideMark/>
          </w:tcPr>
          <w:p w14:paraId="00B3C5A3" w14:textId="21C59507"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302</w:t>
            </w:r>
            <w:r w:rsidR="009364B5">
              <w:rPr>
                <w:rFonts w:asciiTheme="minorBidi" w:hAnsiTheme="minorBidi"/>
                <w:sz w:val="18"/>
                <w:szCs w:val="18"/>
              </w:rPr>
              <w:t xml:space="preserve"> </w:t>
            </w:r>
            <w:r w:rsidRPr="00B54A22">
              <w:rPr>
                <w:rFonts w:asciiTheme="minorBidi" w:hAnsiTheme="minorBidi"/>
                <w:sz w:val="18"/>
                <w:szCs w:val="18"/>
              </w:rPr>
              <w:t>642</w:t>
            </w:r>
          </w:p>
        </w:tc>
        <w:tc>
          <w:tcPr>
            <w:tcW w:w="0" w:type="auto"/>
            <w:tcBorders>
              <w:top w:val="nil"/>
              <w:left w:val="nil"/>
              <w:bottom w:val="nil"/>
              <w:right w:val="single" w:sz="4" w:space="0" w:color="auto"/>
            </w:tcBorders>
            <w:noWrap/>
            <w:vAlign w:val="center"/>
            <w:hideMark/>
          </w:tcPr>
          <w:p w14:paraId="0BB1A3C2" w14:textId="18E511A0"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20</w:t>
            </w:r>
          </w:p>
        </w:tc>
      </w:tr>
      <w:tr w:rsidR="007964F1" w:rsidRPr="004F2095" w14:paraId="5D1A4295" w14:textId="77777777" w:rsidTr="4A7E2F16">
        <w:trPr>
          <w:trHeight w:val="300"/>
        </w:trPr>
        <w:tc>
          <w:tcPr>
            <w:tcW w:w="0" w:type="auto"/>
            <w:tcBorders>
              <w:top w:val="nil"/>
              <w:left w:val="single" w:sz="4" w:space="0" w:color="auto"/>
              <w:bottom w:val="nil"/>
              <w:right w:val="single" w:sz="4" w:space="0" w:color="auto"/>
            </w:tcBorders>
            <w:noWrap/>
            <w:vAlign w:val="center"/>
            <w:hideMark/>
          </w:tcPr>
          <w:p w14:paraId="1D6ED9B0" w14:textId="77777777" w:rsidR="00F72778" w:rsidRPr="004F2095" w:rsidRDefault="00F72778" w:rsidP="004F2095">
            <w:pPr>
              <w:spacing w:before="0" w:after="0" w:line="240" w:lineRule="auto"/>
              <w:rPr>
                <w:rFonts w:asciiTheme="minorBidi" w:hAnsiTheme="minorBidi"/>
                <w:sz w:val="18"/>
                <w:szCs w:val="18"/>
              </w:rPr>
            </w:pPr>
            <w:r w:rsidRPr="004F2095">
              <w:rPr>
                <w:rFonts w:asciiTheme="minorBidi" w:hAnsiTheme="minorBidi"/>
                <w:sz w:val="18"/>
                <w:szCs w:val="18"/>
              </w:rPr>
              <w:t>august</w:t>
            </w:r>
          </w:p>
        </w:tc>
        <w:tc>
          <w:tcPr>
            <w:tcW w:w="0" w:type="auto"/>
            <w:tcBorders>
              <w:top w:val="nil"/>
              <w:left w:val="nil"/>
              <w:bottom w:val="nil"/>
              <w:right w:val="nil"/>
            </w:tcBorders>
            <w:noWrap/>
            <w:vAlign w:val="center"/>
            <w:hideMark/>
          </w:tcPr>
          <w:p w14:paraId="40A1F287" w14:textId="08D7612C"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45</w:t>
            </w:r>
            <w:r w:rsidR="009364B5">
              <w:rPr>
                <w:rFonts w:asciiTheme="minorBidi" w:hAnsiTheme="minorBidi"/>
                <w:sz w:val="18"/>
                <w:szCs w:val="18"/>
              </w:rPr>
              <w:t xml:space="preserve"> </w:t>
            </w:r>
            <w:r w:rsidRPr="004F2095">
              <w:rPr>
                <w:rFonts w:asciiTheme="minorBidi" w:hAnsiTheme="minorBidi"/>
                <w:sz w:val="18"/>
                <w:szCs w:val="18"/>
              </w:rPr>
              <w:t>027</w:t>
            </w:r>
          </w:p>
        </w:tc>
        <w:tc>
          <w:tcPr>
            <w:tcW w:w="0" w:type="auto"/>
            <w:tcBorders>
              <w:top w:val="nil"/>
              <w:left w:val="nil"/>
              <w:bottom w:val="nil"/>
              <w:right w:val="nil"/>
            </w:tcBorders>
            <w:noWrap/>
            <w:vAlign w:val="center"/>
            <w:hideMark/>
          </w:tcPr>
          <w:p w14:paraId="1FE20AB9" w14:textId="208ACD96"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195</w:t>
            </w:r>
            <w:r w:rsidR="009364B5">
              <w:rPr>
                <w:rFonts w:asciiTheme="minorBidi" w:hAnsiTheme="minorBidi"/>
                <w:sz w:val="18"/>
                <w:szCs w:val="18"/>
              </w:rPr>
              <w:t xml:space="preserve"> </w:t>
            </w:r>
            <w:r w:rsidRPr="004F2095">
              <w:rPr>
                <w:rFonts w:asciiTheme="minorBidi" w:hAnsiTheme="minorBidi"/>
                <w:sz w:val="18"/>
                <w:szCs w:val="18"/>
              </w:rPr>
              <w:t>776</w:t>
            </w:r>
          </w:p>
        </w:tc>
        <w:tc>
          <w:tcPr>
            <w:tcW w:w="0" w:type="auto"/>
            <w:tcBorders>
              <w:top w:val="nil"/>
              <w:left w:val="single" w:sz="4" w:space="0" w:color="auto"/>
              <w:bottom w:val="nil"/>
              <w:right w:val="nil"/>
            </w:tcBorders>
            <w:noWrap/>
            <w:vAlign w:val="center"/>
            <w:hideMark/>
          </w:tcPr>
          <w:p w14:paraId="3DC22157" w14:textId="2A00DE00"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57</w:t>
            </w:r>
            <w:r w:rsidR="009364B5">
              <w:rPr>
                <w:rFonts w:asciiTheme="minorBidi" w:hAnsiTheme="minorBidi"/>
                <w:sz w:val="18"/>
                <w:szCs w:val="18"/>
              </w:rPr>
              <w:t xml:space="preserve"> </w:t>
            </w:r>
            <w:r w:rsidRPr="004F2095">
              <w:rPr>
                <w:rFonts w:asciiTheme="minorBidi" w:hAnsiTheme="minorBidi"/>
                <w:sz w:val="18"/>
                <w:szCs w:val="18"/>
              </w:rPr>
              <w:t>524</w:t>
            </w:r>
          </w:p>
        </w:tc>
        <w:tc>
          <w:tcPr>
            <w:tcW w:w="0" w:type="auto"/>
            <w:tcBorders>
              <w:top w:val="nil"/>
              <w:left w:val="nil"/>
              <w:bottom w:val="nil"/>
              <w:right w:val="single" w:sz="4" w:space="0" w:color="auto"/>
            </w:tcBorders>
            <w:noWrap/>
            <w:vAlign w:val="center"/>
            <w:hideMark/>
          </w:tcPr>
          <w:p w14:paraId="5B85E10B" w14:textId="131BC0E6"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75</w:t>
            </w:r>
            <w:r w:rsidR="009364B5">
              <w:rPr>
                <w:rFonts w:asciiTheme="minorBidi" w:hAnsiTheme="minorBidi"/>
                <w:sz w:val="18"/>
                <w:szCs w:val="18"/>
              </w:rPr>
              <w:t xml:space="preserve"> </w:t>
            </w:r>
            <w:r w:rsidRPr="004F2095">
              <w:rPr>
                <w:rFonts w:asciiTheme="minorBidi" w:hAnsiTheme="minorBidi"/>
                <w:sz w:val="18"/>
                <w:szCs w:val="18"/>
              </w:rPr>
              <w:t>546</w:t>
            </w:r>
          </w:p>
        </w:tc>
        <w:tc>
          <w:tcPr>
            <w:tcW w:w="0" w:type="auto"/>
            <w:tcBorders>
              <w:top w:val="nil"/>
              <w:left w:val="nil"/>
              <w:bottom w:val="nil"/>
              <w:right w:val="nil"/>
            </w:tcBorders>
            <w:noWrap/>
            <w:vAlign w:val="center"/>
            <w:hideMark/>
          </w:tcPr>
          <w:p w14:paraId="3A17460D" w14:textId="3ABA50F5"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63</w:t>
            </w:r>
            <w:r w:rsidR="009364B5">
              <w:rPr>
                <w:rFonts w:asciiTheme="minorBidi" w:hAnsiTheme="minorBidi"/>
                <w:sz w:val="18"/>
                <w:szCs w:val="18"/>
              </w:rPr>
              <w:t xml:space="preserve"> </w:t>
            </w:r>
            <w:r w:rsidRPr="004F2095">
              <w:rPr>
                <w:rFonts w:asciiTheme="minorBidi" w:hAnsiTheme="minorBidi"/>
                <w:sz w:val="18"/>
                <w:szCs w:val="18"/>
              </w:rPr>
              <w:t>571</w:t>
            </w:r>
          </w:p>
        </w:tc>
        <w:tc>
          <w:tcPr>
            <w:tcW w:w="0" w:type="auto"/>
            <w:tcBorders>
              <w:top w:val="nil"/>
              <w:left w:val="nil"/>
              <w:bottom w:val="nil"/>
              <w:right w:val="nil"/>
            </w:tcBorders>
            <w:noWrap/>
            <w:vAlign w:val="center"/>
            <w:hideMark/>
          </w:tcPr>
          <w:p w14:paraId="29E73F82" w14:textId="2E242FF5"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76</w:t>
            </w:r>
            <w:r w:rsidR="009364B5">
              <w:rPr>
                <w:rFonts w:asciiTheme="minorBidi" w:hAnsiTheme="minorBidi"/>
                <w:sz w:val="18"/>
                <w:szCs w:val="18"/>
              </w:rPr>
              <w:t xml:space="preserve"> </w:t>
            </w:r>
            <w:r w:rsidRPr="004F2095">
              <w:rPr>
                <w:rFonts w:asciiTheme="minorBidi" w:hAnsiTheme="minorBidi"/>
                <w:sz w:val="18"/>
                <w:szCs w:val="18"/>
              </w:rPr>
              <w:t>288</w:t>
            </w:r>
          </w:p>
        </w:tc>
        <w:tc>
          <w:tcPr>
            <w:tcW w:w="0" w:type="auto"/>
            <w:tcBorders>
              <w:top w:val="nil"/>
              <w:left w:val="single" w:sz="4" w:space="0" w:color="auto"/>
              <w:bottom w:val="nil"/>
              <w:right w:val="nil"/>
            </w:tcBorders>
            <w:noWrap/>
            <w:vAlign w:val="center"/>
            <w:hideMark/>
          </w:tcPr>
          <w:p w14:paraId="277C2F73" w14:textId="564C0DF0"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70</w:t>
            </w:r>
            <w:r w:rsidR="009364B5">
              <w:rPr>
                <w:rFonts w:asciiTheme="minorBidi" w:hAnsiTheme="minorBidi"/>
                <w:sz w:val="18"/>
                <w:szCs w:val="18"/>
              </w:rPr>
              <w:t xml:space="preserve"> </w:t>
            </w:r>
            <w:r w:rsidRPr="004F2095">
              <w:rPr>
                <w:rFonts w:asciiTheme="minorBidi" w:hAnsiTheme="minorBidi"/>
                <w:sz w:val="18"/>
                <w:szCs w:val="18"/>
              </w:rPr>
              <w:t>715</w:t>
            </w:r>
          </w:p>
        </w:tc>
        <w:tc>
          <w:tcPr>
            <w:tcW w:w="0" w:type="auto"/>
            <w:tcBorders>
              <w:top w:val="nil"/>
              <w:left w:val="nil"/>
              <w:bottom w:val="nil"/>
              <w:right w:val="single" w:sz="4" w:space="0" w:color="auto"/>
            </w:tcBorders>
            <w:noWrap/>
            <w:vAlign w:val="center"/>
            <w:hideMark/>
          </w:tcPr>
          <w:p w14:paraId="623524B8" w14:textId="565B31FD"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123</w:t>
            </w:r>
            <w:r w:rsidR="009364B5">
              <w:rPr>
                <w:rFonts w:asciiTheme="minorBidi" w:hAnsiTheme="minorBidi"/>
                <w:sz w:val="18"/>
                <w:szCs w:val="18"/>
              </w:rPr>
              <w:t xml:space="preserve"> </w:t>
            </w:r>
            <w:r w:rsidRPr="004F2095">
              <w:rPr>
                <w:rFonts w:asciiTheme="minorBidi" w:hAnsiTheme="minorBidi"/>
                <w:sz w:val="18"/>
                <w:szCs w:val="18"/>
              </w:rPr>
              <w:t>964</w:t>
            </w:r>
          </w:p>
        </w:tc>
        <w:tc>
          <w:tcPr>
            <w:tcW w:w="0" w:type="auto"/>
            <w:tcBorders>
              <w:top w:val="nil"/>
              <w:left w:val="nil"/>
              <w:bottom w:val="nil"/>
              <w:right w:val="nil"/>
            </w:tcBorders>
            <w:noWrap/>
            <w:vAlign w:val="center"/>
            <w:hideMark/>
          </w:tcPr>
          <w:p w14:paraId="2BCE8DCC" w14:textId="364FDC0B"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65</w:t>
            </w:r>
            <w:r w:rsidR="009364B5">
              <w:rPr>
                <w:rFonts w:asciiTheme="minorBidi" w:hAnsiTheme="minorBidi"/>
                <w:sz w:val="18"/>
                <w:szCs w:val="18"/>
              </w:rPr>
              <w:t xml:space="preserve"> </w:t>
            </w:r>
            <w:r w:rsidRPr="004F2095">
              <w:rPr>
                <w:rFonts w:asciiTheme="minorBidi" w:hAnsiTheme="minorBidi"/>
                <w:sz w:val="18"/>
                <w:szCs w:val="18"/>
              </w:rPr>
              <w:t>091</w:t>
            </w:r>
          </w:p>
        </w:tc>
        <w:tc>
          <w:tcPr>
            <w:tcW w:w="0" w:type="auto"/>
            <w:tcBorders>
              <w:top w:val="nil"/>
              <w:left w:val="nil"/>
              <w:bottom w:val="nil"/>
              <w:right w:val="nil"/>
            </w:tcBorders>
            <w:noWrap/>
            <w:vAlign w:val="center"/>
            <w:hideMark/>
          </w:tcPr>
          <w:p w14:paraId="2E22949E" w14:textId="26E1D728"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13</w:t>
            </w:r>
          </w:p>
        </w:tc>
        <w:tc>
          <w:tcPr>
            <w:tcW w:w="0" w:type="auto"/>
            <w:tcBorders>
              <w:top w:val="nil"/>
              <w:left w:val="nil"/>
              <w:bottom w:val="nil"/>
              <w:right w:val="nil"/>
            </w:tcBorders>
            <w:noWrap/>
            <w:vAlign w:val="center"/>
            <w:hideMark/>
          </w:tcPr>
          <w:p w14:paraId="7FAC2C23" w14:textId="51BEA131"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161</w:t>
            </w:r>
            <w:r w:rsidR="009364B5">
              <w:rPr>
                <w:rFonts w:asciiTheme="minorBidi" w:hAnsiTheme="minorBidi"/>
                <w:sz w:val="18"/>
                <w:szCs w:val="18"/>
              </w:rPr>
              <w:t xml:space="preserve"> </w:t>
            </w:r>
            <w:r w:rsidRPr="004F2095">
              <w:rPr>
                <w:rFonts w:asciiTheme="minorBidi" w:hAnsiTheme="minorBidi"/>
                <w:sz w:val="18"/>
                <w:szCs w:val="18"/>
              </w:rPr>
              <w:t>342</w:t>
            </w:r>
          </w:p>
        </w:tc>
        <w:tc>
          <w:tcPr>
            <w:tcW w:w="0" w:type="auto"/>
            <w:tcBorders>
              <w:top w:val="nil"/>
              <w:left w:val="nil"/>
              <w:bottom w:val="nil"/>
              <w:right w:val="single" w:sz="4" w:space="0" w:color="auto"/>
            </w:tcBorders>
            <w:noWrap/>
            <w:vAlign w:val="center"/>
            <w:hideMark/>
          </w:tcPr>
          <w:p w14:paraId="0B264A81" w14:textId="4107DD91"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17</w:t>
            </w:r>
          </w:p>
        </w:tc>
        <w:tc>
          <w:tcPr>
            <w:tcW w:w="0" w:type="auto"/>
            <w:tcBorders>
              <w:top w:val="nil"/>
              <w:left w:val="nil"/>
              <w:bottom w:val="nil"/>
              <w:right w:val="nil"/>
            </w:tcBorders>
            <w:noWrap/>
            <w:vAlign w:val="center"/>
            <w:hideMark/>
          </w:tcPr>
          <w:p w14:paraId="57050038" w14:textId="77777777" w:rsidR="00F72778" w:rsidRPr="004F2095" w:rsidRDefault="00F72778" w:rsidP="004F2095">
            <w:pPr>
              <w:spacing w:before="0" w:after="0" w:line="240" w:lineRule="auto"/>
              <w:jc w:val="right"/>
              <w:rPr>
                <w:rFonts w:asciiTheme="minorBidi" w:hAnsiTheme="minorBidi"/>
                <w:sz w:val="18"/>
                <w:szCs w:val="18"/>
              </w:rPr>
            </w:pPr>
          </w:p>
        </w:tc>
        <w:tc>
          <w:tcPr>
            <w:tcW w:w="1352" w:type="dxa"/>
            <w:tcBorders>
              <w:top w:val="nil"/>
              <w:left w:val="single" w:sz="4" w:space="0" w:color="auto"/>
              <w:bottom w:val="nil"/>
              <w:right w:val="nil"/>
            </w:tcBorders>
            <w:shd w:val="clear" w:color="auto" w:fill="E5E5E5" w:themeFill="background2" w:themeFillShade="E6"/>
            <w:noWrap/>
            <w:vAlign w:val="center"/>
            <w:hideMark/>
          </w:tcPr>
          <w:p w14:paraId="75E63783" w14:textId="7E7AF685"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226</w:t>
            </w:r>
            <w:r w:rsidR="009364B5">
              <w:rPr>
                <w:rFonts w:asciiTheme="minorBidi" w:hAnsiTheme="minorBidi"/>
                <w:sz w:val="18"/>
                <w:szCs w:val="18"/>
              </w:rPr>
              <w:t xml:space="preserve"> </w:t>
            </w:r>
            <w:r w:rsidRPr="00B54A22">
              <w:rPr>
                <w:rFonts w:asciiTheme="minorBidi" w:hAnsiTheme="minorBidi"/>
                <w:sz w:val="18"/>
                <w:szCs w:val="18"/>
              </w:rPr>
              <w:t>433</w:t>
            </w:r>
          </w:p>
        </w:tc>
        <w:tc>
          <w:tcPr>
            <w:tcW w:w="0" w:type="auto"/>
            <w:tcBorders>
              <w:top w:val="nil"/>
              <w:left w:val="nil"/>
              <w:bottom w:val="nil"/>
              <w:right w:val="single" w:sz="4" w:space="0" w:color="auto"/>
            </w:tcBorders>
            <w:noWrap/>
            <w:vAlign w:val="center"/>
            <w:hideMark/>
          </w:tcPr>
          <w:p w14:paraId="1BEC8E42" w14:textId="65CBDAD1"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15</w:t>
            </w:r>
          </w:p>
        </w:tc>
      </w:tr>
      <w:tr w:rsidR="007964F1" w:rsidRPr="004F2095" w14:paraId="7F493EF2" w14:textId="77777777" w:rsidTr="4A7E2F16">
        <w:trPr>
          <w:trHeight w:val="300"/>
        </w:trPr>
        <w:tc>
          <w:tcPr>
            <w:tcW w:w="0" w:type="auto"/>
            <w:tcBorders>
              <w:top w:val="nil"/>
              <w:left w:val="single" w:sz="4" w:space="0" w:color="auto"/>
              <w:bottom w:val="nil"/>
              <w:right w:val="single" w:sz="4" w:space="0" w:color="auto"/>
            </w:tcBorders>
            <w:noWrap/>
            <w:vAlign w:val="center"/>
            <w:hideMark/>
          </w:tcPr>
          <w:p w14:paraId="53792857" w14:textId="77777777" w:rsidR="00F72778" w:rsidRPr="004F2095" w:rsidRDefault="00F72778" w:rsidP="004F2095">
            <w:pPr>
              <w:spacing w:before="0" w:after="0" w:line="240" w:lineRule="auto"/>
              <w:rPr>
                <w:rFonts w:asciiTheme="minorBidi" w:hAnsiTheme="minorBidi"/>
                <w:sz w:val="18"/>
                <w:szCs w:val="18"/>
              </w:rPr>
            </w:pPr>
            <w:r w:rsidRPr="004F2095">
              <w:rPr>
                <w:rFonts w:asciiTheme="minorBidi" w:hAnsiTheme="minorBidi"/>
                <w:sz w:val="18"/>
                <w:szCs w:val="18"/>
              </w:rPr>
              <w:t>september</w:t>
            </w:r>
          </w:p>
        </w:tc>
        <w:tc>
          <w:tcPr>
            <w:tcW w:w="0" w:type="auto"/>
            <w:tcBorders>
              <w:top w:val="nil"/>
              <w:left w:val="nil"/>
              <w:bottom w:val="nil"/>
              <w:right w:val="nil"/>
            </w:tcBorders>
            <w:noWrap/>
            <w:vAlign w:val="center"/>
            <w:hideMark/>
          </w:tcPr>
          <w:p w14:paraId="6A0D861E" w14:textId="7697BE76"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20</w:t>
            </w:r>
            <w:r w:rsidR="009364B5">
              <w:rPr>
                <w:rFonts w:asciiTheme="minorBidi" w:hAnsiTheme="minorBidi"/>
                <w:sz w:val="18"/>
                <w:szCs w:val="18"/>
              </w:rPr>
              <w:t xml:space="preserve"> </w:t>
            </w:r>
            <w:r w:rsidRPr="004F2095">
              <w:rPr>
                <w:rFonts w:asciiTheme="minorBidi" w:hAnsiTheme="minorBidi"/>
                <w:sz w:val="18"/>
                <w:szCs w:val="18"/>
              </w:rPr>
              <w:t>925</w:t>
            </w:r>
          </w:p>
        </w:tc>
        <w:tc>
          <w:tcPr>
            <w:tcW w:w="0" w:type="auto"/>
            <w:tcBorders>
              <w:top w:val="nil"/>
              <w:left w:val="nil"/>
              <w:bottom w:val="nil"/>
              <w:right w:val="nil"/>
            </w:tcBorders>
            <w:noWrap/>
            <w:vAlign w:val="center"/>
            <w:hideMark/>
          </w:tcPr>
          <w:p w14:paraId="23DF180C" w14:textId="6820B627"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81</w:t>
            </w:r>
            <w:r w:rsidR="009364B5">
              <w:rPr>
                <w:rFonts w:asciiTheme="minorBidi" w:hAnsiTheme="minorBidi"/>
                <w:sz w:val="18"/>
                <w:szCs w:val="18"/>
              </w:rPr>
              <w:t xml:space="preserve"> </w:t>
            </w:r>
            <w:r w:rsidRPr="004F2095">
              <w:rPr>
                <w:rFonts w:asciiTheme="minorBidi" w:hAnsiTheme="minorBidi"/>
                <w:sz w:val="18"/>
                <w:szCs w:val="18"/>
              </w:rPr>
              <w:t>521</w:t>
            </w:r>
          </w:p>
        </w:tc>
        <w:tc>
          <w:tcPr>
            <w:tcW w:w="0" w:type="auto"/>
            <w:tcBorders>
              <w:top w:val="nil"/>
              <w:left w:val="single" w:sz="4" w:space="0" w:color="auto"/>
              <w:bottom w:val="nil"/>
              <w:right w:val="nil"/>
            </w:tcBorders>
            <w:noWrap/>
            <w:vAlign w:val="center"/>
            <w:hideMark/>
          </w:tcPr>
          <w:p w14:paraId="40AA5475" w14:textId="69A9CA63"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27</w:t>
            </w:r>
            <w:r w:rsidR="009364B5">
              <w:rPr>
                <w:rFonts w:asciiTheme="minorBidi" w:hAnsiTheme="minorBidi"/>
                <w:sz w:val="18"/>
                <w:szCs w:val="18"/>
              </w:rPr>
              <w:t xml:space="preserve"> </w:t>
            </w:r>
            <w:r w:rsidRPr="004F2095">
              <w:rPr>
                <w:rFonts w:asciiTheme="minorBidi" w:hAnsiTheme="minorBidi"/>
                <w:sz w:val="18"/>
                <w:szCs w:val="18"/>
              </w:rPr>
              <w:t>012</w:t>
            </w:r>
          </w:p>
        </w:tc>
        <w:tc>
          <w:tcPr>
            <w:tcW w:w="0" w:type="auto"/>
            <w:tcBorders>
              <w:top w:val="nil"/>
              <w:left w:val="nil"/>
              <w:bottom w:val="nil"/>
              <w:right w:val="single" w:sz="4" w:space="0" w:color="auto"/>
            </w:tcBorders>
            <w:noWrap/>
            <w:vAlign w:val="center"/>
            <w:hideMark/>
          </w:tcPr>
          <w:p w14:paraId="6176ED03" w14:textId="1A6E91ED"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21</w:t>
            </w:r>
            <w:r w:rsidR="009364B5">
              <w:rPr>
                <w:rFonts w:asciiTheme="minorBidi" w:hAnsiTheme="minorBidi"/>
                <w:sz w:val="18"/>
                <w:szCs w:val="18"/>
              </w:rPr>
              <w:t xml:space="preserve"> </w:t>
            </w:r>
            <w:r w:rsidRPr="004F2095">
              <w:rPr>
                <w:rFonts w:asciiTheme="minorBidi" w:hAnsiTheme="minorBidi"/>
                <w:sz w:val="18"/>
                <w:szCs w:val="18"/>
              </w:rPr>
              <w:t>372</w:t>
            </w:r>
          </w:p>
        </w:tc>
        <w:tc>
          <w:tcPr>
            <w:tcW w:w="0" w:type="auto"/>
            <w:tcBorders>
              <w:top w:val="nil"/>
              <w:left w:val="nil"/>
              <w:bottom w:val="nil"/>
              <w:right w:val="nil"/>
            </w:tcBorders>
            <w:noWrap/>
            <w:vAlign w:val="center"/>
            <w:hideMark/>
          </w:tcPr>
          <w:p w14:paraId="2A6F6422" w14:textId="393418F5"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26</w:t>
            </w:r>
            <w:r w:rsidR="009364B5">
              <w:rPr>
                <w:rFonts w:asciiTheme="minorBidi" w:hAnsiTheme="minorBidi"/>
                <w:sz w:val="18"/>
                <w:szCs w:val="18"/>
              </w:rPr>
              <w:t xml:space="preserve"> </w:t>
            </w:r>
            <w:r w:rsidRPr="004F2095">
              <w:rPr>
                <w:rFonts w:asciiTheme="minorBidi" w:hAnsiTheme="minorBidi"/>
                <w:sz w:val="18"/>
                <w:szCs w:val="18"/>
              </w:rPr>
              <w:t>704</w:t>
            </w:r>
          </w:p>
        </w:tc>
        <w:tc>
          <w:tcPr>
            <w:tcW w:w="0" w:type="auto"/>
            <w:tcBorders>
              <w:top w:val="nil"/>
              <w:left w:val="nil"/>
              <w:bottom w:val="nil"/>
              <w:right w:val="nil"/>
            </w:tcBorders>
            <w:noWrap/>
            <w:vAlign w:val="center"/>
            <w:hideMark/>
          </w:tcPr>
          <w:p w14:paraId="0E61303D" w14:textId="1D6FCC30"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37</w:t>
            </w:r>
            <w:r w:rsidR="009364B5">
              <w:rPr>
                <w:rFonts w:asciiTheme="minorBidi" w:hAnsiTheme="minorBidi"/>
                <w:sz w:val="18"/>
                <w:szCs w:val="18"/>
              </w:rPr>
              <w:t xml:space="preserve"> </w:t>
            </w:r>
            <w:r w:rsidRPr="004F2095">
              <w:rPr>
                <w:rFonts w:asciiTheme="minorBidi" w:hAnsiTheme="minorBidi"/>
                <w:sz w:val="18"/>
                <w:szCs w:val="18"/>
              </w:rPr>
              <w:t>567</w:t>
            </w:r>
          </w:p>
        </w:tc>
        <w:tc>
          <w:tcPr>
            <w:tcW w:w="0" w:type="auto"/>
            <w:tcBorders>
              <w:top w:val="nil"/>
              <w:left w:val="single" w:sz="4" w:space="0" w:color="auto"/>
              <w:bottom w:val="nil"/>
              <w:right w:val="nil"/>
            </w:tcBorders>
            <w:noWrap/>
            <w:vAlign w:val="center"/>
            <w:hideMark/>
          </w:tcPr>
          <w:p w14:paraId="41845D5E" w14:textId="4350D864"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32</w:t>
            </w:r>
            <w:r w:rsidR="009364B5">
              <w:rPr>
                <w:rFonts w:asciiTheme="minorBidi" w:hAnsiTheme="minorBidi"/>
                <w:sz w:val="18"/>
                <w:szCs w:val="18"/>
              </w:rPr>
              <w:t xml:space="preserve"> </w:t>
            </w:r>
            <w:r w:rsidRPr="004F2095">
              <w:rPr>
                <w:rFonts w:asciiTheme="minorBidi" w:hAnsiTheme="minorBidi"/>
                <w:sz w:val="18"/>
                <w:szCs w:val="18"/>
              </w:rPr>
              <w:t>978</w:t>
            </w:r>
          </w:p>
        </w:tc>
        <w:tc>
          <w:tcPr>
            <w:tcW w:w="0" w:type="auto"/>
            <w:tcBorders>
              <w:top w:val="nil"/>
              <w:left w:val="nil"/>
              <w:bottom w:val="nil"/>
              <w:right w:val="single" w:sz="4" w:space="0" w:color="auto"/>
            </w:tcBorders>
            <w:noWrap/>
            <w:vAlign w:val="center"/>
            <w:hideMark/>
          </w:tcPr>
          <w:p w14:paraId="0DFEA463" w14:textId="4719827A"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57</w:t>
            </w:r>
            <w:r w:rsidR="009364B5">
              <w:rPr>
                <w:rFonts w:asciiTheme="minorBidi" w:hAnsiTheme="minorBidi"/>
                <w:sz w:val="18"/>
                <w:szCs w:val="18"/>
              </w:rPr>
              <w:t xml:space="preserve"> </w:t>
            </w:r>
            <w:r w:rsidRPr="004F2095">
              <w:rPr>
                <w:rFonts w:asciiTheme="minorBidi" w:hAnsiTheme="minorBidi"/>
                <w:sz w:val="18"/>
                <w:szCs w:val="18"/>
              </w:rPr>
              <w:t>295</w:t>
            </w:r>
          </w:p>
        </w:tc>
        <w:tc>
          <w:tcPr>
            <w:tcW w:w="0" w:type="auto"/>
            <w:tcBorders>
              <w:top w:val="nil"/>
              <w:left w:val="nil"/>
              <w:bottom w:val="nil"/>
              <w:right w:val="nil"/>
            </w:tcBorders>
            <w:noWrap/>
            <w:vAlign w:val="center"/>
            <w:hideMark/>
          </w:tcPr>
          <w:p w14:paraId="7CF51725" w14:textId="38391C0B"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34</w:t>
            </w:r>
            <w:r w:rsidR="009364B5">
              <w:rPr>
                <w:rFonts w:asciiTheme="minorBidi" w:hAnsiTheme="minorBidi"/>
                <w:sz w:val="18"/>
                <w:szCs w:val="18"/>
              </w:rPr>
              <w:t xml:space="preserve"> </w:t>
            </w:r>
            <w:r w:rsidRPr="004F2095">
              <w:rPr>
                <w:rFonts w:asciiTheme="minorBidi" w:hAnsiTheme="minorBidi"/>
                <w:sz w:val="18"/>
                <w:szCs w:val="18"/>
              </w:rPr>
              <w:t>649</w:t>
            </w:r>
          </w:p>
        </w:tc>
        <w:tc>
          <w:tcPr>
            <w:tcW w:w="0" w:type="auto"/>
            <w:tcBorders>
              <w:top w:val="nil"/>
              <w:left w:val="nil"/>
              <w:bottom w:val="nil"/>
              <w:right w:val="nil"/>
            </w:tcBorders>
            <w:noWrap/>
            <w:vAlign w:val="center"/>
            <w:hideMark/>
          </w:tcPr>
          <w:p w14:paraId="6185D496" w14:textId="58966748"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w:t>
            </w:r>
          </w:p>
        </w:tc>
        <w:tc>
          <w:tcPr>
            <w:tcW w:w="0" w:type="auto"/>
            <w:tcBorders>
              <w:top w:val="nil"/>
              <w:left w:val="nil"/>
              <w:bottom w:val="nil"/>
              <w:right w:val="nil"/>
            </w:tcBorders>
            <w:noWrap/>
            <w:vAlign w:val="center"/>
            <w:hideMark/>
          </w:tcPr>
          <w:p w14:paraId="663958EE" w14:textId="49AB5875"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65</w:t>
            </w:r>
            <w:r w:rsidR="009364B5">
              <w:rPr>
                <w:rFonts w:asciiTheme="minorBidi" w:hAnsiTheme="minorBidi"/>
                <w:sz w:val="18"/>
                <w:szCs w:val="18"/>
              </w:rPr>
              <w:t xml:space="preserve"> </w:t>
            </w:r>
            <w:r w:rsidRPr="004F2095">
              <w:rPr>
                <w:rFonts w:asciiTheme="minorBidi" w:hAnsiTheme="minorBidi"/>
                <w:sz w:val="18"/>
                <w:szCs w:val="18"/>
              </w:rPr>
              <w:t>187</w:t>
            </w:r>
          </w:p>
        </w:tc>
        <w:tc>
          <w:tcPr>
            <w:tcW w:w="0" w:type="auto"/>
            <w:tcBorders>
              <w:top w:val="nil"/>
              <w:left w:val="nil"/>
              <w:bottom w:val="nil"/>
              <w:right w:val="single" w:sz="4" w:space="0" w:color="auto"/>
            </w:tcBorders>
            <w:noWrap/>
            <w:vAlign w:val="center"/>
            <w:hideMark/>
          </w:tcPr>
          <w:p w14:paraId="41158584" w14:textId="1D050974"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w:t>
            </w:r>
          </w:p>
        </w:tc>
        <w:tc>
          <w:tcPr>
            <w:tcW w:w="0" w:type="auto"/>
            <w:tcBorders>
              <w:top w:val="nil"/>
              <w:left w:val="nil"/>
              <w:bottom w:val="nil"/>
              <w:right w:val="nil"/>
            </w:tcBorders>
            <w:noWrap/>
            <w:vAlign w:val="center"/>
            <w:hideMark/>
          </w:tcPr>
          <w:p w14:paraId="71AFF7BC" w14:textId="77777777" w:rsidR="00F72778" w:rsidRPr="004F2095" w:rsidRDefault="00F72778" w:rsidP="004F2095">
            <w:pPr>
              <w:spacing w:before="0" w:after="0" w:line="240" w:lineRule="auto"/>
              <w:jc w:val="right"/>
              <w:rPr>
                <w:rFonts w:asciiTheme="minorBidi" w:hAnsiTheme="minorBidi"/>
                <w:sz w:val="18"/>
                <w:szCs w:val="18"/>
              </w:rPr>
            </w:pPr>
          </w:p>
        </w:tc>
        <w:tc>
          <w:tcPr>
            <w:tcW w:w="1352" w:type="dxa"/>
            <w:tcBorders>
              <w:top w:val="nil"/>
              <w:left w:val="single" w:sz="4" w:space="0" w:color="auto"/>
              <w:bottom w:val="nil"/>
              <w:right w:val="nil"/>
            </w:tcBorders>
            <w:shd w:val="clear" w:color="auto" w:fill="E5E5E5" w:themeFill="background2" w:themeFillShade="E6"/>
            <w:noWrap/>
            <w:vAlign w:val="center"/>
            <w:hideMark/>
          </w:tcPr>
          <w:p w14:paraId="06BFDEE3" w14:textId="758EFD65"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99</w:t>
            </w:r>
            <w:r w:rsidR="009364B5">
              <w:rPr>
                <w:rFonts w:asciiTheme="minorBidi" w:hAnsiTheme="minorBidi"/>
                <w:sz w:val="18"/>
                <w:szCs w:val="18"/>
              </w:rPr>
              <w:t xml:space="preserve"> </w:t>
            </w:r>
            <w:r w:rsidRPr="00B54A22">
              <w:rPr>
                <w:rFonts w:asciiTheme="minorBidi" w:hAnsiTheme="minorBidi"/>
                <w:sz w:val="18"/>
                <w:szCs w:val="18"/>
              </w:rPr>
              <w:t>836</w:t>
            </w:r>
          </w:p>
        </w:tc>
        <w:tc>
          <w:tcPr>
            <w:tcW w:w="0" w:type="auto"/>
            <w:tcBorders>
              <w:top w:val="nil"/>
              <w:left w:val="nil"/>
              <w:bottom w:val="nil"/>
              <w:right w:val="single" w:sz="4" w:space="0" w:color="auto"/>
            </w:tcBorders>
            <w:noWrap/>
            <w:vAlign w:val="center"/>
            <w:hideMark/>
          </w:tcPr>
          <w:p w14:paraId="09D65A0C" w14:textId="654867E0"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7</w:t>
            </w:r>
          </w:p>
        </w:tc>
      </w:tr>
      <w:tr w:rsidR="007964F1" w:rsidRPr="004F2095" w14:paraId="38235693" w14:textId="77777777" w:rsidTr="4A7E2F16">
        <w:trPr>
          <w:trHeight w:val="300"/>
        </w:trPr>
        <w:tc>
          <w:tcPr>
            <w:tcW w:w="0" w:type="auto"/>
            <w:tcBorders>
              <w:top w:val="nil"/>
              <w:left w:val="single" w:sz="4" w:space="0" w:color="auto"/>
              <w:bottom w:val="nil"/>
              <w:right w:val="single" w:sz="4" w:space="0" w:color="auto"/>
            </w:tcBorders>
            <w:noWrap/>
            <w:vAlign w:val="center"/>
            <w:hideMark/>
          </w:tcPr>
          <w:p w14:paraId="3800B9C8" w14:textId="77777777" w:rsidR="00F72778" w:rsidRPr="004F2095" w:rsidRDefault="00F72778" w:rsidP="004F2095">
            <w:pPr>
              <w:spacing w:before="0" w:after="0" w:line="240" w:lineRule="auto"/>
              <w:rPr>
                <w:rFonts w:asciiTheme="minorBidi" w:hAnsiTheme="minorBidi"/>
                <w:sz w:val="18"/>
                <w:szCs w:val="18"/>
              </w:rPr>
            </w:pPr>
            <w:r w:rsidRPr="004F2095">
              <w:rPr>
                <w:rFonts w:asciiTheme="minorBidi" w:hAnsiTheme="minorBidi"/>
                <w:sz w:val="18"/>
                <w:szCs w:val="18"/>
              </w:rPr>
              <w:t>oktoober</w:t>
            </w:r>
          </w:p>
        </w:tc>
        <w:tc>
          <w:tcPr>
            <w:tcW w:w="0" w:type="auto"/>
            <w:tcBorders>
              <w:top w:val="nil"/>
              <w:left w:val="nil"/>
              <w:bottom w:val="nil"/>
              <w:right w:val="nil"/>
            </w:tcBorders>
            <w:noWrap/>
            <w:vAlign w:val="center"/>
            <w:hideMark/>
          </w:tcPr>
          <w:p w14:paraId="0EE40ED7" w14:textId="3EA44E6D"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22</w:t>
            </w:r>
            <w:r w:rsidR="009364B5">
              <w:rPr>
                <w:rFonts w:asciiTheme="minorBidi" w:hAnsiTheme="minorBidi"/>
                <w:sz w:val="18"/>
                <w:szCs w:val="18"/>
              </w:rPr>
              <w:t xml:space="preserve"> </w:t>
            </w:r>
            <w:r w:rsidRPr="004F2095">
              <w:rPr>
                <w:rFonts w:asciiTheme="minorBidi" w:hAnsiTheme="minorBidi"/>
                <w:sz w:val="18"/>
                <w:szCs w:val="18"/>
              </w:rPr>
              <w:t>576</w:t>
            </w:r>
          </w:p>
        </w:tc>
        <w:tc>
          <w:tcPr>
            <w:tcW w:w="0" w:type="auto"/>
            <w:tcBorders>
              <w:top w:val="nil"/>
              <w:left w:val="nil"/>
              <w:bottom w:val="nil"/>
              <w:right w:val="nil"/>
            </w:tcBorders>
            <w:noWrap/>
            <w:vAlign w:val="center"/>
            <w:hideMark/>
          </w:tcPr>
          <w:p w14:paraId="5E1A1822" w14:textId="78FE0335"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77</w:t>
            </w:r>
            <w:r w:rsidR="009364B5">
              <w:rPr>
                <w:rFonts w:asciiTheme="minorBidi" w:hAnsiTheme="minorBidi"/>
                <w:sz w:val="18"/>
                <w:szCs w:val="18"/>
              </w:rPr>
              <w:t xml:space="preserve"> </w:t>
            </w:r>
            <w:r w:rsidRPr="004F2095">
              <w:rPr>
                <w:rFonts w:asciiTheme="minorBidi" w:hAnsiTheme="minorBidi"/>
                <w:sz w:val="18"/>
                <w:szCs w:val="18"/>
              </w:rPr>
              <w:t>260</w:t>
            </w:r>
          </w:p>
        </w:tc>
        <w:tc>
          <w:tcPr>
            <w:tcW w:w="0" w:type="auto"/>
            <w:tcBorders>
              <w:top w:val="nil"/>
              <w:left w:val="single" w:sz="4" w:space="0" w:color="auto"/>
              <w:bottom w:val="nil"/>
              <w:right w:val="nil"/>
            </w:tcBorders>
            <w:noWrap/>
            <w:vAlign w:val="center"/>
            <w:hideMark/>
          </w:tcPr>
          <w:p w14:paraId="2A1CBBE0" w14:textId="536C1390"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29</w:t>
            </w:r>
            <w:r w:rsidR="009364B5">
              <w:rPr>
                <w:rFonts w:asciiTheme="minorBidi" w:hAnsiTheme="minorBidi"/>
                <w:sz w:val="18"/>
                <w:szCs w:val="18"/>
              </w:rPr>
              <w:t xml:space="preserve"> </w:t>
            </w:r>
            <w:r w:rsidRPr="004F2095">
              <w:rPr>
                <w:rFonts w:asciiTheme="minorBidi" w:hAnsiTheme="minorBidi"/>
                <w:sz w:val="18"/>
                <w:szCs w:val="18"/>
              </w:rPr>
              <w:t>131</w:t>
            </w:r>
          </w:p>
        </w:tc>
        <w:tc>
          <w:tcPr>
            <w:tcW w:w="0" w:type="auto"/>
            <w:tcBorders>
              <w:top w:val="nil"/>
              <w:left w:val="nil"/>
              <w:bottom w:val="nil"/>
              <w:right w:val="single" w:sz="4" w:space="0" w:color="auto"/>
            </w:tcBorders>
            <w:noWrap/>
            <w:vAlign w:val="center"/>
            <w:hideMark/>
          </w:tcPr>
          <w:p w14:paraId="2B604CF4" w14:textId="08ED34CD"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12</w:t>
            </w:r>
            <w:r w:rsidR="009364B5">
              <w:rPr>
                <w:rFonts w:asciiTheme="minorBidi" w:hAnsiTheme="minorBidi"/>
                <w:sz w:val="18"/>
                <w:szCs w:val="18"/>
              </w:rPr>
              <w:t xml:space="preserve"> </w:t>
            </w:r>
            <w:r w:rsidRPr="004F2095">
              <w:rPr>
                <w:rFonts w:asciiTheme="minorBidi" w:hAnsiTheme="minorBidi"/>
                <w:sz w:val="18"/>
                <w:szCs w:val="18"/>
              </w:rPr>
              <w:t>577</w:t>
            </w:r>
          </w:p>
        </w:tc>
        <w:tc>
          <w:tcPr>
            <w:tcW w:w="0" w:type="auto"/>
            <w:tcBorders>
              <w:top w:val="nil"/>
              <w:left w:val="nil"/>
              <w:bottom w:val="nil"/>
              <w:right w:val="nil"/>
            </w:tcBorders>
            <w:noWrap/>
            <w:vAlign w:val="center"/>
            <w:hideMark/>
          </w:tcPr>
          <w:p w14:paraId="2874F88B" w14:textId="5AFC1D9E"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29</w:t>
            </w:r>
            <w:r w:rsidR="009364B5">
              <w:rPr>
                <w:rFonts w:asciiTheme="minorBidi" w:hAnsiTheme="minorBidi"/>
                <w:sz w:val="18"/>
                <w:szCs w:val="18"/>
              </w:rPr>
              <w:t xml:space="preserve"> </w:t>
            </w:r>
            <w:r w:rsidRPr="004F2095">
              <w:rPr>
                <w:rFonts w:asciiTheme="minorBidi" w:hAnsiTheme="minorBidi"/>
                <w:sz w:val="18"/>
                <w:szCs w:val="18"/>
              </w:rPr>
              <w:t>849</w:t>
            </w:r>
          </w:p>
        </w:tc>
        <w:tc>
          <w:tcPr>
            <w:tcW w:w="0" w:type="auto"/>
            <w:tcBorders>
              <w:top w:val="nil"/>
              <w:left w:val="nil"/>
              <w:bottom w:val="nil"/>
              <w:right w:val="nil"/>
            </w:tcBorders>
            <w:noWrap/>
            <w:vAlign w:val="center"/>
            <w:hideMark/>
          </w:tcPr>
          <w:p w14:paraId="2A6FC669" w14:textId="1B2A9E85"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38</w:t>
            </w:r>
            <w:r w:rsidR="009364B5">
              <w:rPr>
                <w:rFonts w:asciiTheme="minorBidi" w:hAnsiTheme="minorBidi"/>
                <w:sz w:val="18"/>
                <w:szCs w:val="18"/>
              </w:rPr>
              <w:t xml:space="preserve"> </w:t>
            </w:r>
            <w:r w:rsidRPr="004F2095">
              <w:rPr>
                <w:rFonts w:asciiTheme="minorBidi" w:hAnsiTheme="minorBidi"/>
                <w:sz w:val="18"/>
                <w:szCs w:val="18"/>
              </w:rPr>
              <w:t>430</w:t>
            </w:r>
          </w:p>
        </w:tc>
        <w:tc>
          <w:tcPr>
            <w:tcW w:w="0" w:type="auto"/>
            <w:tcBorders>
              <w:top w:val="nil"/>
              <w:left w:val="single" w:sz="4" w:space="0" w:color="auto"/>
              <w:bottom w:val="nil"/>
              <w:right w:val="nil"/>
            </w:tcBorders>
            <w:noWrap/>
            <w:vAlign w:val="center"/>
            <w:hideMark/>
          </w:tcPr>
          <w:p w14:paraId="1D1B82CA" w14:textId="7CF0726E"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34</w:t>
            </w:r>
            <w:r w:rsidR="009364B5">
              <w:rPr>
                <w:rFonts w:asciiTheme="minorBidi" w:hAnsiTheme="minorBidi"/>
                <w:sz w:val="18"/>
                <w:szCs w:val="18"/>
              </w:rPr>
              <w:t xml:space="preserve"> </w:t>
            </w:r>
            <w:r w:rsidRPr="004F2095">
              <w:rPr>
                <w:rFonts w:asciiTheme="minorBidi" w:hAnsiTheme="minorBidi"/>
                <w:sz w:val="18"/>
                <w:szCs w:val="18"/>
              </w:rPr>
              <w:t>486</w:t>
            </w:r>
          </w:p>
        </w:tc>
        <w:tc>
          <w:tcPr>
            <w:tcW w:w="0" w:type="auto"/>
            <w:tcBorders>
              <w:top w:val="nil"/>
              <w:left w:val="nil"/>
              <w:bottom w:val="nil"/>
              <w:right w:val="single" w:sz="4" w:space="0" w:color="auto"/>
            </w:tcBorders>
            <w:noWrap/>
            <w:vAlign w:val="center"/>
            <w:hideMark/>
          </w:tcPr>
          <w:p w14:paraId="43752E4A" w14:textId="7E923D1B"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57</w:t>
            </w:r>
            <w:r w:rsidR="009364B5">
              <w:rPr>
                <w:rFonts w:asciiTheme="minorBidi" w:hAnsiTheme="minorBidi"/>
                <w:sz w:val="18"/>
                <w:szCs w:val="18"/>
              </w:rPr>
              <w:t xml:space="preserve"> </w:t>
            </w:r>
            <w:r w:rsidRPr="004F2095">
              <w:rPr>
                <w:rFonts w:asciiTheme="minorBidi" w:hAnsiTheme="minorBidi"/>
                <w:sz w:val="18"/>
                <w:szCs w:val="18"/>
              </w:rPr>
              <w:t>548</w:t>
            </w:r>
          </w:p>
        </w:tc>
        <w:tc>
          <w:tcPr>
            <w:tcW w:w="0" w:type="auto"/>
            <w:tcBorders>
              <w:top w:val="nil"/>
              <w:left w:val="nil"/>
              <w:bottom w:val="nil"/>
              <w:right w:val="nil"/>
            </w:tcBorders>
            <w:noWrap/>
            <w:vAlign w:val="center"/>
            <w:hideMark/>
          </w:tcPr>
          <w:p w14:paraId="017D9B7D" w14:textId="54151813"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34</w:t>
            </w:r>
            <w:r w:rsidR="009364B5">
              <w:rPr>
                <w:rFonts w:asciiTheme="minorBidi" w:hAnsiTheme="minorBidi"/>
                <w:sz w:val="18"/>
                <w:szCs w:val="18"/>
              </w:rPr>
              <w:t xml:space="preserve"> </w:t>
            </w:r>
            <w:r w:rsidRPr="004F2095">
              <w:rPr>
                <w:rFonts w:asciiTheme="minorBidi" w:hAnsiTheme="minorBidi"/>
                <w:sz w:val="18"/>
                <w:szCs w:val="18"/>
              </w:rPr>
              <w:t>600</w:t>
            </w:r>
          </w:p>
        </w:tc>
        <w:tc>
          <w:tcPr>
            <w:tcW w:w="0" w:type="auto"/>
            <w:tcBorders>
              <w:top w:val="nil"/>
              <w:left w:val="nil"/>
              <w:bottom w:val="nil"/>
              <w:right w:val="nil"/>
            </w:tcBorders>
            <w:noWrap/>
            <w:vAlign w:val="center"/>
            <w:hideMark/>
          </w:tcPr>
          <w:p w14:paraId="4AC2AC47" w14:textId="25C5FA2E"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w:t>
            </w:r>
          </w:p>
        </w:tc>
        <w:tc>
          <w:tcPr>
            <w:tcW w:w="0" w:type="auto"/>
            <w:tcBorders>
              <w:top w:val="nil"/>
              <w:left w:val="nil"/>
              <w:bottom w:val="nil"/>
              <w:right w:val="nil"/>
            </w:tcBorders>
            <w:noWrap/>
            <w:vAlign w:val="center"/>
            <w:hideMark/>
          </w:tcPr>
          <w:p w14:paraId="2957FD88" w14:textId="42BEF623"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61</w:t>
            </w:r>
            <w:r w:rsidR="009364B5">
              <w:rPr>
                <w:rFonts w:asciiTheme="minorBidi" w:hAnsiTheme="minorBidi"/>
                <w:sz w:val="18"/>
                <w:szCs w:val="18"/>
              </w:rPr>
              <w:t xml:space="preserve"> </w:t>
            </w:r>
            <w:r w:rsidRPr="004F2095">
              <w:rPr>
                <w:rFonts w:asciiTheme="minorBidi" w:hAnsiTheme="minorBidi"/>
                <w:sz w:val="18"/>
                <w:szCs w:val="18"/>
              </w:rPr>
              <w:t>622</w:t>
            </w:r>
          </w:p>
        </w:tc>
        <w:tc>
          <w:tcPr>
            <w:tcW w:w="0" w:type="auto"/>
            <w:tcBorders>
              <w:top w:val="nil"/>
              <w:left w:val="nil"/>
              <w:bottom w:val="nil"/>
              <w:right w:val="single" w:sz="4" w:space="0" w:color="auto"/>
            </w:tcBorders>
            <w:noWrap/>
            <w:vAlign w:val="center"/>
            <w:hideMark/>
          </w:tcPr>
          <w:p w14:paraId="2FA61244" w14:textId="371B8F94"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w:t>
            </w:r>
          </w:p>
        </w:tc>
        <w:tc>
          <w:tcPr>
            <w:tcW w:w="0" w:type="auto"/>
            <w:tcBorders>
              <w:top w:val="nil"/>
              <w:left w:val="nil"/>
              <w:bottom w:val="nil"/>
              <w:right w:val="nil"/>
            </w:tcBorders>
            <w:noWrap/>
            <w:vAlign w:val="center"/>
            <w:hideMark/>
          </w:tcPr>
          <w:p w14:paraId="1117759A" w14:textId="77777777" w:rsidR="00F72778" w:rsidRPr="004F2095" w:rsidRDefault="00F72778" w:rsidP="004F2095">
            <w:pPr>
              <w:spacing w:before="0" w:after="0" w:line="240" w:lineRule="auto"/>
              <w:jc w:val="right"/>
              <w:rPr>
                <w:rFonts w:asciiTheme="minorBidi" w:hAnsiTheme="minorBidi"/>
                <w:sz w:val="18"/>
                <w:szCs w:val="18"/>
              </w:rPr>
            </w:pPr>
          </w:p>
        </w:tc>
        <w:tc>
          <w:tcPr>
            <w:tcW w:w="1352" w:type="dxa"/>
            <w:tcBorders>
              <w:top w:val="nil"/>
              <w:left w:val="single" w:sz="4" w:space="0" w:color="auto"/>
              <w:bottom w:val="nil"/>
              <w:right w:val="nil"/>
            </w:tcBorders>
            <w:shd w:val="clear" w:color="auto" w:fill="E5E5E5" w:themeFill="background2" w:themeFillShade="E6"/>
            <w:noWrap/>
            <w:vAlign w:val="center"/>
            <w:hideMark/>
          </w:tcPr>
          <w:p w14:paraId="4C073F94" w14:textId="0CD7E283"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96</w:t>
            </w:r>
            <w:r w:rsidR="009364B5">
              <w:rPr>
                <w:rFonts w:asciiTheme="minorBidi" w:hAnsiTheme="minorBidi"/>
                <w:sz w:val="18"/>
                <w:szCs w:val="18"/>
              </w:rPr>
              <w:t xml:space="preserve"> </w:t>
            </w:r>
            <w:r w:rsidRPr="00B54A22">
              <w:rPr>
                <w:rFonts w:asciiTheme="minorBidi" w:hAnsiTheme="minorBidi"/>
                <w:sz w:val="18"/>
                <w:szCs w:val="18"/>
              </w:rPr>
              <w:t>222</w:t>
            </w:r>
          </w:p>
        </w:tc>
        <w:tc>
          <w:tcPr>
            <w:tcW w:w="0" w:type="auto"/>
            <w:tcBorders>
              <w:top w:val="nil"/>
              <w:left w:val="nil"/>
              <w:bottom w:val="nil"/>
              <w:right w:val="single" w:sz="4" w:space="0" w:color="auto"/>
            </w:tcBorders>
            <w:noWrap/>
            <w:vAlign w:val="center"/>
            <w:hideMark/>
          </w:tcPr>
          <w:p w14:paraId="4D1EF82B" w14:textId="375FE494"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6</w:t>
            </w:r>
          </w:p>
        </w:tc>
      </w:tr>
      <w:tr w:rsidR="007964F1" w:rsidRPr="004F2095" w14:paraId="25C327A4" w14:textId="77777777" w:rsidTr="4A7E2F16">
        <w:trPr>
          <w:trHeight w:val="300"/>
        </w:trPr>
        <w:tc>
          <w:tcPr>
            <w:tcW w:w="0" w:type="auto"/>
            <w:tcBorders>
              <w:top w:val="nil"/>
              <w:left w:val="single" w:sz="4" w:space="0" w:color="auto"/>
              <w:bottom w:val="nil"/>
              <w:right w:val="single" w:sz="4" w:space="0" w:color="auto"/>
            </w:tcBorders>
            <w:noWrap/>
            <w:vAlign w:val="center"/>
            <w:hideMark/>
          </w:tcPr>
          <w:p w14:paraId="3EBD0DC9" w14:textId="77777777" w:rsidR="00F72778" w:rsidRPr="004F2095" w:rsidRDefault="00F72778" w:rsidP="004F2095">
            <w:pPr>
              <w:spacing w:before="0" w:after="0" w:line="240" w:lineRule="auto"/>
              <w:rPr>
                <w:rFonts w:asciiTheme="minorBidi" w:hAnsiTheme="minorBidi"/>
                <w:sz w:val="18"/>
                <w:szCs w:val="18"/>
              </w:rPr>
            </w:pPr>
            <w:r w:rsidRPr="004F2095">
              <w:rPr>
                <w:rFonts w:asciiTheme="minorBidi" w:hAnsiTheme="minorBidi"/>
                <w:sz w:val="18"/>
                <w:szCs w:val="18"/>
              </w:rPr>
              <w:t>november</w:t>
            </w:r>
          </w:p>
        </w:tc>
        <w:tc>
          <w:tcPr>
            <w:tcW w:w="0" w:type="auto"/>
            <w:tcBorders>
              <w:top w:val="nil"/>
              <w:left w:val="nil"/>
              <w:bottom w:val="nil"/>
              <w:right w:val="nil"/>
            </w:tcBorders>
            <w:noWrap/>
            <w:vAlign w:val="center"/>
            <w:hideMark/>
          </w:tcPr>
          <w:p w14:paraId="75C69D53" w14:textId="59B23ABB"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20</w:t>
            </w:r>
            <w:r w:rsidR="009364B5">
              <w:rPr>
                <w:rFonts w:asciiTheme="minorBidi" w:hAnsiTheme="minorBidi"/>
                <w:sz w:val="18"/>
                <w:szCs w:val="18"/>
              </w:rPr>
              <w:t xml:space="preserve"> </w:t>
            </w:r>
            <w:r w:rsidRPr="004F2095">
              <w:rPr>
                <w:rFonts w:asciiTheme="minorBidi" w:hAnsiTheme="minorBidi"/>
                <w:sz w:val="18"/>
                <w:szCs w:val="18"/>
              </w:rPr>
              <w:t>767</w:t>
            </w:r>
          </w:p>
        </w:tc>
        <w:tc>
          <w:tcPr>
            <w:tcW w:w="0" w:type="auto"/>
            <w:tcBorders>
              <w:top w:val="nil"/>
              <w:left w:val="nil"/>
              <w:bottom w:val="nil"/>
              <w:right w:val="nil"/>
            </w:tcBorders>
            <w:noWrap/>
            <w:vAlign w:val="center"/>
            <w:hideMark/>
          </w:tcPr>
          <w:p w14:paraId="5F8E7A07" w14:textId="556E419B"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66</w:t>
            </w:r>
            <w:r w:rsidR="009364B5">
              <w:rPr>
                <w:rFonts w:asciiTheme="minorBidi" w:hAnsiTheme="minorBidi"/>
                <w:sz w:val="18"/>
                <w:szCs w:val="18"/>
              </w:rPr>
              <w:t xml:space="preserve"> </w:t>
            </w:r>
            <w:r w:rsidRPr="004F2095">
              <w:rPr>
                <w:rFonts w:asciiTheme="minorBidi" w:hAnsiTheme="minorBidi"/>
                <w:sz w:val="18"/>
                <w:szCs w:val="18"/>
              </w:rPr>
              <w:t>464</w:t>
            </w:r>
          </w:p>
        </w:tc>
        <w:tc>
          <w:tcPr>
            <w:tcW w:w="0" w:type="auto"/>
            <w:tcBorders>
              <w:top w:val="nil"/>
              <w:left w:val="single" w:sz="4" w:space="0" w:color="auto"/>
              <w:bottom w:val="nil"/>
              <w:right w:val="nil"/>
            </w:tcBorders>
            <w:noWrap/>
            <w:vAlign w:val="center"/>
            <w:hideMark/>
          </w:tcPr>
          <w:p w14:paraId="77EC4890" w14:textId="4A54F4BE"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20</w:t>
            </w:r>
            <w:r w:rsidR="009364B5">
              <w:rPr>
                <w:rFonts w:asciiTheme="minorBidi" w:hAnsiTheme="minorBidi"/>
                <w:sz w:val="18"/>
                <w:szCs w:val="18"/>
              </w:rPr>
              <w:t xml:space="preserve"> </w:t>
            </w:r>
            <w:r w:rsidRPr="004F2095">
              <w:rPr>
                <w:rFonts w:asciiTheme="minorBidi" w:hAnsiTheme="minorBidi"/>
                <w:sz w:val="18"/>
                <w:szCs w:val="18"/>
              </w:rPr>
              <w:t>864</w:t>
            </w:r>
          </w:p>
        </w:tc>
        <w:tc>
          <w:tcPr>
            <w:tcW w:w="0" w:type="auto"/>
            <w:tcBorders>
              <w:top w:val="nil"/>
              <w:left w:val="nil"/>
              <w:bottom w:val="nil"/>
              <w:right w:val="single" w:sz="4" w:space="0" w:color="auto"/>
            </w:tcBorders>
            <w:noWrap/>
            <w:vAlign w:val="center"/>
            <w:hideMark/>
          </w:tcPr>
          <w:p w14:paraId="3EA8BD57" w14:textId="3F4521A8"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12</w:t>
            </w:r>
            <w:r w:rsidR="009364B5">
              <w:rPr>
                <w:rFonts w:asciiTheme="minorBidi" w:hAnsiTheme="minorBidi"/>
                <w:sz w:val="18"/>
                <w:szCs w:val="18"/>
              </w:rPr>
              <w:t xml:space="preserve"> </w:t>
            </w:r>
            <w:r w:rsidRPr="004F2095">
              <w:rPr>
                <w:rFonts w:asciiTheme="minorBidi" w:hAnsiTheme="minorBidi"/>
                <w:sz w:val="18"/>
                <w:szCs w:val="18"/>
              </w:rPr>
              <w:t>503</w:t>
            </w:r>
          </w:p>
        </w:tc>
        <w:tc>
          <w:tcPr>
            <w:tcW w:w="0" w:type="auto"/>
            <w:tcBorders>
              <w:top w:val="nil"/>
              <w:left w:val="nil"/>
              <w:bottom w:val="nil"/>
              <w:right w:val="nil"/>
            </w:tcBorders>
            <w:noWrap/>
            <w:vAlign w:val="center"/>
            <w:hideMark/>
          </w:tcPr>
          <w:p w14:paraId="6A74845A" w14:textId="6F3939B4"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22</w:t>
            </w:r>
            <w:r w:rsidR="009364B5">
              <w:rPr>
                <w:rFonts w:asciiTheme="minorBidi" w:hAnsiTheme="minorBidi"/>
                <w:sz w:val="18"/>
                <w:szCs w:val="18"/>
              </w:rPr>
              <w:t xml:space="preserve"> </w:t>
            </w:r>
            <w:r w:rsidRPr="004F2095">
              <w:rPr>
                <w:rFonts w:asciiTheme="minorBidi" w:hAnsiTheme="minorBidi"/>
                <w:sz w:val="18"/>
                <w:szCs w:val="18"/>
              </w:rPr>
              <w:t>364</w:t>
            </w:r>
          </w:p>
        </w:tc>
        <w:tc>
          <w:tcPr>
            <w:tcW w:w="0" w:type="auto"/>
            <w:tcBorders>
              <w:top w:val="nil"/>
              <w:left w:val="nil"/>
              <w:bottom w:val="nil"/>
              <w:right w:val="nil"/>
            </w:tcBorders>
            <w:noWrap/>
            <w:vAlign w:val="center"/>
            <w:hideMark/>
          </w:tcPr>
          <w:p w14:paraId="1306510E" w14:textId="7F296B6A"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31</w:t>
            </w:r>
            <w:r w:rsidR="009364B5">
              <w:rPr>
                <w:rFonts w:asciiTheme="minorBidi" w:hAnsiTheme="minorBidi"/>
                <w:sz w:val="18"/>
                <w:szCs w:val="18"/>
              </w:rPr>
              <w:t xml:space="preserve"> </w:t>
            </w:r>
            <w:r w:rsidRPr="004F2095">
              <w:rPr>
                <w:rFonts w:asciiTheme="minorBidi" w:hAnsiTheme="minorBidi"/>
                <w:sz w:val="18"/>
                <w:szCs w:val="18"/>
              </w:rPr>
              <w:t>558</w:t>
            </w:r>
          </w:p>
        </w:tc>
        <w:tc>
          <w:tcPr>
            <w:tcW w:w="0" w:type="auto"/>
            <w:tcBorders>
              <w:top w:val="nil"/>
              <w:left w:val="single" w:sz="4" w:space="0" w:color="auto"/>
              <w:bottom w:val="nil"/>
              <w:right w:val="nil"/>
            </w:tcBorders>
            <w:noWrap/>
            <w:vAlign w:val="center"/>
            <w:hideMark/>
          </w:tcPr>
          <w:p w14:paraId="74605030" w14:textId="7D93ED63"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26</w:t>
            </w:r>
            <w:r w:rsidR="009364B5">
              <w:rPr>
                <w:rFonts w:asciiTheme="minorBidi" w:hAnsiTheme="minorBidi"/>
                <w:sz w:val="18"/>
                <w:szCs w:val="18"/>
              </w:rPr>
              <w:t xml:space="preserve"> </w:t>
            </w:r>
            <w:r w:rsidRPr="004F2095">
              <w:rPr>
                <w:rFonts w:asciiTheme="minorBidi" w:hAnsiTheme="minorBidi"/>
                <w:sz w:val="18"/>
                <w:szCs w:val="18"/>
              </w:rPr>
              <w:t>853</w:t>
            </w:r>
          </w:p>
        </w:tc>
        <w:tc>
          <w:tcPr>
            <w:tcW w:w="0" w:type="auto"/>
            <w:tcBorders>
              <w:top w:val="nil"/>
              <w:left w:val="nil"/>
              <w:bottom w:val="nil"/>
              <w:right w:val="single" w:sz="4" w:space="0" w:color="auto"/>
            </w:tcBorders>
            <w:noWrap/>
            <w:vAlign w:val="center"/>
            <w:hideMark/>
          </w:tcPr>
          <w:p w14:paraId="2DF133EE" w14:textId="36FE22C9"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41</w:t>
            </w:r>
            <w:r w:rsidR="009364B5">
              <w:rPr>
                <w:rFonts w:asciiTheme="minorBidi" w:hAnsiTheme="minorBidi"/>
                <w:sz w:val="18"/>
                <w:szCs w:val="18"/>
              </w:rPr>
              <w:t xml:space="preserve"> </w:t>
            </w:r>
            <w:r w:rsidRPr="004F2095">
              <w:rPr>
                <w:rFonts w:asciiTheme="minorBidi" w:hAnsiTheme="minorBidi"/>
                <w:sz w:val="18"/>
                <w:szCs w:val="18"/>
              </w:rPr>
              <w:t>771</w:t>
            </w:r>
          </w:p>
        </w:tc>
        <w:tc>
          <w:tcPr>
            <w:tcW w:w="0" w:type="auto"/>
            <w:tcBorders>
              <w:top w:val="nil"/>
              <w:left w:val="nil"/>
              <w:bottom w:val="nil"/>
              <w:right w:val="nil"/>
            </w:tcBorders>
            <w:noWrap/>
            <w:vAlign w:val="center"/>
            <w:hideMark/>
          </w:tcPr>
          <w:p w14:paraId="1961F9EB" w14:textId="0242D5DF"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28</w:t>
            </w:r>
            <w:r w:rsidR="009364B5">
              <w:rPr>
                <w:rFonts w:asciiTheme="minorBidi" w:hAnsiTheme="minorBidi"/>
                <w:sz w:val="18"/>
                <w:szCs w:val="18"/>
              </w:rPr>
              <w:t xml:space="preserve"> </w:t>
            </w:r>
            <w:r w:rsidRPr="004F2095">
              <w:rPr>
                <w:rFonts w:asciiTheme="minorBidi" w:hAnsiTheme="minorBidi"/>
                <w:sz w:val="18"/>
                <w:szCs w:val="18"/>
              </w:rPr>
              <w:t>720</w:t>
            </w:r>
          </w:p>
        </w:tc>
        <w:tc>
          <w:tcPr>
            <w:tcW w:w="0" w:type="auto"/>
            <w:tcBorders>
              <w:top w:val="nil"/>
              <w:left w:val="nil"/>
              <w:bottom w:val="nil"/>
              <w:right w:val="nil"/>
            </w:tcBorders>
            <w:noWrap/>
            <w:vAlign w:val="center"/>
            <w:hideMark/>
          </w:tcPr>
          <w:p w14:paraId="5EBD78A6" w14:textId="74D0C400"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w:t>
            </w:r>
          </w:p>
        </w:tc>
        <w:tc>
          <w:tcPr>
            <w:tcW w:w="0" w:type="auto"/>
            <w:tcBorders>
              <w:top w:val="nil"/>
              <w:left w:val="nil"/>
              <w:bottom w:val="nil"/>
              <w:right w:val="nil"/>
            </w:tcBorders>
            <w:noWrap/>
            <w:vAlign w:val="center"/>
            <w:hideMark/>
          </w:tcPr>
          <w:p w14:paraId="25CA4EB3" w14:textId="58ECB42A"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44</w:t>
            </w:r>
            <w:r w:rsidR="009364B5">
              <w:rPr>
                <w:rFonts w:asciiTheme="minorBidi" w:hAnsiTheme="minorBidi"/>
                <w:sz w:val="18"/>
                <w:szCs w:val="18"/>
              </w:rPr>
              <w:t xml:space="preserve"> </w:t>
            </w:r>
            <w:r w:rsidRPr="004F2095">
              <w:rPr>
                <w:rFonts w:asciiTheme="minorBidi" w:hAnsiTheme="minorBidi"/>
                <w:sz w:val="18"/>
                <w:szCs w:val="18"/>
              </w:rPr>
              <w:t>354</w:t>
            </w:r>
          </w:p>
        </w:tc>
        <w:tc>
          <w:tcPr>
            <w:tcW w:w="0" w:type="auto"/>
            <w:tcBorders>
              <w:top w:val="nil"/>
              <w:left w:val="nil"/>
              <w:bottom w:val="nil"/>
              <w:right w:val="single" w:sz="4" w:space="0" w:color="auto"/>
            </w:tcBorders>
            <w:noWrap/>
            <w:vAlign w:val="center"/>
            <w:hideMark/>
          </w:tcPr>
          <w:p w14:paraId="5D39ED10" w14:textId="07FC23B9"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5</w:t>
            </w:r>
          </w:p>
        </w:tc>
        <w:tc>
          <w:tcPr>
            <w:tcW w:w="0" w:type="auto"/>
            <w:tcBorders>
              <w:top w:val="nil"/>
              <w:left w:val="nil"/>
              <w:bottom w:val="nil"/>
              <w:right w:val="nil"/>
            </w:tcBorders>
            <w:noWrap/>
            <w:vAlign w:val="center"/>
            <w:hideMark/>
          </w:tcPr>
          <w:p w14:paraId="124855F5" w14:textId="77777777" w:rsidR="00F72778" w:rsidRPr="004F2095" w:rsidRDefault="00F72778" w:rsidP="004F2095">
            <w:pPr>
              <w:spacing w:before="0" w:after="0" w:line="240" w:lineRule="auto"/>
              <w:jc w:val="right"/>
              <w:rPr>
                <w:rFonts w:asciiTheme="minorBidi" w:hAnsiTheme="minorBidi"/>
                <w:sz w:val="18"/>
                <w:szCs w:val="18"/>
              </w:rPr>
            </w:pPr>
          </w:p>
        </w:tc>
        <w:tc>
          <w:tcPr>
            <w:tcW w:w="1352" w:type="dxa"/>
            <w:tcBorders>
              <w:top w:val="nil"/>
              <w:left w:val="single" w:sz="4" w:space="0" w:color="auto"/>
              <w:bottom w:val="nil"/>
              <w:right w:val="nil"/>
            </w:tcBorders>
            <w:shd w:val="clear" w:color="auto" w:fill="E5E5E5" w:themeFill="background2" w:themeFillShade="E6"/>
            <w:noWrap/>
            <w:vAlign w:val="center"/>
            <w:hideMark/>
          </w:tcPr>
          <w:p w14:paraId="7C1654FE" w14:textId="2A7670C5"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73</w:t>
            </w:r>
            <w:r w:rsidR="009364B5">
              <w:rPr>
                <w:rFonts w:asciiTheme="minorBidi" w:hAnsiTheme="minorBidi"/>
                <w:sz w:val="18"/>
                <w:szCs w:val="18"/>
              </w:rPr>
              <w:t xml:space="preserve"> </w:t>
            </w:r>
            <w:r w:rsidRPr="00B54A22">
              <w:rPr>
                <w:rFonts w:asciiTheme="minorBidi" w:hAnsiTheme="minorBidi"/>
                <w:sz w:val="18"/>
                <w:szCs w:val="18"/>
              </w:rPr>
              <w:t>074</w:t>
            </w:r>
          </w:p>
        </w:tc>
        <w:tc>
          <w:tcPr>
            <w:tcW w:w="0" w:type="auto"/>
            <w:tcBorders>
              <w:top w:val="nil"/>
              <w:left w:val="nil"/>
              <w:bottom w:val="nil"/>
              <w:right w:val="single" w:sz="4" w:space="0" w:color="auto"/>
            </w:tcBorders>
            <w:noWrap/>
            <w:vAlign w:val="center"/>
            <w:hideMark/>
          </w:tcPr>
          <w:p w14:paraId="7FC78EED" w14:textId="6EF31D16"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5</w:t>
            </w:r>
          </w:p>
        </w:tc>
      </w:tr>
      <w:tr w:rsidR="007964F1" w:rsidRPr="004F2095" w14:paraId="0EFFD62F" w14:textId="77777777" w:rsidTr="4A7E2F16">
        <w:trPr>
          <w:trHeight w:val="300"/>
        </w:trPr>
        <w:tc>
          <w:tcPr>
            <w:tcW w:w="0" w:type="auto"/>
            <w:tcBorders>
              <w:top w:val="nil"/>
              <w:left w:val="single" w:sz="4" w:space="0" w:color="auto"/>
              <w:bottom w:val="nil"/>
              <w:right w:val="single" w:sz="4" w:space="0" w:color="auto"/>
            </w:tcBorders>
            <w:noWrap/>
            <w:vAlign w:val="center"/>
            <w:hideMark/>
          </w:tcPr>
          <w:p w14:paraId="4AD476B3" w14:textId="77777777" w:rsidR="00F72778" w:rsidRPr="004F2095" w:rsidRDefault="00F72778" w:rsidP="004F2095">
            <w:pPr>
              <w:spacing w:before="0" w:after="0" w:line="240" w:lineRule="auto"/>
              <w:rPr>
                <w:rFonts w:asciiTheme="minorBidi" w:hAnsiTheme="minorBidi"/>
                <w:sz w:val="18"/>
                <w:szCs w:val="18"/>
              </w:rPr>
            </w:pPr>
            <w:r w:rsidRPr="004F2095">
              <w:rPr>
                <w:rFonts w:asciiTheme="minorBidi" w:hAnsiTheme="minorBidi"/>
                <w:sz w:val="18"/>
                <w:szCs w:val="18"/>
              </w:rPr>
              <w:t>detsember</w:t>
            </w:r>
          </w:p>
        </w:tc>
        <w:tc>
          <w:tcPr>
            <w:tcW w:w="0" w:type="auto"/>
            <w:tcBorders>
              <w:top w:val="nil"/>
              <w:left w:val="nil"/>
              <w:bottom w:val="nil"/>
              <w:right w:val="nil"/>
            </w:tcBorders>
            <w:noWrap/>
            <w:vAlign w:val="center"/>
            <w:hideMark/>
          </w:tcPr>
          <w:p w14:paraId="53DA8CBD" w14:textId="17100B15"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25</w:t>
            </w:r>
            <w:r w:rsidR="009364B5">
              <w:rPr>
                <w:rFonts w:asciiTheme="minorBidi" w:hAnsiTheme="minorBidi"/>
                <w:sz w:val="18"/>
                <w:szCs w:val="18"/>
              </w:rPr>
              <w:t xml:space="preserve"> </w:t>
            </w:r>
            <w:r w:rsidRPr="004F2095">
              <w:rPr>
                <w:rFonts w:asciiTheme="minorBidi" w:hAnsiTheme="minorBidi"/>
                <w:sz w:val="18"/>
                <w:szCs w:val="18"/>
              </w:rPr>
              <w:t>566</w:t>
            </w:r>
          </w:p>
        </w:tc>
        <w:tc>
          <w:tcPr>
            <w:tcW w:w="0" w:type="auto"/>
            <w:tcBorders>
              <w:top w:val="nil"/>
              <w:left w:val="nil"/>
              <w:bottom w:val="nil"/>
              <w:right w:val="nil"/>
            </w:tcBorders>
            <w:noWrap/>
            <w:vAlign w:val="center"/>
            <w:hideMark/>
          </w:tcPr>
          <w:p w14:paraId="02561517" w14:textId="74EDFC63"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90</w:t>
            </w:r>
            <w:r w:rsidR="009364B5">
              <w:rPr>
                <w:rFonts w:asciiTheme="minorBidi" w:hAnsiTheme="minorBidi"/>
                <w:sz w:val="18"/>
                <w:szCs w:val="18"/>
              </w:rPr>
              <w:t xml:space="preserve"> </w:t>
            </w:r>
            <w:r w:rsidRPr="004F2095">
              <w:rPr>
                <w:rFonts w:asciiTheme="minorBidi" w:hAnsiTheme="minorBidi"/>
                <w:sz w:val="18"/>
                <w:szCs w:val="18"/>
              </w:rPr>
              <w:t>194</w:t>
            </w:r>
          </w:p>
        </w:tc>
        <w:tc>
          <w:tcPr>
            <w:tcW w:w="0" w:type="auto"/>
            <w:tcBorders>
              <w:top w:val="nil"/>
              <w:left w:val="single" w:sz="4" w:space="0" w:color="auto"/>
              <w:bottom w:val="nil"/>
              <w:right w:val="nil"/>
            </w:tcBorders>
            <w:noWrap/>
            <w:vAlign w:val="center"/>
            <w:hideMark/>
          </w:tcPr>
          <w:p w14:paraId="3B73D272" w14:textId="1CB5538B"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29</w:t>
            </w:r>
            <w:r w:rsidR="009364B5">
              <w:rPr>
                <w:rFonts w:asciiTheme="minorBidi" w:hAnsiTheme="minorBidi"/>
                <w:sz w:val="18"/>
                <w:szCs w:val="18"/>
              </w:rPr>
              <w:t xml:space="preserve"> </w:t>
            </w:r>
            <w:r w:rsidRPr="004F2095">
              <w:rPr>
                <w:rFonts w:asciiTheme="minorBidi" w:hAnsiTheme="minorBidi"/>
                <w:sz w:val="18"/>
                <w:szCs w:val="18"/>
              </w:rPr>
              <w:t>686</w:t>
            </w:r>
          </w:p>
        </w:tc>
        <w:tc>
          <w:tcPr>
            <w:tcW w:w="0" w:type="auto"/>
            <w:tcBorders>
              <w:top w:val="nil"/>
              <w:left w:val="nil"/>
              <w:bottom w:val="nil"/>
              <w:right w:val="single" w:sz="4" w:space="0" w:color="auto"/>
            </w:tcBorders>
            <w:noWrap/>
            <w:vAlign w:val="center"/>
            <w:hideMark/>
          </w:tcPr>
          <w:p w14:paraId="655D3701" w14:textId="4617F7BE"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13</w:t>
            </w:r>
            <w:r w:rsidR="009364B5">
              <w:rPr>
                <w:rFonts w:asciiTheme="minorBidi" w:hAnsiTheme="minorBidi"/>
                <w:sz w:val="18"/>
                <w:szCs w:val="18"/>
              </w:rPr>
              <w:t xml:space="preserve"> </w:t>
            </w:r>
            <w:r w:rsidRPr="004F2095">
              <w:rPr>
                <w:rFonts w:asciiTheme="minorBidi" w:hAnsiTheme="minorBidi"/>
                <w:sz w:val="18"/>
                <w:szCs w:val="18"/>
              </w:rPr>
              <w:t>356</w:t>
            </w:r>
          </w:p>
        </w:tc>
        <w:tc>
          <w:tcPr>
            <w:tcW w:w="0" w:type="auto"/>
            <w:tcBorders>
              <w:top w:val="nil"/>
              <w:left w:val="nil"/>
              <w:bottom w:val="nil"/>
              <w:right w:val="nil"/>
            </w:tcBorders>
            <w:noWrap/>
            <w:vAlign w:val="center"/>
            <w:hideMark/>
          </w:tcPr>
          <w:p w14:paraId="44141F2B" w14:textId="1C9FFEF2"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33</w:t>
            </w:r>
            <w:r w:rsidR="009364B5">
              <w:rPr>
                <w:rFonts w:asciiTheme="minorBidi" w:hAnsiTheme="minorBidi"/>
                <w:sz w:val="18"/>
                <w:szCs w:val="18"/>
              </w:rPr>
              <w:t xml:space="preserve"> </w:t>
            </w:r>
            <w:r w:rsidRPr="004F2095">
              <w:rPr>
                <w:rFonts w:asciiTheme="minorBidi" w:hAnsiTheme="minorBidi"/>
                <w:sz w:val="18"/>
                <w:szCs w:val="18"/>
              </w:rPr>
              <w:t>700</w:t>
            </w:r>
          </w:p>
        </w:tc>
        <w:tc>
          <w:tcPr>
            <w:tcW w:w="0" w:type="auto"/>
            <w:tcBorders>
              <w:top w:val="nil"/>
              <w:left w:val="nil"/>
              <w:bottom w:val="nil"/>
              <w:right w:val="nil"/>
            </w:tcBorders>
            <w:noWrap/>
            <w:vAlign w:val="center"/>
            <w:hideMark/>
          </w:tcPr>
          <w:p w14:paraId="52FC8D7C" w14:textId="5C23E672"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39</w:t>
            </w:r>
            <w:r w:rsidR="009364B5">
              <w:rPr>
                <w:rFonts w:asciiTheme="minorBidi" w:hAnsiTheme="minorBidi"/>
                <w:sz w:val="18"/>
                <w:szCs w:val="18"/>
              </w:rPr>
              <w:t xml:space="preserve"> </w:t>
            </w:r>
            <w:r w:rsidRPr="004F2095">
              <w:rPr>
                <w:rFonts w:asciiTheme="minorBidi" w:hAnsiTheme="minorBidi"/>
                <w:sz w:val="18"/>
                <w:szCs w:val="18"/>
              </w:rPr>
              <w:t>463</w:t>
            </w:r>
          </w:p>
        </w:tc>
        <w:tc>
          <w:tcPr>
            <w:tcW w:w="0" w:type="auto"/>
            <w:tcBorders>
              <w:top w:val="nil"/>
              <w:left w:val="single" w:sz="4" w:space="0" w:color="auto"/>
              <w:bottom w:val="nil"/>
              <w:right w:val="nil"/>
            </w:tcBorders>
            <w:noWrap/>
            <w:vAlign w:val="center"/>
            <w:hideMark/>
          </w:tcPr>
          <w:p w14:paraId="3DCCB839" w14:textId="5ACCA882"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37</w:t>
            </w:r>
            <w:r w:rsidR="009364B5">
              <w:rPr>
                <w:rFonts w:asciiTheme="minorBidi" w:hAnsiTheme="minorBidi"/>
                <w:sz w:val="18"/>
                <w:szCs w:val="18"/>
              </w:rPr>
              <w:t xml:space="preserve"> </w:t>
            </w:r>
            <w:r w:rsidRPr="004F2095">
              <w:rPr>
                <w:rFonts w:asciiTheme="minorBidi" w:hAnsiTheme="minorBidi"/>
                <w:sz w:val="18"/>
                <w:szCs w:val="18"/>
              </w:rPr>
              <w:t>246</w:t>
            </w:r>
          </w:p>
        </w:tc>
        <w:tc>
          <w:tcPr>
            <w:tcW w:w="0" w:type="auto"/>
            <w:tcBorders>
              <w:top w:val="nil"/>
              <w:left w:val="nil"/>
              <w:bottom w:val="nil"/>
              <w:right w:val="single" w:sz="4" w:space="0" w:color="auto"/>
            </w:tcBorders>
            <w:noWrap/>
            <w:vAlign w:val="center"/>
            <w:hideMark/>
          </w:tcPr>
          <w:p w14:paraId="71C424F1" w14:textId="7C77AE9B"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61</w:t>
            </w:r>
            <w:r w:rsidR="009364B5">
              <w:rPr>
                <w:rFonts w:asciiTheme="minorBidi" w:hAnsiTheme="minorBidi"/>
                <w:sz w:val="18"/>
                <w:szCs w:val="18"/>
              </w:rPr>
              <w:t xml:space="preserve"> </w:t>
            </w:r>
            <w:r w:rsidRPr="004F2095">
              <w:rPr>
                <w:rFonts w:asciiTheme="minorBidi" w:hAnsiTheme="minorBidi"/>
                <w:sz w:val="18"/>
                <w:szCs w:val="18"/>
              </w:rPr>
              <w:t>843</w:t>
            </w:r>
          </w:p>
        </w:tc>
        <w:tc>
          <w:tcPr>
            <w:tcW w:w="0" w:type="auto"/>
            <w:tcBorders>
              <w:top w:val="nil"/>
              <w:left w:val="nil"/>
              <w:bottom w:val="nil"/>
              <w:right w:val="nil"/>
            </w:tcBorders>
            <w:noWrap/>
            <w:vAlign w:val="center"/>
            <w:hideMark/>
          </w:tcPr>
          <w:p w14:paraId="0CCA2146" w14:textId="3C174895"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41</w:t>
            </w:r>
            <w:r w:rsidR="009364B5">
              <w:rPr>
                <w:rFonts w:asciiTheme="minorBidi" w:hAnsiTheme="minorBidi"/>
                <w:sz w:val="18"/>
                <w:szCs w:val="18"/>
              </w:rPr>
              <w:t xml:space="preserve"> </w:t>
            </w:r>
            <w:r w:rsidRPr="004F2095">
              <w:rPr>
                <w:rFonts w:asciiTheme="minorBidi" w:hAnsiTheme="minorBidi"/>
                <w:sz w:val="18"/>
                <w:szCs w:val="18"/>
              </w:rPr>
              <w:t>825</w:t>
            </w:r>
          </w:p>
        </w:tc>
        <w:tc>
          <w:tcPr>
            <w:tcW w:w="0" w:type="auto"/>
            <w:tcBorders>
              <w:top w:val="nil"/>
              <w:left w:val="nil"/>
              <w:bottom w:val="nil"/>
              <w:right w:val="nil"/>
            </w:tcBorders>
            <w:noWrap/>
            <w:vAlign w:val="center"/>
            <w:hideMark/>
          </w:tcPr>
          <w:p w14:paraId="416B2750" w14:textId="7FAFCDA0"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8</w:t>
            </w:r>
          </w:p>
        </w:tc>
        <w:tc>
          <w:tcPr>
            <w:tcW w:w="0" w:type="auto"/>
            <w:tcBorders>
              <w:top w:val="nil"/>
              <w:left w:val="nil"/>
              <w:bottom w:val="nil"/>
              <w:right w:val="nil"/>
            </w:tcBorders>
            <w:noWrap/>
            <w:vAlign w:val="center"/>
            <w:hideMark/>
          </w:tcPr>
          <w:p w14:paraId="46CFFA55" w14:textId="46B4F5A7"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77</w:t>
            </w:r>
            <w:r w:rsidR="009364B5">
              <w:rPr>
                <w:rFonts w:asciiTheme="minorBidi" w:hAnsiTheme="minorBidi"/>
                <w:sz w:val="18"/>
                <w:szCs w:val="18"/>
              </w:rPr>
              <w:t xml:space="preserve"> </w:t>
            </w:r>
            <w:r w:rsidRPr="004F2095">
              <w:rPr>
                <w:rFonts w:asciiTheme="minorBidi" w:hAnsiTheme="minorBidi"/>
                <w:sz w:val="18"/>
                <w:szCs w:val="18"/>
              </w:rPr>
              <w:t>223</w:t>
            </w:r>
          </w:p>
        </w:tc>
        <w:tc>
          <w:tcPr>
            <w:tcW w:w="0" w:type="auto"/>
            <w:tcBorders>
              <w:top w:val="nil"/>
              <w:left w:val="nil"/>
              <w:bottom w:val="nil"/>
              <w:right w:val="single" w:sz="4" w:space="0" w:color="auto"/>
            </w:tcBorders>
            <w:noWrap/>
            <w:vAlign w:val="center"/>
            <w:hideMark/>
          </w:tcPr>
          <w:p w14:paraId="33C379A7" w14:textId="16705E0D" w:rsidR="00F72778" w:rsidRPr="004F2095" w:rsidRDefault="00F72778" w:rsidP="004F2095">
            <w:pPr>
              <w:spacing w:before="0" w:after="0" w:line="240" w:lineRule="auto"/>
              <w:jc w:val="right"/>
              <w:rPr>
                <w:rFonts w:asciiTheme="minorBidi" w:hAnsiTheme="minorBidi"/>
                <w:sz w:val="18"/>
                <w:szCs w:val="18"/>
              </w:rPr>
            </w:pPr>
            <w:r w:rsidRPr="004F2095">
              <w:rPr>
                <w:rFonts w:asciiTheme="minorBidi" w:hAnsiTheme="minorBidi"/>
                <w:sz w:val="18"/>
                <w:szCs w:val="18"/>
              </w:rPr>
              <w:t>8</w:t>
            </w:r>
          </w:p>
        </w:tc>
        <w:tc>
          <w:tcPr>
            <w:tcW w:w="0" w:type="auto"/>
            <w:tcBorders>
              <w:top w:val="nil"/>
              <w:left w:val="nil"/>
              <w:bottom w:val="nil"/>
              <w:right w:val="nil"/>
            </w:tcBorders>
            <w:noWrap/>
            <w:vAlign w:val="center"/>
            <w:hideMark/>
          </w:tcPr>
          <w:p w14:paraId="6D1ECF49" w14:textId="77777777" w:rsidR="00F72778" w:rsidRPr="004F2095" w:rsidRDefault="00F72778" w:rsidP="004F2095">
            <w:pPr>
              <w:spacing w:before="0" w:after="0" w:line="240" w:lineRule="auto"/>
              <w:jc w:val="right"/>
              <w:rPr>
                <w:rFonts w:asciiTheme="minorBidi" w:hAnsiTheme="minorBidi"/>
                <w:sz w:val="18"/>
                <w:szCs w:val="18"/>
              </w:rPr>
            </w:pPr>
          </w:p>
        </w:tc>
        <w:tc>
          <w:tcPr>
            <w:tcW w:w="1352" w:type="dxa"/>
            <w:tcBorders>
              <w:top w:val="nil"/>
              <w:left w:val="single" w:sz="4" w:space="0" w:color="auto"/>
              <w:bottom w:val="nil"/>
              <w:right w:val="nil"/>
            </w:tcBorders>
            <w:shd w:val="clear" w:color="auto" w:fill="E5E5E5" w:themeFill="background2" w:themeFillShade="E6"/>
            <w:noWrap/>
            <w:vAlign w:val="center"/>
            <w:hideMark/>
          </w:tcPr>
          <w:p w14:paraId="520318A2" w14:textId="7F8DE498"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119</w:t>
            </w:r>
            <w:r w:rsidR="009364B5">
              <w:rPr>
                <w:rFonts w:asciiTheme="minorBidi" w:hAnsiTheme="minorBidi"/>
                <w:sz w:val="18"/>
                <w:szCs w:val="18"/>
              </w:rPr>
              <w:t xml:space="preserve"> </w:t>
            </w:r>
            <w:r w:rsidRPr="00B54A22">
              <w:rPr>
                <w:rFonts w:asciiTheme="minorBidi" w:hAnsiTheme="minorBidi"/>
                <w:sz w:val="18"/>
                <w:szCs w:val="18"/>
              </w:rPr>
              <w:t>048</w:t>
            </w:r>
          </w:p>
        </w:tc>
        <w:tc>
          <w:tcPr>
            <w:tcW w:w="0" w:type="auto"/>
            <w:tcBorders>
              <w:top w:val="nil"/>
              <w:left w:val="nil"/>
              <w:bottom w:val="nil"/>
              <w:right w:val="single" w:sz="4" w:space="0" w:color="auto"/>
            </w:tcBorders>
            <w:noWrap/>
            <w:vAlign w:val="center"/>
            <w:hideMark/>
          </w:tcPr>
          <w:p w14:paraId="5BD4D518" w14:textId="6FD4D3FD" w:rsidR="00F72778" w:rsidRPr="00B54A22" w:rsidRDefault="00F72778" w:rsidP="004F2095">
            <w:pPr>
              <w:spacing w:before="0" w:after="0" w:line="240" w:lineRule="auto"/>
              <w:jc w:val="right"/>
              <w:rPr>
                <w:rFonts w:asciiTheme="minorBidi" w:hAnsiTheme="minorBidi"/>
                <w:sz w:val="18"/>
                <w:szCs w:val="18"/>
              </w:rPr>
            </w:pPr>
            <w:r w:rsidRPr="00B54A22">
              <w:rPr>
                <w:rFonts w:asciiTheme="minorBidi" w:hAnsiTheme="minorBidi"/>
                <w:sz w:val="18"/>
                <w:szCs w:val="18"/>
              </w:rPr>
              <w:t>8</w:t>
            </w:r>
          </w:p>
        </w:tc>
      </w:tr>
      <w:tr w:rsidR="007964F1" w:rsidRPr="004F2095" w14:paraId="282ECAD1" w14:textId="77777777" w:rsidTr="4A7E2F16">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7C88219" w14:textId="77777777" w:rsidR="00F72778" w:rsidRPr="004F2095" w:rsidRDefault="00F72778" w:rsidP="004F2095">
            <w:pPr>
              <w:spacing w:before="0" w:after="0" w:line="240" w:lineRule="auto"/>
              <w:rPr>
                <w:rFonts w:asciiTheme="minorBidi" w:hAnsiTheme="minorBidi"/>
                <w:b/>
                <w:sz w:val="18"/>
                <w:szCs w:val="18"/>
              </w:rPr>
            </w:pPr>
            <w:r w:rsidRPr="004F2095">
              <w:rPr>
                <w:rFonts w:asciiTheme="minorBidi" w:hAnsiTheme="minorBidi"/>
                <w:b/>
                <w:sz w:val="18"/>
                <w:szCs w:val="18"/>
              </w:rPr>
              <w:t>ööbimised kokku</w:t>
            </w:r>
          </w:p>
        </w:tc>
        <w:tc>
          <w:tcPr>
            <w:tcW w:w="0" w:type="auto"/>
            <w:tcBorders>
              <w:top w:val="single" w:sz="4" w:space="0" w:color="auto"/>
              <w:left w:val="nil"/>
              <w:bottom w:val="single" w:sz="4" w:space="0" w:color="auto"/>
              <w:right w:val="nil"/>
            </w:tcBorders>
            <w:noWrap/>
            <w:vAlign w:val="center"/>
            <w:hideMark/>
          </w:tcPr>
          <w:p w14:paraId="3233B553" w14:textId="47FE0B9A" w:rsidR="00F72778" w:rsidRPr="004F2095" w:rsidRDefault="00F72778" w:rsidP="004F2095">
            <w:pPr>
              <w:spacing w:before="0" w:after="0" w:line="240" w:lineRule="auto"/>
              <w:jc w:val="right"/>
              <w:rPr>
                <w:rFonts w:asciiTheme="minorBidi" w:hAnsiTheme="minorBidi"/>
                <w:b/>
                <w:sz w:val="18"/>
                <w:szCs w:val="18"/>
              </w:rPr>
            </w:pPr>
            <w:r w:rsidRPr="004F2095">
              <w:rPr>
                <w:rFonts w:asciiTheme="minorBidi" w:hAnsiTheme="minorBidi"/>
                <w:b/>
                <w:sz w:val="18"/>
                <w:szCs w:val="18"/>
              </w:rPr>
              <w:t>310</w:t>
            </w:r>
            <w:r w:rsidR="009364B5">
              <w:rPr>
                <w:rFonts w:asciiTheme="minorBidi" w:hAnsiTheme="minorBidi"/>
                <w:b/>
                <w:sz w:val="18"/>
                <w:szCs w:val="18"/>
              </w:rPr>
              <w:t xml:space="preserve"> </w:t>
            </w:r>
            <w:r w:rsidRPr="004F2095">
              <w:rPr>
                <w:rFonts w:asciiTheme="minorBidi" w:hAnsiTheme="minorBidi"/>
                <w:b/>
                <w:sz w:val="18"/>
                <w:szCs w:val="18"/>
              </w:rPr>
              <w:t>889</w:t>
            </w:r>
          </w:p>
        </w:tc>
        <w:tc>
          <w:tcPr>
            <w:tcW w:w="0" w:type="auto"/>
            <w:tcBorders>
              <w:top w:val="single" w:sz="4" w:space="0" w:color="auto"/>
              <w:left w:val="nil"/>
              <w:bottom w:val="single" w:sz="4" w:space="0" w:color="auto"/>
              <w:right w:val="nil"/>
            </w:tcBorders>
            <w:noWrap/>
            <w:vAlign w:val="center"/>
            <w:hideMark/>
          </w:tcPr>
          <w:p w14:paraId="04C00C7E" w14:textId="25B934AB" w:rsidR="00F72778" w:rsidRPr="004F2095" w:rsidRDefault="00F72778" w:rsidP="004F2095">
            <w:pPr>
              <w:spacing w:before="0" w:after="0" w:line="240" w:lineRule="auto"/>
              <w:jc w:val="right"/>
              <w:rPr>
                <w:rFonts w:asciiTheme="minorBidi" w:hAnsiTheme="minorBidi"/>
                <w:b/>
                <w:sz w:val="18"/>
                <w:szCs w:val="18"/>
              </w:rPr>
            </w:pPr>
            <w:r w:rsidRPr="004F2095">
              <w:rPr>
                <w:rFonts w:asciiTheme="minorBidi" w:hAnsiTheme="minorBidi"/>
                <w:b/>
                <w:sz w:val="18"/>
                <w:szCs w:val="18"/>
              </w:rPr>
              <w:t>1</w:t>
            </w:r>
            <w:r w:rsidR="009364B5">
              <w:rPr>
                <w:rFonts w:asciiTheme="minorBidi" w:hAnsiTheme="minorBidi"/>
                <w:b/>
                <w:sz w:val="18"/>
                <w:szCs w:val="18"/>
              </w:rPr>
              <w:t xml:space="preserve"> </w:t>
            </w:r>
            <w:r w:rsidRPr="004F2095">
              <w:rPr>
                <w:rFonts w:asciiTheme="minorBidi" w:hAnsiTheme="minorBidi"/>
                <w:b/>
                <w:sz w:val="18"/>
                <w:szCs w:val="18"/>
              </w:rPr>
              <w:t>212</w:t>
            </w:r>
            <w:r w:rsidR="009364B5">
              <w:rPr>
                <w:rFonts w:asciiTheme="minorBidi" w:hAnsiTheme="minorBidi"/>
                <w:b/>
                <w:sz w:val="18"/>
                <w:szCs w:val="18"/>
              </w:rPr>
              <w:t xml:space="preserve"> </w:t>
            </w:r>
            <w:r w:rsidRPr="004F2095">
              <w:rPr>
                <w:rFonts w:asciiTheme="minorBidi" w:hAnsiTheme="minorBidi"/>
                <w:b/>
                <w:sz w:val="18"/>
                <w:szCs w:val="18"/>
              </w:rPr>
              <w:t>449</w:t>
            </w:r>
          </w:p>
        </w:tc>
        <w:tc>
          <w:tcPr>
            <w:tcW w:w="0" w:type="auto"/>
            <w:tcBorders>
              <w:top w:val="single" w:sz="4" w:space="0" w:color="auto"/>
              <w:left w:val="single" w:sz="4" w:space="0" w:color="auto"/>
              <w:bottom w:val="single" w:sz="4" w:space="0" w:color="auto"/>
              <w:right w:val="nil"/>
            </w:tcBorders>
            <w:noWrap/>
            <w:vAlign w:val="center"/>
            <w:hideMark/>
          </w:tcPr>
          <w:p w14:paraId="56AC015C" w14:textId="53DE38D0" w:rsidR="00F72778" w:rsidRPr="004F2095" w:rsidRDefault="00F72778" w:rsidP="004F2095">
            <w:pPr>
              <w:spacing w:before="0" w:after="0" w:line="240" w:lineRule="auto"/>
              <w:jc w:val="right"/>
              <w:rPr>
                <w:rFonts w:asciiTheme="minorBidi" w:hAnsiTheme="minorBidi"/>
                <w:b/>
                <w:sz w:val="18"/>
                <w:szCs w:val="18"/>
              </w:rPr>
            </w:pPr>
            <w:r w:rsidRPr="004F2095">
              <w:rPr>
                <w:rFonts w:asciiTheme="minorBidi" w:hAnsiTheme="minorBidi"/>
                <w:b/>
                <w:sz w:val="18"/>
                <w:szCs w:val="18"/>
              </w:rPr>
              <w:t>371</w:t>
            </w:r>
            <w:r w:rsidR="009364B5">
              <w:rPr>
                <w:rFonts w:asciiTheme="minorBidi" w:hAnsiTheme="minorBidi"/>
                <w:b/>
                <w:sz w:val="18"/>
                <w:szCs w:val="18"/>
              </w:rPr>
              <w:t xml:space="preserve"> </w:t>
            </w:r>
            <w:r w:rsidRPr="004F2095">
              <w:rPr>
                <w:rFonts w:asciiTheme="minorBidi" w:hAnsiTheme="minorBidi"/>
                <w:b/>
                <w:sz w:val="18"/>
                <w:szCs w:val="18"/>
              </w:rPr>
              <w:t>528</w:t>
            </w:r>
          </w:p>
        </w:tc>
        <w:tc>
          <w:tcPr>
            <w:tcW w:w="0" w:type="auto"/>
            <w:tcBorders>
              <w:top w:val="single" w:sz="4" w:space="0" w:color="auto"/>
              <w:left w:val="nil"/>
              <w:bottom w:val="single" w:sz="4" w:space="0" w:color="auto"/>
              <w:right w:val="single" w:sz="4" w:space="0" w:color="auto"/>
            </w:tcBorders>
            <w:noWrap/>
            <w:vAlign w:val="center"/>
            <w:hideMark/>
          </w:tcPr>
          <w:p w14:paraId="1FBCFA1E" w14:textId="374D6030" w:rsidR="00F72778" w:rsidRPr="004F2095" w:rsidRDefault="00F72778" w:rsidP="004F2095">
            <w:pPr>
              <w:spacing w:before="0" w:after="0" w:line="240" w:lineRule="auto"/>
              <w:jc w:val="right"/>
              <w:rPr>
                <w:rFonts w:asciiTheme="minorBidi" w:hAnsiTheme="minorBidi"/>
                <w:b/>
                <w:sz w:val="18"/>
                <w:szCs w:val="18"/>
              </w:rPr>
            </w:pPr>
            <w:r w:rsidRPr="004F2095">
              <w:rPr>
                <w:rFonts w:asciiTheme="minorBidi" w:hAnsiTheme="minorBidi"/>
                <w:b/>
                <w:sz w:val="18"/>
                <w:szCs w:val="18"/>
              </w:rPr>
              <w:t>434</w:t>
            </w:r>
            <w:r w:rsidR="009364B5">
              <w:rPr>
                <w:rFonts w:asciiTheme="minorBidi" w:hAnsiTheme="minorBidi"/>
                <w:b/>
                <w:sz w:val="18"/>
                <w:szCs w:val="18"/>
              </w:rPr>
              <w:t xml:space="preserve"> </w:t>
            </w:r>
            <w:r w:rsidRPr="004F2095">
              <w:rPr>
                <w:rFonts w:asciiTheme="minorBidi" w:hAnsiTheme="minorBidi"/>
                <w:b/>
                <w:sz w:val="18"/>
                <w:szCs w:val="18"/>
              </w:rPr>
              <w:t>563</w:t>
            </w:r>
          </w:p>
        </w:tc>
        <w:tc>
          <w:tcPr>
            <w:tcW w:w="0" w:type="auto"/>
            <w:tcBorders>
              <w:top w:val="single" w:sz="4" w:space="0" w:color="auto"/>
              <w:left w:val="nil"/>
              <w:bottom w:val="single" w:sz="4" w:space="0" w:color="auto"/>
              <w:right w:val="nil"/>
            </w:tcBorders>
            <w:noWrap/>
            <w:vAlign w:val="center"/>
            <w:hideMark/>
          </w:tcPr>
          <w:p w14:paraId="2FD4269E" w14:textId="17B00850" w:rsidR="00F72778" w:rsidRPr="004F2095" w:rsidRDefault="00F72778" w:rsidP="004F2095">
            <w:pPr>
              <w:spacing w:before="0" w:after="0" w:line="240" w:lineRule="auto"/>
              <w:jc w:val="right"/>
              <w:rPr>
                <w:rFonts w:asciiTheme="minorBidi" w:hAnsiTheme="minorBidi"/>
                <w:b/>
                <w:sz w:val="18"/>
                <w:szCs w:val="18"/>
              </w:rPr>
            </w:pPr>
            <w:r w:rsidRPr="004F2095">
              <w:rPr>
                <w:rFonts w:asciiTheme="minorBidi" w:hAnsiTheme="minorBidi"/>
                <w:b/>
                <w:sz w:val="18"/>
                <w:szCs w:val="18"/>
              </w:rPr>
              <w:t>478</w:t>
            </w:r>
            <w:r w:rsidR="009364B5">
              <w:rPr>
                <w:rFonts w:asciiTheme="minorBidi" w:hAnsiTheme="minorBidi"/>
                <w:b/>
                <w:sz w:val="18"/>
                <w:szCs w:val="18"/>
              </w:rPr>
              <w:t xml:space="preserve"> </w:t>
            </w:r>
            <w:r w:rsidRPr="004F2095">
              <w:rPr>
                <w:rFonts w:asciiTheme="minorBidi" w:hAnsiTheme="minorBidi"/>
                <w:b/>
                <w:sz w:val="18"/>
                <w:szCs w:val="18"/>
              </w:rPr>
              <w:t>494</w:t>
            </w:r>
          </w:p>
        </w:tc>
        <w:tc>
          <w:tcPr>
            <w:tcW w:w="0" w:type="auto"/>
            <w:tcBorders>
              <w:top w:val="single" w:sz="4" w:space="0" w:color="auto"/>
              <w:left w:val="nil"/>
              <w:bottom w:val="single" w:sz="4" w:space="0" w:color="auto"/>
              <w:right w:val="nil"/>
            </w:tcBorders>
            <w:noWrap/>
            <w:vAlign w:val="center"/>
            <w:hideMark/>
          </w:tcPr>
          <w:p w14:paraId="78DA4D71" w14:textId="23B6BF0D" w:rsidR="00F72778" w:rsidRPr="004F2095" w:rsidRDefault="00F72778" w:rsidP="004F2095">
            <w:pPr>
              <w:spacing w:before="0" w:after="0" w:line="240" w:lineRule="auto"/>
              <w:jc w:val="right"/>
              <w:rPr>
                <w:rFonts w:asciiTheme="minorBidi" w:hAnsiTheme="minorBidi"/>
                <w:b/>
                <w:sz w:val="18"/>
                <w:szCs w:val="18"/>
              </w:rPr>
            </w:pPr>
            <w:r w:rsidRPr="004F2095">
              <w:rPr>
                <w:rFonts w:asciiTheme="minorBidi" w:hAnsiTheme="minorBidi"/>
                <w:b/>
                <w:sz w:val="18"/>
                <w:szCs w:val="18"/>
              </w:rPr>
              <w:t>369</w:t>
            </w:r>
            <w:r w:rsidR="009364B5">
              <w:rPr>
                <w:rFonts w:asciiTheme="minorBidi" w:hAnsiTheme="minorBidi"/>
                <w:b/>
                <w:sz w:val="18"/>
                <w:szCs w:val="18"/>
              </w:rPr>
              <w:t xml:space="preserve"> </w:t>
            </w:r>
            <w:r w:rsidRPr="004F2095">
              <w:rPr>
                <w:rFonts w:asciiTheme="minorBidi" w:hAnsiTheme="minorBidi"/>
                <w:b/>
                <w:sz w:val="18"/>
                <w:szCs w:val="18"/>
              </w:rPr>
              <w:t>022</w:t>
            </w:r>
          </w:p>
        </w:tc>
        <w:tc>
          <w:tcPr>
            <w:tcW w:w="0" w:type="auto"/>
            <w:tcBorders>
              <w:top w:val="single" w:sz="4" w:space="0" w:color="auto"/>
              <w:left w:val="single" w:sz="4" w:space="0" w:color="auto"/>
              <w:bottom w:val="single" w:sz="4" w:space="0" w:color="auto"/>
              <w:right w:val="nil"/>
            </w:tcBorders>
            <w:noWrap/>
            <w:vAlign w:val="center"/>
            <w:hideMark/>
          </w:tcPr>
          <w:p w14:paraId="69D9E448" w14:textId="128F7AF2" w:rsidR="00F72778" w:rsidRPr="004F2095" w:rsidRDefault="00F72778" w:rsidP="004F2095">
            <w:pPr>
              <w:spacing w:before="0" w:after="0" w:line="240" w:lineRule="auto"/>
              <w:jc w:val="right"/>
              <w:rPr>
                <w:rFonts w:asciiTheme="minorBidi" w:hAnsiTheme="minorBidi"/>
                <w:b/>
                <w:sz w:val="18"/>
                <w:szCs w:val="18"/>
              </w:rPr>
            </w:pPr>
            <w:r w:rsidRPr="004F2095">
              <w:rPr>
                <w:rFonts w:asciiTheme="minorBidi" w:hAnsiTheme="minorBidi"/>
                <w:b/>
                <w:sz w:val="18"/>
                <w:szCs w:val="18"/>
              </w:rPr>
              <w:t>502</w:t>
            </w:r>
            <w:r w:rsidR="009364B5">
              <w:rPr>
                <w:rFonts w:asciiTheme="minorBidi" w:hAnsiTheme="minorBidi"/>
                <w:b/>
                <w:sz w:val="18"/>
                <w:szCs w:val="18"/>
              </w:rPr>
              <w:t xml:space="preserve"> </w:t>
            </w:r>
            <w:r w:rsidRPr="004F2095">
              <w:rPr>
                <w:rFonts w:asciiTheme="minorBidi" w:hAnsiTheme="minorBidi"/>
                <w:b/>
                <w:sz w:val="18"/>
                <w:szCs w:val="18"/>
              </w:rPr>
              <w:t>758</w:t>
            </w:r>
          </w:p>
        </w:tc>
        <w:tc>
          <w:tcPr>
            <w:tcW w:w="0" w:type="auto"/>
            <w:tcBorders>
              <w:top w:val="single" w:sz="4" w:space="0" w:color="auto"/>
              <w:left w:val="nil"/>
              <w:bottom w:val="single" w:sz="4" w:space="0" w:color="auto"/>
              <w:right w:val="single" w:sz="4" w:space="0" w:color="auto"/>
            </w:tcBorders>
            <w:noWrap/>
            <w:vAlign w:val="center"/>
            <w:hideMark/>
          </w:tcPr>
          <w:p w14:paraId="67177E4A" w14:textId="44FAE200" w:rsidR="00F72778" w:rsidRPr="004F2095" w:rsidRDefault="00F72778" w:rsidP="004F2095">
            <w:pPr>
              <w:spacing w:before="0" w:after="0" w:line="240" w:lineRule="auto"/>
              <w:jc w:val="right"/>
              <w:rPr>
                <w:rFonts w:asciiTheme="minorBidi" w:hAnsiTheme="minorBidi"/>
                <w:b/>
                <w:sz w:val="18"/>
                <w:szCs w:val="18"/>
              </w:rPr>
            </w:pPr>
            <w:r w:rsidRPr="004F2095">
              <w:rPr>
                <w:rFonts w:asciiTheme="minorBidi" w:hAnsiTheme="minorBidi"/>
                <w:b/>
                <w:sz w:val="18"/>
                <w:szCs w:val="18"/>
              </w:rPr>
              <w:t>783</w:t>
            </w:r>
            <w:r w:rsidR="009364B5">
              <w:rPr>
                <w:rFonts w:asciiTheme="minorBidi" w:hAnsiTheme="minorBidi"/>
                <w:b/>
                <w:sz w:val="18"/>
                <w:szCs w:val="18"/>
              </w:rPr>
              <w:t xml:space="preserve"> </w:t>
            </w:r>
            <w:r w:rsidRPr="004F2095">
              <w:rPr>
                <w:rFonts w:asciiTheme="minorBidi" w:hAnsiTheme="minorBidi"/>
                <w:b/>
                <w:sz w:val="18"/>
                <w:szCs w:val="18"/>
              </w:rPr>
              <w:t>443</w:t>
            </w:r>
          </w:p>
        </w:tc>
        <w:tc>
          <w:tcPr>
            <w:tcW w:w="0" w:type="auto"/>
            <w:tcBorders>
              <w:top w:val="single" w:sz="4" w:space="0" w:color="auto"/>
              <w:left w:val="nil"/>
              <w:bottom w:val="single" w:sz="4" w:space="0" w:color="auto"/>
              <w:right w:val="nil"/>
            </w:tcBorders>
            <w:noWrap/>
            <w:vAlign w:val="center"/>
            <w:hideMark/>
          </w:tcPr>
          <w:p w14:paraId="0B54B873" w14:textId="59787308" w:rsidR="00F72778" w:rsidRPr="004F2095" w:rsidRDefault="00F72778" w:rsidP="004F2095">
            <w:pPr>
              <w:spacing w:before="0" w:after="0" w:line="240" w:lineRule="auto"/>
              <w:jc w:val="right"/>
              <w:rPr>
                <w:rFonts w:asciiTheme="minorBidi" w:hAnsiTheme="minorBidi"/>
                <w:b/>
                <w:sz w:val="18"/>
                <w:szCs w:val="18"/>
              </w:rPr>
            </w:pPr>
            <w:r w:rsidRPr="004F2095">
              <w:rPr>
                <w:rFonts w:asciiTheme="minorBidi" w:hAnsiTheme="minorBidi"/>
                <w:b/>
                <w:sz w:val="18"/>
                <w:szCs w:val="18"/>
              </w:rPr>
              <w:t>514</w:t>
            </w:r>
            <w:r w:rsidR="009364B5">
              <w:rPr>
                <w:rFonts w:asciiTheme="minorBidi" w:hAnsiTheme="minorBidi"/>
                <w:b/>
                <w:sz w:val="18"/>
                <w:szCs w:val="18"/>
              </w:rPr>
              <w:t xml:space="preserve"> </w:t>
            </w:r>
            <w:r w:rsidRPr="004F2095">
              <w:rPr>
                <w:rFonts w:asciiTheme="minorBidi" w:hAnsiTheme="minorBidi"/>
                <w:b/>
                <w:sz w:val="18"/>
                <w:szCs w:val="18"/>
              </w:rPr>
              <w:t>517</w:t>
            </w:r>
          </w:p>
        </w:tc>
        <w:tc>
          <w:tcPr>
            <w:tcW w:w="0" w:type="auto"/>
            <w:tcBorders>
              <w:top w:val="single" w:sz="4" w:space="0" w:color="auto"/>
              <w:left w:val="nil"/>
              <w:bottom w:val="single" w:sz="4" w:space="0" w:color="auto"/>
              <w:right w:val="nil"/>
            </w:tcBorders>
            <w:noWrap/>
            <w:vAlign w:val="center"/>
            <w:hideMark/>
          </w:tcPr>
          <w:p w14:paraId="4C34C5E7" w14:textId="77777777" w:rsidR="00F72778" w:rsidRPr="004F2095" w:rsidRDefault="00F72778" w:rsidP="004F2095">
            <w:pPr>
              <w:spacing w:before="0" w:after="0" w:line="240" w:lineRule="auto"/>
              <w:jc w:val="right"/>
              <w:rPr>
                <w:rFonts w:asciiTheme="minorBidi" w:hAnsiTheme="minorBidi"/>
                <w:b/>
                <w:sz w:val="18"/>
                <w:szCs w:val="18"/>
              </w:rPr>
            </w:pPr>
            <w:r w:rsidRPr="004F2095">
              <w:rPr>
                <w:rFonts w:asciiTheme="minorBidi" w:hAnsiTheme="minorBidi"/>
                <w:b/>
                <w:sz w:val="18"/>
                <w:szCs w:val="18"/>
              </w:rPr>
              <w:t> </w:t>
            </w:r>
          </w:p>
        </w:tc>
        <w:tc>
          <w:tcPr>
            <w:tcW w:w="0" w:type="auto"/>
            <w:tcBorders>
              <w:top w:val="single" w:sz="4" w:space="0" w:color="auto"/>
              <w:left w:val="nil"/>
              <w:bottom w:val="single" w:sz="4" w:space="0" w:color="auto"/>
              <w:right w:val="nil"/>
            </w:tcBorders>
            <w:noWrap/>
            <w:vAlign w:val="center"/>
            <w:hideMark/>
          </w:tcPr>
          <w:p w14:paraId="1F991C9E" w14:textId="00230571" w:rsidR="00F72778" w:rsidRPr="004F2095" w:rsidRDefault="00F72778" w:rsidP="004F2095">
            <w:pPr>
              <w:spacing w:before="0" w:after="0" w:line="240" w:lineRule="auto"/>
              <w:jc w:val="right"/>
              <w:rPr>
                <w:rFonts w:asciiTheme="minorBidi" w:hAnsiTheme="minorBidi"/>
                <w:b/>
                <w:sz w:val="18"/>
                <w:szCs w:val="18"/>
              </w:rPr>
            </w:pPr>
            <w:r w:rsidRPr="004F2095">
              <w:rPr>
                <w:rFonts w:asciiTheme="minorBidi" w:hAnsiTheme="minorBidi"/>
                <w:b/>
                <w:sz w:val="18"/>
                <w:szCs w:val="18"/>
              </w:rPr>
              <w:t>967</w:t>
            </w:r>
            <w:r w:rsidR="009364B5">
              <w:rPr>
                <w:rFonts w:asciiTheme="minorBidi" w:hAnsiTheme="minorBidi"/>
                <w:b/>
                <w:sz w:val="18"/>
                <w:szCs w:val="18"/>
              </w:rPr>
              <w:t xml:space="preserve"> </w:t>
            </w:r>
            <w:r w:rsidRPr="004F2095">
              <w:rPr>
                <w:rFonts w:asciiTheme="minorBidi" w:hAnsiTheme="minorBidi"/>
                <w:b/>
                <w:sz w:val="18"/>
                <w:szCs w:val="18"/>
              </w:rPr>
              <w:t>710</w:t>
            </w:r>
          </w:p>
        </w:tc>
        <w:tc>
          <w:tcPr>
            <w:tcW w:w="0" w:type="auto"/>
            <w:tcBorders>
              <w:top w:val="single" w:sz="4" w:space="0" w:color="auto"/>
              <w:left w:val="nil"/>
              <w:bottom w:val="single" w:sz="4" w:space="0" w:color="auto"/>
              <w:right w:val="single" w:sz="4" w:space="0" w:color="auto"/>
            </w:tcBorders>
            <w:noWrap/>
            <w:vAlign w:val="center"/>
            <w:hideMark/>
          </w:tcPr>
          <w:p w14:paraId="4FEB89E0" w14:textId="77777777" w:rsidR="00F72778" w:rsidRPr="004F2095" w:rsidRDefault="00F72778" w:rsidP="004F2095">
            <w:pPr>
              <w:spacing w:before="0" w:after="0" w:line="240" w:lineRule="auto"/>
              <w:jc w:val="right"/>
              <w:rPr>
                <w:rFonts w:asciiTheme="minorBidi" w:hAnsiTheme="minorBidi"/>
                <w:b/>
                <w:sz w:val="18"/>
                <w:szCs w:val="18"/>
              </w:rPr>
            </w:pPr>
            <w:r w:rsidRPr="004F2095">
              <w:rPr>
                <w:rFonts w:asciiTheme="minorBidi" w:hAnsiTheme="minorBidi"/>
                <w:b/>
                <w:sz w:val="18"/>
                <w:szCs w:val="18"/>
              </w:rPr>
              <w:t> </w:t>
            </w:r>
          </w:p>
        </w:tc>
        <w:tc>
          <w:tcPr>
            <w:tcW w:w="0" w:type="auto"/>
            <w:tcBorders>
              <w:top w:val="single" w:sz="4" w:space="0" w:color="auto"/>
              <w:left w:val="nil"/>
              <w:bottom w:val="single" w:sz="4" w:space="0" w:color="auto"/>
              <w:right w:val="nil"/>
            </w:tcBorders>
            <w:noWrap/>
            <w:vAlign w:val="center"/>
            <w:hideMark/>
          </w:tcPr>
          <w:p w14:paraId="1A154439" w14:textId="77777777" w:rsidR="00F72778" w:rsidRPr="004F2095" w:rsidRDefault="00F72778" w:rsidP="004F2095">
            <w:pPr>
              <w:spacing w:before="0" w:after="0" w:line="240" w:lineRule="auto"/>
              <w:jc w:val="right"/>
              <w:rPr>
                <w:rFonts w:asciiTheme="minorBidi" w:hAnsiTheme="minorBidi"/>
                <w:b/>
                <w:color w:val="FF0000"/>
                <w:sz w:val="18"/>
                <w:szCs w:val="18"/>
              </w:rPr>
            </w:pPr>
            <w:r w:rsidRPr="004F2095">
              <w:rPr>
                <w:rFonts w:asciiTheme="minorBidi" w:hAnsiTheme="minorBidi"/>
                <w:b/>
                <w:color w:val="FF0000"/>
                <w:sz w:val="18"/>
                <w:szCs w:val="18"/>
              </w:rPr>
              <w:t> </w:t>
            </w:r>
          </w:p>
        </w:tc>
        <w:tc>
          <w:tcPr>
            <w:tcW w:w="1352" w:type="dxa"/>
            <w:tcBorders>
              <w:top w:val="single" w:sz="4" w:space="0" w:color="auto"/>
              <w:left w:val="single" w:sz="4" w:space="0" w:color="auto"/>
              <w:bottom w:val="single" w:sz="4" w:space="0" w:color="auto"/>
              <w:right w:val="nil"/>
            </w:tcBorders>
            <w:shd w:val="clear" w:color="auto" w:fill="E5E5E5" w:themeFill="background2" w:themeFillShade="E6"/>
            <w:noWrap/>
            <w:vAlign w:val="center"/>
            <w:hideMark/>
          </w:tcPr>
          <w:p w14:paraId="3CE6FD1F" w14:textId="7F056AEE" w:rsidR="00F72778" w:rsidRPr="00B54A22" w:rsidRDefault="00F72778" w:rsidP="004F2095">
            <w:pPr>
              <w:spacing w:before="0" w:after="0" w:line="240" w:lineRule="auto"/>
              <w:jc w:val="right"/>
              <w:rPr>
                <w:rFonts w:asciiTheme="minorBidi" w:hAnsiTheme="minorBidi"/>
                <w:b/>
                <w:bCs/>
                <w:sz w:val="18"/>
                <w:szCs w:val="18"/>
              </w:rPr>
            </w:pPr>
            <w:r w:rsidRPr="00B54A22">
              <w:rPr>
                <w:rFonts w:asciiTheme="minorBidi" w:hAnsiTheme="minorBidi"/>
                <w:b/>
                <w:bCs/>
                <w:sz w:val="18"/>
                <w:szCs w:val="18"/>
              </w:rPr>
              <w:t>1</w:t>
            </w:r>
            <w:r w:rsidR="009364B5">
              <w:rPr>
                <w:rFonts w:asciiTheme="minorBidi" w:hAnsiTheme="minorBidi"/>
                <w:b/>
                <w:bCs/>
                <w:sz w:val="18"/>
                <w:szCs w:val="18"/>
              </w:rPr>
              <w:t xml:space="preserve"> </w:t>
            </w:r>
            <w:r w:rsidRPr="00B54A22">
              <w:rPr>
                <w:rFonts w:asciiTheme="minorBidi" w:hAnsiTheme="minorBidi"/>
                <w:b/>
                <w:bCs/>
                <w:sz w:val="18"/>
                <w:szCs w:val="18"/>
              </w:rPr>
              <w:t>482</w:t>
            </w:r>
            <w:r w:rsidR="009364B5">
              <w:rPr>
                <w:rFonts w:asciiTheme="minorBidi" w:hAnsiTheme="minorBidi"/>
                <w:b/>
                <w:bCs/>
                <w:sz w:val="18"/>
                <w:szCs w:val="18"/>
              </w:rPr>
              <w:t xml:space="preserve"> </w:t>
            </w:r>
            <w:r w:rsidRPr="00B54A22">
              <w:rPr>
                <w:rFonts w:asciiTheme="minorBidi" w:hAnsiTheme="minorBidi"/>
                <w:b/>
                <w:bCs/>
                <w:sz w:val="18"/>
                <w:szCs w:val="18"/>
              </w:rPr>
              <w:t>227</w:t>
            </w:r>
          </w:p>
        </w:tc>
        <w:tc>
          <w:tcPr>
            <w:tcW w:w="0" w:type="auto"/>
            <w:tcBorders>
              <w:top w:val="single" w:sz="4" w:space="0" w:color="auto"/>
              <w:left w:val="nil"/>
              <w:bottom w:val="single" w:sz="4" w:space="0" w:color="auto"/>
              <w:right w:val="single" w:sz="4" w:space="0" w:color="auto"/>
            </w:tcBorders>
            <w:noWrap/>
            <w:vAlign w:val="center"/>
            <w:hideMark/>
          </w:tcPr>
          <w:p w14:paraId="048973DE" w14:textId="77777777" w:rsidR="00F72778" w:rsidRPr="00B54A22" w:rsidRDefault="00F72778" w:rsidP="004F2095">
            <w:pPr>
              <w:spacing w:before="0" w:after="0" w:line="240" w:lineRule="auto"/>
              <w:jc w:val="right"/>
              <w:rPr>
                <w:rFonts w:asciiTheme="minorBidi" w:hAnsiTheme="minorBidi"/>
                <w:b/>
                <w:bCs/>
                <w:sz w:val="18"/>
                <w:szCs w:val="18"/>
              </w:rPr>
            </w:pPr>
            <w:r w:rsidRPr="00B54A22">
              <w:rPr>
                <w:rFonts w:asciiTheme="minorBidi" w:hAnsiTheme="minorBidi"/>
                <w:b/>
                <w:bCs/>
                <w:sz w:val="18"/>
                <w:szCs w:val="18"/>
              </w:rPr>
              <w:t> </w:t>
            </w:r>
          </w:p>
        </w:tc>
      </w:tr>
    </w:tbl>
    <w:p w14:paraId="290BF38F" w14:textId="242BA456" w:rsidR="00F72778" w:rsidRPr="00E14EBC" w:rsidRDefault="00F72778" w:rsidP="00F72778">
      <w:pPr>
        <w:pStyle w:val="BottomCaption"/>
      </w:pPr>
      <w:r w:rsidRPr="00E14EBC">
        <w:t>Allikas: Eurostat</w:t>
      </w:r>
    </w:p>
    <w:p w14:paraId="4A8B71DE" w14:textId="77777777" w:rsidR="00F72778" w:rsidRPr="00E14EBC" w:rsidRDefault="00F72778" w:rsidP="00F72778">
      <w:pPr>
        <w:spacing w:line="259" w:lineRule="auto"/>
      </w:pPr>
    </w:p>
    <w:p w14:paraId="629C1EF9" w14:textId="77777777" w:rsidR="00F72778" w:rsidRPr="00E14EBC" w:rsidRDefault="00F72778" w:rsidP="00F72778">
      <w:pPr>
        <w:rPr>
          <w:rFonts w:ascii="Arial" w:eastAsia="Arial" w:hAnsi="Arial" w:cs="Arial"/>
          <w:szCs w:val="24"/>
        </w:rPr>
      </w:pPr>
    </w:p>
    <w:p w14:paraId="01E1E748" w14:textId="77777777" w:rsidR="00F72778" w:rsidRPr="00E14EBC" w:rsidRDefault="00F72778" w:rsidP="00F72778">
      <w:pPr>
        <w:rPr>
          <w:rFonts w:ascii="Arial" w:eastAsia="Arial" w:hAnsi="Arial" w:cs="Arial"/>
          <w:szCs w:val="24"/>
        </w:rPr>
      </w:pPr>
    </w:p>
    <w:p w14:paraId="02767F9D" w14:textId="77777777" w:rsidR="00F72778" w:rsidRPr="00E14EBC" w:rsidRDefault="00F72778" w:rsidP="00F72778">
      <w:pPr>
        <w:rPr>
          <w:rFonts w:ascii="Arial" w:eastAsia="Arial" w:hAnsi="Arial" w:cs="Arial"/>
          <w:szCs w:val="24"/>
        </w:rPr>
      </w:pPr>
    </w:p>
    <w:p w14:paraId="0A869C22" w14:textId="77777777" w:rsidR="00F72778" w:rsidRPr="00E14EBC" w:rsidRDefault="00F72778" w:rsidP="00F72778">
      <w:pPr>
        <w:rPr>
          <w:rFonts w:ascii="Arial" w:eastAsia="Arial" w:hAnsi="Arial" w:cs="Arial"/>
          <w:szCs w:val="24"/>
        </w:rPr>
      </w:pPr>
    </w:p>
    <w:p w14:paraId="7857283B" w14:textId="77777777" w:rsidR="00F72778" w:rsidRDefault="00F72778" w:rsidP="00F72778">
      <w:pPr>
        <w:spacing w:line="259" w:lineRule="auto"/>
        <w:rPr>
          <w:iCs/>
          <w:color w:val="82009B" w:themeColor="accent6"/>
          <w:szCs w:val="18"/>
        </w:rPr>
      </w:pPr>
      <w:r>
        <w:br w:type="page"/>
      </w:r>
    </w:p>
    <w:p w14:paraId="6DD0AB99" w14:textId="3A78D05A" w:rsidR="00F72778" w:rsidRPr="00E14EBC" w:rsidRDefault="00F72778" w:rsidP="00F72778">
      <w:pPr>
        <w:pStyle w:val="Caption"/>
      </w:pPr>
      <w:r w:rsidRPr="00E14EBC">
        <w:lastRenderedPageBreak/>
        <w:t xml:space="preserve">Tabel </w:t>
      </w:r>
      <w:r>
        <w:t>30</w:t>
      </w:r>
      <w:r w:rsidRPr="00E14EBC">
        <w:t>: Majutatute ja ööbimiste arv ja muutus 2019–2023 majutusettevõtetes, maakonniti, 2019–2023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1017"/>
        <w:gridCol w:w="1017"/>
        <w:gridCol w:w="1017"/>
        <w:gridCol w:w="1017"/>
        <w:gridCol w:w="1017"/>
        <w:gridCol w:w="222"/>
        <w:gridCol w:w="877"/>
        <w:gridCol w:w="222"/>
        <w:gridCol w:w="1017"/>
        <w:gridCol w:w="1017"/>
        <w:gridCol w:w="1017"/>
        <w:gridCol w:w="1017"/>
        <w:gridCol w:w="1017"/>
        <w:gridCol w:w="222"/>
        <w:gridCol w:w="877"/>
      </w:tblGrid>
      <w:tr w:rsidR="00F72778" w:rsidRPr="00B7352C" w14:paraId="11850813" w14:textId="77777777" w:rsidTr="4A7E2F16">
        <w:trPr>
          <w:trHeight w:val="380"/>
        </w:trPr>
        <w:tc>
          <w:tcPr>
            <w:tcW w:w="0" w:type="auto"/>
            <w:noWrap/>
            <w:vAlign w:val="center"/>
            <w:hideMark/>
          </w:tcPr>
          <w:p w14:paraId="5A627FA7" w14:textId="77777777" w:rsidR="00F72778" w:rsidRPr="00B7352C" w:rsidRDefault="00F72778" w:rsidP="00C64D6D">
            <w:pPr>
              <w:spacing w:before="0" w:after="0" w:line="240" w:lineRule="auto"/>
              <w:rPr>
                <w:rFonts w:asciiTheme="minorBidi" w:hAnsiTheme="minorBidi"/>
                <w:sz w:val="18"/>
                <w:szCs w:val="18"/>
              </w:rPr>
            </w:pPr>
          </w:p>
        </w:tc>
        <w:tc>
          <w:tcPr>
            <w:tcW w:w="0" w:type="auto"/>
            <w:gridSpan w:val="7"/>
            <w:noWrap/>
            <w:vAlign w:val="center"/>
            <w:hideMark/>
          </w:tcPr>
          <w:p w14:paraId="0FC801A3" w14:textId="77777777" w:rsidR="00F72778" w:rsidRPr="00B7352C" w:rsidRDefault="00F72778" w:rsidP="00C64D6D">
            <w:pPr>
              <w:spacing w:before="0" w:after="0" w:line="240" w:lineRule="auto"/>
              <w:jc w:val="center"/>
              <w:rPr>
                <w:rFonts w:asciiTheme="minorBidi" w:hAnsiTheme="minorBidi"/>
                <w:b/>
                <w:sz w:val="18"/>
                <w:szCs w:val="18"/>
              </w:rPr>
            </w:pPr>
            <w:r w:rsidRPr="00B7352C">
              <w:rPr>
                <w:rFonts w:asciiTheme="minorBidi" w:hAnsiTheme="minorBidi"/>
                <w:b/>
                <w:color w:val="000000"/>
                <w:sz w:val="18"/>
                <w:szCs w:val="18"/>
              </w:rPr>
              <w:t>Majutatute arv majutusettevõtetes</w:t>
            </w:r>
          </w:p>
        </w:tc>
        <w:tc>
          <w:tcPr>
            <w:tcW w:w="0" w:type="auto"/>
            <w:noWrap/>
            <w:vAlign w:val="center"/>
            <w:hideMark/>
          </w:tcPr>
          <w:p w14:paraId="06F38723" w14:textId="77777777" w:rsidR="00F72778" w:rsidRPr="00B7352C" w:rsidRDefault="00F72778" w:rsidP="00C64D6D">
            <w:pPr>
              <w:spacing w:before="0" w:after="0" w:line="240" w:lineRule="auto"/>
              <w:jc w:val="center"/>
              <w:rPr>
                <w:rFonts w:asciiTheme="minorBidi" w:hAnsiTheme="minorBidi"/>
                <w:b/>
                <w:sz w:val="18"/>
                <w:szCs w:val="18"/>
              </w:rPr>
            </w:pPr>
          </w:p>
        </w:tc>
        <w:tc>
          <w:tcPr>
            <w:tcW w:w="0" w:type="auto"/>
            <w:gridSpan w:val="7"/>
            <w:noWrap/>
            <w:vAlign w:val="center"/>
            <w:hideMark/>
          </w:tcPr>
          <w:p w14:paraId="4793F0AD" w14:textId="77777777" w:rsidR="00F72778" w:rsidRPr="00B7352C" w:rsidRDefault="00F72778" w:rsidP="00C64D6D">
            <w:pPr>
              <w:spacing w:before="0" w:after="0" w:line="240" w:lineRule="auto"/>
              <w:jc w:val="center"/>
              <w:rPr>
                <w:rFonts w:asciiTheme="minorBidi" w:hAnsiTheme="minorBidi"/>
                <w:b/>
                <w:sz w:val="18"/>
                <w:szCs w:val="18"/>
              </w:rPr>
            </w:pPr>
            <w:r w:rsidRPr="00B7352C">
              <w:rPr>
                <w:rFonts w:asciiTheme="minorBidi" w:hAnsiTheme="minorBidi"/>
                <w:b/>
                <w:color w:val="000000"/>
                <w:sz w:val="18"/>
                <w:szCs w:val="18"/>
              </w:rPr>
              <w:t>Ööbimiste arv majutusettevõtetes</w:t>
            </w:r>
          </w:p>
        </w:tc>
      </w:tr>
      <w:tr w:rsidR="00B54A22" w:rsidRPr="00B7352C" w14:paraId="332A1830" w14:textId="77777777" w:rsidTr="00B54A22">
        <w:trPr>
          <w:trHeight w:val="300"/>
        </w:trPr>
        <w:tc>
          <w:tcPr>
            <w:tcW w:w="0" w:type="auto"/>
            <w:noWrap/>
            <w:vAlign w:val="center"/>
            <w:hideMark/>
          </w:tcPr>
          <w:p w14:paraId="3793719B" w14:textId="77777777" w:rsidR="00F72778" w:rsidRPr="00B7352C" w:rsidRDefault="00F72778" w:rsidP="00641089">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Maakond</w:t>
            </w:r>
          </w:p>
        </w:tc>
        <w:tc>
          <w:tcPr>
            <w:tcW w:w="0" w:type="auto"/>
            <w:noWrap/>
            <w:vAlign w:val="center"/>
            <w:hideMark/>
          </w:tcPr>
          <w:p w14:paraId="2E7A23B2" w14:textId="77777777" w:rsidR="00F72778" w:rsidRPr="00B7352C" w:rsidRDefault="00F72778" w:rsidP="00C64D6D">
            <w:pPr>
              <w:spacing w:before="0" w:after="0" w:line="240" w:lineRule="auto"/>
              <w:jc w:val="center"/>
              <w:rPr>
                <w:rFonts w:asciiTheme="minorBidi" w:hAnsiTheme="minorBidi"/>
                <w:color w:val="000000"/>
                <w:sz w:val="18"/>
                <w:szCs w:val="18"/>
              </w:rPr>
            </w:pPr>
            <w:r w:rsidRPr="00B7352C">
              <w:rPr>
                <w:rFonts w:asciiTheme="minorBidi" w:hAnsiTheme="minorBidi"/>
                <w:color w:val="000000"/>
                <w:sz w:val="18"/>
                <w:szCs w:val="18"/>
              </w:rPr>
              <w:t>2019</w:t>
            </w:r>
          </w:p>
        </w:tc>
        <w:tc>
          <w:tcPr>
            <w:tcW w:w="0" w:type="auto"/>
            <w:noWrap/>
            <w:vAlign w:val="center"/>
            <w:hideMark/>
          </w:tcPr>
          <w:p w14:paraId="1EB83C15" w14:textId="77777777" w:rsidR="00F72778" w:rsidRPr="00B7352C" w:rsidRDefault="00F72778" w:rsidP="00C64D6D">
            <w:pPr>
              <w:spacing w:before="0" w:after="0" w:line="240" w:lineRule="auto"/>
              <w:jc w:val="center"/>
              <w:rPr>
                <w:rFonts w:asciiTheme="minorBidi" w:hAnsiTheme="minorBidi"/>
                <w:color w:val="000000"/>
                <w:sz w:val="18"/>
                <w:szCs w:val="18"/>
              </w:rPr>
            </w:pPr>
            <w:r w:rsidRPr="00B7352C">
              <w:rPr>
                <w:rFonts w:asciiTheme="minorBidi" w:hAnsiTheme="minorBidi"/>
                <w:color w:val="000000"/>
                <w:sz w:val="18"/>
                <w:szCs w:val="18"/>
              </w:rPr>
              <w:t>2020</w:t>
            </w:r>
          </w:p>
        </w:tc>
        <w:tc>
          <w:tcPr>
            <w:tcW w:w="0" w:type="auto"/>
            <w:noWrap/>
            <w:vAlign w:val="center"/>
            <w:hideMark/>
          </w:tcPr>
          <w:p w14:paraId="1CE5B1FF" w14:textId="77777777" w:rsidR="00F72778" w:rsidRPr="00B7352C" w:rsidRDefault="00F72778" w:rsidP="00C64D6D">
            <w:pPr>
              <w:spacing w:before="0" w:after="0" w:line="240" w:lineRule="auto"/>
              <w:jc w:val="center"/>
              <w:rPr>
                <w:rFonts w:asciiTheme="minorBidi" w:hAnsiTheme="minorBidi"/>
                <w:color w:val="000000"/>
                <w:sz w:val="18"/>
                <w:szCs w:val="18"/>
              </w:rPr>
            </w:pPr>
            <w:r w:rsidRPr="00B7352C">
              <w:rPr>
                <w:rFonts w:asciiTheme="minorBidi" w:hAnsiTheme="minorBidi"/>
                <w:color w:val="000000"/>
                <w:sz w:val="18"/>
                <w:szCs w:val="18"/>
              </w:rPr>
              <w:t>2021</w:t>
            </w:r>
          </w:p>
        </w:tc>
        <w:tc>
          <w:tcPr>
            <w:tcW w:w="0" w:type="auto"/>
            <w:noWrap/>
            <w:vAlign w:val="center"/>
            <w:hideMark/>
          </w:tcPr>
          <w:p w14:paraId="32EA383D" w14:textId="77777777" w:rsidR="00F72778" w:rsidRPr="00B7352C" w:rsidRDefault="00F72778" w:rsidP="00C64D6D">
            <w:pPr>
              <w:spacing w:before="0" w:after="0" w:line="240" w:lineRule="auto"/>
              <w:jc w:val="center"/>
              <w:rPr>
                <w:rFonts w:asciiTheme="minorBidi" w:hAnsiTheme="minorBidi"/>
                <w:color w:val="000000"/>
                <w:sz w:val="18"/>
                <w:szCs w:val="18"/>
              </w:rPr>
            </w:pPr>
            <w:r w:rsidRPr="00B7352C">
              <w:rPr>
                <w:rFonts w:asciiTheme="minorBidi" w:hAnsiTheme="minorBidi"/>
                <w:color w:val="000000"/>
                <w:sz w:val="18"/>
                <w:szCs w:val="18"/>
              </w:rPr>
              <w:t>2022</w:t>
            </w:r>
          </w:p>
        </w:tc>
        <w:tc>
          <w:tcPr>
            <w:tcW w:w="0" w:type="auto"/>
            <w:noWrap/>
            <w:vAlign w:val="center"/>
            <w:hideMark/>
          </w:tcPr>
          <w:p w14:paraId="5E7C4344" w14:textId="77777777" w:rsidR="00F72778" w:rsidRPr="00B7352C" w:rsidRDefault="00F72778" w:rsidP="00C64D6D">
            <w:pPr>
              <w:spacing w:before="0" w:after="0" w:line="240" w:lineRule="auto"/>
              <w:jc w:val="center"/>
              <w:rPr>
                <w:rFonts w:asciiTheme="minorBidi" w:hAnsiTheme="minorBidi"/>
                <w:color w:val="000000"/>
                <w:sz w:val="18"/>
                <w:szCs w:val="18"/>
              </w:rPr>
            </w:pPr>
            <w:r w:rsidRPr="00B7352C">
              <w:rPr>
                <w:rFonts w:asciiTheme="minorBidi" w:hAnsiTheme="minorBidi"/>
                <w:color w:val="000000"/>
                <w:sz w:val="18"/>
                <w:szCs w:val="18"/>
              </w:rPr>
              <w:t>2023</w:t>
            </w:r>
          </w:p>
        </w:tc>
        <w:tc>
          <w:tcPr>
            <w:tcW w:w="0" w:type="auto"/>
            <w:noWrap/>
            <w:vAlign w:val="center"/>
            <w:hideMark/>
          </w:tcPr>
          <w:p w14:paraId="602D7000" w14:textId="77777777" w:rsidR="00F72778" w:rsidRPr="00B7352C" w:rsidRDefault="00F72778" w:rsidP="00C64D6D">
            <w:pPr>
              <w:spacing w:before="0" w:after="0" w:line="240" w:lineRule="auto"/>
              <w:jc w:val="center"/>
              <w:rPr>
                <w:rFonts w:asciiTheme="minorBidi" w:hAnsiTheme="minorBidi"/>
                <w:color w:val="000000"/>
                <w:sz w:val="18"/>
                <w:szCs w:val="18"/>
              </w:rPr>
            </w:pPr>
          </w:p>
        </w:tc>
        <w:tc>
          <w:tcPr>
            <w:tcW w:w="0" w:type="auto"/>
            <w:shd w:val="clear" w:color="auto" w:fill="E5E5E5" w:themeFill="background2" w:themeFillShade="E6"/>
            <w:noWrap/>
            <w:vAlign w:val="center"/>
            <w:hideMark/>
          </w:tcPr>
          <w:p w14:paraId="4A2EAA35" w14:textId="77777777" w:rsidR="00F72778" w:rsidRPr="00B54A22" w:rsidRDefault="00F72778" w:rsidP="00C64D6D">
            <w:pPr>
              <w:spacing w:before="0" w:after="0" w:line="240" w:lineRule="auto"/>
              <w:jc w:val="center"/>
              <w:rPr>
                <w:rFonts w:asciiTheme="minorBidi" w:hAnsiTheme="minorBidi"/>
                <w:sz w:val="18"/>
                <w:szCs w:val="18"/>
              </w:rPr>
            </w:pPr>
            <w:r w:rsidRPr="00B54A22">
              <w:rPr>
                <w:rFonts w:asciiTheme="minorBidi" w:hAnsiTheme="minorBidi"/>
                <w:sz w:val="18"/>
                <w:szCs w:val="18"/>
              </w:rPr>
              <w:t>2019-23</w:t>
            </w:r>
          </w:p>
        </w:tc>
        <w:tc>
          <w:tcPr>
            <w:tcW w:w="0" w:type="auto"/>
            <w:noWrap/>
            <w:vAlign w:val="center"/>
            <w:hideMark/>
          </w:tcPr>
          <w:p w14:paraId="7B4496E8"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115E3274" w14:textId="77777777" w:rsidR="00F72778" w:rsidRPr="00B7352C" w:rsidRDefault="00F72778" w:rsidP="00C64D6D">
            <w:pPr>
              <w:spacing w:before="0" w:after="0" w:line="240" w:lineRule="auto"/>
              <w:jc w:val="center"/>
              <w:rPr>
                <w:rFonts w:asciiTheme="minorBidi" w:hAnsiTheme="minorBidi"/>
                <w:color w:val="000000"/>
                <w:sz w:val="18"/>
                <w:szCs w:val="18"/>
              </w:rPr>
            </w:pPr>
            <w:r w:rsidRPr="00B7352C">
              <w:rPr>
                <w:rFonts w:asciiTheme="minorBidi" w:hAnsiTheme="minorBidi"/>
                <w:color w:val="000000"/>
                <w:sz w:val="18"/>
                <w:szCs w:val="18"/>
              </w:rPr>
              <w:t>2019</w:t>
            </w:r>
          </w:p>
        </w:tc>
        <w:tc>
          <w:tcPr>
            <w:tcW w:w="0" w:type="auto"/>
            <w:noWrap/>
            <w:vAlign w:val="center"/>
            <w:hideMark/>
          </w:tcPr>
          <w:p w14:paraId="65C23C78" w14:textId="77777777" w:rsidR="00F72778" w:rsidRPr="00B7352C" w:rsidRDefault="00F72778" w:rsidP="00C64D6D">
            <w:pPr>
              <w:spacing w:before="0" w:after="0" w:line="240" w:lineRule="auto"/>
              <w:jc w:val="center"/>
              <w:rPr>
                <w:rFonts w:asciiTheme="minorBidi" w:hAnsiTheme="minorBidi"/>
                <w:color w:val="000000"/>
                <w:sz w:val="18"/>
                <w:szCs w:val="18"/>
              </w:rPr>
            </w:pPr>
            <w:r w:rsidRPr="00B7352C">
              <w:rPr>
                <w:rFonts w:asciiTheme="minorBidi" w:hAnsiTheme="minorBidi"/>
                <w:color w:val="000000"/>
                <w:sz w:val="18"/>
                <w:szCs w:val="18"/>
              </w:rPr>
              <w:t>2020</w:t>
            </w:r>
          </w:p>
        </w:tc>
        <w:tc>
          <w:tcPr>
            <w:tcW w:w="0" w:type="auto"/>
            <w:noWrap/>
            <w:vAlign w:val="center"/>
            <w:hideMark/>
          </w:tcPr>
          <w:p w14:paraId="6796A780" w14:textId="77777777" w:rsidR="00F72778" w:rsidRPr="00B7352C" w:rsidRDefault="00F72778" w:rsidP="00C64D6D">
            <w:pPr>
              <w:spacing w:before="0" w:after="0" w:line="240" w:lineRule="auto"/>
              <w:jc w:val="center"/>
              <w:rPr>
                <w:rFonts w:asciiTheme="minorBidi" w:hAnsiTheme="minorBidi"/>
                <w:color w:val="000000"/>
                <w:sz w:val="18"/>
                <w:szCs w:val="18"/>
              </w:rPr>
            </w:pPr>
            <w:r w:rsidRPr="00B7352C">
              <w:rPr>
                <w:rFonts w:asciiTheme="minorBidi" w:hAnsiTheme="minorBidi"/>
                <w:color w:val="000000"/>
                <w:sz w:val="18"/>
                <w:szCs w:val="18"/>
              </w:rPr>
              <w:t>2021</w:t>
            </w:r>
          </w:p>
        </w:tc>
        <w:tc>
          <w:tcPr>
            <w:tcW w:w="0" w:type="auto"/>
            <w:noWrap/>
            <w:vAlign w:val="center"/>
            <w:hideMark/>
          </w:tcPr>
          <w:p w14:paraId="19A4C686" w14:textId="77777777" w:rsidR="00F72778" w:rsidRPr="00B7352C" w:rsidRDefault="00F72778" w:rsidP="00C64D6D">
            <w:pPr>
              <w:spacing w:before="0" w:after="0" w:line="240" w:lineRule="auto"/>
              <w:jc w:val="center"/>
              <w:rPr>
                <w:rFonts w:asciiTheme="minorBidi" w:hAnsiTheme="minorBidi"/>
                <w:color w:val="000000"/>
                <w:sz w:val="18"/>
                <w:szCs w:val="18"/>
              </w:rPr>
            </w:pPr>
            <w:r w:rsidRPr="00B7352C">
              <w:rPr>
                <w:rFonts w:asciiTheme="minorBidi" w:hAnsiTheme="minorBidi"/>
                <w:color w:val="000000"/>
                <w:sz w:val="18"/>
                <w:szCs w:val="18"/>
              </w:rPr>
              <w:t>2022</w:t>
            </w:r>
          </w:p>
        </w:tc>
        <w:tc>
          <w:tcPr>
            <w:tcW w:w="0" w:type="auto"/>
            <w:noWrap/>
            <w:vAlign w:val="center"/>
            <w:hideMark/>
          </w:tcPr>
          <w:p w14:paraId="6160C12B" w14:textId="77777777" w:rsidR="00F72778" w:rsidRPr="00B7352C" w:rsidRDefault="00F72778" w:rsidP="00C64D6D">
            <w:pPr>
              <w:spacing w:before="0" w:after="0" w:line="240" w:lineRule="auto"/>
              <w:jc w:val="center"/>
              <w:rPr>
                <w:rFonts w:asciiTheme="minorBidi" w:hAnsiTheme="minorBidi"/>
                <w:color w:val="000000"/>
                <w:sz w:val="18"/>
                <w:szCs w:val="18"/>
              </w:rPr>
            </w:pPr>
            <w:r w:rsidRPr="00B7352C">
              <w:rPr>
                <w:rFonts w:asciiTheme="minorBidi" w:hAnsiTheme="minorBidi"/>
                <w:color w:val="000000"/>
                <w:sz w:val="18"/>
                <w:szCs w:val="18"/>
              </w:rPr>
              <w:t>2023</w:t>
            </w:r>
          </w:p>
        </w:tc>
        <w:tc>
          <w:tcPr>
            <w:tcW w:w="0" w:type="auto"/>
            <w:noWrap/>
            <w:vAlign w:val="center"/>
            <w:hideMark/>
          </w:tcPr>
          <w:p w14:paraId="57DF7B31" w14:textId="77777777" w:rsidR="00F72778" w:rsidRPr="00B7352C" w:rsidRDefault="00F72778" w:rsidP="00C64D6D">
            <w:pPr>
              <w:spacing w:before="0" w:after="0" w:line="240" w:lineRule="auto"/>
              <w:jc w:val="center"/>
              <w:rPr>
                <w:rFonts w:asciiTheme="minorBidi" w:hAnsiTheme="minorBidi"/>
                <w:color w:val="000000"/>
                <w:sz w:val="18"/>
                <w:szCs w:val="18"/>
              </w:rPr>
            </w:pPr>
          </w:p>
        </w:tc>
        <w:tc>
          <w:tcPr>
            <w:tcW w:w="0" w:type="auto"/>
            <w:shd w:val="clear" w:color="auto" w:fill="E5E5E5" w:themeFill="background2" w:themeFillShade="E6"/>
            <w:noWrap/>
            <w:vAlign w:val="center"/>
            <w:hideMark/>
          </w:tcPr>
          <w:p w14:paraId="3385E835" w14:textId="77777777" w:rsidR="00F72778" w:rsidRPr="00B54A22" w:rsidRDefault="00F72778" w:rsidP="00C64D6D">
            <w:pPr>
              <w:spacing w:before="0" w:after="0" w:line="240" w:lineRule="auto"/>
              <w:jc w:val="center"/>
              <w:rPr>
                <w:rFonts w:asciiTheme="minorBidi" w:hAnsiTheme="minorBidi"/>
                <w:sz w:val="18"/>
                <w:szCs w:val="18"/>
              </w:rPr>
            </w:pPr>
            <w:r w:rsidRPr="00B54A22">
              <w:rPr>
                <w:rFonts w:asciiTheme="minorBidi" w:hAnsiTheme="minorBidi"/>
                <w:sz w:val="18"/>
                <w:szCs w:val="18"/>
              </w:rPr>
              <w:t>2019-23</w:t>
            </w:r>
          </w:p>
        </w:tc>
      </w:tr>
      <w:tr w:rsidR="00B54A22" w:rsidRPr="00B7352C" w14:paraId="6AFBEEE4" w14:textId="77777777" w:rsidTr="00B54A22">
        <w:trPr>
          <w:trHeight w:val="300"/>
        </w:trPr>
        <w:tc>
          <w:tcPr>
            <w:tcW w:w="0" w:type="auto"/>
            <w:noWrap/>
            <w:vAlign w:val="center"/>
            <w:hideMark/>
          </w:tcPr>
          <w:p w14:paraId="70EEC898"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Harju</w:t>
            </w:r>
          </w:p>
        </w:tc>
        <w:tc>
          <w:tcPr>
            <w:tcW w:w="0" w:type="auto"/>
            <w:noWrap/>
            <w:vAlign w:val="center"/>
            <w:hideMark/>
          </w:tcPr>
          <w:p w14:paraId="13926349" w14:textId="45CF18BE"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w:t>
            </w:r>
            <w:r w:rsidR="009364B5">
              <w:rPr>
                <w:rFonts w:asciiTheme="minorBidi" w:hAnsiTheme="minorBidi"/>
                <w:color w:val="000000"/>
                <w:sz w:val="18"/>
                <w:szCs w:val="18"/>
              </w:rPr>
              <w:t xml:space="preserve"> </w:t>
            </w:r>
            <w:r w:rsidRPr="00B7352C">
              <w:rPr>
                <w:rFonts w:asciiTheme="minorBidi" w:hAnsiTheme="minorBidi"/>
                <w:color w:val="000000"/>
                <w:sz w:val="18"/>
                <w:szCs w:val="18"/>
              </w:rPr>
              <w:t>968</w:t>
            </w:r>
            <w:r w:rsidR="009364B5">
              <w:rPr>
                <w:rFonts w:asciiTheme="minorBidi" w:hAnsiTheme="minorBidi"/>
                <w:color w:val="000000"/>
                <w:sz w:val="18"/>
                <w:szCs w:val="18"/>
              </w:rPr>
              <w:t xml:space="preserve"> </w:t>
            </w:r>
            <w:r w:rsidRPr="00B7352C">
              <w:rPr>
                <w:rFonts w:asciiTheme="minorBidi" w:hAnsiTheme="minorBidi"/>
                <w:color w:val="000000"/>
                <w:sz w:val="18"/>
                <w:szCs w:val="18"/>
              </w:rPr>
              <w:t>406</w:t>
            </w:r>
          </w:p>
        </w:tc>
        <w:tc>
          <w:tcPr>
            <w:tcW w:w="0" w:type="auto"/>
            <w:noWrap/>
            <w:vAlign w:val="center"/>
            <w:hideMark/>
          </w:tcPr>
          <w:p w14:paraId="71F7A8EE" w14:textId="36FC59FA"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726</w:t>
            </w:r>
            <w:r w:rsidR="009364B5">
              <w:rPr>
                <w:rFonts w:asciiTheme="minorBidi" w:hAnsiTheme="minorBidi"/>
                <w:color w:val="000000"/>
                <w:sz w:val="18"/>
                <w:szCs w:val="18"/>
              </w:rPr>
              <w:t xml:space="preserve"> </w:t>
            </w:r>
            <w:r w:rsidRPr="00B7352C">
              <w:rPr>
                <w:rFonts w:asciiTheme="minorBidi" w:hAnsiTheme="minorBidi"/>
                <w:color w:val="000000"/>
                <w:sz w:val="18"/>
                <w:szCs w:val="18"/>
              </w:rPr>
              <w:t>770</w:t>
            </w:r>
          </w:p>
        </w:tc>
        <w:tc>
          <w:tcPr>
            <w:tcW w:w="0" w:type="auto"/>
            <w:noWrap/>
            <w:vAlign w:val="center"/>
            <w:hideMark/>
          </w:tcPr>
          <w:p w14:paraId="4518A241" w14:textId="531EAD5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797</w:t>
            </w:r>
            <w:r w:rsidR="009364B5">
              <w:rPr>
                <w:rFonts w:asciiTheme="minorBidi" w:hAnsiTheme="minorBidi"/>
                <w:color w:val="000000"/>
                <w:sz w:val="18"/>
                <w:szCs w:val="18"/>
              </w:rPr>
              <w:t xml:space="preserve"> </w:t>
            </w:r>
            <w:r w:rsidRPr="00B7352C">
              <w:rPr>
                <w:rFonts w:asciiTheme="minorBidi" w:hAnsiTheme="minorBidi"/>
                <w:color w:val="000000"/>
                <w:sz w:val="18"/>
                <w:szCs w:val="18"/>
              </w:rPr>
              <w:t>470</w:t>
            </w:r>
          </w:p>
        </w:tc>
        <w:tc>
          <w:tcPr>
            <w:tcW w:w="0" w:type="auto"/>
            <w:noWrap/>
            <w:vAlign w:val="center"/>
            <w:hideMark/>
          </w:tcPr>
          <w:p w14:paraId="5D1571C0" w14:textId="7618634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w:t>
            </w:r>
            <w:r w:rsidR="009364B5">
              <w:rPr>
                <w:rFonts w:asciiTheme="minorBidi" w:hAnsiTheme="minorBidi"/>
                <w:color w:val="000000"/>
                <w:sz w:val="18"/>
                <w:szCs w:val="18"/>
              </w:rPr>
              <w:t xml:space="preserve"> </w:t>
            </w:r>
            <w:r w:rsidRPr="00B7352C">
              <w:rPr>
                <w:rFonts w:asciiTheme="minorBidi" w:hAnsiTheme="minorBidi"/>
                <w:color w:val="000000"/>
                <w:sz w:val="18"/>
                <w:szCs w:val="18"/>
              </w:rPr>
              <w:t>563</w:t>
            </w:r>
            <w:r w:rsidR="009364B5">
              <w:rPr>
                <w:rFonts w:asciiTheme="minorBidi" w:hAnsiTheme="minorBidi"/>
                <w:color w:val="000000"/>
                <w:sz w:val="18"/>
                <w:szCs w:val="18"/>
              </w:rPr>
              <w:t xml:space="preserve"> </w:t>
            </w:r>
            <w:r w:rsidRPr="00B7352C">
              <w:rPr>
                <w:rFonts w:asciiTheme="minorBidi" w:hAnsiTheme="minorBidi"/>
                <w:color w:val="000000"/>
                <w:sz w:val="18"/>
                <w:szCs w:val="18"/>
              </w:rPr>
              <w:t>543</w:t>
            </w:r>
          </w:p>
        </w:tc>
        <w:tc>
          <w:tcPr>
            <w:tcW w:w="0" w:type="auto"/>
            <w:noWrap/>
            <w:vAlign w:val="center"/>
            <w:hideMark/>
          </w:tcPr>
          <w:p w14:paraId="1AB9C04C" w14:textId="124D3484"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w:t>
            </w:r>
            <w:r w:rsidR="009364B5">
              <w:rPr>
                <w:rFonts w:asciiTheme="minorBidi" w:hAnsiTheme="minorBidi"/>
                <w:color w:val="000000"/>
                <w:sz w:val="18"/>
                <w:szCs w:val="18"/>
              </w:rPr>
              <w:t xml:space="preserve"> </w:t>
            </w:r>
            <w:r w:rsidRPr="00B7352C">
              <w:rPr>
                <w:rFonts w:asciiTheme="minorBidi" w:hAnsiTheme="minorBidi"/>
                <w:color w:val="000000"/>
                <w:sz w:val="18"/>
                <w:szCs w:val="18"/>
              </w:rPr>
              <w:t>742</w:t>
            </w:r>
            <w:r w:rsidR="009364B5">
              <w:rPr>
                <w:rFonts w:asciiTheme="minorBidi" w:hAnsiTheme="minorBidi"/>
                <w:color w:val="000000"/>
                <w:sz w:val="18"/>
                <w:szCs w:val="18"/>
              </w:rPr>
              <w:t xml:space="preserve"> </w:t>
            </w:r>
            <w:r w:rsidRPr="00B7352C">
              <w:rPr>
                <w:rFonts w:asciiTheme="minorBidi" w:hAnsiTheme="minorBidi"/>
                <w:color w:val="000000"/>
                <w:sz w:val="18"/>
                <w:szCs w:val="18"/>
              </w:rPr>
              <w:t>838</w:t>
            </w:r>
          </w:p>
        </w:tc>
        <w:tc>
          <w:tcPr>
            <w:tcW w:w="0" w:type="auto"/>
            <w:noWrap/>
            <w:vAlign w:val="center"/>
            <w:hideMark/>
          </w:tcPr>
          <w:p w14:paraId="6312EC83"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680853AD"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-11%</w:t>
            </w:r>
          </w:p>
        </w:tc>
        <w:tc>
          <w:tcPr>
            <w:tcW w:w="0" w:type="auto"/>
            <w:noWrap/>
            <w:vAlign w:val="center"/>
            <w:hideMark/>
          </w:tcPr>
          <w:p w14:paraId="227EF7E1"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7BF83905" w14:textId="4B0F0317"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w:t>
            </w:r>
            <w:r w:rsidR="009364B5">
              <w:rPr>
                <w:rFonts w:asciiTheme="minorBidi" w:hAnsiTheme="minorBidi"/>
                <w:color w:val="000000"/>
                <w:sz w:val="18"/>
                <w:szCs w:val="18"/>
              </w:rPr>
              <w:t xml:space="preserve"> </w:t>
            </w:r>
            <w:r w:rsidRPr="00B7352C">
              <w:rPr>
                <w:rFonts w:asciiTheme="minorBidi" w:hAnsiTheme="minorBidi"/>
                <w:color w:val="000000"/>
                <w:sz w:val="18"/>
                <w:szCs w:val="18"/>
              </w:rPr>
              <w:t>591</w:t>
            </w:r>
            <w:r w:rsidR="009364B5">
              <w:rPr>
                <w:rFonts w:asciiTheme="minorBidi" w:hAnsiTheme="minorBidi"/>
                <w:color w:val="000000"/>
                <w:sz w:val="18"/>
                <w:szCs w:val="18"/>
              </w:rPr>
              <w:t xml:space="preserve"> </w:t>
            </w:r>
            <w:r w:rsidRPr="00B7352C">
              <w:rPr>
                <w:rFonts w:asciiTheme="minorBidi" w:hAnsiTheme="minorBidi"/>
                <w:color w:val="000000"/>
                <w:sz w:val="18"/>
                <w:szCs w:val="18"/>
              </w:rPr>
              <w:t>337</w:t>
            </w:r>
          </w:p>
        </w:tc>
        <w:tc>
          <w:tcPr>
            <w:tcW w:w="0" w:type="auto"/>
            <w:noWrap/>
            <w:vAlign w:val="center"/>
            <w:hideMark/>
          </w:tcPr>
          <w:p w14:paraId="7CB05D30" w14:textId="1D3E668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w:t>
            </w:r>
            <w:r w:rsidR="009364B5">
              <w:rPr>
                <w:rFonts w:asciiTheme="minorBidi" w:hAnsiTheme="minorBidi"/>
                <w:color w:val="000000"/>
                <w:sz w:val="18"/>
                <w:szCs w:val="18"/>
              </w:rPr>
              <w:t xml:space="preserve"> </w:t>
            </w:r>
            <w:r w:rsidRPr="00B7352C">
              <w:rPr>
                <w:rFonts w:asciiTheme="minorBidi" w:hAnsiTheme="minorBidi"/>
                <w:color w:val="000000"/>
                <w:sz w:val="18"/>
                <w:szCs w:val="18"/>
              </w:rPr>
              <w:t>390</w:t>
            </w:r>
            <w:r w:rsidR="009364B5">
              <w:rPr>
                <w:rFonts w:asciiTheme="minorBidi" w:hAnsiTheme="minorBidi"/>
                <w:color w:val="000000"/>
                <w:sz w:val="18"/>
                <w:szCs w:val="18"/>
              </w:rPr>
              <w:t xml:space="preserve"> </w:t>
            </w:r>
            <w:r w:rsidRPr="00B7352C">
              <w:rPr>
                <w:rFonts w:asciiTheme="minorBidi" w:hAnsiTheme="minorBidi"/>
                <w:color w:val="000000"/>
                <w:sz w:val="18"/>
                <w:szCs w:val="18"/>
              </w:rPr>
              <w:t>794</w:t>
            </w:r>
          </w:p>
        </w:tc>
        <w:tc>
          <w:tcPr>
            <w:tcW w:w="0" w:type="auto"/>
            <w:noWrap/>
            <w:vAlign w:val="center"/>
            <w:hideMark/>
          </w:tcPr>
          <w:p w14:paraId="14F3FBB1" w14:textId="4A3DBB4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w:t>
            </w:r>
            <w:r w:rsidR="009364B5">
              <w:rPr>
                <w:rFonts w:asciiTheme="minorBidi" w:hAnsiTheme="minorBidi"/>
                <w:color w:val="000000"/>
                <w:sz w:val="18"/>
                <w:szCs w:val="18"/>
              </w:rPr>
              <w:t xml:space="preserve"> </w:t>
            </w:r>
            <w:r w:rsidRPr="00B7352C">
              <w:rPr>
                <w:rFonts w:asciiTheme="minorBidi" w:hAnsiTheme="minorBidi"/>
                <w:color w:val="000000"/>
                <w:sz w:val="18"/>
                <w:szCs w:val="18"/>
              </w:rPr>
              <w:t>601</w:t>
            </w:r>
            <w:r w:rsidR="009364B5">
              <w:rPr>
                <w:rFonts w:asciiTheme="minorBidi" w:hAnsiTheme="minorBidi"/>
                <w:color w:val="000000"/>
                <w:sz w:val="18"/>
                <w:szCs w:val="18"/>
              </w:rPr>
              <w:t xml:space="preserve"> </w:t>
            </w:r>
            <w:r w:rsidRPr="00B7352C">
              <w:rPr>
                <w:rFonts w:asciiTheme="minorBidi" w:hAnsiTheme="minorBidi"/>
                <w:color w:val="000000"/>
                <w:sz w:val="18"/>
                <w:szCs w:val="18"/>
              </w:rPr>
              <w:t>901</w:t>
            </w:r>
          </w:p>
        </w:tc>
        <w:tc>
          <w:tcPr>
            <w:tcW w:w="0" w:type="auto"/>
            <w:noWrap/>
            <w:vAlign w:val="center"/>
            <w:hideMark/>
          </w:tcPr>
          <w:p w14:paraId="6F0B7583" w14:textId="3EC7D1A1"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w:t>
            </w:r>
            <w:r w:rsidR="009364B5">
              <w:rPr>
                <w:rFonts w:asciiTheme="minorBidi" w:hAnsiTheme="minorBidi"/>
                <w:color w:val="000000"/>
                <w:sz w:val="18"/>
                <w:szCs w:val="18"/>
              </w:rPr>
              <w:t xml:space="preserve"> </w:t>
            </w:r>
            <w:r w:rsidRPr="00B7352C">
              <w:rPr>
                <w:rFonts w:asciiTheme="minorBidi" w:hAnsiTheme="minorBidi"/>
                <w:color w:val="000000"/>
                <w:sz w:val="18"/>
                <w:szCs w:val="18"/>
              </w:rPr>
              <w:t>898</w:t>
            </w:r>
            <w:r w:rsidR="009364B5">
              <w:rPr>
                <w:rFonts w:asciiTheme="minorBidi" w:hAnsiTheme="minorBidi"/>
                <w:color w:val="000000"/>
                <w:sz w:val="18"/>
                <w:szCs w:val="18"/>
              </w:rPr>
              <w:t xml:space="preserve"> </w:t>
            </w:r>
            <w:r w:rsidRPr="00B7352C">
              <w:rPr>
                <w:rFonts w:asciiTheme="minorBidi" w:hAnsiTheme="minorBidi"/>
                <w:color w:val="000000"/>
                <w:sz w:val="18"/>
                <w:szCs w:val="18"/>
              </w:rPr>
              <w:t>691</w:t>
            </w:r>
          </w:p>
        </w:tc>
        <w:tc>
          <w:tcPr>
            <w:tcW w:w="0" w:type="auto"/>
            <w:noWrap/>
            <w:vAlign w:val="center"/>
            <w:hideMark/>
          </w:tcPr>
          <w:p w14:paraId="25A815FB" w14:textId="6785FAE9"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w:t>
            </w:r>
            <w:r w:rsidR="009364B5">
              <w:rPr>
                <w:rFonts w:asciiTheme="minorBidi" w:hAnsiTheme="minorBidi"/>
                <w:color w:val="000000"/>
                <w:sz w:val="18"/>
                <w:szCs w:val="18"/>
              </w:rPr>
              <w:t xml:space="preserve"> </w:t>
            </w:r>
            <w:r w:rsidRPr="00B7352C">
              <w:rPr>
                <w:rFonts w:asciiTheme="minorBidi" w:hAnsiTheme="minorBidi"/>
                <w:color w:val="000000"/>
                <w:sz w:val="18"/>
                <w:szCs w:val="18"/>
              </w:rPr>
              <w:t>308</w:t>
            </w:r>
            <w:r w:rsidR="009364B5">
              <w:rPr>
                <w:rFonts w:asciiTheme="minorBidi" w:hAnsiTheme="minorBidi"/>
                <w:color w:val="000000"/>
                <w:sz w:val="18"/>
                <w:szCs w:val="18"/>
              </w:rPr>
              <w:t xml:space="preserve"> </w:t>
            </w:r>
            <w:r w:rsidRPr="00B7352C">
              <w:rPr>
                <w:rFonts w:asciiTheme="minorBidi" w:hAnsiTheme="minorBidi"/>
                <w:color w:val="000000"/>
                <w:sz w:val="18"/>
                <w:szCs w:val="18"/>
              </w:rPr>
              <w:t>259</w:t>
            </w:r>
          </w:p>
        </w:tc>
        <w:tc>
          <w:tcPr>
            <w:tcW w:w="0" w:type="auto"/>
            <w:noWrap/>
            <w:vAlign w:val="center"/>
            <w:hideMark/>
          </w:tcPr>
          <w:p w14:paraId="3C600D88"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4BF401F5" w14:textId="77777777" w:rsidR="00F72778"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color w:val="FF0000"/>
                <w:sz w:val="18"/>
                <w:szCs w:val="18"/>
              </w:rPr>
              <w:t>-8%</w:t>
            </w:r>
          </w:p>
        </w:tc>
      </w:tr>
      <w:tr w:rsidR="00B54A22" w:rsidRPr="00B7352C" w14:paraId="0B9FA481" w14:textId="77777777" w:rsidTr="00B54A22">
        <w:trPr>
          <w:trHeight w:val="300"/>
        </w:trPr>
        <w:tc>
          <w:tcPr>
            <w:tcW w:w="0" w:type="auto"/>
            <w:noWrap/>
            <w:vAlign w:val="center"/>
            <w:hideMark/>
          </w:tcPr>
          <w:p w14:paraId="5E088754"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Hiiu</w:t>
            </w:r>
          </w:p>
        </w:tc>
        <w:tc>
          <w:tcPr>
            <w:tcW w:w="0" w:type="auto"/>
            <w:noWrap/>
            <w:vAlign w:val="center"/>
            <w:hideMark/>
          </w:tcPr>
          <w:p w14:paraId="083C8DF1" w14:textId="4ECA1160"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23</w:t>
            </w:r>
            <w:r w:rsidR="009364B5">
              <w:rPr>
                <w:rFonts w:asciiTheme="minorBidi" w:hAnsiTheme="minorBidi"/>
                <w:color w:val="000000"/>
                <w:sz w:val="18"/>
                <w:szCs w:val="18"/>
              </w:rPr>
              <w:t xml:space="preserve"> </w:t>
            </w:r>
            <w:r w:rsidRPr="00B7352C">
              <w:rPr>
                <w:rFonts w:asciiTheme="minorBidi" w:hAnsiTheme="minorBidi"/>
                <w:color w:val="000000"/>
                <w:sz w:val="18"/>
                <w:szCs w:val="18"/>
              </w:rPr>
              <w:t>160</w:t>
            </w:r>
          </w:p>
        </w:tc>
        <w:tc>
          <w:tcPr>
            <w:tcW w:w="0" w:type="auto"/>
            <w:noWrap/>
            <w:vAlign w:val="center"/>
            <w:hideMark/>
          </w:tcPr>
          <w:p w14:paraId="161E03A9" w14:textId="3B206C8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23</w:t>
            </w:r>
            <w:r w:rsidR="009364B5">
              <w:rPr>
                <w:rFonts w:asciiTheme="minorBidi" w:hAnsiTheme="minorBidi"/>
                <w:color w:val="000000"/>
                <w:sz w:val="18"/>
                <w:szCs w:val="18"/>
              </w:rPr>
              <w:t xml:space="preserve"> </w:t>
            </w:r>
            <w:r w:rsidRPr="00B7352C">
              <w:rPr>
                <w:rFonts w:asciiTheme="minorBidi" w:hAnsiTheme="minorBidi"/>
                <w:color w:val="000000"/>
                <w:sz w:val="18"/>
                <w:szCs w:val="18"/>
              </w:rPr>
              <w:t>864</w:t>
            </w:r>
          </w:p>
        </w:tc>
        <w:tc>
          <w:tcPr>
            <w:tcW w:w="0" w:type="auto"/>
            <w:noWrap/>
            <w:vAlign w:val="center"/>
            <w:hideMark/>
          </w:tcPr>
          <w:p w14:paraId="187F2B36" w14:textId="44F317A9"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26</w:t>
            </w:r>
            <w:r w:rsidR="009364B5">
              <w:rPr>
                <w:rFonts w:asciiTheme="minorBidi" w:hAnsiTheme="minorBidi"/>
                <w:color w:val="000000"/>
                <w:sz w:val="18"/>
                <w:szCs w:val="18"/>
              </w:rPr>
              <w:t xml:space="preserve"> </w:t>
            </w:r>
            <w:r w:rsidRPr="00B7352C">
              <w:rPr>
                <w:rFonts w:asciiTheme="minorBidi" w:hAnsiTheme="minorBidi"/>
                <w:color w:val="000000"/>
                <w:sz w:val="18"/>
                <w:szCs w:val="18"/>
              </w:rPr>
              <w:t>230</w:t>
            </w:r>
          </w:p>
        </w:tc>
        <w:tc>
          <w:tcPr>
            <w:tcW w:w="0" w:type="auto"/>
            <w:noWrap/>
            <w:vAlign w:val="center"/>
            <w:hideMark/>
          </w:tcPr>
          <w:p w14:paraId="61A96EA9" w14:textId="63FEF40C"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28</w:t>
            </w:r>
            <w:r w:rsidR="009364B5">
              <w:rPr>
                <w:rFonts w:asciiTheme="minorBidi" w:hAnsiTheme="minorBidi"/>
                <w:color w:val="000000"/>
                <w:sz w:val="18"/>
                <w:szCs w:val="18"/>
              </w:rPr>
              <w:t xml:space="preserve"> </w:t>
            </w:r>
            <w:r w:rsidRPr="00B7352C">
              <w:rPr>
                <w:rFonts w:asciiTheme="minorBidi" w:hAnsiTheme="minorBidi"/>
                <w:color w:val="000000"/>
                <w:sz w:val="18"/>
                <w:szCs w:val="18"/>
              </w:rPr>
              <w:t>399</w:t>
            </w:r>
          </w:p>
        </w:tc>
        <w:tc>
          <w:tcPr>
            <w:tcW w:w="0" w:type="auto"/>
            <w:noWrap/>
            <w:vAlign w:val="center"/>
            <w:hideMark/>
          </w:tcPr>
          <w:p w14:paraId="3C074481" w14:textId="698C87F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30</w:t>
            </w:r>
            <w:r w:rsidR="009364B5">
              <w:rPr>
                <w:rFonts w:asciiTheme="minorBidi" w:hAnsiTheme="minorBidi"/>
                <w:color w:val="000000"/>
                <w:sz w:val="18"/>
                <w:szCs w:val="18"/>
              </w:rPr>
              <w:t xml:space="preserve"> </w:t>
            </w:r>
            <w:r w:rsidRPr="00B7352C">
              <w:rPr>
                <w:rFonts w:asciiTheme="minorBidi" w:hAnsiTheme="minorBidi"/>
                <w:color w:val="000000"/>
                <w:sz w:val="18"/>
                <w:szCs w:val="18"/>
              </w:rPr>
              <w:t>423</w:t>
            </w:r>
          </w:p>
        </w:tc>
        <w:tc>
          <w:tcPr>
            <w:tcW w:w="0" w:type="auto"/>
            <w:noWrap/>
            <w:vAlign w:val="center"/>
            <w:hideMark/>
          </w:tcPr>
          <w:p w14:paraId="7DDBCD0B"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74562A6F"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31%</w:t>
            </w:r>
          </w:p>
        </w:tc>
        <w:tc>
          <w:tcPr>
            <w:tcW w:w="0" w:type="auto"/>
            <w:noWrap/>
            <w:vAlign w:val="center"/>
            <w:hideMark/>
          </w:tcPr>
          <w:p w14:paraId="28A6E5E1"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25CD9E77" w14:textId="34D9623B"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40</w:t>
            </w:r>
            <w:r w:rsidR="009364B5">
              <w:rPr>
                <w:rFonts w:asciiTheme="minorBidi" w:hAnsiTheme="minorBidi"/>
                <w:color w:val="000000"/>
                <w:sz w:val="18"/>
                <w:szCs w:val="18"/>
              </w:rPr>
              <w:t xml:space="preserve"> </w:t>
            </w:r>
            <w:r w:rsidRPr="00B7352C">
              <w:rPr>
                <w:rFonts w:asciiTheme="minorBidi" w:hAnsiTheme="minorBidi"/>
                <w:color w:val="000000"/>
                <w:sz w:val="18"/>
                <w:szCs w:val="18"/>
              </w:rPr>
              <w:t>354</w:t>
            </w:r>
          </w:p>
        </w:tc>
        <w:tc>
          <w:tcPr>
            <w:tcW w:w="0" w:type="auto"/>
            <w:noWrap/>
            <w:vAlign w:val="center"/>
            <w:hideMark/>
          </w:tcPr>
          <w:p w14:paraId="5C44F7C5" w14:textId="40C89652"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42</w:t>
            </w:r>
            <w:r w:rsidR="009364B5">
              <w:rPr>
                <w:rFonts w:asciiTheme="minorBidi" w:hAnsiTheme="minorBidi"/>
                <w:color w:val="000000"/>
                <w:sz w:val="18"/>
                <w:szCs w:val="18"/>
              </w:rPr>
              <w:t xml:space="preserve"> </w:t>
            </w:r>
            <w:r w:rsidRPr="00B7352C">
              <w:rPr>
                <w:rFonts w:asciiTheme="minorBidi" w:hAnsiTheme="minorBidi"/>
                <w:color w:val="000000"/>
                <w:sz w:val="18"/>
                <w:szCs w:val="18"/>
              </w:rPr>
              <w:t>009</w:t>
            </w:r>
          </w:p>
        </w:tc>
        <w:tc>
          <w:tcPr>
            <w:tcW w:w="0" w:type="auto"/>
            <w:noWrap/>
            <w:vAlign w:val="center"/>
            <w:hideMark/>
          </w:tcPr>
          <w:p w14:paraId="5CE237C7" w14:textId="0EFBF4E9"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52</w:t>
            </w:r>
            <w:r w:rsidR="009364B5">
              <w:rPr>
                <w:rFonts w:asciiTheme="minorBidi" w:hAnsiTheme="minorBidi"/>
                <w:color w:val="000000"/>
                <w:sz w:val="18"/>
                <w:szCs w:val="18"/>
              </w:rPr>
              <w:t xml:space="preserve"> </w:t>
            </w:r>
            <w:r w:rsidRPr="00B7352C">
              <w:rPr>
                <w:rFonts w:asciiTheme="minorBidi" w:hAnsiTheme="minorBidi"/>
                <w:color w:val="000000"/>
                <w:sz w:val="18"/>
                <w:szCs w:val="18"/>
              </w:rPr>
              <w:t>650</w:t>
            </w:r>
          </w:p>
        </w:tc>
        <w:tc>
          <w:tcPr>
            <w:tcW w:w="0" w:type="auto"/>
            <w:noWrap/>
            <w:vAlign w:val="center"/>
            <w:hideMark/>
          </w:tcPr>
          <w:p w14:paraId="6D82A6C1" w14:textId="60D3C4E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52</w:t>
            </w:r>
            <w:r w:rsidR="009364B5">
              <w:rPr>
                <w:rFonts w:asciiTheme="minorBidi" w:hAnsiTheme="minorBidi"/>
                <w:color w:val="000000"/>
                <w:sz w:val="18"/>
                <w:szCs w:val="18"/>
              </w:rPr>
              <w:t xml:space="preserve"> </w:t>
            </w:r>
            <w:r w:rsidRPr="00B7352C">
              <w:rPr>
                <w:rFonts w:asciiTheme="minorBidi" w:hAnsiTheme="minorBidi"/>
                <w:color w:val="000000"/>
                <w:sz w:val="18"/>
                <w:szCs w:val="18"/>
              </w:rPr>
              <w:t>098</w:t>
            </w:r>
          </w:p>
        </w:tc>
        <w:tc>
          <w:tcPr>
            <w:tcW w:w="0" w:type="auto"/>
            <w:noWrap/>
            <w:vAlign w:val="center"/>
            <w:hideMark/>
          </w:tcPr>
          <w:p w14:paraId="484435AB" w14:textId="26CAC0EF"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49</w:t>
            </w:r>
            <w:r w:rsidR="009364B5">
              <w:rPr>
                <w:rFonts w:asciiTheme="minorBidi" w:hAnsiTheme="minorBidi"/>
                <w:color w:val="000000"/>
                <w:sz w:val="18"/>
                <w:szCs w:val="18"/>
              </w:rPr>
              <w:t xml:space="preserve"> </w:t>
            </w:r>
            <w:r w:rsidRPr="00B7352C">
              <w:rPr>
                <w:rFonts w:asciiTheme="minorBidi" w:hAnsiTheme="minorBidi"/>
                <w:color w:val="000000"/>
                <w:sz w:val="18"/>
                <w:szCs w:val="18"/>
              </w:rPr>
              <w:t>655</w:t>
            </w:r>
          </w:p>
        </w:tc>
        <w:tc>
          <w:tcPr>
            <w:tcW w:w="0" w:type="auto"/>
            <w:noWrap/>
            <w:vAlign w:val="center"/>
            <w:hideMark/>
          </w:tcPr>
          <w:p w14:paraId="7BCBCF30"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54D85E1F"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23%</w:t>
            </w:r>
          </w:p>
        </w:tc>
      </w:tr>
      <w:tr w:rsidR="00B54A22" w:rsidRPr="00B7352C" w14:paraId="253D04D7" w14:textId="77777777" w:rsidTr="00B54A22">
        <w:trPr>
          <w:trHeight w:val="300"/>
        </w:trPr>
        <w:tc>
          <w:tcPr>
            <w:tcW w:w="0" w:type="auto"/>
            <w:noWrap/>
            <w:vAlign w:val="center"/>
            <w:hideMark/>
          </w:tcPr>
          <w:p w14:paraId="0676A928"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Ida-Viru</w:t>
            </w:r>
          </w:p>
        </w:tc>
        <w:tc>
          <w:tcPr>
            <w:tcW w:w="0" w:type="auto"/>
            <w:noWrap/>
            <w:vAlign w:val="center"/>
            <w:hideMark/>
          </w:tcPr>
          <w:p w14:paraId="1144112A" w14:textId="19EF8E3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271</w:t>
            </w:r>
            <w:r w:rsidR="009364B5">
              <w:rPr>
                <w:rFonts w:asciiTheme="minorBidi" w:hAnsiTheme="minorBidi"/>
                <w:color w:val="000000"/>
                <w:sz w:val="18"/>
                <w:szCs w:val="18"/>
              </w:rPr>
              <w:t xml:space="preserve"> </w:t>
            </w:r>
            <w:r w:rsidRPr="00B7352C">
              <w:rPr>
                <w:rFonts w:asciiTheme="minorBidi" w:hAnsiTheme="minorBidi"/>
                <w:color w:val="000000"/>
                <w:sz w:val="18"/>
                <w:szCs w:val="18"/>
              </w:rPr>
              <w:t>354</w:t>
            </w:r>
          </w:p>
        </w:tc>
        <w:tc>
          <w:tcPr>
            <w:tcW w:w="0" w:type="auto"/>
            <w:noWrap/>
            <w:vAlign w:val="center"/>
            <w:hideMark/>
          </w:tcPr>
          <w:p w14:paraId="7B53437C" w14:textId="30903FB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169</w:t>
            </w:r>
            <w:r w:rsidR="009364B5">
              <w:rPr>
                <w:rFonts w:asciiTheme="minorBidi" w:hAnsiTheme="minorBidi"/>
                <w:color w:val="000000"/>
                <w:sz w:val="18"/>
                <w:szCs w:val="18"/>
              </w:rPr>
              <w:t xml:space="preserve"> </w:t>
            </w:r>
            <w:r w:rsidRPr="00B7352C">
              <w:rPr>
                <w:rFonts w:asciiTheme="minorBidi" w:hAnsiTheme="minorBidi"/>
                <w:color w:val="000000"/>
                <w:sz w:val="18"/>
                <w:szCs w:val="18"/>
              </w:rPr>
              <w:t>041</w:t>
            </w:r>
          </w:p>
        </w:tc>
        <w:tc>
          <w:tcPr>
            <w:tcW w:w="0" w:type="auto"/>
            <w:noWrap/>
            <w:vAlign w:val="center"/>
            <w:hideMark/>
          </w:tcPr>
          <w:p w14:paraId="4450D3F9" w14:textId="03B1FAF4"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168</w:t>
            </w:r>
            <w:r w:rsidR="009364B5">
              <w:rPr>
                <w:rFonts w:asciiTheme="minorBidi" w:hAnsiTheme="minorBidi"/>
                <w:color w:val="000000"/>
                <w:sz w:val="18"/>
                <w:szCs w:val="18"/>
              </w:rPr>
              <w:t xml:space="preserve"> </w:t>
            </w:r>
            <w:r w:rsidRPr="00B7352C">
              <w:rPr>
                <w:rFonts w:asciiTheme="minorBidi" w:hAnsiTheme="minorBidi"/>
                <w:color w:val="000000"/>
                <w:sz w:val="18"/>
                <w:szCs w:val="18"/>
              </w:rPr>
              <w:t>322</w:t>
            </w:r>
          </w:p>
        </w:tc>
        <w:tc>
          <w:tcPr>
            <w:tcW w:w="0" w:type="auto"/>
            <w:noWrap/>
            <w:vAlign w:val="center"/>
            <w:hideMark/>
          </w:tcPr>
          <w:p w14:paraId="6BE0CEE5" w14:textId="1DBD55D1"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209</w:t>
            </w:r>
            <w:r w:rsidR="009364B5">
              <w:rPr>
                <w:rFonts w:asciiTheme="minorBidi" w:hAnsiTheme="minorBidi"/>
                <w:color w:val="000000"/>
                <w:sz w:val="18"/>
                <w:szCs w:val="18"/>
              </w:rPr>
              <w:t xml:space="preserve"> </w:t>
            </w:r>
            <w:r w:rsidRPr="00B7352C">
              <w:rPr>
                <w:rFonts w:asciiTheme="minorBidi" w:hAnsiTheme="minorBidi"/>
                <w:color w:val="000000"/>
                <w:sz w:val="18"/>
                <w:szCs w:val="18"/>
              </w:rPr>
              <w:t>885</w:t>
            </w:r>
          </w:p>
        </w:tc>
        <w:tc>
          <w:tcPr>
            <w:tcW w:w="0" w:type="auto"/>
            <w:noWrap/>
            <w:vAlign w:val="center"/>
            <w:hideMark/>
          </w:tcPr>
          <w:p w14:paraId="2A6E266C" w14:textId="0F468ED6"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208</w:t>
            </w:r>
            <w:r w:rsidR="009364B5">
              <w:rPr>
                <w:rFonts w:asciiTheme="minorBidi" w:hAnsiTheme="minorBidi"/>
                <w:color w:val="000000"/>
                <w:sz w:val="18"/>
                <w:szCs w:val="18"/>
              </w:rPr>
              <w:t xml:space="preserve"> </w:t>
            </w:r>
            <w:r w:rsidRPr="00B7352C">
              <w:rPr>
                <w:rFonts w:asciiTheme="minorBidi" w:hAnsiTheme="minorBidi"/>
                <w:color w:val="000000"/>
                <w:sz w:val="18"/>
                <w:szCs w:val="18"/>
              </w:rPr>
              <w:t>688</w:t>
            </w:r>
          </w:p>
        </w:tc>
        <w:tc>
          <w:tcPr>
            <w:tcW w:w="0" w:type="auto"/>
            <w:noWrap/>
            <w:vAlign w:val="center"/>
            <w:hideMark/>
          </w:tcPr>
          <w:p w14:paraId="5EC4C131"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3D346B56"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-23%</w:t>
            </w:r>
          </w:p>
        </w:tc>
        <w:tc>
          <w:tcPr>
            <w:tcW w:w="0" w:type="auto"/>
            <w:noWrap/>
            <w:vAlign w:val="center"/>
            <w:hideMark/>
          </w:tcPr>
          <w:p w14:paraId="1F06A9B8"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5DA9CBC3" w14:textId="2584D40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481</w:t>
            </w:r>
            <w:r w:rsidR="009364B5">
              <w:rPr>
                <w:rFonts w:asciiTheme="minorBidi" w:hAnsiTheme="minorBidi"/>
                <w:color w:val="000000"/>
                <w:sz w:val="18"/>
                <w:szCs w:val="18"/>
              </w:rPr>
              <w:t xml:space="preserve"> </w:t>
            </w:r>
            <w:r w:rsidRPr="00B7352C">
              <w:rPr>
                <w:rFonts w:asciiTheme="minorBidi" w:hAnsiTheme="minorBidi"/>
                <w:color w:val="000000"/>
                <w:sz w:val="18"/>
                <w:szCs w:val="18"/>
              </w:rPr>
              <w:t>117</w:t>
            </w:r>
          </w:p>
        </w:tc>
        <w:tc>
          <w:tcPr>
            <w:tcW w:w="0" w:type="auto"/>
            <w:noWrap/>
            <w:vAlign w:val="center"/>
            <w:hideMark/>
          </w:tcPr>
          <w:p w14:paraId="55FAE276" w14:textId="22706C2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310</w:t>
            </w:r>
            <w:r w:rsidR="009364B5">
              <w:rPr>
                <w:rFonts w:asciiTheme="minorBidi" w:hAnsiTheme="minorBidi"/>
                <w:color w:val="000000"/>
                <w:sz w:val="18"/>
                <w:szCs w:val="18"/>
              </w:rPr>
              <w:t xml:space="preserve"> </w:t>
            </w:r>
            <w:r w:rsidRPr="00B7352C">
              <w:rPr>
                <w:rFonts w:asciiTheme="minorBidi" w:hAnsiTheme="minorBidi"/>
                <w:color w:val="000000"/>
                <w:sz w:val="18"/>
                <w:szCs w:val="18"/>
              </w:rPr>
              <w:t>537</w:t>
            </w:r>
          </w:p>
        </w:tc>
        <w:tc>
          <w:tcPr>
            <w:tcW w:w="0" w:type="auto"/>
            <w:noWrap/>
            <w:vAlign w:val="center"/>
            <w:hideMark/>
          </w:tcPr>
          <w:p w14:paraId="14CEB4EB" w14:textId="73A136B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311</w:t>
            </w:r>
            <w:r w:rsidR="009364B5">
              <w:rPr>
                <w:rFonts w:asciiTheme="minorBidi" w:hAnsiTheme="minorBidi"/>
                <w:color w:val="000000"/>
                <w:sz w:val="18"/>
                <w:szCs w:val="18"/>
              </w:rPr>
              <w:t xml:space="preserve"> </w:t>
            </w:r>
            <w:r w:rsidRPr="00B7352C">
              <w:rPr>
                <w:rFonts w:asciiTheme="minorBidi" w:hAnsiTheme="minorBidi"/>
                <w:color w:val="000000"/>
                <w:sz w:val="18"/>
                <w:szCs w:val="18"/>
              </w:rPr>
              <w:t>336</w:t>
            </w:r>
          </w:p>
        </w:tc>
        <w:tc>
          <w:tcPr>
            <w:tcW w:w="0" w:type="auto"/>
            <w:noWrap/>
            <w:vAlign w:val="center"/>
            <w:hideMark/>
          </w:tcPr>
          <w:p w14:paraId="58FF4C00" w14:textId="778D95FE"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386</w:t>
            </w:r>
            <w:r w:rsidR="009364B5">
              <w:rPr>
                <w:rFonts w:asciiTheme="minorBidi" w:hAnsiTheme="minorBidi"/>
                <w:color w:val="000000"/>
                <w:sz w:val="18"/>
                <w:szCs w:val="18"/>
              </w:rPr>
              <w:t xml:space="preserve"> </w:t>
            </w:r>
            <w:r w:rsidRPr="00B7352C">
              <w:rPr>
                <w:rFonts w:asciiTheme="minorBidi" w:hAnsiTheme="minorBidi"/>
                <w:color w:val="000000"/>
                <w:sz w:val="18"/>
                <w:szCs w:val="18"/>
              </w:rPr>
              <w:t>715</w:t>
            </w:r>
          </w:p>
        </w:tc>
        <w:tc>
          <w:tcPr>
            <w:tcW w:w="0" w:type="auto"/>
            <w:noWrap/>
            <w:vAlign w:val="center"/>
            <w:hideMark/>
          </w:tcPr>
          <w:p w14:paraId="5513716B" w14:textId="1EE3E1C4"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383</w:t>
            </w:r>
            <w:r w:rsidR="009364B5">
              <w:rPr>
                <w:rFonts w:asciiTheme="minorBidi" w:hAnsiTheme="minorBidi"/>
                <w:color w:val="000000"/>
                <w:sz w:val="18"/>
                <w:szCs w:val="18"/>
              </w:rPr>
              <w:t xml:space="preserve"> </w:t>
            </w:r>
            <w:r w:rsidRPr="00B7352C">
              <w:rPr>
                <w:rFonts w:asciiTheme="minorBidi" w:hAnsiTheme="minorBidi"/>
                <w:color w:val="000000"/>
                <w:sz w:val="18"/>
                <w:szCs w:val="18"/>
              </w:rPr>
              <w:t>028</w:t>
            </w:r>
          </w:p>
        </w:tc>
        <w:tc>
          <w:tcPr>
            <w:tcW w:w="0" w:type="auto"/>
            <w:noWrap/>
            <w:vAlign w:val="center"/>
            <w:hideMark/>
          </w:tcPr>
          <w:p w14:paraId="65F2F268"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344A6622"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-20%</w:t>
            </w:r>
          </w:p>
        </w:tc>
      </w:tr>
      <w:tr w:rsidR="00B54A22" w:rsidRPr="00B7352C" w14:paraId="2418DC63" w14:textId="77777777" w:rsidTr="00B54A22">
        <w:trPr>
          <w:trHeight w:val="300"/>
        </w:trPr>
        <w:tc>
          <w:tcPr>
            <w:tcW w:w="0" w:type="auto"/>
            <w:noWrap/>
            <w:vAlign w:val="center"/>
            <w:hideMark/>
          </w:tcPr>
          <w:p w14:paraId="30EF6175"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Jõgeva</w:t>
            </w:r>
          </w:p>
        </w:tc>
        <w:tc>
          <w:tcPr>
            <w:tcW w:w="0" w:type="auto"/>
            <w:noWrap/>
            <w:vAlign w:val="center"/>
            <w:hideMark/>
          </w:tcPr>
          <w:p w14:paraId="6A7A8591" w14:textId="166EA90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22</w:t>
            </w:r>
            <w:r w:rsidR="009364B5">
              <w:rPr>
                <w:rFonts w:asciiTheme="minorBidi" w:hAnsiTheme="minorBidi"/>
                <w:color w:val="000000"/>
                <w:sz w:val="18"/>
                <w:szCs w:val="18"/>
              </w:rPr>
              <w:t xml:space="preserve"> </w:t>
            </w:r>
            <w:r w:rsidRPr="00B7352C">
              <w:rPr>
                <w:rFonts w:asciiTheme="minorBidi" w:hAnsiTheme="minorBidi"/>
                <w:color w:val="000000"/>
                <w:sz w:val="18"/>
                <w:szCs w:val="18"/>
              </w:rPr>
              <w:t>700</w:t>
            </w:r>
          </w:p>
        </w:tc>
        <w:tc>
          <w:tcPr>
            <w:tcW w:w="0" w:type="auto"/>
            <w:noWrap/>
            <w:vAlign w:val="center"/>
            <w:hideMark/>
          </w:tcPr>
          <w:p w14:paraId="7962F120" w14:textId="4CDB4151"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18</w:t>
            </w:r>
            <w:r w:rsidR="009364B5">
              <w:rPr>
                <w:rFonts w:asciiTheme="minorBidi" w:hAnsiTheme="minorBidi"/>
                <w:color w:val="000000"/>
                <w:sz w:val="18"/>
                <w:szCs w:val="18"/>
              </w:rPr>
              <w:t xml:space="preserve"> </w:t>
            </w:r>
            <w:r w:rsidRPr="00B7352C">
              <w:rPr>
                <w:rFonts w:asciiTheme="minorBidi" w:hAnsiTheme="minorBidi"/>
                <w:color w:val="000000"/>
                <w:sz w:val="18"/>
                <w:szCs w:val="18"/>
              </w:rPr>
              <w:t>801</w:t>
            </w:r>
          </w:p>
        </w:tc>
        <w:tc>
          <w:tcPr>
            <w:tcW w:w="0" w:type="auto"/>
            <w:noWrap/>
            <w:vAlign w:val="center"/>
            <w:hideMark/>
          </w:tcPr>
          <w:p w14:paraId="63C95694" w14:textId="5F4C0F54"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20</w:t>
            </w:r>
            <w:r w:rsidR="009364B5">
              <w:rPr>
                <w:rFonts w:asciiTheme="minorBidi" w:hAnsiTheme="minorBidi"/>
                <w:color w:val="000000"/>
                <w:sz w:val="18"/>
                <w:szCs w:val="18"/>
              </w:rPr>
              <w:t xml:space="preserve"> </w:t>
            </w:r>
            <w:r w:rsidRPr="00B7352C">
              <w:rPr>
                <w:rFonts w:asciiTheme="minorBidi" w:hAnsiTheme="minorBidi"/>
                <w:color w:val="000000"/>
                <w:sz w:val="18"/>
                <w:szCs w:val="18"/>
              </w:rPr>
              <w:t>694</w:t>
            </w:r>
          </w:p>
        </w:tc>
        <w:tc>
          <w:tcPr>
            <w:tcW w:w="0" w:type="auto"/>
            <w:noWrap/>
            <w:vAlign w:val="center"/>
            <w:hideMark/>
          </w:tcPr>
          <w:p w14:paraId="3E0B52A5" w14:textId="695A96D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24</w:t>
            </w:r>
            <w:r w:rsidR="009364B5">
              <w:rPr>
                <w:rFonts w:asciiTheme="minorBidi" w:hAnsiTheme="minorBidi"/>
                <w:color w:val="000000"/>
                <w:sz w:val="18"/>
                <w:szCs w:val="18"/>
              </w:rPr>
              <w:t xml:space="preserve"> </w:t>
            </w:r>
            <w:r w:rsidRPr="00B7352C">
              <w:rPr>
                <w:rFonts w:asciiTheme="minorBidi" w:hAnsiTheme="minorBidi"/>
                <w:color w:val="000000"/>
                <w:sz w:val="18"/>
                <w:szCs w:val="18"/>
              </w:rPr>
              <w:t>425</w:t>
            </w:r>
          </w:p>
        </w:tc>
        <w:tc>
          <w:tcPr>
            <w:tcW w:w="0" w:type="auto"/>
            <w:noWrap/>
            <w:vAlign w:val="center"/>
            <w:hideMark/>
          </w:tcPr>
          <w:p w14:paraId="536E467A" w14:textId="2881E750"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22</w:t>
            </w:r>
            <w:r w:rsidR="009364B5">
              <w:rPr>
                <w:rFonts w:asciiTheme="minorBidi" w:hAnsiTheme="minorBidi"/>
                <w:color w:val="000000"/>
                <w:sz w:val="18"/>
                <w:szCs w:val="18"/>
              </w:rPr>
              <w:t xml:space="preserve"> </w:t>
            </w:r>
            <w:r w:rsidRPr="00B7352C">
              <w:rPr>
                <w:rFonts w:asciiTheme="minorBidi" w:hAnsiTheme="minorBidi"/>
                <w:color w:val="000000"/>
                <w:sz w:val="18"/>
                <w:szCs w:val="18"/>
              </w:rPr>
              <w:t>028</w:t>
            </w:r>
          </w:p>
        </w:tc>
        <w:tc>
          <w:tcPr>
            <w:tcW w:w="0" w:type="auto"/>
            <w:noWrap/>
            <w:vAlign w:val="center"/>
            <w:hideMark/>
          </w:tcPr>
          <w:p w14:paraId="48929B8C"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3B6632E9"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-3%</w:t>
            </w:r>
          </w:p>
        </w:tc>
        <w:tc>
          <w:tcPr>
            <w:tcW w:w="0" w:type="auto"/>
            <w:noWrap/>
            <w:vAlign w:val="center"/>
            <w:hideMark/>
          </w:tcPr>
          <w:p w14:paraId="5ABBE172"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74C4B338" w14:textId="2C4428F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38</w:t>
            </w:r>
            <w:r w:rsidR="009364B5">
              <w:rPr>
                <w:rFonts w:asciiTheme="minorBidi" w:hAnsiTheme="minorBidi"/>
                <w:color w:val="000000"/>
                <w:sz w:val="18"/>
                <w:szCs w:val="18"/>
              </w:rPr>
              <w:t xml:space="preserve"> </w:t>
            </w:r>
            <w:r w:rsidRPr="00B7352C">
              <w:rPr>
                <w:rFonts w:asciiTheme="minorBidi" w:hAnsiTheme="minorBidi"/>
                <w:color w:val="000000"/>
                <w:sz w:val="18"/>
                <w:szCs w:val="18"/>
              </w:rPr>
              <w:t>103</w:t>
            </w:r>
          </w:p>
        </w:tc>
        <w:tc>
          <w:tcPr>
            <w:tcW w:w="0" w:type="auto"/>
            <w:noWrap/>
            <w:vAlign w:val="center"/>
            <w:hideMark/>
          </w:tcPr>
          <w:p w14:paraId="391C5F42" w14:textId="6BBB2E6B"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36</w:t>
            </w:r>
            <w:r w:rsidR="009364B5">
              <w:rPr>
                <w:rFonts w:asciiTheme="minorBidi" w:hAnsiTheme="minorBidi"/>
                <w:color w:val="000000"/>
                <w:sz w:val="18"/>
                <w:szCs w:val="18"/>
              </w:rPr>
              <w:t xml:space="preserve"> </w:t>
            </w:r>
            <w:r w:rsidRPr="00B7352C">
              <w:rPr>
                <w:rFonts w:asciiTheme="minorBidi" w:hAnsiTheme="minorBidi"/>
                <w:color w:val="000000"/>
                <w:sz w:val="18"/>
                <w:szCs w:val="18"/>
              </w:rPr>
              <w:t>014</w:t>
            </w:r>
          </w:p>
        </w:tc>
        <w:tc>
          <w:tcPr>
            <w:tcW w:w="0" w:type="auto"/>
            <w:noWrap/>
            <w:vAlign w:val="center"/>
            <w:hideMark/>
          </w:tcPr>
          <w:p w14:paraId="107F40D2" w14:textId="5A020E8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37</w:t>
            </w:r>
            <w:r w:rsidR="009364B5">
              <w:rPr>
                <w:rFonts w:asciiTheme="minorBidi" w:hAnsiTheme="minorBidi"/>
                <w:color w:val="000000"/>
                <w:sz w:val="18"/>
                <w:szCs w:val="18"/>
              </w:rPr>
              <w:t xml:space="preserve"> </w:t>
            </w:r>
            <w:r w:rsidRPr="00B7352C">
              <w:rPr>
                <w:rFonts w:asciiTheme="minorBidi" w:hAnsiTheme="minorBidi"/>
                <w:color w:val="000000"/>
                <w:sz w:val="18"/>
                <w:szCs w:val="18"/>
              </w:rPr>
              <w:t>712</w:t>
            </w:r>
          </w:p>
        </w:tc>
        <w:tc>
          <w:tcPr>
            <w:tcW w:w="0" w:type="auto"/>
            <w:noWrap/>
            <w:vAlign w:val="center"/>
            <w:hideMark/>
          </w:tcPr>
          <w:p w14:paraId="7CE66398" w14:textId="25CCEB4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47</w:t>
            </w:r>
            <w:r w:rsidR="009364B5">
              <w:rPr>
                <w:rFonts w:asciiTheme="minorBidi" w:hAnsiTheme="minorBidi"/>
                <w:color w:val="000000"/>
                <w:sz w:val="18"/>
                <w:szCs w:val="18"/>
              </w:rPr>
              <w:t xml:space="preserve"> </w:t>
            </w:r>
            <w:r w:rsidRPr="00B7352C">
              <w:rPr>
                <w:rFonts w:asciiTheme="minorBidi" w:hAnsiTheme="minorBidi"/>
                <w:color w:val="000000"/>
                <w:sz w:val="18"/>
                <w:szCs w:val="18"/>
              </w:rPr>
              <w:t>059</w:t>
            </w:r>
          </w:p>
        </w:tc>
        <w:tc>
          <w:tcPr>
            <w:tcW w:w="0" w:type="auto"/>
            <w:noWrap/>
            <w:vAlign w:val="center"/>
            <w:hideMark/>
          </w:tcPr>
          <w:p w14:paraId="2D87BDF9" w14:textId="2A9C2874"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44</w:t>
            </w:r>
            <w:r w:rsidR="009364B5">
              <w:rPr>
                <w:rFonts w:asciiTheme="minorBidi" w:hAnsiTheme="minorBidi"/>
                <w:color w:val="000000"/>
                <w:sz w:val="18"/>
                <w:szCs w:val="18"/>
              </w:rPr>
              <w:t xml:space="preserve"> </w:t>
            </w:r>
            <w:r w:rsidRPr="00B7352C">
              <w:rPr>
                <w:rFonts w:asciiTheme="minorBidi" w:hAnsiTheme="minorBidi"/>
                <w:color w:val="000000"/>
                <w:sz w:val="18"/>
                <w:szCs w:val="18"/>
              </w:rPr>
              <w:t>665</w:t>
            </w:r>
          </w:p>
        </w:tc>
        <w:tc>
          <w:tcPr>
            <w:tcW w:w="0" w:type="auto"/>
            <w:noWrap/>
            <w:vAlign w:val="center"/>
            <w:hideMark/>
          </w:tcPr>
          <w:p w14:paraId="4B8FC7C2"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65EF3032"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17%</w:t>
            </w:r>
          </w:p>
        </w:tc>
      </w:tr>
      <w:tr w:rsidR="00B54A22" w:rsidRPr="00B7352C" w14:paraId="69C68A53" w14:textId="77777777" w:rsidTr="00B54A22">
        <w:trPr>
          <w:trHeight w:val="300"/>
        </w:trPr>
        <w:tc>
          <w:tcPr>
            <w:tcW w:w="0" w:type="auto"/>
            <w:noWrap/>
            <w:vAlign w:val="center"/>
            <w:hideMark/>
          </w:tcPr>
          <w:p w14:paraId="68CB7CDB"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Järva</w:t>
            </w:r>
          </w:p>
        </w:tc>
        <w:tc>
          <w:tcPr>
            <w:tcW w:w="0" w:type="auto"/>
            <w:noWrap/>
            <w:vAlign w:val="center"/>
            <w:hideMark/>
          </w:tcPr>
          <w:p w14:paraId="6181D4EB" w14:textId="06897794"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28</w:t>
            </w:r>
            <w:r w:rsidR="009364B5">
              <w:rPr>
                <w:rFonts w:asciiTheme="minorBidi" w:hAnsiTheme="minorBidi"/>
                <w:color w:val="000000"/>
                <w:sz w:val="18"/>
                <w:szCs w:val="18"/>
              </w:rPr>
              <w:t xml:space="preserve"> </w:t>
            </w:r>
            <w:r w:rsidRPr="00B7352C">
              <w:rPr>
                <w:rFonts w:asciiTheme="minorBidi" w:hAnsiTheme="minorBidi"/>
                <w:color w:val="000000"/>
                <w:sz w:val="18"/>
                <w:szCs w:val="18"/>
              </w:rPr>
              <w:t>064</w:t>
            </w:r>
          </w:p>
        </w:tc>
        <w:tc>
          <w:tcPr>
            <w:tcW w:w="0" w:type="auto"/>
            <w:noWrap/>
            <w:vAlign w:val="center"/>
            <w:hideMark/>
          </w:tcPr>
          <w:p w14:paraId="4CD222C6" w14:textId="0A3F3BBA"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19</w:t>
            </w:r>
            <w:r w:rsidR="009364B5">
              <w:rPr>
                <w:rFonts w:asciiTheme="minorBidi" w:hAnsiTheme="minorBidi"/>
                <w:color w:val="000000"/>
                <w:sz w:val="18"/>
                <w:szCs w:val="18"/>
              </w:rPr>
              <w:t xml:space="preserve"> </w:t>
            </w:r>
            <w:r w:rsidRPr="00B7352C">
              <w:rPr>
                <w:rFonts w:asciiTheme="minorBidi" w:hAnsiTheme="minorBidi"/>
                <w:color w:val="000000"/>
                <w:sz w:val="18"/>
                <w:szCs w:val="18"/>
              </w:rPr>
              <w:t>695</w:t>
            </w:r>
          </w:p>
        </w:tc>
        <w:tc>
          <w:tcPr>
            <w:tcW w:w="0" w:type="auto"/>
            <w:noWrap/>
            <w:vAlign w:val="center"/>
            <w:hideMark/>
          </w:tcPr>
          <w:p w14:paraId="348CD2E2" w14:textId="3F05EA32"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22</w:t>
            </w:r>
            <w:r w:rsidR="009364B5">
              <w:rPr>
                <w:rFonts w:asciiTheme="minorBidi" w:hAnsiTheme="minorBidi"/>
                <w:color w:val="000000"/>
                <w:sz w:val="18"/>
                <w:szCs w:val="18"/>
              </w:rPr>
              <w:t xml:space="preserve"> </w:t>
            </w:r>
            <w:r w:rsidRPr="00B7352C">
              <w:rPr>
                <w:rFonts w:asciiTheme="minorBidi" w:hAnsiTheme="minorBidi"/>
                <w:color w:val="000000"/>
                <w:sz w:val="18"/>
                <w:szCs w:val="18"/>
              </w:rPr>
              <w:t>952</w:t>
            </w:r>
          </w:p>
        </w:tc>
        <w:tc>
          <w:tcPr>
            <w:tcW w:w="0" w:type="auto"/>
            <w:noWrap/>
            <w:vAlign w:val="center"/>
            <w:hideMark/>
          </w:tcPr>
          <w:p w14:paraId="1982F07C" w14:textId="62FF2B87"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34</w:t>
            </w:r>
            <w:r w:rsidR="009364B5">
              <w:rPr>
                <w:rFonts w:asciiTheme="minorBidi" w:hAnsiTheme="minorBidi"/>
                <w:color w:val="000000"/>
                <w:sz w:val="18"/>
                <w:szCs w:val="18"/>
              </w:rPr>
              <w:t xml:space="preserve"> </w:t>
            </w:r>
            <w:r w:rsidRPr="00B7352C">
              <w:rPr>
                <w:rFonts w:asciiTheme="minorBidi" w:hAnsiTheme="minorBidi"/>
                <w:color w:val="000000"/>
                <w:sz w:val="18"/>
                <w:szCs w:val="18"/>
              </w:rPr>
              <w:t>599</w:t>
            </w:r>
          </w:p>
        </w:tc>
        <w:tc>
          <w:tcPr>
            <w:tcW w:w="0" w:type="auto"/>
            <w:noWrap/>
            <w:vAlign w:val="center"/>
            <w:hideMark/>
          </w:tcPr>
          <w:p w14:paraId="4F508A5B" w14:textId="15EBA11B"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36</w:t>
            </w:r>
            <w:r w:rsidR="009364B5">
              <w:rPr>
                <w:rFonts w:asciiTheme="minorBidi" w:hAnsiTheme="minorBidi"/>
                <w:color w:val="000000"/>
                <w:sz w:val="18"/>
                <w:szCs w:val="18"/>
              </w:rPr>
              <w:t xml:space="preserve"> </w:t>
            </w:r>
            <w:r w:rsidRPr="00B7352C">
              <w:rPr>
                <w:rFonts w:asciiTheme="minorBidi" w:hAnsiTheme="minorBidi"/>
                <w:color w:val="000000"/>
                <w:sz w:val="18"/>
                <w:szCs w:val="18"/>
              </w:rPr>
              <w:t>058</w:t>
            </w:r>
          </w:p>
        </w:tc>
        <w:tc>
          <w:tcPr>
            <w:tcW w:w="0" w:type="auto"/>
            <w:noWrap/>
            <w:vAlign w:val="center"/>
            <w:hideMark/>
          </w:tcPr>
          <w:p w14:paraId="5FD89F92"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146E8E11"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28%</w:t>
            </w:r>
          </w:p>
        </w:tc>
        <w:tc>
          <w:tcPr>
            <w:tcW w:w="0" w:type="auto"/>
            <w:noWrap/>
            <w:vAlign w:val="center"/>
            <w:hideMark/>
          </w:tcPr>
          <w:p w14:paraId="704CD679"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4ECCD7EB" w14:textId="39C13309"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46</w:t>
            </w:r>
            <w:r w:rsidR="009364B5">
              <w:rPr>
                <w:rFonts w:asciiTheme="minorBidi" w:hAnsiTheme="minorBidi"/>
                <w:color w:val="000000"/>
                <w:sz w:val="18"/>
                <w:szCs w:val="18"/>
              </w:rPr>
              <w:t xml:space="preserve"> </w:t>
            </w:r>
            <w:r w:rsidRPr="00B7352C">
              <w:rPr>
                <w:rFonts w:asciiTheme="minorBidi" w:hAnsiTheme="minorBidi"/>
                <w:color w:val="000000"/>
                <w:sz w:val="18"/>
                <w:szCs w:val="18"/>
              </w:rPr>
              <w:t>214</w:t>
            </w:r>
          </w:p>
        </w:tc>
        <w:tc>
          <w:tcPr>
            <w:tcW w:w="0" w:type="auto"/>
            <w:noWrap/>
            <w:vAlign w:val="center"/>
            <w:hideMark/>
          </w:tcPr>
          <w:p w14:paraId="238424DF" w14:textId="0FDC3B9C"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31</w:t>
            </w:r>
            <w:r w:rsidR="009364B5">
              <w:rPr>
                <w:rFonts w:asciiTheme="minorBidi" w:hAnsiTheme="minorBidi"/>
                <w:color w:val="000000"/>
                <w:sz w:val="18"/>
                <w:szCs w:val="18"/>
              </w:rPr>
              <w:t xml:space="preserve"> </w:t>
            </w:r>
            <w:r w:rsidRPr="00B7352C">
              <w:rPr>
                <w:rFonts w:asciiTheme="minorBidi" w:hAnsiTheme="minorBidi"/>
                <w:color w:val="000000"/>
                <w:sz w:val="18"/>
                <w:szCs w:val="18"/>
              </w:rPr>
              <w:t>760</w:t>
            </w:r>
          </w:p>
        </w:tc>
        <w:tc>
          <w:tcPr>
            <w:tcW w:w="0" w:type="auto"/>
            <w:noWrap/>
            <w:vAlign w:val="center"/>
            <w:hideMark/>
          </w:tcPr>
          <w:p w14:paraId="1F8731F7" w14:textId="64AA42F0"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40</w:t>
            </w:r>
            <w:r w:rsidR="009364B5">
              <w:rPr>
                <w:rFonts w:asciiTheme="minorBidi" w:hAnsiTheme="minorBidi"/>
                <w:color w:val="000000"/>
                <w:sz w:val="18"/>
                <w:szCs w:val="18"/>
              </w:rPr>
              <w:t xml:space="preserve"> </w:t>
            </w:r>
            <w:r w:rsidRPr="00B7352C">
              <w:rPr>
                <w:rFonts w:asciiTheme="minorBidi" w:hAnsiTheme="minorBidi"/>
                <w:color w:val="000000"/>
                <w:sz w:val="18"/>
                <w:szCs w:val="18"/>
              </w:rPr>
              <w:t>831</w:t>
            </w:r>
          </w:p>
        </w:tc>
        <w:tc>
          <w:tcPr>
            <w:tcW w:w="0" w:type="auto"/>
            <w:noWrap/>
            <w:vAlign w:val="center"/>
            <w:hideMark/>
          </w:tcPr>
          <w:p w14:paraId="209497FD" w14:textId="37BB803F"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70</w:t>
            </w:r>
            <w:r w:rsidR="009364B5">
              <w:rPr>
                <w:rFonts w:asciiTheme="minorBidi" w:hAnsiTheme="minorBidi"/>
                <w:color w:val="000000"/>
                <w:sz w:val="18"/>
                <w:szCs w:val="18"/>
              </w:rPr>
              <w:t xml:space="preserve"> </w:t>
            </w:r>
            <w:r w:rsidRPr="00B7352C">
              <w:rPr>
                <w:rFonts w:asciiTheme="minorBidi" w:hAnsiTheme="minorBidi"/>
                <w:color w:val="000000"/>
                <w:sz w:val="18"/>
                <w:szCs w:val="18"/>
              </w:rPr>
              <w:t>063</w:t>
            </w:r>
          </w:p>
        </w:tc>
        <w:tc>
          <w:tcPr>
            <w:tcW w:w="0" w:type="auto"/>
            <w:noWrap/>
            <w:vAlign w:val="center"/>
            <w:hideMark/>
          </w:tcPr>
          <w:p w14:paraId="7F9794C8" w14:textId="708D97E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89</w:t>
            </w:r>
            <w:r w:rsidR="009364B5">
              <w:rPr>
                <w:rFonts w:asciiTheme="minorBidi" w:hAnsiTheme="minorBidi"/>
                <w:color w:val="000000"/>
                <w:sz w:val="18"/>
                <w:szCs w:val="18"/>
              </w:rPr>
              <w:t xml:space="preserve"> </w:t>
            </w:r>
            <w:r w:rsidRPr="00B7352C">
              <w:rPr>
                <w:rFonts w:asciiTheme="minorBidi" w:hAnsiTheme="minorBidi"/>
                <w:color w:val="000000"/>
                <w:sz w:val="18"/>
                <w:szCs w:val="18"/>
              </w:rPr>
              <w:t>911</w:t>
            </w:r>
          </w:p>
        </w:tc>
        <w:tc>
          <w:tcPr>
            <w:tcW w:w="0" w:type="auto"/>
            <w:noWrap/>
            <w:vAlign w:val="center"/>
            <w:hideMark/>
          </w:tcPr>
          <w:p w14:paraId="7533AE9F"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5ABEEE3D"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95%</w:t>
            </w:r>
          </w:p>
        </w:tc>
      </w:tr>
      <w:tr w:rsidR="00B54A22" w:rsidRPr="00B7352C" w14:paraId="19F85715" w14:textId="77777777" w:rsidTr="00B54A22">
        <w:trPr>
          <w:trHeight w:val="300"/>
        </w:trPr>
        <w:tc>
          <w:tcPr>
            <w:tcW w:w="0" w:type="auto"/>
            <w:noWrap/>
            <w:vAlign w:val="center"/>
            <w:hideMark/>
          </w:tcPr>
          <w:p w14:paraId="00B58F23"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Lääne</w:t>
            </w:r>
          </w:p>
        </w:tc>
        <w:tc>
          <w:tcPr>
            <w:tcW w:w="0" w:type="auto"/>
            <w:noWrap/>
            <w:vAlign w:val="center"/>
            <w:hideMark/>
          </w:tcPr>
          <w:p w14:paraId="5040E44A" w14:textId="11243A0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83</w:t>
            </w:r>
            <w:r w:rsidR="009364B5">
              <w:rPr>
                <w:rFonts w:asciiTheme="minorBidi" w:hAnsiTheme="minorBidi"/>
                <w:color w:val="000000"/>
                <w:sz w:val="18"/>
                <w:szCs w:val="18"/>
              </w:rPr>
              <w:t xml:space="preserve"> </w:t>
            </w:r>
            <w:r w:rsidRPr="00B7352C">
              <w:rPr>
                <w:rFonts w:asciiTheme="minorBidi" w:hAnsiTheme="minorBidi"/>
                <w:color w:val="000000"/>
                <w:sz w:val="18"/>
                <w:szCs w:val="18"/>
              </w:rPr>
              <w:t>252</w:t>
            </w:r>
          </w:p>
        </w:tc>
        <w:tc>
          <w:tcPr>
            <w:tcW w:w="0" w:type="auto"/>
            <w:noWrap/>
            <w:vAlign w:val="center"/>
            <w:hideMark/>
          </w:tcPr>
          <w:p w14:paraId="6482DC06" w14:textId="5D805376"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61</w:t>
            </w:r>
            <w:r w:rsidR="009364B5">
              <w:rPr>
                <w:rFonts w:asciiTheme="minorBidi" w:hAnsiTheme="minorBidi"/>
                <w:color w:val="000000"/>
                <w:sz w:val="18"/>
                <w:szCs w:val="18"/>
              </w:rPr>
              <w:t xml:space="preserve"> </w:t>
            </w:r>
            <w:r w:rsidRPr="00B7352C">
              <w:rPr>
                <w:rFonts w:asciiTheme="minorBidi" w:hAnsiTheme="minorBidi"/>
                <w:color w:val="000000"/>
                <w:sz w:val="18"/>
                <w:szCs w:val="18"/>
              </w:rPr>
              <w:t>394</w:t>
            </w:r>
          </w:p>
        </w:tc>
        <w:tc>
          <w:tcPr>
            <w:tcW w:w="0" w:type="auto"/>
            <w:noWrap/>
            <w:vAlign w:val="center"/>
            <w:hideMark/>
          </w:tcPr>
          <w:p w14:paraId="0B3FC220" w14:textId="129CB73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61</w:t>
            </w:r>
            <w:r w:rsidR="009364B5">
              <w:rPr>
                <w:rFonts w:asciiTheme="minorBidi" w:hAnsiTheme="minorBidi"/>
                <w:color w:val="000000"/>
                <w:sz w:val="18"/>
                <w:szCs w:val="18"/>
              </w:rPr>
              <w:t xml:space="preserve"> </w:t>
            </w:r>
            <w:r w:rsidRPr="00B7352C">
              <w:rPr>
                <w:rFonts w:asciiTheme="minorBidi" w:hAnsiTheme="minorBidi"/>
                <w:color w:val="000000"/>
                <w:sz w:val="18"/>
                <w:szCs w:val="18"/>
              </w:rPr>
              <w:t>358</w:t>
            </w:r>
          </w:p>
        </w:tc>
        <w:tc>
          <w:tcPr>
            <w:tcW w:w="0" w:type="auto"/>
            <w:noWrap/>
            <w:vAlign w:val="center"/>
            <w:hideMark/>
          </w:tcPr>
          <w:p w14:paraId="28070757" w14:textId="095306D2"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87</w:t>
            </w:r>
            <w:r w:rsidR="009364B5">
              <w:rPr>
                <w:rFonts w:asciiTheme="minorBidi" w:hAnsiTheme="minorBidi"/>
                <w:color w:val="000000"/>
                <w:sz w:val="18"/>
                <w:szCs w:val="18"/>
              </w:rPr>
              <w:t xml:space="preserve"> </w:t>
            </w:r>
            <w:r w:rsidRPr="00B7352C">
              <w:rPr>
                <w:rFonts w:asciiTheme="minorBidi" w:hAnsiTheme="minorBidi"/>
                <w:color w:val="000000"/>
                <w:sz w:val="18"/>
                <w:szCs w:val="18"/>
              </w:rPr>
              <w:t>121</w:t>
            </w:r>
          </w:p>
        </w:tc>
        <w:tc>
          <w:tcPr>
            <w:tcW w:w="0" w:type="auto"/>
            <w:noWrap/>
            <w:vAlign w:val="center"/>
            <w:hideMark/>
          </w:tcPr>
          <w:p w14:paraId="30B1538C" w14:textId="21C2340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96</w:t>
            </w:r>
            <w:r w:rsidR="009364B5">
              <w:rPr>
                <w:rFonts w:asciiTheme="minorBidi" w:hAnsiTheme="minorBidi"/>
                <w:color w:val="000000"/>
                <w:sz w:val="18"/>
                <w:szCs w:val="18"/>
              </w:rPr>
              <w:t xml:space="preserve"> </w:t>
            </w:r>
            <w:r w:rsidRPr="00B7352C">
              <w:rPr>
                <w:rFonts w:asciiTheme="minorBidi" w:hAnsiTheme="minorBidi"/>
                <w:color w:val="000000"/>
                <w:sz w:val="18"/>
                <w:szCs w:val="18"/>
              </w:rPr>
              <w:t>093</w:t>
            </w:r>
          </w:p>
        </w:tc>
        <w:tc>
          <w:tcPr>
            <w:tcW w:w="0" w:type="auto"/>
            <w:noWrap/>
            <w:vAlign w:val="center"/>
            <w:hideMark/>
          </w:tcPr>
          <w:p w14:paraId="1DDEEB84"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0BFDEFA3"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15%</w:t>
            </w:r>
          </w:p>
        </w:tc>
        <w:tc>
          <w:tcPr>
            <w:tcW w:w="0" w:type="auto"/>
            <w:noWrap/>
            <w:vAlign w:val="center"/>
            <w:hideMark/>
          </w:tcPr>
          <w:p w14:paraId="27DEFB09"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3051524D" w14:textId="2E1C5869"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178</w:t>
            </w:r>
            <w:r w:rsidR="009364B5">
              <w:rPr>
                <w:rFonts w:asciiTheme="minorBidi" w:hAnsiTheme="minorBidi"/>
                <w:color w:val="000000"/>
                <w:sz w:val="18"/>
                <w:szCs w:val="18"/>
              </w:rPr>
              <w:t xml:space="preserve"> </w:t>
            </w:r>
            <w:r w:rsidRPr="00B7352C">
              <w:rPr>
                <w:rFonts w:asciiTheme="minorBidi" w:hAnsiTheme="minorBidi"/>
                <w:color w:val="000000"/>
                <w:sz w:val="18"/>
                <w:szCs w:val="18"/>
              </w:rPr>
              <w:t>494</w:t>
            </w:r>
          </w:p>
        </w:tc>
        <w:tc>
          <w:tcPr>
            <w:tcW w:w="0" w:type="auto"/>
            <w:noWrap/>
            <w:vAlign w:val="center"/>
            <w:hideMark/>
          </w:tcPr>
          <w:p w14:paraId="3ACF1922" w14:textId="7BB8108B"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126</w:t>
            </w:r>
            <w:r w:rsidR="009364B5">
              <w:rPr>
                <w:rFonts w:asciiTheme="minorBidi" w:hAnsiTheme="minorBidi"/>
                <w:color w:val="000000"/>
                <w:sz w:val="18"/>
                <w:szCs w:val="18"/>
              </w:rPr>
              <w:t xml:space="preserve"> </w:t>
            </w:r>
            <w:r w:rsidRPr="00B7352C">
              <w:rPr>
                <w:rFonts w:asciiTheme="minorBidi" w:hAnsiTheme="minorBidi"/>
                <w:color w:val="000000"/>
                <w:sz w:val="18"/>
                <w:szCs w:val="18"/>
              </w:rPr>
              <w:t>047</w:t>
            </w:r>
          </w:p>
        </w:tc>
        <w:tc>
          <w:tcPr>
            <w:tcW w:w="0" w:type="auto"/>
            <w:noWrap/>
            <w:vAlign w:val="center"/>
            <w:hideMark/>
          </w:tcPr>
          <w:p w14:paraId="3603F9EE" w14:textId="72CB3DF2"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112</w:t>
            </w:r>
            <w:r w:rsidR="009364B5">
              <w:rPr>
                <w:rFonts w:asciiTheme="minorBidi" w:hAnsiTheme="minorBidi"/>
                <w:color w:val="000000"/>
                <w:sz w:val="18"/>
                <w:szCs w:val="18"/>
              </w:rPr>
              <w:t xml:space="preserve"> </w:t>
            </w:r>
            <w:r w:rsidRPr="00B7352C">
              <w:rPr>
                <w:rFonts w:asciiTheme="minorBidi" w:hAnsiTheme="minorBidi"/>
                <w:color w:val="000000"/>
                <w:sz w:val="18"/>
                <w:szCs w:val="18"/>
              </w:rPr>
              <w:t>228</w:t>
            </w:r>
          </w:p>
        </w:tc>
        <w:tc>
          <w:tcPr>
            <w:tcW w:w="0" w:type="auto"/>
            <w:noWrap/>
            <w:vAlign w:val="center"/>
            <w:hideMark/>
          </w:tcPr>
          <w:p w14:paraId="5197EB5D" w14:textId="799A2D06"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162</w:t>
            </w:r>
            <w:r w:rsidR="009364B5">
              <w:rPr>
                <w:rFonts w:asciiTheme="minorBidi" w:hAnsiTheme="minorBidi"/>
                <w:color w:val="000000"/>
                <w:sz w:val="18"/>
                <w:szCs w:val="18"/>
              </w:rPr>
              <w:t xml:space="preserve"> </w:t>
            </w:r>
            <w:r w:rsidRPr="00B7352C">
              <w:rPr>
                <w:rFonts w:asciiTheme="minorBidi" w:hAnsiTheme="minorBidi"/>
                <w:color w:val="000000"/>
                <w:sz w:val="18"/>
                <w:szCs w:val="18"/>
              </w:rPr>
              <w:t>184</w:t>
            </w:r>
          </w:p>
        </w:tc>
        <w:tc>
          <w:tcPr>
            <w:tcW w:w="0" w:type="auto"/>
            <w:noWrap/>
            <w:vAlign w:val="center"/>
            <w:hideMark/>
          </w:tcPr>
          <w:p w14:paraId="4C2D28B3" w14:textId="5DBAF98E"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166</w:t>
            </w:r>
            <w:r w:rsidR="009364B5">
              <w:rPr>
                <w:rFonts w:asciiTheme="minorBidi" w:hAnsiTheme="minorBidi"/>
                <w:color w:val="000000"/>
                <w:sz w:val="18"/>
                <w:szCs w:val="18"/>
              </w:rPr>
              <w:t xml:space="preserve"> </w:t>
            </w:r>
            <w:r w:rsidRPr="00B7352C">
              <w:rPr>
                <w:rFonts w:asciiTheme="minorBidi" w:hAnsiTheme="minorBidi"/>
                <w:color w:val="000000"/>
                <w:sz w:val="18"/>
                <w:szCs w:val="18"/>
              </w:rPr>
              <w:t>377</w:t>
            </w:r>
          </w:p>
        </w:tc>
        <w:tc>
          <w:tcPr>
            <w:tcW w:w="0" w:type="auto"/>
            <w:noWrap/>
            <w:vAlign w:val="center"/>
            <w:hideMark/>
          </w:tcPr>
          <w:p w14:paraId="7B7F33AA"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59EDFC63"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-7%</w:t>
            </w:r>
          </w:p>
        </w:tc>
      </w:tr>
      <w:tr w:rsidR="00B54A22" w:rsidRPr="00B7352C" w14:paraId="00B6F9F0" w14:textId="77777777" w:rsidTr="00B54A22">
        <w:trPr>
          <w:trHeight w:val="300"/>
        </w:trPr>
        <w:tc>
          <w:tcPr>
            <w:tcW w:w="0" w:type="auto"/>
            <w:noWrap/>
            <w:vAlign w:val="center"/>
            <w:hideMark/>
          </w:tcPr>
          <w:p w14:paraId="6731706E"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Lääne-Viru</w:t>
            </w:r>
          </w:p>
        </w:tc>
        <w:tc>
          <w:tcPr>
            <w:tcW w:w="0" w:type="auto"/>
            <w:noWrap/>
            <w:vAlign w:val="center"/>
            <w:hideMark/>
          </w:tcPr>
          <w:p w14:paraId="6EB327D1" w14:textId="74921126"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143</w:t>
            </w:r>
            <w:r w:rsidR="009364B5">
              <w:rPr>
                <w:rFonts w:asciiTheme="minorBidi" w:hAnsiTheme="minorBidi"/>
                <w:color w:val="000000"/>
                <w:sz w:val="18"/>
                <w:szCs w:val="18"/>
              </w:rPr>
              <w:t xml:space="preserve"> </w:t>
            </w:r>
            <w:r w:rsidRPr="00B7352C">
              <w:rPr>
                <w:rFonts w:asciiTheme="minorBidi" w:hAnsiTheme="minorBidi"/>
                <w:color w:val="000000"/>
                <w:sz w:val="18"/>
                <w:szCs w:val="18"/>
              </w:rPr>
              <w:t>772</w:t>
            </w:r>
          </w:p>
        </w:tc>
        <w:tc>
          <w:tcPr>
            <w:tcW w:w="0" w:type="auto"/>
            <w:noWrap/>
            <w:vAlign w:val="center"/>
            <w:hideMark/>
          </w:tcPr>
          <w:p w14:paraId="6A0B606E" w14:textId="41C29572"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102</w:t>
            </w:r>
            <w:r w:rsidR="009364B5">
              <w:rPr>
                <w:rFonts w:asciiTheme="minorBidi" w:hAnsiTheme="minorBidi"/>
                <w:color w:val="000000"/>
                <w:sz w:val="18"/>
                <w:szCs w:val="18"/>
              </w:rPr>
              <w:t xml:space="preserve"> </w:t>
            </w:r>
            <w:r w:rsidRPr="00B7352C">
              <w:rPr>
                <w:rFonts w:asciiTheme="minorBidi" w:hAnsiTheme="minorBidi"/>
                <w:color w:val="000000"/>
                <w:sz w:val="18"/>
                <w:szCs w:val="18"/>
              </w:rPr>
              <w:t>739</w:t>
            </w:r>
          </w:p>
        </w:tc>
        <w:tc>
          <w:tcPr>
            <w:tcW w:w="0" w:type="auto"/>
            <w:noWrap/>
            <w:vAlign w:val="center"/>
            <w:hideMark/>
          </w:tcPr>
          <w:p w14:paraId="517F3E31" w14:textId="59249736"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108</w:t>
            </w:r>
            <w:r w:rsidR="009364B5">
              <w:rPr>
                <w:rFonts w:asciiTheme="minorBidi" w:hAnsiTheme="minorBidi"/>
                <w:color w:val="000000"/>
                <w:sz w:val="18"/>
                <w:szCs w:val="18"/>
              </w:rPr>
              <w:t xml:space="preserve"> </w:t>
            </w:r>
            <w:r w:rsidRPr="00B7352C">
              <w:rPr>
                <w:rFonts w:asciiTheme="minorBidi" w:hAnsiTheme="minorBidi"/>
                <w:color w:val="000000"/>
                <w:sz w:val="18"/>
                <w:szCs w:val="18"/>
              </w:rPr>
              <w:t>771</w:t>
            </w:r>
          </w:p>
        </w:tc>
        <w:tc>
          <w:tcPr>
            <w:tcW w:w="0" w:type="auto"/>
            <w:noWrap/>
            <w:vAlign w:val="center"/>
            <w:hideMark/>
          </w:tcPr>
          <w:p w14:paraId="1981BCAA" w14:textId="36E95F5C"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126</w:t>
            </w:r>
            <w:r w:rsidR="009364B5">
              <w:rPr>
                <w:rFonts w:asciiTheme="minorBidi" w:hAnsiTheme="minorBidi"/>
                <w:color w:val="000000"/>
                <w:sz w:val="18"/>
                <w:szCs w:val="18"/>
              </w:rPr>
              <w:t xml:space="preserve"> </w:t>
            </w:r>
            <w:r w:rsidRPr="00B7352C">
              <w:rPr>
                <w:rFonts w:asciiTheme="minorBidi" w:hAnsiTheme="minorBidi"/>
                <w:color w:val="000000"/>
                <w:sz w:val="18"/>
                <w:szCs w:val="18"/>
              </w:rPr>
              <w:t>760</w:t>
            </w:r>
          </w:p>
        </w:tc>
        <w:tc>
          <w:tcPr>
            <w:tcW w:w="0" w:type="auto"/>
            <w:noWrap/>
            <w:vAlign w:val="center"/>
            <w:hideMark/>
          </w:tcPr>
          <w:p w14:paraId="212F7796" w14:textId="2F21435C"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127</w:t>
            </w:r>
            <w:r w:rsidR="009364B5">
              <w:rPr>
                <w:rFonts w:asciiTheme="minorBidi" w:hAnsiTheme="minorBidi"/>
                <w:color w:val="000000"/>
                <w:sz w:val="18"/>
                <w:szCs w:val="18"/>
              </w:rPr>
              <w:t xml:space="preserve"> </w:t>
            </w:r>
            <w:r w:rsidRPr="00B7352C">
              <w:rPr>
                <w:rFonts w:asciiTheme="minorBidi" w:hAnsiTheme="minorBidi"/>
                <w:color w:val="000000"/>
                <w:sz w:val="18"/>
                <w:szCs w:val="18"/>
              </w:rPr>
              <w:t>607</w:t>
            </w:r>
          </w:p>
        </w:tc>
        <w:tc>
          <w:tcPr>
            <w:tcW w:w="0" w:type="auto"/>
            <w:noWrap/>
            <w:vAlign w:val="center"/>
            <w:hideMark/>
          </w:tcPr>
          <w:p w14:paraId="350B8751"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1652EF64" w14:textId="77777777" w:rsidR="00F72778"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color w:val="FF0000"/>
                <w:sz w:val="18"/>
                <w:szCs w:val="18"/>
              </w:rPr>
              <w:t>-11%</w:t>
            </w:r>
          </w:p>
        </w:tc>
        <w:tc>
          <w:tcPr>
            <w:tcW w:w="0" w:type="auto"/>
            <w:noWrap/>
            <w:vAlign w:val="center"/>
            <w:hideMark/>
          </w:tcPr>
          <w:p w14:paraId="06B69551"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258AEA91" w14:textId="74C9EB2A"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244</w:t>
            </w:r>
            <w:r w:rsidR="009364B5">
              <w:rPr>
                <w:rFonts w:asciiTheme="minorBidi" w:hAnsiTheme="minorBidi"/>
                <w:color w:val="000000"/>
                <w:sz w:val="18"/>
                <w:szCs w:val="18"/>
              </w:rPr>
              <w:t xml:space="preserve"> </w:t>
            </w:r>
            <w:r w:rsidRPr="00B7352C">
              <w:rPr>
                <w:rFonts w:asciiTheme="minorBidi" w:hAnsiTheme="minorBidi"/>
                <w:color w:val="000000"/>
                <w:sz w:val="18"/>
                <w:szCs w:val="18"/>
              </w:rPr>
              <w:t>661</w:t>
            </w:r>
          </w:p>
        </w:tc>
        <w:tc>
          <w:tcPr>
            <w:tcW w:w="0" w:type="auto"/>
            <w:noWrap/>
            <w:vAlign w:val="center"/>
            <w:hideMark/>
          </w:tcPr>
          <w:p w14:paraId="5D55819C" w14:textId="66235B71"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181</w:t>
            </w:r>
            <w:r w:rsidR="009364B5">
              <w:rPr>
                <w:rFonts w:asciiTheme="minorBidi" w:hAnsiTheme="minorBidi"/>
                <w:color w:val="000000"/>
                <w:sz w:val="18"/>
                <w:szCs w:val="18"/>
              </w:rPr>
              <w:t xml:space="preserve"> </w:t>
            </w:r>
            <w:r w:rsidRPr="00B7352C">
              <w:rPr>
                <w:rFonts w:asciiTheme="minorBidi" w:hAnsiTheme="minorBidi"/>
                <w:color w:val="000000"/>
                <w:sz w:val="18"/>
                <w:szCs w:val="18"/>
              </w:rPr>
              <w:t>344</w:t>
            </w:r>
          </w:p>
        </w:tc>
        <w:tc>
          <w:tcPr>
            <w:tcW w:w="0" w:type="auto"/>
            <w:noWrap/>
            <w:vAlign w:val="center"/>
            <w:hideMark/>
          </w:tcPr>
          <w:p w14:paraId="345A1BB5" w14:textId="16340E5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174</w:t>
            </w:r>
            <w:r w:rsidR="009364B5">
              <w:rPr>
                <w:rFonts w:asciiTheme="minorBidi" w:hAnsiTheme="minorBidi"/>
                <w:color w:val="000000"/>
                <w:sz w:val="18"/>
                <w:szCs w:val="18"/>
              </w:rPr>
              <w:t xml:space="preserve"> </w:t>
            </w:r>
            <w:r w:rsidRPr="00B7352C">
              <w:rPr>
                <w:rFonts w:asciiTheme="minorBidi" w:hAnsiTheme="minorBidi"/>
                <w:color w:val="000000"/>
                <w:sz w:val="18"/>
                <w:szCs w:val="18"/>
              </w:rPr>
              <w:t>534</w:t>
            </w:r>
          </w:p>
        </w:tc>
        <w:tc>
          <w:tcPr>
            <w:tcW w:w="0" w:type="auto"/>
            <w:noWrap/>
            <w:vAlign w:val="center"/>
            <w:hideMark/>
          </w:tcPr>
          <w:p w14:paraId="7FE5C704" w14:textId="09891E9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200</w:t>
            </w:r>
            <w:r w:rsidR="009364B5">
              <w:rPr>
                <w:rFonts w:asciiTheme="minorBidi" w:hAnsiTheme="minorBidi"/>
                <w:color w:val="000000"/>
                <w:sz w:val="18"/>
                <w:szCs w:val="18"/>
              </w:rPr>
              <w:t xml:space="preserve"> </w:t>
            </w:r>
            <w:r w:rsidRPr="00B7352C">
              <w:rPr>
                <w:rFonts w:asciiTheme="minorBidi" w:hAnsiTheme="minorBidi"/>
                <w:color w:val="000000"/>
                <w:sz w:val="18"/>
                <w:szCs w:val="18"/>
              </w:rPr>
              <w:t>883</w:t>
            </w:r>
          </w:p>
        </w:tc>
        <w:tc>
          <w:tcPr>
            <w:tcW w:w="0" w:type="auto"/>
            <w:noWrap/>
            <w:vAlign w:val="center"/>
            <w:hideMark/>
          </w:tcPr>
          <w:p w14:paraId="2D10E39C" w14:textId="581FF9D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213</w:t>
            </w:r>
            <w:r w:rsidR="009364B5">
              <w:rPr>
                <w:rFonts w:asciiTheme="minorBidi" w:hAnsiTheme="minorBidi"/>
                <w:color w:val="000000"/>
                <w:sz w:val="18"/>
                <w:szCs w:val="18"/>
              </w:rPr>
              <w:t xml:space="preserve"> </w:t>
            </w:r>
            <w:r w:rsidRPr="00B7352C">
              <w:rPr>
                <w:rFonts w:asciiTheme="minorBidi" w:hAnsiTheme="minorBidi"/>
                <w:color w:val="000000"/>
                <w:sz w:val="18"/>
                <w:szCs w:val="18"/>
              </w:rPr>
              <w:t>998</w:t>
            </w:r>
          </w:p>
        </w:tc>
        <w:tc>
          <w:tcPr>
            <w:tcW w:w="0" w:type="auto"/>
            <w:noWrap/>
            <w:vAlign w:val="center"/>
            <w:hideMark/>
          </w:tcPr>
          <w:p w14:paraId="7BF89496"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0A69322F"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-13%</w:t>
            </w:r>
          </w:p>
        </w:tc>
      </w:tr>
      <w:tr w:rsidR="00B54A22" w:rsidRPr="00B7352C" w14:paraId="237B581C" w14:textId="77777777" w:rsidTr="00B54A22">
        <w:trPr>
          <w:trHeight w:val="300"/>
        </w:trPr>
        <w:tc>
          <w:tcPr>
            <w:tcW w:w="0" w:type="auto"/>
            <w:noWrap/>
            <w:vAlign w:val="center"/>
            <w:hideMark/>
          </w:tcPr>
          <w:p w14:paraId="069F1CE5"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Põlva</w:t>
            </w:r>
          </w:p>
        </w:tc>
        <w:tc>
          <w:tcPr>
            <w:tcW w:w="0" w:type="auto"/>
            <w:noWrap/>
            <w:vAlign w:val="center"/>
            <w:hideMark/>
          </w:tcPr>
          <w:p w14:paraId="21243338" w14:textId="64838841"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23</w:t>
            </w:r>
            <w:r w:rsidR="009364B5">
              <w:rPr>
                <w:rFonts w:asciiTheme="minorBidi" w:hAnsiTheme="minorBidi"/>
                <w:color w:val="000000"/>
                <w:sz w:val="18"/>
                <w:szCs w:val="18"/>
              </w:rPr>
              <w:t xml:space="preserve"> </w:t>
            </w:r>
            <w:r w:rsidRPr="00B7352C">
              <w:rPr>
                <w:rFonts w:asciiTheme="minorBidi" w:hAnsiTheme="minorBidi"/>
                <w:color w:val="000000"/>
                <w:sz w:val="18"/>
                <w:szCs w:val="18"/>
              </w:rPr>
              <w:t>638</w:t>
            </w:r>
          </w:p>
        </w:tc>
        <w:tc>
          <w:tcPr>
            <w:tcW w:w="0" w:type="auto"/>
            <w:noWrap/>
            <w:vAlign w:val="center"/>
            <w:hideMark/>
          </w:tcPr>
          <w:p w14:paraId="04CDA8E6" w14:textId="4FB4E569"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19</w:t>
            </w:r>
            <w:r w:rsidR="009364B5">
              <w:rPr>
                <w:rFonts w:asciiTheme="minorBidi" w:hAnsiTheme="minorBidi"/>
                <w:color w:val="000000"/>
                <w:sz w:val="18"/>
                <w:szCs w:val="18"/>
              </w:rPr>
              <w:t xml:space="preserve"> </w:t>
            </w:r>
            <w:r w:rsidRPr="00B7352C">
              <w:rPr>
                <w:rFonts w:asciiTheme="minorBidi" w:hAnsiTheme="minorBidi"/>
                <w:color w:val="000000"/>
                <w:sz w:val="18"/>
                <w:szCs w:val="18"/>
              </w:rPr>
              <w:t>819</w:t>
            </w:r>
          </w:p>
        </w:tc>
        <w:tc>
          <w:tcPr>
            <w:tcW w:w="0" w:type="auto"/>
            <w:noWrap/>
            <w:vAlign w:val="center"/>
            <w:hideMark/>
          </w:tcPr>
          <w:p w14:paraId="60D5208F" w14:textId="2F86865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24</w:t>
            </w:r>
            <w:r w:rsidR="009364B5">
              <w:rPr>
                <w:rFonts w:asciiTheme="minorBidi" w:hAnsiTheme="minorBidi"/>
                <w:color w:val="000000"/>
                <w:sz w:val="18"/>
                <w:szCs w:val="18"/>
              </w:rPr>
              <w:t xml:space="preserve"> </w:t>
            </w:r>
            <w:r w:rsidRPr="00B7352C">
              <w:rPr>
                <w:rFonts w:asciiTheme="minorBidi" w:hAnsiTheme="minorBidi"/>
                <w:color w:val="000000"/>
                <w:sz w:val="18"/>
                <w:szCs w:val="18"/>
              </w:rPr>
              <w:t>559</w:t>
            </w:r>
          </w:p>
        </w:tc>
        <w:tc>
          <w:tcPr>
            <w:tcW w:w="0" w:type="auto"/>
            <w:noWrap/>
            <w:vAlign w:val="center"/>
            <w:hideMark/>
          </w:tcPr>
          <w:p w14:paraId="6B4EFB74" w14:textId="4D4779A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26</w:t>
            </w:r>
            <w:r w:rsidR="009364B5">
              <w:rPr>
                <w:rFonts w:asciiTheme="minorBidi" w:hAnsiTheme="minorBidi"/>
                <w:color w:val="000000"/>
                <w:sz w:val="18"/>
                <w:szCs w:val="18"/>
              </w:rPr>
              <w:t xml:space="preserve"> </w:t>
            </w:r>
            <w:r w:rsidRPr="00B7352C">
              <w:rPr>
                <w:rFonts w:asciiTheme="minorBidi" w:hAnsiTheme="minorBidi"/>
                <w:color w:val="000000"/>
                <w:sz w:val="18"/>
                <w:szCs w:val="18"/>
              </w:rPr>
              <w:t>964</w:t>
            </w:r>
          </w:p>
        </w:tc>
        <w:tc>
          <w:tcPr>
            <w:tcW w:w="0" w:type="auto"/>
            <w:noWrap/>
            <w:vAlign w:val="center"/>
            <w:hideMark/>
          </w:tcPr>
          <w:p w14:paraId="50119012" w14:textId="5463F68C"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24</w:t>
            </w:r>
            <w:r w:rsidR="009364B5">
              <w:rPr>
                <w:rFonts w:asciiTheme="minorBidi" w:hAnsiTheme="minorBidi"/>
                <w:color w:val="000000"/>
                <w:sz w:val="18"/>
                <w:szCs w:val="18"/>
              </w:rPr>
              <w:t xml:space="preserve"> </w:t>
            </w:r>
            <w:r w:rsidRPr="00B7352C">
              <w:rPr>
                <w:rFonts w:asciiTheme="minorBidi" w:hAnsiTheme="minorBidi"/>
                <w:color w:val="000000"/>
                <w:sz w:val="18"/>
                <w:szCs w:val="18"/>
              </w:rPr>
              <w:t>217</w:t>
            </w:r>
          </w:p>
        </w:tc>
        <w:tc>
          <w:tcPr>
            <w:tcW w:w="0" w:type="auto"/>
            <w:noWrap/>
            <w:vAlign w:val="center"/>
            <w:hideMark/>
          </w:tcPr>
          <w:p w14:paraId="4CD0D0FD"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01EE5A92"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2%</w:t>
            </w:r>
          </w:p>
        </w:tc>
        <w:tc>
          <w:tcPr>
            <w:tcW w:w="0" w:type="auto"/>
            <w:noWrap/>
            <w:vAlign w:val="center"/>
            <w:hideMark/>
          </w:tcPr>
          <w:p w14:paraId="301552A8"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3D10B2AD" w14:textId="15150DE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43</w:t>
            </w:r>
            <w:r w:rsidR="009364B5">
              <w:rPr>
                <w:rFonts w:asciiTheme="minorBidi" w:hAnsiTheme="minorBidi"/>
                <w:color w:val="000000"/>
                <w:sz w:val="18"/>
                <w:szCs w:val="18"/>
              </w:rPr>
              <w:t xml:space="preserve"> </w:t>
            </w:r>
            <w:r w:rsidRPr="00B7352C">
              <w:rPr>
                <w:rFonts w:asciiTheme="minorBidi" w:hAnsiTheme="minorBidi"/>
                <w:color w:val="000000"/>
                <w:sz w:val="18"/>
                <w:szCs w:val="18"/>
              </w:rPr>
              <w:t>459</w:t>
            </w:r>
          </w:p>
        </w:tc>
        <w:tc>
          <w:tcPr>
            <w:tcW w:w="0" w:type="auto"/>
            <w:noWrap/>
            <w:vAlign w:val="center"/>
            <w:hideMark/>
          </w:tcPr>
          <w:p w14:paraId="44A377CE" w14:textId="70EAF24F"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38</w:t>
            </w:r>
            <w:r w:rsidR="009364B5">
              <w:rPr>
                <w:rFonts w:asciiTheme="minorBidi" w:hAnsiTheme="minorBidi"/>
                <w:color w:val="000000"/>
                <w:sz w:val="18"/>
                <w:szCs w:val="18"/>
              </w:rPr>
              <w:t xml:space="preserve"> </w:t>
            </w:r>
            <w:r w:rsidRPr="00B7352C">
              <w:rPr>
                <w:rFonts w:asciiTheme="minorBidi" w:hAnsiTheme="minorBidi"/>
                <w:color w:val="000000"/>
                <w:sz w:val="18"/>
                <w:szCs w:val="18"/>
              </w:rPr>
              <w:t>564</w:t>
            </w:r>
          </w:p>
        </w:tc>
        <w:tc>
          <w:tcPr>
            <w:tcW w:w="0" w:type="auto"/>
            <w:noWrap/>
            <w:vAlign w:val="center"/>
            <w:hideMark/>
          </w:tcPr>
          <w:p w14:paraId="4E37F553" w14:textId="4E93EA3C"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41</w:t>
            </w:r>
            <w:r w:rsidR="009364B5">
              <w:rPr>
                <w:rFonts w:asciiTheme="minorBidi" w:hAnsiTheme="minorBidi"/>
                <w:color w:val="000000"/>
                <w:sz w:val="18"/>
                <w:szCs w:val="18"/>
              </w:rPr>
              <w:t xml:space="preserve"> </w:t>
            </w:r>
            <w:r w:rsidRPr="00B7352C">
              <w:rPr>
                <w:rFonts w:asciiTheme="minorBidi" w:hAnsiTheme="minorBidi"/>
                <w:color w:val="000000"/>
                <w:sz w:val="18"/>
                <w:szCs w:val="18"/>
              </w:rPr>
              <w:t>123</w:t>
            </w:r>
          </w:p>
        </w:tc>
        <w:tc>
          <w:tcPr>
            <w:tcW w:w="0" w:type="auto"/>
            <w:noWrap/>
            <w:vAlign w:val="center"/>
            <w:hideMark/>
          </w:tcPr>
          <w:p w14:paraId="53CB42AC" w14:textId="29EC18E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49</w:t>
            </w:r>
            <w:r w:rsidR="009364B5">
              <w:rPr>
                <w:rFonts w:asciiTheme="minorBidi" w:hAnsiTheme="minorBidi"/>
                <w:color w:val="000000"/>
                <w:sz w:val="18"/>
                <w:szCs w:val="18"/>
              </w:rPr>
              <w:t xml:space="preserve"> </w:t>
            </w:r>
            <w:r w:rsidRPr="00B7352C">
              <w:rPr>
                <w:rFonts w:asciiTheme="minorBidi" w:hAnsiTheme="minorBidi"/>
                <w:color w:val="000000"/>
                <w:sz w:val="18"/>
                <w:szCs w:val="18"/>
              </w:rPr>
              <w:t>802</w:t>
            </w:r>
          </w:p>
        </w:tc>
        <w:tc>
          <w:tcPr>
            <w:tcW w:w="0" w:type="auto"/>
            <w:noWrap/>
            <w:vAlign w:val="center"/>
            <w:hideMark/>
          </w:tcPr>
          <w:p w14:paraId="37C9B24D" w14:textId="2AF76B4F"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41</w:t>
            </w:r>
            <w:r w:rsidR="009364B5">
              <w:rPr>
                <w:rFonts w:asciiTheme="minorBidi" w:hAnsiTheme="minorBidi"/>
                <w:color w:val="000000"/>
                <w:sz w:val="18"/>
                <w:szCs w:val="18"/>
              </w:rPr>
              <w:t xml:space="preserve"> </w:t>
            </w:r>
            <w:r w:rsidRPr="00B7352C">
              <w:rPr>
                <w:rFonts w:asciiTheme="minorBidi" w:hAnsiTheme="minorBidi"/>
                <w:color w:val="000000"/>
                <w:sz w:val="18"/>
                <w:szCs w:val="18"/>
              </w:rPr>
              <w:t>885</w:t>
            </w:r>
          </w:p>
        </w:tc>
        <w:tc>
          <w:tcPr>
            <w:tcW w:w="0" w:type="auto"/>
            <w:noWrap/>
            <w:vAlign w:val="center"/>
            <w:hideMark/>
          </w:tcPr>
          <w:p w14:paraId="4FCA0A70"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14FF5C0F"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-4%</w:t>
            </w:r>
          </w:p>
        </w:tc>
      </w:tr>
      <w:tr w:rsidR="00B54A22" w:rsidRPr="00B7352C" w14:paraId="3C67F49A" w14:textId="77777777" w:rsidTr="00B54A22">
        <w:trPr>
          <w:trHeight w:val="300"/>
        </w:trPr>
        <w:tc>
          <w:tcPr>
            <w:tcW w:w="0" w:type="auto"/>
            <w:noWrap/>
            <w:vAlign w:val="center"/>
            <w:hideMark/>
          </w:tcPr>
          <w:p w14:paraId="4DEFE78A"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Pärnu</w:t>
            </w:r>
          </w:p>
        </w:tc>
        <w:tc>
          <w:tcPr>
            <w:tcW w:w="0" w:type="auto"/>
            <w:noWrap/>
            <w:vAlign w:val="center"/>
            <w:hideMark/>
          </w:tcPr>
          <w:p w14:paraId="079269E9" w14:textId="5605EF20"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446</w:t>
            </w:r>
            <w:r w:rsidR="009364B5">
              <w:rPr>
                <w:rFonts w:asciiTheme="minorBidi" w:hAnsiTheme="minorBidi"/>
                <w:color w:val="000000"/>
                <w:sz w:val="18"/>
                <w:szCs w:val="18"/>
              </w:rPr>
              <w:t xml:space="preserve"> </w:t>
            </w:r>
            <w:r w:rsidRPr="00B7352C">
              <w:rPr>
                <w:rFonts w:asciiTheme="minorBidi" w:hAnsiTheme="minorBidi"/>
                <w:color w:val="000000"/>
                <w:sz w:val="18"/>
                <w:szCs w:val="18"/>
              </w:rPr>
              <w:t>960</w:t>
            </w:r>
          </w:p>
        </w:tc>
        <w:tc>
          <w:tcPr>
            <w:tcW w:w="0" w:type="auto"/>
            <w:noWrap/>
            <w:vAlign w:val="center"/>
            <w:hideMark/>
          </w:tcPr>
          <w:p w14:paraId="16F5BBC8" w14:textId="4F181CC2"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306</w:t>
            </w:r>
            <w:r w:rsidR="009364B5">
              <w:rPr>
                <w:rFonts w:asciiTheme="minorBidi" w:hAnsiTheme="minorBidi"/>
                <w:color w:val="000000"/>
                <w:sz w:val="18"/>
                <w:szCs w:val="18"/>
              </w:rPr>
              <w:t xml:space="preserve"> </w:t>
            </w:r>
            <w:r w:rsidRPr="00B7352C">
              <w:rPr>
                <w:rFonts w:asciiTheme="minorBidi" w:hAnsiTheme="minorBidi"/>
                <w:color w:val="000000"/>
                <w:sz w:val="18"/>
                <w:szCs w:val="18"/>
              </w:rPr>
              <w:t>997</w:t>
            </w:r>
          </w:p>
        </w:tc>
        <w:tc>
          <w:tcPr>
            <w:tcW w:w="0" w:type="auto"/>
            <w:noWrap/>
            <w:vAlign w:val="center"/>
            <w:hideMark/>
          </w:tcPr>
          <w:p w14:paraId="6C319A9B" w14:textId="0093437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329</w:t>
            </w:r>
            <w:r w:rsidR="009364B5">
              <w:rPr>
                <w:rFonts w:asciiTheme="minorBidi" w:hAnsiTheme="minorBidi"/>
                <w:color w:val="000000"/>
                <w:sz w:val="18"/>
                <w:szCs w:val="18"/>
              </w:rPr>
              <w:t xml:space="preserve"> </w:t>
            </w:r>
            <w:r w:rsidRPr="00B7352C">
              <w:rPr>
                <w:rFonts w:asciiTheme="minorBidi" w:hAnsiTheme="minorBidi"/>
                <w:color w:val="000000"/>
                <w:sz w:val="18"/>
                <w:szCs w:val="18"/>
              </w:rPr>
              <w:t>655</w:t>
            </w:r>
          </w:p>
        </w:tc>
        <w:tc>
          <w:tcPr>
            <w:tcW w:w="0" w:type="auto"/>
            <w:noWrap/>
            <w:vAlign w:val="center"/>
            <w:hideMark/>
          </w:tcPr>
          <w:p w14:paraId="460519EE" w14:textId="1D50DE7A"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434</w:t>
            </w:r>
            <w:r w:rsidR="009364B5">
              <w:rPr>
                <w:rFonts w:asciiTheme="minorBidi" w:hAnsiTheme="minorBidi"/>
                <w:color w:val="000000"/>
                <w:sz w:val="18"/>
                <w:szCs w:val="18"/>
              </w:rPr>
              <w:t xml:space="preserve"> </w:t>
            </w:r>
            <w:r w:rsidRPr="00B7352C">
              <w:rPr>
                <w:rFonts w:asciiTheme="minorBidi" w:hAnsiTheme="minorBidi"/>
                <w:color w:val="000000"/>
                <w:sz w:val="18"/>
                <w:szCs w:val="18"/>
              </w:rPr>
              <w:t>969</w:t>
            </w:r>
          </w:p>
        </w:tc>
        <w:tc>
          <w:tcPr>
            <w:tcW w:w="0" w:type="auto"/>
            <w:noWrap/>
            <w:vAlign w:val="center"/>
            <w:hideMark/>
          </w:tcPr>
          <w:p w14:paraId="4CC08F69" w14:textId="6B39580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424</w:t>
            </w:r>
            <w:r w:rsidR="009364B5">
              <w:rPr>
                <w:rFonts w:asciiTheme="minorBidi" w:hAnsiTheme="minorBidi"/>
                <w:color w:val="000000"/>
                <w:sz w:val="18"/>
                <w:szCs w:val="18"/>
              </w:rPr>
              <w:t xml:space="preserve"> </w:t>
            </w:r>
            <w:r w:rsidRPr="00B7352C">
              <w:rPr>
                <w:rFonts w:asciiTheme="minorBidi" w:hAnsiTheme="minorBidi"/>
                <w:color w:val="000000"/>
                <w:sz w:val="18"/>
                <w:szCs w:val="18"/>
              </w:rPr>
              <w:t>264</w:t>
            </w:r>
          </w:p>
        </w:tc>
        <w:tc>
          <w:tcPr>
            <w:tcW w:w="0" w:type="auto"/>
            <w:noWrap/>
            <w:vAlign w:val="center"/>
            <w:hideMark/>
          </w:tcPr>
          <w:p w14:paraId="124A81B8"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4F5F29C3"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-5%</w:t>
            </w:r>
          </w:p>
        </w:tc>
        <w:tc>
          <w:tcPr>
            <w:tcW w:w="0" w:type="auto"/>
            <w:noWrap/>
            <w:vAlign w:val="center"/>
            <w:hideMark/>
          </w:tcPr>
          <w:p w14:paraId="10D20758"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647064DA" w14:textId="1B8F537B"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924</w:t>
            </w:r>
            <w:r w:rsidR="009364B5">
              <w:rPr>
                <w:rFonts w:asciiTheme="minorBidi" w:hAnsiTheme="minorBidi"/>
                <w:color w:val="000000"/>
                <w:sz w:val="18"/>
                <w:szCs w:val="18"/>
              </w:rPr>
              <w:t xml:space="preserve"> </w:t>
            </w:r>
            <w:r w:rsidRPr="00B7352C">
              <w:rPr>
                <w:rFonts w:asciiTheme="minorBidi" w:hAnsiTheme="minorBidi"/>
                <w:color w:val="000000"/>
                <w:sz w:val="18"/>
                <w:szCs w:val="18"/>
              </w:rPr>
              <w:t>557</w:t>
            </w:r>
          </w:p>
        </w:tc>
        <w:tc>
          <w:tcPr>
            <w:tcW w:w="0" w:type="auto"/>
            <w:noWrap/>
            <w:vAlign w:val="center"/>
            <w:hideMark/>
          </w:tcPr>
          <w:p w14:paraId="46D9EDA4" w14:textId="78BB735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576</w:t>
            </w:r>
            <w:r w:rsidR="009364B5">
              <w:rPr>
                <w:rFonts w:asciiTheme="minorBidi" w:hAnsiTheme="minorBidi"/>
                <w:color w:val="000000"/>
                <w:sz w:val="18"/>
                <w:szCs w:val="18"/>
              </w:rPr>
              <w:t xml:space="preserve"> </w:t>
            </w:r>
            <w:r w:rsidRPr="00B7352C">
              <w:rPr>
                <w:rFonts w:asciiTheme="minorBidi" w:hAnsiTheme="minorBidi"/>
                <w:color w:val="000000"/>
                <w:sz w:val="18"/>
                <w:szCs w:val="18"/>
              </w:rPr>
              <w:t>647</w:t>
            </w:r>
          </w:p>
        </w:tc>
        <w:tc>
          <w:tcPr>
            <w:tcW w:w="0" w:type="auto"/>
            <w:noWrap/>
            <w:vAlign w:val="center"/>
            <w:hideMark/>
          </w:tcPr>
          <w:p w14:paraId="317E7C61" w14:textId="50612076"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587</w:t>
            </w:r>
            <w:r w:rsidR="009364B5">
              <w:rPr>
                <w:rFonts w:asciiTheme="minorBidi" w:hAnsiTheme="minorBidi"/>
                <w:color w:val="000000"/>
                <w:sz w:val="18"/>
                <w:szCs w:val="18"/>
              </w:rPr>
              <w:t xml:space="preserve"> </w:t>
            </w:r>
            <w:r w:rsidRPr="00B7352C">
              <w:rPr>
                <w:rFonts w:asciiTheme="minorBidi" w:hAnsiTheme="minorBidi"/>
                <w:color w:val="000000"/>
                <w:sz w:val="18"/>
                <w:szCs w:val="18"/>
              </w:rPr>
              <w:t>108</w:t>
            </w:r>
          </w:p>
        </w:tc>
        <w:tc>
          <w:tcPr>
            <w:tcW w:w="0" w:type="auto"/>
            <w:noWrap/>
            <w:vAlign w:val="center"/>
            <w:hideMark/>
          </w:tcPr>
          <w:p w14:paraId="5C7659DF" w14:textId="2ECD13DE"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831</w:t>
            </w:r>
            <w:r w:rsidR="009364B5">
              <w:rPr>
                <w:rFonts w:asciiTheme="minorBidi" w:hAnsiTheme="minorBidi"/>
                <w:color w:val="000000"/>
                <w:sz w:val="18"/>
                <w:szCs w:val="18"/>
              </w:rPr>
              <w:t xml:space="preserve"> </w:t>
            </w:r>
            <w:r w:rsidRPr="00B7352C">
              <w:rPr>
                <w:rFonts w:asciiTheme="minorBidi" w:hAnsiTheme="minorBidi"/>
                <w:color w:val="000000"/>
                <w:sz w:val="18"/>
                <w:szCs w:val="18"/>
              </w:rPr>
              <w:t>101</w:t>
            </w:r>
          </w:p>
        </w:tc>
        <w:tc>
          <w:tcPr>
            <w:tcW w:w="0" w:type="auto"/>
            <w:noWrap/>
            <w:vAlign w:val="center"/>
            <w:hideMark/>
          </w:tcPr>
          <w:p w14:paraId="4362A889" w14:textId="22BEE7DB"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840</w:t>
            </w:r>
            <w:r w:rsidR="009364B5">
              <w:rPr>
                <w:rFonts w:asciiTheme="minorBidi" w:hAnsiTheme="minorBidi"/>
                <w:color w:val="000000"/>
                <w:sz w:val="18"/>
                <w:szCs w:val="18"/>
              </w:rPr>
              <w:t xml:space="preserve"> </w:t>
            </w:r>
            <w:r w:rsidRPr="00B7352C">
              <w:rPr>
                <w:rFonts w:asciiTheme="minorBidi" w:hAnsiTheme="minorBidi"/>
                <w:color w:val="000000"/>
                <w:sz w:val="18"/>
                <w:szCs w:val="18"/>
              </w:rPr>
              <w:t>367</w:t>
            </w:r>
          </w:p>
        </w:tc>
        <w:tc>
          <w:tcPr>
            <w:tcW w:w="0" w:type="auto"/>
            <w:noWrap/>
            <w:vAlign w:val="center"/>
            <w:hideMark/>
          </w:tcPr>
          <w:p w14:paraId="3AE87885"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03645D9D"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-9%</w:t>
            </w:r>
          </w:p>
        </w:tc>
      </w:tr>
      <w:tr w:rsidR="00B54A22" w:rsidRPr="00B7352C" w14:paraId="406614F0" w14:textId="77777777" w:rsidTr="00B54A22">
        <w:trPr>
          <w:trHeight w:val="300"/>
        </w:trPr>
        <w:tc>
          <w:tcPr>
            <w:tcW w:w="0" w:type="auto"/>
            <w:noWrap/>
            <w:vAlign w:val="center"/>
            <w:hideMark/>
          </w:tcPr>
          <w:p w14:paraId="7B1F83FF"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Rapla</w:t>
            </w:r>
          </w:p>
        </w:tc>
        <w:tc>
          <w:tcPr>
            <w:tcW w:w="0" w:type="auto"/>
            <w:noWrap/>
            <w:vAlign w:val="center"/>
            <w:hideMark/>
          </w:tcPr>
          <w:p w14:paraId="0317B57E" w14:textId="51B4CD8C"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16</w:t>
            </w:r>
            <w:r w:rsidR="009364B5">
              <w:rPr>
                <w:rFonts w:asciiTheme="minorBidi" w:hAnsiTheme="minorBidi"/>
                <w:color w:val="000000"/>
                <w:sz w:val="18"/>
                <w:szCs w:val="18"/>
              </w:rPr>
              <w:t xml:space="preserve"> </w:t>
            </w:r>
            <w:r w:rsidRPr="00B7352C">
              <w:rPr>
                <w:rFonts w:asciiTheme="minorBidi" w:hAnsiTheme="minorBidi"/>
                <w:color w:val="000000"/>
                <w:sz w:val="18"/>
                <w:szCs w:val="18"/>
              </w:rPr>
              <w:t>033</w:t>
            </w:r>
          </w:p>
        </w:tc>
        <w:tc>
          <w:tcPr>
            <w:tcW w:w="0" w:type="auto"/>
            <w:noWrap/>
            <w:vAlign w:val="center"/>
            <w:hideMark/>
          </w:tcPr>
          <w:p w14:paraId="3F9A4CF5" w14:textId="12D86AF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11</w:t>
            </w:r>
            <w:r w:rsidR="009364B5">
              <w:rPr>
                <w:rFonts w:asciiTheme="minorBidi" w:hAnsiTheme="minorBidi"/>
                <w:color w:val="000000"/>
                <w:sz w:val="18"/>
                <w:szCs w:val="18"/>
              </w:rPr>
              <w:t xml:space="preserve"> </w:t>
            </w:r>
            <w:r w:rsidRPr="00B7352C">
              <w:rPr>
                <w:rFonts w:asciiTheme="minorBidi" w:hAnsiTheme="minorBidi"/>
                <w:color w:val="000000"/>
                <w:sz w:val="18"/>
                <w:szCs w:val="18"/>
              </w:rPr>
              <w:t>839</w:t>
            </w:r>
          </w:p>
        </w:tc>
        <w:tc>
          <w:tcPr>
            <w:tcW w:w="0" w:type="auto"/>
            <w:noWrap/>
            <w:vAlign w:val="center"/>
            <w:hideMark/>
          </w:tcPr>
          <w:p w14:paraId="1D8736F7" w14:textId="70DB057F"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13</w:t>
            </w:r>
            <w:r w:rsidR="009364B5">
              <w:rPr>
                <w:rFonts w:asciiTheme="minorBidi" w:hAnsiTheme="minorBidi"/>
                <w:color w:val="000000"/>
                <w:sz w:val="18"/>
                <w:szCs w:val="18"/>
              </w:rPr>
              <w:t xml:space="preserve"> </w:t>
            </w:r>
            <w:r w:rsidRPr="00B7352C">
              <w:rPr>
                <w:rFonts w:asciiTheme="minorBidi" w:hAnsiTheme="minorBidi"/>
                <w:color w:val="000000"/>
                <w:sz w:val="18"/>
                <w:szCs w:val="18"/>
              </w:rPr>
              <w:t>961</w:t>
            </w:r>
          </w:p>
        </w:tc>
        <w:tc>
          <w:tcPr>
            <w:tcW w:w="0" w:type="auto"/>
            <w:noWrap/>
            <w:vAlign w:val="center"/>
            <w:hideMark/>
          </w:tcPr>
          <w:p w14:paraId="675451AF" w14:textId="3CAF3D27"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18</w:t>
            </w:r>
            <w:r w:rsidR="009364B5">
              <w:rPr>
                <w:rFonts w:asciiTheme="minorBidi" w:hAnsiTheme="minorBidi"/>
                <w:color w:val="000000"/>
                <w:sz w:val="18"/>
                <w:szCs w:val="18"/>
              </w:rPr>
              <w:t xml:space="preserve"> </w:t>
            </w:r>
            <w:r w:rsidRPr="00B7352C">
              <w:rPr>
                <w:rFonts w:asciiTheme="minorBidi" w:hAnsiTheme="minorBidi"/>
                <w:color w:val="000000"/>
                <w:sz w:val="18"/>
                <w:szCs w:val="18"/>
              </w:rPr>
              <w:t>453</w:t>
            </w:r>
          </w:p>
        </w:tc>
        <w:tc>
          <w:tcPr>
            <w:tcW w:w="0" w:type="auto"/>
            <w:noWrap/>
            <w:vAlign w:val="center"/>
            <w:hideMark/>
          </w:tcPr>
          <w:p w14:paraId="28CE8A01" w14:textId="4167BBF1"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19</w:t>
            </w:r>
            <w:r w:rsidR="009364B5">
              <w:rPr>
                <w:rFonts w:asciiTheme="minorBidi" w:hAnsiTheme="minorBidi"/>
                <w:color w:val="000000"/>
                <w:sz w:val="18"/>
                <w:szCs w:val="18"/>
              </w:rPr>
              <w:t xml:space="preserve"> </w:t>
            </w:r>
            <w:r w:rsidRPr="00B7352C">
              <w:rPr>
                <w:rFonts w:asciiTheme="minorBidi" w:hAnsiTheme="minorBidi"/>
                <w:color w:val="000000"/>
                <w:sz w:val="18"/>
                <w:szCs w:val="18"/>
              </w:rPr>
              <w:t>672</w:t>
            </w:r>
          </w:p>
        </w:tc>
        <w:tc>
          <w:tcPr>
            <w:tcW w:w="0" w:type="auto"/>
            <w:noWrap/>
            <w:vAlign w:val="center"/>
            <w:hideMark/>
          </w:tcPr>
          <w:p w14:paraId="169123A1"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5910941B"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23%</w:t>
            </w:r>
          </w:p>
        </w:tc>
        <w:tc>
          <w:tcPr>
            <w:tcW w:w="0" w:type="auto"/>
            <w:noWrap/>
            <w:vAlign w:val="center"/>
            <w:hideMark/>
          </w:tcPr>
          <w:p w14:paraId="6C0EA79F"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09417A79" w14:textId="321C5E04"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30</w:t>
            </w:r>
            <w:r w:rsidR="009364B5">
              <w:rPr>
                <w:rFonts w:asciiTheme="minorBidi" w:hAnsiTheme="minorBidi"/>
                <w:color w:val="000000"/>
                <w:sz w:val="18"/>
                <w:szCs w:val="18"/>
              </w:rPr>
              <w:t xml:space="preserve"> </w:t>
            </w:r>
            <w:r w:rsidRPr="00B7352C">
              <w:rPr>
                <w:rFonts w:asciiTheme="minorBidi" w:hAnsiTheme="minorBidi"/>
                <w:color w:val="000000"/>
                <w:sz w:val="18"/>
                <w:szCs w:val="18"/>
              </w:rPr>
              <w:t>593</w:t>
            </w:r>
          </w:p>
        </w:tc>
        <w:tc>
          <w:tcPr>
            <w:tcW w:w="0" w:type="auto"/>
            <w:noWrap/>
            <w:vAlign w:val="center"/>
            <w:hideMark/>
          </w:tcPr>
          <w:p w14:paraId="3004233D" w14:textId="555A763A"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24</w:t>
            </w:r>
            <w:r w:rsidR="009364B5">
              <w:rPr>
                <w:rFonts w:asciiTheme="minorBidi" w:hAnsiTheme="minorBidi"/>
                <w:color w:val="000000"/>
                <w:sz w:val="18"/>
                <w:szCs w:val="18"/>
              </w:rPr>
              <w:t xml:space="preserve"> </w:t>
            </w:r>
            <w:r w:rsidRPr="00B7352C">
              <w:rPr>
                <w:rFonts w:asciiTheme="minorBidi" w:hAnsiTheme="minorBidi"/>
                <w:color w:val="000000"/>
                <w:sz w:val="18"/>
                <w:szCs w:val="18"/>
              </w:rPr>
              <w:t>515</w:t>
            </w:r>
          </w:p>
        </w:tc>
        <w:tc>
          <w:tcPr>
            <w:tcW w:w="0" w:type="auto"/>
            <w:noWrap/>
            <w:vAlign w:val="center"/>
            <w:hideMark/>
          </w:tcPr>
          <w:p w14:paraId="29C8A63D" w14:textId="7A58F330"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35</w:t>
            </w:r>
            <w:r w:rsidR="009364B5">
              <w:rPr>
                <w:rFonts w:asciiTheme="minorBidi" w:hAnsiTheme="minorBidi"/>
                <w:color w:val="000000"/>
                <w:sz w:val="18"/>
                <w:szCs w:val="18"/>
              </w:rPr>
              <w:t xml:space="preserve"> </w:t>
            </w:r>
            <w:r w:rsidRPr="00B7352C">
              <w:rPr>
                <w:rFonts w:asciiTheme="minorBidi" w:hAnsiTheme="minorBidi"/>
                <w:color w:val="000000"/>
                <w:sz w:val="18"/>
                <w:szCs w:val="18"/>
              </w:rPr>
              <w:t>540</w:t>
            </w:r>
          </w:p>
        </w:tc>
        <w:tc>
          <w:tcPr>
            <w:tcW w:w="0" w:type="auto"/>
            <w:noWrap/>
            <w:vAlign w:val="center"/>
            <w:hideMark/>
          </w:tcPr>
          <w:p w14:paraId="119E4C27" w14:textId="753648FB"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44</w:t>
            </w:r>
            <w:r w:rsidR="009364B5">
              <w:rPr>
                <w:rFonts w:asciiTheme="minorBidi" w:hAnsiTheme="minorBidi"/>
                <w:color w:val="000000"/>
                <w:sz w:val="18"/>
                <w:szCs w:val="18"/>
              </w:rPr>
              <w:t xml:space="preserve"> </w:t>
            </w:r>
            <w:r w:rsidRPr="00B7352C">
              <w:rPr>
                <w:rFonts w:asciiTheme="minorBidi" w:hAnsiTheme="minorBidi"/>
                <w:color w:val="000000"/>
                <w:sz w:val="18"/>
                <w:szCs w:val="18"/>
              </w:rPr>
              <w:t>042</w:t>
            </w:r>
          </w:p>
        </w:tc>
        <w:tc>
          <w:tcPr>
            <w:tcW w:w="0" w:type="auto"/>
            <w:noWrap/>
            <w:vAlign w:val="center"/>
            <w:hideMark/>
          </w:tcPr>
          <w:p w14:paraId="00DC2D6B" w14:textId="5000F667"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40</w:t>
            </w:r>
            <w:r w:rsidR="009364B5">
              <w:rPr>
                <w:rFonts w:asciiTheme="minorBidi" w:hAnsiTheme="minorBidi"/>
                <w:color w:val="000000"/>
                <w:sz w:val="18"/>
                <w:szCs w:val="18"/>
              </w:rPr>
              <w:t xml:space="preserve"> </w:t>
            </w:r>
            <w:r w:rsidRPr="00B7352C">
              <w:rPr>
                <w:rFonts w:asciiTheme="minorBidi" w:hAnsiTheme="minorBidi"/>
                <w:color w:val="000000"/>
                <w:sz w:val="18"/>
                <w:szCs w:val="18"/>
              </w:rPr>
              <w:t>811</w:t>
            </w:r>
          </w:p>
        </w:tc>
        <w:tc>
          <w:tcPr>
            <w:tcW w:w="0" w:type="auto"/>
            <w:noWrap/>
            <w:vAlign w:val="center"/>
            <w:hideMark/>
          </w:tcPr>
          <w:p w14:paraId="19C70CA8"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043D5803"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33%</w:t>
            </w:r>
          </w:p>
        </w:tc>
      </w:tr>
      <w:tr w:rsidR="00B54A22" w:rsidRPr="00B7352C" w14:paraId="27ED9BDF" w14:textId="77777777" w:rsidTr="00B54A22">
        <w:trPr>
          <w:trHeight w:val="300"/>
        </w:trPr>
        <w:tc>
          <w:tcPr>
            <w:tcW w:w="0" w:type="auto"/>
            <w:noWrap/>
            <w:vAlign w:val="center"/>
            <w:hideMark/>
          </w:tcPr>
          <w:p w14:paraId="273E12F8"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Saare</w:t>
            </w:r>
          </w:p>
        </w:tc>
        <w:tc>
          <w:tcPr>
            <w:tcW w:w="0" w:type="auto"/>
            <w:noWrap/>
            <w:vAlign w:val="center"/>
            <w:hideMark/>
          </w:tcPr>
          <w:p w14:paraId="136A72BD" w14:textId="374A83E2"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174</w:t>
            </w:r>
            <w:r w:rsidR="009364B5">
              <w:rPr>
                <w:rFonts w:asciiTheme="minorBidi" w:hAnsiTheme="minorBidi"/>
                <w:color w:val="000000"/>
                <w:sz w:val="18"/>
                <w:szCs w:val="18"/>
              </w:rPr>
              <w:t xml:space="preserve"> </w:t>
            </w:r>
            <w:r w:rsidRPr="00B7352C">
              <w:rPr>
                <w:rFonts w:asciiTheme="minorBidi" w:hAnsiTheme="minorBidi"/>
                <w:color w:val="000000"/>
                <w:sz w:val="18"/>
                <w:szCs w:val="18"/>
              </w:rPr>
              <w:t>172</w:t>
            </w:r>
          </w:p>
        </w:tc>
        <w:tc>
          <w:tcPr>
            <w:tcW w:w="0" w:type="auto"/>
            <w:noWrap/>
            <w:vAlign w:val="center"/>
            <w:hideMark/>
          </w:tcPr>
          <w:p w14:paraId="75C06A70" w14:textId="11AB3AD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122</w:t>
            </w:r>
            <w:r w:rsidR="009364B5">
              <w:rPr>
                <w:rFonts w:asciiTheme="minorBidi" w:hAnsiTheme="minorBidi"/>
                <w:color w:val="000000"/>
                <w:sz w:val="18"/>
                <w:szCs w:val="18"/>
              </w:rPr>
              <w:t xml:space="preserve"> </w:t>
            </w:r>
            <w:r w:rsidRPr="00B7352C">
              <w:rPr>
                <w:rFonts w:asciiTheme="minorBidi" w:hAnsiTheme="minorBidi"/>
                <w:color w:val="000000"/>
                <w:sz w:val="18"/>
                <w:szCs w:val="18"/>
              </w:rPr>
              <w:t>535</w:t>
            </w:r>
          </w:p>
        </w:tc>
        <w:tc>
          <w:tcPr>
            <w:tcW w:w="0" w:type="auto"/>
            <w:noWrap/>
            <w:vAlign w:val="center"/>
            <w:hideMark/>
          </w:tcPr>
          <w:p w14:paraId="71C04A36" w14:textId="1D2FBC7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132</w:t>
            </w:r>
            <w:r w:rsidR="009364B5">
              <w:rPr>
                <w:rFonts w:asciiTheme="minorBidi" w:hAnsiTheme="minorBidi"/>
                <w:color w:val="000000"/>
                <w:sz w:val="18"/>
                <w:szCs w:val="18"/>
              </w:rPr>
              <w:t xml:space="preserve"> </w:t>
            </w:r>
            <w:r w:rsidRPr="00B7352C">
              <w:rPr>
                <w:rFonts w:asciiTheme="minorBidi" w:hAnsiTheme="minorBidi"/>
                <w:color w:val="000000"/>
                <w:sz w:val="18"/>
                <w:szCs w:val="18"/>
              </w:rPr>
              <w:t>507</w:t>
            </w:r>
          </w:p>
        </w:tc>
        <w:tc>
          <w:tcPr>
            <w:tcW w:w="0" w:type="auto"/>
            <w:noWrap/>
            <w:vAlign w:val="center"/>
            <w:hideMark/>
          </w:tcPr>
          <w:p w14:paraId="78EBFFD0" w14:textId="5283409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166</w:t>
            </w:r>
            <w:r w:rsidR="009364B5">
              <w:rPr>
                <w:rFonts w:asciiTheme="minorBidi" w:hAnsiTheme="minorBidi"/>
                <w:color w:val="000000"/>
                <w:sz w:val="18"/>
                <w:szCs w:val="18"/>
              </w:rPr>
              <w:t xml:space="preserve"> </w:t>
            </w:r>
            <w:r w:rsidRPr="00B7352C">
              <w:rPr>
                <w:rFonts w:asciiTheme="minorBidi" w:hAnsiTheme="minorBidi"/>
                <w:color w:val="000000"/>
                <w:sz w:val="18"/>
                <w:szCs w:val="18"/>
              </w:rPr>
              <w:t>551</w:t>
            </w:r>
          </w:p>
        </w:tc>
        <w:tc>
          <w:tcPr>
            <w:tcW w:w="0" w:type="auto"/>
            <w:noWrap/>
            <w:vAlign w:val="center"/>
            <w:hideMark/>
          </w:tcPr>
          <w:p w14:paraId="10C1B4B1" w14:textId="4C7F883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164</w:t>
            </w:r>
            <w:r w:rsidR="009364B5">
              <w:rPr>
                <w:rFonts w:asciiTheme="minorBidi" w:hAnsiTheme="minorBidi"/>
                <w:color w:val="000000"/>
                <w:sz w:val="18"/>
                <w:szCs w:val="18"/>
              </w:rPr>
              <w:t xml:space="preserve"> </w:t>
            </w:r>
            <w:r w:rsidRPr="00B7352C">
              <w:rPr>
                <w:rFonts w:asciiTheme="minorBidi" w:hAnsiTheme="minorBidi"/>
                <w:color w:val="000000"/>
                <w:sz w:val="18"/>
                <w:szCs w:val="18"/>
              </w:rPr>
              <w:t>193</w:t>
            </w:r>
          </w:p>
        </w:tc>
        <w:tc>
          <w:tcPr>
            <w:tcW w:w="0" w:type="auto"/>
            <w:noWrap/>
            <w:vAlign w:val="center"/>
            <w:hideMark/>
          </w:tcPr>
          <w:p w14:paraId="723DB3F4"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442D86AF"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-6%</w:t>
            </w:r>
          </w:p>
        </w:tc>
        <w:tc>
          <w:tcPr>
            <w:tcW w:w="0" w:type="auto"/>
            <w:noWrap/>
            <w:vAlign w:val="center"/>
            <w:hideMark/>
          </w:tcPr>
          <w:p w14:paraId="2194C8E9"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63EC443F" w14:textId="4A2CD7D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326</w:t>
            </w:r>
            <w:r w:rsidR="009364B5">
              <w:rPr>
                <w:rFonts w:asciiTheme="minorBidi" w:hAnsiTheme="minorBidi"/>
                <w:color w:val="000000"/>
                <w:sz w:val="18"/>
                <w:szCs w:val="18"/>
              </w:rPr>
              <w:t xml:space="preserve"> </w:t>
            </w:r>
            <w:r w:rsidRPr="00B7352C">
              <w:rPr>
                <w:rFonts w:asciiTheme="minorBidi" w:hAnsiTheme="minorBidi"/>
                <w:color w:val="000000"/>
                <w:sz w:val="18"/>
                <w:szCs w:val="18"/>
              </w:rPr>
              <w:t>165</w:t>
            </w:r>
          </w:p>
        </w:tc>
        <w:tc>
          <w:tcPr>
            <w:tcW w:w="0" w:type="auto"/>
            <w:noWrap/>
            <w:vAlign w:val="center"/>
            <w:hideMark/>
          </w:tcPr>
          <w:p w14:paraId="7A03082A" w14:textId="1044F020"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235</w:t>
            </w:r>
            <w:r w:rsidR="009364B5">
              <w:rPr>
                <w:rFonts w:asciiTheme="minorBidi" w:hAnsiTheme="minorBidi"/>
                <w:color w:val="000000"/>
                <w:sz w:val="18"/>
                <w:szCs w:val="18"/>
              </w:rPr>
              <w:t xml:space="preserve"> </w:t>
            </w:r>
            <w:r w:rsidRPr="00B7352C">
              <w:rPr>
                <w:rFonts w:asciiTheme="minorBidi" w:hAnsiTheme="minorBidi"/>
                <w:color w:val="000000"/>
                <w:sz w:val="18"/>
                <w:szCs w:val="18"/>
              </w:rPr>
              <w:t>392</w:t>
            </w:r>
          </w:p>
        </w:tc>
        <w:tc>
          <w:tcPr>
            <w:tcW w:w="0" w:type="auto"/>
            <w:noWrap/>
            <w:vAlign w:val="center"/>
            <w:hideMark/>
          </w:tcPr>
          <w:p w14:paraId="615D26F2" w14:textId="45E97ADB"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234</w:t>
            </w:r>
            <w:r w:rsidR="009364B5">
              <w:rPr>
                <w:rFonts w:asciiTheme="minorBidi" w:hAnsiTheme="minorBidi"/>
                <w:color w:val="000000"/>
                <w:sz w:val="18"/>
                <w:szCs w:val="18"/>
              </w:rPr>
              <w:t xml:space="preserve"> </w:t>
            </w:r>
            <w:r w:rsidRPr="00B7352C">
              <w:rPr>
                <w:rFonts w:asciiTheme="minorBidi" w:hAnsiTheme="minorBidi"/>
                <w:color w:val="000000"/>
                <w:sz w:val="18"/>
                <w:szCs w:val="18"/>
              </w:rPr>
              <w:t>767</w:t>
            </w:r>
          </w:p>
        </w:tc>
        <w:tc>
          <w:tcPr>
            <w:tcW w:w="0" w:type="auto"/>
            <w:noWrap/>
            <w:vAlign w:val="center"/>
            <w:hideMark/>
          </w:tcPr>
          <w:p w14:paraId="4DABFD23" w14:textId="0D43EF0A"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300</w:t>
            </w:r>
            <w:r w:rsidR="009364B5">
              <w:rPr>
                <w:rFonts w:asciiTheme="minorBidi" w:hAnsiTheme="minorBidi"/>
                <w:color w:val="000000"/>
                <w:sz w:val="18"/>
                <w:szCs w:val="18"/>
              </w:rPr>
              <w:t xml:space="preserve"> </w:t>
            </w:r>
            <w:r w:rsidRPr="00B7352C">
              <w:rPr>
                <w:rFonts w:asciiTheme="minorBidi" w:hAnsiTheme="minorBidi"/>
                <w:color w:val="000000"/>
                <w:sz w:val="18"/>
                <w:szCs w:val="18"/>
              </w:rPr>
              <w:t>264</w:t>
            </w:r>
          </w:p>
        </w:tc>
        <w:tc>
          <w:tcPr>
            <w:tcW w:w="0" w:type="auto"/>
            <w:noWrap/>
            <w:vAlign w:val="center"/>
            <w:hideMark/>
          </w:tcPr>
          <w:p w14:paraId="5A1AFEC8" w14:textId="6C6FFF0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292</w:t>
            </w:r>
            <w:r w:rsidR="009364B5">
              <w:rPr>
                <w:rFonts w:asciiTheme="minorBidi" w:hAnsiTheme="minorBidi"/>
                <w:color w:val="000000"/>
                <w:sz w:val="18"/>
                <w:szCs w:val="18"/>
              </w:rPr>
              <w:t xml:space="preserve"> </w:t>
            </w:r>
            <w:r w:rsidRPr="00B7352C">
              <w:rPr>
                <w:rFonts w:asciiTheme="minorBidi" w:hAnsiTheme="minorBidi"/>
                <w:color w:val="000000"/>
                <w:sz w:val="18"/>
                <w:szCs w:val="18"/>
              </w:rPr>
              <w:t>258</w:t>
            </w:r>
          </w:p>
        </w:tc>
        <w:tc>
          <w:tcPr>
            <w:tcW w:w="0" w:type="auto"/>
            <w:noWrap/>
            <w:vAlign w:val="center"/>
            <w:hideMark/>
          </w:tcPr>
          <w:p w14:paraId="58AD1B0B"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03F34D6A"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-10%</w:t>
            </w:r>
          </w:p>
        </w:tc>
      </w:tr>
      <w:tr w:rsidR="00B54A22" w:rsidRPr="00B7352C" w14:paraId="74ECE041" w14:textId="77777777" w:rsidTr="00B54A22">
        <w:trPr>
          <w:trHeight w:val="300"/>
        </w:trPr>
        <w:tc>
          <w:tcPr>
            <w:tcW w:w="0" w:type="auto"/>
            <w:noWrap/>
            <w:vAlign w:val="center"/>
            <w:hideMark/>
          </w:tcPr>
          <w:p w14:paraId="618194F9"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Tartu</w:t>
            </w:r>
          </w:p>
        </w:tc>
        <w:tc>
          <w:tcPr>
            <w:tcW w:w="0" w:type="auto"/>
            <w:noWrap/>
            <w:vAlign w:val="center"/>
            <w:hideMark/>
          </w:tcPr>
          <w:p w14:paraId="433D01ED" w14:textId="1EAD5C7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352</w:t>
            </w:r>
            <w:r w:rsidR="009364B5">
              <w:rPr>
                <w:rFonts w:asciiTheme="minorBidi" w:hAnsiTheme="minorBidi"/>
                <w:color w:val="000000"/>
                <w:sz w:val="18"/>
                <w:szCs w:val="18"/>
              </w:rPr>
              <w:t xml:space="preserve"> </w:t>
            </w:r>
            <w:r w:rsidRPr="00B7352C">
              <w:rPr>
                <w:rFonts w:asciiTheme="minorBidi" w:hAnsiTheme="minorBidi"/>
                <w:color w:val="000000"/>
                <w:sz w:val="18"/>
                <w:szCs w:val="18"/>
              </w:rPr>
              <w:t>257</w:t>
            </w:r>
          </w:p>
        </w:tc>
        <w:tc>
          <w:tcPr>
            <w:tcW w:w="0" w:type="auto"/>
            <w:noWrap/>
            <w:vAlign w:val="center"/>
            <w:hideMark/>
          </w:tcPr>
          <w:p w14:paraId="167FC967" w14:textId="3E9680E7"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205</w:t>
            </w:r>
            <w:r w:rsidR="009364B5">
              <w:rPr>
                <w:rFonts w:asciiTheme="minorBidi" w:hAnsiTheme="minorBidi"/>
                <w:color w:val="000000"/>
                <w:sz w:val="18"/>
                <w:szCs w:val="18"/>
              </w:rPr>
              <w:t xml:space="preserve"> </w:t>
            </w:r>
            <w:r w:rsidRPr="00B7352C">
              <w:rPr>
                <w:rFonts w:asciiTheme="minorBidi" w:hAnsiTheme="minorBidi"/>
                <w:color w:val="000000"/>
                <w:sz w:val="18"/>
                <w:szCs w:val="18"/>
              </w:rPr>
              <w:t>601</w:t>
            </w:r>
          </w:p>
        </w:tc>
        <w:tc>
          <w:tcPr>
            <w:tcW w:w="0" w:type="auto"/>
            <w:noWrap/>
            <w:vAlign w:val="center"/>
            <w:hideMark/>
          </w:tcPr>
          <w:p w14:paraId="3F5E21E6" w14:textId="48E791B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223</w:t>
            </w:r>
            <w:r w:rsidR="009364B5">
              <w:rPr>
                <w:rFonts w:asciiTheme="minorBidi" w:hAnsiTheme="minorBidi"/>
                <w:color w:val="000000"/>
                <w:sz w:val="18"/>
                <w:szCs w:val="18"/>
              </w:rPr>
              <w:t xml:space="preserve"> </w:t>
            </w:r>
            <w:r w:rsidRPr="00B7352C">
              <w:rPr>
                <w:rFonts w:asciiTheme="minorBidi" w:hAnsiTheme="minorBidi"/>
                <w:color w:val="000000"/>
                <w:sz w:val="18"/>
                <w:szCs w:val="18"/>
              </w:rPr>
              <w:t>931</w:t>
            </w:r>
          </w:p>
        </w:tc>
        <w:tc>
          <w:tcPr>
            <w:tcW w:w="0" w:type="auto"/>
            <w:noWrap/>
            <w:vAlign w:val="center"/>
            <w:hideMark/>
          </w:tcPr>
          <w:p w14:paraId="19475836" w14:textId="3DEF377A"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279</w:t>
            </w:r>
            <w:r w:rsidR="009364B5">
              <w:rPr>
                <w:rFonts w:asciiTheme="minorBidi" w:hAnsiTheme="minorBidi"/>
                <w:color w:val="000000"/>
                <w:sz w:val="18"/>
                <w:szCs w:val="18"/>
              </w:rPr>
              <w:t xml:space="preserve"> </w:t>
            </w:r>
            <w:r w:rsidRPr="00B7352C">
              <w:rPr>
                <w:rFonts w:asciiTheme="minorBidi" w:hAnsiTheme="minorBidi"/>
                <w:color w:val="000000"/>
                <w:sz w:val="18"/>
                <w:szCs w:val="18"/>
              </w:rPr>
              <w:t>415</w:t>
            </w:r>
          </w:p>
        </w:tc>
        <w:tc>
          <w:tcPr>
            <w:tcW w:w="0" w:type="auto"/>
            <w:noWrap/>
            <w:vAlign w:val="center"/>
            <w:hideMark/>
          </w:tcPr>
          <w:p w14:paraId="610FD96B" w14:textId="5A59F9E0"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278</w:t>
            </w:r>
            <w:r w:rsidR="009364B5">
              <w:rPr>
                <w:rFonts w:asciiTheme="minorBidi" w:hAnsiTheme="minorBidi"/>
                <w:color w:val="000000"/>
                <w:sz w:val="18"/>
                <w:szCs w:val="18"/>
              </w:rPr>
              <w:t xml:space="preserve"> </w:t>
            </w:r>
            <w:r w:rsidRPr="00B7352C">
              <w:rPr>
                <w:rFonts w:asciiTheme="minorBidi" w:hAnsiTheme="minorBidi"/>
                <w:color w:val="000000"/>
                <w:sz w:val="18"/>
                <w:szCs w:val="18"/>
              </w:rPr>
              <w:t>891</w:t>
            </w:r>
          </w:p>
        </w:tc>
        <w:tc>
          <w:tcPr>
            <w:tcW w:w="0" w:type="auto"/>
            <w:noWrap/>
            <w:vAlign w:val="center"/>
            <w:hideMark/>
          </w:tcPr>
          <w:p w14:paraId="3814DADA"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131CB623"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-21%</w:t>
            </w:r>
          </w:p>
        </w:tc>
        <w:tc>
          <w:tcPr>
            <w:tcW w:w="0" w:type="auto"/>
            <w:noWrap/>
            <w:vAlign w:val="center"/>
            <w:hideMark/>
          </w:tcPr>
          <w:p w14:paraId="4F84277E"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1BEBF141" w14:textId="04CE9E54"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564</w:t>
            </w:r>
            <w:r w:rsidR="009364B5">
              <w:rPr>
                <w:rFonts w:asciiTheme="minorBidi" w:hAnsiTheme="minorBidi"/>
                <w:color w:val="000000"/>
                <w:sz w:val="18"/>
                <w:szCs w:val="18"/>
              </w:rPr>
              <w:t xml:space="preserve"> </w:t>
            </w:r>
            <w:r w:rsidRPr="00B7352C">
              <w:rPr>
                <w:rFonts w:asciiTheme="minorBidi" w:hAnsiTheme="minorBidi"/>
                <w:color w:val="000000"/>
                <w:sz w:val="18"/>
                <w:szCs w:val="18"/>
              </w:rPr>
              <w:t>177</w:t>
            </w:r>
          </w:p>
        </w:tc>
        <w:tc>
          <w:tcPr>
            <w:tcW w:w="0" w:type="auto"/>
            <w:noWrap/>
            <w:vAlign w:val="center"/>
            <w:hideMark/>
          </w:tcPr>
          <w:p w14:paraId="45931458" w14:textId="64C28FD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327</w:t>
            </w:r>
            <w:r w:rsidR="009364B5">
              <w:rPr>
                <w:rFonts w:asciiTheme="minorBidi" w:hAnsiTheme="minorBidi"/>
                <w:color w:val="000000"/>
                <w:sz w:val="18"/>
                <w:szCs w:val="18"/>
              </w:rPr>
              <w:t xml:space="preserve"> </w:t>
            </w:r>
            <w:r w:rsidRPr="00B7352C">
              <w:rPr>
                <w:rFonts w:asciiTheme="minorBidi" w:hAnsiTheme="minorBidi"/>
                <w:color w:val="000000"/>
                <w:sz w:val="18"/>
                <w:szCs w:val="18"/>
              </w:rPr>
              <w:t>566</w:t>
            </w:r>
          </w:p>
        </w:tc>
        <w:tc>
          <w:tcPr>
            <w:tcW w:w="0" w:type="auto"/>
            <w:noWrap/>
            <w:vAlign w:val="center"/>
            <w:hideMark/>
          </w:tcPr>
          <w:p w14:paraId="3680439E" w14:textId="2413F16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362</w:t>
            </w:r>
            <w:r w:rsidR="009364B5">
              <w:rPr>
                <w:rFonts w:asciiTheme="minorBidi" w:hAnsiTheme="minorBidi"/>
                <w:color w:val="000000"/>
                <w:sz w:val="18"/>
                <w:szCs w:val="18"/>
              </w:rPr>
              <w:t xml:space="preserve"> </w:t>
            </w:r>
            <w:r w:rsidRPr="00B7352C">
              <w:rPr>
                <w:rFonts w:asciiTheme="minorBidi" w:hAnsiTheme="minorBidi"/>
                <w:color w:val="000000"/>
                <w:sz w:val="18"/>
                <w:szCs w:val="18"/>
              </w:rPr>
              <w:t>188</w:t>
            </w:r>
          </w:p>
        </w:tc>
        <w:tc>
          <w:tcPr>
            <w:tcW w:w="0" w:type="auto"/>
            <w:noWrap/>
            <w:vAlign w:val="center"/>
            <w:hideMark/>
          </w:tcPr>
          <w:p w14:paraId="71AEE175" w14:textId="6A370E9C"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455</w:t>
            </w:r>
            <w:r w:rsidR="009364B5">
              <w:rPr>
                <w:rFonts w:asciiTheme="minorBidi" w:hAnsiTheme="minorBidi"/>
                <w:color w:val="000000"/>
                <w:sz w:val="18"/>
                <w:szCs w:val="18"/>
              </w:rPr>
              <w:t xml:space="preserve"> </w:t>
            </w:r>
            <w:r w:rsidRPr="00B7352C">
              <w:rPr>
                <w:rFonts w:asciiTheme="minorBidi" w:hAnsiTheme="minorBidi"/>
                <w:color w:val="000000"/>
                <w:sz w:val="18"/>
                <w:szCs w:val="18"/>
              </w:rPr>
              <w:t>084</w:t>
            </w:r>
          </w:p>
        </w:tc>
        <w:tc>
          <w:tcPr>
            <w:tcW w:w="0" w:type="auto"/>
            <w:noWrap/>
            <w:vAlign w:val="center"/>
            <w:hideMark/>
          </w:tcPr>
          <w:p w14:paraId="5D0C3645" w14:textId="5A5D7F3C"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448</w:t>
            </w:r>
            <w:r w:rsidR="009364B5">
              <w:rPr>
                <w:rFonts w:asciiTheme="minorBidi" w:hAnsiTheme="minorBidi"/>
                <w:color w:val="000000"/>
                <w:sz w:val="18"/>
                <w:szCs w:val="18"/>
              </w:rPr>
              <w:t xml:space="preserve"> </w:t>
            </w:r>
            <w:r w:rsidRPr="00B7352C">
              <w:rPr>
                <w:rFonts w:asciiTheme="minorBidi" w:hAnsiTheme="minorBidi"/>
                <w:color w:val="000000"/>
                <w:sz w:val="18"/>
                <w:szCs w:val="18"/>
              </w:rPr>
              <w:t>458</w:t>
            </w:r>
          </w:p>
        </w:tc>
        <w:tc>
          <w:tcPr>
            <w:tcW w:w="0" w:type="auto"/>
            <w:noWrap/>
            <w:vAlign w:val="center"/>
            <w:hideMark/>
          </w:tcPr>
          <w:p w14:paraId="388ADD25"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42529362"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-21%</w:t>
            </w:r>
          </w:p>
        </w:tc>
      </w:tr>
      <w:tr w:rsidR="00B54A22" w:rsidRPr="00B7352C" w14:paraId="102C24F8" w14:textId="77777777" w:rsidTr="00B54A22">
        <w:trPr>
          <w:trHeight w:val="300"/>
        </w:trPr>
        <w:tc>
          <w:tcPr>
            <w:tcW w:w="0" w:type="auto"/>
            <w:noWrap/>
            <w:vAlign w:val="center"/>
            <w:hideMark/>
          </w:tcPr>
          <w:p w14:paraId="3E640CA8"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Valga</w:t>
            </w:r>
          </w:p>
        </w:tc>
        <w:tc>
          <w:tcPr>
            <w:tcW w:w="0" w:type="auto"/>
            <w:noWrap/>
            <w:vAlign w:val="center"/>
            <w:hideMark/>
          </w:tcPr>
          <w:p w14:paraId="1F466A5E" w14:textId="6DF2F0D0"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95</w:t>
            </w:r>
            <w:r w:rsidR="009364B5">
              <w:rPr>
                <w:rFonts w:asciiTheme="minorBidi" w:hAnsiTheme="minorBidi"/>
                <w:color w:val="000000"/>
                <w:sz w:val="18"/>
                <w:szCs w:val="18"/>
              </w:rPr>
              <w:t xml:space="preserve"> </w:t>
            </w:r>
            <w:r w:rsidRPr="00B7352C">
              <w:rPr>
                <w:rFonts w:asciiTheme="minorBidi" w:hAnsiTheme="minorBidi"/>
                <w:color w:val="000000"/>
                <w:sz w:val="18"/>
                <w:szCs w:val="18"/>
              </w:rPr>
              <w:t>962</w:t>
            </w:r>
          </w:p>
        </w:tc>
        <w:tc>
          <w:tcPr>
            <w:tcW w:w="0" w:type="auto"/>
            <w:noWrap/>
            <w:vAlign w:val="center"/>
            <w:hideMark/>
          </w:tcPr>
          <w:p w14:paraId="6B6B49C0" w14:textId="43C62B2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74</w:t>
            </w:r>
            <w:r w:rsidR="009364B5">
              <w:rPr>
                <w:rFonts w:asciiTheme="minorBidi" w:hAnsiTheme="minorBidi"/>
                <w:color w:val="000000"/>
                <w:sz w:val="18"/>
                <w:szCs w:val="18"/>
              </w:rPr>
              <w:t xml:space="preserve"> </w:t>
            </w:r>
            <w:r w:rsidRPr="00B7352C">
              <w:rPr>
                <w:rFonts w:asciiTheme="minorBidi" w:hAnsiTheme="minorBidi"/>
                <w:color w:val="000000"/>
                <w:sz w:val="18"/>
                <w:szCs w:val="18"/>
              </w:rPr>
              <w:t>651</w:t>
            </w:r>
          </w:p>
        </w:tc>
        <w:tc>
          <w:tcPr>
            <w:tcW w:w="0" w:type="auto"/>
            <w:noWrap/>
            <w:vAlign w:val="center"/>
            <w:hideMark/>
          </w:tcPr>
          <w:p w14:paraId="0DF92E09" w14:textId="4562EC9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86</w:t>
            </w:r>
            <w:r w:rsidR="009364B5">
              <w:rPr>
                <w:rFonts w:asciiTheme="minorBidi" w:hAnsiTheme="minorBidi"/>
                <w:color w:val="000000"/>
                <w:sz w:val="18"/>
                <w:szCs w:val="18"/>
              </w:rPr>
              <w:t xml:space="preserve"> </w:t>
            </w:r>
            <w:r w:rsidRPr="00B7352C">
              <w:rPr>
                <w:rFonts w:asciiTheme="minorBidi" w:hAnsiTheme="minorBidi"/>
                <w:color w:val="000000"/>
                <w:sz w:val="18"/>
                <w:szCs w:val="18"/>
              </w:rPr>
              <w:t>194</w:t>
            </w:r>
          </w:p>
        </w:tc>
        <w:tc>
          <w:tcPr>
            <w:tcW w:w="0" w:type="auto"/>
            <w:noWrap/>
            <w:vAlign w:val="center"/>
            <w:hideMark/>
          </w:tcPr>
          <w:p w14:paraId="2B67B64F" w14:textId="598B661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104</w:t>
            </w:r>
            <w:r w:rsidR="009364B5">
              <w:rPr>
                <w:rFonts w:asciiTheme="minorBidi" w:hAnsiTheme="minorBidi"/>
                <w:color w:val="000000"/>
                <w:sz w:val="18"/>
                <w:szCs w:val="18"/>
              </w:rPr>
              <w:t xml:space="preserve"> </w:t>
            </w:r>
            <w:r w:rsidRPr="00B7352C">
              <w:rPr>
                <w:rFonts w:asciiTheme="minorBidi" w:hAnsiTheme="minorBidi"/>
                <w:color w:val="000000"/>
                <w:sz w:val="18"/>
                <w:szCs w:val="18"/>
              </w:rPr>
              <w:t>155</w:t>
            </w:r>
          </w:p>
        </w:tc>
        <w:tc>
          <w:tcPr>
            <w:tcW w:w="0" w:type="auto"/>
            <w:noWrap/>
            <w:vAlign w:val="center"/>
            <w:hideMark/>
          </w:tcPr>
          <w:p w14:paraId="44C9C087" w14:textId="18FE3432"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116</w:t>
            </w:r>
            <w:r w:rsidR="009364B5">
              <w:rPr>
                <w:rFonts w:asciiTheme="minorBidi" w:hAnsiTheme="minorBidi"/>
                <w:color w:val="000000"/>
                <w:sz w:val="18"/>
                <w:szCs w:val="18"/>
              </w:rPr>
              <w:t xml:space="preserve"> </w:t>
            </w:r>
            <w:r w:rsidRPr="00B7352C">
              <w:rPr>
                <w:rFonts w:asciiTheme="minorBidi" w:hAnsiTheme="minorBidi"/>
                <w:color w:val="000000"/>
                <w:sz w:val="18"/>
                <w:szCs w:val="18"/>
              </w:rPr>
              <w:t>903</w:t>
            </w:r>
          </w:p>
        </w:tc>
        <w:tc>
          <w:tcPr>
            <w:tcW w:w="0" w:type="auto"/>
            <w:noWrap/>
            <w:vAlign w:val="center"/>
            <w:hideMark/>
          </w:tcPr>
          <w:p w14:paraId="0AEBCDFE"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134A3FAD"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22%</w:t>
            </w:r>
          </w:p>
        </w:tc>
        <w:tc>
          <w:tcPr>
            <w:tcW w:w="0" w:type="auto"/>
            <w:noWrap/>
            <w:vAlign w:val="center"/>
            <w:hideMark/>
          </w:tcPr>
          <w:p w14:paraId="22797E61"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29F2215D" w14:textId="0A70F299"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187</w:t>
            </w:r>
            <w:r w:rsidR="009364B5">
              <w:rPr>
                <w:rFonts w:asciiTheme="minorBidi" w:hAnsiTheme="minorBidi"/>
                <w:color w:val="000000"/>
                <w:sz w:val="18"/>
                <w:szCs w:val="18"/>
              </w:rPr>
              <w:t xml:space="preserve"> </w:t>
            </w:r>
            <w:r w:rsidRPr="00B7352C">
              <w:rPr>
                <w:rFonts w:asciiTheme="minorBidi" w:hAnsiTheme="minorBidi"/>
                <w:color w:val="000000"/>
                <w:sz w:val="18"/>
                <w:szCs w:val="18"/>
              </w:rPr>
              <w:t>093</w:t>
            </w:r>
          </w:p>
        </w:tc>
        <w:tc>
          <w:tcPr>
            <w:tcW w:w="0" w:type="auto"/>
            <w:noWrap/>
            <w:vAlign w:val="center"/>
            <w:hideMark/>
          </w:tcPr>
          <w:p w14:paraId="48F6A342" w14:textId="6250265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141</w:t>
            </w:r>
            <w:r w:rsidR="009364B5">
              <w:rPr>
                <w:rFonts w:asciiTheme="minorBidi" w:hAnsiTheme="minorBidi"/>
                <w:color w:val="000000"/>
                <w:sz w:val="18"/>
                <w:szCs w:val="18"/>
              </w:rPr>
              <w:t xml:space="preserve"> </w:t>
            </w:r>
            <w:r w:rsidRPr="00B7352C">
              <w:rPr>
                <w:rFonts w:asciiTheme="minorBidi" w:hAnsiTheme="minorBidi"/>
                <w:color w:val="000000"/>
                <w:sz w:val="18"/>
                <w:szCs w:val="18"/>
              </w:rPr>
              <w:t>825</w:t>
            </w:r>
          </w:p>
        </w:tc>
        <w:tc>
          <w:tcPr>
            <w:tcW w:w="0" w:type="auto"/>
            <w:noWrap/>
            <w:vAlign w:val="center"/>
            <w:hideMark/>
          </w:tcPr>
          <w:p w14:paraId="38E1F6D7" w14:textId="275DC80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176</w:t>
            </w:r>
            <w:r w:rsidR="009364B5">
              <w:rPr>
                <w:rFonts w:asciiTheme="minorBidi" w:hAnsiTheme="minorBidi"/>
                <w:color w:val="000000"/>
                <w:sz w:val="18"/>
                <w:szCs w:val="18"/>
              </w:rPr>
              <w:t xml:space="preserve"> </w:t>
            </w:r>
            <w:r w:rsidRPr="00B7352C">
              <w:rPr>
                <w:rFonts w:asciiTheme="minorBidi" w:hAnsiTheme="minorBidi"/>
                <w:color w:val="000000"/>
                <w:sz w:val="18"/>
                <w:szCs w:val="18"/>
              </w:rPr>
              <w:t>252</w:t>
            </w:r>
          </w:p>
        </w:tc>
        <w:tc>
          <w:tcPr>
            <w:tcW w:w="0" w:type="auto"/>
            <w:noWrap/>
            <w:vAlign w:val="center"/>
            <w:hideMark/>
          </w:tcPr>
          <w:p w14:paraId="4FC7641B" w14:textId="4DC3C1FC"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189</w:t>
            </w:r>
            <w:r w:rsidR="009364B5">
              <w:rPr>
                <w:rFonts w:asciiTheme="minorBidi" w:hAnsiTheme="minorBidi"/>
                <w:color w:val="000000"/>
                <w:sz w:val="18"/>
                <w:szCs w:val="18"/>
              </w:rPr>
              <w:t xml:space="preserve"> </w:t>
            </w:r>
            <w:r w:rsidRPr="00B7352C">
              <w:rPr>
                <w:rFonts w:asciiTheme="minorBidi" w:hAnsiTheme="minorBidi"/>
                <w:color w:val="000000"/>
                <w:sz w:val="18"/>
                <w:szCs w:val="18"/>
              </w:rPr>
              <w:t>861</w:t>
            </w:r>
          </w:p>
        </w:tc>
        <w:tc>
          <w:tcPr>
            <w:tcW w:w="0" w:type="auto"/>
            <w:noWrap/>
            <w:vAlign w:val="center"/>
            <w:hideMark/>
          </w:tcPr>
          <w:p w14:paraId="2F583D05" w14:textId="11C007DE"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211</w:t>
            </w:r>
            <w:r w:rsidR="009364B5">
              <w:rPr>
                <w:rFonts w:asciiTheme="minorBidi" w:hAnsiTheme="minorBidi"/>
                <w:color w:val="000000"/>
                <w:sz w:val="18"/>
                <w:szCs w:val="18"/>
              </w:rPr>
              <w:t xml:space="preserve"> </w:t>
            </w:r>
            <w:r w:rsidRPr="00B7352C">
              <w:rPr>
                <w:rFonts w:asciiTheme="minorBidi" w:hAnsiTheme="minorBidi"/>
                <w:color w:val="000000"/>
                <w:sz w:val="18"/>
                <w:szCs w:val="18"/>
              </w:rPr>
              <w:t>481</w:t>
            </w:r>
          </w:p>
        </w:tc>
        <w:tc>
          <w:tcPr>
            <w:tcW w:w="0" w:type="auto"/>
            <w:noWrap/>
            <w:vAlign w:val="center"/>
            <w:hideMark/>
          </w:tcPr>
          <w:p w14:paraId="6729C128"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47E3FB4A"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13%</w:t>
            </w:r>
          </w:p>
        </w:tc>
      </w:tr>
      <w:tr w:rsidR="00B54A22" w:rsidRPr="00B7352C" w14:paraId="36DFA7F6" w14:textId="77777777" w:rsidTr="00B54A22">
        <w:trPr>
          <w:trHeight w:val="300"/>
        </w:trPr>
        <w:tc>
          <w:tcPr>
            <w:tcW w:w="0" w:type="auto"/>
            <w:noWrap/>
            <w:vAlign w:val="center"/>
            <w:hideMark/>
          </w:tcPr>
          <w:p w14:paraId="089304D4"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Viljandi</w:t>
            </w:r>
          </w:p>
        </w:tc>
        <w:tc>
          <w:tcPr>
            <w:tcW w:w="0" w:type="auto"/>
            <w:noWrap/>
            <w:vAlign w:val="center"/>
            <w:hideMark/>
          </w:tcPr>
          <w:p w14:paraId="0B2CFE7A" w14:textId="3A65C13B"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52</w:t>
            </w:r>
            <w:r w:rsidR="009364B5">
              <w:rPr>
                <w:rFonts w:asciiTheme="minorBidi" w:hAnsiTheme="minorBidi"/>
                <w:color w:val="000000"/>
                <w:sz w:val="18"/>
                <w:szCs w:val="18"/>
              </w:rPr>
              <w:t xml:space="preserve"> </w:t>
            </w:r>
            <w:r w:rsidRPr="00B7352C">
              <w:rPr>
                <w:rFonts w:asciiTheme="minorBidi" w:hAnsiTheme="minorBidi"/>
                <w:color w:val="000000"/>
                <w:sz w:val="18"/>
                <w:szCs w:val="18"/>
              </w:rPr>
              <w:t>237</w:t>
            </w:r>
          </w:p>
        </w:tc>
        <w:tc>
          <w:tcPr>
            <w:tcW w:w="0" w:type="auto"/>
            <w:noWrap/>
            <w:vAlign w:val="center"/>
            <w:hideMark/>
          </w:tcPr>
          <w:p w14:paraId="582B5068" w14:textId="211376F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42</w:t>
            </w:r>
            <w:r w:rsidR="009364B5">
              <w:rPr>
                <w:rFonts w:asciiTheme="minorBidi" w:hAnsiTheme="minorBidi"/>
                <w:color w:val="000000"/>
                <w:sz w:val="18"/>
                <w:szCs w:val="18"/>
              </w:rPr>
              <w:t xml:space="preserve"> </w:t>
            </w:r>
            <w:r w:rsidRPr="00B7352C">
              <w:rPr>
                <w:rFonts w:asciiTheme="minorBidi" w:hAnsiTheme="minorBidi"/>
                <w:color w:val="000000"/>
                <w:sz w:val="18"/>
                <w:szCs w:val="18"/>
              </w:rPr>
              <w:t>020</w:t>
            </w:r>
          </w:p>
        </w:tc>
        <w:tc>
          <w:tcPr>
            <w:tcW w:w="0" w:type="auto"/>
            <w:noWrap/>
            <w:vAlign w:val="center"/>
            <w:hideMark/>
          </w:tcPr>
          <w:p w14:paraId="10B88791" w14:textId="2B60B6F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50</w:t>
            </w:r>
            <w:r w:rsidR="009364B5">
              <w:rPr>
                <w:rFonts w:asciiTheme="minorBidi" w:hAnsiTheme="minorBidi"/>
                <w:color w:val="000000"/>
                <w:sz w:val="18"/>
                <w:szCs w:val="18"/>
              </w:rPr>
              <w:t xml:space="preserve"> </w:t>
            </w:r>
            <w:r w:rsidRPr="00B7352C">
              <w:rPr>
                <w:rFonts w:asciiTheme="minorBidi" w:hAnsiTheme="minorBidi"/>
                <w:color w:val="000000"/>
                <w:sz w:val="18"/>
                <w:szCs w:val="18"/>
              </w:rPr>
              <w:t>472</w:t>
            </w:r>
          </w:p>
        </w:tc>
        <w:tc>
          <w:tcPr>
            <w:tcW w:w="0" w:type="auto"/>
            <w:noWrap/>
            <w:vAlign w:val="center"/>
            <w:hideMark/>
          </w:tcPr>
          <w:p w14:paraId="12357ABA" w14:textId="40D459B9"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64</w:t>
            </w:r>
            <w:r w:rsidR="009364B5">
              <w:rPr>
                <w:rFonts w:asciiTheme="minorBidi" w:hAnsiTheme="minorBidi"/>
                <w:color w:val="000000"/>
                <w:sz w:val="18"/>
                <w:szCs w:val="18"/>
              </w:rPr>
              <w:t xml:space="preserve"> </w:t>
            </w:r>
            <w:r w:rsidRPr="00B7352C">
              <w:rPr>
                <w:rFonts w:asciiTheme="minorBidi" w:hAnsiTheme="minorBidi"/>
                <w:color w:val="000000"/>
                <w:sz w:val="18"/>
                <w:szCs w:val="18"/>
              </w:rPr>
              <w:t>145</w:t>
            </w:r>
          </w:p>
        </w:tc>
        <w:tc>
          <w:tcPr>
            <w:tcW w:w="0" w:type="auto"/>
            <w:noWrap/>
            <w:vAlign w:val="center"/>
            <w:hideMark/>
          </w:tcPr>
          <w:p w14:paraId="28B1FC20" w14:textId="13407832"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57</w:t>
            </w:r>
            <w:r w:rsidR="009364B5">
              <w:rPr>
                <w:rFonts w:asciiTheme="minorBidi" w:hAnsiTheme="minorBidi"/>
                <w:color w:val="000000"/>
                <w:sz w:val="18"/>
                <w:szCs w:val="18"/>
              </w:rPr>
              <w:t xml:space="preserve"> </w:t>
            </w:r>
            <w:r w:rsidRPr="00B7352C">
              <w:rPr>
                <w:rFonts w:asciiTheme="minorBidi" w:hAnsiTheme="minorBidi"/>
                <w:color w:val="000000"/>
                <w:sz w:val="18"/>
                <w:szCs w:val="18"/>
              </w:rPr>
              <w:t>850</w:t>
            </w:r>
          </w:p>
        </w:tc>
        <w:tc>
          <w:tcPr>
            <w:tcW w:w="0" w:type="auto"/>
            <w:noWrap/>
            <w:vAlign w:val="center"/>
            <w:hideMark/>
          </w:tcPr>
          <w:p w14:paraId="4F222733"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6C46A59E" w14:textId="77777777" w:rsidR="00F72778" w:rsidRPr="00B54A22" w:rsidRDefault="00F72778" w:rsidP="00DF2C2E">
            <w:pPr>
              <w:spacing w:before="0" w:after="0" w:line="240" w:lineRule="auto"/>
              <w:jc w:val="right"/>
              <w:rPr>
                <w:rFonts w:asciiTheme="minorBidi" w:hAnsiTheme="minorBidi"/>
                <w:sz w:val="18"/>
                <w:szCs w:val="18"/>
              </w:rPr>
            </w:pPr>
            <w:r w:rsidRPr="00B54A22">
              <w:rPr>
                <w:rFonts w:asciiTheme="minorBidi" w:hAnsiTheme="minorBidi"/>
                <w:sz w:val="18"/>
                <w:szCs w:val="18"/>
              </w:rPr>
              <w:t>11%</w:t>
            </w:r>
          </w:p>
        </w:tc>
        <w:tc>
          <w:tcPr>
            <w:tcW w:w="0" w:type="auto"/>
            <w:noWrap/>
            <w:vAlign w:val="center"/>
            <w:hideMark/>
          </w:tcPr>
          <w:p w14:paraId="6D4C9349"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2DBB3F26" w14:textId="31CEA98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99</w:t>
            </w:r>
            <w:r w:rsidR="009364B5">
              <w:rPr>
                <w:rFonts w:asciiTheme="minorBidi" w:hAnsiTheme="minorBidi"/>
                <w:color w:val="000000"/>
                <w:sz w:val="18"/>
                <w:szCs w:val="18"/>
              </w:rPr>
              <w:t xml:space="preserve"> </w:t>
            </w:r>
            <w:r w:rsidRPr="00B7352C">
              <w:rPr>
                <w:rFonts w:asciiTheme="minorBidi" w:hAnsiTheme="minorBidi"/>
                <w:color w:val="000000"/>
                <w:sz w:val="18"/>
                <w:szCs w:val="18"/>
              </w:rPr>
              <w:t>499</w:t>
            </w:r>
          </w:p>
        </w:tc>
        <w:tc>
          <w:tcPr>
            <w:tcW w:w="0" w:type="auto"/>
            <w:noWrap/>
            <w:vAlign w:val="center"/>
            <w:hideMark/>
          </w:tcPr>
          <w:p w14:paraId="03725060" w14:textId="28DB8F1B"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79</w:t>
            </w:r>
            <w:r w:rsidR="009364B5">
              <w:rPr>
                <w:rFonts w:asciiTheme="minorBidi" w:hAnsiTheme="minorBidi"/>
                <w:color w:val="000000"/>
                <w:sz w:val="18"/>
                <w:szCs w:val="18"/>
              </w:rPr>
              <w:t xml:space="preserve"> </w:t>
            </w:r>
            <w:r w:rsidRPr="00B7352C">
              <w:rPr>
                <w:rFonts w:asciiTheme="minorBidi" w:hAnsiTheme="minorBidi"/>
                <w:color w:val="000000"/>
                <w:sz w:val="18"/>
                <w:szCs w:val="18"/>
              </w:rPr>
              <w:t>095</w:t>
            </w:r>
          </w:p>
        </w:tc>
        <w:tc>
          <w:tcPr>
            <w:tcW w:w="0" w:type="auto"/>
            <w:noWrap/>
            <w:vAlign w:val="center"/>
            <w:hideMark/>
          </w:tcPr>
          <w:p w14:paraId="538235DC" w14:textId="4CD63129"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89</w:t>
            </w:r>
            <w:r w:rsidR="009364B5">
              <w:rPr>
                <w:rFonts w:asciiTheme="minorBidi" w:hAnsiTheme="minorBidi"/>
                <w:color w:val="000000"/>
                <w:sz w:val="18"/>
                <w:szCs w:val="18"/>
              </w:rPr>
              <w:t xml:space="preserve"> </w:t>
            </w:r>
            <w:r w:rsidRPr="00B7352C">
              <w:rPr>
                <w:rFonts w:asciiTheme="minorBidi" w:hAnsiTheme="minorBidi"/>
                <w:color w:val="000000"/>
                <w:sz w:val="18"/>
                <w:szCs w:val="18"/>
              </w:rPr>
              <w:t>239</w:t>
            </w:r>
          </w:p>
        </w:tc>
        <w:tc>
          <w:tcPr>
            <w:tcW w:w="0" w:type="auto"/>
            <w:noWrap/>
            <w:vAlign w:val="center"/>
            <w:hideMark/>
          </w:tcPr>
          <w:p w14:paraId="45592199" w14:textId="4B333967"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104</w:t>
            </w:r>
            <w:r w:rsidR="009364B5">
              <w:rPr>
                <w:rFonts w:asciiTheme="minorBidi" w:hAnsiTheme="minorBidi"/>
                <w:color w:val="000000"/>
                <w:sz w:val="18"/>
                <w:szCs w:val="18"/>
              </w:rPr>
              <w:t xml:space="preserve"> </w:t>
            </w:r>
            <w:r w:rsidRPr="00B7352C">
              <w:rPr>
                <w:rFonts w:asciiTheme="minorBidi" w:hAnsiTheme="minorBidi"/>
                <w:color w:val="000000"/>
                <w:sz w:val="18"/>
                <w:szCs w:val="18"/>
              </w:rPr>
              <w:t>847</w:t>
            </w:r>
          </w:p>
        </w:tc>
        <w:tc>
          <w:tcPr>
            <w:tcW w:w="0" w:type="auto"/>
            <w:noWrap/>
            <w:vAlign w:val="center"/>
            <w:hideMark/>
          </w:tcPr>
          <w:p w14:paraId="076ABAE9" w14:textId="0D123E09"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96</w:t>
            </w:r>
            <w:r w:rsidR="009364B5">
              <w:rPr>
                <w:rFonts w:asciiTheme="minorBidi" w:hAnsiTheme="minorBidi"/>
                <w:color w:val="000000"/>
                <w:sz w:val="18"/>
                <w:szCs w:val="18"/>
              </w:rPr>
              <w:t xml:space="preserve"> </w:t>
            </w:r>
            <w:r w:rsidRPr="00B7352C">
              <w:rPr>
                <w:rFonts w:asciiTheme="minorBidi" w:hAnsiTheme="minorBidi"/>
                <w:color w:val="000000"/>
                <w:sz w:val="18"/>
                <w:szCs w:val="18"/>
              </w:rPr>
              <w:t>068</w:t>
            </w:r>
          </w:p>
        </w:tc>
        <w:tc>
          <w:tcPr>
            <w:tcW w:w="0" w:type="auto"/>
            <w:noWrap/>
            <w:vAlign w:val="center"/>
            <w:hideMark/>
          </w:tcPr>
          <w:p w14:paraId="24912555"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6F51F98E"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-3%</w:t>
            </w:r>
          </w:p>
        </w:tc>
      </w:tr>
      <w:tr w:rsidR="00B54A22" w:rsidRPr="00B7352C" w14:paraId="597712AB" w14:textId="77777777" w:rsidTr="00B54A22">
        <w:trPr>
          <w:trHeight w:val="300"/>
        </w:trPr>
        <w:tc>
          <w:tcPr>
            <w:tcW w:w="0" w:type="auto"/>
            <w:noWrap/>
            <w:vAlign w:val="center"/>
            <w:hideMark/>
          </w:tcPr>
          <w:p w14:paraId="3D3B4715"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Võru</w:t>
            </w:r>
          </w:p>
        </w:tc>
        <w:tc>
          <w:tcPr>
            <w:tcW w:w="0" w:type="auto"/>
            <w:noWrap/>
            <w:vAlign w:val="center"/>
            <w:hideMark/>
          </w:tcPr>
          <w:p w14:paraId="2622CBBE" w14:textId="04608154"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87</w:t>
            </w:r>
            <w:r w:rsidR="009364B5">
              <w:rPr>
                <w:rFonts w:asciiTheme="minorBidi" w:hAnsiTheme="minorBidi"/>
                <w:color w:val="000000"/>
                <w:sz w:val="18"/>
                <w:szCs w:val="18"/>
              </w:rPr>
              <w:t xml:space="preserve"> </w:t>
            </w:r>
            <w:r w:rsidRPr="00B7352C">
              <w:rPr>
                <w:rFonts w:asciiTheme="minorBidi" w:hAnsiTheme="minorBidi"/>
                <w:color w:val="000000"/>
                <w:sz w:val="18"/>
                <w:szCs w:val="18"/>
              </w:rPr>
              <w:t>988</w:t>
            </w:r>
          </w:p>
        </w:tc>
        <w:tc>
          <w:tcPr>
            <w:tcW w:w="0" w:type="auto"/>
            <w:noWrap/>
            <w:vAlign w:val="center"/>
            <w:hideMark/>
          </w:tcPr>
          <w:p w14:paraId="1FEF0D12" w14:textId="1FFEA9AF"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66</w:t>
            </w:r>
            <w:r w:rsidR="009364B5">
              <w:rPr>
                <w:rFonts w:asciiTheme="minorBidi" w:hAnsiTheme="minorBidi"/>
                <w:color w:val="000000"/>
                <w:sz w:val="18"/>
                <w:szCs w:val="18"/>
              </w:rPr>
              <w:t xml:space="preserve"> </w:t>
            </w:r>
            <w:r w:rsidRPr="00B7352C">
              <w:rPr>
                <w:rFonts w:asciiTheme="minorBidi" w:hAnsiTheme="minorBidi"/>
                <w:color w:val="000000"/>
                <w:sz w:val="18"/>
                <w:szCs w:val="18"/>
              </w:rPr>
              <w:t>365</w:t>
            </w:r>
          </w:p>
        </w:tc>
        <w:tc>
          <w:tcPr>
            <w:tcW w:w="0" w:type="auto"/>
            <w:noWrap/>
            <w:vAlign w:val="center"/>
            <w:hideMark/>
          </w:tcPr>
          <w:p w14:paraId="30D5253C" w14:textId="7A32163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71</w:t>
            </w:r>
            <w:r w:rsidR="009364B5">
              <w:rPr>
                <w:rFonts w:asciiTheme="minorBidi" w:hAnsiTheme="minorBidi"/>
                <w:color w:val="000000"/>
                <w:sz w:val="18"/>
                <w:szCs w:val="18"/>
              </w:rPr>
              <w:t xml:space="preserve"> </w:t>
            </w:r>
            <w:r w:rsidRPr="00B7352C">
              <w:rPr>
                <w:rFonts w:asciiTheme="minorBidi" w:hAnsiTheme="minorBidi"/>
                <w:color w:val="000000"/>
                <w:sz w:val="18"/>
                <w:szCs w:val="18"/>
              </w:rPr>
              <w:t>270</w:t>
            </w:r>
          </w:p>
        </w:tc>
        <w:tc>
          <w:tcPr>
            <w:tcW w:w="0" w:type="auto"/>
            <w:noWrap/>
            <w:vAlign w:val="center"/>
            <w:hideMark/>
          </w:tcPr>
          <w:p w14:paraId="7C024363" w14:textId="627E93C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83</w:t>
            </w:r>
            <w:r w:rsidR="009364B5">
              <w:rPr>
                <w:rFonts w:asciiTheme="minorBidi" w:hAnsiTheme="minorBidi"/>
                <w:color w:val="000000"/>
                <w:sz w:val="18"/>
                <w:szCs w:val="18"/>
              </w:rPr>
              <w:t xml:space="preserve"> </w:t>
            </w:r>
            <w:r w:rsidRPr="00B7352C">
              <w:rPr>
                <w:rFonts w:asciiTheme="minorBidi" w:hAnsiTheme="minorBidi"/>
                <w:color w:val="000000"/>
                <w:sz w:val="18"/>
                <w:szCs w:val="18"/>
              </w:rPr>
              <w:t>514</w:t>
            </w:r>
          </w:p>
        </w:tc>
        <w:tc>
          <w:tcPr>
            <w:tcW w:w="0" w:type="auto"/>
            <w:noWrap/>
            <w:vAlign w:val="center"/>
            <w:hideMark/>
          </w:tcPr>
          <w:p w14:paraId="7DE02FF0" w14:textId="3B35366A"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76</w:t>
            </w:r>
            <w:r w:rsidR="009364B5">
              <w:rPr>
                <w:rFonts w:asciiTheme="minorBidi" w:hAnsiTheme="minorBidi"/>
                <w:color w:val="000000"/>
                <w:sz w:val="18"/>
                <w:szCs w:val="18"/>
              </w:rPr>
              <w:t xml:space="preserve"> </w:t>
            </w:r>
            <w:r w:rsidRPr="00B7352C">
              <w:rPr>
                <w:rFonts w:asciiTheme="minorBidi" w:hAnsiTheme="minorBidi"/>
                <w:color w:val="000000"/>
                <w:sz w:val="18"/>
                <w:szCs w:val="18"/>
              </w:rPr>
              <w:t>005</w:t>
            </w:r>
          </w:p>
        </w:tc>
        <w:tc>
          <w:tcPr>
            <w:tcW w:w="0" w:type="auto"/>
            <w:noWrap/>
            <w:vAlign w:val="center"/>
            <w:hideMark/>
          </w:tcPr>
          <w:p w14:paraId="1C9BF783"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267310AB"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-14%</w:t>
            </w:r>
          </w:p>
        </w:tc>
        <w:tc>
          <w:tcPr>
            <w:tcW w:w="0" w:type="auto"/>
            <w:noWrap/>
            <w:vAlign w:val="center"/>
            <w:hideMark/>
          </w:tcPr>
          <w:p w14:paraId="27532CD1"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3CEB0659" w14:textId="49488C4C"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171</w:t>
            </w:r>
            <w:r w:rsidR="009364B5">
              <w:rPr>
                <w:rFonts w:asciiTheme="minorBidi" w:hAnsiTheme="minorBidi"/>
                <w:color w:val="000000"/>
                <w:sz w:val="18"/>
                <w:szCs w:val="18"/>
              </w:rPr>
              <w:t xml:space="preserve"> </w:t>
            </w:r>
            <w:r w:rsidRPr="00B7352C">
              <w:rPr>
                <w:rFonts w:asciiTheme="minorBidi" w:hAnsiTheme="minorBidi"/>
                <w:color w:val="000000"/>
                <w:sz w:val="18"/>
                <w:szCs w:val="18"/>
              </w:rPr>
              <w:t>224</w:t>
            </w:r>
          </w:p>
        </w:tc>
        <w:tc>
          <w:tcPr>
            <w:tcW w:w="0" w:type="auto"/>
            <w:noWrap/>
            <w:vAlign w:val="center"/>
            <w:hideMark/>
          </w:tcPr>
          <w:p w14:paraId="1F5F558E" w14:textId="1701BCD6"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131</w:t>
            </w:r>
            <w:r w:rsidR="009364B5">
              <w:rPr>
                <w:rFonts w:asciiTheme="minorBidi" w:hAnsiTheme="minorBidi"/>
                <w:color w:val="000000"/>
                <w:sz w:val="18"/>
                <w:szCs w:val="18"/>
              </w:rPr>
              <w:t xml:space="preserve"> </w:t>
            </w:r>
            <w:r w:rsidRPr="00B7352C">
              <w:rPr>
                <w:rFonts w:asciiTheme="minorBidi" w:hAnsiTheme="minorBidi"/>
                <w:color w:val="000000"/>
                <w:sz w:val="18"/>
                <w:szCs w:val="18"/>
              </w:rPr>
              <w:t>903</w:t>
            </w:r>
          </w:p>
        </w:tc>
        <w:tc>
          <w:tcPr>
            <w:tcW w:w="0" w:type="auto"/>
            <w:noWrap/>
            <w:vAlign w:val="center"/>
            <w:hideMark/>
          </w:tcPr>
          <w:p w14:paraId="2761FE88" w14:textId="3B356939"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141</w:t>
            </w:r>
            <w:r w:rsidR="009364B5">
              <w:rPr>
                <w:rFonts w:asciiTheme="minorBidi" w:hAnsiTheme="minorBidi"/>
                <w:color w:val="000000"/>
                <w:sz w:val="18"/>
                <w:szCs w:val="18"/>
              </w:rPr>
              <w:t xml:space="preserve"> </w:t>
            </w:r>
            <w:r w:rsidRPr="00B7352C">
              <w:rPr>
                <w:rFonts w:asciiTheme="minorBidi" w:hAnsiTheme="minorBidi"/>
                <w:color w:val="000000"/>
                <w:sz w:val="18"/>
                <w:szCs w:val="18"/>
              </w:rPr>
              <w:t>588</w:t>
            </w:r>
          </w:p>
        </w:tc>
        <w:tc>
          <w:tcPr>
            <w:tcW w:w="0" w:type="auto"/>
            <w:noWrap/>
            <w:vAlign w:val="center"/>
            <w:hideMark/>
          </w:tcPr>
          <w:p w14:paraId="756E67FE" w14:textId="620847F6"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158</w:t>
            </w:r>
            <w:r w:rsidR="009364B5">
              <w:rPr>
                <w:rFonts w:asciiTheme="minorBidi" w:hAnsiTheme="minorBidi"/>
                <w:color w:val="000000"/>
                <w:sz w:val="18"/>
                <w:szCs w:val="18"/>
              </w:rPr>
              <w:t xml:space="preserve"> </w:t>
            </w:r>
            <w:r w:rsidRPr="00B7352C">
              <w:rPr>
                <w:rFonts w:asciiTheme="minorBidi" w:hAnsiTheme="minorBidi"/>
                <w:color w:val="000000"/>
                <w:sz w:val="18"/>
                <w:szCs w:val="18"/>
              </w:rPr>
              <w:t>179</w:t>
            </w:r>
          </w:p>
        </w:tc>
        <w:tc>
          <w:tcPr>
            <w:tcW w:w="0" w:type="auto"/>
            <w:noWrap/>
            <w:vAlign w:val="center"/>
            <w:hideMark/>
          </w:tcPr>
          <w:p w14:paraId="27986B25" w14:textId="6B727A56"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147</w:t>
            </w:r>
            <w:r w:rsidR="009364B5">
              <w:rPr>
                <w:rFonts w:asciiTheme="minorBidi" w:hAnsiTheme="minorBidi"/>
                <w:color w:val="000000"/>
                <w:sz w:val="18"/>
                <w:szCs w:val="18"/>
              </w:rPr>
              <w:t xml:space="preserve"> </w:t>
            </w:r>
            <w:r w:rsidRPr="00B7352C">
              <w:rPr>
                <w:rFonts w:asciiTheme="minorBidi" w:hAnsiTheme="minorBidi"/>
                <w:color w:val="000000"/>
                <w:sz w:val="18"/>
                <w:szCs w:val="18"/>
              </w:rPr>
              <w:t>641</w:t>
            </w:r>
          </w:p>
        </w:tc>
        <w:tc>
          <w:tcPr>
            <w:tcW w:w="0" w:type="auto"/>
            <w:noWrap/>
            <w:vAlign w:val="center"/>
            <w:hideMark/>
          </w:tcPr>
          <w:p w14:paraId="1D532543"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19C9455F"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-14%</w:t>
            </w:r>
          </w:p>
        </w:tc>
      </w:tr>
      <w:tr w:rsidR="00B54A22" w:rsidRPr="00B7352C" w14:paraId="25B50E9D" w14:textId="77777777" w:rsidTr="00B54A22">
        <w:trPr>
          <w:trHeight w:val="300"/>
        </w:trPr>
        <w:tc>
          <w:tcPr>
            <w:tcW w:w="0" w:type="auto"/>
            <w:noWrap/>
            <w:vAlign w:val="center"/>
            <w:hideMark/>
          </w:tcPr>
          <w:p w14:paraId="48141D10"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EESTI</w:t>
            </w:r>
          </w:p>
        </w:tc>
        <w:tc>
          <w:tcPr>
            <w:tcW w:w="0" w:type="auto"/>
            <w:noWrap/>
            <w:vAlign w:val="center"/>
            <w:hideMark/>
          </w:tcPr>
          <w:p w14:paraId="46ABBAB7" w14:textId="544EB07F"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w:t>
            </w:r>
            <w:r w:rsidR="009364B5">
              <w:rPr>
                <w:rFonts w:asciiTheme="minorBidi" w:hAnsiTheme="minorBidi"/>
                <w:color w:val="000000"/>
                <w:sz w:val="18"/>
                <w:szCs w:val="18"/>
              </w:rPr>
              <w:t xml:space="preserve"> </w:t>
            </w:r>
            <w:r w:rsidRPr="00B7352C">
              <w:rPr>
                <w:rFonts w:asciiTheme="minorBidi" w:hAnsiTheme="minorBidi"/>
                <w:color w:val="000000"/>
                <w:sz w:val="18"/>
                <w:szCs w:val="18"/>
              </w:rPr>
              <w:t>789</w:t>
            </w:r>
            <w:r w:rsidR="009364B5">
              <w:rPr>
                <w:rFonts w:asciiTheme="minorBidi" w:hAnsiTheme="minorBidi"/>
                <w:color w:val="000000"/>
                <w:sz w:val="18"/>
                <w:szCs w:val="18"/>
              </w:rPr>
              <w:t xml:space="preserve"> </w:t>
            </w:r>
            <w:r w:rsidRPr="00B7352C">
              <w:rPr>
                <w:rFonts w:asciiTheme="minorBidi" w:hAnsiTheme="minorBidi"/>
                <w:color w:val="000000"/>
                <w:sz w:val="18"/>
                <w:szCs w:val="18"/>
              </w:rPr>
              <w:t>955</w:t>
            </w:r>
          </w:p>
        </w:tc>
        <w:tc>
          <w:tcPr>
            <w:tcW w:w="0" w:type="auto"/>
            <w:noWrap/>
            <w:vAlign w:val="center"/>
            <w:hideMark/>
          </w:tcPr>
          <w:p w14:paraId="4526D865" w14:textId="255D7411"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w:t>
            </w:r>
            <w:r w:rsidR="009364B5">
              <w:rPr>
                <w:rFonts w:asciiTheme="minorBidi" w:hAnsiTheme="minorBidi"/>
                <w:color w:val="000000"/>
                <w:sz w:val="18"/>
                <w:szCs w:val="18"/>
              </w:rPr>
              <w:t xml:space="preserve"> </w:t>
            </w:r>
            <w:r w:rsidRPr="00B7352C">
              <w:rPr>
                <w:rFonts w:asciiTheme="minorBidi" w:hAnsiTheme="minorBidi"/>
                <w:color w:val="000000"/>
                <w:sz w:val="18"/>
                <w:szCs w:val="18"/>
              </w:rPr>
              <w:t>972</w:t>
            </w:r>
            <w:r w:rsidR="009364B5">
              <w:rPr>
                <w:rFonts w:asciiTheme="minorBidi" w:hAnsiTheme="minorBidi"/>
                <w:color w:val="000000"/>
                <w:sz w:val="18"/>
                <w:szCs w:val="18"/>
              </w:rPr>
              <w:t xml:space="preserve"> </w:t>
            </w:r>
            <w:r w:rsidRPr="00B7352C">
              <w:rPr>
                <w:rFonts w:asciiTheme="minorBidi" w:hAnsiTheme="minorBidi"/>
                <w:color w:val="000000"/>
                <w:sz w:val="18"/>
                <w:szCs w:val="18"/>
              </w:rPr>
              <w:t>131</w:t>
            </w:r>
          </w:p>
        </w:tc>
        <w:tc>
          <w:tcPr>
            <w:tcW w:w="0" w:type="auto"/>
            <w:noWrap/>
            <w:vAlign w:val="center"/>
            <w:hideMark/>
          </w:tcPr>
          <w:p w14:paraId="7E487354" w14:textId="7DD8D27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w:t>
            </w:r>
            <w:r w:rsidR="009364B5">
              <w:rPr>
                <w:rFonts w:asciiTheme="minorBidi" w:hAnsiTheme="minorBidi"/>
                <w:color w:val="000000"/>
                <w:sz w:val="18"/>
                <w:szCs w:val="18"/>
              </w:rPr>
              <w:t xml:space="preserve"> </w:t>
            </w:r>
            <w:r w:rsidRPr="00B7352C">
              <w:rPr>
                <w:rFonts w:asciiTheme="minorBidi" w:hAnsiTheme="minorBidi"/>
                <w:color w:val="000000"/>
                <w:sz w:val="18"/>
                <w:szCs w:val="18"/>
              </w:rPr>
              <w:t>138</w:t>
            </w:r>
            <w:r w:rsidR="009364B5">
              <w:rPr>
                <w:rFonts w:asciiTheme="minorBidi" w:hAnsiTheme="minorBidi"/>
                <w:color w:val="000000"/>
                <w:sz w:val="18"/>
                <w:szCs w:val="18"/>
              </w:rPr>
              <w:t xml:space="preserve"> </w:t>
            </w:r>
            <w:r w:rsidRPr="00B7352C">
              <w:rPr>
                <w:rFonts w:asciiTheme="minorBidi" w:hAnsiTheme="minorBidi"/>
                <w:color w:val="000000"/>
                <w:sz w:val="18"/>
                <w:szCs w:val="18"/>
              </w:rPr>
              <w:t>346</w:t>
            </w:r>
          </w:p>
        </w:tc>
        <w:tc>
          <w:tcPr>
            <w:tcW w:w="0" w:type="auto"/>
            <w:noWrap/>
            <w:vAlign w:val="center"/>
            <w:hideMark/>
          </w:tcPr>
          <w:p w14:paraId="3C7D5926" w14:textId="5E9D3842"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w:t>
            </w:r>
            <w:r w:rsidR="009364B5">
              <w:rPr>
                <w:rFonts w:asciiTheme="minorBidi" w:hAnsiTheme="minorBidi"/>
                <w:color w:val="000000"/>
                <w:sz w:val="18"/>
                <w:szCs w:val="18"/>
              </w:rPr>
              <w:t xml:space="preserve"> </w:t>
            </w:r>
            <w:r w:rsidRPr="00B7352C">
              <w:rPr>
                <w:rFonts w:asciiTheme="minorBidi" w:hAnsiTheme="minorBidi"/>
                <w:color w:val="000000"/>
                <w:sz w:val="18"/>
                <w:szCs w:val="18"/>
              </w:rPr>
              <w:t>252</w:t>
            </w:r>
            <w:r w:rsidR="009364B5">
              <w:rPr>
                <w:rFonts w:asciiTheme="minorBidi" w:hAnsiTheme="minorBidi"/>
                <w:color w:val="000000"/>
                <w:sz w:val="18"/>
                <w:szCs w:val="18"/>
              </w:rPr>
              <w:t xml:space="preserve"> </w:t>
            </w:r>
            <w:r w:rsidRPr="00B7352C">
              <w:rPr>
                <w:rFonts w:asciiTheme="minorBidi" w:hAnsiTheme="minorBidi"/>
                <w:color w:val="000000"/>
                <w:sz w:val="18"/>
                <w:szCs w:val="18"/>
              </w:rPr>
              <w:t>898</w:t>
            </w:r>
          </w:p>
        </w:tc>
        <w:tc>
          <w:tcPr>
            <w:tcW w:w="0" w:type="auto"/>
            <w:noWrap/>
            <w:vAlign w:val="center"/>
            <w:hideMark/>
          </w:tcPr>
          <w:p w14:paraId="2FD1D58E" w14:textId="1E39BA7B"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w:t>
            </w:r>
            <w:r w:rsidR="009364B5">
              <w:rPr>
                <w:rFonts w:asciiTheme="minorBidi" w:hAnsiTheme="minorBidi"/>
                <w:color w:val="000000"/>
                <w:sz w:val="18"/>
                <w:szCs w:val="18"/>
              </w:rPr>
              <w:t xml:space="preserve"> </w:t>
            </w:r>
            <w:r w:rsidRPr="00B7352C">
              <w:rPr>
                <w:rFonts w:asciiTheme="minorBidi" w:hAnsiTheme="minorBidi"/>
                <w:color w:val="000000"/>
                <w:sz w:val="18"/>
                <w:szCs w:val="18"/>
              </w:rPr>
              <w:t>425</w:t>
            </w:r>
            <w:r w:rsidR="009364B5">
              <w:rPr>
                <w:rFonts w:asciiTheme="minorBidi" w:hAnsiTheme="minorBidi"/>
                <w:color w:val="000000"/>
                <w:sz w:val="18"/>
                <w:szCs w:val="18"/>
              </w:rPr>
              <w:t xml:space="preserve"> </w:t>
            </w:r>
            <w:r w:rsidRPr="00B7352C">
              <w:rPr>
                <w:rFonts w:asciiTheme="minorBidi" w:hAnsiTheme="minorBidi"/>
                <w:color w:val="000000"/>
                <w:sz w:val="18"/>
                <w:szCs w:val="18"/>
              </w:rPr>
              <w:t>730</w:t>
            </w:r>
          </w:p>
        </w:tc>
        <w:tc>
          <w:tcPr>
            <w:tcW w:w="0" w:type="auto"/>
            <w:noWrap/>
            <w:vAlign w:val="center"/>
            <w:hideMark/>
          </w:tcPr>
          <w:p w14:paraId="1FFA7EC1"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67DD879B"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-10%</w:t>
            </w:r>
          </w:p>
        </w:tc>
        <w:tc>
          <w:tcPr>
            <w:tcW w:w="0" w:type="auto"/>
            <w:noWrap/>
            <w:vAlign w:val="center"/>
            <w:hideMark/>
          </w:tcPr>
          <w:p w14:paraId="38A828D0"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263295CC" w14:textId="7A217845"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6</w:t>
            </w:r>
            <w:r w:rsidR="009364B5">
              <w:rPr>
                <w:rFonts w:asciiTheme="minorBidi" w:hAnsiTheme="minorBidi"/>
                <w:color w:val="000000"/>
                <w:sz w:val="18"/>
                <w:szCs w:val="18"/>
              </w:rPr>
              <w:t xml:space="preserve"> </w:t>
            </w:r>
            <w:r w:rsidRPr="00B7352C">
              <w:rPr>
                <w:rFonts w:asciiTheme="minorBidi" w:hAnsiTheme="minorBidi"/>
                <w:color w:val="000000"/>
                <w:sz w:val="18"/>
                <w:szCs w:val="18"/>
              </w:rPr>
              <w:t>967</w:t>
            </w:r>
            <w:r w:rsidR="009364B5">
              <w:rPr>
                <w:rFonts w:asciiTheme="minorBidi" w:hAnsiTheme="minorBidi"/>
                <w:color w:val="000000"/>
                <w:sz w:val="18"/>
                <w:szCs w:val="18"/>
              </w:rPr>
              <w:t xml:space="preserve"> </w:t>
            </w:r>
            <w:r w:rsidRPr="00B7352C">
              <w:rPr>
                <w:rFonts w:asciiTheme="minorBidi" w:hAnsiTheme="minorBidi"/>
                <w:color w:val="000000"/>
                <w:sz w:val="18"/>
                <w:szCs w:val="18"/>
              </w:rPr>
              <w:t>047</w:t>
            </w:r>
          </w:p>
        </w:tc>
        <w:tc>
          <w:tcPr>
            <w:tcW w:w="0" w:type="auto"/>
            <w:noWrap/>
            <w:vAlign w:val="center"/>
            <w:hideMark/>
          </w:tcPr>
          <w:p w14:paraId="7DA96B9A" w14:textId="6EA01632"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w:t>
            </w:r>
            <w:r w:rsidR="009364B5">
              <w:rPr>
                <w:rFonts w:asciiTheme="minorBidi" w:hAnsiTheme="minorBidi"/>
                <w:color w:val="000000"/>
                <w:sz w:val="18"/>
                <w:szCs w:val="18"/>
              </w:rPr>
              <w:t xml:space="preserve"> </w:t>
            </w:r>
            <w:r w:rsidRPr="00B7352C">
              <w:rPr>
                <w:rFonts w:asciiTheme="minorBidi" w:hAnsiTheme="minorBidi"/>
                <w:color w:val="000000"/>
                <w:sz w:val="18"/>
                <w:szCs w:val="18"/>
              </w:rPr>
              <w:t>674</w:t>
            </w:r>
            <w:r w:rsidR="009364B5">
              <w:rPr>
                <w:rFonts w:asciiTheme="minorBidi" w:hAnsiTheme="minorBidi"/>
                <w:color w:val="000000"/>
                <w:sz w:val="18"/>
                <w:szCs w:val="18"/>
              </w:rPr>
              <w:t xml:space="preserve"> </w:t>
            </w:r>
            <w:r w:rsidRPr="00B7352C">
              <w:rPr>
                <w:rFonts w:asciiTheme="minorBidi" w:hAnsiTheme="minorBidi"/>
                <w:color w:val="000000"/>
                <w:sz w:val="18"/>
                <w:szCs w:val="18"/>
              </w:rPr>
              <w:t>012</w:t>
            </w:r>
          </w:p>
        </w:tc>
        <w:tc>
          <w:tcPr>
            <w:tcW w:w="0" w:type="auto"/>
            <w:noWrap/>
            <w:vAlign w:val="center"/>
            <w:hideMark/>
          </w:tcPr>
          <w:p w14:paraId="6791F17F" w14:textId="638A5452"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w:t>
            </w:r>
            <w:r w:rsidR="009364B5">
              <w:rPr>
                <w:rFonts w:asciiTheme="minorBidi" w:hAnsiTheme="minorBidi"/>
                <w:color w:val="000000"/>
                <w:sz w:val="18"/>
                <w:szCs w:val="18"/>
              </w:rPr>
              <w:t xml:space="preserve"> </w:t>
            </w:r>
            <w:r w:rsidRPr="00B7352C">
              <w:rPr>
                <w:rFonts w:asciiTheme="minorBidi" w:hAnsiTheme="minorBidi"/>
                <w:color w:val="000000"/>
                <w:sz w:val="18"/>
                <w:szCs w:val="18"/>
              </w:rPr>
              <w:t>998</w:t>
            </w:r>
            <w:r w:rsidR="009364B5">
              <w:rPr>
                <w:rFonts w:asciiTheme="minorBidi" w:hAnsiTheme="minorBidi"/>
                <w:color w:val="000000"/>
                <w:sz w:val="18"/>
                <w:szCs w:val="18"/>
              </w:rPr>
              <w:t xml:space="preserve"> </w:t>
            </w:r>
            <w:r w:rsidRPr="00B7352C">
              <w:rPr>
                <w:rFonts w:asciiTheme="minorBidi" w:hAnsiTheme="minorBidi"/>
                <w:color w:val="000000"/>
                <w:sz w:val="18"/>
                <w:szCs w:val="18"/>
              </w:rPr>
              <w:t>997</w:t>
            </w:r>
          </w:p>
        </w:tc>
        <w:tc>
          <w:tcPr>
            <w:tcW w:w="0" w:type="auto"/>
            <w:noWrap/>
            <w:vAlign w:val="center"/>
            <w:hideMark/>
          </w:tcPr>
          <w:p w14:paraId="64EA8D65" w14:textId="366826F6"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5</w:t>
            </w:r>
            <w:r w:rsidR="009364B5">
              <w:rPr>
                <w:rFonts w:asciiTheme="minorBidi" w:hAnsiTheme="minorBidi"/>
                <w:color w:val="000000"/>
                <w:sz w:val="18"/>
                <w:szCs w:val="18"/>
              </w:rPr>
              <w:t xml:space="preserve"> </w:t>
            </w:r>
            <w:r w:rsidRPr="00B7352C">
              <w:rPr>
                <w:rFonts w:asciiTheme="minorBidi" w:hAnsiTheme="minorBidi"/>
                <w:color w:val="000000"/>
                <w:sz w:val="18"/>
                <w:szCs w:val="18"/>
              </w:rPr>
              <w:t>950</w:t>
            </w:r>
            <w:r w:rsidR="009364B5">
              <w:rPr>
                <w:rFonts w:asciiTheme="minorBidi" w:hAnsiTheme="minorBidi"/>
                <w:color w:val="000000"/>
                <w:sz w:val="18"/>
                <w:szCs w:val="18"/>
              </w:rPr>
              <w:t xml:space="preserve"> </w:t>
            </w:r>
            <w:r w:rsidRPr="00B7352C">
              <w:rPr>
                <w:rFonts w:asciiTheme="minorBidi" w:hAnsiTheme="minorBidi"/>
                <w:color w:val="000000"/>
                <w:sz w:val="18"/>
                <w:szCs w:val="18"/>
              </w:rPr>
              <w:t>873</w:t>
            </w:r>
          </w:p>
        </w:tc>
        <w:tc>
          <w:tcPr>
            <w:tcW w:w="0" w:type="auto"/>
            <w:noWrap/>
            <w:vAlign w:val="center"/>
            <w:hideMark/>
          </w:tcPr>
          <w:p w14:paraId="153F49FD" w14:textId="56053E77"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6</w:t>
            </w:r>
            <w:r w:rsidR="009364B5">
              <w:rPr>
                <w:rFonts w:asciiTheme="minorBidi" w:hAnsiTheme="minorBidi"/>
                <w:color w:val="000000"/>
                <w:sz w:val="18"/>
                <w:szCs w:val="18"/>
              </w:rPr>
              <w:t xml:space="preserve"> </w:t>
            </w:r>
            <w:r w:rsidRPr="00B7352C">
              <w:rPr>
                <w:rFonts w:asciiTheme="minorBidi" w:hAnsiTheme="minorBidi"/>
                <w:color w:val="000000"/>
                <w:sz w:val="18"/>
                <w:szCs w:val="18"/>
              </w:rPr>
              <w:t>374</w:t>
            </w:r>
            <w:r w:rsidR="009364B5">
              <w:rPr>
                <w:rFonts w:asciiTheme="minorBidi" w:hAnsiTheme="minorBidi"/>
                <w:color w:val="000000"/>
                <w:sz w:val="18"/>
                <w:szCs w:val="18"/>
              </w:rPr>
              <w:t xml:space="preserve"> </w:t>
            </w:r>
            <w:r w:rsidRPr="00B7352C">
              <w:rPr>
                <w:rFonts w:asciiTheme="minorBidi" w:hAnsiTheme="minorBidi"/>
                <w:color w:val="000000"/>
                <w:sz w:val="18"/>
                <w:szCs w:val="18"/>
              </w:rPr>
              <w:t>862</w:t>
            </w:r>
          </w:p>
        </w:tc>
        <w:tc>
          <w:tcPr>
            <w:tcW w:w="0" w:type="auto"/>
            <w:noWrap/>
            <w:vAlign w:val="center"/>
            <w:hideMark/>
          </w:tcPr>
          <w:p w14:paraId="380630C6"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6089E8CE"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-8%</w:t>
            </w:r>
          </w:p>
        </w:tc>
      </w:tr>
      <w:tr w:rsidR="00F72778" w:rsidRPr="00B7352C" w14:paraId="38AD8804" w14:textId="77777777" w:rsidTr="4A7E2F16">
        <w:trPr>
          <w:trHeight w:val="177"/>
        </w:trPr>
        <w:tc>
          <w:tcPr>
            <w:tcW w:w="0" w:type="auto"/>
            <w:noWrap/>
            <w:vAlign w:val="center"/>
            <w:hideMark/>
          </w:tcPr>
          <w:p w14:paraId="2DFE6677" w14:textId="77777777" w:rsidR="00F72778" w:rsidRPr="00B7352C" w:rsidRDefault="00F72778" w:rsidP="00C64D6D">
            <w:pPr>
              <w:spacing w:before="0" w:after="0" w:line="240" w:lineRule="auto"/>
              <w:jc w:val="center"/>
              <w:rPr>
                <w:rFonts w:asciiTheme="minorBidi" w:hAnsiTheme="minorBidi"/>
                <w:b/>
                <w:color w:val="0070C0"/>
                <w:sz w:val="18"/>
                <w:szCs w:val="18"/>
              </w:rPr>
            </w:pPr>
          </w:p>
        </w:tc>
        <w:tc>
          <w:tcPr>
            <w:tcW w:w="0" w:type="auto"/>
            <w:noWrap/>
            <w:vAlign w:val="center"/>
            <w:hideMark/>
          </w:tcPr>
          <w:p w14:paraId="13ADBD5F" w14:textId="77777777" w:rsidR="00F72778" w:rsidRPr="00B7352C" w:rsidRDefault="00F72778" w:rsidP="00C64D6D">
            <w:pPr>
              <w:spacing w:before="0" w:after="0" w:line="240" w:lineRule="auto"/>
              <w:rPr>
                <w:rFonts w:asciiTheme="minorBidi" w:hAnsiTheme="minorBidi"/>
                <w:sz w:val="18"/>
                <w:szCs w:val="18"/>
              </w:rPr>
            </w:pPr>
          </w:p>
        </w:tc>
        <w:tc>
          <w:tcPr>
            <w:tcW w:w="0" w:type="auto"/>
            <w:noWrap/>
            <w:vAlign w:val="center"/>
            <w:hideMark/>
          </w:tcPr>
          <w:p w14:paraId="0B46ACB2" w14:textId="77777777" w:rsidR="00F72778" w:rsidRPr="00B7352C" w:rsidRDefault="00F72778" w:rsidP="00C64D6D">
            <w:pPr>
              <w:spacing w:before="0" w:after="0" w:line="240" w:lineRule="auto"/>
              <w:rPr>
                <w:rFonts w:asciiTheme="minorBidi" w:hAnsiTheme="minorBidi"/>
                <w:sz w:val="18"/>
                <w:szCs w:val="18"/>
              </w:rPr>
            </w:pPr>
          </w:p>
        </w:tc>
        <w:tc>
          <w:tcPr>
            <w:tcW w:w="0" w:type="auto"/>
            <w:noWrap/>
            <w:vAlign w:val="center"/>
            <w:hideMark/>
          </w:tcPr>
          <w:p w14:paraId="315BF192" w14:textId="77777777" w:rsidR="00F72778" w:rsidRPr="00B7352C" w:rsidRDefault="00F72778" w:rsidP="00C64D6D">
            <w:pPr>
              <w:spacing w:before="0" w:after="0" w:line="240" w:lineRule="auto"/>
              <w:rPr>
                <w:rFonts w:asciiTheme="minorBidi" w:hAnsiTheme="minorBidi"/>
                <w:sz w:val="18"/>
                <w:szCs w:val="18"/>
              </w:rPr>
            </w:pPr>
          </w:p>
        </w:tc>
        <w:tc>
          <w:tcPr>
            <w:tcW w:w="0" w:type="auto"/>
            <w:noWrap/>
            <w:vAlign w:val="center"/>
            <w:hideMark/>
          </w:tcPr>
          <w:p w14:paraId="2F4F3DC4" w14:textId="77777777" w:rsidR="00F72778" w:rsidRPr="00B7352C" w:rsidRDefault="00F72778" w:rsidP="00C64D6D">
            <w:pPr>
              <w:spacing w:before="0" w:after="0" w:line="240" w:lineRule="auto"/>
              <w:rPr>
                <w:rFonts w:asciiTheme="minorBidi" w:hAnsiTheme="minorBidi"/>
                <w:sz w:val="18"/>
                <w:szCs w:val="18"/>
              </w:rPr>
            </w:pPr>
          </w:p>
        </w:tc>
        <w:tc>
          <w:tcPr>
            <w:tcW w:w="0" w:type="auto"/>
            <w:noWrap/>
            <w:vAlign w:val="center"/>
            <w:hideMark/>
          </w:tcPr>
          <w:p w14:paraId="0E0145DF" w14:textId="77777777" w:rsidR="00F72778" w:rsidRPr="00B7352C" w:rsidRDefault="00F72778" w:rsidP="00C64D6D">
            <w:pPr>
              <w:spacing w:before="0" w:after="0" w:line="240" w:lineRule="auto"/>
              <w:rPr>
                <w:rFonts w:asciiTheme="minorBidi" w:hAnsiTheme="minorBidi"/>
                <w:sz w:val="18"/>
                <w:szCs w:val="18"/>
              </w:rPr>
            </w:pPr>
          </w:p>
        </w:tc>
        <w:tc>
          <w:tcPr>
            <w:tcW w:w="0" w:type="auto"/>
            <w:noWrap/>
            <w:vAlign w:val="center"/>
            <w:hideMark/>
          </w:tcPr>
          <w:p w14:paraId="61E2424B" w14:textId="77777777" w:rsidR="00F72778" w:rsidRPr="00B7352C" w:rsidRDefault="00F72778" w:rsidP="00C64D6D">
            <w:pPr>
              <w:spacing w:before="0" w:after="0" w:line="240" w:lineRule="auto"/>
              <w:rPr>
                <w:rFonts w:asciiTheme="minorBidi" w:hAnsiTheme="minorBidi"/>
                <w:sz w:val="18"/>
                <w:szCs w:val="18"/>
              </w:rPr>
            </w:pPr>
          </w:p>
        </w:tc>
        <w:tc>
          <w:tcPr>
            <w:tcW w:w="0" w:type="auto"/>
            <w:noWrap/>
            <w:vAlign w:val="center"/>
            <w:hideMark/>
          </w:tcPr>
          <w:p w14:paraId="40161F9F" w14:textId="77777777" w:rsidR="00F72778" w:rsidRPr="00B7352C" w:rsidRDefault="00F72778" w:rsidP="00DF2C2E">
            <w:pPr>
              <w:spacing w:before="0" w:after="0" w:line="240" w:lineRule="auto"/>
              <w:jc w:val="right"/>
              <w:rPr>
                <w:rFonts w:asciiTheme="minorBidi" w:hAnsiTheme="minorBidi"/>
                <w:sz w:val="18"/>
                <w:szCs w:val="18"/>
              </w:rPr>
            </w:pPr>
          </w:p>
        </w:tc>
        <w:tc>
          <w:tcPr>
            <w:tcW w:w="0" w:type="auto"/>
            <w:noWrap/>
            <w:vAlign w:val="center"/>
            <w:hideMark/>
          </w:tcPr>
          <w:p w14:paraId="2BC7F194" w14:textId="77777777" w:rsidR="00F72778" w:rsidRPr="00B7352C" w:rsidRDefault="00F72778" w:rsidP="00C64D6D">
            <w:pPr>
              <w:spacing w:before="0" w:after="0" w:line="240" w:lineRule="auto"/>
              <w:jc w:val="center"/>
              <w:rPr>
                <w:rFonts w:asciiTheme="minorBidi" w:hAnsiTheme="minorBidi"/>
                <w:sz w:val="18"/>
                <w:szCs w:val="18"/>
              </w:rPr>
            </w:pPr>
          </w:p>
        </w:tc>
        <w:tc>
          <w:tcPr>
            <w:tcW w:w="0" w:type="auto"/>
            <w:noWrap/>
            <w:vAlign w:val="center"/>
            <w:hideMark/>
          </w:tcPr>
          <w:p w14:paraId="308B73F0" w14:textId="77777777" w:rsidR="00F72778" w:rsidRPr="00B7352C" w:rsidRDefault="00F72778" w:rsidP="00C64D6D">
            <w:pPr>
              <w:spacing w:before="0" w:after="0" w:line="240" w:lineRule="auto"/>
              <w:rPr>
                <w:rFonts w:asciiTheme="minorBidi" w:hAnsiTheme="minorBidi"/>
                <w:sz w:val="18"/>
                <w:szCs w:val="18"/>
              </w:rPr>
            </w:pPr>
          </w:p>
        </w:tc>
        <w:tc>
          <w:tcPr>
            <w:tcW w:w="0" w:type="auto"/>
            <w:noWrap/>
            <w:vAlign w:val="center"/>
            <w:hideMark/>
          </w:tcPr>
          <w:p w14:paraId="70EB885D" w14:textId="77777777" w:rsidR="00F72778" w:rsidRPr="00B7352C" w:rsidRDefault="00F72778" w:rsidP="00C64D6D">
            <w:pPr>
              <w:spacing w:before="0" w:after="0" w:line="240" w:lineRule="auto"/>
              <w:rPr>
                <w:rFonts w:asciiTheme="minorBidi" w:hAnsiTheme="minorBidi"/>
                <w:sz w:val="18"/>
                <w:szCs w:val="18"/>
              </w:rPr>
            </w:pPr>
          </w:p>
        </w:tc>
        <w:tc>
          <w:tcPr>
            <w:tcW w:w="0" w:type="auto"/>
            <w:noWrap/>
            <w:vAlign w:val="center"/>
            <w:hideMark/>
          </w:tcPr>
          <w:p w14:paraId="16DB513F" w14:textId="77777777" w:rsidR="00F72778" w:rsidRPr="00B7352C" w:rsidRDefault="00F72778" w:rsidP="00C64D6D">
            <w:pPr>
              <w:spacing w:before="0" w:after="0" w:line="240" w:lineRule="auto"/>
              <w:rPr>
                <w:rFonts w:asciiTheme="minorBidi" w:hAnsiTheme="minorBidi"/>
                <w:sz w:val="18"/>
                <w:szCs w:val="18"/>
              </w:rPr>
            </w:pPr>
          </w:p>
        </w:tc>
        <w:tc>
          <w:tcPr>
            <w:tcW w:w="0" w:type="auto"/>
            <w:noWrap/>
            <w:vAlign w:val="center"/>
            <w:hideMark/>
          </w:tcPr>
          <w:p w14:paraId="76C8A24B" w14:textId="77777777" w:rsidR="00F72778" w:rsidRPr="00B7352C" w:rsidRDefault="00F72778" w:rsidP="00C64D6D">
            <w:pPr>
              <w:spacing w:before="0" w:after="0" w:line="240" w:lineRule="auto"/>
              <w:rPr>
                <w:rFonts w:asciiTheme="minorBidi" w:hAnsiTheme="minorBidi"/>
                <w:sz w:val="18"/>
                <w:szCs w:val="18"/>
              </w:rPr>
            </w:pPr>
          </w:p>
        </w:tc>
        <w:tc>
          <w:tcPr>
            <w:tcW w:w="0" w:type="auto"/>
            <w:noWrap/>
            <w:vAlign w:val="center"/>
            <w:hideMark/>
          </w:tcPr>
          <w:p w14:paraId="0A07113C" w14:textId="77777777" w:rsidR="00F72778" w:rsidRPr="00B7352C" w:rsidRDefault="00F72778" w:rsidP="00C64D6D">
            <w:pPr>
              <w:spacing w:before="0" w:after="0" w:line="240" w:lineRule="auto"/>
              <w:rPr>
                <w:rFonts w:asciiTheme="minorBidi" w:hAnsiTheme="minorBidi"/>
                <w:sz w:val="18"/>
                <w:szCs w:val="18"/>
              </w:rPr>
            </w:pPr>
          </w:p>
        </w:tc>
        <w:tc>
          <w:tcPr>
            <w:tcW w:w="0" w:type="auto"/>
            <w:noWrap/>
            <w:vAlign w:val="center"/>
            <w:hideMark/>
          </w:tcPr>
          <w:p w14:paraId="4C2CD32F" w14:textId="77777777" w:rsidR="00F72778" w:rsidRPr="00B7352C" w:rsidRDefault="00F72778" w:rsidP="00C64D6D">
            <w:pPr>
              <w:spacing w:before="0" w:after="0" w:line="240" w:lineRule="auto"/>
              <w:rPr>
                <w:rFonts w:asciiTheme="minorBidi" w:hAnsiTheme="minorBidi"/>
                <w:sz w:val="18"/>
                <w:szCs w:val="18"/>
              </w:rPr>
            </w:pPr>
          </w:p>
        </w:tc>
        <w:tc>
          <w:tcPr>
            <w:tcW w:w="0" w:type="auto"/>
            <w:noWrap/>
            <w:vAlign w:val="center"/>
            <w:hideMark/>
          </w:tcPr>
          <w:p w14:paraId="6EAE883D" w14:textId="77777777" w:rsidR="00F72778" w:rsidRPr="00B7352C" w:rsidRDefault="00F72778" w:rsidP="00DF2C2E">
            <w:pPr>
              <w:spacing w:before="0" w:after="0" w:line="240" w:lineRule="auto"/>
              <w:jc w:val="right"/>
              <w:rPr>
                <w:rFonts w:asciiTheme="minorBidi" w:hAnsiTheme="minorBidi"/>
                <w:sz w:val="18"/>
                <w:szCs w:val="18"/>
              </w:rPr>
            </w:pPr>
          </w:p>
        </w:tc>
      </w:tr>
      <w:tr w:rsidR="00B54A22" w:rsidRPr="00B7352C" w14:paraId="6A7C23F4" w14:textId="77777777" w:rsidTr="00B54A22">
        <w:trPr>
          <w:trHeight w:val="300"/>
        </w:trPr>
        <w:tc>
          <w:tcPr>
            <w:tcW w:w="0" w:type="auto"/>
            <w:noWrap/>
            <w:vAlign w:val="center"/>
            <w:hideMark/>
          </w:tcPr>
          <w:p w14:paraId="7447E508"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Tallinn</w:t>
            </w:r>
          </w:p>
        </w:tc>
        <w:tc>
          <w:tcPr>
            <w:tcW w:w="0" w:type="auto"/>
            <w:noWrap/>
            <w:vAlign w:val="center"/>
            <w:hideMark/>
          </w:tcPr>
          <w:p w14:paraId="052A4D1C" w14:textId="27B2865F"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w:t>
            </w:r>
            <w:r w:rsidR="009364B5">
              <w:rPr>
                <w:rFonts w:asciiTheme="minorBidi" w:hAnsiTheme="minorBidi"/>
                <w:color w:val="000000"/>
                <w:sz w:val="18"/>
                <w:szCs w:val="18"/>
              </w:rPr>
              <w:t xml:space="preserve"> </w:t>
            </w:r>
            <w:r w:rsidRPr="00B7352C">
              <w:rPr>
                <w:rFonts w:asciiTheme="minorBidi" w:hAnsiTheme="minorBidi"/>
                <w:color w:val="000000"/>
                <w:sz w:val="18"/>
                <w:szCs w:val="18"/>
              </w:rPr>
              <w:t>772</w:t>
            </w:r>
            <w:r w:rsidR="009364B5">
              <w:rPr>
                <w:rFonts w:asciiTheme="minorBidi" w:hAnsiTheme="minorBidi"/>
                <w:color w:val="000000"/>
                <w:sz w:val="18"/>
                <w:szCs w:val="18"/>
              </w:rPr>
              <w:t xml:space="preserve"> </w:t>
            </w:r>
            <w:r w:rsidRPr="00B7352C">
              <w:rPr>
                <w:rFonts w:asciiTheme="minorBidi" w:hAnsiTheme="minorBidi"/>
                <w:color w:val="000000"/>
                <w:sz w:val="18"/>
                <w:szCs w:val="18"/>
              </w:rPr>
              <w:t>755</w:t>
            </w:r>
          </w:p>
        </w:tc>
        <w:tc>
          <w:tcPr>
            <w:tcW w:w="0" w:type="auto"/>
            <w:noWrap/>
            <w:vAlign w:val="center"/>
            <w:hideMark/>
          </w:tcPr>
          <w:p w14:paraId="42DCDF8C" w14:textId="6B40230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619</w:t>
            </w:r>
            <w:r w:rsidR="009364B5">
              <w:rPr>
                <w:rFonts w:asciiTheme="minorBidi" w:hAnsiTheme="minorBidi"/>
                <w:color w:val="000000"/>
                <w:sz w:val="18"/>
                <w:szCs w:val="18"/>
              </w:rPr>
              <w:t xml:space="preserve"> </w:t>
            </w:r>
            <w:r w:rsidRPr="00B7352C">
              <w:rPr>
                <w:rFonts w:asciiTheme="minorBidi" w:hAnsiTheme="minorBidi"/>
                <w:color w:val="000000"/>
                <w:sz w:val="18"/>
                <w:szCs w:val="18"/>
              </w:rPr>
              <w:t>512</w:t>
            </w:r>
          </w:p>
        </w:tc>
        <w:tc>
          <w:tcPr>
            <w:tcW w:w="0" w:type="auto"/>
            <w:noWrap/>
            <w:vAlign w:val="center"/>
            <w:hideMark/>
          </w:tcPr>
          <w:p w14:paraId="2E78D66D" w14:textId="1784D059"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681</w:t>
            </w:r>
            <w:r w:rsidR="009364B5">
              <w:rPr>
                <w:rFonts w:asciiTheme="minorBidi" w:hAnsiTheme="minorBidi"/>
                <w:color w:val="000000"/>
                <w:sz w:val="18"/>
                <w:szCs w:val="18"/>
              </w:rPr>
              <w:t xml:space="preserve"> </w:t>
            </w:r>
            <w:r w:rsidRPr="00B7352C">
              <w:rPr>
                <w:rFonts w:asciiTheme="minorBidi" w:hAnsiTheme="minorBidi"/>
                <w:color w:val="000000"/>
                <w:sz w:val="18"/>
                <w:szCs w:val="18"/>
              </w:rPr>
              <w:t>276</w:t>
            </w:r>
          </w:p>
        </w:tc>
        <w:tc>
          <w:tcPr>
            <w:tcW w:w="0" w:type="auto"/>
            <w:noWrap/>
            <w:vAlign w:val="center"/>
            <w:hideMark/>
          </w:tcPr>
          <w:p w14:paraId="6CC6E1E5" w14:textId="3D16AE2C"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w:t>
            </w:r>
            <w:r w:rsidR="009364B5">
              <w:rPr>
                <w:rFonts w:asciiTheme="minorBidi" w:hAnsiTheme="minorBidi"/>
                <w:color w:val="000000"/>
                <w:sz w:val="18"/>
                <w:szCs w:val="18"/>
              </w:rPr>
              <w:t xml:space="preserve"> </w:t>
            </w:r>
            <w:r w:rsidRPr="00B7352C">
              <w:rPr>
                <w:rFonts w:asciiTheme="minorBidi" w:hAnsiTheme="minorBidi"/>
                <w:color w:val="000000"/>
                <w:sz w:val="18"/>
                <w:szCs w:val="18"/>
              </w:rPr>
              <w:t>407</w:t>
            </w:r>
            <w:r w:rsidR="009364B5">
              <w:rPr>
                <w:rFonts w:asciiTheme="minorBidi" w:hAnsiTheme="minorBidi"/>
                <w:color w:val="000000"/>
                <w:sz w:val="18"/>
                <w:szCs w:val="18"/>
              </w:rPr>
              <w:t xml:space="preserve"> </w:t>
            </w:r>
            <w:r w:rsidRPr="00B7352C">
              <w:rPr>
                <w:rFonts w:asciiTheme="minorBidi" w:hAnsiTheme="minorBidi"/>
                <w:color w:val="000000"/>
                <w:sz w:val="18"/>
                <w:szCs w:val="18"/>
              </w:rPr>
              <w:t>696</w:t>
            </w:r>
          </w:p>
        </w:tc>
        <w:tc>
          <w:tcPr>
            <w:tcW w:w="0" w:type="auto"/>
            <w:noWrap/>
            <w:vAlign w:val="center"/>
            <w:hideMark/>
          </w:tcPr>
          <w:p w14:paraId="24D50747" w14:textId="1C816BC6"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w:t>
            </w:r>
            <w:r w:rsidR="009364B5">
              <w:rPr>
                <w:rFonts w:asciiTheme="minorBidi" w:hAnsiTheme="minorBidi"/>
                <w:color w:val="000000"/>
                <w:sz w:val="18"/>
                <w:szCs w:val="18"/>
              </w:rPr>
              <w:t xml:space="preserve"> </w:t>
            </w:r>
            <w:r w:rsidRPr="00B7352C">
              <w:rPr>
                <w:rFonts w:asciiTheme="minorBidi" w:hAnsiTheme="minorBidi"/>
                <w:color w:val="000000"/>
                <w:sz w:val="18"/>
                <w:szCs w:val="18"/>
              </w:rPr>
              <w:t>581</w:t>
            </w:r>
            <w:r w:rsidR="009364B5">
              <w:rPr>
                <w:rFonts w:asciiTheme="minorBidi" w:hAnsiTheme="minorBidi"/>
                <w:color w:val="000000"/>
                <w:sz w:val="18"/>
                <w:szCs w:val="18"/>
              </w:rPr>
              <w:t xml:space="preserve"> </w:t>
            </w:r>
            <w:r w:rsidRPr="00B7352C">
              <w:rPr>
                <w:rFonts w:asciiTheme="minorBidi" w:hAnsiTheme="minorBidi"/>
                <w:color w:val="000000"/>
                <w:sz w:val="18"/>
                <w:szCs w:val="18"/>
              </w:rPr>
              <w:t>255</w:t>
            </w:r>
          </w:p>
        </w:tc>
        <w:tc>
          <w:tcPr>
            <w:tcW w:w="0" w:type="auto"/>
            <w:noWrap/>
            <w:vAlign w:val="center"/>
            <w:hideMark/>
          </w:tcPr>
          <w:p w14:paraId="1B84F6A7"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56F71F8F"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-11%</w:t>
            </w:r>
          </w:p>
        </w:tc>
        <w:tc>
          <w:tcPr>
            <w:tcW w:w="0" w:type="auto"/>
            <w:noWrap/>
            <w:vAlign w:val="center"/>
            <w:hideMark/>
          </w:tcPr>
          <w:p w14:paraId="6182A84F"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6C7FC619" w14:textId="1E37292F"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w:t>
            </w:r>
            <w:r w:rsidR="009364B5">
              <w:rPr>
                <w:rFonts w:asciiTheme="minorBidi" w:hAnsiTheme="minorBidi"/>
                <w:color w:val="000000"/>
                <w:sz w:val="18"/>
                <w:szCs w:val="18"/>
              </w:rPr>
              <w:t xml:space="preserve"> </w:t>
            </w:r>
            <w:r w:rsidRPr="00B7352C">
              <w:rPr>
                <w:rFonts w:asciiTheme="minorBidi" w:hAnsiTheme="minorBidi"/>
                <w:color w:val="000000"/>
                <w:sz w:val="18"/>
                <w:szCs w:val="18"/>
              </w:rPr>
              <w:t>265</w:t>
            </w:r>
            <w:r w:rsidR="009364B5">
              <w:rPr>
                <w:rFonts w:asciiTheme="minorBidi" w:hAnsiTheme="minorBidi"/>
                <w:color w:val="000000"/>
                <w:sz w:val="18"/>
                <w:szCs w:val="18"/>
              </w:rPr>
              <w:t xml:space="preserve"> </w:t>
            </w:r>
            <w:r w:rsidRPr="00B7352C">
              <w:rPr>
                <w:rFonts w:asciiTheme="minorBidi" w:hAnsiTheme="minorBidi"/>
                <w:color w:val="000000"/>
                <w:sz w:val="18"/>
                <w:szCs w:val="18"/>
              </w:rPr>
              <w:t>373</w:t>
            </w:r>
          </w:p>
        </w:tc>
        <w:tc>
          <w:tcPr>
            <w:tcW w:w="0" w:type="auto"/>
            <w:noWrap/>
            <w:vAlign w:val="center"/>
            <w:hideMark/>
          </w:tcPr>
          <w:p w14:paraId="7CDFA065" w14:textId="6888148F"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w:t>
            </w:r>
            <w:r w:rsidR="009364B5">
              <w:rPr>
                <w:rFonts w:asciiTheme="minorBidi" w:hAnsiTheme="minorBidi"/>
                <w:color w:val="000000"/>
                <w:sz w:val="18"/>
                <w:szCs w:val="18"/>
              </w:rPr>
              <w:t xml:space="preserve"> </w:t>
            </w:r>
            <w:r w:rsidRPr="00B7352C">
              <w:rPr>
                <w:rFonts w:asciiTheme="minorBidi" w:hAnsiTheme="minorBidi"/>
                <w:color w:val="000000"/>
                <w:sz w:val="18"/>
                <w:szCs w:val="18"/>
              </w:rPr>
              <w:t>216</w:t>
            </w:r>
            <w:r w:rsidR="009364B5">
              <w:rPr>
                <w:rFonts w:asciiTheme="minorBidi" w:hAnsiTheme="minorBidi"/>
                <w:color w:val="000000"/>
                <w:sz w:val="18"/>
                <w:szCs w:val="18"/>
              </w:rPr>
              <w:t xml:space="preserve"> </w:t>
            </w:r>
            <w:r w:rsidRPr="00B7352C">
              <w:rPr>
                <w:rFonts w:asciiTheme="minorBidi" w:hAnsiTheme="minorBidi"/>
                <w:color w:val="000000"/>
                <w:sz w:val="18"/>
                <w:szCs w:val="18"/>
              </w:rPr>
              <w:t>057</w:t>
            </w:r>
          </w:p>
        </w:tc>
        <w:tc>
          <w:tcPr>
            <w:tcW w:w="0" w:type="auto"/>
            <w:noWrap/>
            <w:vAlign w:val="center"/>
            <w:hideMark/>
          </w:tcPr>
          <w:p w14:paraId="2A193183" w14:textId="4FBCC434"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w:t>
            </w:r>
            <w:r w:rsidR="009364B5">
              <w:rPr>
                <w:rFonts w:asciiTheme="minorBidi" w:hAnsiTheme="minorBidi"/>
                <w:color w:val="000000"/>
                <w:sz w:val="18"/>
                <w:szCs w:val="18"/>
              </w:rPr>
              <w:t xml:space="preserve"> </w:t>
            </w:r>
            <w:r w:rsidRPr="00B7352C">
              <w:rPr>
                <w:rFonts w:asciiTheme="minorBidi" w:hAnsiTheme="minorBidi"/>
                <w:color w:val="000000"/>
                <w:sz w:val="18"/>
                <w:szCs w:val="18"/>
              </w:rPr>
              <w:t>418</w:t>
            </w:r>
            <w:r w:rsidR="009364B5">
              <w:rPr>
                <w:rFonts w:asciiTheme="minorBidi" w:hAnsiTheme="minorBidi"/>
                <w:color w:val="000000"/>
                <w:sz w:val="18"/>
                <w:szCs w:val="18"/>
              </w:rPr>
              <w:t xml:space="preserve"> </w:t>
            </w:r>
            <w:r w:rsidRPr="00B7352C">
              <w:rPr>
                <w:rFonts w:asciiTheme="minorBidi" w:hAnsiTheme="minorBidi"/>
                <w:color w:val="000000"/>
                <w:sz w:val="18"/>
                <w:szCs w:val="18"/>
              </w:rPr>
              <w:t>784</w:t>
            </w:r>
          </w:p>
        </w:tc>
        <w:tc>
          <w:tcPr>
            <w:tcW w:w="0" w:type="auto"/>
            <w:noWrap/>
            <w:vAlign w:val="center"/>
            <w:hideMark/>
          </w:tcPr>
          <w:p w14:paraId="238D3AF2" w14:textId="35CFB087"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w:t>
            </w:r>
            <w:r w:rsidR="009364B5">
              <w:rPr>
                <w:rFonts w:asciiTheme="minorBidi" w:hAnsiTheme="minorBidi"/>
                <w:color w:val="000000"/>
                <w:sz w:val="18"/>
                <w:szCs w:val="18"/>
              </w:rPr>
              <w:t xml:space="preserve"> </w:t>
            </w:r>
            <w:r w:rsidRPr="00B7352C">
              <w:rPr>
                <w:rFonts w:asciiTheme="minorBidi" w:hAnsiTheme="minorBidi"/>
                <w:color w:val="000000"/>
                <w:sz w:val="18"/>
                <w:szCs w:val="18"/>
              </w:rPr>
              <w:t>647</w:t>
            </w:r>
            <w:r w:rsidR="009364B5">
              <w:rPr>
                <w:rFonts w:asciiTheme="minorBidi" w:hAnsiTheme="minorBidi"/>
                <w:color w:val="000000"/>
                <w:sz w:val="18"/>
                <w:szCs w:val="18"/>
              </w:rPr>
              <w:t xml:space="preserve"> </w:t>
            </w:r>
            <w:r w:rsidRPr="00B7352C">
              <w:rPr>
                <w:rFonts w:asciiTheme="minorBidi" w:hAnsiTheme="minorBidi"/>
                <w:color w:val="000000"/>
                <w:sz w:val="18"/>
                <w:szCs w:val="18"/>
              </w:rPr>
              <w:t>095</w:t>
            </w:r>
          </w:p>
        </w:tc>
        <w:tc>
          <w:tcPr>
            <w:tcW w:w="0" w:type="auto"/>
            <w:noWrap/>
            <w:vAlign w:val="center"/>
            <w:hideMark/>
          </w:tcPr>
          <w:p w14:paraId="7C1B0CE8" w14:textId="10F2ADEF"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w:t>
            </w:r>
            <w:r w:rsidR="009364B5">
              <w:rPr>
                <w:rFonts w:asciiTheme="minorBidi" w:hAnsiTheme="minorBidi"/>
                <w:color w:val="000000"/>
                <w:sz w:val="18"/>
                <w:szCs w:val="18"/>
              </w:rPr>
              <w:t xml:space="preserve"> </w:t>
            </w:r>
            <w:r w:rsidRPr="00B7352C">
              <w:rPr>
                <w:rFonts w:asciiTheme="minorBidi" w:hAnsiTheme="minorBidi"/>
                <w:color w:val="000000"/>
                <w:sz w:val="18"/>
                <w:szCs w:val="18"/>
              </w:rPr>
              <w:t>047</w:t>
            </w:r>
            <w:r w:rsidR="009364B5">
              <w:rPr>
                <w:rFonts w:asciiTheme="minorBidi" w:hAnsiTheme="minorBidi"/>
                <w:color w:val="000000"/>
                <w:sz w:val="18"/>
                <w:szCs w:val="18"/>
              </w:rPr>
              <w:t xml:space="preserve"> </w:t>
            </w:r>
            <w:r w:rsidRPr="00B7352C">
              <w:rPr>
                <w:rFonts w:asciiTheme="minorBidi" w:hAnsiTheme="minorBidi"/>
                <w:color w:val="000000"/>
                <w:sz w:val="18"/>
                <w:szCs w:val="18"/>
              </w:rPr>
              <w:t>073</w:t>
            </w:r>
          </w:p>
        </w:tc>
        <w:tc>
          <w:tcPr>
            <w:tcW w:w="0" w:type="auto"/>
            <w:noWrap/>
            <w:vAlign w:val="center"/>
            <w:hideMark/>
          </w:tcPr>
          <w:p w14:paraId="34CB2CEC"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71873153"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-7%</w:t>
            </w:r>
          </w:p>
        </w:tc>
      </w:tr>
      <w:tr w:rsidR="00B54A22" w:rsidRPr="00B7352C" w14:paraId="5981179F" w14:textId="77777777" w:rsidTr="00B54A22">
        <w:trPr>
          <w:trHeight w:val="300"/>
        </w:trPr>
        <w:tc>
          <w:tcPr>
            <w:tcW w:w="0" w:type="auto"/>
            <w:noWrap/>
            <w:vAlign w:val="center"/>
            <w:hideMark/>
          </w:tcPr>
          <w:p w14:paraId="377C2993"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Tartu linn</w:t>
            </w:r>
          </w:p>
        </w:tc>
        <w:tc>
          <w:tcPr>
            <w:tcW w:w="0" w:type="auto"/>
            <w:noWrap/>
            <w:vAlign w:val="center"/>
            <w:hideMark/>
          </w:tcPr>
          <w:p w14:paraId="3153AF64" w14:textId="3BB297B6"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321</w:t>
            </w:r>
            <w:r w:rsidR="009364B5">
              <w:rPr>
                <w:rFonts w:asciiTheme="minorBidi" w:hAnsiTheme="minorBidi"/>
                <w:color w:val="000000"/>
                <w:sz w:val="18"/>
                <w:szCs w:val="18"/>
              </w:rPr>
              <w:t xml:space="preserve"> </w:t>
            </w:r>
            <w:r w:rsidRPr="00B7352C">
              <w:rPr>
                <w:rFonts w:asciiTheme="minorBidi" w:hAnsiTheme="minorBidi"/>
                <w:color w:val="000000"/>
                <w:sz w:val="18"/>
                <w:szCs w:val="18"/>
              </w:rPr>
              <w:t>245</w:t>
            </w:r>
          </w:p>
        </w:tc>
        <w:tc>
          <w:tcPr>
            <w:tcW w:w="0" w:type="auto"/>
            <w:noWrap/>
            <w:vAlign w:val="center"/>
            <w:hideMark/>
          </w:tcPr>
          <w:p w14:paraId="727C51A3" w14:textId="507C8A61"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185</w:t>
            </w:r>
            <w:r w:rsidR="009364B5">
              <w:rPr>
                <w:rFonts w:asciiTheme="minorBidi" w:hAnsiTheme="minorBidi"/>
                <w:color w:val="000000"/>
                <w:sz w:val="18"/>
                <w:szCs w:val="18"/>
              </w:rPr>
              <w:t xml:space="preserve"> </w:t>
            </w:r>
            <w:r w:rsidRPr="00B7352C">
              <w:rPr>
                <w:rFonts w:asciiTheme="minorBidi" w:hAnsiTheme="minorBidi"/>
                <w:color w:val="000000"/>
                <w:sz w:val="18"/>
                <w:szCs w:val="18"/>
              </w:rPr>
              <w:t>853</w:t>
            </w:r>
          </w:p>
        </w:tc>
        <w:tc>
          <w:tcPr>
            <w:tcW w:w="0" w:type="auto"/>
            <w:noWrap/>
            <w:vAlign w:val="center"/>
            <w:hideMark/>
          </w:tcPr>
          <w:p w14:paraId="2654D0E7" w14:textId="20FA03F0"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200</w:t>
            </w:r>
            <w:r w:rsidR="009364B5">
              <w:rPr>
                <w:rFonts w:asciiTheme="minorBidi" w:hAnsiTheme="minorBidi"/>
                <w:color w:val="000000"/>
                <w:sz w:val="18"/>
                <w:szCs w:val="18"/>
              </w:rPr>
              <w:t xml:space="preserve"> </w:t>
            </w:r>
            <w:r w:rsidRPr="00B7352C">
              <w:rPr>
                <w:rFonts w:asciiTheme="minorBidi" w:hAnsiTheme="minorBidi"/>
                <w:color w:val="000000"/>
                <w:sz w:val="18"/>
                <w:szCs w:val="18"/>
              </w:rPr>
              <w:t>396</w:t>
            </w:r>
          </w:p>
        </w:tc>
        <w:tc>
          <w:tcPr>
            <w:tcW w:w="0" w:type="auto"/>
            <w:noWrap/>
            <w:vAlign w:val="center"/>
            <w:hideMark/>
          </w:tcPr>
          <w:p w14:paraId="1EDEFCF8" w14:textId="6AF5240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254</w:t>
            </w:r>
            <w:r w:rsidR="009364B5">
              <w:rPr>
                <w:rFonts w:asciiTheme="minorBidi" w:hAnsiTheme="minorBidi"/>
                <w:color w:val="000000"/>
                <w:sz w:val="18"/>
                <w:szCs w:val="18"/>
              </w:rPr>
              <w:t xml:space="preserve"> </w:t>
            </w:r>
            <w:r w:rsidRPr="00B7352C">
              <w:rPr>
                <w:rFonts w:asciiTheme="minorBidi" w:hAnsiTheme="minorBidi"/>
                <w:color w:val="000000"/>
                <w:sz w:val="18"/>
                <w:szCs w:val="18"/>
              </w:rPr>
              <w:t>367</w:t>
            </w:r>
          </w:p>
        </w:tc>
        <w:tc>
          <w:tcPr>
            <w:tcW w:w="0" w:type="auto"/>
            <w:noWrap/>
            <w:vAlign w:val="center"/>
            <w:hideMark/>
          </w:tcPr>
          <w:p w14:paraId="6B9B81C5" w14:textId="59077AE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253</w:t>
            </w:r>
            <w:r w:rsidR="009364B5">
              <w:rPr>
                <w:rFonts w:asciiTheme="minorBidi" w:hAnsiTheme="minorBidi"/>
                <w:color w:val="000000"/>
                <w:sz w:val="18"/>
                <w:szCs w:val="18"/>
              </w:rPr>
              <w:t xml:space="preserve"> </w:t>
            </w:r>
            <w:r w:rsidRPr="00B7352C">
              <w:rPr>
                <w:rFonts w:asciiTheme="minorBidi" w:hAnsiTheme="minorBidi"/>
                <w:color w:val="000000"/>
                <w:sz w:val="18"/>
                <w:szCs w:val="18"/>
              </w:rPr>
              <w:t>932</w:t>
            </w:r>
          </w:p>
        </w:tc>
        <w:tc>
          <w:tcPr>
            <w:tcW w:w="0" w:type="auto"/>
            <w:noWrap/>
            <w:vAlign w:val="center"/>
            <w:hideMark/>
          </w:tcPr>
          <w:p w14:paraId="47CE4DF0"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5090D544"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-21%</w:t>
            </w:r>
          </w:p>
        </w:tc>
        <w:tc>
          <w:tcPr>
            <w:tcW w:w="0" w:type="auto"/>
            <w:noWrap/>
            <w:vAlign w:val="center"/>
            <w:hideMark/>
          </w:tcPr>
          <w:p w14:paraId="5F526CD0"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782562F7" w14:textId="6600641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508</w:t>
            </w:r>
            <w:r w:rsidR="009364B5">
              <w:rPr>
                <w:rFonts w:asciiTheme="minorBidi" w:hAnsiTheme="minorBidi"/>
                <w:color w:val="000000"/>
                <w:sz w:val="18"/>
                <w:szCs w:val="18"/>
              </w:rPr>
              <w:t xml:space="preserve"> </w:t>
            </w:r>
            <w:r w:rsidRPr="00B7352C">
              <w:rPr>
                <w:rFonts w:asciiTheme="minorBidi" w:hAnsiTheme="minorBidi"/>
                <w:color w:val="000000"/>
                <w:sz w:val="18"/>
                <w:szCs w:val="18"/>
              </w:rPr>
              <w:t>440</w:t>
            </w:r>
          </w:p>
        </w:tc>
        <w:tc>
          <w:tcPr>
            <w:tcW w:w="0" w:type="auto"/>
            <w:noWrap/>
            <w:vAlign w:val="center"/>
            <w:hideMark/>
          </w:tcPr>
          <w:p w14:paraId="4D52A427" w14:textId="6212551B"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289</w:t>
            </w:r>
            <w:r w:rsidR="009364B5">
              <w:rPr>
                <w:rFonts w:asciiTheme="minorBidi" w:hAnsiTheme="minorBidi"/>
                <w:color w:val="000000"/>
                <w:sz w:val="18"/>
                <w:szCs w:val="18"/>
              </w:rPr>
              <w:t xml:space="preserve"> </w:t>
            </w:r>
            <w:r w:rsidRPr="00B7352C">
              <w:rPr>
                <w:rFonts w:asciiTheme="minorBidi" w:hAnsiTheme="minorBidi"/>
                <w:color w:val="000000"/>
                <w:sz w:val="18"/>
                <w:szCs w:val="18"/>
              </w:rPr>
              <w:t>124</w:t>
            </w:r>
          </w:p>
        </w:tc>
        <w:tc>
          <w:tcPr>
            <w:tcW w:w="0" w:type="auto"/>
            <w:noWrap/>
            <w:vAlign w:val="center"/>
            <w:hideMark/>
          </w:tcPr>
          <w:p w14:paraId="767040E9" w14:textId="66AEBD00"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322</w:t>
            </w:r>
            <w:r w:rsidR="009364B5">
              <w:rPr>
                <w:rFonts w:asciiTheme="minorBidi" w:hAnsiTheme="minorBidi"/>
                <w:color w:val="000000"/>
                <w:sz w:val="18"/>
                <w:szCs w:val="18"/>
              </w:rPr>
              <w:t xml:space="preserve"> </w:t>
            </w:r>
            <w:r w:rsidRPr="00B7352C">
              <w:rPr>
                <w:rFonts w:asciiTheme="minorBidi" w:hAnsiTheme="minorBidi"/>
                <w:color w:val="000000"/>
                <w:sz w:val="18"/>
                <w:szCs w:val="18"/>
              </w:rPr>
              <w:t>851</w:t>
            </w:r>
          </w:p>
        </w:tc>
        <w:tc>
          <w:tcPr>
            <w:tcW w:w="0" w:type="auto"/>
            <w:noWrap/>
            <w:vAlign w:val="center"/>
            <w:hideMark/>
          </w:tcPr>
          <w:p w14:paraId="4B771531" w14:textId="7DC5E160"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397</w:t>
            </w:r>
            <w:r w:rsidR="009364B5">
              <w:rPr>
                <w:rFonts w:asciiTheme="minorBidi" w:hAnsiTheme="minorBidi"/>
                <w:color w:val="000000"/>
                <w:sz w:val="18"/>
                <w:szCs w:val="18"/>
              </w:rPr>
              <w:t xml:space="preserve"> </w:t>
            </w:r>
            <w:r w:rsidRPr="00B7352C">
              <w:rPr>
                <w:rFonts w:asciiTheme="minorBidi" w:hAnsiTheme="minorBidi"/>
                <w:color w:val="000000"/>
                <w:sz w:val="18"/>
                <w:szCs w:val="18"/>
              </w:rPr>
              <w:t>752</w:t>
            </w:r>
          </w:p>
        </w:tc>
        <w:tc>
          <w:tcPr>
            <w:tcW w:w="0" w:type="auto"/>
            <w:noWrap/>
            <w:vAlign w:val="center"/>
            <w:hideMark/>
          </w:tcPr>
          <w:p w14:paraId="3274DE08" w14:textId="37D117D0"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404</w:t>
            </w:r>
            <w:r w:rsidR="009364B5">
              <w:rPr>
                <w:rFonts w:asciiTheme="minorBidi" w:hAnsiTheme="minorBidi"/>
                <w:color w:val="000000"/>
                <w:sz w:val="18"/>
                <w:szCs w:val="18"/>
              </w:rPr>
              <w:t xml:space="preserve"> </w:t>
            </w:r>
            <w:r w:rsidRPr="00B7352C">
              <w:rPr>
                <w:rFonts w:asciiTheme="minorBidi" w:hAnsiTheme="minorBidi"/>
                <w:color w:val="000000"/>
                <w:sz w:val="18"/>
                <w:szCs w:val="18"/>
              </w:rPr>
              <w:t>887</w:t>
            </w:r>
          </w:p>
        </w:tc>
        <w:tc>
          <w:tcPr>
            <w:tcW w:w="0" w:type="auto"/>
            <w:noWrap/>
            <w:vAlign w:val="center"/>
            <w:hideMark/>
          </w:tcPr>
          <w:p w14:paraId="48769B98"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093BE306"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-20%</w:t>
            </w:r>
          </w:p>
        </w:tc>
      </w:tr>
      <w:tr w:rsidR="00B54A22" w:rsidRPr="00B7352C" w14:paraId="59F8C326" w14:textId="77777777" w:rsidTr="00B54A22">
        <w:trPr>
          <w:trHeight w:val="300"/>
        </w:trPr>
        <w:tc>
          <w:tcPr>
            <w:tcW w:w="0" w:type="auto"/>
            <w:noWrap/>
            <w:vAlign w:val="center"/>
            <w:hideMark/>
          </w:tcPr>
          <w:p w14:paraId="487422AD" w14:textId="77777777" w:rsidR="00F72778" w:rsidRPr="00B7352C" w:rsidRDefault="00F72778" w:rsidP="00C64D6D">
            <w:pPr>
              <w:spacing w:before="0" w:after="0" w:line="240" w:lineRule="auto"/>
              <w:rPr>
                <w:rFonts w:asciiTheme="minorBidi" w:hAnsiTheme="minorBidi"/>
                <w:b/>
                <w:color w:val="000000"/>
                <w:sz w:val="18"/>
                <w:szCs w:val="18"/>
              </w:rPr>
            </w:pPr>
            <w:r w:rsidRPr="00B7352C">
              <w:rPr>
                <w:rFonts w:asciiTheme="minorBidi" w:hAnsiTheme="minorBidi"/>
                <w:b/>
                <w:color w:val="000000"/>
                <w:sz w:val="18"/>
                <w:szCs w:val="18"/>
              </w:rPr>
              <w:t>Pärnu linn</w:t>
            </w:r>
          </w:p>
        </w:tc>
        <w:tc>
          <w:tcPr>
            <w:tcW w:w="0" w:type="auto"/>
            <w:noWrap/>
            <w:vAlign w:val="center"/>
            <w:hideMark/>
          </w:tcPr>
          <w:p w14:paraId="2A63209D" w14:textId="5985E90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387</w:t>
            </w:r>
            <w:r w:rsidR="009364B5">
              <w:rPr>
                <w:rFonts w:asciiTheme="minorBidi" w:hAnsiTheme="minorBidi"/>
                <w:color w:val="000000"/>
                <w:sz w:val="18"/>
                <w:szCs w:val="18"/>
              </w:rPr>
              <w:t xml:space="preserve"> </w:t>
            </w:r>
            <w:r w:rsidRPr="00B7352C">
              <w:rPr>
                <w:rFonts w:asciiTheme="minorBidi" w:hAnsiTheme="minorBidi"/>
                <w:color w:val="000000"/>
                <w:sz w:val="18"/>
                <w:szCs w:val="18"/>
              </w:rPr>
              <w:t>067</w:t>
            </w:r>
          </w:p>
        </w:tc>
        <w:tc>
          <w:tcPr>
            <w:tcW w:w="0" w:type="auto"/>
            <w:noWrap/>
            <w:vAlign w:val="center"/>
            <w:hideMark/>
          </w:tcPr>
          <w:p w14:paraId="37E6F1BD" w14:textId="2101A6D4"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261</w:t>
            </w:r>
            <w:r w:rsidR="009364B5">
              <w:rPr>
                <w:rFonts w:asciiTheme="minorBidi" w:hAnsiTheme="minorBidi"/>
                <w:color w:val="000000"/>
                <w:sz w:val="18"/>
                <w:szCs w:val="18"/>
              </w:rPr>
              <w:t xml:space="preserve"> </w:t>
            </w:r>
            <w:r w:rsidRPr="00B7352C">
              <w:rPr>
                <w:rFonts w:asciiTheme="minorBidi" w:hAnsiTheme="minorBidi"/>
                <w:color w:val="000000"/>
                <w:sz w:val="18"/>
                <w:szCs w:val="18"/>
              </w:rPr>
              <w:t>052</w:t>
            </w:r>
          </w:p>
        </w:tc>
        <w:tc>
          <w:tcPr>
            <w:tcW w:w="0" w:type="auto"/>
            <w:noWrap/>
            <w:vAlign w:val="center"/>
            <w:hideMark/>
          </w:tcPr>
          <w:p w14:paraId="31D4BD2C" w14:textId="150F71FA"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248</w:t>
            </w:r>
            <w:r w:rsidR="009364B5">
              <w:rPr>
                <w:rFonts w:asciiTheme="minorBidi" w:hAnsiTheme="minorBidi"/>
                <w:color w:val="000000"/>
                <w:sz w:val="18"/>
                <w:szCs w:val="18"/>
              </w:rPr>
              <w:t xml:space="preserve"> </w:t>
            </w:r>
            <w:r w:rsidRPr="00B7352C">
              <w:rPr>
                <w:rFonts w:asciiTheme="minorBidi" w:hAnsiTheme="minorBidi"/>
                <w:color w:val="000000"/>
                <w:sz w:val="18"/>
                <w:szCs w:val="18"/>
              </w:rPr>
              <w:t>493</w:t>
            </w:r>
          </w:p>
        </w:tc>
        <w:tc>
          <w:tcPr>
            <w:tcW w:w="0" w:type="auto"/>
            <w:noWrap/>
            <w:vAlign w:val="center"/>
            <w:hideMark/>
          </w:tcPr>
          <w:p w14:paraId="496A0ED6" w14:textId="2F5076CE"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364</w:t>
            </w:r>
            <w:r w:rsidR="009364B5">
              <w:rPr>
                <w:rFonts w:asciiTheme="minorBidi" w:hAnsiTheme="minorBidi"/>
                <w:color w:val="000000"/>
                <w:sz w:val="18"/>
                <w:szCs w:val="18"/>
              </w:rPr>
              <w:t xml:space="preserve"> </w:t>
            </w:r>
            <w:r w:rsidRPr="00B7352C">
              <w:rPr>
                <w:rFonts w:asciiTheme="minorBidi" w:hAnsiTheme="minorBidi"/>
                <w:color w:val="000000"/>
                <w:sz w:val="18"/>
                <w:szCs w:val="18"/>
              </w:rPr>
              <w:t>736</w:t>
            </w:r>
          </w:p>
        </w:tc>
        <w:tc>
          <w:tcPr>
            <w:tcW w:w="0" w:type="auto"/>
            <w:noWrap/>
            <w:vAlign w:val="center"/>
            <w:hideMark/>
          </w:tcPr>
          <w:p w14:paraId="04C7F705" w14:textId="0DA36808"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359</w:t>
            </w:r>
            <w:r w:rsidR="009364B5">
              <w:rPr>
                <w:rFonts w:asciiTheme="minorBidi" w:hAnsiTheme="minorBidi"/>
                <w:color w:val="000000"/>
                <w:sz w:val="18"/>
                <w:szCs w:val="18"/>
              </w:rPr>
              <w:t xml:space="preserve"> </w:t>
            </w:r>
            <w:r w:rsidRPr="00B7352C">
              <w:rPr>
                <w:rFonts w:asciiTheme="minorBidi" w:hAnsiTheme="minorBidi"/>
                <w:color w:val="000000"/>
                <w:sz w:val="18"/>
                <w:szCs w:val="18"/>
              </w:rPr>
              <w:t>140</w:t>
            </w:r>
          </w:p>
        </w:tc>
        <w:tc>
          <w:tcPr>
            <w:tcW w:w="0" w:type="auto"/>
            <w:noWrap/>
            <w:vAlign w:val="center"/>
            <w:hideMark/>
          </w:tcPr>
          <w:p w14:paraId="065C350A"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1A6B7948"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-7%</w:t>
            </w:r>
          </w:p>
        </w:tc>
        <w:tc>
          <w:tcPr>
            <w:tcW w:w="0" w:type="auto"/>
            <w:noWrap/>
            <w:vAlign w:val="center"/>
            <w:hideMark/>
          </w:tcPr>
          <w:p w14:paraId="28187EEC" w14:textId="77777777" w:rsidR="00F72778" w:rsidRPr="00B7352C" w:rsidRDefault="00F72778" w:rsidP="00C64D6D">
            <w:pPr>
              <w:spacing w:before="0" w:after="0" w:line="240" w:lineRule="auto"/>
              <w:jc w:val="center"/>
              <w:rPr>
                <w:rFonts w:asciiTheme="minorBidi" w:hAnsiTheme="minorBidi"/>
                <w:color w:val="0070C0"/>
                <w:sz w:val="18"/>
                <w:szCs w:val="18"/>
              </w:rPr>
            </w:pPr>
          </w:p>
        </w:tc>
        <w:tc>
          <w:tcPr>
            <w:tcW w:w="0" w:type="auto"/>
            <w:noWrap/>
            <w:vAlign w:val="center"/>
            <w:hideMark/>
          </w:tcPr>
          <w:p w14:paraId="4EC9ED50" w14:textId="738872EE"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814</w:t>
            </w:r>
            <w:r w:rsidR="009364B5">
              <w:rPr>
                <w:rFonts w:asciiTheme="minorBidi" w:hAnsiTheme="minorBidi"/>
                <w:color w:val="000000"/>
                <w:sz w:val="18"/>
                <w:szCs w:val="18"/>
              </w:rPr>
              <w:t xml:space="preserve"> </w:t>
            </w:r>
            <w:r w:rsidRPr="00B7352C">
              <w:rPr>
                <w:rFonts w:asciiTheme="minorBidi" w:hAnsiTheme="minorBidi"/>
                <w:color w:val="000000"/>
                <w:sz w:val="18"/>
                <w:szCs w:val="18"/>
              </w:rPr>
              <w:t>859</w:t>
            </w:r>
          </w:p>
        </w:tc>
        <w:tc>
          <w:tcPr>
            <w:tcW w:w="0" w:type="auto"/>
            <w:noWrap/>
            <w:vAlign w:val="center"/>
            <w:hideMark/>
          </w:tcPr>
          <w:p w14:paraId="33A1FE24" w14:textId="34393CA4"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498</w:t>
            </w:r>
            <w:r w:rsidR="009364B5">
              <w:rPr>
                <w:rFonts w:asciiTheme="minorBidi" w:hAnsiTheme="minorBidi"/>
                <w:color w:val="000000"/>
                <w:sz w:val="18"/>
                <w:szCs w:val="18"/>
              </w:rPr>
              <w:t xml:space="preserve"> </w:t>
            </w:r>
            <w:r w:rsidRPr="00B7352C">
              <w:rPr>
                <w:rFonts w:asciiTheme="minorBidi" w:hAnsiTheme="minorBidi"/>
                <w:color w:val="000000"/>
                <w:sz w:val="18"/>
                <w:szCs w:val="18"/>
              </w:rPr>
              <w:t>710</w:t>
            </w:r>
          </w:p>
        </w:tc>
        <w:tc>
          <w:tcPr>
            <w:tcW w:w="0" w:type="auto"/>
            <w:noWrap/>
            <w:vAlign w:val="center"/>
            <w:hideMark/>
          </w:tcPr>
          <w:p w14:paraId="689F6A04" w14:textId="0D47A23A"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468</w:t>
            </w:r>
            <w:r w:rsidR="009364B5">
              <w:rPr>
                <w:rFonts w:asciiTheme="minorBidi" w:hAnsiTheme="minorBidi"/>
                <w:color w:val="000000"/>
                <w:sz w:val="18"/>
                <w:szCs w:val="18"/>
              </w:rPr>
              <w:t xml:space="preserve"> </w:t>
            </w:r>
            <w:r w:rsidRPr="00B7352C">
              <w:rPr>
                <w:rFonts w:asciiTheme="minorBidi" w:hAnsiTheme="minorBidi"/>
                <w:color w:val="000000"/>
                <w:sz w:val="18"/>
                <w:szCs w:val="18"/>
              </w:rPr>
              <w:t>340</w:t>
            </w:r>
          </w:p>
        </w:tc>
        <w:tc>
          <w:tcPr>
            <w:tcW w:w="0" w:type="auto"/>
            <w:noWrap/>
            <w:vAlign w:val="center"/>
            <w:hideMark/>
          </w:tcPr>
          <w:p w14:paraId="46B30B79" w14:textId="4C273793"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724</w:t>
            </w:r>
            <w:r w:rsidR="009364B5">
              <w:rPr>
                <w:rFonts w:asciiTheme="minorBidi" w:hAnsiTheme="minorBidi"/>
                <w:color w:val="000000"/>
                <w:sz w:val="18"/>
                <w:szCs w:val="18"/>
              </w:rPr>
              <w:t xml:space="preserve"> </w:t>
            </w:r>
            <w:r w:rsidRPr="00B7352C">
              <w:rPr>
                <w:rFonts w:asciiTheme="minorBidi" w:hAnsiTheme="minorBidi"/>
                <w:color w:val="000000"/>
                <w:sz w:val="18"/>
                <w:szCs w:val="18"/>
              </w:rPr>
              <w:t>823</w:t>
            </w:r>
          </w:p>
        </w:tc>
        <w:tc>
          <w:tcPr>
            <w:tcW w:w="0" w:type="auto"/>
            <w:noWrap/>
            <w:vAlign w:val="center"/>
            <w:hideMark/>
          </w:tcPr>
          <w:p w14:paraId="5DCBE9A3" w14:textId="6C929C6D" w:rsidR="00F72778" w:rsidRPr="00B7352C" w:rsidRDefault="00F72778" w:rsidP="00C64D6D">
            <w:pPr>
              <w:spacing w:before="0" w:after="0" w:line="240" w:lineRule="auto"/>
              <w:jc w:val="right"/>
              <w:rPr>
                <w:rFonts w:asciiTheme="minorBidi" w:hAnsiTheme="minorBidi"/>
                <w:color w:val="000000"/>
                <w:sz w:val="18"/>
                <w:szCs w:val="18"/>
              </w:rPr>
            </w:pPr>
            <w:r w:rsidRPr="00B7352C">
              <w:rPr>
                <w:rFonts w:asciiTheme="minorBidi" w:hAnsiTheme="minorBidi"/>
                <w:color w:val="000000"/>
                <w:sz w:val="18"/>
                <w:szCs w:val="18"/>
              </w:rPr>
              <w:t>738</w:t>
            </w:r>
            <w:r w:rsidR="009364B5">
              <w:rPr>
                <w:rFonts w:asciiTheme="minorBidi" w:hAnsiTheme="minorBidi"/>
                <w:color w:val="000000"/>
                <w:sz w:val="18"/>
                <w:szCs w:val="18"/>
              </w:rPr>
              <w:t xml:space="preserve"> </w:t>
            </w:r>
            <w:r w:rsidRPr="00B7352C">
              <w:rPr>
                <w:rFonts w:asciiTheme="minorBidi" w:hAnsiTheme="minorBidi"/>
                <w:color w:val="000000"/>
                <w:sz w:val="18"/>
                <w:szCs w:val="18"/>
              </w:rPr>
              <w:t>420</w:t>
            </w:r>
          </w:p>
        </w:tc>
        <w:tc>
          <w:tcPr>
            <w:tcW w:w="0" w:type="auto"/>
            <w:noWrap/>
            <w:vAlign w:val="center"/>
            <w:hideMark/>
          </w:tcPr>
          <w:p w14:paraId="72CEF365" w14:textId="77777777" w:rsidR="00F72778" w:rsidRPr="00B7352C" w:rsidRDefault="00F72778" w:rsidP="00C64D6D">
            <w:pPr>
              <w:spacing w:before="0" w:after="0" w:line="240" w:lineRule="auto"/>
              <w:jc w:val="right"/>
              <w:rPr>
                <w:rFonts w:asciiTheme="minorBidi" w:hAnsiTheme="minorBidi"/>
                <w:color w:val="000000"/>
                <w:sz w:val="18"/>
                <w:szCs w:val="18"/>
              </w:rPr>
            </w:pPr>
          </w:p>
        </w:tc>
        <w:tc>
          <w:tcPr>
            <w:tcW w:w="0" w:type="auto"/>
            <w:shd w:val="clear" w:color="auto" w:fill="E5E5E5" w:themeFill="background2" w:themeFillShade="E6"/>
            <w:noWrap/>
            <w:vAlign w:val="center"/>
            <w:hideMark/>
          </w:tcPr>
          <w:p w14:paraId="085C5A16" w14:textId="77777777" w:rsidR="00F72778"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-9%</w:t>
            </w:r>
          </w:p>
        </w:tc>
      </w:tr>
    </w:tbl>
    <w:p w14:paraId="7E8F1A49" w14:textId="545B3393" w:rsidR="00F72778" w:rsidRDefault="00F72778" w:rsidP="00641089">
      <w:pPr>
        <w:pStyle w:val="BottomCaption"/>
        <w:rPr>
          <w:color w:val="82009B" w:themeColor="accent6"/>
        </w:rPr>
      </w:pPr>
      <w:r w:rsidRPr="00E14EBC">
        <w:t xml:space="preserve">Allikas: </w:t>
      </w:r>
      <w:r w:rsidR="5A90B4AA">
        <w:t>SA</w:t>
      </w:r>
    </w:p>
    <w:p w14:paraId="75598A4F" w14:textId="6AE92B7D" w:rsidR="00F72778" w:rsidRPr="00E14EBC" w:rsidRDefault="00F72778" w:rsidP="00F72778">
      <w:pPr>
        <w:pStyle w:val="Caption"/>
      </w:pPr>
    </w:p>
    <w:p w14:paraId="1EA49973" w14:textId="092A6A8B" w:rsidR="00F72778" w:rsidRPr="00E14EBC" w:rsidRDefault="00F72778" w:rsidP="4A7E2F16">
      <w:r>
        <w:br w:type="page"/>
      </w:r>
    </w:p>
    <w:p w14:paraId="7AE15B28" w14:textId="7D2EFB64" w:rsidR="00F72778" w:rsidRPr="00E14EBC" w:rsidRDefault="4A7E2F16" w:rsidP="00F72778">
      <w:pPr>
        <w:pStyle w:val="Caption"/>
      </w:pPr>
      <w:r>
        <w:lastRenderedPageBreak/>
        <w:t>Tabel 31: Majutatute ja ööbimiste arv ja muutus 2019–2023 lühiajalise üüri majutuskohtades, maakonniti, 2019–2023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867"/>
        <w:gridCol w:w="867"/>
        <w:gridCol w:w="867"/>
        <w:gridCol w:w="867"/>
        <w:gridCol w:w="867"/>
        <w:gridCol w:w="320"/>
        <w:gridCol w:w="896"/>
        <w:gridCol w:w="1163"/>
        <w:gridCol w:w="992"/>
        <w:gridCol w:w="992"/>
        <w:gridCol w:w="1163"/>
        <w:gridCol w:w="1163"/>
        <w:gridCol w:w="254"/>
        <w:gridCol w:w="1439"/>
      </w:tblGrid>
      <w:tr w:rsidR="00714E6E" w:rsidRPr="00DF2C2E" w14:paraId="66184CF6" w14:textId="77777777" w:rsidTr="4A7E2F16">
        <w:trPr>
          <w:trHeight w:val="380"/>
        </w:trPr>
        <w:tc>
          <w:tcPr>
            <w:tcW w:w="0" w:type="auto"/>
            <w:noWrap/>
            <w:vAlign w:val="center"/>
            <w:hideMark/>
          </w:tcPr>
          <w:p w14:paraId="6B0B04BF" w14:textId="77777777" w:rsidR="00714E6E" w:rsidRPr="00DF2C2E" w:rsidRDefault="00714E6E" w:rsidP="000A5063">
            <w:pPr>
              <w:spacing w:before="0" w:after="0" w:line="240" w:lineRule="auto"/>
              <w:rPr>
                <w:rFonts w:asciiTheme="minorBidi" w:hAnsiTheme="minorBidi"/>
                <w:sz w:val="18"/>
                <w:szCs w:val="18"/>
              </w:rPr>
            </w:pPr>
          </w:p>
        </w:tc>
        <w:tc>
          <w:tcPr>
            <w:tcW w:w="5545" w:type="dxa"/>
            <w:gridSpan w:val="7"/>
            <w:noWrap/>
            <w:vAlign w:val="center"/>
            <w:hideMark/>
          </w:tcPr>
          <w:p w14:paraId="4FC70191" w14:textId="4E13101F" w:rsidR="00714E6E" w:rsidRPr="00DF2C2E" w:rsidRDefault="00714E6E" w:rsidP="000A5063">
            <w:pPr>
              <w:spacing w:before="0" w:after="0" w:line="240" w:lineRule="auto"/>
              <w:jc w:val="center"/>
              <w:rPr>
                <w:rFonts w:asciiTheme="minorBidi" w:hAnsiTheme="minorBidi"/>
                <w:sz w:val="18"/>
                <w:szCs w:val="18"/>
              </w:rPr>
            </w:pPr>
            <w:r w:rsidRPr="00DF2C2E">
              <w:rPr>
                <w:rFonts w:asciiTheme="minorBidi" w:hAnsiTheme="minorBidi"/>
                <w:b/>
                <w:bCs/>
                <w:color w:val="000000"/>
                <w:sz w:val="18"/>
                <w:szCs w:val="18"/>
              </w:rPr>
              <w:t>Majutatute ar</w:t>
            </w:r>
            <w:r>
              <w:rPr>
                <w:rFonts w:asciiTheme="minorBidi" w:hAnsiTheme="minorBidi"/>
                <w:b/>
                <w:bCs/>
                <w:color w:val="000000"/>
                <w:sz w:val="18"/>
                <w:szCs w:val="18"/>
              </w:rPr>
              <w:t>v</w:t>
            </w:r>
          </w:p>
        </w:tc>
        <w:tc>
          <w:tcPr>
            <w:tcW w:w="7166" w:type="dxa"/>
            <w:gridSpan w:val="7"/>
            <w:noWrap/>
            <w:vAlign w:val="center"/>
            <w:hideMark/>
          </w:tcPr>
          <w:p w14:paraId="2093EDD8" w14:textId="2528F375" w:rsidR="00714E6E" w:rsidRPr="00DF2C2E" w:rsidRDefault="00714E6E" w:rsidP="000A5063">
            <w:pPr>
              <w:spacing w:before="0" w:after="0" w:line="240" w:lineRule="auto"/>
              <w:jc w:val="center"/>
              <w:rPr>
                <w:rFonts w:asciiTheme="minorBidi" w:hAnsiTheme="minorBidi"/>
                <w:b/>
                <w:sz w:val="18"/>
                <w:szCs w:val="18"/>
              </w:rPr>
            </w:pPr>
            <w:r w:rsidRPr="00DF2C2E">
              <w:rPr>
                <w:rFonts w:asciiTheme="minorBidi" w:hAnsiTheme="minorBidi"/>
                <w:b/>
                <w:color w:val="000000"/>
                <w:sz w:val="18"/>
                <w:szCs w:val="18"/>
              </w:rPr>
              <w:t xml:space="preserve">Ööbimiste arv </w:t>
            </w:r>
          </w:p>
        </w:tc>
      </w:tr>
      <w:tr w:rsidR="00B54A22" w:rsidRPr="00DF2C2E" w14:paraId="469FE7C9" w14:textId="77777777" w:rsidTr="00B54A22">
        <w:trPr>
          <w:trHeight w:val="300"/>
        </w:trPr>
        <w:tc>
          <w:tcPr>
            <w:tcW w:w="0" w:type="auto"/>
            <w:noWrap/>
            <w:vAlign w:val="center"/>
            <w:hideMark/>
          </w:tcPr>
          <w:p w14:paraId="4D4D5CDF" w14:textId="77777777" w:rsidR="00714E6E" w:rsidRPr="00DF2C2E" w:rsidRDefault="00714E6E" w:rsidP="00F16EF7">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Maakond</w:t>
            </w:r>
          </w:p>
        </w:tc>
        <w:tc>
          <w:tcPr>
            <w:tcW w:w="0" w:type="auto"/>
            <w:noWrap/>
            <w:vAlign w:val="center"/>
            <w:hideMark/>
          </w:tcPr>
          <w:p w14:paraId="2BF0B93F" w14:textId="77777777" w:rsidR="00714E6E" w:rsidRPr="00DF2C2E" w:rsidRDefault="00714E6E" w:rsidP="000A5063">
            <w:pPr>
              <w:spacing w:before="0" w:after="0" w:line="240" w:lineRule="auto"/>
              <w:jc w:val="center"/>
              <w:rPr>
                <w:rFonts w:asciiTheme="minorBidi" w:hAnsiTheme="minorBidi"/>
                <w:b/>
                <w:color w:val="000000"/>
                <w:sz w:val="18"/>
                <w:szCs w:val="18"/>
              </w:rPr>
            </w:pPr>
            <w:r w:rsidRPr="00DF2C2E">
              <w:rPr>
                <w:rFonts w:asciiTheme="minorBidi" w:hAnsiTheme="minorBidi"/>
                <w:b/>
                <w:color w:val="000000"/>
                <w:sz w:val="18"/>
                <w:szCs w:val="18"/>
              </w:rPr>
              <w:t>2019</w:t>
            </w:r>
          </w:p>
        </w:tc>
        <w:tc>
          <w:tcPr>
            <w:tcW w:w="0" w:type="auto"/>
            <w:noWrap/>
            <w:vAlign w:val="center"/>
            <w:hideMark/>
          </w:tcPr>
          <w:p w14:paraId="4CFF5E62" w14:textId="77777777" w:rsidR="00714E6E" w:rsidRPr="00DF2C2E" w:rsidRDefault="00714E6E" w:rsidP="000A5063">
            <w:pPr>
              <w:spacing w:before="0" w:after="0" w:line="240" w:lineRule="auto"/>
              <w:jc w:val="center"/>
              <w:rPr>
                <w:rFonts w:asciiTheme="minorBidi" w:hAnsiTheme="minorBidi"/>
                <w:b/>
                <w:color w:val="000000"/>
                <w:sz w:val="18"/>
                <w:szCs w:val="18"/>
              </w:rPr>
            </w:pPr>
            <w:r w:rsidRPr="00DF2C2E">
              <w:rPr>
                <w:rFonts w:asciiTheme="minorBidi" w:hAnsiTheme="minorBidi"/>
                <w:b/>
                <w:color w:val="000000"/>
                <w:sz w:val="18"/>
                <w:szCs w:val="18"/>
              </w:rPr>
              <w:t>2020</w:t>
            </w:r>
          </w:p>
        </w:tc>
        <w:tc>
          <w:tcPr>
            <w:tcW w:w="0" w:type="auto"/>
            <w:noWrap/>
            <w:vAlign w:val="center"/>
            <w:hideMark/>
          </w:tcPr>
          <w:p w14:paraId="7BD4ADCA" w14:textId="77777777" w:rsidR="00714E6E" w:rsidRPr="00DF2C2E" w:rsidRDefault="00714E6E" w:rsidP="000A5063">
            <w:pPr>
              <w:spacing w:before="0" w:after="0" w:line="240" w:lineRule="auto"/>
              <w:jc w:val="center"/>
              <w:rPr>
                <w:rFonts w:asciiTheme="minorBidi" w:hAnsiTheme="minorBidi"/>
                <w:b/>
                <w:color w:val="000000"/>
                <w:sz w:val="18"/>
                <w:szCs w:val="18"/>
              </w:rPr>
            </w:pPr>
            <w:r w:rsidRPr="00DF2C2E">
              <w:rPr>
                <w:rFonts w:asciiTheme="minorBidi" w:hAnsiTheme="minorBidi"/>
                <w:b/>
                <w:color w:val="000000"/>
                <w:sz w:val="18"/>
                <w:szCs w:val="18"/>
              </w:rPr>
              <w:t>2021</w:t>
            </w:r>
          </w:p>
        </w:tc>
        <w:tc>
          <w:tcPr>
            <w:tcW w:w="0" w:type="auto"/>
            <w:noWrap/>
            <w:vAlign w:val="center"/>
            <w:hideMark/>
          </w:tcPr>
          <w:p w14:paraId="291C1692" w14:textId="77777777" w:rsidR="00714E6E" w:rsidRPr="00DF2C2E" w:rsidRDefault="00714E6E" w:rsidP="000A5063">
            <w:pPr>
              <w:spacing w:before="0" w:after="0" w:line="240" w:lineRule="auto"/>
              <w:jc w:val="center"/>
              <w:rPr>
                <w:rFonts w:asciiTheme="minorBidi" w:hAnsiTheme="minorBidi"/>
                <w:b/>
                <w:color w:val="000000"/>
                <w:sz w:val="18"/>
                <w:szCs w:val="18"/>
              </w:rPr>
            </w:pPr>
            <w:r w:rsidRPr="00DF2C2E">
              <w:rPr>
                <w:rFonts w:asciiTheme="minorBidi" w:hAnsiTheme="minorBidi"/>
                <w:b/>
                <w:color w:val="000000"/>
                <w:sz w:val="18"/>
                <w:szCs w:val="18"/>
              </w:rPr>
              <w:t>2022</w:t>
            </w:r>
          </w:p>
        </w:tc>
        <w:tc>
          <w:tcPr>
            <w:tcW w:w="0" w:type="auto"/>
            <w:noWrap/>
            <w:vAlign w:val="center"/>
            <w:hideMark/>
          </w:tcPr>
          <w:p w14:paraId="359AA001" w14:textId="77777777" w:rsidR="00714E6E" w:rsidRPr="00DF2C2E" w:rsidRDefault="00714E6E" w:rsidP="000A5063">
            <w:pPr>
              <w:spacing w:before="0" w:after="0" w:line="240" w:lineRule="auto"/>
              <w:jc w:val="center"/>
              <w:rPr>
                <w:rFonts w:asciiTheme="minorBidi" w:hAnsiTheme="minorBidi"/>
                <w:b/>
                <w:color w:val="000000"/>
                <w:sz w:val="18"/>
                <w:szCs w:val="18"/>
              </w:rPr>
            </w:pPr>
            <w:r w:rsidRPr="00DF2C2E">
              <w:rPr>
                <w:rFonts w:asciiTheme="minorBidi" w:hAnsiTheme="minorBidi"/>
                <w:b/>
                <w:color w:val="000000"/>
                <w:sz w:val="18"/>
                <w:szCs w:val="18"/>
              </w:rPr>
              <w:t>2023</w:t>
            </w:r>
          </w:p>
        </w:tc>
        <w:tc>
          <w:tcPr>
            <w:tcW w:w="320" w:type="dxa"/>
            <w:noWrap/>
            <w:vAlign w:val="center"/>
            <w:hideMark/>
          </w:tcPr>
          <w:p w14:paraId="07F90C5A" w14:textId="77777777" w:rsidR="00714E6E" w:rsidRPr="00DF2C2E" w:rsidRDefault="00714E6E" w:rsidP="000A5063">
            <w:pPr>
              <w:spacing w:before="0" w:after="0" w:line="240" w:lineRule="auto"/>
              <w:jc w:val="center"/>
              <w:rPr>
                <w:rFonts w:asciiTheme="minorBidi" w:hAnsiTheme="minorBidi"/>
                <w:b/>
                <w:color w:val="000000"/>
                <w:sz w:val="18"/>
                <w:szCs w:val="18"/>
              </w:rPr>
            </w:pPr>
          </w:p>
        </w:tc>
        <w:tc>
          <w:tcPr>
            <w:tcW w:w="896" w:type="dxa"/>
            <w:shd w:val="clear" w:color="auto" w:fill="E5E5E5" w:themeFill="background2" w:themeFillShade="E6"/>
            <w:noWrap/>
            <w:vAlign w:val="center"/>
            <w:hideMark/>
          </w:tcPr>
          <w:p w14:paraId="785B7ED5" w14:textId="77777777" w:rsidR="00714E6E" w:rsidRPr="00B54A22" w:rsidRDefault="4A7E2F16" w:rsidP="4A7E2F16">
            <w:pPr>
              <w:spacing w:before="0" w:after="0" w:line="240" w:lineRule="auto"/>
              <w:jc w:val="center"/>
              <w:rPr>
                <w:rFonts w:asciiTheme="minorBidi" w:hAnsiTheme="minorBidi"/>
                <w:b/>
                <w:bCs/>
                <w:sz w:val="18"/>
                <w:szCs w:val="18"/>
              </w:rPr>
            </w:pPr>
            <w:r w:rsidRPr="00B54A22">
              <w:rPr>
                <w:rFonts w:asciiTheme="minorBidi" w:hAnsiTheme="minorBidi"/>
                <w:b/>
                <w:bCs/>
                <w:sz w:val="18"/>
                <w:szCs w:val="18"/>
              </w:rPr>
              <w:t>2019-23</w:t>
            </w:r>
          </w:p>
        </w:tc>
        <w:tc>
          <w:tcPr>
            <w:tcW w:w="0" w:type="auto"/>
            <w:noWrap/>
            <w:vAlign w:val="center"/>
            <w:hideMark/>
          </w:tcPr>
          <w:p w14:paraId="301076E2" w14:textId="77777777" w:rsidR="00714E6E" w:rsidRPr="00DF2C2E" w:rsidRDefault="00714E6E" w:rsidP="000A5063">
            <w:pPr>
              <w:spacing w:before="0" w:after="0" w:line="240" w:lineRule="auto"/>
              <w:jc w:val="center"/>
              <w:rPr>
                <w:rFonts w:asciiTheme="minorBidi" w:hAnsiTheme="minorBidi"/>
                <w:b/>
                <w:color w:val="000000"/>
                <w:sz w:val="18"/>
                <w:szCs w:val="18"/>
              </w:rPr>
            </w:pPr>
            <w:r w:rsidRPr="00DF2C2E">
              <w:rPr>
                <w:rFonts w:asciiTheme="minorBidi" w:hAnsiTheme="minorBidi"/>
                <w:b/>
                <w:color w:val="000000"/>
                <w:sz w:val="18"/>
                <w:szCs w:val="18"/>
              </w:rPr>
              <w:t>2019</w:t>
            </w:r>
          </w:p>
        </w:tc>
        <w:tc>
          <w:tcPr>
            <w:tcW w:w="0" w:type="auto"/>
            <w:noWrap/>
            <w:vAlign w:val="center"/>
            <w:hideMark/>
          </w:tcPr>
          <w:p w14:paraId="02AD945F" w14:textId="77777777" w:rsidR="00714E6E" w:rsidRPr="00DF2C2E" w:rsidRDefault="00714E6E" w:rsidP="000A5063">
            <w:pPr>
              <w:spacing w:before="0" w:after="0" w:line="240" w:lineRule="auto"/>
              <w:jc w:val="center"/>
              <w:rPr>
                <w:rFonts w:asciiTheme="minorBidi" w:hAnsiTheme="minorBidi"/>
                <w:b/>
                <w:color w:val="000000"/>
                <w:sz w:val="18"/>
                <w:szCs w:val="18"/>
              </w:rPr>
            </w:pPr>
            <w:r w:rsidRPr="00DF2C2E">
              <w:rPr>
                <w:rFonts w:asciiTheme="minorBidi" w:hAnsiTheme="minorBidi"/>
                <w:b/>
                <w:color w:val="000000"/>
                <w:sz w:val="18"/>
                <w:szCs w:val="18"/>
              </w:rPr>
              <w:t>2020</w:t>
            </w:r>
          </w:p>
        </w:tc>
        <w:tc>
          <w:tcPr>
            <w:tcW w:w="0" w:type="auto"/>
            <w:noWrap/>
            <w:vAlign w:val="center"/>
            <w:hideMark/>
          </w:tcPr>
          <w:p w14:paraId="5821B2F0" w14:textId="77777777" w:rsidR="00714E6E" w:rsidRPr="00DF2C2E" w:rsidRDefault="00714E6E" w:rsidP="000A5063">
            <w:pPr>
              <w:spacing w:before="0" w:after="0" w:line="240" w:lineRule="auto"/>
              <w:jc w:val="center"/>
              <w:rPr>
                <w:rFonts w:asciiTheme="minorBidi" w:hAnsiTheme="minorBidi"/>
                <w:b/>
                <w:color w:val="000000"/>
                <w:sz w:val="18"/>
                <w:szCs w:val="18"/>
              </w:rPr>
            </w:pPr>
            <w:r w:rsidRPr="00DF2C2E">
              <w:rPr>
                <w:rFonts w:asciiTheme="minorBidi" w:hAnsiTheme="minorBidi"/>
                <w:b/>
                <w:color w:val="000000"/>
                <w:sz w:val="18"/>
                <w:szCs w:val="18"/>
              </w:rPr>
              <w:t>2021</w:t>
            </w:r>
          </w:p>
        </w:tc>
        <w:tc>
          <w:tcPr>
            <w:tcW w:w="0" w:type="auto"/>
            <w:noWrap/>
            <w:vAlign w:val="center"/>
            <w:hideMark/>
          </w:tcPr>
          <w:p w14:paraId="1FDA8466" w14:textId="77777777" w:rsidR="00714E6E" w:rsidRPr="00DF2C2E" w:rsidRDefault="00714E6E" w:rsidP="000A5063">
            <w:pPr>
              <w:spacing w:before="0" w:after="0" w:line="240" w:lineRule="auto"/>
              <w:jc w:val="center"/>
              <w:rPr>
                <w:rFonts w:asciiTheme="minorBidi" w:hAnsiTheme="minorBidi"/>
                <w:b/>
                <w:color w:val="000000"/>
                <w:sz w:val="18"/>
                <w:szCs w:val="18"/>
              </w:rPr>
            </w:pPr>
            <w:r w:rsidRPr="00DF2C2E">
              <w:rPr>
                <w:rFonts w:asciiTheme="minorBidi" w:hAnsiTheme="minorBidi"/>
                <w:b/>
                <w:color w:val="000000"/>
                <w:sz w:val="18"/>
                <w:szCs w:val="18"/>
              </w:rPr>
              <w:t>2022</w:t>
            </w:r>
          </w:p>
        </w:tc>
        <w:tc>
          <w:tcPr>
            <w:tcW w:w="0" w:type="auto"/>
            <w:noWrap/>
            <w:vAlign w:val="center"/>
            <w:hideMark/>
          </w:tcPr>
          <w:p w14:paraId="1D15F40E" w14:textId="77777777" w:rsidR="00714E6E" w:rsidRPr="00DF2C2E" w:rsidRDefault="00714E6E" w:rsidP="000A5063">
            <w:pPr>
              <w:spacing w:before="0" w:after="0" w:line="240" w:lineRule="auto"/>
              <w:jc w:val="center"/>
              <w:rPr>
                <w:rFonts w:asciiTheme="minorBidi" w:hAnsiTheme="minorBidi"/>
                <w:b/>
                <w:color w:val="000000"/>
                <w:sz w:val="18"/>
                <w:szCs w:val="18"/>
              </w:rPr>
            </w:pPr>
            <w:r w:rsidRPr="00DF2C2E">
              <w:rPr>
                <w:rFonts w:asciiTheme="minorBidi" w:hAnsiTheme="minorBidi"/>
                <w:b/>
                <w:color w:val="000000"/>
                <w:sz w:val="18"/>
                <w:szCs w:val="18"/>
              </w:rPr>
              <w:t>2023</w:t>
            </w:r>
          </w:p>
        </w:tc>
        <w:tc>
          <w:tcPr>
            <w:tcW w:w="0" w:type="auto"/>
            <w:noWrap/>
            <w:vAlign w:val="center"/>
            <w:hideMark/>
          </w:tcPr>
          <w:p w14:paraId="6E407CFF" w14:textId="77777777" w:rsidR="00714E6E" w:rsidRPr="00DF2C2E" w:rsidRDefault="00714E6E" w:rsidP="000A5063">
            <w:pPr>
              <w:spacing w:before="0" w:after="0" w:line="240" w:lineRule="auto"/>
              <w:jc w:val="center"/>
              <w:rPr>
                <w:rFonts w:asciiTheme="minorBidi" w:hAnsiTheme="minorBidi"/>
                <w:b/>
                <w:color w:val="000000"/>
                <w:sz w:val="18"/>
                <w:szCs w:val="18"/>
              </w:rPr>
            </w:pPr>
          </w:p>
        </w:tc>
        <w:tc>
          <w:tcPr>
            <w:tcW w:w="1258" w:type="dxa"/>
            <w:shd w:val="clear" w:color="auto" w:fill="E5E5E5" w:themeFill="background2" w:themeFillShade="E6"/>
            <w:noWrap/>
            <w:vAlign w:val="center"/>
            <w:hideMark/>
          </w:tcPr>
          <w:p w14:paraId="3B084084" w14:textId="77777777" w:rsidR="00714E6E" w:rsidRPr="00B54A22" w:rsidRDefault="4A7E2F16" w:rsidP="4A7E2F16">
            <w:pPr>
              <w:spacing w:before="0" w:after="0" w:line="240" w:lineRule="auto"/>
              <w:jc w:val="center"/>
              <w:rPr>
                <w:rFonts w:asciiTheme="minorBidi" w:hAnsiTheme="minorBidi"/>
                <w:b/>
                <w:bCs/>
                <w:sz w:val="18"/>
                <w:szCs w:val="18"/>
              </w:rPr>
            </w:pPr>
            <w:r w:rsidRPr="00B54A22">
              <w:rPr>
                <w:rFonts w:asciiTheme="minorBidi" w:hAnsiTheme="minorBidi"/>
                <w:b/>
                <w:bCs/>
                <w:sz w:val="18"/>
                <w:szCs w:val="18"/>
              </w:rPr>
              <w:t>2019-23</w:t>
            </w:r>
          </w:p>
        </w:tc>
      </w:tr>
      <w:tr w:rsidR="00B54A22" w:rsidRPr="00DF2C2E" w14:paraId="63EBDEDD" w14:textId="77777777" w:rsidTr="00B54A22">
        <w:trPr>
          <w:trHeight w:val="300"/>
        </w:trPr>
        <w:tc>
          <w:tcPr>
            <w:tcW w:w="0" w:type="auto"/>
            <w:noWrap/>
            <w:vAlign w:val="center"/>
            <w:hideMark/>
          </w:tcPr>
          <w:p w14:paraId="7F8BF011"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Harju</w:t>
            </w:r>
          </w:p>
        </w:tc>
        <w:tc>
          <w:tcPr>
            <w:tcW w:w="0" w:type="auto"/>
            <w:noWrap/>
            <w:vAlign w:val="center"/>
            <w:hideMark/>
          </w:tcPr>
          <w:p w14:paraId="3685CB84" w14:textId="040E870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365</w:t>
            </w:r>
            <w:r w:rsidR="009402A5">
              <w:rPr>
                <w:rFonts w:asciiTheme="minorBidi" w:hAnsiTheme="minorBidi"/>
                <w:color w:val="000000"/>
                <w:sz w:val="18"/>
                <w:szCs w:val="18"/>
              </w:rPr>
              <w:t xml:space="preserve"> </w:t>
            </w:r>
            <w:r w:rsidRPr="00DF2C2E">
              <w:rPr>
                <w:rFonts w:asciiTheme="minorBidi" w:hAnsiTheme="minorBidi"/>
                <w:color w:val="000000"/>
                <w:sz w:val="18"/>
                <w:szCs w:val="18"/>
              </w:rPr>
              <w:t>004</w:t>
            </w:r>
          </w:p>
        </w:tc>
        <w:tc>
          <w:tcPr>
            <w:tcW w:w="0" w:type="auto"/>
            <w:noWrap/>
            <w:vAlign w:val="center"/>
            <w:hideMark/>
          </w:tcPr>
          <w:p w14:paraId="45DD4CDC" w14:textId="40C144C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135</w:t>
            </w:r>
            <w:r w:rsidR="009402A5">
              <w:rPr>
                <w:rFonts w:asciiTheme="minorBidi" w:hAnsiTheme="minorBidi"/>
                <w:color w:val="000000"/>
                <w:sz w:val="18"/>
                <w:szCs w:val="18"/>
              </w:rPr>
              <w:t xml:space="preserve"> </w:t>
            </w:r>
            <w:r w:rsidRPr="00DF2C2E">
              <w:rPr>
                <w:rFonts w:asciiTheme="minorBidi" w:hAnsiTheme="minorBidi"/>
                <w:color w:val="000000"/>
                <w:sz w:val="18"/>
                <w:szCs w:val="18"/>
              </w:rPr>
              <w:t>562</w:t>
            </w:r>
          </w:p>
        </w:tc>
        <w:tc>
          <w:tcPr>
            <w:tcW w:w="0" w:type="auto"/>
            <w:noWrap/>
            <w:vAlign w:val="center"/>
            <w:hideMark/>
          </w:tcPr>
          <w:p w14:paraId="55DA7FD1" w14:textId="3E92293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103</w:t>
            </w:r>
            <w:r w:rsidR="009402A5">
              <w:rPr>
                <w:rFonts w:asciiTheme="minorBidi" w:hAnsiTheme="minorBidi"/>
                <w:color w:val="000000"/>
                <w:sz w:val="18"/>
                <w:szCs w:val="18"/>
              </w:rPr>
              <w:t xml:space="preserve"> </w:t>
            </w:r>
            <w:r w:rsidRPr="00DF2C2E">
              <w:rPr>
                <w:rFonts w:asciiTheme="minorBidi" w:hAnsiTheme="minorBidi"/>
                <w:color w:val="000000"/>
                <w:sz w:val="18"/>
                <w:szCs w:val="18"/>
              </w:rPr>
              <w:t>911</w:t>
            </w:r>
          </w:p>
        </w:tc>
        <w:tc>
          <w:tcPr>
            <w:tcW w:w="0" w:type="auto"/>
            <w:noWrap/>
            <w:vAlign w:val="center"/>
            <w:hideMark/>
          </w:tcPr>
          <w:p w14:paraId="3A666458" w14:textId="619DE03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201</w:t>
            </w:r>
            <w:r w:rsidR="009402A5">
              <w:rPr>
                <w:rFonts w:asciiTheme="minorBidi" w:hAnsiTheme="minorBidi"/>
                <w:color w:val="000000"/>
                <w:sz w:val="18"/>
                <w:szCs w:val="18"/>
              </w:rPr>
              <w:t xml:space="preserve"> </w:t>
            </w:r>
            <w:r w:rsidRPr="00DF2C2E">
              <w:rPr>
                <w:rFonts w:asciiTheme="minorBidi" w:hAnsiTheme="minorBidi"/>
                <w:color w:val="000000"/>
                <w:sz w:val="18"/>
                <w:szCs w:val="18"/>
              </w:rPr>
              <w:t>929</w:t>
            </w:r>
          </w:p>
        </w:tc>
        <w:tc>
          <w:tcPr>
            <w:tcW w:w="0" w:type="auto"/>
            <w:noWrap/>
            <w:vAlign w:val="center"/>
            <w:hideMark/>
          </w:tcPr>
          <w:p w14:paraId="052461A2" w14:textId="015C3086"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256</w:t>
            </w:r>
            <w:r w:rsidR="009402A5">
              <w:rPr>
                <w:rFonts w:asciiTheme="minorBidi" w:hAnsiTheme="minorBidi"/>
                <w:color w:val="000000"/>
                <w:sz w:val="18"/>
                <w:szCs w:val="18"/>
              </w:rPr>
              <w:t xml:space="preserve"> </w:t>
            </w:r>
            <w:r w:rsidRPr="00DF2C2E">
              <w:rPr>
                <w:rFonts w:asciiTheme="minorBidi" w:hAnsiTheme="minorBidi"/>
                <w:color w:val="000000"/>
                <w:sz w:val="18"/>
                <w:szCs w:val="18"/>
              </w:rPr>
              <w:t>910</w:t>
            </w:r>
          </w:p>
        </w:tc>
        <w:tc>
          <w:tcPr>
            <w:tcW w:w="320" w:type="dxa"/>
            <w:noWrap/>
            <w:vAlign w:val="center"/>
            <w:hideMark/>
          </w:tcPr>
          <w:p w14:paraId="5FC23946"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391C1FD3"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color w:val="FF0000"/>
                <w:sz w:val="18"/>
                <w:szCs w:val="18"/>
              </w:rPr>
              <w:t>-30%</w:t>
            </w:r>
          </w:p>
        </w:tc>
        <w:tc>
          <w:tcPr>
            <w:tcW w:w="0" w:type="auto"/>
            <w:noWrap/>
            <w:vAlign w:val="center"/>
            <w:hideMark/>
          </w:tcPr>
          <w:p w14:paraId="502E1583" w14:textId="3B04E42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002</w:t>
            </w:r>
            <w:r w:rsidR="009402A5">
              <w:rPr>
                <w:rFonts w:asciiTheme="minorBidi" w:hAnsiTheme="minorBidi"/>
                <w:color w:val="000000"/>
                <w:sz w:val="18"/>
                <w:szCs w:val="18"/>
              </w:rPr>
              <w:t xml:space="preserve"> </w:t>
            </w:r>
            <w:r w:rsidRPr="00DF2C2E">
              <w:rPr>
                <w:rFonts w:asciiTheme="minorBidi" w:hAnsiTheme="minorBidi"/>
                <w:color w:val="000000"/>
                <w:sz w:val="18"/>
                <w:szCs w:val="18"/>
              </w:rPr>
              <w:t>072</w:t>
            </w:r>
          </w:p>
        </w:tc>
        <w:tc>
          <w:tcPr>
            <w:tcW w:w="0" w:type="auto"/>
            <w:noWrap/>
            <w:vAlign w:val="center"/>
            <w:hideMark/>
          </w:tcPr>
          <w:p w14:paraId="12FC25DF" w14:textId="2CEBF23A"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414</w:t>
            </w:r>
            <w:r w:rsidR="009402A5">
              <w:rPr>
                <w:rFonts w:asciiTheme="minorBidi" w:hAnsiTheme="minorBidi"/>
                <w:color w:val="000000"/>
                <w:sz w:val="18"/>
                <w:szCs w:val="18"/>
              </w:rPr>
              <w:t xml:space="preserve"> </w:t>
            </w:r>
            <w:r w:rsidRPr="00DF2C2E">
              <w:rPr>
                <w:rFonts w:asciiTheme="minorBidi" w:hAnsiTheme="minorBidi"/>
                <w:color w:val="000000"/>
                <w:sz w:val="18"/>
                <w:szCs w:val="18"/>
              </w:rPr>
              <w:t>148</w:t>
            </w:r>
          </w:p>
        </w:tc>
        <w:tc>
          <w:tcPr>
            <w:tcW w:w="0" w:type="auto"/>
            <w:noWrap/>
            <w:vAlign w:val="center"/>
            <w:hideMark/>
          </w:tcPr>
          <w:p w14:paraId="6E45A956" w14:textId="29B49CF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376</w:t>
            </w:r>
            <w:r w:rsidR="009402A5">
              <w:rPr>
                <w:rFonts w:asciiTheme="minorBidi" w:hAnsiTheme="minorBidi"/>
                <w:color w:val="000000"/>
                <w:sz w:val="18"/>
                <w:szCs w:val="18"/>
              </w:rPr>
              <w:t xml:space="preserve"> </w:t>
            </w:r>
            <w:r w:rsidRPr="00DF2C2E">
              <w:rPr>
                <w:rFonts w:asciiTheme="minorBidi" w:hAnsiTheme="minorBidi"/>
                <w:color w:val="000000"/>
                <w:sz w:val="18"/>
                <w:szCs w:val="18"/>
              </w:rPr>
              <w:t>461</w:t>
            </w:r>
          </w:p>
        </w:tc>
        <w:tc>
          <w:tcPr>
            <w:tcW w:w="0" w:type="auto"/>
            <w:noWrap/>
            <w:vAlign w:val="center"/>
            <w:hideMark/>
          </w:tcPr>
          <w:p w14:paraId="017E3378" w14:textId="4CE8B16C"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670</w:t>
            </w:r>
            <w:r w:rsidR="009402A5">
              <w:rPr>
                <w:rFonts w:asciiTheme="minorBidi" w:hAnsiTheme="minorBidi"/>
                <w:color w:val="000000"/>
                <w:sz w:val="18"/>
                <w:szCs w:val="18"/>
              </w:rPr>
              <w:t xml:space="preserve"> </w:t>
            </w:r>
            <w:r w:rsidRPr="00DF2C2E">
              <w:rPr>
                <w:rFonts w:asciiTheme="minorBidi" w:hAnsiTheme="minorBidi"/>
                <w:color w:val="000000"/>
                <w:sz w:val="18"/>
                <w:szCs w:val="18"/>
              </w:rPr>
              <w:t>396</w:t>
            </w:r>
          </w:p>
        </w:tc>
        <w:tc>
          <w:tcPr>
            <w:tcW w:w="0" w:type="auto"/>
            <w:noWrap/>
            <w:vAlign w:val="center"/>
            <w:hideMark/>
          </w:tcPr>
          <w:p w14:paraId="6189335F" w14:textId="01BC1849"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788</w:t>
            </w:r>
            <w:r w:rsidR="009402A5">
              <w:rPr>
                <w:rFonts w:asciiTheme="minorBidi" w:hAnsiTheme="minorBidi"/>
                <w:color w:val="000000"/>
                <w:sz w:val="18"/>
                <w:szCs w:val="18"/>
              </w:rPr>
              <w:t xml:space="preserve"> </w:t>
            </w:r>
            <w:r w:rsidRPr="00DF2C2E">
              <w:rPr>
                <w:rFonts w:asciiTheme="minorBidi" w:hAnsiTheme="minorBidi"/>
                <w:color w:val="000000"/>
                <w:sz w:val="18"/>
                <w:szCs w:val="18"/>
              </w:rPr>
              <w:t>630</w:t>
            </w:r>
          </w:p>
        </w:tc>
        <w:tc>
          <w:tcPr>
            <w:tcW w:w="0" w:type="auto"/>
            <w:noWrap/>
            <w:vAlign w:val="center"/>
            <w:hideMark/>
          </w:tcPr>
          <w:p w14:paraId="6784A6DE"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67027268" w14:textId="77777777" w:rsidR="00714E6E"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-21%</w:t>
            </w:r>
          </w:p>
        </w:tc>
      </w:tr>
      <w:tr w:rsidR="00B54A22" w:rsidRPr="00DF2C2E" w14:paraId="35E610DC" w14:textId="77777777" w:rsidTr="00B54A22">
        <w:trPr>
          <w:trHeight w:val="300"/>
        </w:trPr>
        <w:tc>
          <w:tcPr>
            <w:tcW w:w="0" w:type="auto"/>
            <w:noWrap/>
            <w:vAlign w:val="center"/>
            <w:hideMark/>
          </w:tcPr>
          <w:p w14:paraId="6AD1B161"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Hiiu</w:t>
            </w:r>
          </w:p>
        </w:tc>
        <w:tc>
          <w:tcPr>
            <w:tcW w:w="0" w:type="auto"/>
            <w:noWrap/>
            <w:vAlign w:val="center"/>
            <w:hideMark/>
          </w:tcPr>
          <w:p w14:paraId="098EC210" w14:textId="143D3B86"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6</w:t>
            </w:r>
            <w:r w:rsidR="009402A5">
              <w:rPr>
                <w:rFonts w:asciiTheme="minorBidi" w:hAnsiTheme="minorBidi"/>
                <w:color w:val="000000"/>
                <w:sz w:val="18"/>
                <w:szCs w:val="18"/>
              </w:rPr>
              <w:t xml:space="preserve"> </w:t>
            </w:r>
            <w:r w:rsidRPr="00DF2C2E">
              <w:rPr>
                <w:rFonts w:asciiTheme="minorBidi" w:hAnsiTheme="minorBidi"/>
                <w:color w:val="000000"/>
                <w:sz w:val="18"/>
                <w:szCs w:val="18"/>
              </w:rPr>
              <w:t>112</w:t>
            </w:r>
          </w:p>
        </w:tc>
        <w:tc>
          <w:tcPr>
            <w:tcW w:w="0" w:type="auto"/>
            <w:noWrap/>
            <w:vAlign w:val="center"/>
            <w:hideMark/>
          </w:tcPr>
          <w:p w14:paraId="44B7A1F9" w14:textId="7521FF1A"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w:t>
            </w:r>
            <w:r w:rsidR="009402A5">
              <w:rPr>
                <w:rFonts w:asciiTheme="minorBidi" w:hAnsiTheme="minorBidi"/>
                <w:color w:val="000000"/>
                <w:sz w:val="18"/>
                <w:szCs w:val="18"/>
              </w:rPr>
              <w:t xml:space="preserve"> </w:t>
            </w:r>
            <w:r w:rsidRPr="00DF2C2E">
              <w:rPr>
                <w:rFonts w:asciiTheme="minorBidi" w:hAnsiTheme="minorBidi"/>
                <w:color w:val="000000"/>
                <w:sz w:val="18"/>
                <w:szCs w:val="18"/>
              </w:rPr>
              <w:t>458</w:t>
            </w:r>
          </w:p>
        </w:tc>
        <w:tc>
          <w:tcPr>
            <w:tcW w:w="0" w:type="auto"/>
            <w:noWrap/>
            <w:vAlign w:val="center"/>
            <w:hideMark/>
          </w:tcPr>
          <w:p w14:paraId="53CDB635" w14:textId="408964A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11</w:t>
            </w:r>
            <w:r w:rsidR="009402A5">
              <w:rPr>
                <w:rFonts w:asciiTheme="minorBidi" w:hAnsiTheme="minorBidi"/>
                <w:color w:val="000000"/>
                <w:sz w:val="18"/>
                <w:szCs w:val="18"/>
              </w:rPr>
              <w:t xml:space="preserve"> </w:t>
            </w:r>
            <w:r w:rsidRPr="00DF2C2E">
              <w:rPr>
                <w:rFonts w:asciiTheme="minorBidi" w:hAnsiTheme="minorBidi"/>
                <w:color w:val="000000"/>
                <w:sz w:val="18"/>
                <w:szCs w:val="18"/>
              </w:rPr>
              <w:t>440</w:t>
            </w:r>
          </w:p>
        </w:tc>
        <w:tc>
          <w:tcPr>
            <w:tcW w:w="0" w:type="auto"/>
            <w:noWrap/>
            <w:vAlign w:val="center"/>
            <w:hideMark/>
          </w:tcPr>
          <w:p w14:paraId="15D3E68C" w14:textId="6E9157E9"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12</w:t>
            </w:r>
            <w:r w:rsidR="009402A5">
              <w:rPr>
                <w:rFonts w:asciiTheme="minorBidi" w:hAnsiTheme="minorBidi"/>
                <w:color w:val="000000"/>
                <w:sz w:val="18"/>
                <w:szCs w:val="18"/>
              </w:rPr>
              <w:t xml:space="preserve"> </w:t>
            </w:r>
            <w:r w:rsidRPr="00DF2C2E">
              <w:rPr>
                <w:rFonts w:asciiTheme="minorBidi" w:hAnsiTheme="minorBidi"/>
                <w:color w:val="000000"/>
                <w:sz w:val="18"/>
                <w:szCs w:val="18"/>
              </w:rPr>
              <w:t>347</w:t>
            </w:r>
          </w:p>
        </w:tc>
        <w:tc>
          <w:tcPr>
            <w:tcW w:w="0" w:type="auto"/>
            <w:noWrap/>
            <w:vAlign w:val="center"/>
            <w:hideMark/>
          </w:tcPr>
          <w:p w14:paraId="7D4053C9" w14:textId="1DD4F12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14</w:t>
            </w:r>
            <w:r w:rsidR="009402A5">
              <w:rPr>
                <w:rFonts w:asciiTheme="minorBidi" w:hAnsiTheme="minorBidi"/>
                <w:color w:val="000000"/>
                <w:sz w:val="18"/>
                <w:szCs w:val="18"/>
              </w:rPr>
              <w:t xml:space="preserve"> </w:t>
            </w:r>
            <w:r w:rsidRPr="00DF2C2E">
              <w:rPr>
                <w:rFonts w:asciiTheme="minorBidi" w:hAnsiTheme="minorBidi"/>
                <w:color w:val="000000"/>
                <w:sz w:val="18"/>
                <w:szCs w:val="18"/>
              </w:rPr>
              <w:t>242</w:t>
            </w:r>
          </w:p>
        </w:tc>
        <w:tc>
          <w:tcPr>
            <w:tcW w:w="320" w:type="dxa"/>
            <w:noWrap/>
            <w:vAlign w:val="center"/>
            <w:hideMark/>
          </w:tcPr>
          <w:p w14:paraId="27DB3870"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2010E241"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133%</w:t>
            </w:r>
          </w:p>
        </w:tc>
        <w:tc>
          <w:tcPr>
            <w:tcW w:w="0" w:type="auto"/>
            <w:noWrap/>
            <w:vAlign w:val="center"/>
            <w:hideMark/>
          </w:tcPr>
          <w:p w14:paraId="08B9E74C" w14:textId="23519BBA"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11</w:t>
            </w:r>
            <w:r w:rsidR="009402A5">
              <w:rPr>
                <w:rFonts w:asciiTheme="minorBidi" w:hAnsiTheme="minorBidi"/>
                <w:color w:val="000000"/>
                <w:sz w:val="18"/>
                <w:szCs w:val="18"/>
              </w:rPr>
              <w:t xml:space="preserve"> </w:t>
            </w:r>
            <w:r w:rsidRPr="00DF2C2E">
              <w:rPr>
                <w:rFonts w:asciiTheme="minorBidi" w:hAnsiTheme="minorBidi"/>
                <w:color w:val="000000"/>
                <w:sz w:val="18"/>
                <w:szCs w:val="18"/>
              </w:rPr>
              <w:t>841</w:t>
            </w:r>
          </w:p>
        </w:tc>
        <w:tc>
          <w:tcPr>
            <w:tcW w:w="0" w:type="auto"/>
            <w:noWrap/>
            <w:vAlign w:val="center"/>
            <w:hideMark/>
          </w:tcPr>
          <w:p w14:paraId="5EEB168A" w14:textId="20A0BB32"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14</w:t>
            </w:r>
            <w:r w:rsidR="009402A5">
              <w:rPr>
                <w:rFonts w:asciiTheme="minorBidi" w:hAnsiTheme="minorBidi"/>
                <w:color w:val="000000"/>
                <w:sz w:val="18"/>
                <w:szCs w:val="18"/>
              </w:rPr>
              <w:t xml:space="preserve"> </w:t>
            </w:r>
            <w:r w:rsidRPr="00DF2C2E">
              <w:rPr>
                <w:rFonts w:asciiTheme="minorBidi" w:hAnsiTheme="minorBidi"/>
                <w:color w:val="000000"/>
                <w:sz w:val="18"/>
                <w:szCs w:val="18"/>
              </w:rPr>
              <w:t>861</w:t>
            </w:r>
          </w:p>
        </w:tc>
        <w:tc>
          <w:tcPr>
            <w:tcW w:w="0" w:type="auto"/>
            <w:noWrap/>
            <w:vAlign w:val="center"/>
            <w:hideMark/>
          </w:tcPr>
          <w:p w14:paraId="7BCC945B" w14:textId="3E33E30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23</w:t>
            </w:r>
            <w:r w:rsidR="009402A5">
              <w:rPr>
                <w:rFonts w:asciiTheme="minorBidi" w:hAnsiTheme="minorBidi"/>
                <w:color w:val="000000"/>
                <w:sz w:val="18"/>
                <w:szCs w:val="18"/>
              </w:rPr>
              <w:t xml:space="preserve"> </w:t>
            </w:r>
            <w:r w:rsidRPr="00DF2C2E">
              <w:rPr>
                <w:rFonts w:asciiTheme="minorBidi" w:hAnsiTheme="minorBidi"/>
                <w:color w:val="000000"/>
                <w:sz w:val="18"/>
                <w:szCs w:val="18"/>
              </w:rPr>
              <w:t>363</w:t>
            </w:r>
          </w:p>
        </w:tc>
        <w:tc>
          <w:tcPr>
            <w:tcW w:w="0" w:type="auto"/>
            <w:noWrap/>
            <w:vAlign w:val="center"/>
            <w:hideMark/>
          </w:tcPr>
          <w:p w14:paraId="72645A4C" w14:textId="250D5241"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23</w:t>
            </w:r>
            <w:r w:rsidR="009402A5">
              <w:rPr>
                <w:rFonts w:asciiTheme="minorBidi" w:hAnsiTheme="minorBidi"/>
                <w:color w:val="000000"/>
                <w:sz w:val="18"/>
                <w:szCs w:val="18"/>
              </w:rPr>
              <w:t xml:space="preserve"> </w:t>
            </w:r>
            <w:r w:rsidRPr="00DF2C2E">
              <w:rPr>
                <w:rFonts w:asciiTheme="minorBidi" w:hAnsiTheme="minorBidi"/>
                <w:color w:val="000000"/>
                <w:sz w:val="18"/>
                <w:szCs w:val="18"/>
              </w:rPr>
              <w:t>947</w:t>
            </w:r>
          </w:p>
        </w:tc>
        <w:tc>
          <w:tcPr>
            <w:tcW w:w="0" w:type="auto"/>
            <w:noWrap/>
            <w:vAlign w:val="center"/>
            <w:hideMark/>
          </w:tcPr>
          <w:p w14:paraId="0EE8FD8A" w14:textId="62670E3E"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27</w:t>
            </w:r>
            <w:r w:rsidR="009402A5">
              <w:rPr>
                <w:rFonts w:asciiTheme="minorBidi" w:hAnsiTheme="minorBidi"/>
                <w:color w:val="000000"/>
                <w:sz w:val="18"/>
                <w:szCs w:val="18"/>
              </w:rPr>
              <w:t xml:space="preserve"> </w:t>
            </w:r>
            <w:r w:rsidRPr="00DF2C2E">
              <w:rPr>
                <w:rFonts w:asciiTheme="minorBidi" w:hAnsiTheme="minorBidi"/>
                <w:color w:val="000000"/>
                <w:sz w:val="18"/>
                <w:szCs w:val="18"/>
              </w:rPr>
              <w:t>702</w:t>
            </w:r>
          </w:p>
        </w:tc>
        <w:tc>
          <w:tcPr>
            <w:tcW w:w="0" w:type="auto"/>
            <w:noWrap/>
            <w:vAlign w:val="center"/>
            <w:hideMark/>
          </w:tcPr>
          <w:p w14:paraId="1B534837"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6506187B"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134%</w:t>
            </w:r>
          </w:p>
        </w:tc>
      </w:tr>
      <w:tr w:rsidR="00B54A22" w:rsidRPr="00DF2C2E" w14:paraId="0BC3DB70" w14:textId="77777777" w:rsidTr="00B54A22">
        <w:trPr>
          <w:trHeight w:val="300"/>
        </w:trPr>
        <w:tc>
          <w:tcPr>
            <w:tcW w:w="0" w:type="auto"/>
            <w:noWrap/>
            <w:vAlign w:val="center"/>
            <w:hideMark/>
          </w:tcPr>
          <w:p w14:paraId="56218A28"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Ida-Viru</w:t>
            </w:r>
          </w:p>
        </w:tc>
        <w:tc>
          <w:tcPr>
            <w:tcW w:w="0" w:type="auto"/>
            <w:noWrap/>
            <w:vAlign w:val="center"/>
            <w:hideMark/>
          </w:tcPr>
          <w:p w14:paraId="5FBE103F" w14:textId="05D1F28E"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27</w:t>
            </w:r>
            <w:r w:rsidR="009402A5">
              <w:rPr>
                <w:rFonts w:asciiTheme="minorBidi" w:hAnsiTheme="minorBidi"/>
                <w:color w:val="000000"/>
                <w:sz w:val="18"/>
                <w:szCs w:val="18"/>
              </w:rPr>
              <w:t xml:space="preserve"> </w:t>
            </w:r>
            <w:r w:rsidRPr="00DF2C2E">
              <w:rPr>
                <w:rFonts w:asciiTheme="minorBidi" w:hAnsiTheme="minorBidi"/>
                <w:color w:val="000000"/>
                <w:sz w:val="18"/>
                <w:szCs w:val="18"/>
              </w:rPr>
              <w:t>719</w:t>
            </w:r>
          </w:p>
        </w:tc>
        <w:tc>
          <w:tcPr>
            <w:tcW w:w="0" w:type="auto"/>
            <w:noWrap/>
            <w:vAlign w:val="center"/>
            <w:hideMark/>
          </w:tcPr>
          <w:p w14:paraId="19823A6C" w14:textId="228638D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17</w:t>
            </w:r>
            <w:r w:rsidR="009402A5">
              <w:rPr>
                <w:rFonts w:asciiTheme="minorBidi" w:hAnsiTheme="minorBidi"/>
                <w:color w:val="000000"/>
                <w:sz w:val="18"/>
                <w:szCs w:val="18"/>
              </w:rPr>
              <w:t xml:space="preserve"> </w:t>
            </w:r>
            <w:r w:rsidRPr="00DF2C2E">
              <w:rPr>
                <w:rFonts w:asciiTheme="minorBidi" w:hAnsiTheme="minorBidi"/>
                <w:color w:val="000000"/>
                <w:sz w:val="18"/>
                <w:szCs w:val="18"/>
              </w:rPr>
              <w:t>468</w:t>
            </w:r>
          </w:p>
        </w:tc>
        <w:tc>
          <w:tcPr>
            <w:tcW w:w="0" w:type="auto"/>
            <w:noWrap/>
            <w:vAlign w:val="center"/>
            <w:hideMark/>
          </w:tcPr>
          <w:p w14:paraId="34080C8A" w14:textId="20021D7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17</w:t>
            </w:r>
            <w:r w:rsidR="009402A5">
              <w:rPr>
                <w:rFonts w:asciiTheme="minorBidi" w:hAnsiTheme="minorBidi"/>
                <w:color w:val="000000"/>
                <w:sz w:val="18"/>
                <w:szCs w:val="18"/>
              </w:rPr>
              <w:t xml:space="preserve"> </w:t>
            </w:r>
            <w:r w:rsidRPr="00DF2C2E">
              <w:rPr>
                <w:rFonts w:asciiTheme="minorBidi" w:hAnsiTheme="minorBidi"/>
                <w:color w:val="000000"/>
                <w:sz w:val="18"/>
                <w:szCs w:val="18"/>
              </w:rPr>
              <w:t>205</w:t>
            </w:r>
          </w:p>
        </w:tc>
        <w:tc>
          <w:tcPr>
            <w:tcW w:w="0" w:type="auto"/>
            <w:noWrap/>
            <w:vAlign w:val="center"/>
            <w:hideMark/>
          </w:tcPr>
          <w:p w14:paraId="33D5D2AA" w14:textId="3D87647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25</w:t>
            </w:r>
            <w:r w:rsidR="009402A5">
              <w:rPr>
                <w:rFonts w:asciiTheme="minorBidi" w:hAnsiTheme="minorBidi"/>
                <w:color w:val="000000"/>
                <w:sz w:val="18"/>
                <w:szCs w:val="18"/>
              </w:rPr>
              <w:t xml:space="preserve"> </w:t>
            </w:r>
            <w:r w:rsidRPr="00DF2C2E">
              <w:rPr>
                <w:rFonts w:asciiTheme="minorBidi" w:hAnsiTheme="minorBidi"/>
                <w:color w:val="000000"/>
                <w:sz w:val="18"/>
                <w:szCs w:val="18"/>
              </w:rPr>
              <w:t>338</w:t>
            </w:r>
          </w:p>
        </w:tc>
        <w:tc>
          <w:tcPr>
            <w:tcW w:w="0" w:type="auto"/>
            <w:noWrap/>
            <w:vAlign w:val="center"/>
            <w:hideMark/>
          </w:tcPr>
          <w:p w14:paraId="2CFF9701" w14:textId="11D5A36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20</w:t>
            </w:r>
            <w:r w:rsidR="009402A5">
              <w:rPr>
                <w:rFonts w:asciiTheme="minorBidi" w:hAnsiTheme="minorBidi"/>
                <w:color w:val="000000"/>
                <w:sz w:val="18"/>
                <w:szCs w:val="18"/>
              </w:rPr>
              <w:t xml:space="preserve"> </w:t>
            </w:r>
            <w:r w:rsidRPr="00DF2C2E">
              <w:rPr>
                <w:rFonts w:asciiTheme="minorBidi" w:hAnsiTheme="minorBidi"/>
                <w:color w:val="000000"/>
                <w:sz w:val="18"/>
                <w:szCs w:val="18"/>
              </w:rPr>
              <w:t>175</w:t>
            </w:r>
          </w:p>
        </w:tc>
        <w:tc>
          <w:tcPr>
            <w:tcW w:w="320" w:type="dxa"/>
            <w:noWrap/>
            <w:vAlign w:val="center"/>
            <w:hideMark/>
          </w:tcPr>
          <w:p w14:paraId="6450D3A2"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0BD3D8A1"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color w:val="FF0000"/>
                <w:sz w:val="18"/>
                <w:szCs w:val="18"/>
              </w:rPr>
              <w:t>-27%</w:t>
            </w:r>
          </w:p>
        </w:tc>
        <w:tc>
          <w:tcPr>
            <w:tcW w:w="0" w:type="auto"/>
            <w:noWrap/>
            <w:vAlign w:val="center"/>
            <w:hideMark/>
          </w:tcPr>
          <w:p w14:paraId="45C27F23" w14:textId="0F2D5304"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48</w:t>
            </w:r>
            <w:r w:rsidR="009402A5">
              <w:rPr>
                <w:rFonts w:asciiTheme="minorBidi" w:hAnsiTheme="minorBidi"/>
                <w:color w:val="000000"/>
                <w:sz w:val="18"/>
                <w:szCs w:val="18"/>
              </w:rPr>
              <w:t xml:space="preserve"> </w:t>
            </w:r>
            <w:r w:rsidRPr="00DF2C2E">
              <w:rPr>
                <w:rFonts w:asciiTheme="minorBidi" w:hAnsiTheme="minorBidi"/>
                <w:color w:val="000000"/>
                <w:sz w:val="18"/>
                <w:szCs w:val="18"/>
              </w:rPr>
              <w:t>822</w:t>
            </w:r>
          </w:p>
        </w:tc>
        <w:tc>
          <w:tcPr>
            <w:tcW w:w="0" w:type="auto"/>
            <w:noWrap/>
            <w:vAlign w:val="center"/>
            <w:hideMark/>
          </w:tcPr>
          <w:p w14:paraId="519437E2" w14:textId="37FECE0E"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33</w:t>
            </w:r>
            <w:r w:rsidR="009402A5">
              <w:rPr>
                <w:rFonts w:asciiTheme="minorBidi" w:hAnsiTheme="minorBidi"/>
                <w:color w:val="000000"/>
                <w:sz w:val="18"/>
                <w:szCs w:val="18"/>
              </w:rPr>
              <w:t xml:space="preserve"> </w:t>
            </w:r>
            <w:r w:rsidRPr="00DF2C2E">
              <w:rPr>
                <w:rFonts w:asciiTheme="minorBidi" w:hAnsiTheme="minorBidi"/>
                <w:color w:val="000000"/>
                <w:sz w:val="18"/>
                <w:szCs w:val="18"/>
              </w:rPr>
              <w:t>128</w:t>
            </w:r>
          </w:p>
        </w:tc>
        <w:tc>
          <w:tcPr>
            <w:tcW w:w="0" w:type="auto"/>
            <w:noWrap/>
            <w:vAlign w:val="center"/>
            <w:hideMark/>
          </w:tcPr>
          <w:p w14:paraId="3E30AE98" w14:textId="6BB0804C"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33</w:t>
            </w:r>
            <w:r w:rsidR="009402A5">
              <w:rPr>
                <w:rFonts w:asciiTheme="minorBidi" w:hAnsiTheme="minorBidi"/>
                <w:color w:val="000000"/>
                <w:sz w:val="18"/>
                <w:szCs w:val="18"/>
              </w:rPr>
              <w:t xml:space="preserve"> </w:t>
            </w:r>
            <w:r w:rsidRPr="00DF2C2E">
              <w:rPr>
                <w:rFonts w:asciiTheme="minorBidi" w:hAnsiTheme="minorBidi"/>
                <w:color w:val="000000"/>
                <w:sz w:val="18"/>
                <w:szCs w:val="18"/>
              </w:rPr>
              <w:t>615</w:t>
            </w:r>
          </w:p>
        </w:tc>
        <w:tc>
          <w:tcPr>
            <w:tcW w:w="0" w:type="auto"/>
            <w:noWrap/>
            <w:vAlign w:val="center"/>
            <w:hideMark/>
          </w:tcPr>
          <w:p w14:paraId="6CA6E0B9" w14:textId="6BE8AA3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55</w:t>
            </w:r>
            <w:r w:rsidR="009402A5">
              <w:rPr>
                <w:rFonts w:asciiTheme="minorBidi" w:hAnsiTheme="minorBidi"/>
                <w:color w:val="000000"/>
                <w:sz w:val="18"/>
                <w:szCs w:val="18"/>
              </w:rPr>
              <w:t xml:space="preserve"> </w:t>
            </w:r>
            <w:r w:rsidRPr="00DF2C2E">
              <w:rPr>
                <w:rFonts w:asciiTheme="minorBidi" w:hAnsiTheme="minorBidi"/>
                <w:color w:val="000000"/>
                <w:sz w:val="18"/>
                <w:szCs w:val="18"/>
              </w:rPr>
              <w:t>641</w:t>
            </w:r>
          </w:p>
        </w:tc>
        <w:tc>
          <w:tcPr>
            <w:tcW w:w="0" w:type="auto"/>
            <w:noWrap/>
            <w:vAlign w:val="center"/>
            <w:hideMark/>
          </w:tcPr>
          <w:p w14:paraId="5907FB70" w14:textId="0DD8F020"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44</w:t>
            </w:r>
            <w:r w:rsidR="009402A5">
              <w:rPr>
                <w:rFonts w:asciiTheme="minorBidi" w:hAnsiTheme="minorBidi"/>
                <w:color w:val="000000"/>
                <w:sz w:val="18"/>
                <w:szCs w:val="18"/>
              </w:rPr>
              <w:t xml:space="preserve"> </w:t>
            </w:r>
            <w:r w:rsidRPr="00DF2C2E">
              <w:rPr>
                <w:rFonts w:asciiTheme="minorBidi" w:hAnsiTheme="minorBidi"/>
                <w:color w:val="000000"/>
                <w:sz w:val="18"/>
                <w:szCs w:val="18"/>
              </w:rPr>
              <w:t>407</w:t>
            </w:r>
          </w:p>
        </w:tc>
        <w:tc>
          <w:tcPr>
            <w:tcW w:w="0" w:type="auto"/>
            <w:noWrap/>
            <w:vAlign w:val="center"/>
            <w:hideMark/>
          </w:tcPr>
          <w:p w14:paraId="2245D6A0"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6C4770EB" w14:textId="77777777" w:rsidR="00714E6E"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-9%</w:t>
            </w:r>
          </w:p>
        </w:tc>
      </w:tr>
      <w:tr w:rsidR="00B54A22" w:rsidRPr="00DF2C2E" w14:paraId="3212164C" w14:textId="77777777" w:rsidTr="00B54A22">
        <w:trPr>
          <w:trHeight w:val="300"/>
        </w:trPr>
        <w:tc>
          <w:tcPr>
            <w:tcW w:w="0" w:type="auto"/>
            <w:noWrap/>
            <w:vAlign w:val="center"/>
            <w:hideMark/>
          </w:tcPr>
          <w:p w14:paraId="73C61919"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Jõgeva</w:t>
            </w:r>
          </w:p>
        </w:tc>
        <w:tc>
          <w:tcPr>
            <w:tcW w:w="0" w:type="auto"/>
            <w:noWrap/>
            <w:vAlign w:val="center"/>
            <w:hideMark/>
          </w:tcPr>
          <w:p w14:paraId="11BDC3E1" w14:textId="232BDA36"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646</w:t>
            </w:r>
          </w:p>
        </w:tc>
        <w:tc>
          <w:tcPr>
            <w:tcW w:w="0" w:type="auto"/>
            <w:noWrap/>
            <w:vAlign w:val="center"/>
            <w:hideMark/>
          </w:tcPr>
          <w:p w14:paraId="38104284" w14:textId="2F95800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326</w:t>
            </w:r>
          </w:p>
        </w:tc>
        <w:tc>
          <w:tcPr>
            <w:tcW w:w="0" w:type="auto"/>
            <w:noWrap/>
            <w:vAlign w:val="center"/>
            <w:hideMark/>
          </w:tcPr>
          <w:p w14:paraId="62D48922" w14:textId="59E34D91"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772</w:t>
            </w:r>
          </w:p>
        </w:tc>
        <w:tc>
          <w:tcPr>
            <w:tcW w:w="0" w:type="auto"/>
            <w:noWrap/>
            <w:vAlign w:val="center"/>
            <w:hideMark/>
          </w:tcPr>
          <w:p w14:paraId="0E9DCCA0" w14:textId="700FA614"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w:t>
            </w:r>
            <w:r w:rsidR="009402A5">
              <w:rPr>
                <w:rFonts w:asciiTheme="minorBidi" w:hAnsiTheme="minorBidi"/>
                <w:color w:val="000000"/>
                <w:sz w:val="18"/>
                <w:szCs w:val="18"/>
              </w:rPr>
              <w:t xml:space="preserve"> </w:t>
            </w:r>
            <w:r w:rsidRPr="00DF2C2E">
              <w:rPr>
                <w:rFonts w:asciiTheme="minorBidi" w:hAnsiTheme="minorBidi"/>
                <w:color w:val="000000"/>
                <w:sz w:val="18"/>
                <w:szCs w:val="18"/>
              </w:rPr>
              <w:t>056</w:t>
            </w:r>
          </w:p>
        </w:tc>
        <w:tc>
          <w:tcPr>
            <w:tcW w:w="0" w:type="auto"/>
            <w:noWrap/>
            <w:vAlign w:val="center"/>
            <w:hideMark/>
          </w:tcPr>
          <w:p w14:paraId="56BFBF7C" w14:textId="3124913C"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w:t>
            </w:r>
            <w:r w:rsidR="009402A5">
              <w:rPr>
                <w:rFonts w:asciiTheme="minorBidi" w:hAnsiTheme="minorBidi"/>
                <w:color w:val="000000"/>
                <w:sz w:val="18"/>
                <w:szCs w:val="18"/>
              </w:rPr>
              <w:t xml:space="preserve"> </w:t>
            </w:r>
            <w:r w:rsidRPr="00DF2C2E">
              <w:rPr>
                <w:rFonts w:asciiTheme="minorBidi" w:hAnsiTheme="minorBidi"/>
                <w:color w:val="000000"/>
                <w:sz w:val="18"/>
                <w:szCs w:val="18"/>
              </w:rPr>
              <w:t>010</w:t>
            </w:r>
          </w:p>
        </w:tc>
        <w:tc>
          <w:tcPr>
            <w:tcW w:w="320" w:type="dxa"/>
            <w:noWrap/>
            <w:vAlign w:val="center"/>
            <w:hideMark/>
          </w:tcPr>
          <w:p w14:paraId="1521DC14"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4F04B18C"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22%</w:t>
            </w:r>
          </w:p>
        </w:tc>
        <w:tc>
          <w:tcPr>
            <w:tcW w:w="0" w:type="auto"/>
            <w:noWrap/>
            <w:vAlign w:val="center"/>
            <w:hideMark/>
          </w:tcPr>
          <w:p w14:paraId="0E73489D" w14:textId="7179AD2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w:t>
            </w:r>
            <w:r w:rsidR="009402A5">
              <w:rPr>
                <w:rFonts w:asciiTheme="minorBidi" w:hAnsiTheme="minorBidi"/>
                <w:color w:val="000000"/>
                <w:sz w:val="18"/>
                <w:szCs w:val="18"/>
              </w:rPr>
              <w:t xml:space="preserve"> </w:t>
            </w:r>
            <w:r w:rsidRPr="00DF2C2E">
              <w:rPr>
                <w:rFonts w:asciiTheme="minorBidi" w:hAnsiTheme="minorBidi"/>
                <w:color w:val="000000"/>
                <w:sz w:val="18"/>
                <w:szCs w:val="18"/>
              </w:rPr>
              <w:t>076</w:t>
            </w:r>
          </w:p>
        </w:tc>
        <w:tc>
          <w:tcPr>
            <w:tcW w:w="0" w:type="auto"/>
            <w:noWrap/>
            <w:vAlign w:val="center"/>
            <w:hideMark/>
          </w:tcPr>
          <w:p w14:paraId="77B56834" w14:textId="251891C6"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w:t>
            </w:r>
            <w:r w:rsidR="009402A5">
              <w:rPr>
                <w:rFonts w:asciiTheme="minorBidi" w:hAnsiTheme="minorBidi"/>
                <w:color w:val="000000"/>
                <w:sz w:val="18"/>
                <w:szCs w:val="18"/>
              </w:rPr>
              <w:t xml:space="preserve"> </w:t>
            </w:r>
            <w:r w:rsidRPr="00DF2C2E">
              <w:rPr>
                <w:rFonts w:asciiTheme="minorBidi" w:hAnsiTheme="minorBidi"/>
                <w:color w:val="000000"/>
                <w:sz w:val="18"/>
                <w:szCs w:val="18"/>
              </w:rPr>
              <w:t>708</w:t>
            </w:r>
          </w:p>
        </w:tc>
        <w:tc>
          <w:tcPr>
            <w:tcW w:w="0" w:type="auto"/>
            <w:noWrap/>
            <w:vAlign w:val="center"/>
            <w:hideMark/>
          </w:tcPr>
          <w:p w14:paraId="056B9A71" w14:textId="399239AE"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w:t>
            </w:r>
            <w:r w:rsidR="009402A5">
              <w:rPr>
                <w:rFonts w:asciiTheme="minorBidi" w:hAnsiTheme="minorBidi"/>
                <w:color w:val="000000"/>
                <w:sz w:val="18"/>
                <w:szCs w:val="18"/>
              </w:rPr>
              <w:t xml:space="preserve"> </w:t>
            </w:r>
            <w:r w:rsidRPr="00DF2C2E">
              <w:rPr>
                <w:rFonts w:asciiTheme="minorBidi" w:hAnsiTheme="minorBidi"/>
                <w:color w:val="000000"/>
                <w:sz w:val="18"/>
                <w:szCs w:val="18"/>
              </w:rPr>
              <w:t>624</w:t>
            </w:r>
          </w:p>
        </w:tc>
        <w:tc>
          <w:tcPr>
            <w:tcW w:w="0" w:type="auto"/>
            <w:noWrap/>
            <w:vAlign w:val="center"/>
            <w:hideMark/>
          </w:tcPr>
          <w:p w14:paraId="0C1084CC" w14:textId="6FF0EB1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w:t>
            </w:r>
            <w:r w:rsidR="009402A5">
              <w:rPr>
                <w:rFonts w:asciiTheme="minorBidi" w:hAnsiTheme="minorBidi"/>
                <w:color w:val="000000"/>
                <w:sz w:val="18"/>
                <w:szCs w:val="18"/>
              </w:rPr>
              <w:t xml:space="preserve"> </w:t>
            </w:r>
            <w:r w:rsidRPr="00DF2C2E">
              <w:rPr>
                <w:rFonts w:asciiTheme="minorBidi" w:hAnsiTheme="minorBidi"/>
                <w:color w:val="000000"/>
                <w:sz w:val="18"/>
                <w:szCs w:val="18"/>
              </w:rPr>
              <w:t>972</w:t>
            </w:r>
          </w:p>
        </w:tc>
        <w:tc>
          <w:tcPr>
            <w:tcW w:w="0" w:type="auto"/>
            <w:noWrap/>
            <w:vAlign w:val="center"/>
            <w:hideMark/>
          </w:tcPr>
          <w:p w14:paraId="70C32BDF" w14:textId="25933C38"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w:t>
            </w:r>
            <w:r w:rsidR="009402A5">
              <w:rPr>
                <w:rFonts w:asciiTheme="minorBidi" w:hAnsiTheme="minorBidi"/>
                <w:color w:val="000000"/>
                <w:sz w:val="18"/>
                <w:szCs w:val="18"/>
              </w:rPr>
              <w:t xml:space="preserve"> </w:t>
            </w:r>
            <w:r w:rsidRPr="00DF2C2E">
              <w:rPr>
                <w:rFonts w:asciiTheme="minorBidi" w:hAnsiTheme="minorBidi"/>
                <w:color w:val="000000"/>
                <w:sz w:val="18"/>
                <w:szCs w:val="18"/>
              </w:rPr>
              <w:t>102</w:t>
            </w:r>
          </w:p>
        </w:tc>
        <w:tc>
          <w:tcPr>
            <w:tcW w:w="0" w:type="auto"/>
            <w:noWrap/>
            <w:vAlign w:val="center"/>
            <w:hideMark/>
          </w:tcPr>
          <w:p w14:paraId="0A76F8D6"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1134CFBC"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33%</w:t>
            </w:r>
          </w:p>
        </w:tc>
      </w:tr>
      <w:tr w:rsidR="00B54A22" w:rsidRPr="00DF2C2E" w14:paraId="32D48048" w14:textId="77777777" w:rsidTr="00B54A22">
        <w:trPr>
          <w:trHeight w:val="300"/>
        </w:trPr>
        <w:tc>
          <w:tcPr>
            <w:tcW w:w="0" w:type="auto"/>
            <w:noWrap/>
            <w:vAlign w:val="center"/>
            <w:hideMark/>
          </w:tcPr>
          <w:p w14:paraId="7AEE2185"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Järva</w:t>
            </w:r>
          </w:p>
        </w:tc>
        <w:tc>
          <w:tcPr>
            <w:tcW w:w="0" w:type="auto"/>
            <w:noWrap/>
            <w:vAlign w:val="center"/>
            <w:hideMark/>
          </w:tcPr>
          <w:p w14:paraId="1C88E933" w14:textId="7777777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611</w:t>
            </w:r>
          </w:p>
        </w:tc>
        <w:tc>
          <w:tcPr>
            <w:tcW w:w="0" w:type="auto"/>
            <w:noWrap/>
            <w:vAlign w:val="center"/>
            <w:hideMark/>
          </w:tcPr>
          <w:p w14:paraId="4B6702FF" w14:textId="7777777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280</w:t>
            </w:r>
          </w:p>
        </w:tc>
        <w:tc>
          <w:tcPr>
            <w:tcW w:w="0" w:type="auto"/>
            <w:noWrap/>
            <w:vAlign w:val="center"/>
            <w:hideMark/>
          </w:tcPr>
          <w:p w14:paraId="49EAD6B0" w14:textId="7777777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914</w:t>
            </w:r>
          </w:p>
        </w:tc>
        <w:tc>
          <w:tcPr>
            <w:tcW w:w="0" w:type="auto"/>
            <w:noWrap/>
            <w:vAlign w:val="center"/>
            <w:hideMark/>
          </w:tcPr>
          <w:p w14:paraId="513B06E9" w14:textId="0CFA4BE2"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518</w:t>
            </w:r>
          </w:p>
        </w:tc>
        <w:tc>
          <w:tcPr>
            <w:tcW w:w="0" w:type="auto"/>
            <w:noWrap/>
            <w:vAlign w:val="center"/>
            <w:hideMark/>
          </w:tcPr>
          <w:p w14:paraId="608504D7" w14:textId="5637CFC0"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573</w:t>
            </w:r>
          </w:p>
        </w:tc>
        <w:tc>
          <w:tcPr>
            <w:tcW w:w="320" w:type="dxa"/>
            <w:noWrap/>
            <w:vAlign w:val="center"/>
            <w:hideMark/>
          </w:tcPr>
          <w:p w14:paraId="6A179108"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2523D373"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158%</w:t>
            </w:r>
          </w:p>
        </w:tc>
        <w:tc>
          <w:tcPr>
            <w:tcW w:w="0" w:type="auto"/>
            <w:noWrap/>
            <w:vAlign w:val="center"/>
            <w:hideMark/>
          </w:tcPr>
          <w:p w14:paraId="6FDC4755" w14:textId="015D900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154</w:t>
            </w:r>
          </w:p>
        </w:tc>
        <w:tc>
          <w:tcPr>
            <w:tcW w:w="0" w:type="auto"/>
            <w:noWrap/>
            <w:vAlign w:val="center"/>
            <w:hideMark/>
          </w:tcPr>
          <w:p w14:paraId="70A989E0" w14:textId="7777777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559</w:t>
            </w:r>
          </w:p>
        </w:tc>
        <w:tc>
          <w:tcPr>
            <w:tcW w:w="0" w:type="auto"/>
            <w:noWrap/>
            <w:vAlign w:val="center"/>
            <w:hideMark/>
          </w:tcPr>
          <w:p w14:paraId="331B5C46" w14:textId="2685164E"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480</w:t>
            </w:r>
          </w:p>
        </w:tc>
        <w:tc>
          <w:tcPr>
            <w:tcW w:w="0" w:type="auto"/>
            <w:noWrap/>
            <w:vAlign w:val="center"/>
            <w:hideMark/>
          </w:tcPr>
          <w:p w14:paraId="3BAFB3AF" w14:textId="7D8162B2"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w:t>
            </w:r>
            <w:r w:rsidR="009402A5">
              <w:rPr>
                <w:rFonts w:asciiTheme="minorBidi" w:hAnsiTheme="minorBidi"/>
                <w:color w:val="000000"/>
                <w:sz w:val="18"/>
                <w:szCs w:val="18"/>
              </w:rPr>
              <w:t xml:space="preserve"> </w:t>
            </w:r>
            <w:r w:rsidRPr="00DF2C2E">
              <w:rPr>
                <w:rFonts w:asciiTheme="minorBidi" w:hAnsiTheme="minorBidi"/>
                <w:color w:val="000000"/>
                <w:sz w:val="18"/>
                <w:szCs w:val="18"/>
              </w:rPr>
              <w:t>563</w:t>
            </w:r>
          </w:p>
        </w:tc>
        <w:tc>
          <w:tcPr>
            <w:tcW w:w="0" w:type="auto"/>
            <w:noWrap/>
            <w:vAlign w:val="center"/>
            <w:hideMark/>
          </w:tcPr>
          <w:p w14:paraId="5E8D1AA3" w14:textId="06D3A9A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w:t>
            </w:r>
            <w:r w:rsidR="009402A5">
              <w:rPr>
                <w:rFonts w:asciiTheme="minorBidi" w:hAnsiTheme="minorBidi"/>
                <w:color w:val="000000"/>
                <w:sz w:val="18"/>
                <w:szCs w:val="18"/>
              </w:rPr>
              <w:t xml:space="preserve"> </w:t>
            </w:r>
            <w:r w:rsidRPr="00DF2C2E">
              <w:rPr>
                <w:rFonts w:asciiTheme="minorBidi" w:hAnsiTheme="minorBidi"/>
                <w:color w:val="000000"/>
                <w:sz w:val="18"/>
                <w:szCs w:val="18"/>
              </w:rPr>
              <w:t>040</w:t>
            </w:r>
          </w:p>
        </w:tc>
        <w:tc>
          <w:tcPr>
            <w:tcW w:w="0" w:type="auto"/>
            <w:noWrap/>
            <w:vAlign w:val="center"/>
            <w:hideMark/>
          </w:tcPr>
          <w:p w14:paraId="6643C5CA"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5107C9C6"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250%</w:t>
            </w:r>
          </w:p>
        </w:tc>
      </w:tr>
      <w:tr w:rsidR="00B54A22" w:rsidRPr="00DF2C2E" w14:paraId="688E7983" w14:textId="77777777" w:rsidTr="00B54A22">
        <w:trPr>
          <w:trHeight w:val="300"/>
        </w:trPr>
        <w:tc>
          <w:tcPr>
            <w:tcW w:w="0" w:type="auto"/>
            <w:noWrap/>
            <w:vAlign w:val="center"/>
            <w:hideMark/>
          </w:tcPr>
          <w:p w14:paraId="1D4A0B59"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Lääne</w:t>
            </w:r>
          </w:p>
        </w:tc>
        <w:tc>
          <w:tcPr>
            <w:tcW w:w="0" w:type="auto"/>
            <w:noWrap/>
            <w:vAlign w:val="center"/>
            <w:hideMark/>
          </w:tcPr>
          <w:p w14:paraId="3CA209DB" w14:textId="3D763D6E"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18</w:t>
            </w:r>
            <w:r w:rsidR="009402A5">
              <w:rPr>
                <w:rFonts w:asciiTheme="minorBidi" w:hAnsiTheme="minorBidi"/>
                <w:color w:val="000000"/>
                <w:sz w:val="18"/>
                <w:szCs w:val="18"/>
              </w:rPr>
              <w:t xml:space="preserve"> </w:t>
            </w:r>
            <w:r w:rsidRPr="00DF2C2E">
              <w:rPr>
                <w:rFonts w:asciiTheme="minorBidi" w:hAnsiTheme="minorBidi"/>
                <w:color w:val="000000"/>
                <w:sz w:val="18"/>
                <w:szCs w:val="18"/>
              </w:rPr>
              <w:t>703</w:t>
            </w:r>
          </w:p>
        </w:tc>
        <w:tc>
          <w:tcPr>
            <w:tcW w:w="0" w:type="auto"/>
            <w:noWrap/>
            <w:vAlign w:val="center"/>
            <w:hideMark/>
          </w:tcPr>
          <w:p w14:paraId="2F60FD10" w14:textId="5FC6364E"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17</w:t>
            </w:r>
            <w:r w:rsidR="009402A5">
              <w:rPr>
                <w:rFonts w:asciiTheme="minorBidi" w:hAnsiTheme="minorBidi"/>
                <w:color w:val="000000"/>
                <w:sz w:val="18"/>
                <w:szCs w:val="18"/>
              </w:rPr>
              <w:t xml:space="preserve"> </w:t>
            </w:r>
            <w:r w:rsidRPr="00DF2C2E">
              <w:rPr>
                <w:rFonts w:asciiTheme="minorBidi" w:hAnsiTheme="minorBidi"/>
                <w:color w:val="000000"/>
                <w:sz w:val="18"/>
                <w:szCs w:val="18"/>
              </w:rPr>
              <w:t>534</w:t>
            </w:r>
          </w:p>
        </w:tc>
        <w:tc>
          <w:tcPr>
            <w:tcW w:w="0" w:type="auto"/>
            <w:noWrap/>
            <w:vAlign w:val="center"/>
            <w:hideMark/>
          </w:tcPr>
          <w:p w14:paraId="36D914DF" w14:textId="6C1FFF30"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22</w:t>
            </w:r>
            <w:r w:rsidR="009402A5">
              <w:rPr>
                <w:rFonts w:asciiTheme="minorBidi" w:hAnsiTheme="minorBidi"/>
                <w:color w:val="000000"/>
                <w:sz w:val="18"/>
                <w:szCs w:val="18"/>
              </w:rPr>
              <w:t xml:space="preserve"> </w:t>
            </w:r>
            <w:r w:rsidRPr="00DF2C2E">
              <w:rPr>
                <w:rFonts w:asciiTheme="minorBidi" w:hAnsiTheme="minorBidi"/>
                <w:color w:val="000000"/>
                <w:sz w:val="18"/>
                <w:szCs w:val="18"/>
              </w:rPr>
              <w:t>129</w:t>
            </w:r>
          </w:p>
        </w:tc>
        <w:tc>
          <w:tcPr>
            <w:tcW w:w="0" w:type="auto"/>
            <w:noWrap/>
            <w:vAlign w:val="center"/>
            <w:hideMark/>
          </w:tcPr>
          <w:p w14:paraId="4102827B" w14:textId="327A537C"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23</w:t>
            </w:r>
            <w:r w:rsidR="009402A5">
              <w:rPr>
                <w:rFonts w:asciiTheme="minorBidi" w:hAnsiTheme="minorBidi"/>
                <w:color w:val="000000"/>
                <w:sz w:val="18"/>
                <w:szCs w:val="18"/>
              </w:rPr>
              <w:t xml:space="preserve"> </w:t>
            </w:r>
            <w:r w:rsidRPr="00DF2C2E">
              <w:rPr>
                <w:rFonts w:asciiTheme="minorBidi" w:hAnsiTheme="minorBidi"/>
                <w:color w:val="000000"/>
                <w:sz w:val="18"/>
                <w:szCs w:val="18"/>
              </w:rPr>
              <w:t>375</w:t>
            </w:r>
          </w:p>
        </w:tc>
        <w:tc>
          <w:tcPr>
            <w:tcW w:w="0" w:type="auto"/>
            <w:noWrap/>
            <w:vAlign w:val="center"/>
            <w:hideMark/>
          </w:tcPr>
          <w:p w14:paraId="18548FDD" w14:textId="7F56CA9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25</w:t>
            </w:r>
            <w:r w:rsidR="009402A5">
              <w:rPr>
                <w:rFonts w:asciiTheme="minorBidi" w:hAnsiTheme="minorBidi"/>
                <w:color w:val="000000"/>
                <w:sz w:val="18"/>
                <w:szCs w:val="18"/>
              </w:rPr>
              <w:t xml:space="preserve"> </w:t>
            </w:r>
            <w:r w:rsidRPr="00DF2C2E">
              <w:rPr>
                <w:rFonts w:asciiTheme="minorBidi" w:hAnsiTheme="minorBidi"/>
                <w:color w:val="000000"/>
                <w:sz w:val="18"/>
                <w:szCs w:val="18"/>
              </w:rPr>
              <w:t>326</w:t>
            </w:r>
          </w:p>
        </w:tc>
        <w:tc>
          <w:tcPr>
            <w:tcW w:w="320" w:type="dxa"/>
            <w:noWrap/>
            <w:vAlign w:val="center"/>
            <w:hideMark/>
          </w:tcPr>
          <w:p w14:paraId="7F1FC954"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017B96A1"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35%</w:t>
            </w:r>
          </w:p>
        </w:tc>
        <w:tc>
          <w:tcPr>
            <w:tcW w:w="0" w:type="auto"/>
            <w:noWrap/>
            <w:vAlign w:val="center"/>
            <w:hideMark/>
          </w:tcPr>
          <w:p w14:paraId="3D6F67A6" w14:textId="02B1E4D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33</w:t>
            </w:r>
            <w:r w:rsidR="009402A5">
              <w:rPr>
                <w:rFonts w:asciiTheme="minorBidi" w:hAnsiTheme="minorBidi"/>
                <w:color w:val="000000"/>
                <w:sz w:val="18"/>
                <w:szCs w:val="18"/>
              </w:rPr>
              <w:t xml:space="preserve"> </w:t>
            </w:r>
            <w:r w:rsidRPr="00DF2C2E">
              <w:rPr>
                <w:rFonts w:asciiTheme="minorBidi" w:hAnsiTheme="minorBidi"/>
                <w:color w:val="000000"/>
                <w:sz w:val="18"/>
                <w:szCs w:val="18"/>
              </w:rPr>
              <w:t>801</w:t>
            </w:r>
          </w:p>
        </w:tc>
        <w:tc>
          <w:tcPr>
            <w:tcW w:w="0" w:type="auto"/>
            <w:noWrap/>
            <w:vAlign w:val="center"/>
            <w:hideMark/>
          </w:tcPr>
          <w:p w14:paraId="75E82DD5" w14:textId="4BDC99D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29</w:t>
            </w:r>
            <w:r w:rsidR="009402A5">
              <w:rPr>
                <w:rFonts w:asciiTheme="minorBidi" w:hAnsiTheme="minorBidi"/>
                <w:color w:val="000000"/>
                <w:sz w:val="18"/>
                <w:szCs w:val="18"/>
              </w:rPr>
              <w:t xml:space="preserve"> </w:t>
            </w:r>
            <w:r w:rsidRPr="00DF2C2E">
              <w:rPr>
                <w:rFonts w:asciiTheme="minorBidi" w:hAnsiTheme="minorBidi"/>
                <w:color w:val="000000"/>
                <w:sz w:val="18"/>
                <w:szCs w:val="18"/>
              </w:rPr>
              <w:t>529</w:t>
            </w:r>
          </w:p>
        </w:tc>
        <w:tc>
          <w:tcPr>
            <w:tcW w:w="0" w:type="auto"/>
            <w:noWrap/>
            <w:vAlign w:val="center"/>
            <w:hideMark/>
          </w:tcPr>
          <w:p w14:paraId="67333F1C" w14:textId="64D7329A"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36</w:t>
            </w:r>
            <w:r w:rsidR="009402A5">
              <w:rPr>
                <w:rFonts w:asciiTheme="minorBidi" w:hAnsiTheme="minorBidi"/>
                <w:color w:val="000000"/>
                <w:sz w:val="18"/>
                <w:szCs w:val="18"/>
              </w:rPr>
              <w:t xml:space="preserve"> </w:t>
            </w:r>
            <w:r w:rsidRPr="00DF2C2E">
              <w:rPr>
                <w:rFonts w:asciiTheme="minorBidi" w:hAnsiTheme="minorBidi"/>
                <w:color w:val="000000"/>
                <w:sz w:val="18"/>
                <w:szCs w:val="18"/>
              </w:rPr>
              <w:t>247</w:t>
            </w:r>
          </w:p>
        </w:tc>
        <w:tc>
          <w:tcPr>
            <w:tcW w:w="0" w:type="auto"/>
            <w:noWrap/>
            <w:vAlign w:val="center"/>
            <w:hideMark/>
          </w:tcPr>
          <w:p w14:paraId="34090364" w14:textId="293A7531"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40</w:t>
            </w:r>
            <w:r w:rsidR="009402A5">
              <w:rPr>
                <w:rFonts w:asciiTheme="minorBidi" w:hAnsiTheme="minorBidi"/>
                <w:color w:val="000000"/>
                <w:sz w:val="18"/>
                <w:szCs w:val="18"/>
              </w:rPr>
              <w:t xml:space="preserve"> </w:t>
            </w:r>
            <w:r w:rsidRPr="00DF2C2E">
              <w:rPr>
                <w:rFonts w:asciiTheme="minorBidi" w:hAnsiTheme="minorBidi"/>
                <w:color w:val="000000"/>
                <w:sz w:val="18"/>
                <w:szCs w:val="18"/>
              </w:rPr>
              <w:t>692</w:t>
            </w:r>
          </w:p>
        </w:tc>
        <w:tc>
          <w:tcPr>
            <w:tcW w:w="0" w:type="auto"/>
            <w:noWrap/>
            <w:vAlign w:val="center"/>
            <w:hideMark/>
          </w:tcPr>
          <w:p w14:paraId="58D3F495" w14:textId="3EFD3DC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44</w:t>
            </w:r>
            <w:r w:rsidR="009402A5">
              <w:rPr>
                <w:rFonts w:asciiTheme="minorBidi" w:hAnsiTheme="minorBidi"/>
                <w:color w:val="000000"/>
                <w:sz w:val="18"/>
                <w:szCs w:val="18"/>
              </w:rPr>
              <w:t xml:space="preserve"> </w:t>
            </w:r>
            <w:r w:rsidRPr="00DF2C2E">
              <w:rPr>
                <w:rFonts w:asciiTheme="minorBidi" w:hAnsiTheme="minorBidi"/>
                <w:color w:val="000000"/>
                <w:sz w:val="18"/>
                <w:szCs w:val="18"/>
              </w:rPr>
              <w:t>611</w:t>
            </w:r>
          </w:p>
        </w:tc>
        <w:tc>
          <w:tcPr>
            <w:tcW w:w="0" w:type="auto"/>
            <w:noWrap/>
            <w:vAlign w:val="center"/>
            <w:hideMark/>
          </w:tcPr>
          <w:p w14:paraId="565AEF7D"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79A275CF"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32%</w:t>
            </w:r>
          </w:p>
        </w:tc>
      </w:tr>
      <w:tr w:rsidR="00B54A22" w:rsidRPr="00DF2C2E" w14:paraId="480E056A" w14:textId="77777777" w:rsidTr="00B54A22">
        <w:trPr>
          <w:trHeight w:val="300"/>
        </w:trPr>
        <w:tc>
          <w:tcPr>
            <w:tcW w:w="0" w:type="auto"/>
            <w:noWrap/>
            <w:vAlign w:val="center"/>
            <w:hideMark/>
          </w:tcPr>
          <w:p w14:paraId="3CD88569"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Lääne-Viru</w:t>
            </w:r>
          </w:p>
        </w:tc>
        <w:tc>
          <w:tcPr>
            <w:tcW w:w="0" w:type="auto"/>
            <w:noWrap/>
            <w:vAlign w:val="center"/>
            <w:hideMark/>
          </w:tcPr>
          <w:p w14:paraId="5982D96C" w14:textId="69020FCE"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9</w:t>
            </w:r>
            <w:r w:rsidR="009402A5">
              <w:rPr>
                <w:rFonts w:asciiTheme="minorBidi" w:hAnsiTheme="minorBidi"/>
                <w:color w:val="000000"/>
                <w:sz w:val="18"/>
                <w:szCs w:val="18"/>
              </w:rPr>
              <w:t xml:space="preserve"> </w:t>
            </w:r>
            <w:r w:rsidRPr="00DF2C2E">
              <w:rPr>
                <w:rFonts w:asciiTheme="minorBidi" w:hAnsiTheme="minorBidi"/>
                <w:color w:val="000000"/>
                <w:sz w:val="18"/>
                <w:szCs w:val="18"/>
              </w:rPr>
              <w:t>251</w:t>
            </w:r>
          </w:p>
        </w:tc>
        <w:tc>
          <w:tcPr>
            <w:tcW w:w="0" w:type="auto"/>
            <w:noWrap/>
            <w:vAlign w:val="center"/>
            <w:hideMark/>
          </w:tcPr>
          <w:p w14:paraId="0BDBDAA1" w14:textId="23F1B084"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8</w:t>
            </w:r>
            <w:r w:rsidR="009402A5">
              <w:rPr>
                <w:rFonts w:asciiTheme="minorBidi" w:hAnsiTheme="minorBidi"/>
                <w:color w:val="000000"/>
                <w:sz w:val="18"/>
                <w:szCs w:val="18"/>
              </w:rPr>
              <w:t xml:space="preserve"> </w:t>
            </w:r>
            <w:r w:rsidRPr="00DF2C2E">
              <w:rPr>
                <w:rFonts w:asciiTheme="minorBidi" w:hAnsiTheme="minorBidi"/>
                <w:color w:val="000000"/>
                <w:sz w:val="18"/>
                <w:szCs w:val="18"/>
              </w:rPr>
              <w:t>737</w:t>
            </w:r>
          </w:p>
        </w:tc>
        <w:tc>
          <w:tcPr>
            <w:tcW w:w="0" w:type="auto"/>
            <w:noWrap/>
            <w:vAlign w:val="center"/>
            <w:hideMark/>
          </w:tcPr>
          <w:p w14:paraId="0C5F1687" w14:textId="435A448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10</w:t>
            </w:r>
            <w:r w:rsidR="009402A5">
              <w:rPr>
                <w:rFonts w:asciiTheme="minorBidi" w:hAnsiTheme="minorBidi"/>
                <w:color w:val="000000"/>
                <w:sz w:val="18"/>
                <w:szCs w:val="18"/>
              </w:rPr>
              <w:t xml:space="preserve"> </w:t>
            </w:r>
            <w:r w:rsidRPr="00DF2C2E">
              <w:rPr>
                <w:rFonts w:asciiTheme="minorBidi" w:hAnsiTheme="minorBidi"/>
                <w:color w:val="000000"/>
                <w:sz w:val="18"/>
                <w:szCs w:val="18"/>
              </w:rPr>
              <w:t>521</w:t>
            </w:r>
          </w:p>
        </w:tc>
        <w:tc>
          <w:tcPr>
            <w:tcW w:w="0" w:type="auto"/>
            <w:noWrap/>
            <w:vAlign w:val="center"/>
            <w:hideMark/>
          </w:tcPr>
          <w:p w14:paraId="36EFE9D2" w14:textId="3671639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11</w:t>
            </w:r>
            <w:r w:rsidR="009402A5">
              <w:rPr>
                <w:rFonts w:asciiTheme="minorBidi" w:hAnsiTheme="minorBidi"/>
                <w:color w:val="000000"/>
                <w:sz w:val="18"/>
                <w:szCs w:val="18"/>
              </w:rPr>
              <w:t xml:space="preserve"> </w:t>
            </w:r>
            <w:r w:rsidRPr="00DF2C2E">
              <w:rPr>
                <w:rFonts w:asciiTheme="minorBidi" w:hAnsiTheme="minorBidi"/>
                <w:color w:val="000000"/>
                <w:sz w:val="18"/>
                <w:szCs w:val="18"/>
              </w:rPr>
              <w:t>974</w:t>
            </w:r>
          </w:p>
        </w:tc>
        <w:tc>
          <w:tcPr>
            <w:tcW w:w="0" w:type="auto"/>
            <w:noWrap/>
            <w:vAlign w:val="center"/>
            <w:hideMark/>
          </w:tcPr>
          <w:p w14:paraId="2CEA00A5" w14:textId="254BF69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14</w:t>
            </w:r>
            <w:r w:rsidR="009402A5">
              <w:rPr>
                <w:rFonts w:asciiTheme="minorBidi" w:hAnsiTheme="minorBidi"/>
                <w:color w:val="000000"/>
                <w:sz w:val="18"/>
                <w:szCs w:val="18"/>
              </w:rPr>
              <w:t xml:space="preserve"> </w:t>
            </w:r>
            <w:r w:rsidRPr="00DF2C2E">
              <w:rPr>
                <w:rFonts w:asciiTheme="minorBidi" w:hAnsiTheme="minorBidi"/>
                <w:color w:val="000000"/>
                <w:sz w:val="18"/>
                <w:szCs w:val="18"/>
              </w:rPr>
              <w:t>153</w:t>
            </w:r>
          </w:p>
        </w:tc>
        <w:tc>
          <w:tcPr>
            <w:tcW w:w="320" w:type="dxa"/>
            <w:noWrap/>
            <w:vAlign w:val="center"/>
            <w:hideMark/>
          </w:tcPr>
          <w:p w14:paraId="28278E3D"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10887AE7"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53%</w:t>
            </w:r>
          </w:p>
        </w:tc>
        <w:tc>
          <w:tcPr>
            <w:tcW w:w="0" w:type="auto"/>
            <w:noWrap/>
            <w:vAlign w:val="center"/>
            <w:hideMark/>
          </w:tcPr>
          <w:p w14:paraId="44302F80" w14:textId="11C4F600"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17</w:t>
            </w:r>
            <w:r w:rsidR="009402A5">
              <w:rPr>
                <w:rFonts w:asciiTheme="minorBidi" w:hAnsiTheme="minorBidi"/>
                <w:color w:val="000000"/>
                <w:sz w:val="18"/>
                <w:szCs w:val="18"/>
              </w:rPr>
              <w:t xml:space="preserve"> </w:t>
            </w:r>
            <w:r w:rsidRPr="00DF2C2E">
              <w:rPr>
                <w:rFonts w:asciiTheme="minorBidi" w:hAnsiTheme="minorBidi"/>
                <w:color w:val="000000"/>
                <w:sz w:val="18"/>
                <w:szCs w:val="18"/>
              </w:rPr>
              <w:t>233</w:t>
            </w:r>
          </w:p>
        </w:tc>
        <w:tc>
          <w:tcPr>
            <w:tcW w:w="0" w:type="auto"/>
            <w:noWrap/>
            <w:vAlign w:val="center"/>
            <w:hideMark/>
          </w:tcPr>
          <w:p w14:paraId="079B2BAD" w14:textId="39A53A94"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15</w:t>
            </w:r>
            <w:r w:rsidR="009402A5">
              <w:rPr>
                <w:rFonts w:asciiTheme="minorBidi" w:hAnsiTheme="minorBidi"/>
                <w:color w:val="000000"/>
                <w:sz w:val="18"/>
                <w:szCs w:val="18"/>
              </w:rPr>
              <w:t xml:space="preserve"> </w:t>
            </w:r>
            <w:r w:rsidRPr="00DF2C2E">
              <w:rPr>
                <w:rFonts w:asciiTheme="minorBidi" w:hAnsiTheme="minorBidi"/>
                <w:color w:val="000000"/>
                <w:sz w:val="18"/>
                <w:szCs w:val="18"/>
              </w:rPr>
              <w:t>081</w:t>
            </w:r>
          </w:p>
        </w:tc>
        <w:tc>
          <w:tcPr>
            <w:tcW w:w="0" w:type="auto"/>
            <w:noWrap/>
            <w:vAlign w:val="center"/>
            <w:hideMark/>
          </w:tcPr>
          <w:p w14:paraId="66E74E15" w14:textId="2C96F67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17</w:t>
            </w:r>
            <w:r w:rsidR="009402A5">
              <w:rPr>
                <w:rFonts w:asciiTheme="minorBidi" w:hAnsiTheme="minorBidi"/>
                <w:color w:val="000000"/>
                <w:sz w:val="18"/>
                <w:szCs w:val="18"/>
              </w:rPr>
              <w:t xml:space="preserve"> </w:t>
            </w:r>
            <w:r w:rsidRPr="00DF2C2E">
              <w:rPr>
                <w:rFonts w:asciiTheme="minorBidi" w:hAnsiTheme="minorBidi"/>
                <w:color w:val="000000"/>
                <w:sz w:val="18"/>
                <w:szCs w:val="18"/>
              </w:rPr>
              <w:t>752</w:t>
            </w:r>
          </w:p>
        </w:tc>
        <w:tc>
          <w:tcPr>
            <w:tcW w:w="0" w:type="auto"/>
            <w:noWrap/>
            <w:vAlign w:val="center"/>
            <w:hideMark/>
          </w:tcPr>
          <w:p w14:paraId="52AB6B59" w14:textId="6B4CD1F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22</w:t>
            </w:r>
            <w:r w:rsidR="009402A5">
              <w:rPr>
                <w:rFonts w:asciiTheme="minorBidi" w:hAnsiTheme="minorBidi"/>
                <w:color w:val="000000"/>
                <w:sz w:val="18"/>
                <w:szCs w:val="18"/>
              </w:rPr>
              <w:t xml:space="preserve"> </w:t>
            </w:r>
            <w:r w:rsidRPr="00DF2C2E">
              <w:rPr>
                <w:rFonts w:asciiTheme="minorBidi" w:hAnsiTheme="minorBidi"/>
                <w:color w:val="000000"/>
                <w:sz w:val="18"/>
                <w:szCs w:val="18"/>
              </w:rPr>
              <w:t>296</w:t>
            </w:r>
          </w:p>
        </w:tc>
        <w:tc>
          <w:tcPr>
            <w:tcW w:w="0" w:type="auto"/>
            <w:noWrap/>
            <w:vAlign w:val="center"/>
            <w:hideMark/>
          </w:tcPr>
          <w:p w14:paraId="15420881" w14:textId="4CAD1B1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25</w:t>
            </w:r>
            <w:r w:rsidR="009402A5">
              <w:rPr>
                <w:rFonts w:asciiTheme="minorBidi" w:hAnsiTheme="minorBidi"/>
                <w:color w:val="000000"/>
                <w:sz w:val="18"/>
                <w:szCs w:val="18"/>
              </w:rPr>
              <w:t xml:space="preserve"> </w:t>
            </w:r>
            <w:r w:rsidRPr="00DF2C2E">
              <w:rPr>
                <w:rFonts w:asciiTheme="minorBidi" w:hAnsiTheme="minorBidi"/>
                <w:color w:val="000000"/>
                <w:sz w:val="18"/>
                <w:szCs w:val="18"/>
              </w:rPr>
              <w:t>307</w:t>
            </w:r>
          </w:p>
        </w:tc>
        <w:tc>
          <w:tcPr>
            <w:tcW w:w="0" w:type="auto"/>
            <w:noWrap/>
            <w:vAlign w:val="center"/>
            <w:hideMark/>
          </w:tcPr>
          <w:p w14:paraId="214D082B"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233F2227"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47%</w:t>
            </w:r>
          </w:p>
        </w:tc>
      </w:tr>
      <w:tr w:rsidR="00B54A22" w:rsidRPr="00DF2C2E" w14:paraId="1131DB2E" w14:textId="77777777" w:rsidTr="00B54A22">
        <w:trPr>
          <w:trHeight w:val="300"/>
        </w:trPr>
        <w:tc>
          <w:tcPr>
            <w:tcW w:w="0" w:type="auto"/>
            <w:noWrap/>
            <w:vAlign w:val="center"/>
            <w:hideMark/>
          </w:tcPr>
          <w:p w14:paraId="5CF285C7"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Põlva</w:t>
            </w:r>
          </w:p>
        </w:tc>
        <w:tc>
          <w:tcPr>
            <w:tcW w:w="0" w:type="auto"/>
            <w:noWrap/>
            <w:vAlign w:val="center"/>
            <w:hideMark/>
          </w:tcPr>
          <w:p w14:paraId="5F030E10" w14:textId="19A144A6"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826</w:t>
            </w:r>
          </w:p>
        </w:tc>
        <w:tc>
          <w:tcPr>
            <w:tcW w:w="0" w:type="auto"/>
            <w:noWrap/>
            <w:vAlign w:val="center"/>
            <w:hideMark/>
          </w:tcPr>
          <w:p w14:paraId="133F75CC" w14:textId="79DF6E0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w:t>
            </w:r>
            <w:r w:rsidR="009402A5">
              <w:rPr>
                <w:rFonts w:asciiTheme="minorBidi" w:hAnsiTheme="minorBidi"/>
                <w:color w:val="000000"/>
                <w:sz w:val="18"/>
                <w:szCs w:val="18"/>
              </w:rPr>
              <w:t xml:space="preserve"> </w:t>
            </w:r>
            <w:r w:rsidRPr="00DF2C2E">
              <w:rPr>
                <w:rFonts w:asciiTheme="minorBidi" w:hAnsiTheme="minorBidi"/>
                <w:color w:val="000000"/>
                <w:sz w:val="18"/>
                <w:szCs w:val="18"/>
              </w:rPr>
              <w:t>044</w:t>
            </w:r>
          </w:p>
        </w:tc>
        <w:tc>
          <w:tcPr>
            <w:tcW w:w="0" w:type="auto"/>
            <w:noWrap/>
            <w:vAlign w:val="center"/>
            <w:hideMark/>
          </w:tcPr>
          <w:p w14:paraId="0496E1DD" w14:textId="20D92039"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w:t>
            </w:r>
            <w:r w:rsidR="009402A5">
              <w:rPr>
                <w:rFonts w:asciiTheme="minorBidi" w:hAnsiTheme="minorBidi"/>
                <w:color w:val="000000"/>
                <w:sz w:val="18"/>
                <w:szCs w:val="18"/>
              </w:rPr>
              <w:t xml:space="preserve"> </w:t>
            </w:r>
            <w:r w:rsidRPr="00DF2C2E">
              <w:rPr>
                <w:rFonts w:asciiTheme="minorBidi" w:hAnsiTheme="minorBidi"/>
                <w:color w:val="000000"/>
                <w:sz w:val="18"/>
                <w:szCs w:val="18"/>
              </w:rPr>
              <w:t>359</w:t>
            </w:r>
          </w:p>
        </w:tc>
        <w:tc>
          <w:tcPr>
            <w:tcW w:w="0" w:type="auto"/>
            <w:noWrap/>
            <w:vAlign w:val="center"/>
            <w:hideMark/>
          </w:tcPr>
          <w:p w14:paraId="2B638B17" w14:textId="1552269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w:t>
            </w:r>
            <w:r w:rsidR="009402A5">
              <w:rPr>
                <w:rFonts w:asciiTheme="minorBidi" w:hAnsiTheme="minorBidi"/>
                <w:color w:val="000000"/>
                <w:sz w:val="18"/>
                <w:szCs w:val="18"/>
              </w:rPr>
              <w:t xml:space="preserve"> </w:t>
            </w:r>
            <w:r w:rsidRPr="00DF2C2E">
              <w:rPr>
                <w:rFonts w:asciiTheme="minorBidi" w:hAnsiTheme="minorBidi"/>
                <w:color w:val="000000"/>
                <w:sz w:val="18"/>
                <w:szCs w:val="18"/>
              </w:rPr>
              <w:t>804</w:t>
            </w:r>
          </w:p>
        </w:tc>
        <w:tc>
          <w:tcPr>
            <w:tcW w:w="0" w:type="auto"/>
            <w:noWrap/>
            <w:vAlign w:val="center"/>
            <w:hideMark/>
          </w:tcPr>
          <w:p w14:paraId="24DBC6DA" w14:textId="15A9F8C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5</w:t>
            </w:r>
            <w:r w:rsidR="009402A5">
              <w:rPr>
                <w:rFonts w:asciiTheme="minorBidi" w:hAnsiTheme="minorBidi"/>
                <w:color w:val="000000"/>
                <w:sz w:val="18"/>
                <w:szCs w:val="18"/>
              </w:rPr>
              <w:t xml:space="preserve"> </w:t>
            </w:r>
            <w:r w:rsidRPr="00DF2C2E">
              <w:rPr>
                <w:rFonts w:asciiTheme="minorBidi" w:hAnsiTheme="minorBidi"/>
                <w:color w:val="000000"/>
                <w:sz w:val="18"/>
                <w:szCs w:val="18"/>
              </w:rPr>
              <w:t>292</w:t>
            </w:r>
          </w:p>
        </w:tc>
        <w:tc>
          <w:tcPr>
            <w:tcW w:w="320" w:type="dxa"/>
            <w:noWrap/>
            <w:vAlign w:val="center"/>
            <w:hideMark/>
          </w:tcPr>
          <w:p w14:paraId="1E685657"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23C5037A"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190%</w:t>
            </w:r>
          </w:p>
        </w:tc>
        <w:tc>
          <w:tcPr>
            <w:tcW w:w="0" w:type="auto"/>
            <w:noWrap/>
            <w:vAlign w:val="center"/>
            <w:hideMark/>
          </w:tcPr>
          <w:p w14:paraId="5555851E" w14:textId="7D96B202"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w:t>
            </w:r>
            <w:r w:rsidR="009402A5">
              <w:rPr>
                <w:rFonts w:asciiTheme="minorBidi" w:hAnsiTheme="minorBidi"/>
                <w:color w:val="000000"/>
                <w:sz w:val="18"/>
                <w:szCs w:val="18"/>
              </w:rPr>
              <w:t xml:space="preserve"> </w:t>
            </w:r>
            <w:r w:rsidRPr="00DF2C2E">
              <w:rPr>
                <w:rFonts w:asciiTheme="minorBidi" w:hAnsiTheme="minorBidi"/>
                <w:color w:val="000000"/>
                <w:sz w:val="18"/>
                <w:szCs w:val="18"/>
              </w:rPr>
              <w:t>881</w:t>
            </w:r>
          </w:p>
        </w:tc>
        <w:tc>
          <w:tcPr>
            <w:tcW w:w="0" w:type="auto"/>
            <w:noWrap/>
            <w:vAlign w:val="center"/>
            <w:hideMark/>
          </w:tcPr>
          <w:p w14:paraId="4CE0A1B8" w14:textId="126501A8"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w:t>
            </w:r>
            <w:r w:rsidR="009402A5">
              <w:rPr>
                <w:rFonts w:asciiTheme="minorBidi" w:hAnsiTheme="minorBidi"/>
                <w:color w:val="000000"/>
                <w:sz w:val="18"/>
                <w:szCs w:val="18"/>
              </w:rPr>
              <w:t xml:space="preserve"> </w:t>
            </w:r>
            <w:r w:rsidRPr="00DF2C2E">
              <w:rPr>
                <w:rFonts w:asciiTheme="minorBidi" w:hAnsiTheme="minorBidi"/>
                <w:color w:val="000000"/>
                <w:sz w:val="18"/>
                <w:szCs w:val="18"/>
              </w:rPr>
              <w:t>232</w:t>
            </w:r>
          </w:p>
        </w:tc>
        <w:tc>
          <w:tcPr>
            <w:tcW w:w="0" w:type="auto"/>
            <w:noWrap/>
            <w:vAlign w:val="center"/>
            <w:hideMark/>
          </w:tcPr>
          <w:p w14:paraId="60A8F72B" w14:textId="5BE7F679"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5</w:t>
            </w:r>
            <w:r w:rsidR="009402A5">
              <w:rPr>
                <w:rFonts w:asciiTheme="minorBidi" w:hAnsiTheme="minorBidi"/>
                <w:color w:val="000000"/>
                <w:sz w:val="18"/>
                <w:szCs w:val="18"/>
              </w:rPr>
              <w:t xml:space="preserve"> </w:t>
            </w:r>
            <w:r w:rsidRPr="00DF2C2E">
              <w:rPr>
                <w:rFonts w:asciiTheme="minorBidi" w:hAnsiTheme="minorBidi"/>
                <w:color w:val="000000"/>
                <w:sz w:val="18"/>
                <w:szCs w:val="18"/>
              </w:rPr>
              <w:t>238</w:t>
            </w:r>
          </w:p>
        </w:tc>
        <w:tc>
          <w:tcPr>
            <w:tcW w:w="0" w:type="auto"/>
            <w:noWrap/>
            <w:vAlign w:val="center"/>
            <w:hideMark/>
          </w:tcPr>
          <w:p w14:paraId="4D1F18F8" w14:textId="01C3206A"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w:t>
            </w:r>
            <w:r w:rsidR="009402A5">
              <w:rPr>
                <w:rFonts w:asciiTheme="minorBidi" w:hAnsiTheme="minorBidi"/>
                <w:color w:val="000000"/>
                <w:sz w:val="18"/>
                <w:szCs w:val="18"/>
              </w:rPr>
              <w:t xml:space="preserve"> </w:t>
            </w:r>
            <w:r w:rsidRPr="00DF2C2E">
              <w:rPr>
                <w:rFonts w:asciiTheme="minorBidi" w:hAnsiTheme="minorBidi"/>
                <w:color w:val="000000"/>
                <w:sz w:val="18"/>
                <w:szCs w:val="18"/>
              </w:rPr>
              <w:t>535</w:t>
            </w:r>
          </w:p>
        </w:tc>
        <w:tc>
          <w:tcPr>
            <w:tcW w:w="0" w:type="auto"/>
            <w:noWrap/>
            <w:vAlign w:val="center"/>
            <w:hideMark/>
          </w:tcPr>
          <w:p w14:paraId="3D0DAE99" w14:textId="0569C080"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8</w:t>
            </w:r>
            <w:r w:rsidR="009402A5">
              <w:rPr>
                <w:rFonts w:asciiTheme="minorBidi" w:hAnsiTheme="minorBidi"/>
                <w:color w:val="000000"/>
                <w:sz w:val="18"/>
                <w:szCs w:val="18"/>
              </w:rPr>
              <w:t xml:space="preserve"> </w:t>
            </w:r>
            <w:r w:rsidRPr="00DF2C2E">
              <w:rPr>
                <w:rFonts w:asciiTheme="minorBidi" w:hAnsiTheme="minorBidi"/>
                <w:color w:val="000000"/>
                <w:sz w:val="18"/>
                <w:szCs w:val="18"/>
              </w:rPr>
              <w:t>638</w:t>
            </w:r>
          </w:p>
        </w:tc>
        <w:tc>
          <w:tcPr>
            <w:tcW w:w="0" w:type="auto"/>
            <w:noWrap/>
            <w:vAlign w:val="center"/>
            <w:hideMark/>
          </w:tcPr>
          <w:p w14:paraId="50EFE884"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1EB7EDFE"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200%</w:t>
            </w:r>
          </w:p>
        </w:tc>
      </w:tr>
      <w:tr w:rsidR="00B54A22" w:rsidRPr="00DF2C2E" w14:paraId="5EE4392F" w14:textId="77777777" w:rsidTr="00B54A22">
        <w:trPr>
          <w:trHeight w:val="300"/>
        </w:trPr>
        <w:tc>
          <w:tcPr>
            <w:tcW w:w="0" w:type="auto"/>
            <w:noWrap/>
            <w:vAlign w:val="center"/>
            <w:hideMark/>
          </w:tcPr>
          <w:p w14:paraId="40B22623"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Pärnu</w:t>
            </w:r>
          </w:p>
        </w:tc>
        <w:tc>
          <w:tcPr>
            <w:tcW w:w="0" w:type="auto"/>
            <w:noWrap/>
            <w:vAlign w:val="center"/>
            <w:hideMark/>
          </w:tcPr>
          <w:p w14:paraId="0D6DEFEC" w14:textId="415143E2"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79</w:t>
            </w:r>
            <w:r w:rsidR="009402A5">
              <w:rPr>
                <w:rFonts w:asciiTheme="minorBidi" w:hAnsiTheme="minorBidi"/>
                <w:color w:val="000000"/>
                <w:sz w:val="18"/>
                <w:szCs w:val="18"/>
              </w:rPr>
              <w:t xml:space="preserve"> </w:t>
            </w:r>
            <w:r w:rsidRPr="00DF2C2E">
              <w:rPr>
                <w:rFonts w:asciiTheme="minorBidi" w:hAnsiTheme="minorBidi"/>
                <w:color w:val="000000"/>
                <w:sz w:val="18"/>
                <w:szCs w:val="18"/>
              </w:rPr>
              <w:t>784</w:t>
            </w:r>
          </w:p>
        </w:tc>
        <w:tc>
          <w:tcPr>
            <w:tcW w:w="0" w:type="auto"/>
            <w:noWrap/>
            <w:vAlign w:val="center"/>
            <w:hideMark/>
          </w:tcPr>
          <w:p w14:paraId="4D99F717" w14:textId="2FEE15D6"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54</w:t>
            </w:r>
            <w:r w:rsidR="009402A5">
              <w:rPr>
                <w:rFonts w:asciiTheme="minorBidi" w:hAnsiTheme="minorBidi"/>
                <w:color w:val="000000"/>
                <w:sz w:val="18"/>
                <w:szCs w:val="18"/>
              </w:rPr>
              <w:t xml:space="preserve"> </w:t>
            </w:r>
            <w:r w:rsidRPr="00DF2C2E">
              <w:rPr>
                <w:rFonts w:asciiTheme="minorBidi" w:hAnsiTheme="minorBidi"/>
                <w:color w:val="000000"/>
                <w:sz w:val="18"/>
                <w:szCs w:val="18"/>
              </w:rPr>
              <w:t>740</w:t>
            </w:r>
          </w:p>
        </w:tc>
        <w:tc>
          <w:tcPr>
            <w:tcW w:w="0" w:type="auto"/>
            <w:noWrap/>
            <w:vAlign w:val="center"/>
            <w:hideMark/>
          </w:tcPr>
          <w:p w14:paraId="26A91CB3" w14:textId="33341670"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63</w:t>
            </w:r>
            <w:r w:rsidR="009402A5">
              <w:rPr>
                <w:rFonts w:asciiTheme="minorBidi" w:hAnsiTheme="minorBidi"/>
                <w:color w:val="000000"/>
                <w:sz w:val="18"/>
                <w:szCs w:val="18"/>
              </w:rPr>
              <w:t xml:space="preserve"> </w:t>
            </w:r>
            <w:r w:rsidRPr="00DF2C2E">
              <w:rPr>
                <w:rFonts w:asciiTheme="minorBidi" w:hAnsiTheme="minorBidi"/>
                <w:color w:val="000000"/>
                <w:sz w:val="18"/>
                <w:szCs w:val="18"/>
              </w:rPr>
              <w:t>650</w:t>
            </w:r>
          </w:p>
        </w:tc>
        <w:tc>
          <w:tcPr>
            <w:tcW w:w="0" w:type="auto"/>
            <w:noWrap/>
            <w:vAlign w:val="center"/>
            <w:hideMark/>
          </w:tcPr>
          <w:p w14:paraId="40BED5B8" w14:textId="6B67DFF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82</w:t>
            </w:r>
            <w:r w:rsidR="009402A5">
              <w:rPr>
                <w:rFonts w:asciiTheme="minorBidi" w:hAnsiTheme="minorBidi"/>
                <w:color w:val="000000"/>
                <w:sz w:val="18"/>
                <w:szCs w:val="18"/>
              </w:rPr>
              <w:t xml:space="preserve"> </w:t>
            </w:r>
            <w:r w:rsidRPr="00DF2C2E">
              <w:rPr>
                <w:rFonts w:asciiTheme="minorBidi" w:hAnsiTheme="minorBidi"/>
                <w:color w:val="000000"/>
                <w:sz w:val="18"/>
                <w:szCs w:val="18"/>
              </w:rPr>
              <w:t>616</w:t>
            </w:r>
          </w:p>
        </w:tc>
        <w:tc>
          <w:tcPr>
            <w:tcW w:w="0" w:type="auto"/>
            <w:noWrap/>
            <w:vAlign w:val="center"/>
            <w:hideMark/>
          </w:tcPr>
          <w:p w14:paraId="7419D3C0" w14:textId="64F807F8"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95</w:t>
            </w:r>
            <w:r w:rsidR="009402A5">
              <w:rPr>
                <w:rFonts w:asciiTheme="minorBidi" w:hAnsiTheme="minorBidi"/>
                <w:color w:val="000000"/>
                <w:sz w:val="18"/>
                <w:szCs w:val="18"/>
              </w:rPr>
              <w:t xml:space="preserve"> </w:t>
            </w:r>
            <w:r w:rsidRPr="00DF2C2E">
              <w:rPr>
                <w:rFonts w:asciiTheme="minorBidi" w:hAnsiTheme="minorBidi"/>
                <w:color w:val="000000"/>
                <w:sz w:val="18"/>
                <w:szCs w:val="18"/>
              </w:rPr>
              <w:t>395</w:t>
            </w:r>
          </w:p>
        </w:tc>
        <w:tc>
          <w:tcPr>
            <w:tcW w:w="320" w:type="dxa"/>
            <w:noWrap/>
            <w:vAlign w:val="center"/>
            <w:hideMark/>
          </w:tcPr>
          <w:p w14:paraId="1DDD59C6"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4FC9BF7F"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20%</w:t>
            </w:r>
          </w:p>
        </w:tc>
        <w:tc>
          <w:tcPr>
            <w:tcW w:w="0" w:type="auto"/>
            <w:noWrap/>
            <w:vAlign w:val="center"/>
            <w:hideMark/>
          </w:tcPr>
          <w:p w14:paraId="47B13259" w14:textId="07EC7F06"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168</w:t>
            </w:r>
            <w:r w:rsidR="009402A5">
              <w:rPr>
                <w:rFonts w:asciiTheme="minorBidi" w:hAnsiTheme="minorBidi"/>
                <w:color w:val="000000"/>
                <w:sz w:val="18"/>
                <w:szCs w:val="18"/>
              </w:rPr>
              <w:t xml:space="preserve"> </w:t>
            </w:r>
            <w:r w:rsidRPr="00DF2C2E">
              <w:rPr>
                <w:rFonts w:asciiTheme="minorBidi" w:hAnsiTheme="minorBidi"/>
                <w:color w:val="000000"/>
                <w:sz w:val="18"/>
                <w:szCs w:val="18"/>
              </w:rPr>
              <w:t>362</w:t>
            </w:r>
          </w:p>
        </w:tc>
        <w:tc>
          <w:tcPr>
            <w:tcW w:w="0" w:type="auto"/>
            <w:noWrap/>
            <w:vAlign w:val="center"/>
            <w:hideMark/>
          </w:tcPr>
          <w:p w14:paraId="73E55FA3" w14:textId="063F7638"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111</w:t>
            </w:r>
            <w:r w:rsidR="009402A5">
              <w:rPr>
                <w:rFonts w:asciiTheme="minorBidi" w:hAnsiTheme="minorBidi"/>
                <w:color w:val="000000"/>
                <w:sz w:val="18"/>
                <w:szCs w:val="18"/>
              </w:rPr>
              <w:t xml:space="preserve"> </w:t>
            </w:r>
            <w:r w:rsidRPr="00DF2C2E">
              <w:rPr>
                <w:rFonts w:asciiTheme="minorBidi" w:hAnsiTheme="minorBidi"/>
                <w:color w:val="000000"/>
                <w:sz w:val="18"/>
                <w:szCs w:val="18"/>
              </w:rPr>
              <w:t>227</w:t>
            </w:r>
          </w:p>
        </w:tc>
        <w:tc>
          <w:tcPr>
            <w:tcW w:w="0" w:type="auto"/>
            <w:noWrap/>
            <w:vAlign w:val="center"/>
            <w:hideMark/>
          </w:tcPr>
          <w:p w14:paraId="4192F237" w14:textId="5C9948D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128</w:t>
            </w:r>
            <w:r w:rsidR="009402A5">
              <w:rPr>
                <w:rFonts w:asciiTheme="minorBidi" w:hAnsiTheme="minorBidi"/>
                <w:color w:val="000000"/>
                <w:sz w:val="18"/>
                <w:szCs w:val="18"/>
              </w:rPr>
              <w:t xml:space="preserve"> </w:t>
            </w:r>
            <w:r w:rsidRPr="00DF2C2E">
              <w:rPr>
                <w:rFonts w:asciiTheme="minorBidi" w:hAnsiTheme="minorBidi"/>
                <w:color w:val="000000"/>
                <w:sz w:val="18"/>
                <w:szCs w:val="18"/>
              </w:rPr>
              <w:t>024</w:t>
            </w:r>
          </w:p>
        </w:tc>
        <w:tc>
          <w:tcPr>
            <w:tcW w:w="0" w:type="auto"/>
            <w:noWrap/>
            <w:vAlign w:val="center"/>
            <w:hideMark/>
          </w:tcPr>
          <w:p w14:paraId="3D630784" w14:textId="3AB5B9D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178</w:t>
            </w:r>
            <w:r w:rsidR="009402A5">
              <w:rPr>
                <w:rFonts w:asciiTheme="minorBidi" w:hAnsiTheme="minorBidi"/>
                <w:color w:val="000000"/>
                <w:sz w:val="18"/>
                <w:szCs w:val="18"/>
              </w:rPr>
              <w:t xml:space="preserve"> </w:t>
            </w:r>
            <w:r w:rsidRPr="00DF2C2E">
              <w:rPr>
                <w:rFonts w:asciiTheme="minorBidi" w:hAnsiTheme="minorBidi"/>
                <w:color w:val="000000"/>
                <w:sz w:val="18"/>
                <w:szCs w:val="18"/>
              </w:rPr>
              <w:t>803</w:t>
            </w:r>
          </w:p>
        </w:tc>
        <w:tc>
          <w:tcPr>
            <w:tcW w:w="0" w:type="auto"/>
            <w:noWrap/>
            <w:vAlign w:val="center"/>
            <w:hideMark/>
          </w:tcPr>
          <w:p w14:paraId="1B241D22" w14:textId="15EC40E8"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206</w:t>
            </w:r>
            <w:r w:rsidR="009402A5">
              <w:rPr>
                <w:rFonts w:asciiTheme="minorBidi" w:hAnsiTheme="minorBidi"/>
                <w:color w:val="000000"/>
                <w:sz w:val="18"/>
                <w:szCs w:val="18"/>
              </w:rPr>
              <w:t xml:space="preserve"> </w:t>
            </w:r>
            <w:r w:rsidRPr="00DF2C2E">
              <w:rPr>
                <w:rFonts w:asciiTheme="minorBidi" w:hAnsiTheme="minorBidi"/>
                <w:color w:val="000000"/>
                <w:sz w:val="18"/>
                <w:szCs w:val="18"/>
              </w:rPr>
              <w:t>823</w:t>
            </w:r>
          </w:p>
        </w:tc>
        <w:tc>
          <w:tcPr>
            <w:tcW w:w="0" w:type="auto"/>
            <w:noWrap/>
            <w:vAlign w:val="center"/>
            <w:hideMark/>
          </w:tcPr>
          <w:p w14:paraId="537E7472"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3546241D"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23%</w:t>
            </w:r>
          </w:p>
        </w:tc>
      </w:tr>
      <w:tr w:rsidR="00B54A22" w:rsidRPr="00DF2C2E" w14:paraId="740F884B" w14:textId="77777777" w:rsidTr="00B54A22">
        <w:trPr>
          <w:trHeight w:val="300"/>
        </w:trPr>
        <w:tc>
          <w:tcPr>
            <w:tcW w:w="0" w:type="auto"/>
            <w:noWrap/>
            <w:vAlign w:val="center"/>
            <w:hideMark/>
          </w:tcPr>
          <w:p w14:paraId="7472B94E"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Rapla</w:t>
            </w:r>
          </w:p>
        </w:tc>
        <w:tc>
          <w:tcPr>
            <w:tcW w:w="0" w:type="auto"/>
            <w:noWrap/>
            <w:vAlign w:val="center"/>
            <w:hideMark/>
          </w:tcPr>
          <w:p w14:paraId="703BE17D" w14:textId="67A56C99"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050</w:t>
            </w:r>
          </w:p>
        </w:tc>
        <w:tc>
          <w:tcPr>
            <w:tcW w:w="0" w:type="auto"/>
            <w:noWrap/>
            <w:vAlign w:val="center"/>
            <w:hideMark/>
          </w:tcPr>
          <w:p w14:paraId="444677DD" w14:textId="5D2FCD4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674</w:t>
            </w:r>
          </w:p>
        </w:tc>
        <w:tc>
          <w:tcPr>
            <w:tcW w:w="0" w:type="auto"/>
            <w:noWrap/>
            <w:vAlign w:val="center"/>
            <w:hideMark/>
          </w:tcPr>
          <w:p w14:paraId="5E713213" w14:textId="7AA35D5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w:t>
            </w:r>
            <w:r w:rsidR="009402A5">
              <w:rPr>
                <w:rFonts w:asciiTheme="minorBidi" w:hAnsiTheme="minorBidi"/>
                <w:color w:val="000000"/>
                <w:sz w:val="18"/>
                <w:szCs w:val="18"/>
              </w:rPr>
              <w:t xml:space="preserve"> </w:t>
            </w:r>
            <w:r w:rsidRPr="00DF2C2E">
              <w:rPr>
                <w:rFonts w:asciiTheme="minorBidi" w:hAnsiTheme="minorBidi"/>
                <w:color w:val="000000"/>
                <w:sz w:val="18"/>
                <w:szCs w:val="18"/>
              </w:rPr>
              <w:t>386</w:t>
            </w:r>
          </w:p>
        </w:tc>
        <w:tc>
          <w:tcPr>
            <w:tcW w:w="0" w:type="auto"/>
            <w:noWrap/>
            <w:vAlign w:val="center"/>
            <w:hideMark/>
          </w:tcPr>
          <w:p w14:paraId="379AE61C" w14:textId="0EFFDE6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w:t>
            </w:r>
            <w:r w:rsidR="009402A5">
              <w:rPr>
                <w:rFonts w:asciiTheme="minorBidi" w:hAnsiTheme="minorBidi"/>
                <w:color w:val="000000"/>
                <w:sz w:val="18"/>
                <w:szCs w:val="18"/>
              </w:rPr>
              <w:t xml:space="preserve"> </w:t>
            </w:r>
            <w:r w:rsidRPr="00DF2C2E">
              <w:rPr>
                <w:rFonts w:asciiTheme="minorBidi" w:hAnsiTheme="minorBidi"/>
                <w:color w:val="000000"/>
                <w:sz w:val="18"/>
                <w:szCs w:val="18"/>
              </w:rPr>
              <w:t>693</w:t>
            </w:r>
          </w:p>
        </w:tc>
        <w:tc>
          <w:tcPr>
            <w:tcW w:w="0" w:type="auto"/>
            <w:noWrap/>
            <w:vAlign w:val="center"/>
            <w:hideMark/>
          </w:tcPr>
          <w:p w14:paraId="4C7A8687" w14:textId="67DE96D9"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w:t>
            </w:r>
            <w:r w:rsidR="009402A5">
              <w:rPr>
                <w:rFonts w:asciiTheme="minorBidi" w:hAnsiTheme="minorBidi"/>
                <w:color w:val="000000"/>
                <w:sz w:val="18"/>
                <w:szCs w:val="18"/>
              </w:rPr>
              <w:t xml:space="preserve"> </w:t>
            </w:r>
            <w:r w:rsidRPr="00DF2C2E">
              <w:rPr>
                <w:rFonts w:asciiTheme="minorBidi" w:hAnsiTheme="minorBidi"/>
                <w:color w:val="000000"/>
                <w:sz w:val="18"/>
                <w:szCs w:val="18"/>
              </w:rPr>
              <w:t>347</w:t>
            </w:r>
          </w:p>
        </w:tc>
        <w:tc>
          <w:tcPr>
            <w:tcW w:w="320" w:type="dxa"/>
            <w:noWrap/>
            <w:vAlign w:val="center"/>
            <w:hideMark/>
          </w:tcPr>
          <w:p w14:paraId="1387D864"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5D8524A8"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219%</w:t>
            </w:r>
          </w:p>
        </w:tc>
        <w:tc>
          <w:tcPr>
            <w:tcW w:w="0" w:type="auto"/>
            <w:noWrap/>
            <w:vAlign w:val="center"/>
            <w:hideMark/>
          </w:tcPr>
          <w:p w14:paraId="32E88436" w14:textId="070876C4"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894</w:t>
            </w:r>
          </w:p>
        </w:tc>
        <w:tc>
          <w:tcPr>
            <w:tcW w:w="0" w:type="auto"/>
            <w:noWrap/>
            <w:vAlign w:val="center"/>
            <w:hideMark/>
          </w:tcPr>
          <w:p w14:paraId="1D24CA1C" w14:textId="087EE222"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w:t>
            </w:r>
            <w:r w:rsidR="009402A5">
              <w:rPr>
                <w:rFonts w:asciiTheme="minorBidi" w:hAnsiTheme="minorBidi"/>
                <w:color w:val="000000"/>
                <w:sz w:val="18"/>
                <w:szCs w:val="18"/>
              </w:rPr>
              <w:t xml:space="preserve"> </w:t>
            </w:r>
            <w:r w:rsidRPr="00DF2C2E">
              <w:rPr>
                <w:rFonts w:asciiTheme="minorBidi" w:hAnsiTheme="minorBidi"/>
                <w:color w:val="000000"/>
                <w:sz w:val="18"/>
                <w:szCs w:val="18"/>
              </w:rPr>
              <w:t>972</w:t>
            </w:r>
          </w:p>
        </w:tc>
        <w:tc>
          <w:tcPr>
            <w:tcW w:w="0" w:type="auto"/>
            <w:noWrap/>
            <w:vAlign w:val="center"/>
            <w:hideMark/>
          </w:tcPr>
          <w:p w14:paraId="276A5A62" w14:textId="0D9D4C6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w:t>
            </w:r>
            <w:r w:rsidR="009402A5">
              <w:rPr>
                <w:rFonts w:asciiTheme="minorBidi" w:hAnsiTheme="minorBidi"/>
                <w:color w:val="000000"/>
                <w:sz w:val="18"/>
                <w:szCs w:val="18"/>
              </w:rPr>
              <w:t xml:space="preserve"> </w:t>
            </w:r>
            <w:r w:rsidRPr="00DF2C2E">
              <w:rPr>
                <w:rFonts w:asciiTheme="minorBidi" w:hAnsiTheme="minorBidi"/>
                <w:color w:val="000000"/>
                <w:sz w:val="18"/>
                <w:szCs w:val="18"/>
              </w:rPr>
              <w:t>149</w:t>
            </w:r>
          </w:p>
        </w:tc>
        <w:tc>
          <w:tcPr>
            <w:tcW w:w="0" w:type="auto"/>
            <w:noWrap/>
            <w:vAlign w:val="center"/>
            <w:hideMark/>
          </w:tcPr>
          <w:p w14:paraId="361A1CA5" w14:textId="28EA738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w:t>
            </w:r>
            <w:r w:rsidR="009402A5">
              <w:rPr>
                <w:rFonts w:asciiTheme="minorBidi" w:hAnsiTheme="minorBidi"/>
                <w:color w:val="000000"/>
                <w:sz w:val="18"/>
                <w:szCs w:val="18"/>
              </w:rPr>
              <w:t xml:space="preserve"> </w:t>
            </w:r>
            <w:r w:rsidRPr="00DF2C2E">
              <w:rPr>
                <w:rFonts w:asciiTheme="minorBidi" w:hAnsiTheme="minorBidi"/>
                <w:color w:val="000000"/>
                <w:sz w:val="18"/>
                <w:szCs w:val="18"/>
              </w:rPr>
              <w:t>597</w:t>
            </w:r>
          </w:p>
        </w:tc>
        <w:tc>
          <w:tcPr>
            <w:tcW w:w="0" w:type="auto"/>
            <w:noWrap/>
            <w:vAlign w:val="center"/>
            <w:hideMark/>
          </w:tcPr>
          <w:p w14:paraId="22C9C4E1" w14:textId="5EEA8F8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5</w:t>
            </w:r>
            <w:r w:rsidR="009402A5">
              <w:rPr>
                <w:rFonts w:asciiTheme="minorBidi" w:hAnsiTheme="minorBidi"/>
                <w:color w:val="000000"/>
                <w:sz w:val="18"/>
                <w:szCs w:val="18"/>
              </w:rPr>
              <w:t xml:space="preserve"> </w:t>
            </w:r>
            <w:r w:rsidRPr="00DF2C2E">
              <w:rPr>
                <w:rFonts w:asciiTheme="minorBidi" w:hAnsiTheme="minorBidi"/>
                <w:color w:val="000000"/>
                <w:sz w:val="18"/>
                <w:szCs w:val="18"/>
              </w:rPr>
              <w:t>321</w:t>
            </w:r>
          </w:p>
        </w:tc>
        <w:tc>
          <w:tcPr>
            <w:tcW w:w="0" w:type="auto"/>
            <w:noWrap/>
            <w:vAlign w:val="center"/>
            <w:hideMark/>
          </w:tcPr>
          <w:p w14:paraId="3192A489"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61BEE978"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181%</w:t>
            </w:r>
          </w:p>
        </w:tc>
      </w:tr>
      <w:tr w:rsidR="00B54A22" w:rsidRPr="00DF2C2E" w14:paraId="460DB054" w14:textId="77777777" w:rsidTr="00B54A22">
        <w:trPr>
          <w:trHeight w:val="300"/>
        </w:trPr>
        <w:tc>
          <w:tcPr>
            <w:tcW w:w="0" w:type="auto"/>
            <w:noWrap/>
            <w:vAlign w:val="center"/>
            <w:hideMark/>
          </w:tcPr>
          <w:p w14:paraId="12EC8E13"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Saare</w:t>
            </w:r>
          </w:p>
        </w:tc>
        <w:tc>
          <w:tcPr>
            <w:tcW w:w="0" w:type="auto"/>
            <w:noWrap/>
            <w:vAlign w:val="center"/>
            <w:hideMark/>
          </w:tcPr>
          <w:p w14:paraId="181326E0" w14:textId="44B3FA92"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31</w:t>
            </w:r>
            <w:r w:rsidR="009402A5">
              <w:rPr>
                <w:rFonts w:asciiTheme="minorBidi" w:hAnsiTheme="minorBidi"/>
                <w:color w:val="000000"/>
                <w:sz w:val="18"/>
                <w:szCs w:val="18"/>
              </w:rPr>
              <w:t xml:space="preserve"> </w:t>
            </w:r>
            <w:r w:rsidRPr="00DF2C2E">
              <w:rPr>
                <w:rFonts w:asciiTheme="minorBidi" w:hAnsiTheme="minorBidi"/>
                <w:color w:val="000000"/>
                <w:sz w:val="18"/>
                <w:szCs w:val="18"/>
              </w:rPr>
              <w:t>448</w:t>
            </w:r>
          </w:p>
        </w:tc>
        <w:tc>
          <w:tcPr>
            <w:tcW w:w="0" w:type="auto"/>
            <w:noWrap/>
            <w:vAlign w:val="center"/>
            <w:hideMark/>
          </w:tcPr>
          <w:p w14:paraId="31C72D27" w14:textId="76AAF580"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24</w:t>
            </w:r>
            <w:r w:rsidR="009402A5">
              <w:rPr>
                <w:rFonts w:asciiTheme="minorBidi" w:hAnsiTheme="minorBidi"/>
                <w:color w:val="000000"/>
                <w:sz w:val="18"/>
                <w:szCs w:val="18"/>
              </w:rPr>
              <w:t xml:space="preserve"> </w:t>
            </w:r>
            <w:r w:rsidRPr="00DF2C2E">
              <w:rPr>
                <w:rFonts w:asciiTheme="minorBidi" w:hAnsiTheme="minorBidi"/>
                <w:color w:val="000000"/>
                <w:sz w:val="18"/>
                <w:szCs w:val="18"/>
              </w:rPr>
              <w:t>968</w:t>
            </w:r>
          </w:p>
        </w:tc>
        <w:tc>
          <w:tcPr>
            <w:tcW w:w="0" w:type="auto"/>
            <w:noWrap/>
            <w:vAlign w:val="center"/>
            <w:hideMark/>
          </w:tcPr>
          <w:p w14:paraId="411BF979" w14:textId="697D4CE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30</w:t>
            </w:r>
            <w:r w:rsidR="009402A5">
              <w:rPr>
                <w:rFonts w:asciiTheme="minorBidi" w:hAnsiTheme="minorBidi"/>
                <w:color w:val="000000"/>
                <w:sz w:val="18"/>
                <w:szCs w:val="18"/>
              </w:rPr>
              <w:t xml:space="preserve"> </w:t>
            </w:r>
            <w:r w:rsidRPr="00DF2C2E">
              <w:rPr>
                <w:rFonts w:asciiTheme="minorBidi" w:hAnsiTheme="minorBidi"/>
                <w:color w:val="000000"/>
                <w:sz w:val="18"/>
                <w:szCs w:val="18"/>
              </w:rPr>
              <w:t>326</w:t>
            </w:r>
          </w:p>
        </w:tc>
        <w:tc>
          <w:tcPr>
            <w:tcW w:w="0" w:type="auto"/>
            <w:noWrap/>
            <w:vAlign w:val="center"/>
            <w:hideMark/>
          </w:tcPr>
          <w:p w14:paraId="693E7BA9" w14:textId="3F83C2CC"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29</w:t>
            </w:r>
            <w:r w:rsidR="009402A5">
              <w:rPr>
                <w:rFonts w:asciiTheme="minorBidi" w:hAnsiTheme="minorBidi"/>
                <w:color w:val="000000"/>
                <w:sz w:val="18"/>
                <w:szCs w:val="18"/>
              </w:rPr>
              <w:t xml:space="preserve"> </w:t>
            </w:r>
            <w:r w:rsidRPr="00DF2C2E">
              <w:rPr>
                <w:rFonts w:asciiTheme="minorBidi" w:hAnsiTheme="minorBidi"/>
                <w:color w:val="000000"/>
                <w:sz w:val="18"/>
                <w:szCs w:val="18"/>
              </w:rPr>
              <w:t>052</w:t>
            </w:r>
          </w:p>
        </w:tc>
        <w:tc>
          <w:tcPr>
            <w:tcW w:w="0" w:type="auto"/>
            <w:noWrap/>
            <w:vAlign w:val="center"/>
            <w:hideMark/>
          </w:tcPr>
          <w:p w14:paraId="1D1AE108" w14:textId="4F9D406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33</w:t>
            </w:r>
            <w:r w:rsidR="009402A5">
              <w:rPr>
                <w:rFonts w:asciiTheme="minorBidi" w:hAnsiTheme="minorBidi"/>
                <w:color w:val="000000"/>
                <w:sz w:val="18"/>
                <w:szCs w:val="18"/>
              </w:rPr>
              <w:t xml:space="preserve"> </w:t>
            </w:r>
            <w:r w:rsidRPr="00DF2C2E">
              <w:rPr>
                <w:rFonts w:asciiTheme="minorBidi" w:hAnsiTheme="minorBidi"/>
                <w:color w:val="000000"/>
                <w:sz w:val="18"/>
                <w:szCs w:val="18"/>
              </w:rPr>
              <w:t>511</w:t>
            </w:r>
          </w:p>
        </w:tc>
        <w:tc>
          <w:tcPr>
            <w:tcW w:w="320" w:type="dxa"/>
            <w:noWrap/>
            <w:vAlign w:val="center"/>
            <w:hideMark/>
          </w:tcPr>
          <w:p w14:paraId="2B37B332"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12E23CFD"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7%</w:t>
            </w:r>
          </w:p>
        </w:tc>
        <w:tc>
          <w:tcPr>
            <w:tcW w:w="0" w:type="auto"/>
            <w:noWrap/>
            <w:vAlign w:val="center"/>
            <w:hideMark/>
          </w:tcPr>
          <w:p w14:paraId="1F94174D" w14:textId="052EF50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70</w:t>
            </w:r>
            <w:r w:rsidR="009402A5">
              <w:rPr>
                <w:rFonts w:asciiTheme="minorBidi" w:hAnsiTheme="minorBidi"/>
                <w:color w:val="000000"/>
                <w:sz w:val="18"/>
                <w:szCs w:val="18"/>
              </w:rPr>
              <w:t xml:space="preserve"> </w:t>
            </w:r>
            <w:r w:rsidRPr="00DF2C2E">
              <w:rPr>
                <w:rFonts w:asciiTheme="minorBidi" w:hAnsiTheme="minorBidi"/>
                <w:color w:val="000000"/>
                <w:sz w:val="18"/>
                <w:szCs w:val="18"/>
              </w:rPr>
              <w:t>565</w:t>
            </w:r>
          </w:p>
        </w:tc>
        <w:tc>
          <w:tcPr>
            <w:tcW w:w="0" w:type="auto"/>
            <w:noWrap/>
            <w:vAlign w:val="center"/>
            <w:hideMark/>
          </w:tcPr>
          <w:p w14:paraId="0F4EA291" w14:textId="743CA4E4"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55</w:t>
            </w:r>
            <w:r w:rsidR="009402A5">
              <w:rPr>
                <w:rFonts w:asciiTheme="minorBidi" w:hAnsiTheme="minorBidi"/>
                <w:color w:val="000000"/>
                <w:sz w:val="18"/>
                <w:szCs w:val="18"/>
              </w:rPr>
              <w:t xml:space="preserve"> </w:t>
            </w:r>
            <w:r w:rsidRPr="00DF2C2E">
              <w:rPr>
                <w:rFonts w:asciiTheme="minorBidi" w:hAnsiTheme="minorBidi"/>
                <w:color w:val="000000"/>
                <w:sz w:val="18"/>
                <w:szCs w:val="18"/>
              </w:rPr>
              <w:t>159</w:t>
            </w:r>
          </w:p>
        </w:tc>
        <w:tc>
          <w:tcPr>
            <w:tcW w:w="0" w:type="auto"/>
            <w:noWrap/>
            <w:vAlign w:val="center"/>
            <w:hideMark/>
          </w:tcPr>
          <w:p w14:paraId="56BF53FD" w14:textId="5FD06CD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67</w:t>
            </w:r>
            <w:r w:rsidR="009402A5">
              <w:rPr>
                <w:rFonts w:asciiTheme="minorBidi" w:hAnsiTheme="minorBidi"/>
                <w:color w:val="000000"/>
                <w:sz w:val="18"/>
                <w:szCs w:val="18"/>
              </w:rPr>
              <w:t xml:space="preserve"> </w:t>
            </w:r>
            <w:r w:rsidRPr="00DF2C2E">
              <w:rPr>
                <w:rFonts w:asciiTheme="minorBidi" w:hAnsiTheme="minorBidi"/>
                <w:color w:val="000000"/>
                <w:sz w:val="18"/>
                <w:szCs w:val="18"/>
              </w:rPr>
              <w:t>764</w:t>
            </w:r>
          </w:p>
        </w:tc>
        <w:tc>
          <w:tcPr>
            <w:tcW w:w="0" w:type="auto"/>
            <w:noWrap/>
            <w:vAlign w:val="center"/>
            <w:hideMark/>
          </w:tcPr>
          <w:p w14:paraId="0505FD69" w14:textId="45271889"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68</w:t>
            </w:r>
            <w:r w:rsidR="009402A5">
              <w:rPr>
                <w:rFonts w:asciiTheme="minorBidi" w:hAnsiTheme="minorBidi"/>
                <w:color w:val="000000"/>
                <w:sz w:val="18"/>
                <w:szCs w:val="18"/>
              </w:rPr>
              <w:t xml:space="preserve"> </w:t>
            </w:r>
            <w:r w:rsidRPr="00DF2C2E">
              <w:rPr>
                <w:rFonts w:asciiTheme="minorBidi" w:hAnsiTheme="minorBidi"/>
                <w:color w:val="000000"/>
                <w:sz w:val="18"/>
                <w:szCs w:val="18"/>
              </w:rPr>
              <w:t>621</w:t>
            </w:r>
          </w:p>
        </w:tc>
        <w:tc>
          <w:tcPr>
            <w:tcW w:w="0" w:type="auto"/>
            <w:noWrap/>
            <w:vAlign w:val="center"/>
            <w:hideMark/>
          </w:tcPr>
          <w:p w14:paraId="51D75938" w14:textId="7CE3128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77</w:t>
            </w:r>
            <w:r w:rsidR="009402A5">
              <w:rPr>
                <w:rFonts w:asciiTheme="minorBidi" w:hAnsiTheme="minorBidi"/>
                <w:color w:val="000000"/>
                <w:sz w:val="18"/>
                <w:szCs w:val="18"/>
              </w:rPr>
              <w:t xml:space="preserve"> </w:t>
            </w:r>
            <w:r w:rsidRPr="00DF2C2E">
              <w:rPr>
                <w:rFonts w:asciiTheme="minorBidi" w:hAnsiTheme="minorBidi"/>
                <w:color w:val="000000"/>
                <w:sz w:val="18"/>
                <w:szCs w:val="18"/>
              </w:rPr>
              <w:t>333</w:t>
            </w:r>
          </w:p>
        </w:tc>
        <w:tc>
          <w:tcPr>
            <w:tcW w:w="0" w:type="auto"/>
            <w:noWrap/>
            <w:vAlign w:val="center"/>
            <w:hideMark/>
          </w:tcPr>
          <w:p w14:paraId="4D869C66"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402AD3D7"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10%</w:t>
            </w:r>
          </w:p>
        </w:tc>
      </w:tr>
      <w:tr w:rsidR="00B54A22" w:rsidRPr="00DF2C2E" w14:paraId="334B201F" w14:textId="77777777" w:rsidTr="00B54A22">
        <w:trPr>
          <w:trHeight w:val="300"/>
        </w:trPr>
        <w:tc>
          <w:tcPr>
            <w:tcW w:w="0" w:type="auto"/>
            <w:noWrap/>
            <w:vAlign w:val="center"/>
            <w:hideMark/>
          </w:tcPr>
          <w:p w14:paraId="16325C76"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Tartu</w:t>
            </w:r>
          </w:p>
        </w:tc>
        <w:tc>
          <w:tcPr>
            <w:tcW w:w="0" w:type="auto"/>
            <w:noWrap/>
            <w:vAlign w:val="center"/>
            <w:hideMark/>
          </w:tcPr>
          <w:p w14:paraId="2511DB75" w14:textId="783B0C70"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60</w:t>
            </w:r>
            <w:r w:rsidR="009402A5">
              <w:rPr>
                <w:rFonts w:asciiTheme="minorBidi" w:hAnsiTheme="minorBidi"/>
                <w:color w:val="000000"/>
                <w:sz w:val="18"/>
                <w:szCs w:val="18"/>
              </w:rPr>
              <w:t xml:space="preserve"> </w:t>
            </w:r>
            <w:r w:rsidRPr="00DF2C2E">
              <w:rPr>
                <w:rFonts w:asciiTheme="minorBidi" w:hAnsiTheme="minorBidi"/>
                <w:color w:val="000000"/>
                <w:sz w:val="18"/>
                <w:szCs w:val="18"/>
              </w:rPr>
              <w:t>001</w:t>
            </w:r>
          </w:p>
        </w:tc>
        <w:tc>
          <w:tcPr>
            <w:tcW w:w="0" w:type="auto"/>
            <w:noWrap/>
            <w:vAlign w:val="center"/>
            <w:hideMark/>
          </w:tcPr>
          <w:p w14:paraId="391CE102" w14:textId="5428224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41</w:t>
            </w:r>
            <w:r w:rsidR="009402A5">
              <w:rPr>
                <w:rFonts w:asciiTheme="minorBidi" w:hAnsiTheme="minorBidi"/>
                <w:color w:val="000000"/>
                <w:sz w:val="18"/>
                <w:szCs w:val="18"/>
              </w:rPr>
              <w:t xml:space="preserve"> </w:t>
            </w:r>
            <w:r w:rsidRPr="00DF2C2E">
              <w:rPr>
                <w:rFonts w:asciiTheme="minorBidi" w:hAnsiTheme="minorBidi"/>
                <w:color w:val="000000"/>
                <w:sz w:val="18"/>
                <w:szCs w:val="18"/>
              </w:rPr>
              <w:t>438</w:t>
            </w:r>
          </w:p>
        </w:tc>
        <w:tc>
          <w:tcPr>
            <w:tcW w:w="0" w:type="auto"/>
            <w:noWrap/>
            <w:vAlign w:val="center"/>
            <w:hideMark/>
          </w:tcPr>
          <w:p w14:paraId="23F0EAD6" w14:textId="1B4CAE58"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46</w:t>
            </w:r>
            <w:r w:rsidR="009402A5">
              <w:rPr>
                <w:rFonts w:asciiTheme="minorBidi" w:hAnsiTheme="minorBidi"/>
                <w:color w:val="000000"/>
                <w:sz w:val="18"/>
                <w:szCs w:val="18"/>
              </w:rPr>
              <w:t xml:space="preserve"> </w:t>
            </w:r>
            <w:r w:rsidRPr="00DF2C2E">
              <w:rPr>
                <w:rFonts w:asciiTheme="minorBidi" w:hAnsiTheme="minorBidi"/>
                <w:color w:val="000000"/>
                <w:sz w:val="18"/>
                <w:szCs w:val="18"/>
              </w:rPr>
              <w:t>715</w:t>
            </w:r>
          </w:p>
        </w:tc>
        <w:tc>
          <w:tcPr>
            <w:tcW w:w="0" w:type="auto"/>
            <w:noWrap/>
            <w:vAlign w:val="center"/>
            <w:hideMark/>
          </w:tcPr>
          <w:p w14:paraId="6C6DD6CD" w14:textId="2B8B3D70"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74</w:t>
            </w:r>
            <w:r w:rsidR="009402A5">
              <w:rPr>
                <w:rFonts w:asciiTheme="minorBidi" w:hAnsiTheme="minorBidi"/>
                <w:color w:val="000000"/>
                <w:sz w:val="18"/>
                <w:szCs w:val="18"/>
              </w:rPr>
              <w:t xml:space="preserve"> </w:t>
            </w:r>
            <w:r w:rsidRPr="00DF2C2E">
              <w:rPr>
                <w:rFonts w:asciiTheme="minorBidi" w:hAnsiTheme="minorBidi"/>
                <w:color w:val="000000"/>
                <w:sz w:val="18"/>
                <w:szCs w:val="18"/>
              </w:rPr>
              <w:t>043</w:t>
            </w:r>
          </w:p>
        </w:tc>
        <w:tc>
          <w:tcPr>
            <w:tcW w:w="0" w:type="auto"/>
            <w:noWrap/>
            <w:vAlign w:val="center"/>
            <w:hideMark/>
          </w:tcPr>
          <w:p w14:paraId="4CD6661E" w14:textId="57980AE2"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90</w:t>
            </w:r>
            <w:r w:rsidR="009402A5">
              <w:rPr>
                <w:rFonts w:asciiTheme="minorBidi" w:hAnsiTheme="minorBidi"/>
                <w:color w:val="000000"/>
                <w:sz w:val="18"/>
                <w:szCs w:val="18"/>
              </w:rPr>
              <w:t xml:space="preserve"> </w:t>
            </w:r>
            <w:r w:rsidRPr="00DF2C2E">
              <w:rPr>
                <w:rFonts w:asciiTheme="minorBidi" w:hAnsiTheme="minorBidi"/>
                <w:color w:val="000000"/>
                <w:sz w:val="18"/>
                <w:szCs w:val="18"/>
              </w:rPr>
              <w:t>972</w:t>
            </w:r>
          </w:p>
        </w:tc>
        <w:tc>
          <w:tcPr>
            <w:tcW w:w="320" w:type="dxa"/>
            <w:noWrap/>
            <w:vAlign w:val="center"/>
            <w:hideMark/>
          </w:tcPr>
          <w:p w14:paraId="58185940"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3924C99D"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52%</w:t>
            </w:r>
          </w:p>
        </w:tc>
        <w:tc>
          <w:tcPr>
            <w:tcW w:w="0" w:type="auto"/>
            <w:noWrap/>
            <w:vAlign w:val="center"/>
            <w:hideMark/>
          </w:tcPr>
          <w:p w14:paraId="570980CB" w14:textId="65602C5E"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123</w:t>
            </w:r>
            <w:r w:rsidR="009402A5">
              <w:rPr>
                <w:rFonts w:asciiTheme="minorBidi" w:hAnsiTheme="minorBidi"/>
                <w:color w:val="000000"/>
                <w:sz w:val="18"/>
                <w:szCs w:val="18"/>
              </w:rPr>
              <w:t xml:space="preserve"> </w:t>
            </w:r>
            <w:r w:rsidRPr="00DF2C2E">
              <w:rPr>
                <w:rFonts w:asciiTheme="minorBidi" w:hAnsiTheme="minorBidi"/>
                <w:color w:val="000000"/>
                <w:sz w:val="18"/>
                <w:szCs w:val="18"/>
              </w:rPr>
              <w:t>496</w:t>
            </w:r>
          </w:p>
        </w:tc>
        <w:tc>
          <w:tcPr>
            <w:tcW w:w="0" w:type="auto"/>
            <w:noWrap/>
            <w:vAlign w:val="center"/>
            <w:hideMark/>
          </w:tcPr>
          <w:p w14:paraId="229ECB95" w14:textId="64CF686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84</w:t>
            </w:r>
            <w:r w:rsidR="009402A5">
              <w:rPr>
                <w:rFonts w:asciiTheme="minorBidi" w:hAnsiTheme="minorBidi"/>
                <w:color w:val="000000"/>
                <w:sz w:val="18"/>
                <w:szCs w:val="18"/>
              </w:rPr>
              <w:t xml:space="preserve"> </w:t>
            </w:r>
            <w:r w:rsidRPr="00DF2C2E">
              <w:rPr>
                <w:rFonts w:asciiTheme="minorBidi" w:hAnsiTheme="minorBidi"/>
                <w:color w:val="000000"/>
                <w:sz w:val="18"/>
                <w:szCs w:val="18"/>
              </w:rPr>
              <w:t>792</w:t>
            </w:r>
          </w:p>
        </w:tc>
        <w:tc>
          <w:tcPr>
            <w:tcW w:w="0" w:type="auto"/>
            <w:noWrap/>
            <w:vAlign w:val="center"/>
            <w:hideMark/>
          </w:tcPr>
          <w:p w14:paraId="40F4D2D1" w14:textId="079A0E38"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97</w:t>
            </w:r>
            <w:r w:rsidR="009402A5">
              <w:rPr>
                <w:rFonts w:asciiTheme="minorBidi" w:hAnsiTheme="minorBidi"/>
                <w:color w:val="000000"/>
                <w:sz w:val="18"/>
                <w:szCs w:val="18"/>
              </w:rPr>
              <w:t xml:space="preserve"> </w:t>
            </w:r>
            <w:r w:rsidRPr="00DF2C2E">
              <w:rPr>
                <w:rFonts w:asciiTheme="minorBidi" w:hAnsiTheme="minorBidi"/>
                <w:color w:val="000000"/>
                <w:sz w:val="18"/>
                <w:szCs w:val="18"/>
              </w:rPr>
              <w:t>842</w:t>
            </w:r>
          </w:p>
        </w:tc>
        <w:tc>
          <w:tcPr>
            <w:tcW w:w="0" w:type="auto"/>
            <w:noWrap/>
            <w:vAlign w:val="center"/>
            <w:hideMark/>
          </w:tcPr>
          <w:p w14:paraId="0B4884E7" w14:textId="39A1A1E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150</w:t>
            </w:r>
            <w:r w:rsidR="009402A5">
              <w:rPr>
                <w:rFonts w:asciiTheme="minorBidi" w:hAnsiTheme="minorBidi"/>
                <w:color w:val="000000"/>
                <w:sz w:val="18"/>
                <w:szCs w:val="18"/>
              </w:rPr>
              <w:t xml:space="preserve"> </w:t>
            </w:r>
            <w:r w:rsidRPr="00DF2C2E">
              <w:rPr>
                <w:rFonts w:asciiTheme="minorBidi" w:hAnsiTheme="minorBidi"/>
                <w:color w:val="000000"/>
                <w:sz w:val="18"/>
                <w:szCs w:val="18"/>
              </w:rPr>
              <w:t>121</w:t>
            </w:r>
          </w:p>
        </w:tc>
        <w:tc>
          <w:tcPr>
            <w:tcW w:w="0" w:type="auto"/>
            <w:noWrap/>
            <w:vAlign w:val="center"/>
            <w:hideMark/>
          </w:tcPr>
          <w:p w14:paraId="781F57BF" w14:textId="5D12B25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177</w:t>
            </w:r>
            <w:r w:rsidR="009402A5">
              <w:rPr>
                <w:rFonts w:asciiTheme="minorBidi" w:hAnsiTheme="minorBidi"/>
                <w:color w:val="000000"/>
                <w:sz w:val="18"/>
                <w:szCs w:val="18"/>
              </w:rPr>
              <w:t xml:space="preserve"> </w:t>
            </w:r>
            <w:r w:rsidRPr="00DF2C2E">
              <w:rPr>
                <w:rFonts w:asciiTheme="minorBidi" w:hAnsiTheme="minorBidi"/>
                <w:color w:val="000000"/>
                <w:sz w:val="18"/>
                <w:szCs w:val="18"/>
              </w:rPr>
              <w:t>638</w:t>
            </w:r>
          </w:p>
        </w:tc>
        <w:tc>
          <w:tcPr>
            <w:tcW w:w="0" w:type="auto"/>
            <w:noWrap/>
            <w:vAlign w:val="center"/>
            <w:hideMark/>
          </w:tcPr>
          <w:p w14:paraId="657645AD"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055BF177"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44%</w:t>
            </w:r>
          </w:p>
        </w:tc>
      </w:tr>
      <w:tr w:rsidR="00B54A22" w:rsidRPr="00DF2C2E" w14:paraId="6D3076B4" w14:textId="77777777" w:rsidTr="00B54A22">
        <w:trPr>
          <w:trHeight w:val="300"/>
        </w:trPr>
        <w:tc>
          <w:tcPr>
            <w:tcW w:w="0" w:type="auto"/>
            <w:noWrap/>
            <w:vAlign w:val="center"/>
            <w:hideMark/>
          </w:tcPr>
          <w:p w14:paraId="641C2073"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Valga</w:t>
            </w:r>
          </w:p>
        </w:tc>
        <w:tc>
          <w:tcPr>
            <w:tcW w:w="0" w:type="auto"/>
            <w:noWrap/>
            <w:vAlign w:val="center"/>
            <w:hideMark/>
          </w:tcPr>
          <w:p w14:paraId="2615B7CB" w14:textId="62BAAFA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w:t>
            </w:r>
            <w:r w:rsidR="009402A5">
              <w:rPr>
                <w:rFonts w:asciiTheme="minorBidi" w:hAnsiTheme="minorBidi"/>
                <w:color w:val="000000"/>
                <w:sz w:val="18"/>
                <w:szCs w:val="18"/>
              </w:rPr>
              <w:t xml:space="preserve"> </w:t>
            </w:r>
            <w:r w:rsidRPr="00DF2C2E">
              <w:rPr>
                <w:rFonts w:asciiTheme="minorBidi" w:hAnsiTheme="minorBidi"/>
                <w:color w:val="000000"/>
                <w:sz w:val="18"/>
                <w:szCs w:val="18"/>
              </w:rPr>
              <w:t>760</w:t>
            </w:r>
          </w:p>
        </w:tc>
        <w:tc>
          <w:tcPr>
            <w:tcW w:w="0" w:type="auto"/>
            <w:noWrap/>
            <w:vAlign w:val="center"/>
            <w:hideMark/>
          </w:tcPr>
          <w:p w14:paraId="2A389C52" w14:textId="1A35250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w:t>
            </w:r>
            <w:r w:rsidR="009402A5">
              <w:rPr>
                <w:rFonts w:asciiTheme="minorBidi" w:hAnsiTheme="minorBidi"/>
                <w:color w:val="000000"/>
                <w:sz w:val="18"/>
                <w:szCs w:val="18"/>
              </w:rPr>
              <w:t xml:space="preserve"> </w:t>
            </w:r>
            <w:r w:rsidRPr="00DF2C2E">
              <w:rPr>
                <w:rFonts w:asciiTheme="minorBidi" w:hAnsiTheme="minorBidi"/>
                <w:color w:val="000000"/>
                <w:sz w:val="18"/>
                <w:szCs w:val="18"/>
              </w:rPr>
              <w:t>943</w:t>
            </w:r>
          </w:p>
        </w:tc>
        <w:tc>
          <w:tcPr>
            <w:tcW w:w="0" w:type="auto"/>
            <w:noWrap/>
            <w:vAlign w:val="center"/>
            <w:hideMark/>
          </w:tcPr>
          <w:p w14:paraId="58D1CAC2" w14:textId="5B6DC804"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12</w:t>
            </w:r>
            <w:r w:rsidR="009402A5">
              <w:rPr>
                <w:rFonts w:asciiTheme="minorBidi" w:hAnsiTheme="minorBidi"/>
                <w:color w:val="000000"/>
                <w:sz w:val="18"/>
                <w:szCs w:val="18"/>
              </w:rPr>
              <w:t xml:space="preserve"> </w:t>
            </w:r>
            <w:r w:rsidRPr="00DF2C2E">
              <w:rPr>
                <w:rFonts w:asciiTheme="minorBidi" w:hAnsiTheme="minorBidi"/>
                <w:color w:val="000000"/>
                <w:sz w:val="18"/>
                <w:szCs w:val="18"/>
              </w:rPr>
              <w:t>099</w:t>
            </w:r>
          </w:p>
        </w:tc>
        <w:tc>
          <w:tcPr>
            <w:tcW w:w="0" w:type="auto"/>
            <w:noWrap/>
            <w:vAlign w:val="center"/>
            <w:hideMark/>
          </w:tcPr>
          <w:p w14:paraId="035C4D92" w14:textId="7F9B733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13</w:t>
            </w:r>
            <w:r w:rsidR="009402A5">
              <w:rPr>
                <w:rFonts w:asciiTheme="minorBidi" w:hAnsiTheme="minorBidi"/>
                <w:color w:val="000000"/>
                <w:sz w:val="18"/>
                <w:szCs w:val="18"/>
              </w:rPr>
              <w:t xml:space="preserve"> </w:t>
            </w:r>
            <w:r w:rsidRPr="00DF2C2E">
              <w:rPr>
                <w:rFonts w:asciiTheme="minorBidi" w:hAnsiTheme="minorBidi"/>
                <w:color w:val="000000"/>
                <w:sz w:val="18"/>
                <w:szCs w:val="18"/>
              </w:rPr>
              <w:t>660</w:t>
            </w:r>
          </w:p>
        </w:tc>
        <w:tc>
          <w:tcPr>
            <w:tcW w:w="0" w:type="auto"/>
            <w:noWrap/>
            <w:vAlign w:val="center"/>
            <w:hideMark/>
          </w:tcPr>
          <w:p w14:paraId="07188C65" w14:textId="7ACBBF0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15</w:t>
            </w:r>
            <w:r w:rsidR="009402A5">
              <w:rPr>
                <w:rFonts w:asciiTheme="minorBidi" w:hAnsiTheme="minorBidi"/>
                <w:color w:val="000000"/>
                <w:sz w:val="18"/>
                <w:szCs w:val="18"/>
              </w:rPr>
              <w:t xml:space="preserve"> </w:t>
            </w:r>
            <w:r w:rsidRPr="00DF2C2E">
              <w:rPr>
                <w:rFonts w:asciiTheme="minorBidi" w:hAnsiTheme="minorBidi"/>
                <w:color w:val="000000"/>
                <w:sz w:val="18"/>
                <w:szCs w:val="18"/>
              </w:rPr>
              <w:t>828</w:t>
            </w:r>
          </w:p>
        </w:tc>
        <w:tc>
          <w:tcPr>
            <w:tcW w:w="320" w:type="dxa"/>
            <w:noWrap/>
            <w:vAlign w:val="center"/>
            <w:hideMark/>
          </w:tcPr>
          <w:p w14:paraId="53CEB490"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3BF1E928"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104%</w:t>
            </w:r>
          </w:p>
        </w:tc>
        <w:tc>
          <w:tcPr>
            <w:tcW w:w="0" w:type="auto"/>
            <w:noWrap/>
            <w:vAlign w:val="center"/>
            <w:hideMark/>
          </w:tcPr>
          <w:p w14:paraId="3B6354EE" w14:textId="7BC5F69A"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14</w:t>
            </w:r>
            <w:r w:rsidR="009402A5">
              <w:rPr>
                <w:rFonts w:asciiTheme="minorBidi" w:hAnsiTheme="minorBidi"/>
                <w:color w:val="000000"/>
                <w:sz w:val="18"/>
                <w:szCs w:val="18"/>
              </w:rPr>
              <w:t xml:space="preserve"> </w:t>
            </w:r>
            <w:r w:rsidRPr="00DF2C2E">
              <w:rPr>
                <w:rFonts w:asciiTheme="minorBidi" w:hAnsiTheme="minorBidi"/>
                <w:color w:val="000000"/>
                <w:sz w:val="18"/>
                <w:szCs w:val="18"/>
              </w:rPr>
              <w:t>592</w:t>
            </w:r>
          </w:p>
        </w:tc>
        <w:tc>
          <w:tcPr>
            <w:tcW w:w="0" w:type="auto"/>
            <w:noWrap/>
            <w:vAlign w:val="center"/>
            <w:hideMark/>
          </w:tcPr>
          <w:p w14:paraId="6CBDFC9C" w14:textId="2F4F0348"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14</w:t>
            </w:r>
            <w:r w:rsidR="009402A5">
              <w:rPr>
                <w:rFonts w:asciiTheme="minorBidi" w:hAnsiTheme="minorBidi"/>
                <w:color w:val="000000"/>
                <w:sz w:val="18"/>
                <w:szCs w:val="18"/>
              </w:rPr>
              <w:t xml:space="preserve"> </w:t>
            </w:r>
            <w:r w:rsidRPr="00DF2C2E">
              <w:rPr>
                <w:rFonts w:asciiTheme="minorBidi" w:hAnsiTheme="minorBidi"/>
                <w:color w:val="000000"/>
                <w:sz w:val="18"/>
                <w:szCs w:val="18"/>
              </w:rPr>
              <w:t>713</w:t>
            </w:r>
          </w:p>
        </w:tc>
        <w:tc>
          <w:tcPr>
            <w:tcW w:w="0" w:type="auto"/>
            <w:noWrap/>
            <w:vAlign w:val="center"/>
            <w:hideMark/>
          </w:tcPr>
          <w:p w14:paraId="4F90D7D2" w14:textId="27BDCE0A"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22</w:t>
            </w:r>
            <w:r w:rsidR="009402A5">
              <w:rPr>
                <w:rFonts w:asciiTheme="minorBidi" w:hAnsiTheme="minorBidi"/>
                <w:color w:val="000000"/>
                <w:sz w:val="18"/>
                <w:szCs w:val="18"/>
              </w:rPr>
              <w:t xml:space="preserve"> </w:t>
            </w:r>
            <w:r w:rsidRPr="00DF2C2E">
              <w:rPr>
                <w:rFonts w:asciiTheme="minorBidi" w:hAnsiTheme="minorBidi"/>
                <w:color w:val="000000"/>
                <w:sz w:val="18"/>
                <w:szCs w:val="18"/>
              </w:rPr>
              <w:t>315</w:t>
            </w:r>
          </w:p>
        </w:tc>
        <w:tc>
          <w:tcPr>
            <w:tcW w:w="0" w:type="auto"/>
            <w:noWrap/>
            <w:vAlign w:val="center"/>
            <w:hideMark/>
          </w:tcPr>
          <w:p w14:paraId="02B4638B" w14:textId="1768C97A"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23</w:t>
            </w:r>
            <w:r w:rsidR="009402A5">
              <w:rPr>
                <w:rFonts w:asciiTheme="minorBidi" w:hAnsiTheme="minorBidi"/>
                <w:color w:val="000000"/>
                <w:sz w:val="18"/>
                <w:szCs w:val="18"/>
              </w:rPr>
              <w:t xml:space="preserve"> </w:t>
            </w:r>
            <w:r w:rsidRPr="00DF2C2E">
              <w:rPr>
                <w:rFonts w:asciiTheme="minorBidi" w:hAnsiTheme="minorBidi"/>
                <w:color w:val="000000"/>
                <w:sz w:val="18"/>
                <w:szCs w:val="18"/>
              </w:rPr>
              <w:t>789</w:t>
            </w:r>
          </w:p>
        </w:tc>
        <w:tc>
          <w:tcPr>
            <w:tcW w:w="0" w:type="auto"/>
            <w:noWrap/>
            <w:vAlign w:val="center"/>
            <w:hideMark/>
          </w:tcPr>
          <w:p w14:paraId="5D5B6D36" w14:textId="455ECC81"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25</w:t>
            </w:r>
            <w:r w:rsidR="009402A5">
              <w:rPr>
                <w:rFonts w:asciiTheme="minorBidi" w:hAnsiTheme="minorBidi"/>
                <w:color w:val="000000"/>
                <w:sz w:val="18"/>
                <w:szCs w:val="18"/>
              </w:rPr>
              <w:t xml:space="preserve"> </w:t>
            </w:r>
            <w:r w:rsidRPr="00DF2C2E">
              <w:rPr>
                <w:rFonts w:asciiTheme="minorBidi" w:hAnsiTheme="minorBidi"/>
                <w:color w:val="000000"/>
                <w:sz w:val="18"/>
                <w:szCs w:val="18"/>
              </w:rPr>
              <w:t>926</w:t>
            </w:r>
          </w:p>
        </w:tc>
        <w:tc>
          <w:tcPr>
            <w:tcW w:w="0" w:type="auto"/>
            <w:noWrap/>
            <w:vAlign w:val="center"/>
            <w:hideMark/>
          </w:tcPr>
          <w:p w14:paraId="1779A6C9"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3100224B"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78%</w:t>
            </w:r>
          </w:p>
        </w:tc>
      </w:tr>
      <w:tr w:rsidR="00B54A22" w:rsidRPr="00DF2C2E" w14:paraId="3956CA49" w14:textId="77777777" w:rsidTr="00B54A22">
        <w:trPr>
          <w:trHeight w:val="300"/>
        </w:trPr>
        <w:tc>
          <w:tcPr>
            <w:tcW w:w="0" w:type="auto"/>
            <w:noWrap/>
            <w:vAlign w:val="center"/>
            <w:hideMark/>
          </w:tcPr>
          <w:p w14:paraId="7746C0F6"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Viljandi</w:t>
            </w:r>
          </w:p>
        </w:tc>
        <w:tc>
          <w:tcPr>
            <w:tcW w:w="0" w:type="auto"/>
            <w:noWrap/>
            <w:vAlign w:val="center"/>
            <w:hideMark/>
          </w:tcPr>
          <w:p w14:paraId="70659B05" w14:textId="62B7041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5</w:t>
            </w:r>
            <w:r w:rsidR="009402A5">
              <w:rPr>
                <w:rFonts w:asciiTheme="minorBidi" w:hAnsiTheme="minorBidi"/>
                <w:color w:val="000000"/>
                <w:sz w:val="18"/>
                <w:szCs w:val="18"/>
              </w:rPr>
              <w:t xml:space="preserve"> </w:t>
            </w:r>
            <w:r w:rsidRPr="00DF2C2E">
              <w:rPr>
                <w:rFonts w:asciiTheme="minorBidi" w:hAnsiTheme="minorBidi"/>
                <w:color w:val="000000"/>
                <w:sz w:val="18"/>
                <w:szCs w:val="18"/>
              </w:rPr>
              <w:t>747</w:t>
            </w:r>
          </w:p>
        </w:tc>
        <w:tc>
          <w:tcPr>
            <w:tcW w:w="0" w:type="auto"/>
            <w:noWrap/>
            <w:vAlign w:val="center"/>
            <w:hideMark/>
          </w:tcPr>
          <w:p w14:paraId="04F90030" w14:textId="6C0F8D0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w:t>
            </w:r>
            <w:r w:rsidR="009402A5">
              <w:rPr>
                <w:rFonts w:asciiTheme="minorBidi" w:hAnsiTheme="minorBidi"/>
                <w:color w:val="000000"/>
                <w:sz w:val="18"/>
                <w:szCs w:val="18"/>
              </w:rPr>
              <w:t xml:space="preserve"> </w:t>
            </w:r>
            <w:r w:rsidRPr="00DF2C2E">
              <w:rPr>
                <w:rFonts w:asciiTheme="minorBidi" w:hAnsiTheme="minorBidi"/>
                <w:color w:val="000000"/>
                <w:sz w:val="18"/>
                <w:szCs w:val="18"/>
              </w:rPr>
              <w:t>698</w:t>
            </w:r>
          </w:p>
        </w:tc>
        <w:tc>
          <w:tcPr>
            <w:tcW w:w="0" w:type="auto"/>
            <w:noWrap/>
            <w:vAlign w:val="center"/>
            <w:hideMark/>
          </w:tcPr>
          <w:p w14:paraId="5F88DE2B" w14:textId="7FB2C85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5</w:t>
            </w:r>
            <w:r w:rsidR="009402A5">
              <w:rPr>
                <w:rFonts w:asciiTheme="minorBidi" w:hAnsiTheme="minorBidi"/>
                <w:color w:val="000000"/>
                <w:sz w:val="18"/>
                <w:szCs w:val="18"/>
              </w:rPr>
              <w:t xml:space="preserve"> </w:t>
            </w:r>
            <w:r w:rsidRPr="00DF2C2E">
              <w:rPr>
                <w:rFonts w:asciiTheme="minorBidi" w:hAnsiTheme="minorBidi"/>
                <w:color w:val="000000"/>
                <w:sz w:val="18"/>
                <w:szCs w:val="18"/>
              </w:rPr>
              <w:t>729</w:t>
            </w:r>
          </w:p>
        </w:tc>
        <w:tc>
          <w:tcPr>
            <w:tcW w:w="0" w:type="auto"/>
            <w:noWrap/>
            <w:vAlign w:val="center"/>
            <w:hideMark/>
          </w:tcPr>
          <w:p w14:paraId="20C00252" w14:textId="761C07B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w:t>
            </w:r>
            <w:r w:rsidR="009402A5">
              <w:rPr>
                <w:rFonts w:asciiTheme="minorBidi" w:hAnsiTheme="minorBidi"/>
                <w:color w:val="000000"/>
                <w:sz w:val="18"/>
                <w:szCs w:val="18"/>
              </w:rPr>
              <w:t xml:space="preserve"> </w:t>
            </w:r>
            <w:r w:rsidRPr="00DF2C2E">
              <w:rPr>
                <w:rFonts w:asciiTheme="minorBidi" w:hAnsiTheme="minorBidi"/>
                <w:color w:val="000000"/>
                <w:sz w:val="18"/>
                <w:szCs w:val="18"/>
              </w:rPr>
              <w:t>612</w:t>
            </w:r>
          </w:p>
        </w:tc>
        <w:tc>
          <w:tcPr>
            <w:tcW w:w="0" w:type="auto"/>
            <w:noWrap/>
            <w:vAlign w:val="center"/>
            <w:hideMark/>
          </w:tcPr>
          <w:p w14:paraId="0125D072" w14:textId="4C9E5976"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11</w:t>
            </w:r>
            <w:r w:rsidR="009402A5">
              <w:rPr>
                <w:rFonts w:asciiTheme="minorBidi" w:hAnsiTheme="minorBidi"/>
                <w:color w:val="000000"/>
                <w:sz w:val="18"/>
                <w:szCs w:val="18"/>
              </w:rPr>
              <w:t xml:space="preserve"> </w:t>
            </w:r>
            <w:r w:rsidRPr="00DF2C2E">
              <w:rPr>
                <w:rFonts w:asciiTheme="minorBidi" w:hAnsiTheme="minorBidi"/>
                <w:color w:val="000000"/>
                <w:sz w:val="18"/>
                <w:szCs w:val="18"/>
              </w:rPr>
              <w:t>059</w:t>
            </w:r>
          </w:p>
        </w:tc>
        <w:tc>
          <w:tcPr>
            <w:tcW w:w="320" w:type="dxa"/>
            <w:noWrap/>
            <w:vAlign w:val="center"/>
            <w:hideMark/>
          </w:tcPr>
          <w:p w14:paraId="22BA51EC"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60E5A087"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92%</w:t>
            </w:r>
          </w:p>
        </w:tc>
        <w:tc>
          <w:tcPr>
            <w:tcW w:w="0" w:type="auto"/>
            <w:noWrap/>
            <w:vAlign w:val="center"/>
            <w:hideMark/>
          </w:tcPr>
          <w:p w14:paraId="5C2F314E" w14:textId="765844D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9</w:t>
            </w:r>
            <w:r w:rsidR="009402A5">
              <w:rPr>
                <w:rFonts w:asciiTheme="minorBidi" w:hAnsiTheme="minorBidi"/>
                <w:color w:val="000000"/>
                <w:sz w:val="18"/>
                <w:szCs w:val="18"/>
              </w:rPr>
              <w:t xml:space="preserve"> </w:t>
            </w:r>
            <w:r w:rsidRPr="00DF2C2E">
              <w:rPr>
                <w:rFonts w:asciiTheme="minorBidi" w:hAnsiTheme="minorBidi"/>
                <w:color w:val="000000"/>
                <w:sz w:val="18"/>
                <w:szCs w:val="18"/>
              </w:rPr>
              <w:t>361</w:t>
            </w:r>
          </w:p>
        </w:tc>
        <w:tc>
          <w:tcPr>
            <w:tcW w:w="0" w:type="auto"/>
            <w:noWrap/>
            <w:vAlign w:val="center"/>
            <w:hideMark/>
          </w:tcPr>
          <w:p w14:paraId="19836DCE" w14:textId="6BA329F1"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w:t>
            </w:r>
            <w:r w:rsidR="009402A5">
              <w:rPr>
                <w:rFonts w:asciiTheme="minorBidi" w:hAnsiTheme="minorBidi"/>
                <w:color w:val="000000"/>
                <w:sz w:val="18"/>
                <w:szCs w:val="18"/>
              </w:rPr>
              <w:t xml:space="preserve"> </w:t>
            </w:r>
            <w:r w:rsidRPr="00DF2C2E">
              <w:rPr>
                <w:rFonts w:asciiTheme="minorBidi" w:hAnsiTheme="minorBidi"/>
                <w:color w:val="000000"/>
                <w:sz w:val="18"/>
                <w:szCs w:val="18"/>
              </w:rPr>
              <w:t>329</w:t>
            </w:r>
          </w:p>
        </w:tc>
        <w:tc>
          <w:tcPr>
            <w:tcW w:w="0" w:type="auto"/>
            <w:noWrap/>
            <w:vAlign w:val="center"/>
            <w:hideMark/>
          </w:tcPr>
          <w:p w14:paraId="621843F6" w14:textId="521A810A"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9</w:t>
            </w:r>
            <w:r w:rsidR="009402A5">
              <w:rPr>
                <w:rFonts w:asciiTheme="minorBidi" w:hAnsiTheme="minorBidi"/>
                <w:color w:val="000000"/>
                <w:sz w:val="18"/>
                <w:szCs w:val="18"/>
              </w:rPr>
              <w:t xml:space="preserve"> </w:t>
            </w:r>
            <w:r w:rsidRPr="00DF2C2E">
              <w:rPr>
                <w:rFonts w:asciiTheme="minorBidi" w:hAnsiTheme="minorBidi"/>
                <w:color w:val="000000"/>
                <w:sz w:val="18"/>
                <w:szCs w:val="18"/>
              </w:rPr>
              <w:t>227</w:t>
            </w:r>
          </w:p>
        </w:tc>
        <w:tc>
          <w:tcPr>
            <w:tcW w:w="0" w:type="auto"/>
            <w:noWrap/>
            <w:vAlign w:val="center"/>
            <w:hideMark/>
          </w:tcPr>
          <w:p w14:paraId="57F4232F" w14:textId="5913008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12</w:t>
            </w:r>
            <w:r w:rsidR="009402A5">
              <w:rPr>
                <w:rFonts w:asciiTheme="minorBidi" w:hAnsiTheme="minorBidi"/>
                <w:color w:val="000000"/>
                <w:sz w:val="18"/>
                <w:szCs w:val="18"/>
              </w:rPr>
              <w:t xml:space="preserve"> </w:t>
            </w:r>
            <w:r w:rsidRPr="00DF2C2E">
              <w:rPr>
                <w:rFonts w:asciiTheme="minorBidi" w:hAnsiTheme="minorBidi"/>
                <w:color w:val="000000"/>
                <w:sz w:val="18"/>
                <w:szCs w:val="18"/>
              </w:rPr>
              <w:t>066</w:t>
            </w:r>
          </w:p>
        </w:tc>
        <w:tc>
          <w:tcPr>
            <w:tcW w:w="0" w:type="auto"/>
            <w:noWrap/>
            <w:vAlign w:val="center"/>
            <w:hideMark/>
          </w:tcPr>
          <w:p w14:paraId="4BF6B4B7" w14:textId="02FA2EBC"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17</w:t>
            </w:r>
            <w:r w:rsidR="009402A5">
              <w:rPr>
                <w:rFonts w:asciiTheme="minorBidi" w:hAnsiTheme="minorBidi"/>
                <w:color w:val="000000"/>
                <w:sz w:val="18"/>
                <w:szCs w:val="18"/>
              </w:rPr>
              <w:t xml:space="preserve"> </w:t>
            </w:r>
            <w:r w:rsidRPr="00DF2C2E">
              <w:rPr>
                <w:rFonts w:asciiTheme="minorBidi" w:hAnsiTheme="minorBidi"/>
                <w:color w:val="000000"/>
                <w:sz w:val="18"/>
                <w:szCs w:val="18"/>
              </w:rPr>
              <w:t>772</w:t>
            </w:r>
          </w:p>
        </w:tc>
        <w:tc>
          <w:tcPr>
            <w:tcW w:w="0" w:type="auto"/>
            <w:noWrap/>
            <w:vAlign w:val="center"/>
            <w:hideMark/>
          </w:tcPr>
          <w:p w14:paraId="527FA6DF"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0631A36A"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90%</w:t>
            </w:r>
          </w:p>
        </w:tc>
      </w:tr>
      <w:tr w:rsidR="00B54A22" w:rsidRPr="00DF2C2E" w14:paraId="55F5E625" w14:textId="77777777" w:rsidTr="00B54A22">
        <w:trPr>
          <w:trHeight w:val="300"/>
        </w:trPr>
        <w:tc>
          <w:tcPr>
            <w:tcW w:w="0" w:type="auto"/>
            <w:noWrap/>
            <w:vAlign w:val="center"/>
            <w:hideMark/>
          </w:tcPr>
          <w:p w14:paraId="519B35E0"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Võru</w:t>
            </w:r>
          </w:p>
        </w:tc>
        <w:tc>
          <w:tcPr>
            <w:tcW w:w="0" w:type="auto"/>
            <w:noWrap/>
            <w:vAlign w:val="center"/>
            <w:hideMark/>
          </w:tcPr>
          <w:p w14:paraId="4A6EA6AB" w14:textId="63B8BEA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w:t>
            </w:r>
            <w:r w:rsidR="009402A5">
              <w:rPr>
                <w:rFonts w:asciiTheme="minorBidi" w:hAnsiTheme="minorBidi"/>
                <w:color w:val="000000"/>
                <w:sz w:val="18"/>
                <w:szCs w:val="18"/>
              </w:rPr>
              <w:t xml:space="preserve"> </w:t>
            </w:r>
            <w:r w:rsidRPr="00DF2C2E">
              <w:rPr>
                <w:rFonts w:asciiTheme="minorBidi" w:hAnsiTheme="minorBidi"/>
                <w:color w:val="000000"/>
                <w:sz w:val="18"/>
                <w:szCs w:val="18"/>
              </w:rPr>
              <w:t>462</w:t>
            </w:r>
          </w:p>
        </w:tc>
        <w:tc>
          <w:tcPr>
            <w:tcW w:w="0" w:type="auto"/>
            <w:noWrap/>
            <w:vAlign w:val="center"/>
            <w:hideMark/>
          </w:tcPr>
          <w:p w14:paraId="11FCD53A" w14:textId="2D449E7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8</w:t>
            </w:r>
            <w:r w:rsidR="009402A5">
              <w:rPr>
                <w:rFonts w:asciiTheme="minorBidi" w:hAnsiTheme="minorBidi"/>
                <w:color w:val="000000"/>
                <w:sz w:val="18"/>
                <w:szCs w:val="18"/>
              </w:rPr>
              <w:t xml:space="preserve"> </w:t>
            </w:r>
            <w:r w:rsidRPr="00DF2C2E">
              <w:rPr>
                <w:rFonts w:asciiTheme="minorBidi" w:hAnsiTheme="minorBidi"/>
                <w:color w:val="000000"/>
                <w:sz w:val="18"/>
                <w:szCs w:val="18"/>
              </w:rPr>
              <w:t>717</w:t>
            </w:r>
          </w:p>
        </w:tc>
        <w:tc>
          <w:tcPr>
            <w:tcW w:w="0" w:type="auto"/>
            <w:noWrap/>
            <w:vAlign w:val="center"/>
            <w:hideMark/>
          </w:tcPr>
          <w:p w14:paraId="2B8CC326" w14:textId="2C5E62C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11</w:t>
            </w:r>
            <w:r w:rsidR="009402A5">
              <w:rPr>
                <w:rFonts w:asciiTheme="minorBidi" w:hAnsiTheme="minorBidi"/>
                <w:color w:val="000000"/>
                <w:sz w:val="18"/>
                <w:szCs w:val="18"/>
              </w:rPr>
              <w:t xml:space="preserve"> </w:t>
            </w:r>
            <w:r w:rsidRPr="00DF2C2E">
              <w:rPr>
                <w:rFonts w:asciiTheme="minorBidi" w:hAnsiTheme="minorBidi"/>
                <w:color w:val="000000"/>
                <w:sz w:val="18"/>
                <w:szCs w:val="18"/>
              </w:rPr>
              <w:t>134</w:t>
            </w:r>
          </w:p>
        </w:tc>
        <w:tc>
          <w:tcPr>
            <w:tcW w:w="0" w:type="auto"/>
            <w:noWrap/>
            <w:vAlign w:val="center"/>
            <w:hideMark/>
          </w:tcPr>
          <w:p w14:paraId="522761AB" w14:textId="59F247F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10</w:t>
            </w:r>
            <w:r w:rsidR="009402A5">
              <w:rPr>
                <w:rFonts w:asciiTheme="minorBidi" w:hAnsiTheme="minorBidi"/>
                <w:color w:val="000000"/>
                <w:sz w:val="18"/>
                <w:szCs w:val="18"/>
              </w:rPr>
              <w:t xml:space="preserve"> </w:t>
            </w:r>
            <w:r w:rsidRPr="00DF2C2E">
              <w:rPr>
                <w:rFonts w:asciiTheme="minorBidi" w:hAnsiTheme="minorBidi"/>
                <w:color w:val="000000"/>
                <w:sz w:val="18"/>
                <w:szCs w:val="18"/>
              </w:rPr>
              <w:t>720</w:t>
            </w:r>
          </w:p>
        </w:tc>
        <w:tc>
          <w:tcPr>
            <w:tcW w:w="0" w:type="auto"/>
            <w:noWrap/>
            <w:vAlign w:val="center"/>
            <w:hideMark/>
          </w:tcPr>
          <w:p w14:paraId="4BDAC74B" w14:textId="07184FDA"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13</w:t>
            </w:r>
            <w:r w:rsidR="009402A5">
              <w:rPr>
                <w:rFonts w:asciiTheme="minorBidi" w:hAnsiTheme="minorBidi"/>
                <w:color w:val="000000"/>
                <w:sz w:val="18"/>
                <w:szCs w:val="18"/>
              </w:rPr>
              <w:t xml:space="preserve"> </w:t>
            </w:r>
            <w:r w:rsidRPr="00DF2C2E">
              <w:rPr>
                <w:rFonts w:asciiTheme="minorBidi" w:hAnsiTheme="minorBidi"/>
                <w:color w:val="000000"/>
                <w:sz w:val="18"/>
                <w:szCs w:val="18"/>
              </w:rPr>
              <w:t>152</w:t>
            </w:r>
          </w:p>
        </w:tc>
        <w:tc>
          <w:tcPr>
            <w:tcW w:w="320" w:type="dxa"/>
            <w:noWrap/>
            <w:vAlign w:val="center"/>
            <w:hideMark/>
          </w:tcPr>
          <w:p w14:paraId="231C70D9"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1521FE31"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76%</w:t>
            </w:r>
          </w:p>
        </w:tc>
        <w:tc>
          <w:tcPr>
            <w:tcW w:w="0" w:type="auto"/>
            <w:noWrap/>
            <w:vAlign w:val="center"/>
            <w:hideMark/>
          </w:tcPr>
          <w:p w14:paraId="1C380DFA" w14:textId="2A2A3A3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14</w:t>
            </w:r>
            <w:r w:rsidR="009402A5">
              <w:rPr>
                <w:rFonts w:asciiTheme="minorBidi" w:hAnsiTheme="minorBidi"/>
                <w:color w:val="000000"/>
                <w:sz w:val="18"/>
                <w:szCs w:val="18"/>
              </w:rPr>
              <w:t xml:space="preserve"> </w:t>
            </w:r>
            <w:r w:rsidRPr="00DF2C2E">
              <w:rPr>
                <w:rFonts w:asciiTheme="minorBidi" w:hAnsiTheme="minorBidi"/>
                <w:color w:val="000000"/>
                <w:sz w:val="18"/>
                <w:szCs w:val="18"/>
              </w:rPr>
              <w:t>188</w:t>
            </w:r>
          </w:p>
        </w:tc>
        <w:tc>
          <w:tcPr>
            <w:tcW w:w="0" w:type="auto"/>
            <w:noWrap/>
            <w:vAlign w:val="center"/>
            <w:hideMark/>
          </w:tcPr>
          <w:p w14:paraId="2D7CF85A" w14:textId="40D4E2E9"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15</w:t>
            </w:r>
            <w:r w:rsidR="009402A5">
              <w:rPr>
                <w:rFonts w:asciiTheme="minorBidi" w:hAnsiTheme="minorBidi"/>
                <w:color w:val="000000"/>
                <w:sz w:val="18"/>
                <w:szCs w:val="18"/>
              </w:rPr>
              <w:t xml:space="preserve"> </w:t>
            </w:r>
            <w:r w:rsidRPr="00DF2C2E">
              <w:rPr>
                <w:rFonts w:asciiTheme="minorBidi" w:hAnsiTheme="minorBidi"/>
                <w:color w:val="000000"/>
                <w:sz w:val="18"/>
                <w:szCs w:val="18"/>
              </w:rPr>
              <w:t>653</w:t>
            </w:r>
          </w:p>
        </w:tc>
        <w:tc>
          <w:tcPr>
            <w:tcW w:w="0" w:type="auto"/>
            <w:noWrap/>
            <w:vAlign w:val="center"/>
            <w:hideMark/>
          </w:tcPr>
          <w:p w14:paraId="2E5067F1" w14:textId="403E077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20</w:t>
            </w:r>
            <w:r w:rsidR="009402A5">
              <w:rPr>
                <w:rFonts w:asciiTheme="minorBidi" w:hAnsiTheme="minorBidi"/>
                <w:color w:val="000000"/>
                <w:sz w:val="18"/>
                <w:szCs w:val="18"/>
              </w:rPr>
              <w:t xml:space="preserve"> </w:t>
            </w:r>
            <w:r w:rsidRPr="00DF2C2E">
              <w:rPr>
                <w:rFonts w:asciiTheme="minorBidi" w:hAnsiTheme="minorBidi"/>
                <w:color w:val="000000"/>
                <w:sz w:val="18"/>
                <w:szCs w:val="18"/>
              </w:rPr>
              <w:t>415</w:t>
            </w:r>
          </w:p>
        </w:tc>
        <w:tc>
          <w:tcPr>
            <w:tcW w:w="0" w:type="auto"/>
            <w:noWrap/>
            <w:vAlign w:val="center"/>
            <w:hideMark/>
          </w:tcPr>
          <w:p w14:paraId="5DB05AD2" w14:textId="1BD69A0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21</w:t>
            </w:r>
            <w:r w:rsidR="009402A5">
              <w:rPr>
                <w:rFonts w:asciiTheme="minorBidi" w:hAnsiTheme="minorBidi"/>
                <w:color w:val="000000"/>
                <w:sz w:val="18"/>
                <w:szCs w:val="18"/>
              </w:rPr>
              <w:t xml:space="preserve"> </w:t>
            </w:r>
            <w:r w:rsidRPr="00DF2C2E">
              <w:rPr>
                <w:rFonts w:asciiTheme="minorBidi" w:hAnsiTheme="minorBidi"/>
                <w:color w:val="000000"/>
                <w:sz w:val="18"/>
                <w:szCs w:val="18"/>
              </w:rPr>
              <w:t>162</w:t>
            </w:r>
          </w:p>
        </w:tc>
        <w:tc>
          <w:tcPr>
            <w:tcW w:w="0" w:type="auto"/>
            <w:noWrap/>
            <w:vAlign w:val="center"/>
            <w:hideMark/>
          </w:tcPr>
          <w:p w14:paraId="51991510" w14:textId="50E1E42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23</w:t>
            </w:r>
            <w:r w:rsidR="009402A5">
              <w:rPr>
                <w:rFonts w:asciiTheme="minorBidi" w:hAnsiTheme="minorBidi"/>
                <w:color w:val="000000"/>
                <w:sz w:val="18"/>
                <w:szCs w:val="18"/>
              </w:rPr>
              <w:t xml:space="preserve"> </w:t>
            </w:r>
            <w:r w:rsidRPr="00DF2C2E">
              <w:rPr>
                <w:rFonts w:asciiTheme="minorBidi" w:hAnsiTheme="minorBidi"/>
                <w:color w:val="000000"/>
                <w:sz w:val="18"/>
                <w:szCs w:val="18"/>
              </w:rPr>
              <w:t>977</w:t>
            </w:r>
          </w:p>
        </w:tc>
        <w:tc>
          <w:tcPr>
            <w:tcW w:w="0" w:type="auto"/>
            <w:noWrap/>
            <w:vAlign w:val="center"/>
            <w:hideMark/>
          </w:tcPr>
          <w:p w14:paraId="78C9DA6E"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72CDA312"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69%</w:t>
            </w:r>
          </w:p>
        </w:tc>
      </w:tr>
      <w:tr w:rsidR="00B54A22" w:rsidRPr="00DF2C2E" w14:paraId="306F0D79" w14:textId="77777777" w:rsidTr="00B54A22">
        <w:trPr>
          <w:trHeight w:val="300"/>
        </w:trPr>
        <w:tc>
          <w:tcPr>
            <w:tcW w:w="0" w:type="auto"/>
            <w:noWrap/>
            <w:vAlign w:val="center"/>
            <w:hideMark/>
          </w:tcPr>
          <w:p w14:paraId="558AF5FA"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EESTI</w:t>
            </w:r>
          </w:p>
        </w:tc>
        <w:tc>
          <w:tcPr>
            <w:tcW w:w="0" w:type="auto"/>
            <w:noWrap/>
            <w:vAlign w:val="center"/>
            <w:hideMark/>
          </w:tcPr>
          <w:p w14:paraId="4F0B5E2C" w14:textId="3162DE7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624</w:t>
            </w:r>
            <w:r w:rsidR="009402A5">
              <w:rPr>
                <w:rFonts w:asciiTheme="minorBidi" w:hAnsiTheme="minorBidi"/>
                <w:color w:val="000000"/>
                <w:sz w:val="18"/>
                <w:szCs w:val="18"/>
              </w:rPr>
              <w:t xml:space="preserve"> </w:t>
            </w:r>
            <w:r w:rsidRPr="00DF2C2E">
              <w:rPr>
                <w:rFonts w:asciiTheme="minorBidi" w:hAnsiTheme="minorBidi"/>
                <w:color w:val="000000"/>
                <w:sz w:val="18"/>
                <w:szCs w:val="18"/>
              </w:rPr>
              <w:t>124</w:t>
            </w:r>
          </w:p>
        </w:tc>
        <w:tc>
          <w:tcPr>
            <w:tcW w:w="0" w:type="auto"/>
            <w:noWrap/>
            <w:vAlign w:val="center"/>
            <w:hideMark/>
          </w:tcPr>
          <w:p w14:paraId="02289C79" w14:textId="168B40D1"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334</w:t>
            </w:r>
            <w:r w:rsidR="009402A5">
              <w:rPr>
                <w:rFonts w:asciiTheme="minorBidi" w:hAnsiTheme="minorBidi"/>
                <w:color w:val="000000"/>
                <w:sz w:val="18"/>
                <w:szCs w:val="18"/>
              </w:rPr>
              <w:t xml:space="preserve"> </w:t>
            </w:r>
            <w:r w:rsidRPr="00DF2C2E">
              <w:rPr>
                <w:rFonts w:asciiTheme="minorBidi" w:hAnsiTheme="minorBidi"/>
                <w:color w:val="000000"/>
                <w:sz w:val="18"/>
                <w:szCs w:val="18"/>
              </w:rPr>
              <w:t>587</w:t>
            </w:r>
          </w:p>
        </w:tc>
        <w:tc>
          <w:tcPr>
            <w:tcW w:w="0" w:type="auto"/>
            <w:noWrap/>
            <w:vAlign w:val="center"/>
            <w:hideMark/>
          </w:tcPr>
          <w:p w14:paraId="6B07834E" w14:textId="44BAEE99"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343</w:t>
            </w:r>
            <w:r w:rsidR="009402A5">
              <w:rPr>
                <w:rFonts w:asciiTheme="minorBidi" w:hAnsiTheme="minorBidi"/>
                <w:color w:val="000000"/>
                <w:sz w:val="18"/>
                <w:szCs w:val="18"/>
              </w:rPr>
              <w:t xml:space="preserve"> </w:t>
            </w:r>
            <w:r w:rsidRPr="00DF2C2E">
              <w:rPr>
                <w:rFonts w:asciiTheme="minorBidi" w:hAnsiTheme="minorBidi"/>
                <w:color w:val="000000"/>
                <w:sz w:val="18"/>
                <w:szCs w:val="18"/>
              </w:rPr>
              <w:t>291</w:t>
            </w:r>
          </w:p>
        </w:tc>
        <w:tc>
          <w:tcPr>
            <w:tcW w:w="0" w:type="auto"/>
            <w:noWrap/>
            <w:vAlign w:val="center"/>
            <w:hideMark/>
          </w:tcPr>
          <w:p w14:paraId="1A452DC5" w14:textId="51A563F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503</w:t>
            </w:r>
            <w:r w:rsidR="009402A5">
              <w:rPr>
                <w:rFonts w:asciiTheme="minorBidi" w:hAnsiTheme="minorBidi"/>
                <w:color w:val="000000"/>
                <w:sz w:val="18"/>
                <w:szCs w:val="18"/>
              </w:rPr>
              <w:t xml:space="preserve"> </w:t>
            </w:r>
            <w:r w:rsidRPr="00DF2C2E">
              <w:rPr>
                <w:rFonts w:asciiTheme="minorBidi" w:hAnsiTheme="minorBidi"/>
                <w:color w:val="000000"/>
                <w:sz w:val="18"/>
                <w:szCs w:val="18"/>
              </w:rPr>
              <w:t>736</w:t>
            </w:r>
          </w:p>
        </w:tc>
        <w:tc>
          <w:tcPr>
            <w:tcW w:w="0" w:type="auto"/>
            <w:noWrap/>
            <w:vAlign w:val="center"/>
            <w:hideMark/>
          </w:tcPr>
          <w:p w14:paraId="6AF98E4B" w14:textId="69C53809"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602</w:t>
            </w:r>
            <w:r w:rsidR="009402A5">
              <w:rPr>
                <w:rFonts w:asciiTheme="minorBidi" w:hAnsiTheme="minorBidi"/>
                <w:color w:val="000000"/>
                <w:sz w:val="18"/>
                <w:szCs w:val="18"/>
              </w:rPr>
              <w:t xml:space="preserve"> </w:t>
            </w:r>
            <w:r w:rsidRPr="00DF2C2E">
              <w:rPr>
                <w:rFonts w:asciiTheme="minorBidi" w:hAnsiTheme="minorBidi"/>
                <w:color w:val="000000"/>
                <w:sz w:val="18"/>
                <w:szCs w:val="18"/>
              </w:rPr>
              <w:t>945</w:t>
            </w:r>
          </w:p>
        </w:tc>
        <w:tc>
          <w:tcPr>
            <w:tcW w:w="320" w:type="dxa"/>
            <w:noWrap/>
            <w:vAlign w:val="center"/>
            <w:hideMark/>
          </w:tcPr>
          <w:p w14:paraId="02D4C823"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380EA7FA" w14:textId="77777777" w:rsidR="00714E6E"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-3%</w:t>
            </w:r>
          </w:p>
        </w:tc>
        <w:tc>
          <w:tcPr>
            <w:tcW w:w="0" w:type="auto"/>
            <w:noWrap/>
            <w:vAlign w:val="center"/>
            <w:hideMark/>
          </w:tcPr>
          <w:p w14:paraId="634CFD3B" w14:textId="4D9A9DC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523</w:t>
            </w:r>
            <w:r w:rsidR="009402A5">
              <w:rPr>
                <w:rFonts w:asciiTheme="minorBidi" w:hAnsiTheme="minorBidi"/>
                <w:color w:val="000000"/>
                <w:sz w:val="18"/>
                <w:szCs w:val="18"/>
              </w:rPr>
              <w:t xml:space="preserve"> </w:t>
            </w:r>
            <w:r w:rsidRPr="00DF2C2E">
              <w:rPr>
                <w:rFonts w:asciiTheme="minorBidi" w:hAnsiTheme="minorBidi"/>
                <w:color w:val="000000"/>
                <w:sz w:val="18"/>
                <w:szCs w:val="18"/>
              </w:rPr>
              <w:t>338</w:t>
            </w:r>
          </w:p>
        </w:tc>
        <w:tc>
          <w:tcPr>
            <w:tcW w:w="0" w:type="auto"/>
            <w:noWrap/>
            <w:vAlign w:val="center"/>
            <w:hideMark/>
          </w:tcPr>
          <w:p w14:paraId="1B9BA42A" w14:textId="2C007A0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806</w:t>
            </w:r>
            <w:r w:rsidR="009402A5">
              <w:rPr>
                <w:rFonts w:asciiTheme="minorBidi" w:hAnsiTheme="minorBidi"/>
                <w:color w:val="000000"/>
                <w:sz w:val="18"/>
                <w:szCs w:val="18"/>
              </w:rPr>
              <w:t xml:space="preserve"> </w:t>
            </w:r>
            <w:r w:rsidRPr="00DF2C2E">
              <w:rPr>
                <w:rFonts w:asciiTheme="minorBidi" w:hAnsiTheme="minorBidi"/>
                <w:color w:val="000000"/>
                <w:sz w:val="18"/>
                <w:szCs w:val="18"/>
              </w:rPr>
              <w:t>091</w:t>
            </w:r>
          </w:p>
        </w:tc>
        <w:tc>
          <w:tcPr>
            <w:tcW w:w="0" w:type="auto"/>
            <w:noWrap/>
            <w:vAlign w:val="center"/>
            <w:hideMark/>
          </w:tcPr>
          <w:p w14:paraId="3CF5B008" w14:textId="7EF13C1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847</w:t>
            </w:r>
            <w:r w:rsidR="009402A5">
              <w:rPr>
                <w:rFonts w:asciiTheme="minorBidi" w:hAnsiTheme="minorBidi"/>
                <w:color w:val="000000"/>
                <w:sz w:val="18"/>
                <w:szCs w:val="18"/>
              </w:rPr>
              <w:t xml:space="preserve"> </w:t>
            </w:r>
            <w:r w:rsidRPr="00DF2C2E">
              <w:rPr>
                <w:rFonts w:asciiTheme="minorBidi" w:hAnsiTheme="minorBidi"/>
                <w:color w:val="000000"/>
                <w:sz w:val="18"/>
                <w:szCs w:val="18"/>
              </w:rPr>
              <w:t>516</w:t>
            </w:r>
          </w:p>
        </w:tc>
        <w:tc>
          <w:tcPr>
            <w:tcW w:w="0" w:type="auto"/>
            <w:noWrap/>
            <w:vAlign w:val="center"/>
            <w:hideMark/>
          </w:tcPr>
          <w:p w14:paraId="386EF567" w14:textId="318B73A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286</w:t>
            </w:r>
            <w:r w:rsidR="009402A5">
              <w:rPr>
                <w:rFonts w:asciiTheme="minorBidi" w:hAnsiTheme="minorBidi"/>
                <w:color w:val="000000"/>
                <w:sz w:val="18"/>
                <w:szCs w:val="18"/>
              </w:rPr>
              <w:t xml:space="preserve"> </w:t>
            </w:r>
            <w:r w:rsidRPr="00DF2C2E">
              <w:rPr>
                <w:rFonts w:asciiTheme="minorBidi" w:hAnsiTheme="minorBidi"/>
                <w:color w:val="000000"/>
                <w:sz w:val="18"/>
                <w:szCs w:val="18"/>
              </w:rPr>
              <w:t>201</w:t>
            </w:r>
          </w:p>
        </w:tc>
        <w:tc>
          <w:tcPr>
            <w:tcW w:w="0" w:type="auto"/>
            <w:noWrap/>
            <w:vAlign w:val="center"/>
            <w:hideMark/>
          </w:tcPr>
          <w:p w14:paraId="13C949BC" w14:textId="17ACA1A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w:t>
            </w:r>
            <w:r w:rsidR="009402A5">
              <w:rPr>
                <w:rFonts w:asciiTheme="minorBidi" w:hAnsiTheme="minorBidi"/>
                <w:color w:val="000000"/>
                <w:sz w:val="18"/>
                <w:szCs w:val="18"/>
              </w:rPr>
              <w:t xml:space="preserve"> </w:t>
            </w:r>
            <w:r w:rsidRPr="00DF2C2E">
              <w:rPr>
                <w:rFonts w:asciiTheme="minorBidi" w:hAnsiTheme="minorBidi"/>
                <w:color w:val="000000"/>
                <w:sz w:val="18"/>
                <w:szCs w:val="18"/>
              </w:rPr>
              <w:t>482</w:t>
            </w:r>
            <w:r w:rsidR="009402A5">
              <w:rPr>
                <w:rFonts w:asciiTheme="minorBidi" w:hAnsiTheme="minorBidi"/>
                <w:color w:val="000000"/>
                <w:sz w:val="18"/>
                <w:szCs w:val="18"/>
              </w:rPr>
              <w:t xml:space="preserve"> </w:t>
            </w:r>
            <w:r w:rsidRPr="00DF2C2E">
              <w:rPr>
                <w:rFonts w:asciiTheme="minorBidi" w:hAnsiTheme="minorBidi"/>
                <w:color w:val="000000"/>
                <w:sz w:val="18"/>
                <w:szCs w:val="18"/>
              </w:rPr>
              <w:t>227</w:t>
            </w:r>
          </w:p>
        </w:tc>
        <w:tc>
          <w:tcPr>
            <w:tcW w:w="0" w:type="auto"/>
            <w:noWrap/>
            <w:vAlign w:val="center"/>
            <w:hideMark/>
          </w:tcPr>
          <w:p w14:paraId="2C1E788E"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2803AF76"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color w:val="FF0000"/>
                <w:sz w:val="18"/>
                <w:szCs w:val="18"/>
              </w:rPr>
              <w:t>-3%</w:t>
            </w:r>
          </w:p>
        </w:tc>
      </w:tr>
      <w:tr w:rsidR="00B54A22" w:rsidRPr="00DF2C2E" w14:paraId="4A85C2E0" w14:textId="77777777" w:rsidTr="00B54A22">
        <w:trPr>
          <w:trHeight w:val="300"/>
        </w:trPr>
        <w:tc>
          <w:tcPr>
            <w:tcW w:w="0" w:type="auto"/>
            <w:noWrap/>
            <w:vAlign w:val="center"/>
            <w:hideMark/>
          </w:tcPr>
          <w:p w14:paraId="2F649900" w14:textId="77777777" w:rsidR="00714E6E" w:rsidRPr="00DF2C2E" w:rsidRDefault="00714E6E" w:rsidP="000A5063">
            <w:pPr>
              <w:spacing w:before="0" w:after="0" w:line="240" w:lineRule="auto"/>
              <w:jc w:val="center"/>
              <w:rPr>
                <w:rFonts w:asciiTheme="minorBidi" w:hAnsiTheme="minorBidi"/>
                <w:b/>
                <w:color w:val="0070C0"/>
                <w:sz w:val="18"/>
                <w:szCs w:val="18"/>
              </w:rPr>
            </w:pPr>
          </w:p>
        </w:tc>
        <w:tc>
          <w:tcPr>
            <w:tcW w:w="0" w:type="auto"/>
            <w:noWrap/>
            <w:vAlign w:val="center"/>
            <w:hideMark/>
          </w:tcPr>
          <w:p w14:paraId="414E57C3" w14:textId="77777777" w:rsidR="00714E6E" w:rsidRPr="00DF2C2E" w:rsidRDefault="00714E6E" w:rsidP="000A5063">
            <w:pPr>
              <w:spacing w:before="0" w:after="0" w:line="240" w:lineRule="auto"/>
              <w:rPr>
                <w:rFonts w:asciiTheme="minorBidi" w:hAnsiTheme="minorBidi"/>
                <w:sz w:val="18"/>
                <w:szCs w:val="18"/>
              </w:rPr>
            </w:pPr>
          </w:p>
        </w:tc>
        <w:tc>
          <w:tcPr>
            <w:tcW w:w="0" w:type="auto"/>
            <w:noWrap/>
            <w:vAlign w:val="center"/>
            <w:hideMark/>
          </w:tcPr>
          <w:p w14:paraId="7589A79B" w14:textId="77777777" w:rsidR="00714E6E" w:rsidRPr="00DF2C2E" w:rsidRDefault="00714E6E" w:rsidP="000A5063">
            <w:pPr>
              <w:spacing w:before="0" w:after="0" w:line="240" w:lineRule="auto"/>
              <w:rPr>
                <w:rFonts w:asciiTheme="minorBidi" w:hAnsiTheme="minorBidi"/>
                <w:sz w:val="18"/>
                <w:szCs w:val="18"/>
              </w:rPr>
            </w:pPr>
          </w:p>
        </w:tc>
        <w:tc>
          <w:tcPr>
            <w:tcW w:w="0" w:type="auto"/>
            <w:noWrap/>
            <w:vAlign w:val="center"/>
            <w:hideMark/>
          </w:tcPr>
          <w:p w14:paraId="3CEFE85C" w14:textId="77777777" w:rsidR="00714E6E" w:rsidRPr="00DF2C2E" w:rsidRDefault="00714E6E" w:rsidP="000A5063">
            <w:pPr>
              <w:spacing w:before="0" w:after="0" w:line="240" w:lineRule="auto"/>
              <w:rPr>
                <w:rFonts w:asciiTheme="minorBidi" w:hAnsiTheme="minorBidi"/>
                <w:sz w:val="18"/>
                <w:szCs w:val="18"/>
              </w:rPr>
            </w:pPr>
          </w:p>
        </w:tc>
        <w:tc>
          <w:tcPr>
            <w:tcW w:w="0" w:type="auto"/>
            <w:noWrap/>
            <w:vAlign w:val="center"/>
            <w:hideMark/>
          </w:tcPr>
          <w:p w14:paraId="5AB1DF6C" w14:textId="77777777" w:rsidR="00714E6E" w:rsidRPr="00DF2C2E" w:rsidRDefault="00714E6E" w:rsidP="000A5063">
            <w:pPr>
              <w:spacing w:before="0" w:after="0" w:line="240" w:lineRule="auto"/>
              <w:rPr>
                <w:rFonts w:asciiTheme="minorBidi" w:hAnsiTheme="minorBidi"/>
                <w:sz w:val="18"/>
                <w:szCs w:val="18"/>
              </w:rPr>
            </w:pPr>
          </w:p>
        </w:tc>
        <w:tc>
          <w:tcPr>
            <w:tcW w:w="0" w:type="auto"/>
            <w:noWrap/>
            <w:vAlign w:val="center"/>
            <w:hideMark/>
          </w:tcPr>
          <w:p w14:paraId="74D50F71" w14:textId="77777777" w:rsidR="00714E6E" w:rsidRPr="00DF2C2E" w:rsidRDefault="00714E6E" w:rsidP="000A5063">
            <w:pPr>
              <w:spacing w:before="0" w:after="0" w:line="240" w:lineRule="auto"/>
              <w:rPr>
                <w:rFonts w:asciiTheme="minorBidi" w:hAnsiTheme="minorBidi"/>
                <w:sz w:val="18"/>
                <w:szCs w:val="18"/>
              </w:rPr>
            </w:pPr>
          </w:p>
        </w:tc>
        <w:tc>
          <w:tcPr>
            <w:tcW w:w="320" w:type="dxa"/>
            <w:noWrap/>
            <w:vAlign w:val="center"/>
            <w:hideMark/>
          </w:tcPr>
          <w:p w14:paraId="2CBE60C2" w14:textId="77777777" w:rsidR="00714E6E" w:rsidRPr="00DF2C2E" w:rsidRDefault="00714E6E" w:rsidP="000A5063">
            <w:pPr>
              <w:spacing w:before="0" w:after="0" w:line="240" w:lineRule="auto"/>
              <w:rPr>
                <w:rFonts w:asciiTheme="minorBidi" w:hAnsiTheme="minorBidi"/>
                <w:sz w:val="18"/>
                <w:szCs w:val="18"/>
              </w:rPr>
            </w:pPr>
          </w:p>
        </w:tc>
        <w:tc>
          <w:tcPr>
            <w:tcW w:w="896" w:type="dxa"/>
            <w:shd w:val="clear" w:color="auto" w:fill="E5E5E5" w:themeFill="background2" w:themeFillShade="E6"/>
            <w:noWrap/>
            <w:vAlign w:val="center"/>
            <w:hideMark/>
          </w:tcPr>
          <w:p w14:paraId="1E92ABF3" w14:textId="77777777" w:rsidR="00714E6E" w:rsidRPr="00DF2C2E" w:rsidRDefault="00714E6E" w:rsidP="4A7E2F16">
            <w:pPr>
              <w:spacing w:before="0" w:after="0" w:line="240" w:lineRule="auto"/>
              <w:jc w:val="right"/>
              <w:rPr>
                <w:rFonts w:asciiTheme="minorBidi" w:hAnsiTheme="minorBidi"/>
                <w:sz w:val="18"/>
                <w:szCs w:val="18"/>
              </w:rPr>
            </w:pPr>
          </w:p>
        </w:tc>
        <w:tc>
          <w:tcPr>
            <w:tcW w:w="0" w:type="auto"/>
            <w:noWrap/>
            <w:vAlign w:val="center"/>
            <w:hideMark/>
          </w:tcPr>
          <w:p w14:paraId="268B14B5" w14:textId="77777777" w:rsidR="00714E6E" w:rsidRPr="00DF2C2E" w:rsidRDefault="00714E6E" w:rsidP="000A5063">
            <w:pPr>
              <w:spacing w:before="0" w:after="0" w:line="240" w:lineRule="auto"/>
              <w:rPr>
                <w:rFonts w:asciiTheme="minorBidi" w:hAnsiTheme="minorBidi"/>
                <w:sz w:val="18"/>
                <w:szCs w:val="18"/>
              </w:rPr>
            </w:pPr>
          </w:p>
        </w:tc>
        <w:tc>
          <w:tcPr>
            <w:tcW w:w="0" w:type="auto"/>
            <w:noWrap/>
            <w:vAlign w:val="center"/>
            <w:hideMark/>
          </w:tcPr>
          <w:p w14:paraId="40A629AA" w14:textId="77777777" w:rsidR="00714E6E" w:rsidRPr="00DF2C2E" w:rsidRDefault="00714E6E" w:rsidP="000A5063">
            <w:pPr>
              <w:spacing w:before="0" w:after="0" w:line="240" w:lineRule="auto"/>
              <w:rPr>
                <w:rFonts w:asciiTheme="minorBidi" w:hAnsiTheme="minorBidi"/>
                <w:sz w:val="18"/>
                <w:szCs w:val="18"/>
              </w:rPr>
            </w:pPr>
          </w:p>
        </w:tc>
        <w:tc>
          <w:tcPr>
            <w:tcW w:w="0" w:type="auto"/>
            <w:noWrap/>
            <w:vAlign w:val="center"/>
            <w:hideMark/>
          </w:tcPr>
          <w:p w14:paraId="4199244B" w14:textId="77777777" w:rsidR="00714E6E" w:rsidRPr="00DF2C2E" w:rsidRDefault="00714E6E" w:rsidP="000A5063">
            <w:pPr>
              <w:spacing w:before="0" w:after="0" w:line="240" w:lineRule="auto"/>
              <w:rPr>
                <w:rFonts w:asciiTheme="minorBidi" w:hAnsiTheme="minorBidi"/>
                <w:sz w:val="18"/>
                <w:szCs w:val="18"/>
              </w:rPr>
            </w:pPr>
          </w:p>
        </w:tc>
        <w:tc>
          <w:tcPr>
            <w:tcW w:w="0" w:type="auto"/>
            <w:noWrap/>
            <w:vAlign w:val="center"/>
            <w:hideMark/>
          </w:tcPr>
          <w:p w14:paraId="2B121A4E" w14:textId="77777777" w:rsidR="00714E6E" w:rsidRPr="00DF2C2E" w:rsidRDefault="00714E6E" w:rsidP="000A5063">
            <w:pPr>
              <w:spacing w:before="0" w:after="0" w:line="240" w:lineRule="auto"/>
              <w:rPr>
                <w:rFonts w:asciiTheme="minorBidi" w:hAnsiTheme="minorBidi"/>
                <w:sz w:val="18"/>
                <w:szCs w:val="18"/>
              </w:rPr>
            </w:pPr>
          </w:p>
        </w:tc>
        <w:tc>
          <w:tcPr>
            <w:tcW w:w="0" w:type="auto"/>
            <w:noWrap/>
            <w:vAlign w:val="center"/>
            <w:hideMark/>
          </w:tcPr>
          <w:p w14:paraId="7087D9A1" w14:textId="77777777" w:rsidR="00714E6E" w:rsidRPr="00DF2C2E" w:rsidRDefault="00714E6E" w:rsidP="000A5063">
            <w:pPr>
              <w:spacing w:before="0" w:after="0" w:line="240" w:lineRule="auto"/>
              <w:rPr>
                <w:rFonts w:asciiTheme="minorBidi" w:hAnsiTheme="minorBidi"/>
                <w:sz w:val="18"/>
                <w:szCs w:val="18"/>
              </w:rPr>
            </w:pPr>
          </w:p>
        </w:tc>
        <w:tc>
          <w:tcPr>
            <w:tcW w:w="0" w:type="auto"/>
            <w:noWrap/>
            <w:vAlign w:val="center"/>
            <w:hideMark/>
          </w:tcPr>
          <w:p w14:paraId="26B4F7A4" w14:textId="77777777" w:rsidR="00714E6E" w:rsidRPr="00DF2C2E" w:rsidRDefault="00714E6E" w:rsidP="000A5063">
            <w:pPr>
              <w:spacing w:before="0" w:after="0" w:line="240" w:lineRule="auto"/>
              <w:rPr>
                <w:rFonts w:asciiTheme="minorBidi" w:hAnsiTheme="minorBidi"/>
                <w:sz w:val="18"/>
                <w:szCs w:val="18"/>
              </w:rPr>
            </w:pPr>
          </w:p>
        </w:tc>
        <w:tc>
          <w:tcPr>
            <w:tcW w:w="1258" w:type="dxa"/>
            <w:shd w:val="clear" w:color="auto" w:fill="E5E5E5" w:themeFill="background2" w:themeFillShade="E6"/>
            <w:noWrap/>
            <w:vAlign w:val="center"/>
            <w:hideMark/>
          </w:tcPr>
          <w:p w14:paraId="078D15B0" w14:textId="77777777" w:rsidR="00714E6E" w:rsidRPr="00DF2C2E" w:rsidRDefault="00714E6E" w:rsidP="4A7E2F16">
            <w:pPr>
              <w:spacing w:before="0" w:after="0" w:line="240" w:lineRule="auto"/>
              <w:jc w:val="right"/>
              <w:rPr>
                <w:rFonts w:asciiTheme="minorBidi" w:hAnsiTheme="minorBidi"/>
                <w:sz w:val="18"/>
                <w:szCs w:val="18"/>
              </w:rPr>
            </w:pPr>
          </w:p>
        </w:tc>
      </w:tr>
      <w:tr w:rsidR="00B54A22" w:rsidRPr="00DF2C2E" w14:paraId="411836F6" w14:textId="77777777" w:rsidTr="00B54A22">
        <w:trPr>
          <w:trHeight w:val="300"/>
        </w:trPr>
        <w:tc>
          <w:tcPr>
            <w:tcW w:w="0" w:type="auto"/>
            <w:noWrap/>
            <w:vAlign w:val="center"/>
            <w:hideMark/>
          </w:tcPr>
          <w:p w14:paraId="0891DF39"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Tallinn</w:t>
            </w:r>
          </w:p>
        </w:tc>
        <w:tc>
          <w:tcPr>
            <w:tcW w:w="0" w:type="auto"/>
            <w:noWrap/>
            <w:vAlign w:val="center"/>
            <w:hideMark/>
          </w:tcPr>
          <w:p w14:paraId="5F2D4AFF" w14:textId="241BB1D8"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356</w:t>
            </w:r>
            <w:r w:rsidR="009402A5">
              <w:rPr>
                <w:rFonts w:asciiTheme="minorBidi" w:hAnsiTheme="minorBidi"/>
                <w:color w:val="000000"/>
                <w:sz w:val="18"/>
                <w:szCs w:val="18"/>
              </w:rPr>
              <w:t xml:space="preserve"> </w:t>
            </w:r>
            <w:r w:rsidRPr="00DF2C2E">
              <w:rPr>
                <w:rFonts w:asciiTheme="minorBidi" w:hAnsiTheme="minorBidi"/>
                <w:color w:val="000000"/>
                <w:sz w:val="18"/>
                <w:szCs w:val="18"/>
              </w:rPr>
              <w:t>128</w:t>
            </w:r>
          </w:p>
        </w:tc>
        <w:tc>
          <w:tcPr>
            <w:tcW w:w="0" w:type="auto"/>
            <w:noWrap/>
            <w:vAlign w:val="center"/>
            <w:hideMark/>
          </w:tcPr>
          <w:p w14:paraId="67A308CD" w14:textId="07EB3FC9"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127</w:t>
            </w:r>
            <w:r w:rsidR="009402A5">
              <w:rPr>
                <w:rFonts w:asciiTheme="minorBidi" w:hAnsiTheme="minorBidi"/>
                <w:color w:val="000000"/>
                <w:sz w:val="18"/>
                <w:szCs w:val="18"/>
              </w:rPr>
              <w:t xml:space="preserve"> </w:t>
            </w:r>
            <w:r w:rsidRPr="00DF2C2E">
              <w:rPr>
                <w:rFonts w:asciiTheme="minorBidi" w:hAnsiTheme="minorBidi"/>
                <w:color w:val="000000"/>
                <w:sz w:val="18"/>
                <w:szCs w:val="18"/>
              </w:rPr>
              <w:t>159</w:t>
            </w:r>
          </w:p>
        </w:tc>
        <w:tc>
          <w:tcPr>
            <w:tcW w:w="0" w:type="auto"/>
            <w:noWrap/>
            <w:vAlign w:val="center"/>
            <w:hideMark/>
          </w:tcPr>
          <w:p w14:paraId="74959D73" w14:textId="3A7381EC"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92</w:t>
            </w:r>
            <w:r w:rsidR="009402A5">
              <w:rPr>
                <w:rFonts w:asciiTheme="minorBidi" w:hAnsiTheme="minorBidi"/>
                <w:color w:val="000000"/>
                <w:sz w:val="18"/>
                <w:szCs w:val="18"/>
              </w:rPr>
              <w:t xml:space="preserve"> </w:t>
            </w:r>
            <w:r w:rsidRPr="00DF2C2E">
              <w:rPr>
                <w:rFonts w:asciiTheme="minorBidi" w:hAnsiTheme="minorBidi"/>
                <w:color w:val="000000"/>
                <w:sz w:val="18"/>
                <w:szCs w:val="18"/>
              </w:rPr>
              <w:t>822</w:t>
            </w:r>
          </w:p>
        </w:tc>
        <w:tc>
          <w:tcPr>
            <w:tcW w:w="0" w:type="auto"/>
            <w:noWrap/>
            <w:vAlign w:val="center"/>
            <w:hideMark/>
          </w:tcPr>
          <w:p w14:paraId="2AC64415" w14:textId="0D25C3E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188</w:t>
            </w:r>
            <w:r w:rsidR="009402A5">
              <w:rPr>
                <w:rFonts w:asciiTheme="minorBidi" w:hAnsiTheme="minorBidi"/>
                <w:color w:val="000000"/>
                <w:sz w:val="18"/>
                <w:szCs w:val="18"/>
              </w:rPr>
              <w:t xml:space="preserve"> </w:t>
            </w:r>
            <w:r w:rsidRPr="00DF2C2E">
              <w:rPr>
                <w:rFonts w:asciiTheme="minorBidi" w:hAnsiTheme="minorBidi"/>
                <w:color w:val="000000"/>
                <w:sz w:val="18"/>
                <w:szCs w:val="18"/>
              </w:rPr>
              <w:t>106</w:t>
            </w:r>
          </w:p>
        </w:tc>
        <w:tc>
          <w:tcPr>
            <w:tcW w:w="0" w:type="auto"/>
            <w:noWrap/>
            <w:vAlign w:val="center"/>
            <w:hideMark/>
          </w:tcPr>
          <w:p w14:paraId="132EA47C" w14:textId="5E1BBF98"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240</w:t>
            </w:r>
            <w:r w:rsidR="009402A5">
              <w:rPr>
                <w:rFonts w:asciiTheme="minorBidi" w:hAnsiTheme="minorBidi"/>
                <w:color w:val="000000"/>
                <w:sz w:val="18"/>
                <w:szCs w:val="18"/>
              </w:rPr>
              <w:t xml:space="preserve"> </w:t>
            </w:r>
            <w:r w:rsidRPr="00DF2C2E">
              <w:rPr>
                <w:rFonts w:asciiTheme="minorBidi" w:hAnsiTheme="minorBidi"/>
                <w:color w:val="000000"/>
                <w:sz w:val="18"/>
                <w:szCs w:val="18"/>
              </w:rPr>
              <w:t>260</w:t>
            </w:r>
          </w:p>
        </w:tc>
        <w:tc>
          <w:tcPr>
            <w:tcW w:w="320" w:type="dxa"/>
            <w:noWrap/>
            <w:vAlign w:val="center"/>
            <w:hideMark/>
          </w:tcPr>
          <w:p w14:paraId="7F68EE21"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778453F5"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color w:val="FF0000"/>
                <w:sz w:val="18"/>
                <w:szCs w:val="18"/>
              </w:rPr>
              <w:t>-33%</w:t>
            </w:r>
          </w:p>
        </w:tc>
        <w:tc>
          <w:tcPr>
            <w:tcW w:w="0" w:type="auto"/>
            <w:noWrap/>
            <w:vAlign w:val="center"/>
            <w:hideMark/>
          </w:tcPr>
          <w:p w14:paraId="5104B9D0" w14:textId="23F16B42"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977</w:t>
            </w:r>
            <w:r w:rsidR="009402A5">
              <w:rPr>
                <w:rFonts w:asciiTheme="minorBidi" w:hAnsiTheme="minorBidi"/>
                <w:color w:val="000000"/>
                <w:sz w:val="18"/>
                <w:szCs w:val="18"/>
              </w:rPr>
              <w:t xml:space="preserve"> </w:t>
            </w:r>
            <w:r w:rsidRPr="00DF2C2E">
              <w:rPr>
                <w:rFonts w:asciiTheme="minorBidi" w:hAnsiTheme="minorBidi"/>
                <w:color w:val="000000"/>
                <w:sz w:val="18"/>
                <w:szCs w:val="18"/>
              </w:rPr>
              <w:t>119</w:t>
            </w:r>
          </w:p>
        </w:tc>
        <w:tc>
          <w:tcPr>
            <w:tcW w:w="0" w:type="auto"/>
            <w:noWrap/>
            <w:vAlign w:val="center"/>
            <w:hideMark/>
          </w:tcPr>
          <w:p w14:paraId="3D593F92" w14:textId="192EB07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392</w:t>
            </w:r>
            <w:r w:rsidR="009402A5">
              <w:rPr>
                <w:rFonts w:asciiTheme="minorBidi" w:hAnsiTheme="minorBidi"/>
                <w:color w:val="000000"/>
                <w:sz w:val="18"/>
                <w:szCs w:val="18"/>
              </w:rPr>
              <w:t xml:space="preserve"> </w:t>
            </w:r>
            <w:r w:rsidRPr="00DF2C2E">
              <w:rPr>
                <w:rFonts w:asciiTheme="minorBidi" w:hAnsiTheme="minorBidi"/>
                <w:color w:val="000000"/>
                <w:sz w:val="18"/>
                <w:szCs w:val="18"/>
              </w:rPr>
              <w:t>874</w:t>
            </w:r>
          </w:p>
        </w:tc>
        <w:tc>
          <w:tcPr>
            <w:tcW w:w="0" w:type="auto"/>
            <w:noWrap/>
            <w:vAlign w:val="center"/>
            <w:hideMark/>
          </w:tcPr>
          <w:p w14:paraId="23E8AA2B" w14:textId="759B002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347</w:t>
            </w:r>
            <w:r w:rsidR="009402A5">
              <w:rPr>
                <w:rFonts w:asciiTheme="minorBidi" w:hAnsiTheme="minorBidi"/>
                <w:color w:val="000000"/>
                <w:sz w:val="18"/>
                <w:szCs w:val="18"/>
              </w:rPr>
              <w:t xml:space="preserve"> </w:t>
            </w:r>
            <w:r w:rsidRPr="00DF2C2E">
              <w:rPr>
                <w:rFonts w:asciiTheme="minorBidi" w:hAnsiTheme="minorBidi"/>
                <w:color w:val="000000"/>
                <w:sz w:val="18"/>
                <w:szCs w:val="18"/>
              </w:rPr>
              <w:t>493</w:t>
            </w:r>
          </w:p>
        </w:tc>
        <w:tc>
          <w:tcPr>
            <w:tcW w:w="0" w:type="auto"/>
            <w:noWrap/>
            <w:vAlign w:val="center"/>
            <w:hideMark/>
          </w:tcPr>
          <w:p w14:paraId="2FD4FD34" w14:textId="24EA3C5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634</w:t>
            </w:r>
            <w:r w:rsidR="009402A5">
              <w:rPr>
                <w:rFonts w:asciiTheme="minorBidi" w:hAnsiTheme="minorBidi"/>
                <w:color w:val="000000"/>
                <w:sz w:val="18"/>
                <w:szCs w:val="18"/>
              </w:rPr>
              <w:t xml:space="preserve"> </w:t>
            </w:r>
            <w:r w:rsidRPr="00DF2C2E">
              <w:rPr>
                <w:rFonts w:asciiTheme="minorBidi" w:hAnsiTheme="minorBidi"/>
                <w:color w:val="000000"/>
                <w:sz w:val="18"/>
                <w:szCs w:val="18"/>
              </w:rPr>
              <w:t>304</w:t>
            </w:r>
          </w:p>
        </w:tc>
        <w:tc>
          <w:tcPr>
            <w:tcW w:w="0" w:type="auto"/>
            <w:noWrap/>
            <w:vAlign w:val="center"/>
            <w:hideMark/>
          </w:tcPr>
          <w:p w14:paraId="1902759B" w14:textId="6DB660F8"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747</w:t>
            </w:r>
            <w:r w:rsidR="009402A5">
              <w:rPr>
                <w:rFonts w:asciiTheme="minorBidi" w:hAnsiTheme="minorBidi"/>
                <w:color w:val="000000"/>
                <w:sz w:val="18"/>
                <w:szCs w:val="18"/>
              </w:rPr>
              <w:t xml:space="preserve"> </w:t>
            </w:r>
            <w:r w:rsidRPr="00DF2C2E">
              <w:rPr>
                <w:rFonts w:asciiTheme="minorBidi" w:hAnsiTheme="minorBidi"/>
                <w:color w:val="000000"/>
                <w:sz w:val="18"/>
                <w:szCs w:val="18"/>
              </w:rPr>
              <w:t>534</w:t>
            </w:r>
          </w:p>
        </w:tc>
        <w:tc>
          <w:tcPr>
            <w:tcW w:w="0" w:type="auto"/>
            <w:noWrap/>
            <w:vAlign w:val="center"/>
            <w:hideMark/>
          </w:tcPr>
          <w:p w14:paraId="0E667A40"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0C6CB2E8" w14:textId="77777777" w:rsidR="00714E6E" w:rsidRPr="00B54A22" w:rsidRDefault="4A7E2F16" w:rsidP="4A7E2F16">
            <w:pPr>
              <w:spacing w:before="0" w:after="0" w:line="240" w:lineRule="auto"/>
              <w:jc w:val="right"/>
              <w:rPr>
                <w:rFonts w:asciiTheme="minorBidi" w:hAnsiTheme="minorBidi"/>
                <w:color w:val="FF0000"/>
                <w:sz w:val="18"/>
                <w:szCs w:val="18"/>
              </w:rPr>
            </w:pPr>
            <w:r w:rsidRPr="00B54A22">
              <w:rPr>
                <w:rFonts w:asciiTheme="minorBidi" w:hAnsiTheme="minorBidi"/>
                <w:color w:val="FF0000"/>
                <w:sz w:val="18"/>
                <w:szCs w:val="18"/>
              </w:rPr>
              <w:t>-23%</w:t>
            </w:r>
          </w:p>
        </w:tc>
      </w:tr>
      <w:tr w:rsidR="00B54A22" w:rsidRPr="00DF2C2E" w14:paraId="295E9A42" w14:textId="77777777" w:rsidTr="00B54A22">
        <w:trPr>
          <w:trHeight w:val="300"/>
        </w:trPr>
        <w:tc>
          <w:tcPr>
            <w:tcW w:w="0" w:type="auto"/>
            <w:noWrap/>
            <w:vAlign w:val="center"/>
            <w:hideMark/>
          </w:tcPr>
          <w:p w14:paraId="59015C8C"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Tartu linn</w:t>
            </w:r>
          </w:p>
        </w:tc>
        <w:tc>
          <w:tcPr>
            <w:tcW w:w="0" w:type="auto"/>
            <w:noWrap/>
            <w:vAlign w:val="center"/>
            <w:hideMark/>
          </w:tcPr>
          <w:p w14:paraId="24485741" w14:textId="57C9F57D"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57</w:t>
            </w:r>
            <w:r w:rsidR="009402A5">
              <w:rPr>
                <w:rFonts w:asciiTheme="minorBidi" w:hAnsiTheme="minorBidi"/>
                <w:color w:val="000000"/>
                <w:sz w:val="18"/>
                <w:szCs w:val="18"/>
              </w:rPr>
              <w:t xml:space="preserve"> </w:t>
            </w:r>
            <w:r w:rsidRPr="00DF2C2E">
              <w:rPr>
                <w:rFonts w:asciiTheme="minorBidi" w:hAnsiTheme="minorBidi"/>
                <w:color w:val="000000"/>
                <w:sz w:val="18"/>
                <w:szCs w:val="18"/>
              </w:rPr>
              <w:t>009</w:t>
            </w:r>
          </w:p>
        </w:tc>
        <w:tc>
          <w:tcPr>
            <w:tcW w:w="0" w:type="auto"/>
            <w:noWrap/>
            <w:vAlign w:val="center"/>
            <w:hideMark/>
          </w:tcPr>
          <w:p w14:paraId="06481DC7" w14:textId="7C6155E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37</w:t>
            </w:r>
            <w:r w:rsidR="009402A5">
              <w:rPr>
                <w:rFonts w:asciiTheme="minorBidi" w:hAnsiTheme="minorBidi"/>
                <w:color w:val="000000"/>
                <w:sz w:val="18"/>
                <w:szCs w:val="18"/>
              </w:rPr>
              <w:t xml:space="preserve"> </w:t>
            </w:r>
            <w:r w:rsidRPr="00DF2C2E">
              <w:rPr>
                <w:rFonts w:asciiTheme="minorBidi" w:hAnsiTheme="minorBidi"/>
                <w:color w:val="000000"/>
                <w:sz w:val="18"/>
                <w:szCs w:val="18"/>
              </w:rPr>
              <w:t>483</w:t>
            </w:r>
          </w:p>
        </w:tc>
        <w:tc>
          <w:tcPr>
            <w:tcW w:w="0" w:type="auto"/>
            <w:noWrap/>
            <w:vAlign w:val="center"/>
            <w:hideMark/>
          </w:tcPr>
          <w:p w14:paraId="17AB0182" w14:textId="7D96C7A4"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40</w:t>
            </w:r>
            <w:r w:rsidR="009402A5">
              <w:rPr>
                <w:rFonts w:asciiTheme="minorBidi" w:hAnsiTheme="minorBidi"/>
                <w:color w:val="000000"/>
                <w:sz w:val="18"/>
                <w:szCs w:val="18"/>
              </w:rPr>
              <w:t xml:space="preserve"> </w:t>
            </w:r>
            <w:r w:rsidRPr="00DF2C2E">
              <w:rPr>
                <w:rFonts w:asciiTheme="minorBidi" w:hAnsiTheme="minorBidi"/>
                <w:color w:val="000000"/>
                <w:sz w:val="18"/>
                <w:szCs w:val="18"/>
              </w:rPr>
              <w:t>184</w:t>
            </w:r>
          </w:p>
        </w:tc>
        <w:tc>
          <w:tcPr>
            <w:tcW w:w="0" w:type="auto"/>
            <w:noWrap/>
            <w:vAlign w:val="center"/>
            <w:hideMark/>
          </w:tcPr>
          <w:p w14:paraId="1665A422" w14:textId="7074D5E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66</w:t>
            </w:r>
            <w:r w:rsidR="009402A5">
              <w:rPr>
                <w:rFonts w:asciiTheme="minorBidi" w:hAnsiTheme="minorBidi"/>
                <w:color w:val="000000"/>
                <w:sz w:val="18"/>
                <w:szCs w:val="18"/>
              </w:rPr>
              <w:t xml:space="preserve"> </w:t>
            </w:r>
            <w:r w:rsidRPr="00DF2C2E">
              <w:rPr>
                <w:rFonts w:asciiTheme="minorBidi" w:hAnsiTheme="minorBidi"/>
                <w:color w:val="000000"/>
                <w:sz w:val="18"/>
                <w:szCs w:val="18"/>
              </w:rPr>
              <w:t>201</w:t>
            </w:r>
          </w:p>
        </w:tc>
        <w:tc>
          <w:tcPr>
            <w:tcW w:w="0" w:type="auto"/>
            <w:noWrap/>
            <w:vAlign w:val="center"/>
            <w:hideMark/>
          </w:tcPr>
          <w:p w14:paraId="54565FE7" w14:textId="6B8D5CE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81</w:t>
            </w:r>
            <w:r w:rsidR="009402A5">
              <w:rPr>
                <w:rFonts w:asciiTheme="minorBidi" w:hAnsiTheme="minorBidi"/>
                <w:color w:val="000000"/>
                <w:sz w:val="18"/>
                <w:szCs w:val="18"/>
              </w:rPr>
              <w:t xml:space="preserve"> </w:t>
            </w:r>
            <w:r w:rsidRPr="00DF2C2E">
              <w:rPr>
                <w:rFonts w:asciiTheme="minorBidi" w:hAnsiTheme="minorBidi"/>
                <w:color w:val="000000"/>
                <w:sz w:val="18"/>
                <w:szCs w:val="18"/>
              </w:rPr>
              <w:t>844</w:t>
            </w:r>
          </w:p>
        </w:tc>
        <w:tc>
          <w:tcPr>
            <w:tcW w:w="320" w:type="dxa"/>
            <w:noWrap/>
            <w:vAlign w:val="center"/>
            <w:hideMark/>
          </w:tcPr>
          <w:p w14:paraId="10A9F990"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63D7B837"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44%</w:t>
            </w:r>
          </w:p>
        </w:tc>
        <w:tc>
          <w:tcPr>
            <w:tcW w:w="0" w:type="auto"/>
            <w:noWrap/>
            <w:vAlign w:val="center"/>
            <w:hideMark/>
          </w:tcPr>
          <w:p w14:paraId="0687AE26" w14:textId="2D65AB1E"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117</w:t>
            </w:r>
            <w:r w:rsidR="009402A5">
              <w:rPr>
                <w:rFonts w:asciiTheme="minorBidi" w:hAnsiTheme="minorBidi"/>
                <w:color w:val="000000"/>
                <w:sz w:val="18"/>
                <w:szCs w:val="18"/>
              </w:rPr>
              <w:t xml:space="preserve"> </w:t>
            </w:r>
            <w:r w:rsidRPr="00DF2C2E">
              <w:rPr>
                <w:rFonts w:asciiTheme="minorBidi" w:hAnsiTheme="minorBidi"/>
                <w:color w:val="000000"/>
                <w:sz w:val="18"/>
                <w:szCs w:val="18"/>
              </w:rPr>
              <w:t>742</w:t>
            </w:r>
          </w:p>
        </w:tc>
        <w:tc>
          <w:tcPr>
            <w:tcW w:w="0" w:type="auto"/>
            <w:noWrap/>
            <w:vAlign w:val="center"/>
            <w:hideMark/>
          </w:tcPr>
          <w:p w14:paraId="1E309F2E" w14:textId="4987A2A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77</w:t>
            </w:r>
            <w:r w:rsidR="009402A5">
              <w:rPr>
                <w:rFonts w:asciiTheme="minorBidi" w:hAnsiTheme="minorBidi"/>
                <w:color w:val="000000"/>
                <w:sz w:val="18"/>
                <w:szCs w:val="18"/>
              </w:rPr>
              <w:t xml:space="preserve"> </w:t>
            </w:r>
            <w:r w:rsidRPr="00DF2C2E">
              <w:rPr>
                <w:rFonts w:asciiTheme="minorBidi" w:hAnsiTheme="minorBidi"/>
                <w:color w:val="000000"/>
                <w:sz w:val="18"/>
                <w:szCs w:val="18"/>
              </w:rPr>
              <w:t>519</w:t>
            </w:r>
          </w:p>
        </w:tc>
        <w:tc>
          <w:tcPr>
            <w:tcW w:w="0" w:type="auto"/>
            <w:noWrap/>
            <w:vAlign w:val="center"/>
            <w:hideMark/>
          </w:tcPr>
          <w:p w14:paraId="4A57641A" w14:textId="3E0AB2F0"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84</w:t>
            </w:r>
            <w:r w:rsidR="009402A5">
              <w:rPr>
                <w:rFonts w:asciiTheme="minorBidi" w:hAnsiTheme="minorBidi"/>
                <w:color w:val="000000"/>
                <w:sz w:val="18"/>
                <w:szCs w:val="18"/>
              </w:rPr>
              <w:t xml:space="preserve"> </w:t>
            </w:r>
            <w:r w:rsidRPr="00DF2C2E">
              <w:rPr>
                <w:rFonts w:asciiTheme="minorBidi" w:hAnsiTheme="minorBidi"/>
                <w:color w:val="000000"/>
                <w:sz w:val="18"/>
                <w:szCs w:val="18"/>
              </w:rPr>
              <w:t>773</w:t>
            </w:r>
          </w:p>
        </w:tc>
        <w:tc>
          <w:tcPr>
            <w:tcW w:w="0" w:type="auto"/>
            <w:noWrap/>
            <w:vAlign w:val="center"/>
            <w:hideMark/>
          </w:tcPr>
          <w:p w14:paraId="15A822B9" w14:textId="22DF2164"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134</w:t>
            </w:r>
            <w:r w:rsidR="009402A5">
              <w:rPr>
                <w:rFonts w:asciiTheme="minorBidi" w:hAnsiTheme="minorBidi"/>
                <w:color w:val="000000"/>
                <w:sz w:val="18"/>
                <w:szCs w:val="18"/>
              </w:rPr>
              <w:t xml:space="preserve"> </w:t>
            </w:r>
            <w:r w:rsidRPr="00DF2C2E">
              <w:rPr>
                <w:rFonts w:asciiTheme="minorBidi" w:hAnsiTheme="minorBidi"/>
                <w:color w:val="000000"/>
                <w:sz w:val="18"/>
                <w:szCs w:val="18"/>
              </w:rPr>
              <w:t>412</w:t>
            </w:r>
          </w:p>
        </w:tc>
        <w:tc>
          <w:tcPr>
            <w:tcW w:w="0" w:type="auto"/>
            <w:noWrap/>
            <w:vAlign w:val="center"/>
            <w:hideMark/>
          </w:tcPr>
          <w:p w14:paraId="6E48CE8C" w14:textId="500C3B1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161</w:t>
            </w:r>
            <w:r w:rsidR="009402A5">
              <w:rPr>
                <w:rFonts w:asciiTheme="minorBidi" w:hAnsiTheme="minorBidi"/>
                <w:color w:val="000000"/>
                <w:sz w:val="18"/>
                <w:szCs w:val="18"/>
              </w:rPr>
              <w:t xml:space="preserve"> </w:t>
            </w:r>
            <w:r w:rsidRPr="00DF2C2E">
              <w:rPr>
                <w:rFonts w:asciiTheme="minorBidi" w:hAnsiTheme="minorBidi"/>
                <w:color w:val="000000"/>
                <w:sz w:val="18"/>
                <w:szCs w:val="18"/>
              </w:rPr>
              <w:t>066</w:t>
            </w:r>
          </w:p>
        </w:tc>
        <w:tc>
          <w:tcPr>
            <w:tcW w:w="0" w:type="auto"/>
            <w:noWrap/>
            <w:vAlign w:val="center"/>
            <w:hideMark/>
          </w:tcPr>
          <w:p w14:paraId="7A28CBAA"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0A1A2DE0"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37%</w:t>
            </w:r>
          </w:p>
        </w:tc>
      </w:tr>
      <w:tr w:rsidR="00B54A22" w:rsidRPr="00DF2C2E" w14:paraId="43FD6C16" w14:textId="77777777" w:rsidTr="00B54A22">
        <w:trPr>
          <w:trHeight w:val="300"/>
        </w:trPr>
        <w:tc>
          <w:tcPr>
            <w:tcW w:w="0" w:type="auto"/>
            <w:noWrap/>
            <w:vAlign w:val="center"/>
            <w:hideMark/>
          </w:tcPr>
          <w:p w14:paraId="2D508C14" w14:textId="77777777" w:rsidR="00714E6E" w:rsidRPr="00DF2C2E" w:rsidRDefault="00714E6E" w:rsidP="000A5063">
            <w:pPr>
              <w:spacing w:before="0" w:after="0" w:line="240" w:lineRule="auto"/>
              <w:rPr>
                <w:rFonts w:asciiTheme="minorBidi" w:hAnsiTheme="minorBidi"/>
                <w:b/>
                <w:color w:val="000000"/>
                <w:sz w:val="18"/>
                <w:szCs w:val="18"/>
              </w:rPr>
            </w:pPr>
            <w:r w:rsidRPr="00DF2C2E">
              <w:rPr>
                <w:rFonts w:asciiTheme="minorBidi" w:hAnsiTheme="minorBidi"/>
                <w:b/>
                <w:color w:val="000000"/>
                <w:sz w:val="18"/>
                <w:szCs w:val="18"/>
              </w:rPr>
              <w:t>Pärnu linn</w:t>
            </w:r>
          </w:p>
        </w:tc>
        <w:tc>
          <w:tcPr>
            <w:tcW w:w="0" w:type="auto"/>
            <w:noWrap/>
            <w:vAlign w:val="center"/>
            <w:hideMark/>
          </w:tcPr>
          <w:p w14:paraId="061A944A" w14:textId="582B3914"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74</w:t>
            </w:r>
            <w:r w:rsidR="009402A5">
              <w:rPr>
                <w:rFonts w:asciiTheme="minorBidi" w:hAnsiTheme="minorBidi"/>
                <w:color w:val="000000"/>
                <w:sz w:val="18"/>
                <w:szCs w:val="18"/>
              </w:rPr>
              <w:t xml:space="preserve"> </w:t>
            </w:r>
            <w:r w:rsidRPr="00DF2C2E">
              <w:rPr>
                <w:rFonts w:asciiTheme="minorBidi" w:hAnsiTheme="minorBidi"/>
                <w:color w:val="000000"/>
                <w:sz w:val="18"/>
                <w:szCs w:val="18"/>
              </w:rPr>
              <w:t>767</w:t>
            </w:r>
          </w:p>
        </w:tc>
        <w:tc>
          <w:tcPr>
            <w:tcW w:w="0" w:type="auto"/>
            <w:noWrap/>
            <w:vAlign w:val="center"/>
            <w:hideMark/>
          </w:tcPr>
          <w:p w14:paraId="44B79720" w14:textId="774F1C5C"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49</w:t>
            </w:r>
            <w:r w:rsidR="009402A5">
              <w:rPr>
                <w:rFonts w:asciiTheme="minorBidi" w:hAnsiTheme="minorBidi"/>
                <w:color w:val="000000"/>
                <w:sz w:val="18"/>
                <w:szCs w:val="18"/>
              </w:rPr>
              <w:t xml:space="preserve"> </w:t>
            </w:r>
            <w:r w:rsidRPr="00DF2C2E">
              <w:rPr>
                <w:rFonts w:asciiTheme="minorBidi" w:hAnsiTheme="minorBidi"/>
                <w:color w:val="000000"/>
                <w:sz w:val="18"/>
                <w:szCs w:val="18"/>
              </w:rPr>
              <w:t>973</w:t>
            </w:r>
          </w:p>
        </w:tc>
        <w:tc>
          <w:tcPr>
            <w:tcW w:w="0" w:type="auto"/>
            <w:noWrap/>
            <w:vAlign w:val="center"/>
            <w:hideMark/>
          </w:tcPr>
          <w:p w14:paraId="522D81F6" w14:textId="64D56003"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57</w:t>
            </w:r>
            <w:r w:rsidR="009402A5">
              <w:rPr>
                <w:rFonts w:asciiTheme="minorBidi" w:hAnsiTheme="minorBidi"/>
                <w:color w:val="000000"/>
                <w:sz w:val="18"/>
                <w:szCs w:val="18"/>
              </w:rPr>
              <w:t xml:space="preserve"> </w:t>
            </w:r>
            <w:r w:rsidRPr="00DF2C2E">
              <w:rPr>
                <w:rFonts w:asciiTheme="minorBidi" w:hAnsiTheme="minorBidi"/>
                <w:color w:val="000000"/>
                <w:sz w:val="18"/>
                <w:szCs w:val="18"/>
              </w:rPr>
              <w:t>685</w:t>
            </w:r>
          </w:p>
        </w:tc>
        <w:tc>
          <w:tcPr>
            <w:tcW w:w="0" w:type="auto"/>
            <w:noWrap/>
            <w:vAlign w:val="center"/>
            <w:hideMark/>
          </w:tcPr>
          <w:p w14:paraId="36DFA451" w14:textId="3C1A139B"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76</w:t>
            </w:r>
            <w:r w:rsidR="009402A5">
              <w:rPr>
                <w:rFonts w:asciiTheme="minorBidi" w:hAnsiTheme="minorBidi"/>
                <w:color w:val="000000"/>
                <w:sz w:val="18"/>
                <w:szCs w:val="18"/>
              </w:rPr>
              <w:t xml:space="preserve"> </w:t>
            </w:r>
            <w:r w:rsidRPr="00DF2C2E">
              <w:rPr>
                <w:rFonts w:asciiTheme="minorBidi" w:hAnsiTheme="minorBidi"/>
                <w:color w:val="000000"/>
                <w:sz w:val="18"/>
                <w:szCs w:val="18"/>
              </w:rPr>
              <w:t>122</w:t>
            </w:r>
          </w:p>
        </w:tc>
        <w:tc>
          <w:tcPr>
            <w:tcW w:w="0" w:type="auto"/>
            <w:noWrap/>
            <w:vAlign w:val="center"/>
            <w:hideMark/>
          </w:tcPr>
          <w:p w14:paraId="3CAF8B1F" w14:textId="70F60358"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88</w:t>
            </w:r>
            <w:r w:rsidR="009402A5">
              <w:rPr>
                <w:rFonts w:asciiTheme="minorBidi" w:hAnsiTheme="minorBidi"/>
                <w:color w:val="000000"/>
                <w:sz w:val="18"/>
                <w:szCs w:val="18"/>
              </w:rPr>
              <w:t xml:space="preserve"> </w:t>
            </w:r>
            <w:r w:rsidRPr="00DF2C2E">
              <w:rPr>
                <w:rFonts w:asciiTheme="minorBidi" w:hAnsiTheme="minorBidi"/>
                <w:color w:val="000000"/>
                <w:sz w:val="18"/>
                <w:szCs w:val="18"/>
              </w:rPr>
              <w:t>445</w:t>
            </w:r>
          </w:p>
        </w:tc>
        <w:tc>
          <w:tcPr>
            <w:tcW w:w="320" w:type="dxa"/>
            <w:noWrap/>
            <w:vAlign w:val="center"/>
            <w:hideMark/>
          </w:tcPr>
          <w:p w14:paraId="3578F9FB"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896" w:type="dxa"/>
            <w:shd w:val="clear" w:color="auto" w:fill="E5E5E5" w:themeFill="background2" w:themeFillShade="E6"/>
            <w:noWrap/>
            <w:vAlign w:val="center"/>
            <w:hideMark/>
          </w:tcPr>
          <w:p w14:paraId="7D1AE43A"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18%</w:t>
            </w:r>
          </w:p>
        </w:tc>
        <w:tc>
          <w:tcPr>
            <w:tcW w:w="0" w:type="auto"/>
            <w:noWrap/>
            <w:vAlign w:val="center"/>
            <w:hideMark/>
          </w:tcPr>
          <w:p w14:paraId="5A17471B" w14:textId="61C07B37"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158</w:t>
            </w:r>
            <w:r w:rsidR="009402A5">
              <w:rPr>
                <w:rFonts w:asciiTheme="minorBidi" w:hAnsiTheme="minorBidi"/>
                <w:color w:val="000000"/>
                <w:sz w:val="18"/>
                <w:szCs w:val="18"/>
              </w:rPr>
              <w:t xml:space="preserve"> </w:t>
            </w:r>
            <w:r w:rsidRPr="00DF2C2E">
              <w:rPr>
                <w:rFonts w:asciiTheme="minorBidi" w:hAnsiTheme="minorBidi"/>
                <w:color w:val="000000"/>
                <w:sz w:val="18"/>
                <w:szCs w:val="18"/>
              </w:rPr>
              <w:t>522</w:t>
            </w:r>
          </w:p>
        </w:tc>
        <w:tc>
          <w:tcPr>
            <w:tcW w:w="0" w:type="auto"/>
            <w:noWrap/>
            <w:vAlign w:val="center"/>
            <w:hideMark/>
          </w:tcPr>
          <w:p w14:paraId="4A0FB25F" w14:textId="34A7C705"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101</w:t>
            </w:r>
            <w:r w:rsidR="009402A5">
              <w:rPr>
                <w:rFonts w:asciiTheme="minorBidi" w:hAnsiTheme="minorBidi"/>
                <w:color w:val="000000"/>
                <w:sz w:val="18"/>
                <w:szCs w:val="18"/>
              </w:rPr>
              <w:t xml:space="preserve"> </w:t>
            </w:r>
            <w:r w:rsidRPr="00DF2C2E">
              <w:rPr>
                <w:rFonts w:asciiTheme="minorBidi" w:hAnsiTheme="minorBidi"/>
                <w:color w:val="000000"/>
                <w:sz w:val="18"/>
                <w:szCs w:val="18"/>
              </w:rPr>
              <w:t>599</w:t>
            </w:r>
          </w:p>
        </w:tc>
        <w:tc>
          <w:tcPr>
            <w:tcW w:w="0" w:type="auto"/>
            <w:noWrap/>
            <w:vAlign w:val="center"/>
            <w:hideMark/>
          </w:tcPr>
          <w:p w14:paraId="573ABF00" w14:textId="21F73844"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115</w:t>
            </w:r>
            <w:r w:rsidR="009402A5">
              <w:rPr>
                <w:rFonts w:asciiTheme="minorBidi" w:hAnsiTheme="minorBidi"/>
                <w:color w:val="000000"/>
                <w:sz w:val="18"/>
                <w:szCs w:val="18"/>
              </w:rPr>
              <w:t xml:space="preserve"> </w:t>
            </w:r>
            <w:r w:rsidRPr="00DF2C2E">
              <w:rPr>
                <w:rFonts w:asciiTheme="minorBidi" w:hAnsiTheme="minorBidi"/>
                <w:color w:val="000000"/>
                <w:sz w:val="18"/>
                <w:szCs w:val="18"/>
              </w:rPr>
              <w:t>927</w:t>
            </w:r>
          </w:p>
        </w:tc>
        <w:tc>
          <w:tcPr>
            <w:tcW w:w="0" w:type="auto"/>
            <w:noWrap/>
            <w:vAlign w:val="center"/>
            <w:hideMark/>
          </w:tcPr>
          <w:p w14:paraId="03BE50B3" w14:textId="532D7A29"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165</w:t>
            </w:r>
            <w:r w:rsidR="009402A5">
              <w:rPr>
                <w:rFonts w:asciiTheme="minorBidi" w:hAnsiTheme="minorBidi"/>
                <w:color w:val="000000"/>
                <w:sz w:val="18"/>
                <w:szCs w:val="18"/>
              </w:rPr>
              <w:t xml:space="preserve"> </w:t>
            </w:r>
            <w:r w:rsidRPr="00DF2C2E">
              <w:rPr>
                <w:rFonts w:asciiTheme="minorBidi" w:hAnsiTheme="minorBidi"/>
                <w:color w:val="000000"/>
                <w:sz w:val="18"/>
                <w:szCs w:val="18"/>
              </w:rPr>
              <w:t>173</w:t>
            </w:r>
          </w:p>
        </w:tc>
        <w:tc>
          <w:tcPr>
            <w:tcW w:w="0" w:type="auto"/>
            <w:noWrap/>
            <w:vAlign w:val="center"/>
            <w:hideMark/>
          </w:tcPr>
          <w:p w14:paraId="372A9382" w14:textId="2DDFC78F" w:rsidR="00714E6E" w:rsidRPr="00DF2C2E" w:rsidRDefault="00714E6E" w:rsidP="000A5063">
            <w:pPr>
              <w:spacing w:before="0" w:after="0" w:line="240" w:lineRule="auto"/>
              <w:jc w:val="right"/>
              <w:rPr>
                <w:rFonts w:asciiTheme="minorBidi" w:hAnsiTheme="minorBidi"/>
                <w:color w:val="000000"/>
                <w:sz w:val="18"/>
                <w:szCs w:val="18"/>
              </w:rPr>
            </w:pPr>
            <w:r w:rsidRPr="00DF2C2E">
              <w:rPr>
                <w:rFonts w:asciiTheme="minorBidi" w:hAnsiTheme="minorBidi"/>
                <w:color w:val="000000"/>
                <w:sz w:val="18"/>
                <w:szCs w:val="18"/>
              </w:rPr>
              <w:t>192</w:t>
            </w:r>
            <w:r w:rsidR="009402A5">
              <w:rPr>
                <w:rFonts w:asciiTheme="minorBidi" w:hAnsiTheme="minorBidi"/>
                <w:color w:val="000000"/>
                <w:sz w:val="18"/>
                <w:szCs w:val="18"/>
              </w:rPr>
              <w:t xml:space="preserve"> </w:t>
            </w:r>
            <w:r w:rsidRPr="00DF2C2E">
              <w:rPr>
                <w:rFonts w:asciiTheme="minorBidi" w:hAnsiTheme="minorBidi"/>
                <w:color w:val="000000"/>
                <w:sz w:val="18"/>
                <w:szCs w:val="18"/>
              </w:rPr>
              <w:t>501</w:t>
            </w:r>
          </w:p>
        </w:tc>
        <w:tc>
          <w:tcPr>
            <w:tcW w:w="0" w:type="auto"/>
            <w:noWrap/>
            <w:vAlign w:val="center"/>
            <w:hideMark/>
          </w:tcPr>
          <w:p w14:paraId="7769A9B5" w14:textId="77777777" w:rsidR="00714E6E" w:rsidRPr="00DF2C2E" w:rsidRDefault="00714E6E" w:rsidP="000A5063">
            <w:pPr>
              <w:spacing w:before="0" w:after="0" w:line="240" w:lineRule="auto"/>
              <w:jc w:val="right"/>
              <w:rPr>
                <w:rFonts w:asciiTheme="minorBidi" w:hAnsiTheme="minorBidi"/>
                <w:color w:val="000000"/>
                <w:sz w:val="18"/>
                <w:szCs w:val="18"/>
              </w:rPr>
            </w:pPr>
          </w:p>
        </w:tc>
        <w:tc>
          <w:tcPr>
            <w:tcW w:w="1258" w:type="dxa"/>
            <w:shd w:val="clear" w:color="auto" w:fill="E5E5E5" w:themeFill="background2" w:themeFillShade="E6"/>
            <w:noWrap/>
            <w:vAlign w:val="center"/>
            <w:hideMark/>
          </w:tcPr>
          <w:p w14:paraId="2BA06989" w14:textId="77777777" w:rsidR="00714E6E"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21%</w:t>
            </w:r>
          </w:p>
        </w:tc>
      </w:tr>
    </w:tbl>
    <w:p w14:paraId="6149FC10" w14:textId="696D9419" w:rsidR="00F72778" w:rsidRDefault="00F72778" w:rsidP="00EA5B61">
      <w:pPr>
        <w:pStyle w:val="BottomCaption"/>
        <w:rPr>
          <w:iCs/>
          <w:color w:val="82009B" w:themeColor="accent6"/>
          <w:szCs w:val="18"/>
        </w:rPr>
      </w:pPr>
      <w:r w:rsidRPr="00E14EBC">
        <w:t>Allikas: Eurostat</w:t>
      </w:r>
    </w:p>
    <w:p w14:paraId="7D433815" w14:textId="1766F608" w:rsidR="00F72778" w:rsidRPr="00E14EBC" w:rsidRDefault="00F72778" w:rsidP="00F72778">
      <w:pPr>
        <w:pStyle w:val="Caption"/>
      </w:pPr>
    </w:p>
    <w:p w14:paraId="63F8EEFB" w14:textId="172CEE14" w:rsidR="00F72778" w:rsidRPr="00E14EBC" w:rsidRDefault="00F72778" w:rsidP="4A7E2F16">
      <w:r>
        <w:br w:type="page"/>
      </w:r>
    </w:p>
    <w:p w14:paraId="0FCB32F0" w14:textId="781F24EA" w:rsidR="00F72778" w:rsidRPr="00E14EBC" w:rsidRDefault="4A7E2F16" w:rsidP="00F72778">
      <w:pPr>
        <w:pStyle w:val="Caption"/>
      </w:pPr>
      <w:r>
        <w:lastRenderedPageBreak/>
        <w:t>Tabel 32: Majutuse keskmine pikkus päevades lühiajalise üüri majutuskohtades, maakonniti, 2019–2023</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1440"/>
        <w:gridCol w:w="1620"/>
        <w:gridCol w:w="1530"/>
        <w:gridCol w:w="1710"/>
        <w:gridCol w:w="1620"/>
      </w:tblGrid>
      <w:tr w:rsidR="00F72778" w:rsidRPr="00EA5B61" w14:paraId="5CA046BF" w14:textId="77777777">
        <w:trPr>
          <w:trHeight w:val="380"/>
        </w:trPr>
        <w:tc>
          <w:tcPr>
            <w:tcW w:w="1165" w:type="dxa"/>
            <w:noWrap/>
            <w:vAlign w:val="center"/>
            <w:hideMark/>
          </w:tcPr>
          <w:p w14:paraId="3A91074E" w14:textId="77777777" w:rsidR="00F72778" w:rsidRPr="00EA5B61" w:rsidRDefault="00F72778" w:rsidP="00EA5B61">
            <w:pPr>
              <w:spacing w:before="0" w:after="0" w:line="240" w:lineRule="auto"/>
              <w:rPr>
                <w:rFonts w:asciiTheme="minorBidi" w:hAnsiTheme="minorBidi"/>
                <w:sz w:val="18"/>
                <w:szCs w:val="18"/>
              </w:rPr>
            </w:pPr>
          </w:p>
        </w:tc>
        <w:tc>
          <w:tcPr>
            <w:tcW w:w="7920" w:type="dxa"/>
            <w:gridSpan w:val="5"/>
            <w:noWrap/>
            <w:vAlign w:val="center"/>
            <w:hideMark/>
          </w:tcPr>
          <w:p w14:paraId="68D20896" w14:textId="7EDF42FB" w:rsidR="00F72778" w:rsidRPr="00EA5B61" w:rsidRDefault="00EA5B61" w:rsidP="00EA5B61">
            <w:pPr>
              <w:spacing w:before="0" w:after="0" w:line="240" w:lineRule="auto"/>
              <w:jc w:val="center"/>
              <w:rPr>
                <w:rFonts w:asciiTheme="minorBidi" w:hAnsiTheme="minorBidi"/>
                <w:b/>
                <w:color w:val="000000"/>
                <w:sz w:val="18"/>
                <w:szCs w:val="18"/>
              </w:rPr>
            </w:pPr>
            <w:r>
              <w:rPr>
                <w:rFonts w:asciiTheme="minorBidi" w:hAnsiTheme="minorBidi"/>
                <w:b/>
                <w:bCs/>
                <w:color w:val="000000"/>
                <w:sz w:val="18"/>
                <w:szCs w:val="18"/>
              </w:rPr>
              <w:t>Ü</w:t>
            </w:r>
            <w:r w:rsidR="00F72778" w:rsidRPr="00EA5B61">
              <w:rPr>
                <w:rFonts w:asciiTheme="minorBidi" w:hAnsiTheme="minorBidi"/>
                <w:b/>
                <w:bCs/>
                <w:color w:val="000000"/>
                <w:sz w:val="18"/>
                <w:szCs w:val="18"/>
              </w:rPr>
              <w:t>he</w:t>
            </w:r>
            <w:r w:rsidR="00F72778" w:rsidRPr="00EA5B61">
              <w:rPr>
                <w:rFonts w:asciiTheme="minorBidi" w:hAnsiTheme="minorBidi"/>
                <w:b/>
                <w:color w:val="000000"/>
                <w:sz w:val="18"/>
                <w:szCs w:val="18"/>
              </w:rPr>
              <w:t xml:space="preserve"> majutuse keskmine kestus päevades</w:t>
            </w:r>
          </w:p>
        </w:tc>
      </w:tr>
      <w:tr w:rsidR="00F72778" w:rsidRPr="00EA5B61" w14:paraId="6EB91F8F" w14:textId="77777777">
        <w:trPr>
          <w:trHeight w:val="380"/>
        </w:trPr>
        <w:tc>
          <w:tcPr>
            <w:tcW w:w="1165" w:type="dxa"/>
            <w:noWrap/>
            <w:vAlign w:val="center"/>
            <w:hideMark/>
          </w:tcPr>
          <w:p w14:paraId="0BC6E894" w14:textId="77777777" w:rsidR="00F72778" w:rsidRPr="00EA5B61" w:rsidRDefault="00F72778" w:rsidP="00EA5B61">
            <w:pPr>
              <w:spacing w:before="0" w:after="0" w:line="240" w:lineRule="auto"/>
              <w:jc w:val="center"/>
              <w:rPr>
                <w:rFonts w:asciiTheme="minorBidi" w:hAnsiTheme="minorBidi"/>
                <w:b/>
                <w:color w:val="000000"/>
                <w:sz w:val="18"/>
                <w:szCs w:val="18"/>
              </w:rPr>
            </w:pPr>
            <w:r w:rsidRPr="00EA5B61">
              <w:rPr>
                <w:rFonts w:asciiTheme="minorBidi" w:hAnsiTheme="minorBidi"/>
                <w:b/>
                <w:color w:val="000000"/>
                <w:sz w:val="18"/>
                <w:szCs w:val="18"/>
              </w:rPr>
              <w:t>Maakond</w:t>
            </w:r>
          </w:p>
        </w:tc>
        <w:tc>
          <w:tcPr>
            <w:tcW w:w="1440" w:type="dxa"/>
            <w:noWrap/>
            <w:vAlign w:val="center"/>
            <w:hideMark/>
          </w:tcPr>
          <w:p w14:paraId="68D52B6A" w14:textId="77777777" w:rsidR="00F72778" w:rsidRPr="00EA5B61" w:rsidRDefault="00F72778" w:rsidP="00EA5B61">
            <w:pPr>
              <w:spacing w:before="0" w:after="0" w:line="240" w:lineRule="auto"/>
              <w:jc w:val="center"/>
              <w:rPr>
                <w:rFonts w:asciiTheme="minorBidi" w:hAnsiTheme="minorBidi"/>
                <w:b/>
                <w:color w:val="000000"/>
                <w:sz w:val="18"/>
                <w:szCs w:val="18"/>
              </w:rPr>
            </w:pPr>
            <w:r w:rsidRPr="00EA5B61">
              <w:rPr>
                <w:rFonts w:asciiTheme="minorBidi" w:hAnsiTheme="minorBidi"/>
                <w:b/>
                <w:color w:val="000000"/>
                <w:sz w:val="18"/>
                <w:szCs w:val="18"/>
              </w:rPr>
              <w:t>2019</w:t>
            </w:r>
          </w:p>
        </w:tc>
        <w:tc>
          <w:tcPr>
            <w:tcW w:w="1620" w:type="dxa"/>
            <w:noWrap/>
            <w:vAlign w:val="center"/>
            <w:hideMark/>
          </w:tcPr>
          <w:p w14:paraId="54EF5D72" w14:textId="77777777" w:rsidR="00F72778" w:rsidRPr="00EA5B61" w:rsidRDefault="00F72778" w:rsidP="00EA5B61">
            <w:pPr>
              <w:spacing w:before="0" w:after="0" w:line="240" w:lineRule="auto"/>
              <w:jc w:val="center"/>
              <w:rPr>
                <w:rFonts w:asciiTheme="minorBidi" w:hAnsiTheme="minorBidi"/>
                <w:b/>
                <w:color w:val="000000"/>
                <w:sz w:val="18"/>
                <w:szCs w:val="18"/>
              </w:rPr>
            </w:pPr>
            <w:r w:rsidRPr="00EA5B61">
              <w:rPr>
                <w:rFonts w:asciiTheme="minorBidi" w:hAnsiTheme="minorBidi"/>
                <w:b/>
                <w:color w:val="000000"/>
                <w:sz w:val="18"/>
                <w:szCs w:val="18"/>
              </w:rPr>
              <w:t>2020</w:t>
            </w:r>
          </w:p>
        </w:tc>
        <w:tc>
          <w:tcPr>
            <w:tcW w:w="1530" w:type="dxa"/>
            <w:noWrap/>
            <w:vAlign w:val="center"/>
            <w:hideMark/>
          </w:tcPr>
          <w:p w14:paraId="7DE0B361" w14:textId="77777777" w:rsidR="00F72778" w:rsidRPr="00EA5B61" w:rsidRDefault="00F72778" w:rsidP="00EA5B61">
            <w:pPr>
              <w:spacing w:before="0" w:after="0" w:line="240" w:lineRule="auto"/>
              <w:jc w:val="center"/>
              <w:rPr>
                <w:rFonts w:asciiTheme="minorBidi" w:hAnsiTheme="minorBidi"/>
                <w:b/>
                <w:color w:val="000000"/>
                <w:sz w:val="18"/>
                <w:szCs w:val="18"/>
              </w:rPr>
            </w:pPr>
            <w:r w:rsidRPr="00EA5B61">
              <w:rPr>
                <w:rFonts w:asciiTheme="minorBidi" w:hAnsiTheme="minorBidi"/>
                <w:b/>
                <w:color w:val="000000"/>
                <w:sz w:val="18"/>
                <w:szCs w:val="18"/>
              </w:rPr>
              <w:t>2021</w:t>
            </w:r>
          </w:p>
        </w:tc>
        <w:tc>
          <w:tcPr>
            <w:tcW w:w="1710" w:type="dxa"/>
            <w:noWrap/>
            <w:vAlign w:val="center"/>
            <w:hideMark/>
          </w:tcPr>
          <w:p w14:paraId="304E8FB1" w14:textId="77777777" w:rsidR="00F72778" w:rsidRPr="00EA5B61" w:rsidRDefault="00F72778" w:rsidP="00EA5B61">
            <w:pPr>
              <w:spacing w:before="0" w:after="0" w:line="240" w:lineRule="auto"/>
              <w:jc w:val="center"/>
              <w:rPr>
                <w:rFonts w:asciiTheme="minorBidi" w:hAnsiTheme="minorBidi"/>
                <w:b/>
                <w:color w:val="000000"/>
                <w:sz w:val="18"/>
                <w:szCs w:val="18"/>
              </w:rPr>
            </w:pPr>
            <w:r w:rsidRPr="00EA5B61">
              <w:rPr>
                <w:rFonts w:asciiTheme="minorBidi" w:hAnsiTheme="minorBidi"/>
                <w:b/>
                <w:color w:val="000000"/>
                <w:sz w:val="18"/>
                <w:szCs w:val="18"/>
              </w:rPr>
              <w:t>2022</w:t>
            </w:r>
          </w:p>
        </w:tc>
        <w:tc>
          <w:tcPr>
            <w:tcW w:w="1620" w:type="dxa"/>
            <w:noWrap/>
            <w:vAlign w:val="center"/>
            <w:hideMark/>
          </w:tcPr>
          <w:p w14:paraId="50EB5217" w14:textId="77777777" w:rsidR="00F72778" w:rsidRPr="00EA5B61" w:rsidRDefault="00F72778" w:rsidP="00EA5B61">
            <w:pPr>
              <w:spacing w:before="0" w:after="0" w:line="240" w:lineRule="auto"/>
              <w:jc w:val="center"/>
              <w:rPr>
                <w:rFonts w:asciiTheme="minorBidi" w:hAnsiTheme="minorBidi"/>
                <w:b/>
                <w:color w:val="000000"/>
                <w:sz w:val="18"/>
                <w:szCs w:val="18"/>
              </w:rPr>
            </w:pPr>
            <w:r w:rsidRPr="00EA5B61">
              <w:rPr>
                <w:rFonts w:asciiTheme="minorBidi" w:hAnsiTheme="minorBidi"/>
                <w:b/>
                <w:color w:val="000000"/>
                <w:sz w:val="18"/>
                <w:szCs w:val="18"/>
              </w:rPr>
              <w:t>2023</w:t>
            </w:r>
          </w:p>
        </w:tc>
      </w:tr>
      <w:tr w:rsidR="00F72778" w:rsidRPr="00EA5B61" w14:paraId="17061FE1" w14:textId="77777777">
        <w:trPr>
          <w:trHeight w:val="380"/>
        </w:trPr>
        <w:tc>
          <w:tcPr>
            <w:tcW w:w="1165" w:type="dxa"/>
            <w:noWrap/>
            <w:vAlign w:val="center"/>
            <w:hideMark/>
          </w:tcPr>
          <w:p w14:paraId="4EFC9DAB"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Harju</w:t>
            </w:r>
          </w:p>
        </w:tc>
        <w:tc>
          <w:tcPr>
            <w:tcW w:w="1440" w:type="dxa"/>
            <w:noWrap/>
            <w:vAlign w:val="center"/>
            <w:hideMark/>
          </w:tcPr>
          <w:p w14:paraId="4C39988A" w14:textId="46133160"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75</w:t>
            </w:r>
          </w:p>
        </w:tc>
        <w:tc>
          <w:tcPr>
            <w:tcW w:w="1620" w:type="dxa"/>
            <w:noWrap/>
            <w:vAlign w:val="center"/>
            <w:hideMark/>
          </w:tcPr>
          <w:p w14:paraId="589DC3CB" w14:textId="3D05B0BB"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3</w:t>
            </w:r>
            <w:r w:rsidR="009402A5">
              <w:rPr>
                <w:rFonts w:asciiTheme="minorBidi" w:hAnsiTheme="minorBidi"/>
                <w:color w:val="000000"/>
                <w:sz w:val="18"/>
                <w:szCs w:val="18"/>
              </w:rPr>
              <w:t>,</w:t>
            </w:r>
            <w:r w:rsidRPr="00EA5B61">
              <w:rPr>
                <w:rFonts w:asciiTheme="minorBidi" w:hAnsiTheme="minorBidi"/>
                <w:color w:val="000000"/>
                <w:sz w:val="18"/>
                <w:szCs w:val="18"/>
              </w:rPr>
              <w:t>06</w:t>
            </w:r>
          </w:p>
        </w:tc>
        <w:tc>
          <w:tcPr>
            <w:tcW w:w="1530" w:type="dxa"/>
            <w:noWrap/>
            <w:vAlign w:val="center"/>
            <w:hideMark/>
          </w:tcPr>
          <w:p w14:paraId="376D1E89" w14:textId="780E7EE1"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3</w:t>
            </w:r>
            <w:r w:rsidR="009402A5">
              <w:rPr>
                <w:rFonts w:asciiTheme="minorBidi" w:hAnsiTheme="minorBidi"/>
                <w:color w:val="000000"/>
                <w:sz w:val="18"/>
                <w:szCs w:val="18"/>
              </w:rPr>
              <w:t>,</w:t>
            </w:r>
            <w:r w:rsidRPr="00EA5B61">
              <w:rPr>
                <w:rFonts w:asciiTheme="minorBidi" w:hAnsiTheme="minorBidi"/>
                <w:color w:val="000000"/>
                <w:sz w:val="18"/>
                <w:szCs w:val="18"/>
              </w:rPr>
              <w:t>62</w:t>
            </w:r>
          </w:p>
        </w:tc>
        <w:tc>
          <w:tcPr>
            <w:tcW w:w="1710" w:type="dxa"/>
            <w:noWrap/>
            <w:vAlign w:val="center"/>
            <w:hideMark/>
          </w:tcPr>
          <w:p w14:paraId="703934CD" w14:textId="6449E665"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3</w:t>
            </w:r>
            <w:r w:rsidR="009402A5">
              <w:rPr>
                <w:rFonts w:asciiTheme="minorBidi" w:hAnsiTheme="minorBidi"/>
                <w:color w:val="000000"/>
                <w:sz w:val="18"/>
                <w:szCs w:val="18"/>
              </w:rPr>
              <w:t>,</w:t>
            </w:r>
            <w:r w:rsidRPr="00EA5B61">
              <w:rPr>
                <w:rFonts w:asciiTheme="minorBidi" w:hAnsiTheme="minorBidi"/>
                <w:color w:val="000000"/>
                <w:sz w:val="18"/>
                <w:szCs w:val="18"/>
              </w:rPr>
              <w:t>32</w:t>
            </w:r>
          </w:p>
        </w:tc>
        <w:tc>
          <w:tcPr>
            <w:tcW w:w="1620" w:type="dxa"/>
            <w:noWrap/>
            <w:vAlign w:val="center"/>
            <w:hideMark/>
          </w:tcPr>
          <w:p w14:paraId="5DAB7DCE" w14:textId="04F15947"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3</w:t>
            </w:r>
            <w:r w:rsidR="009402A5">
              <w:rPr>
                <w:rFonts w:asciiTheme="minorBidi" w:hAnsiTheme="minorBidi"/>
                <w:color w:val="000000"/>
                <w:sz w:val="18"/>
                <w:szCs w:val="18"/>
              </w:rPr>
              <w:t>,</w:t>
            </w:r>
            <w:r w:rsidRPr="00EA5B61">
              <w:rPr>
                <w:rFonts w:asciiTheme="minorBidi" w:hAnsiTheme="minorBidi"/>
                <w:color w:val="000000"/>
                <w:sz w:val="18"/>
                <w:szCs w:val="18"/>
              </w:rPr>
              <w:t>07</w:t>
            </w:r>
          </w:p>
        </w:tc>
      </w:tr>
      <w:tr w:rsidR="00F72778" w:rsidRPr="00EA5B61" w14:paraId="23DD1D72" w14:textId="77777777">
        <w:trPr>
          <w:trHeight w:val="380"/>
        </w:trPr>
        <w:tc>
          <w:tcPr>
            <w:tcW w:w="1165" w:type="dxa"/>
            <w:noWrap/>
            <w:vAlign w:val="center"/>
            <w:hideMark/>
          </w:tcPr>
          <w:p w14:paraId="6101BE9F"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Hiiu</w:t>
            </w:r>
          </w:p>
        </w:tc>
        <w:tc>
          <w:tcPr>
            <w:tcW w:w="1440" w:type="dxa"/>
            <w:noWrap/>
            <w:vAlign w:val="center"/>
            <w:hideMark/>
          </w:tcPr>
          <w:p w14:paraId="1AFAC955" w14:textId="6011A2D8"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94</w:t>
            </w:r>
          </w:p>
        </w:tc>
        <w:tc>
          <w:tcPr>
            <w:tcW w:w="1620" w:type="dxa"/>
            <w:noWrap/>
            <w:vAlign w:val="center"/>
            <w:hideMark/>
          </w:tcPr>
          <w:p w14:paraId="220A871D" w14:textId="02C9610C"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99</w:t>
            </w:r>
          </w:p>
        </w:tc>
        <w:tc>
          <w:tcPr>
            <w:tcW w:w="1530" w:type="dxa"/>
            <w:noWrap/>
            <w:vAlign w:val="center"/>
            <w:hideMark/>
          </w:tcPr>
          <w:p w14:paraId="08EE3715" w14:textId="4FAF4A51"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04</w:t>
            </w:r>
          </w:p>
        </w:tc>
        <w:tc>
          <w:tcPr>
            <w:tcW w:w="1710" w:type="dxa"/>
            <w:noWrap/>
            <w:vAlign w:val="center"/>
            <w:hideMark/>
          </w:tcPr>
          <w:p w14:paraId="35C3E869" w14:textId="58973BE5"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94</w:t>
            </w:r>
          </w:p>
        </w:tc>
        <w:tc>
          <w:tcPr>
            <w:tcW w:w="1620" w:type="dxa"/>
            <w:noWrap/>
            <w:vAlign w:val="center"/>
            <w:hideMark/>
          </w:tcPr>
          <w:p w14:paraId="37B7DE6F" w14:textId="3723C7F7"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95</w:t>
            </w:r>
          </w:p>
        </w:tc>
      </w:tr>
      <w:tr w:rsidR="00F72778" w:rsidRPr="00EA5B61" w14:paraId="6F5161A2" w14:textId="77777777">
        <w:trPr>
          <w:trHeight w:val="380"/>
        </w:trPr>
        <w:tc>
          <w:tcPr>
            <w:tcW w:w="1165" w:type="dxa"/>
            <w:noWrap/>
            <w:vAlign w:val="center"/>
            <w:hideMark/>
          </w:tcPr>
          <w:p w14:paraId="74BF5F13"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Ida-Viru</w:t>
            </w:r>
          </w:p>
        </w:tc>
        <w:tc>
          <w:tcPr>
            <w:tcW w:w="1440" w:type="dxa"/>
            <w:noWrap/>
            <w:vAlign w:val="center"/>
            <w:hideMark/>
          </w:tcPr>
          <w:p w14:paraId="6CAF52BC" w14:textId="1032E4AC"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76</w:t>
            </w:r>
          </w:p>
        </w:tc>
        <w:tc>
          <w:tcPr>
            <w:tcW w:w="1620" w:type="dxa"/>
            <w:noWrap/>
            <w:vAlign w:val="center"/>
            <w:hideMark/>
          </w:tcPr>
          <w:p w14:paraId="1D05F9CC" w14:textId="15EBD6B6"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90</w:t>
            </w:r>
          </w:p>
        </w:tc>
        <w:tc>
          <w:tcPr>
            <w:tcW w:w="1530" w:type="dxa"/>
            <w:noWrap/>
            <w:vAlign w:val="center"/>
            <w:hideMark/>
          </w:tcPr>
          <w:p w14:paraId="094CD88F" w14:textId="6831EC93"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95</w:t>
            </w:r>
          </w:p>
        </w:tc>
        <w:tc>
          <w:tcPr>
            <w:tcW w:w="1710" w:type="dxa"/>
            <w:noWrap/>
            <w:vAlign w:val="center"/>
            <w:hideMark/>
          </w:tcPr>
          <w:p w14:paraId="641CAA6F" w14:textId="647ECF35"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20</w:t>
            </w:r>
          </w:p>
        </w:tc>
        <w:tc>
          <w:tcPr>
            <w:tcW w:w="1620" w:type="dxa"/>
            <w:noWrap/>
            <w:vAlign w:val="center"/>
            <w:hideMark/>
          </w:tcPr>
          <w:p w14:paraId="3AC33EEA" w14:textId="03510049"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20</w:t>
            </w:r>
          </w:p>
        </w:tc>
      </w:tr>
      <w:tr w:rsidR="00F72778" w:rsidRPr="00EA5B61" w14:paraId="0DE989BA" w14:textId="77777777">
        <w:trPr>
          <w:trHeight w:val="380"/>
        </w:trPr>
        <w:tc>
          <w:tcPr>
            <w:tcW w:w="1165" w:type="dxa"/>
            <w:noWrap/>
            <w:vAlign w:val="center"/>
            <w:hideMark/>
          </w:tcPr>
          <w:p w14:paraId="201B80C2"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Jõgeva</w:t>
            </w:r>
          </w:p>
        </w:tc>
        <w:tc>
          <w:tcPr>
            <w:tcW w:w="1440" w:type="dxa"/>
            <w:noWrap/>
            <w:vAlign w:val="center"/>
            <w:hideMark/>
          </w:tcPr>
          <w:p w14:paraId="5A276486" w14:textId="5CC23D3E"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87</w:t>
            </w:r>
          </w:p>
        </w:tc>
        <w:tc>
          <w:tcPr>
            <w:tcW w:w="1620" w:type="dxa"/>
            <w:noWrap/>
            <w:vAlign w:val="center"/>
            <w:hideMark/>
          </w:tcPr>
          <w:p w14:paraId="34483E8C" w14:textId="7948231E"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80</w:t>
            </w:r>
          </w:p>
        </w:tc>
        <w:tc>
          <w:tcPr>
            <w:tcW w:w="1530" w:type="dxa"/>
            <w:noWrap/>
            <w:vAlign w:val="center"/>
            <w:hideMark/>
          </w:tcPr>
          <w:p w14:paraId="529460D7" w14:textId="22D168FC"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04</w:t>
            </w:r>
          </w:p>
        </w:tc>
        <w:tc>
          <w:tcPr>
            <w:tcW w:w="1710" w:type="dxa"/>
            <w:noWrap/>
            <w:vAlign w:val="center"/>
            <w:hideMark/>
          </w:tcPr>
          <w:p w14:paraId="21540C19" w14:textId="03173128"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93</w:t>
            </w:r>
          </w:p>
        </w:tc>
        <w:tc>
          <w:tcPr>
            <w:tcW w:w="1620" w:type="dxa"/>
            <w:noWrap/>
            <w:vAlign w:val="center"/>
            <w:hideMark/>
          </w:tcPr>
          <w:p w14:paraId="3060D574" w14:textId="5241A5ED"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04</w:t>
            </w:r>
          </w:p>
        </w:tc>
      </w:tr>
      <w:tr w:rsidR="00F72778" w:rsidRPr="00EA5B61" w14:paraId="47DE9D69" w14:textId="77777777">
        <w:trPr>
          <w:trHeight w:val="380"/>
        </w:trPr>
        <w:tc>
          <w:tcPr>
            <w:tcW w:w="1165" w:type="dxa"/>
            <w:noWrap/>
            <w:vAlign w:val="center"/>
            <w:hideMark/>
          </w:tcPr>
          <w:p w14:paraId="53555C17"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Järva</w:t>
            </w:r>
          </w:p>
        </w:tc>
        <w:tc>
          <w:tcPr>
            <w:tcW w:w="1440" w:type="dxa"/>
            <w:noWrap/>
            <w:vAlign w:val="center"/>
            <w:hideMark/>
          </w:tcPr>
          <w:p w14:paraId="0CBACF0D" w14:textId="52EBC7D7"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89</w:t>
            </w:r>
          </w:p>
        </w:tc>
        <w:tc>
          <w:tcPr>
            <w:tcW w:w="1620" w:type="dxa"/>
            <w:noWrap/>
            <w:vAlign w:val="center"/>
            <w:hideMark/>
          </w:tcPr>
          <w:p w14:paraId="75A5E063" w14:textId="505D0A61"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00</w:t>
            </w:r>
          </w:p>
        </w:tc>
        <w:tc>
          <w:tcPr>
            <w:tcW w:w="1530" w:type="dxa"/>
            <w:noWrap/>
            <w:vAlign w:val="center"/>
            <w:hideMark/>
          </w:tcPr>
          <w:p w14:paraId="779E3EC8" w14:textId="45D2CE8A"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62</w:t>
            </w:r>
          </w:p>
        </w:tc>
        <w:tc>
          <w:tcPr>
            <w:tcW w:w="1710" w:type="dxa"/>
            <w:noWrap/>
            <w:vAlign w:val="center"/>
            <w:hideMark/>
          </w:tcPr>
          <w:p w14:paraId="0CDB7293" w14:textId="164BF369"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69</w:t>
            </w:r>
          </w:p>
        </w:tc>
        <w:tc>
          <w:tcPr>
            <w:tcW w:w="1620" w:type="dxa"/>
            <w:noWrap/>
            <w:vAlign w:val="center"/>
            <w:hideMark/>
          </w:tcPr>
          <w:p w14:paraId="59C724E0" w14:textId="0D328C7D"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57</w:t>
            </w:r>
          </w:p>
        </w:tc>
      </w:tr>
      <w:tr w:rsidR="00F72778" w:rsidRPr="00EA5B61" w14:paraId="7CA2ADCC" w14:textId="77777777">
        <w:trPr>
          <w:trHeight w:val="380"/>
        </w:trPr>
        <w:tc>
          <w:tcPr>
            <w:tcW w:w="1165" w:type="dxa"/>
            <w:noWrap/>
            <w:vAlign w:val="center"/>
            <w:hideMark/>
          </w:tcPr>
          <w:p w14:paraId="42499E89"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Lääne</w:t>
            </w:r>
          </w:p>
        </w:tc>
        <w:tc>
          <w:tcPr>
            <w:tcW w:w="1440" w:type="dxa"/>
            <w:noWrap/>
            <w:vAlign w:val="center"/>
            <w:hideMark/>
          </w:tcPr>
          <w:p w14:paraId="1D53BBFF" w14:textId="44E51683"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81</w:t>
            </w:r>
          </w:p>
        </w:tc>
        <w:tc>
          <w:tcPr>
            <w:tcW w:w="1620" w:type="dxa"/>
            <w:noWrap/>
            <w:vAlign w:val="center"/>
            <w:hideMark/>
          </w:tcPr>
          <w:p w14:paraId="305FF164" w14:textId="6B9E7EC0"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68</w:t>
            </w:r>
          </w:p>
        </w:tc>
        <w:tc>
          <w:tcPr>
            <w:tcW w:w="1530" w:type="dxa"/>
            <w:noWrap/>
            <w:vAlign w:val="center"/>
            <w:hideMark/>
          </w:tcPr>
          <w:p w14:paraId="6BBC554E" w14:textId="2FB9F0E8"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64</w:t>
            </w:r>
          </w:p>
        </w:tc>
        <w:tc>
          <w:tcPr>
            <w:tcW w:w="1710" w:type="dxa"/>
            <w:noWrap/>
            <w:vAlign w:val="center"/>
            <w:hideMark/>
          </w:tcPr>
          <w:p w14:paraId="33217238" w14:textId="5C5868EC"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74</w:t>
            </w:r>
          </w:p>
        </w:tc>
        <w:tc>
          <w:tcPr>
            <w:tcW w:w="1620" w:type="dxa"/>
            <w:noWrap/>
            <w:vAlign w:val="center"/>
            <w:hideMark/>
          </w:tcPr>
          <w:p w14:paraId="2527A2F1" w14:textId="05CB307F"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76</w:t>
            </w:r>
          </w:p>
        </w:tc>
      </w:tr>
      <w:tr w:rsidR="00F72778" w:rsidRPr="00EA5B61" w14:paraId="10D23F73" w14:textId="77777777">
        <w:trPr>
          <w:trHeight w:val="380"/>
        </w:trPr>
        <w:tc>
          <w:tcPr>
            <w:tcW w:w="1165" w:type="dxa"/>
            <w:noWrap/>
            <w:vAlign w:val="center"/>
            <w:hideMark/>
          </w:tcPr>
          <w:p w14:paraId="07F2586F"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Lääne-Viru</w:t>
            </w:r>
          </w:p>
        </w:tc>
        <w:tc>
          <w:tcPr>
            <w:tcW w:w="1440" w:type="dxa"/>
            <w:noWrap/>
            <w:vAlign w:val="center"/>
            <w:hideMark/>
          </w:tcPr>
          <w:p w14:paraId="77374E65" w14:textId="092CA5CF"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86</w:t>
            </w:r>
          </w:p>
        </w:tc>
        <w:tc>
          <w:tcPr>
            <w:tcW w:w="1620" w:type="dxa"/>
            <w:noWrap/>
            <w:vAlign w:val="center"/>
            <w:hideMark/>
          </w:tcPr>
          <w:p w14:paraId="1FC7821D" w14:textId="3A799791"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73</w:t>
            </w:r>
          </w:p>
        </w:tc>
        <w:tc>
          <w:tcPr>
            <w:tcW w:w="1530" w:type="dxa"/>
            <w:noWrap/>
            <w:vAlign w:val="center"/>
            <w:hideMark/>
          </w:tcPr>
          <w:p w14:paraId="43D74B1B" w14:textId="6D87248C"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69</w:t>
            </w:r>
          </w:p>
        </w:tc>
        <w:tc>
          <w:tcPr>
            <w:tcW w:w="1710" w:type="dxa"/>
            <w:noWrap/>
            <w:vAlign w:val="center"/>
            <w:hideMark/>
          </w:tcPr>
          <w:p w14:paraId="356929F8" w14:textId="218C93AB"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86</w:t>
            </w:r>
          </w:p>
        </w:tc>
        <w:tc>
          <w:tcPr>
            <w:tcW w:w="1620" w:type="dxa"/>
            <w:noWrap/>
            <w:vAlign w:val="center"/>
            <w:hideMark/>
          </w:tcPr>
          <w:p w14:paraId="1E7BDCCC" w14:textId="78D4A862"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79</w:t>
            </w:r>
          </w:p>
        </w:tc>
      </w:tr>
      <w:tr w:rsidR="00F72778" w:rsidRPr="00EA5B61" w14:paraId="35112E39" w14:textId="77777777">
        <w:trPr>
          <w:trHeight w:val="380"/>
        </w:trPr>
        <w:tc>
          <w:tcPr>
            <w:tcW w:w="1165" w:type="dxa"/>
            <w:noWrap/>
            <w:vAlign w:val="center"/>
            <w:hideMark/>
          </w:tcPr>
          <w:p w14:paraId="6CD8E13D"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Põlva</w:t>
            </w:r>
          </w:p>
        </w:tc>
        <w:tc>
          <w:tcPr>
            <w:tcW w:w="1440" w:type="dxa"/>
            <w:noWrap/>
            <w:vAlign w:val="center"/>
            <w:hideMark/>
          </w:tcPr>
          <w:p w14:paraId="5745BF6B" w14:textId="477368BD"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58</w:t>
            </w:r>
          </w:p>
        </w:tc>
        <w:tc>
          <w:tcPr>
            <w:tcW w:w="1620" w:type="dxa"/>
            <w:noWrap/>
            <w:vAlign w:val="center"/>
            <w:hideMark/>
          </w:tcPr>
          <w:p w14:paraId="29CD5931" w14:textId="79E510F9"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58</w:t>
            </w:r>
          </w:p>
        </w:tc>
        <w:tc>
          <w:tcPr>
            <w:tcW w:w="1530" w:type="dxa"/>
            <w:noWrap/>
            <w:vAlign w:val="center"/>
            <w:hideMark/>
          </w:tcPr>
          <w:p w14:paraId="45E3872A" w14:textId="33CBFE2D"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56</w:t>
            </w:r>
          </w:p>
        </w:tc>
        <w:tc>
          <w:tcPr>
            <w:tcW w:w="1710" w:type="dxa"/>
            <w:noWrap/>
            <w:vAlign w:val="center"/>
            <w:hideMark/>
          </w:tcPr>
          <w:p w14:paraId="44C53258" w14:textId="21EE438D"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57</w:t>
            </w:r>
          </w:p>
        </w:tc>
        <w:tc>
          <w:tcPr>
            <w:tcW w:w="1620" w:type="dxa"/>
            <w:noWrap/>
            <w:vAlign w:val="center"/>
            <w:hideMark/>
          </w:tcPr>
          <w:p w14:paraId="5C293CDF" w14:textId="06928B43"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63</w:t>
            </w:r>
          </w:p>
        </w:tc>
      </w:tr>
      <w:tr w:rsidR="00F72778" w:rsidRPr="00EA5B61" w14:paraId="462E5663" w14:textId="77777777">
        <w:trPr>
          <w:trHeight w:val="380"/>
        </w:trPr>
        <w:tc>
          <w:tcPr>
            <w:tcW w:w="1165" w:type="dxa"/>
            <w:noWrap/>
            <w:vAlign w:val="center"/>
            <w:hideMark/>
          </w:tcPr>
          <w:p w14:paraId="6F271A2B"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Pärnu</w:t>
            </w:r>
          </w:p>
        </w:tc>
        <w:tc>
          <w:tcPr>
            <w:tcW w:w="1440" w:type="dxa"/>
            <w:noWrap/>
            <w:vAlign w:val="center"/>
            <w:hideMark/>
          </w:tcPr>
          <w:p w14:paraId="4A23DF2D" w14:textId="5F5C246B"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11</w:t>
            </w:r>
          </w:p>
        </w:tc>
        <w:tc>
          <w:tcPr>
            <w:tcW w:w="1620" w:type="dxa"/>
            <w:noWrap/>
            <w:vAlign w:val="center"/>
            <w:hideMark/>
          </w:tcPr>
          <w:p w14:paraId="5D35AF6A" w14:textId="01BF430A"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03</w:t>
            </w:r>
          </w:p>
        </w:tc>
        <w:tc>
          <w:tcPr>
            <w:tcW w:w="1530" w:type="dxa"/>
            <w:noWrap/>
            <w:vAlign w:val="center"/>
            <w:hideMark/>
          </w:tcPr>
          <w:p w14:paraId="6F976F30" w14:textId="1DCF8A6E"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01</w:t>
            </w:r>
          </w:p>
        </w:tc>
        <w:tc>
          <w:tcPr>
            <w:tcW w:w="1710" w:type="dxa"/>
            <w:noWrap/>
            <w:vAlign w:val="center"/>
            <w:hideMark/>
          </w:tcPr>
          <w:p w14:paraId="1F91840B" w14:textId="6535B16E"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16</w:t>
            </w:r>
          </w:p>
        </w:tc>
        <w:tc>
          <w:tcPr>
            <w:tcW w:w="1620" w:type="dxa"/>
            <w:noWrap/>
            <w:vAlign w:val="center"/>
            <w:hideMark/>
          </w:tcPr>
          <w:p w14:paraId="2C835A5C" w14:textId="7A62F757"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17</w:t>
            </w:r>
          </w:p>
        </w:tc>
      </w:tr>
      <w:tr w:rsidR="00F72778" w:rsidRPr="00EA5B61" w14:paraId="2A77FAC0" w14:textId="77777777">
        <w:trPr>
          <w:trHeight w:val="380"/>
        </w:trPr>
        <w:tc>
          <w:tcPr>
            <w:tcW w:w="1165" w:type="dxa"/>
            <w:noWrap/>
            <w:vAlign w:val="center"/>
            <w:hideMark/>
          </w:tcPr>
          <w:p w14:paraId="7AB4DB12"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Rapla</w:t>
            </w:r>
          </w:p>
        </w:tc>
        <w:tc>
          <w:tcPr>
            <w:tcW w:w="1440" w:type="dxa"/>
            <w:noWrap/>
            <w:vAlign w:val="center"/>
            <w:hideMark/>
          </w:tcPr>
          <w:p w14:paraId="074529D8" w14:textId="3E4E95AE"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80</w:t>
            </w:r>
          </w:p>
        </w:tc>
        <w:tc>
          <w:tcPr>
            <w:tcW w:w="1620" w:type="dxa"/>
            <w:noWrap/>
            <w:vAlign w:val="center"/>
            <w:hideMark/>
          </w:tcPr>
          <w:p w14:paraId="0362F0F4" w14:textId="57771887"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78</w:t>
            </w:r>
          </w:p>
        </w:tc>
        <w:tc>
          <w:tcPr>
            <w:tcW w:w="1530" w:type="dxa"/>
            <w:noWrap/>
            <w:vAlign w:val="center"/>
            <w:hideMark/>
          </w:tcPr>
          <w:p w14:paraId="05C27DF0" w14:textId="607EAA9C"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74</w:t>
            </w:r>
          </w:p>
        </w:tc>
        <w:tc>
          <w:tcPr>
            <w:tcW w:w="1710" w:type="dxa"/>
            <w:noWrap/>
            <w:vAlign w:val="center"/>
            <w:hideMark/>
          </w:tcPr>
          <w:p w14:paraId="116603A2" w14:textId="74FA9DD6"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71</w:t>
            </w:r>
          </w:p>
        </w:tc>
        <w:tc>
          <w:tcPr>
            <w:tcW w:w="1620" w:type="dxa"/>
            <w:noWrap/>
            <w:vAlign w:val="center"/>
            <w:hideMark/>
          </w:tcPr>
          <w:p w14:paraId="11A60E1C" w14:textId="2BAAD456"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59</w:t>
            </w:r>
          </w:p>
        </w:tc>
      </w:tr>
      <w:tr w:rsidR="00F72778" w:rsidRPr="00EA5B61" w14:paraId="2EFA5AD6" w14:textId="77777777">
        <w:trPr>
          <w:trHeight w:val="380"/>
        </w:trPr>
        <w:tc>
          <w:tcPr>
            <w:tcW w:w="1165" w:type="dxa"/>
            <w:noWrap/>
            <w:vAlign w:val="center"/>
            <w:hideMark/>
          </w:tcPr>
          <w:p w14:paraId="57DB6287"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Saare</w:t>
            </w:r>
          </w:p>
        </w:tc>
        <w:tc>
          <w:tcPr>
            <w:tcW w:w="1440" w:type="dxa"/>
            <w:noWrap/>
            <w:vAlign w:val="center"/>
            <w:hideMark/>
          </w:tcPr>
          <w:p w14:paraId="165FB986" w14:textId="575E8858"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24</w:t>
            </w:r>
          </w:p>
        </w:tc>
        <w:tc>
          <w:tcPr>
            <w:tcW w:w="1620" w:type="dxa"/>
            <w:noWrap/>
            <w:vAlign w:val="center"/>
            <w:hideMark/>
          </w:tcPr>
          <w:p w14:paraId="715D1368" w14:textId="3043D995"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21</w:t>
            </w:r>
          </w:p>
        </w:tc>
        <w:tc>
          <w:tcPr>
            <w:tcW w:w="1530" w:type="dxa"/>
            <w:noWrap/>
            <w:vAlign w:val="center"/>
            <w:hideMark/>
          </w:tcPr>
          <w:p w14:paraId="1ABE72CC" w14:textId="12559EF3"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23</w:t>
            </w:r>
          </w:p>
        </w:tc>
        <w:tc>
          <w:tcPr>
            <w:tcW w:w="1710" w:type="dxa"/>
            <w:noWrap/>
            <w:vAlign w:val="center"/>
            <w:hideMark/>
          </w:tcPr>
          <w:p w14:paraId="1746B2E3" w14:textId="46B7CC0C"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36</w:t>
            </w:r>
          </w:p>
        </w:tc>
        <w:tc>
          <w:tcPr>
            <w:tcW w:w="1620" w:type="dxa"/>
            <w:noWrap/>
            <w:vAlign w:val="center"/>
            <w:hideMark/>
          </w:tcPr>
          <w:p w14:paraId="0E49597A" w14:textId="08D6261E"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31</w:t>
            </w:r>
          </w:p>
        </w:tc>
      </w:tr>
      <w:tr w:rsidR="00F72778" w:rsidRPr="00EA5B61" w14:paraId="0E0D4246" w14:textId="77777777">
        <w:trPr>
          <w:trHeight w:val="380"/>
        </w:trPr>
        <w:tc>
          <w:tcPr>
            <w:tcW w:w="1165" w:type="dxa"/>
            <w:noWrap/>
            <w:vAlign w:val="center"/>
            <w:hideMark/>
          </w:tcPr>
          <w:p w14:paraId="557BA273"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Tartu</w:t>
            </w:r>
          </w:p>
        </w:tc>
        <w:tc>
          <w:tcPr>
            <w:tcW w:w="1440" w:type="dxa"/>
            <w:noWrap/>
            <w:vAlign w:val="center"/>
            <w:hideMark/>
          </w:tcPr>
          <w:p w14:paraId="03140666" w14:textId="5FB94E69"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06</w:t>
            </w:r>
          </w:p>
        </w:tc>
        <w:tc>
          <w:tcPr>
            <w:tcW w:w="1620" w:type="dxa"/>
            <w:noWrap/>
            <w:vAlign w:val="center"/>
            <w:hideMark/>
          </w:tcPr>
          <w:p w14:paraId="32462AC2" w14:textId="5E7E94EC"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05</w:t>
            </w:r>
          </w:p>
        </w:tc>
        <w:tc>
          <w:tcPr>
            <w:tcW w:w="1530" w:type="dxa"/>
            <w:noWrap/>
            <w:vAlign w:val="center"/>
            <w:hideMark/>
          </w:tcPr>
          <w:p w14:paraId="48E314B1" w14:textId="346B8898"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09</w:t>
            </w:r>
          </w:p>
        </w:tc>
        <w:tc>
          <w:tcPr>
            <w:tcW w:w="1710" w:type="dxa"/>
            <w:noWrap/>
            <w:vAlign w:val="center"/>
            <w:hideMark/>
          </w:tcPr>
          <w:p w14:paraId="4A9DAE54" w14:textId="4163BCA9"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03</w:t>
            </w:r>
          </w:p>
        </w:tc>
        <w:tc>
          <w:tcPr>
            <w:tcW w:w="1620" w:type="dxa"/>
            <w:noWrap/>
            <w:vAlign w:val="center"/>
            <w:hideMark/>
          </w:tcPr>
          <w:p w14:paraId="1E35B92A" w14:textId="5FBCC478"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95</w:t>
            </w:r>
          </w:p>
        </w:tc>
      </w:tr>
      <w:tr w:rsidR="00F72778" w:rsidRPr="00EA5B61" w14:paraId="76761B50" w14:textId="77777777">
        <w:trPr>
          <w:trHeight w:val="380"/>
        </w:trPr>
        <w:tc>
          <w:tcPr>
            <w:tcW w:w="1165" w:type="dxa"/>
            <w:noWrap/>
            <w:vAlign w:val="center"/>
            <w:hideMark/>
          </w:tcPr>
          <w:p w14:paraId="2DB42BE2"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Valga</w:t>
            </w:r>
          </w:p>
        </w:tc>
        <w:tc>
          <w:tcPr>
            <w:tcW w:w="1440" w:type="dxa"/>
            <w:noWrap/>
            <w:vAlign w:val="center"/>
            <w:hideMark/>
          </w:tcPr>
          <w:p w14:paraId="74043645" w14:textId="4CC779C6"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88</w:t>
            </w:r>
          </w:p>
        </w:tc>
        <w:tc>
          <w:tcPr>
            <w:tcW w:w="1620" w:type="dxa"/>
            <w:noWrap/>
            <w:vAlign w:val="center"/>
            <w:hideMark/>
          </w:tcPr>
          <w:p w14:paraId="60A2E59B" w14:textId="1B31418E"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85</w:t>
            </w:r>
          </w:p>
        </w:tc>
        <w:tc>
          <w:tcPr>
            <w:tcW w:w="1530" w:type="dxa"/>
            <w:noWrap/>
            <w:vAlign w:val="center"/>
            <w:hideMark/>
          </w:tcPr>
          <w:p w14:paraId="644F64EA" w14:textId="3860A354"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84</w:t>
            </w:r>
          </w:p>
        </w:tc>
        <w:tc>
          <w:tcPr>
            <w:tcW w:w="1710" w:type="dxa"/>
            <w:noWrap/>
            <w:vAlign w:val="center"/>
            <w:hideMark/>
          </w:tcPr>
          <w:p w14:paraId="54DF5DA4" w14:textId="728E26F8"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74</w:t>
            </w:r>
          </w:p>
        </w:tc>
        <w:tc>
          <w:tcPr>
            <w:tcW w:w="1620" w:type="dxa"/>
            <w:noWrap/>
            <w:vAlign w:val="center"/>
            <w:hideMark/>
          </w:tcPr>
          <w:p w14:paraId="1818475B" w14:textId="2C42CCD7"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64</w:t>
            </w:r>
          </w:p>
        </w:tc>
      </w:tr>
      <w:tr w:rsidR="00F72778" w:rsidRPr="00EA5B61" w14:paraId="727063DB" w14:textId="77777777">
        <w:trPr>
          <w:trHeight w:val="380"/>
        </w:trPr>
        <w:tc>
          <w:tcPr>
            <w:tcW w:w="1165" w:type="dxa"/>
            <w:noWrap/>
            <w:vAlign w:val="center"/>
            <w:hideMark/>
          </w:tcPr>
          <w:p w14:paraId="2C02C12D"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Viljandi</w:t>
            </w:r>
          </w:p>
        </w:tc>
        <w:tc>
          <w:tcPr>
            <w:tcW w:w="1440" w:type="dxa"/>
            <w:noWrap/>
            <w:vAlign w:val="center"/>
            <w:hideMark/>
          </w:tcPr>
          <w:p w14:paraId="00B9B198" w14:textId="6EA61FC9"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63</w:t>
            </w:r>
          </w:p>
        </w:tc>
        <w:tc>
          <w:tcPr>
            <w:tcW w:w="1620" w:type="dxa"/>
            <w:noWrap/>
            <w:vAlign w:val="center"/>
            <w:hideMark/>
          </w:tcPr>
          <w:p w14:paraId="6EDECA50" w14:textId="0280865D"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56</w:t>
            </w:r>
          </w:p>
        </w:tc>
        <w:tc>
          <w:tcPr>
            <w:tcW w:w="1530" w:type="dxa"/>
            <w:noWrap/>
            <w:vAlign w:val="center"/>
            <w:hideMark/>
          </w:tcPr>
          <w:p w14:paraId="740464CF" w14:textId="3AE7535C"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61</w:t>
            </w:r>
          </w:p>
        </w:tc>
        <w:tc>
          <w:tcPr>
            <w:tcW w:w="1710" w:type="dxa"/>
            <w:noWrap/>
            <w:vAlign w:val="center"/>
            <w:hideMark/>
          </w:tcPr>
          <w:p w14:paraId="679C476B" w14:textId="5DE891FC"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59</w:t>
            </w:r>
          </w:p>
        </w:tc>
        <w:tc>
          <w:tcPr>
            <w:tcW w:w="1620" w:type="dxa"/>
            <w:noWrap/>
            <w:vAlign w:val="center"/>
            <w:hideMark/>
          </w:tcPr>
          <w:p w14:paraId="716CB533" w14:textId="1D70A9C5"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61</w:t>
            </w:r>
          </w:p>
        </w:tc>
      </w:tr>
      <w:tr w:rsidR="00F72778" w:rsidRPr="00EA5B61" w14:paraId="2DADBB5E" w14:textId="77777777">
        <w:trPr>
          <w:trHeight w:val="380"/>
        </w:trPr>
        <w:tc>
          <w:tcPr>
            <w:tcW w:w="1165" w:type="dxa"/>
            <w:noWrap/>
            <w:vAlign w:val="center"/>
            <w:hideMark/>
          </w:tcPr>
          <w:p w14:paraId="5CB3ABFD"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Võru</w:t>
            </w:r>
          </w:p>
        </w:tc>
        <w:tc>
          <w:tcPr>
            <w:tcW w:w="1440" w:type="dxa"/>
            <w:noWrap/>
            <w:vAlign w:val="center"/>
            <w:hideMark/>
          </w:tcPr>
          <w:p w14:paraId="73D9E43F" w14:textId="1FA1B755"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90</w:t>
            </w:r>
          </w:p>
        </w:tc>
        <w:tc>
          <w:tcPr>
            <w:tcW w:w="1620" w:type="dxa"/>
            <w:noWrap/>
            <w:vAlign w:val="center"/>
            <w:hideMark/>
          </w:tcPr>
          <w:p w14:paraId="09162ED7" w14:textId="013643C1"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80</w:t>
            </w:r>
          </w:p>
        </w:tc>
        <w:tc>
          <w:tcPr>
            <w:tcW w:w="1530" w:type="dxa"/>
            <w:noWrap/>
            <w:vAlign w:val="center"/>
            <w:hideMark/>
          </w:tcPr>
          <w:p w14:paraId="330F9B97" w14:textId="27B4279B"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83</w:t>
            </w:r>
          </w:p>
        </w:tc>
        <w:tc>
          <w:tcPr>
            <w:tcW w:w="1710" w:type="dxa"/>
            <w:noWrap/>
            <w:vAlign w:val="center"/>
            <w:hideMark/>
          </w:tcPr>
          <w:p w14:paraId="78D0AD25" w14:textId="17ACDEB1"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97</w:t>
            </w:r>
          </w:p>
        </w:tc>
        <w:tc>
          <w:tcPr>
            <w:tcW w:w="1620" w:type="dxa"/>
            <w:noWrap/>
            <w:vAlign w:val="center"/>
            <w:hideMark/>
          </w:tcPr>
          <w:p w14:paraId="788F549B" w14:textId="2549B267"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82</w:t>
            </w:r>
          </w:p>
        </w:tc>
      </w:tr>
      <w:tr w:rsidR="00F72778" w:rsidRPr="00EA5B61" w14:paraId="1DFD9C8A" w14:textId="77777777">
        <w:trPr>
          <w:trHeight w:val="380"/>
        </w:trPr>
        <w:tc>
          <w:tcPr>
            <w:tcW w:w="1165" w:type="dxa"/>
            <w:noWrap/>
            <w:vAlign w:val="center"/>
            <w:hideMark/>
          </w:tcPr>
          <w:p w14:paraId="7CF9BEC4"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EESTI</w:t>
            </w:r>
          </w:p>
        </w:tc>
        <w:tc>
          <w:tcPr>
            <w:tcW w:w="1440" w:type="dxa"/>
            <w:noWrap/>
            <w:vAlign w:val="center"/>
            <w:hideMark/>
          </w:tcPr>
          <w:p w14:paraId="14185932" w14:textId="23F2E2BB"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47</w:t>
            </w:r>
          </w:p>
        </w:tc>
        <w:tc>
          <w:tcPr>
            <w:tcW w:w="1620" w:type="dxa"/>
            <w:noWrap/>
            <w:vAlign w:val="center"/>
            <w:hideMark/>
          </w:tcPr>
          <w:p w14:paraId="05228D8A" w14:textId="2D21D25C"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47</w:t>
            </w:r>
          </w:p>
        </w:tc>
        <w:tc>
          <w:tcPr>
            <w:tcW w:w="1530" w:type="dxa"/>
            <w:noWrap/>
            <w:vAlign w:val="center"/>
            <w:hideMark/>
          </w:tcPr>
          <w:p w14:paraId="199C875B" w14:textId="7D405880"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58</w:t>
            </w:r>
          </w:p>
        </w:tc>
        <w:tc>
          <w:tcPr>
            <w:tcW w:w="1710" w:type="dxa"/>
            <w:noWrap/>
            <w:vAlign w:val="center"/>
            <w:hideMark/>
          </w:tcPr>
          <w:p w14:paraId="25016595" w14:textId="3C85C096"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60</w:t>
            </w:r>
          </w:p>
        </w:tc>
        <w:tc>
          <w:tcPr>
            <w:tcW w:w="1620" w:type="dxa"/>
            <w:noWrap/>
            <w:vAlign w:val="center"/>
            <w:hideMark/>
          </w:tcPr>
          <w:p w14:paraId="41A2CF75" w14:textId="36259557"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49</w:t>
            </w:r>
          </w:p>
        </w:tc>
      </w:tr>
      <w:tr w:rsidR="00F72778" w:rsidRPr="00EA5B61" w14:paraId="68FAD822" w14:textId="77777777">
        <w:trPr>
          <w:trHeight w:val="144"/>
        </w:trPr>
        <w:tc>
          <w:tcPr>
            <w:tcW w:w="1165" w:type="dxa"/>
            <w:noWrap/>
            <w:vAlign w:val="center"/>
            <w:hideMark/>
          </w:tcPr>
          <w:p w14:paraId="256B163A" w14:textId="77777777" w:rsidR="00F72778" w:rsidRPr="00EA5B61" w:rsidRDefault="00F72778" w:rsidP="00EA5B61">
            <w:pPr>
              <w:spacing w:before="0" w:after="0" w:line="240" w:lineRule="auto"/>
              <w:jc w:val="right"/>
              <w:rPr>
                <w:rFonts w:asciiTheme="minorBidi" w:hAnsiTheme="minorBidi"/>
                <w:b/>
                <w:color w:val="000000"/>
                <w:sz w:val="18"/>
                <w:szCs w:val="18"/>
              </w:rPr>
            </w:pPr>
          </w:p>
        </w:tc>
        <w:tc>
          <w:tcPr>
            <w:tcW w:w="1440" w:type="dxa"/>
            <w:noWrap/>
            <w:vAlign w:val="center"/>
            <w:hideMark/>
          </w:tcPr>
          <w:p w14:paraId="18407C79" w14:textId="77777777" w:rsidR="00F72778" w:rsidRPr="00EA5B61" w:rsidRDefault="00F72778" w:rsidP="00EA5B61">
            <w:pPr>
              <w:spacing w:before="0" w:after="0" w:line="240" w:lineRule="auto"/>
              <w:rPr>
                <w:rFonts w:asciiTheme="minorBidi" w:hAnsiTheme="minorBidi"/>
                <w:sz w:val="18"/>
                <w:szCs w:val="18"/>
              </w:rPr>
            </w:pPr>
          </w:p>
        </w:tc>
        <w:tc>
          <w:tcPr>
            <w:tcW w:w="1620" w:type="dxa"/>
            <w:noWrap/>
            <w:vAlign w:val="center"/>
            <w:hideMark/>
          </w:tcPr>
          <w:p w14:paraId="7CF3F9C8" w14:textId="77777777" w:rsidR="00F72778" w:rsidRPr="00EA5B61" w:rsidRDefault="00F72778" w:rsidP="00EA5B61">
            <w:pPr>
              <w:spacing w:before="0" w:after="0" w:line="240" w:lineRule="auto"/>
              <w:rPr>
                <w:rFonts w:asciiTheme="minorBidi" w:hAnsiTheme="minorBidi"/>
                <w:sz w:val="18"/>
                <w:szCs w:val="18"/>
              </w:rPr>
            </w:pPr>
          </w:p>
        </w:tc>
        <w:tc>
          <w:tcPr>
            <w:tcW w:w="1530" w:type="dxa"/>
            <w:noWrap/>
            <w:vAlign w:val="center"/>
            <w:hideMark/>
          </w:tcPr>
          <w:p w14:paraId="36C266F7" w14:textId="77777777" w:rsidR="00F72778" w:rsidRPr="00EA5B61" w:rsidRDefault="00F72778" w:rsidP="00EA5B61">
            <w:pPr>
              <w:spacing w:before="0" w:after="0" w:line="240" w:lineRule="auto"/>
              <w:rPr>
                <w:rFonts w:asciiTheme="minorBidi" w:hAnsiTheme="minorBidi"/>
                <w:sz w:val="18"/>
                <w:szCs w:val="18"/>
              </w:rPr>
            </w:pPr>
          </w:p>
        </w:tc>
        <w:tc>
          <w:tcPr>
            <w:tcW w:w="1710" w:type="dxa"/>
            <w:noWrap/>
            <w:vAlign w:val="center"/>
            <w:hideMark/>
          </w:tcPr>
          <w:p w14:paraId="5AF4EE91" w14:textId="77777777" w:rsidR="00F72778" w:rsidRPr="00EA5B61" w:rsidRDefault="00F72778" w:rsidP="00EA5B61">
            <w:pPr>
              <w:spacing w:before="0" w:after="0" w:line="240" w:lineRule="auto"/>
              <w:rPr>
                <w:rFonts w:asciiTheme="minorBidi" w:hAnsiTheme="minorBidi"/>
                <w:sz w:val="18"/>
                <w:szCs w:val="18"/>
              </w:rPr>
            </w:pPr>
          </w:p>
        </w:tc>
        <w:tc>
          <w:tcPr>
            <w:tcW w:w="1620" w:type="dxa"/>
            <w:noWrap/>
            <w:vAlign w:val="center"/>
            <w:hideMark/>
          </w:tcPr>
          <w:p w14:paraId="01710C8B" w14:textId="77777777" w:rsidR="00F72778" w:rsidRPr="00EA5B61" w:rsidRDefault="00F72778" w:rsidP="00EA5B61">
            <w:pPr>
              <w:spacing w:before="0" w:after="0" w:line="240" w:lineRule="auto"/>
              <w:rPr>
                <w:rFonts w:asciiTheme="minorBidi" w:hAnsiTheme="minorBidi"/>
                <w:sz w:val="18"/>
                <w:szCs w:val="18"/>
              </w:rPr>
            </w:pPr>
          </w:p>
        </w:tc>
      </w:tr>
      <w:tr w:rsidR="00F72778" w:rsidRPr="00EA5B61" w14:paraId="0E5FAE52" w14:textId="77777777">
        <w:trPr>
          <w:trHeight w:val="380"/>
        </w:trPr>
        <w:tc>
          <w:tcPr>
            <w:tcW w:w="1165" w:type="dxa"/>
            <w:noWrap/>
            <w:vAlign w:val="center"/>
            <w:hideMark/>
          </w:tcPr>
          <w:p w14:paraId="7A426D8F"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Tallinn</w:t>
            </w:r>
          </w:p>
        </w:tc>
        <w:tc>
          <w:tcPr>
            <w:tcW w:w="1440" w:type="dxa"/>
            <w:noWrap/>
            <w:vAlign w:val="center"/>
            <w:hideMark/>
          </w:tcPr>
          <w:p w14:paraId="6172111E" w14:textId="3813A296"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74</w:t>
            </w:r>
          </w:p>
        </w:tc>
        <w:tc>
          <w:tcPr>
            <w:tcW w:w="1620" w:type="dxa"/>
            <w:noWrap/>
            <w:vAlign w:val="center"/>
            <w:hideMark/>
          </w:tcPr>
          <w:p w14:paraId="700783A3" w14:textId="1AAD3612"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3</w:t>
            </w:r>
            <w:r w:rsidR="009402A5">
              <w:rPr>
                <w:rFonts w:asciiTheme="minorBidi" w:hAnsiTheme="minorBidi"/>
                <w:color w:val="000000"/>
                <w:sz w:val="18"/>
                <w:szCs w:val="18"/>
              </w:rPr>
              <w:t>,</w:t>
            </w:r>
            <w:r w:rsidRPr="00EA5B61">
              <w:rPr>
                <w:rFonts w:asciiTheme="minorBidi" w:hAnsiTheme="minorBidi"/>
                <w:color w:val="000000"/>
                <w:sz w:val="18"/>
                <w:szCs w:val="18"/>
              </w:rPr>
              <w:t>09</w:t>
            </w:r>
          </w:p>
        </w:tc>
        <w:tc>
          <w:tcPr>
            <w:tcW w:w="1530" w:type="dxa"/>
            <w:noWrap/>
            <w:vAlign w:val="center"/>
            <w:hideMark/>
          </w:tcPr>
          <w:p w14:paraId="6B51F8F3" w14:textId="5567A1F8"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3</w:t>
            </w:r>
            <w:r w:rsidR="009402A5">
              <w:rPr>
                <w:rFonts w:asciiTheme="minorBidi" w:hAnsiTheme="minorBidi"/>
                <w:color w:val="000000"/>
                <w:sz w:val="18"/>
                <w:szCs w:val="18"/>
              </w:rPr>
              <w:t>,</w:t>
            </w:r>
            <w:r w:rsidRPr="00EA5B61">
              <w:rPr>
                <w:rFonts w:asciiTheme="minorBidi" w:hAnsiTheme="minorBidi"/>
                <w:color w:val="000000"/>
                <w:sz w:val="18"/>
                <w:szCs w:val="18"/>
              </w:rPr>
              <w:t>74</w:t>
            </w:r>
          </w:p>
        </w:tc>
        <w:tc>
          <w:tcPr>
            <w:tcW w:w="1710" w:type="dxa"/>
            <w:noWrap/>
            <w:vAlign w:val="center"/>
            <w:hideMark/>
          </w:tcPr>
          <w:p w14:paraId="42C8827B" w14:textId="1A0DA239"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3</w:t>
            </w:r>
            <w:r w:rsidR="009402A5">
              <w:rPr>
                <w:rFonts w:asciiTheme="minorBidi" w:hAnsiTheme="minorBidi"/>
                <w:color w:val="000000"/>
                <w:sz w:val="18"/>
                <w:szCs w:val="18"/>
              </w:rPr>
              <w:t>,</w:t>
            </w:r>
            <w:r w:rsidRPr="00EA5B61">
              <w:rPr>
                <w:rFonts w:asciiTheme="minorBidi" w:hAnsiTheme="minorBidi"/>
                <w:color w:val="000000"/>
                <w:sz w:val="18"/>
                <w:szCs w:val="18"/>
              </w:rPr>
              <w:t>37</w:t>
            </w:r>
          </w:p>
        </w:tc>
        <w:tc>
          <w:tcPr>
            <w:tcW w:w="1620" w:type="dxa"/>
            <w:noWrap/>
            <w:vAlign w:val="center"/>
            <w:hideMark/>
          </w:tcPr>
          <w:p w14:paraId="21427A6F" w14:textId="7EB1D932"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3</w:t>
            </w:r>
            <w:r w:rsidR="009402A5">
              <w:rPr>
                <w:rFonts w:asciiTheme="minorBidi" w:hAnsiTheme="minorBidi"/>
                <w:color w:val="000000"/>
                <w:sz w:val="18"/>
                <w:szCs w:val="18"/>
              </w:rPr>
              <w:t>,</w:t>
            </w:r>
            <w:r w:rsidRPr="00EA5B61">
              <w:rPr>
                <w:rFonts w:asciiTheme="minorBidi" w:hAnsiTheme="minorBidi"/>
                <w:color w:val="000000"/>
                <w:sz w:val="18"/>
                <w:szCs w:val="18"/>
              </w:rPr>
              <w:t>11</w:t>
            </w:r>
          </w:p>
        </w:tc>
      </w:tr>
      <w:tr w:rsidR="00F72778" w:rsidRPr="00EA5B61" w14:paraId="4A64F888" w14:textId="77777777">
        <w:trPr>
          <w:trHeight w:val="380"/>
        </w:trPr>
        <w:tc>
          <w:tcPr>
            <w:tcW w:w="1165" w:type="dxa"/>
            <w:noWrap/>
            <w:vAlign w:val="center"/>
            <w:hideMark/>
          </w:tcPr>
          <w:p w14:paraId="07AF49E6"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Tartu linn</w:t>
            </w:r>
          </w:p>
        </w:tc>
        <w:tc>
          <w:tcPr>
            <w:tcW w:w="1440" w:type="dxa"/>
            <w:noWrap/>
            <w:vAlign w:val="center"/>
            <w:hideMark/>
          </w:tcPr>
          <w:p w14:paraId="6AB2A251" w14:textId="2AB727DC"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07</w:t>
            </w:r>
          </w:p>
        </w:tc>
        <w:tc>
          <w:tcPr>
            <w:tcW w:w="1620" w:type="dxa"/>
            <w:noWrap/>
            <w:vAlign w:val="center"/>
            <w:hideMark/>
          </w:tcPr>
          <w:p w14:paraId="6209EC3E" w14:textId="1F3A5B5F"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07</w:t>
            </w:r>
          </w:p>
        </w:tc>
        <w:tc>
          <w:tcPr>
            <w:tcW w:w="1530" w:type="dxa"/>
            <w:noWrap/>
            <w:vAlign w:val="center"/>
            <w:hideMark/>
          </w:tcPr>
          <w:p w14:paraId="31B8F92A" w14:textId="75EE399E"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11</w:t>
            </w:r>
          </w:p>
        </w:tc>
        <w:tc>
          <w:tcPr>
            <w:tcW w:w="1710" w:type="dxa"/>
            <w:noWrap/>
            <w:vAlign w:val="center"/>
            <w:hideMark/>
          </w:tcPr>
          <w:p w14:paraId="203B96A7" w14:textId="6716AD58"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03</w:t>
            </w:r>
          </w:p>
        </w:tc>
        <w:tc>
          <w:tcPr>
            <w:tcW w:w="1620" w:type="dxa"/>
            <w:noWrap/>
            <w:vAlign w:val="center"/>
            <w:hideMark/>
          </w:tcPr>
          <w:p w14:paraId="290F48B4" w14:textId="161E671A"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1</w:t>
            </w:r>
            <w:r w:rsidR="009402A5">
              <w:rPr>
                <w:rFonts w:asciiTheme="minorBidi" w:hAnsiTheme="minorBidi"/>
                <w:color w:val="000000"/>
                <w:sz w:val="18"/>
                <w:szCs w:val="18"/>
              </w:rPr>
              <w:t>,</w:t>
            </w:r>
            <w:r w:rsidRPr="00EA5B61">
              <w:rPr>
                <w:rFonts w:asciiTheme="minorBidi" w:hAnsiTheme="minorBidi"/>
                <w:color w:val="000000"/>
                <w:sz w:val="18"/>
                <w:szCs w:val="18"/>
              </w:rPr>
              <w:t>97</w:t>
            </w:r>
          </w:p>
        </w:tc>
      </w:tr>
      <w:tr w:rsidR="00F72778" w:rsidRPr="00EA5B61" w14:paraId="200BAD17" w14:textId="77777777">
        <w:trPr>
          <w:trHeight w:val="380"/>
        </w:trPr>
        <w:tc>
          <w:tcPr>
            <w:tcW w:w="1165" w:type="dxa"/>
            <w:noWrap/>
            <w:vAlign w:val="center"/>
            <w:hideMark/>
          </w:tcPr>
          <w:p w14:paraId="1E9F5CC3" w14:textId="77777777" w:rsidR="00F72778" w:rsidRPr="00EA5B61" w:rsidRDefault="00F72778" w:rsidP="00EA5B61">
            <w:pPr>
              <w:spacing w:before="0" w:after="0" w:line="240" w:lineRule="auto"/>
              <w:rPr>
                <w:rFonts w:asciiTheme="minorBidi" w:hAnsiTheme="minorBidi"/>
                <w:b/>
                <w:color w:val="000000"/>
                <w:sz w:val="18"/>
                <w:szCs w:val="18"/>
              </w:rPr>
            </w:pPr>
            <w:r w:rsidRPr="00EA5B61">
              <w:rPr>
                <w:rFonts w:asciiTheme="minorBidi" w:hAnsiTheme="minorBidi"/>
                <w:b/>
                <w:color w:val="000000"/>
                <w:sz w:val="18"/>
                <w:szCs w:val="18"/>
              </w:rPr>
              <w:t>Pärnu linn</w:t>
            </w:r>
          </w:p>
        </w:tc>
        <w:tc>
          <w:tcPr>
            <w:tcW w:w="1440" w:type="dxa"/>
            <w:noWrap/>
            <w:vAlign w:val="center"/>
            <w:hideMark/>
          </w:tcPr>
          <w:p w14:paraId="62B67922" w14:textId="11607303"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12</w:t>
            </w:r>
          </w:p>
        </w:tc>
        <w:tc>
          <w:tcPr>
            <w:tcW w:w="1620" w:type="dxa"/>
            <w:noWrap/>
            <w:vAlign w:val="center"/>
            <w:hideMark/>
          </w:tcPr>
          <w:p w14:paraId="0D51F475" w14:textId="0876ADA1"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03</w:t>
            </w:r>
          </w:p>
        </w:tc>
        <w:tc>
          <w:tcPr>
            <w:tcW w:w="1530" w:type="dxa"/>
            <w:noWrap/>
            <w:vAlign w:val="center"/>
            <w:hideMark/>
          </w:tcPr>
          <w:p w14:paraId="1C1BDD96" w14:textId="44021A75"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01</w:t>
            </w:r>
          </w:p>
        </w:tc>
        <w:tc>
          <w:tcPr>
            <w:tcW w:w="1710" w:type="dxa"/>
            <w:noWrap/>
            <w:vAlign w:val="center"/>
            <w:hideMark/>
          </w:tcPr>
          <w:p w14:paraId="741075FE" w14:textId="4DB3A63B"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17</w:t>
            </w:r>
          </w:p>
        </w:tc>
        <w:tc>
          <w:tcPr>
            <w:tcW w:w="1620" w:type="dxa"/>
            <w:noWrap/>
            <w:vAlign w:val="center"/>
            <w:hideMark/>
          </w:tcPr>
          <w:p w14:paraId="368B7B73" w14:textId="28302E39" w:rsidR="00F72778" w:rsidRPr="00EA5B61" w:rsidRDefault="00F72778" w:rsidP="00EA5B61">
            <w:pPr>
              <w:spacing w:before="0" w:after="0" w:line="240" w:lineRule="auto"/>
              <w:jc w:val="right"/>
              <w:rPr>
                <w:rFonts w:asciiTheme="minorBidi" w:hAnsiTheme="minorBidi"/>
                <w:color w:val="000000"/>
                <w:sz w:val="18"/>
                <w:szCs w:val="18"/>
              </w:rPr>
            </w:pPr>
            <w:r w:rsidRPr="00EA5B61">
              <w:rPr>
                <w:rFonts w:asciiTheme="minorBidi" w:hAnsiTheme="minorBidi"/>
                <w:color w:val="000000"/>
                <w:sz w:val="18"/>
                <w:szCs w:val="18"/>
              </w:rPr>
              <w:t>2</w:t>
            </w:r>
            <w:r w:rsidR="009402A5">
              <w:rPr>
                <w:rFonts w:asciiTheme="minorBidi" w:hAnsiTheme="minorBidi"/>
                <w:color w:val="000000"/>
                <w:sz w:val="18"/>
                <w:szCs w:val="18"/>
              </w:rPr>
              <w:t>,</w:t>
            </w:r>
            <w:r w:rsidRPr="00EA5B61">
              <w:rPr>
                <w:rFonts w:asciiTheme="minorBidi" w:hAnsiTheme="minorBidi"/>
                <w:color w:val="000000"/>
                <w:sz w:val="18"/>
                <w:szCs w:val="18"/>
              </w:rPr>
              <w:t>18</w:t>
            </w:r>
          </w:p>
        </w:tc>
      </w:tr>
    </w:tbl>
    <w:p w14:paraId="016DD412" w14:textId="7911AE1A" w:rsidR="00F72778" w:rsidRPr="00E14EBC" w:rsidRDefault="00F72778" w:rsidP="00F72778">
      <w:pPr>
        <w:spacing w:line="259" w:lineRule="auto"/>
      </w:pPr>
    </w:p>
    <w:p w14:paraId="6D6D6777" w14:textId="77777777" w:rsidR="00F72778" w:rsidRPr="00E14EBC" w:rsidRDefault="00F72778" w:rsidP="00F72778">
      <w:pPr>
        <w:pStyle w:val="BottomCaption"/>
      </w:pPr>
      <w:r w:rsidRPr="00E14EBC">
        <w:t>Allikas: Eurostat</w:t>
      </w:r>
    </w:p>
    <w:p w14:paraId="768D671D" w14:textId="5A8352CC" w:rsidR="00F72778" w:rsidRPr="00E14EBC" w:rsidRDefault="00F72778" w:rsidP="00305A9F">
      <w:pPr>
        <w:pStyle w:val="TableTitle"/>
      </w:pPr>
      <w:r>
        <w:br w:type="page"/>
      </w:r>
      <w:r>
        <w:lastRenderedPageBreak/>
        <w:t>Tabel 33: Ööbimiste arv broneeringu kohta lühiajalise üüri majutuskohtades ja majutusettevõtetes, maakonniti, 2019–2023</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781"/>
        <w:gridCol w:w="781"/>
        <w:gridCol w:w="781"/>
        <w:gridCol w:w="795"/>
        <w:gridCol w:w="795"/>
        <w:gridCol w:w="304"/>
        <w:gridCol w:w="810"/>
        <w:gridCol w:w="900"/>
        <w:gridCol w:w="701"/>
        <w:gridCol w:w="19"/>
        <w:gridCol w:w="720"/>
        <w:gridCol w:w="812"/>
      </w:tblGrid>
      <w:tr w:rsidR="00F72778" w:rsidRPr="00305A9F" w14:paraId="6763F892" w14:textId="77777777" w:rsidTr="00883253">
        <w:trPr>
          <w:trHeight w:val="380"/>
        </w:trPr>
        <w:tc>
          <w:tcPr>
            <w:tcW w:w="1428" w:type="dxa"/>
            <w:noWrap/>
            <w:vAlign w:val="center"/>
            <w:hideMark/>
          </w:tcPr>
          <w:p w14:paraId="0EE15C8D" w14:textId="77777777" w:rsidR="00F72778" w:rsidRPr="00305A9F" w:rsidRDefault="00F72778" w:rsidP="00305A9F">
            <w:pPr>
              <w:spacing w:before="0" w:after="0" w:line="240" w:lineRule="auto"/>
              <w:rPr>
                <w:rFonts w:asciiTheme="minorBidi" w:hAnsiTheme="minorBidi"/>
                <w:b/>
                <w:sz w:val="18"/>
                <w:szCs w:val="18"/>
              </w:rPr>
            </w:pPr>
          </w:p>
        </w:tc>
        <w:tc>
          <w:tcPr>
            <w:tcW w:w="3933" w:type="dxa"/>
            <w:gridSpan w:val="5"/>
            <w:noWrap/>
            <w:vAlign w:val="center"/>
            <w:hideMark/>
          </w:tcPr>
          <w:p w14:paraId="76A83B60" w14:textId="77777777"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ööbimiste arv broneeringu kohta, majutusettevõtted</w:t>
            </w:r>
          </w:p>
        </w:tc>
        <w:tc>
          <w:tcPr>
            <w:tcW w:w="304" w:type="dxa"/>
            <w:noWrap/>
            <w:vAlign w:val="center"/>
            <w:hideMark/>
          </w:tcPr>
          <w:p w14:paraId="2EFACDE2" w14:textId="77777777" w:rsidR="00F72778" w:rsidRPr="00305A9F" w:rsidRDefault="00F72778" w:rsidP="00305A9F">
            <w:pPr>
              <w:spacing w:before="0" w:after="0" w:line="240" w:lineRule="auto"/>
              <w:jc w:val="center"/>
              <w:rPr>
                <w:rFonts w:asciiTheme="minorBidi" w:hAnsiTheme="minorBidi"/>
                <w:b/>
                <w:color w:val="000000"/>
                <w:sz w:val="18"/>
                <w:szCs w:val="18"/>
              </w:rPr>
            </w:pPr>
          </w:p>
        </w:tc>
        <w:tc>
          <w:tcPr>
            <w:tcW w:w="3962" w:type="dxa"/>
            <w:gridSpan w:val="6"/>
            <w:noWrap/>
            <w:vAlign w:val="center"/>
            <w:hideMark/>
          </w:tcPr>
          <w:p w14:paraId="66B92241" w14:textId="0A719833"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ööbimiste arv broneeringu kohta</w:t>
            </w:r>
            <w:r w:rsidR="00F41343" w:rsidRPr="00305A9F">
              <w:rPr>
                <w:rFonts w:asciiTheme="minorBidi" w:hAnsiTheme="minorBidi"/>
                <w:b/>
                <w:color w:val="000000"/>
                <w:sz w:val="18"/>
                <w:szCs w:val="18"/>
              </w:rPr>
              <w:t xml:space="preserve">, </w:t>
            </w:r>
            <w:r w:rsidR="00F41343">
              <w:rPr>
                <w:rFonts w:asciiTheme="minorBidi" w:hAnsiTheme="minorBidi"/>
                <w:b/>
                <w:bCs/>
                <w:color w:val="000000"/>
                <w:sz w:val="18"/>
                <w:szCs w:val="18"/>
              </w:rPr>
              <w:t>lühiajaline üürimine</w:t>
            </w:r>
          </w:p>
        </w:tc>
      </w:tr>
      <w:tr w:rsidR="00F72778" w:rsidRPr="00305A9F" w14:paraId="2F8EAE29" w14:textId="77777777" w:rsidTr="00883253">
        <w:trPr>
          <w:trHeight w:val="380"/>
        </w:trPr>
        <w:tc>
          <w:tcPr>
            <w:tcW w:w="1428" w:type="dxa"/>
            <w:noWrap/>
            <w:vAlign w:val="center"/>
            <w:hideMark/>
          </w:tcPr>
          <w:p w14:paraId="0143D488" w14:textId="77777777"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Maakond</w:t>
            </w:r>
          </w:p>
        </w:tc>
        <w:tc>
          <w:tcPr>
            <w:tcW w:w="781" w:type="dxa"/>
            <w:noWrap/>
            <w:vAlign w:val="center"/>
            <w:hideMark/>
          </w:tcPr>
          <w:p w14:paraId="223D1091" w14:textId="77777777"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2019</w:t>
            </w:r>
          </w:p>
        </w:tc>
        <w:tc>
          <w:tcPr>
            <w:tcW w:w="781" w:type="dxa"/>
            <w:noWrap/>
            <w:vAlign w:val="center"/>
            <w:hideMark/>
          </w:tcPr>
          <w:p w14:paraId="1BB15622" w14:textId="77777777"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2020</w:t>
            </w:r>
          </w:p>
        </w:tc>
        <w:tc>
          <w:tcPr>
            <w:tcW w:w="781" w:type="dxa"/>
            <w:noWrap/>
            <w:vAlign w:val="center"/>
            <w:hideMark/>
          </w:tcPr>
          <w:p w14:paraId="7D4211F4" w14:textId="77777777"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2021</w:t>
            </w:r>
          </w:p>
        </w:tc>
        <w:tc>
          <w:tcPr>
            <w:tcW w:w="795" w:type="dxa"/>
            <w:noWrap/>
            <w:vAlign w:val="center"/>
            <w:hideMark/>
          </w:tcPr>
          <w:p w14:paraId="6AB7BDA7" w14:textId="77777777"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2022</w:t>
            </w:r>
          </w:p>
        </w:tc>
        <w:tc>
          <w:tcPr>
            <w:tcW w:w="795" w:type="dxa"/>
            <w:noWrap/>
            <w:vAlign w:val="center"/>
            <w:hideMark/>
          </w:tcPr>
          <w:p w14:paraId="25F3A994" w14:textId="77777777"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2023</w:t>
            </w:r>
          </w:p>
        </w:tc>
        <w:tc>
          <w:tcPr>
            <w:tcW w:w="304" w:type="dxa"/>
            <w:noWrap/>
            <w:vAlign w:val="center"/>
            <w:hideMark/>
          </w:tcPr>
          <w:p w14:paraId="0FBD5A8D" w14:textId="77777777" w:rsidR="00F72778" w:rsidRPr="00305A9F" w:rsidRDefault="00F72778" w:rsidP="00305A9F">
            <w:pPr>
              <w:spacing w:before="0" w:after="0" w:line="240" w:lineRule="auto"/>
              <w:jc w:val="center"/>
              <w:rPr>
                <w:rFonts w:asciiTheme="minorBidi" w:hAnsiTheme="minorBidi"/>
                <w:b/>
                <w:color w:val="000000"/>
                <w:sz w:val="18"/>
                <w:szCs w:val="18"/>
              </w:rPr>
            </w:pPr>
          </w:p>
        </w:tc>
        <w:tc>
          <w:tcPr>
            <w:tcW w:w="810" w:type="dxa"/>
            <w:noWrap/>
            <w:vAlign w:val="center"/>
            <w:hideMark/>
          </w:tcPr>
          <w:p w14:paraId="6E478725" w14:textId="77777777"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2019</w:t>
            </w:r>
          </w:p>
        </w:tc>
        <w:tc>
          <w:tcPr>
            <w:tcW w:w="900" w:type="dxa"/>
            <w:noWrap/>
            <w:vAlign w:val="center"/>
            <w:hideMark/>
          </w:tcPr>
          <w:p w14:paraId="491891EC" w14:textId="77777777"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2020</w:t>
            </w:r>
          </w:p>
        </w:tc>
        <w:tc>
          <w:tcPr>
            <w:tcW w:w="701" w:type="dxa"/>
            <w:noWrap/>
            <w:vAlign w:val="center"/>
            <w:hideMark/>
          </w:tcPr>
          <w:p w14:paraId="4EA2F1C3" w14:textId="77777777"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2021</w:t>
            </w:r>
          </w:p>
        </w:tc>
        <w:tc>
          <w:tcPr>
            <w:tcW w:w="739" w:type="dxa"/>
            <w:gridSpan w:val="2"/>
            <w:noWrap/>
            <w:vAlign w:val="center"/>
            <w:hideMark/>
          </w:tcPr>
          <w:p w14:paraId="5C219650" w14:textId="77777777"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2022</w:t>
            </w:r>
          </w:p>
        </w:tc>
        <w:tc>
          <w:tcPr>
            <w:tcW w:w="812" w:type="dxa"/>
            <w:noWrap/>
            <w:vAlign w:val="center"/>
            <w:hideMark/>
          </w:tcPr>
          <w:p w14:paraId="0F90580D" w14:textId="77777777" w:rsidR="00F72778" w:rsidRPr="00305A9F" w:rsidRDefault="00F72778" w:rsidP="00305A9F">
            <w:pPr>
              <w:spacing w:before="0" w:after="0" w:line="240" w:lineRule="auto"/>
              <w:jc w:val="center"/>
              <w:rPr>
                <w:rFonts w:asciiTheme="minorBidi" w:hAnsiTheme="minorBidi"/>
                <w:b/>
                <w:color w:val="000000"/>
                <w:sz w:val="18"/>
                <w:szCs w:val="18"/>
              </w:rPr>
            </w:pPr>
            <w:r w:rsidRPr="00305A9F">
              <w:rPr>
                <w:rFonts w:asciiTheme="minorBidi" w:hAnsiTheme="minorBidi"/>
                <w:b/>
                <w:color w:val="000000"/>
                <w:sz w:val="18"/>
                <w:szCs w:val="18"/>
              </w:rPr>
              <w:t>2023</w:t>
            </w:r>
          </w:p>
        </w:tc>
      </w:tr>
      <w:tr w:rsidR="00F72778" w:rsidRPr="00305A9F" w14:paraId="1CB25968" w14:textId="77777777" w:rsidTr="00883253">
        <w:trPr>
          <w:trHeight w:val="380"/>
        </w:trPr>
        <w:tc>
          <w:tcPr>
            <w:tcW w:w="1428" w:type="dxa"/>
            <w:noWrap/>
            <w:vAlign w:val="center"/>
            <w:hideMark/>
          </w:tcPr>
          <w:p w14:paraId="0FBC20A8"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Harju</w:t>
            </w:r>
          </w:p>
        </w:tc>
        <w:tc>
          <w:tcPr>
            <w:tcW w:w="781" w:type="dxa"/>
            <w:noWrap/>
            <w:vAlign w:val="center"/>
            <w:hideMark/>
          </w:tcPr>
          <w:p w14:paraId="3F3D84A1" w14:textId="72A0738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82</w:t>
            </w:r>
          </w:p>
        </w:tc>
        <w:tc>
          <w:tcPr>
            <w:tcW w:w="781" w:type="dxa"/>
            <w:noWrap/>
            <w:vAlign w:val="center"/>
            <w:hideMark/>
          </w:tcPr>
          <w:p w14:paraId="3615E5C9" w14:textId="22A46C7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91</w:t>
            </w:r>
          </w:p>
        </w:tc>
        <w:tc>
          <w:tcPr>
            <w:tcW w:w="781" w:type="dxa"/>
            <w:noWrap/>
            <w:vAlign w:val="center"/>
            <w:hideMark/>
          </w:tcPr>
          <w:p w14:paraId="011D2CEF" w14:textId="4A46FDB3"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01</w:t>
            </w:r>
          </w:p>
        </w:tc>
        <w:tc>
          <w:tcPr>
            <w:tcW w:w="795" w:type="dxa"/>
            <w:noWrap/>
            <w:vAlign w:val="center"/>
            <w:hideMark/>
          </w:tcPr>
          <w:p w14:paraId="5751894A" w14:textId="57637150"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85</w:t>
            </w:r>
          </w:p>
        </w:tc>
        <w:tc>
          <w:tcPr>
            <w:tcW w:w="795" w:type="dxa"/>
            <w:noWrap/>
            <w:vAlign w:val="center"/>
            <w:hideMark/>
          </w:tcPr>
          <w:p w14:paraId="6E0CCC20" w14:textId="7CCFA02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90</w:t>
            </w:r>
          </w:p>
        </w:tc>
        <w:tc>
          <w:tcPr>
            <w:tcW w:w="304" w:type="dxa"/>
            <w:noWrap/>
            <w:vAlign w:val="center"/>
            <w:hideMark/>
          </w:tcPr>
          <w:p w14:paraId="7BFFD0AC"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1FF549CD" w14:textId="0822337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75</w:t>
            </w:r>
          </w:p>
        </w:tc>
        <w:tc>
          <w:tcPr>
            <w:tcW w:w="900" w:type="dxa"/>
            <w:noWrap/>
            <w:vAlign w:val="center"/>
            <w:hideMark/>
          </w:tcPr>
          <w:p w14:paraId="201D05EE" w14:textId="4DE508DB"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3</w:t>
            </w:r>
            <w:r w:rsidR="009402A5">
              <w:rPr>
                <w:rFonts w:asciiTheme="minorBidi" w:hAnsiTheme="minorBidi"/>
                <w:color w:val="000000"/>
                <w:sz w:val="18"/>
                <w:szCs w:val="18"/>
              </w:rPr>
              <w:t>,</w:t>
            </w:r>
            <w:r w:rsidRPr="00305A9F">
              <w:rPr>
                <w:rFonts w:asciiTheme="minorBidi" w:hAnsiTheme="minorBidi"/>
                <w:color w:val="000000"/>
                <w:sz w:val="18"/>
                <w:szCs w:val="18"/>
              </w:rPr>
              <w:t>06</w:t>
            </w:r>
          </w:p>
        </w:tc>
        <w:tc>
          <w:tcPr>
            <w:tcW w:w="720" w:type="dxa"/>
            <w:gridSpan w:val="2"/>
            <w:noWrap/>
            <w:vAlign w:val="center"/>
            <w:hideMark/>
          </w:tcPr>
          <w:p w14:paraId="147947BE" w14:textId="781E7540"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3</w:t>
            </w:r>
            <w:r w:rsidR="009402A5">
              <w:rPr>
                <w:rFonts w:asciiTheme="minorBidi" w:hAnsiTheme="minorBidi"/>
                <w:color w:val="000000"/>
                <w:sz w:val="18"/>
                <w:szCs w:val="18"/>
              </w:rPr>
              <w:t>,</w:t>
            </w:r>
            <w:r w:rsidRPr="00305A9F">
              <w:rPr>
                <w:rFonts w:asciiTheme="minorBidi" w:hAnsiTheme="minorBidi"/>
                <w:color w:val="000000"/>
                <w:sz w:val="18"/>
                <w:szCs w:val="18"/>
              </w:rPr>
              <w:t>62</w:t>
            </w:r>
          </w:p>
        </w:tc>
        <w:tc>
          <w:tcPr>
            <w:tcW w:w="720" w:type="dxa"/>
            <w:noWrap/>
            <w:vAlign w:val="center"/>
            <w:hideMark/>
          </w:tcPr>
          <w:p w14:paraId="0BC1F40E" w14:textId="653B7E1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3</w:t>
            </w:r>
            <w:r w:rsidR="009402A5">
              <w:rPr>
                <w:rFonts w:asciiTheme="minorBidi" w:hAnsiTheme="minorBidi"/>
                <w:color w:val="000000"/>
                <w:sz w:val="18"/>
                <w:szCs w:val="18"/>
              </w:rPr>
              <w:t>,</w:t>
            </w:r>
            <w:r w:rsidRPr="00305A9F">
              <w:rPr>
                <w:rFonts w:asciiTheme="minorBidi" w:hAnsiTheme="minorBidi"/>
                <w:color w:val="000000"/>
                <w:sz w:val="18"/>
                <w:szCs w:val="18"/>
              </w:rPr>
              <w:t>32</w:t>
            </w:r>
          </w:p>
        </w:tc>
        <w:tc>
          <w:tcPr>
            <w:tcW w:w="812" w:type="dxa"/>
            <w:noWrap/>
            <w:vAlign w:val="center"/>
            <w:hideMark/>
          </w:tcPr>
          <w:p w14:paraId="2ABC811F" w14:textId="77EFAF5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3</w:t>
            </w:r>
            <w:r w:rsidR="009402A5">
              <w:rPr>
                <w:rFonts w:asciiTheme="minorBidi" w:hAnsiTheme="minorBidi"/>
                <w:color w:val="000000"/>
                <w:sz w:val="18"/>
                <w:szCs w:val="18"/>
              </w:rPr>
              <w:t>,</w:t>
            </w:r>
            <w:r w:rsidRPr="00305A9F">
              <w:rPr>
                <w:rFonts w:asciiTheme="minorBidi" w:hAnsiTheme="minorBidi"/>
                <w:color w:val="000000"/>
                <w:sz w:val="18"/>
                <w:szCs w:val="18"/>
              </w:rPr>
              <w:t>07</w:t>
            </w:r>
          </w:p>
        </w:tc>
      </w:tr>
      <w:tr w:rsidR="00F72778" w:rsidRPr="00305A9F" w14:paraId="48B1AEAE" w14:textId="77777777" w:rsidTr="00883253">
        <w:trPr>
          <w:trHeight w:val="380"/>
        </w:trPr>
        <w:tc>
          <w:tcPr>
            <w:tcW w:w="1428" w:type="dxa"/>
            <w:noWrap/>
            <w:vAlign w:val="center"/>
            <w:hideMark/>
          </w:tcPr>
          <w:p w14:paraId="011CA7C7"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Hiiu</w:t>
            </w:r>
          </w:p>
        </w:tc>
        <w:tc>
          <w:tcPr>
            <w:tcW w:w="781" w:type="dxa"/>
            <w:noWrap/>
            <w:vAlign w:val="center"/>
            <w:hideMark/>
          </w:tcPr>
          <w:p w14:paraId="435D2B39" w14:textId="00606E20"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74</w:t>
            </w:r>
          </w:p>
        </w:tc>
        <w:tc>
          <w:tcPr>
            <w:tcW w:w="781" w:type="dxa"/>
            <w:noWrap/>
            <w:vAlign w:val="center"/>
            <w:hideMark/>
          </w:tcPr>
          <w:p w14:paraId="685010CF" w14:textId="1A1DC20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76</w:t>
            </w:r>
          </w:p>
        </w:tc>
        <w:tc>
          <w:tcPr>
            <w:tcW w:w="781" w:type="dxa"/>
            <w:noWrap/>
            <w:vAlign w:val="center"/>
            <w:hideMark/>
          </w:tcPr>
          <w:p w14:paraId="62A1B81A" w14:textId="145B96F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01</w:t>
            </w:r>
          </w:p>
        </w:tc>
        <w:tc>
          <w:tcPr>
            <w:tcW w:w="795" w:type="dxa"/>
            <w:noWrap/>
            <w:vAlign w:val="center"/>
            <w:hideMark/>
          </w:tcPr>
          <w:p w14:paraId="7120B4A7" w14:textId="011450F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83</w:t>
            </w:r>
          </w:p>
        </w:tc>
        <w:tc>
          <w:tcPr>
            <w:tcW w:w="795" w:type="dxa"/>
            <w:noWrap/>
            <w:vAlign w:val="center"/>
            <w:hideMark/>
          </w:tcPr>
          <w:p w14:paraId="0EBF6A80" w14:textId="638FEA2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63</w:t>
            </w:r>
          </w:p>
        </w:tc>
        <w:tc>
          <w:tcPr>
            <w:tcW w:w="304" w:type="dxa"/>
            <w:noWrap/>
            <w:vAlign w:val="center"/>
            <w:hideMark/>
          </w:tcPr>
          <w:p w14:paraId="60655F7A"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2C0CC741" w14:textId="1E20A214"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94</w:t>
            </w:r>
          </w:p>
        </w:tc>
        <w:tc>
          <w:tcPr>
            <w:tcW w:w="900" w:type="dxa"/>
            <w:noWrap/>
            <w:vAlign w:val="center"/>
            <w:hideMark/>
          </w:tcPr>
          <w:p w14:paraId="0144CCBA" w14:textId="65537AB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99</w:t>
            </w:r>
          </w:p>
        </w:tc>
        <w:tc>
          <w:tcPr>
            <w:tcW w:w="720" w:type="dxa"/>
            <w:gridSpan w:val="2"/>
            <w:noWrap/>
            <w:vAlign w:val="center"/>
            <w:hideMark/>
          </w:tcPr>
          <w:p w14:paraId="476EB351" w14:textId="36E6F041"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04</w:t>
            </w:r>
          </w:p>
        </w:tc>
        <w:tc>
          <w:tcPr>
            <w:tcW w:w="720" w:type="dxa"/>
            <w:noWrap/>
            <w:vAlign w:val="center"/>
            <w:hideMark/>
          </w:tcPr>
          <w:p w14:paraId="7CE209A8" w14:textId="73ECA51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94</w:t>
            </w:r>
          </w:p>
        </w:tc>
        <w:tc>
          <w:tcPr>
            <w:tcW w:w="812" w:type="dxa"/>
            <w:noWrap/>
            <w:vAlign w:val="center"/>
            <w:hideMark/>
          </w:tcPr>
          <w:p w14:paraId="06997888" w14:textId="356A04E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95</w:t>
            </w:r>
          </w:p>
        </w:tc>
      </w:tr>
      <w:tr w:rsidR="00F72778" w:rsidRPr="00305A9F" w14:paraId="192ACBFC" w14:textId="77777777" w:rsidTr="00883253">
        <w:trPr>
          <w:trHeight w:val="380"/>
        </w:trPr>
        <w:tc>
          <w:tcPr>
            <w:tcW w:w="1428" w:type="dxa"/>
            <w:noWrap/>
            <w:vAlign w:val="center"/>
            <w:hideMark/>
          </w:tcPr>
          <w:p w14:paraId="638728AB"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Ida-Viru</w:t>
            </w:r>
          </w:p>
        </w:tc>
        <w:tc>
          <w:tcPr>
            <w:tcW w:w="781" w:type="dxa"/>
            <w:noWrap/>
            <w:vAlign w:val="center"/>
            <w:hideMark/>
          </w:tcPr>
          <w:p w14:paraId="533011B2" w14:textId="54EDD8FA"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77</w:t>
            </w:r>
          </w:p>
        </w:tc>
        <w:tc>
          <w:tcPr>
            <w:tcW w:w="781" w:type="dxa"/>
            <w:noWrap/>
            <w:vAlign w:val="center"/>
            <w:hideMark/>
          </w:tcPr>
          <w:p w14:paraId="7623B0E1" w14:textId="67C53C0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84</w:t>
            </w:r>
          </w:p>
        </w:tc>
        <w:tc>
          <w:tcPr>
            <w:tcW w:w="781" w:type="dxa"/>
            <w:noWrap/>
            <w:vAlign w:val="center"/>
            <w:hideMark/>
          </w:tcPr>
          <w:p w14:paraId="52459210" w14:textId="7E87EBB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85</w:t>
            </w:r>
          </w:p>
        </w:tc>
        <w:tc>
          <w:tcPr>
            <w:tcW w:w="795" w:type="dxa"/>
            <w:noWrap/>
            <w:vAlign w:val="center"/>
            <w:hideMark/>
          </w:tcPr>
          <w:p w14:paraId="5201400F" w14:textId="2C29E32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84</w:t>
            </w:r>
          </w:p>
        </w:tc>
        <w:tc>
          <w:tcPr>
            <w:tcW w:w="795" w:type="dxa"/>
            <w:noWrap/>
            <w:vAlign w:val="center"/>
            <w:hideMark/>
          </w:tcPr>
          <w:p w14:paraId="15036DE5" w14:textId="2E0B9FE8"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84</w:t>
            </w:r>
          </w:p>
        </w:tc>
        <w:tc>
          <w:tcPr>
            <w:tcW w:w="304" w:type="dxa"/>
            <w:noWrap/>
            <w:vAlign w:val="center"/>
            <w:hideMark/>
          </w:tcPr>
          <w:p w14:paraId="3F9BB9FE"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543B09E8" w14:textId="69D60E1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76</w:t>
            </w:r>
          </w:p>
        </w:tc>
        <w:tc>
          <w:tcPr>
            <w:tcW w:w="900" w:type="dxa"/>
            <w:noWrap/>
            <w:vAlign w:val="center"/>
            <w:hideMark/>
          </w:tcPr>
          <w:p w14:paraId="77F7F1CE" w14:textId="1210725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90</w:t>
            </w:r>
          </w:p>
        </w:tc>
        <w:tc>
          <w:tcPr>
            <w:tcW w:w="720" w:type="dxa"/>
            <w:gridSpan w:val="2"/>
            <w:noWrap/>
            <w:vAlign w:val="center"/>
            <w:hideMark/>
          </w:tcPr>
          <w:p w14:paraId="7E045495" w14:textId="1DEE657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95</w:t>
            </w:r>
          </w:p>
        </w:tc>
        <w:tc>
          <w:tcPr>
            <w:tcW w:w="720" w:type="dxa"/>
            <w:noWrap/>
            <w:vAlign w:val="center"/>
            <w:hideMark/>
          </w:tcPr>
          <w:p w14:paraId="072DD5F0" w14:textId="095C1B7E"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20</w:t>
            </w:r>
          </w:p>
        </w:tc>
        <w:tc>
          <w:tcPr>
            <w:tcW w:w="812" w:type="dxa"/>
            <w:noWrap/>
            <w:vAlign w:val="center"/>
            <w:hideMark/>
          </w:tcPr>
          <w:p w14:paraId="04750AC5" w14:textId="242A1A3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20</w:t>
            </w:r>
          </w:p>
        </w:tc>
      </w:tr>
      <w:tr w:rsidR="00F72778" w:rsidRPr="00305A9F" w14:paraId="590AA274" w14:textId="77777777" w:rsidTr="00883253">
        <w:trPr>
          <w:trHeight w:val="380"/>
        </w:trPr>
        <w:tc>
          <w:tcPr>
            <w:tcW w:w="1428" w:type="dxa"/>
            <w:noWrap/>
            <w:vAlign w:val="center"/>
            <w:hideMark/>
          </w:tcPr>
          <w:p w14:paraId="19E040AA"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Jõgeva</w:t>
            </w:r>
          </w:p>
        </w:tc>
        <w:tc>
          <w:tcPr>
            <w:tcW w:w="781" w:type="dxa"/>
            <w:noWrap/>
            <w:vAlign w:val="center"/>
            <w:hideMark/>
          </w:tcPr>
          <w:p w14:paraId="4B1D837D" w14:textId="6676C51B"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68</w:t>
            </w:r>
          </w:p>
        </w:tc>
        <w:tc>
          <w:tcPr>
            <w:tcW w:w="781" w:type="dxa"/>
            <w:noWrap/>
            <w:vAlign w:val="center"/>
            <w:hideMark/>
          </w:tcPr>
          <w:p w14:paraId="464A220F" w14:textId="1409212A"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92</w:t>
            </w:r>
          </w:p>
        </w:tc>
        <w:tc>
          <w:tcPr>
            <w:tcW w:w="781" w:type="dxa"/>
            <w:noWrap/>
            <w:vAlign w:val="center"/>
            <w:hideMark/>
          </w:tcPr>
          <w:p w14:paraId="25097683" w14:textId="5AE0A63E"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82</w:t>
            </w:r>
          </w:p>
        </w:tc>
        <w:tc>
          <w:tcPr>
            <w:tcW w:w="795" w:type="dxa"/>
            <w:noWrap/>
            <w:vAlign w:val="center"/>
            <w:hideMark/>
          </w:tcPr>
          <w:p w14:paraId="771449FE" w14:textId="4CBE50D1"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93</w:t>
            </w:r>
          </w:p>
        </w:tc>
        <w:tc>
          <w:tcPr>
            <w:tcW w:w="795" w:type="dxa"/>
            <w:noWrap/>
            <w:vAlign w:val="center"/>
            <w:hideMark/>
          </w:tcPr>
          <w:p w14:paraId="60677D46" w14:textId="7A45A92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03</w:t>
            </w:r>
          </w:p>
        </w:tc>
        <w:tc>
          <w:tcPr>
            <w:tcW w:w="304" w:type="dxa"/>
            <w:noWrap/>
            <w:vAlign w:val="center"/>
            <w:hideMark/>
          </w:tcPr>
          <w:p w14:paraId="7D3DC4C3"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45B260FB" w14:textId="6EDFF7E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87</w:t>
            </w:r>
          </w:p>
        </w:tc>
        <w:tc>
          <w:tcPr>
            <w:tcW w:w="900" w:type="dxa"/>
            <w:noWrap/>
            <w:vAlign w:val="center"/>
            <w:hideMark/>
          </w:tcPr>
          <w:p w14:paraId="673F45A3" w14:textId="39B5D21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80</w:t>
            </w:r>
          </w:p>
        </w:tc>
        <w:tc>
          <w:tcPr>
            <w:tcW w:w="720" w:type="dxa"/>
            <w:gridSpan w:val="2"/>
            <w:noWrap/>
            <w:vAlign w:val="center"/>
            <w:hideMark/>
          </w:tcPr>
          <w:p w14:paraId="015F70DC" w14:textId="0D79C56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04</w:t>
            </w:r>
          </w:p>
        </w:tc>
        <w:tc>
          <w:tcPr>
            <w:tcW w:w="720" w:type="dxa"/>
            <w:noWrap/>
            <w:vAlign w:val="center"/>
            <w:hideMark/>
          </w:tcPr>
          <w:p w14:paraId="457957F3" w14:textId="0A5A214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93</w:t>
            </w:r>
          </w:p>
        </w:tc>
        <w:tc>
          <w:tcPr>
            <w:tcW w:w="812" w:type="dxa"/>
            <w:noWrap/>
            <w:vAlign w:val="center"/>
            <w:hideMark/>
          </w:tcPr>
          <w:p w14:paraId="5B2FEFAD" w14:textId="6055C9A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04</w:t>
            </w:r>
          </w:p>
        </w:tc>
      </w:tr>
      <w:tr w:rsidR="00F72778" w:rsidRPr="00305A9F" w14:paraId="72AA506F" w14:textId="77777777" w:rsidTr="00883253">
        <w:trPr>
          <w:trHeight w:val="380"/>
        </w:trPr>
        <w:tc>
          <w:tcPr>
            <w:tcW w:w="1428" w:type="dxa"/>
            <w:noWrap/>
            <w:vAlign w:val="center"/>
            <w:hideMark/>
          </w:tcPr>
          <w:p w14:paraId="0807177B"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Järva</w:t>
            </w:r>
          </w:p>
        </w:tc>
        <w:tc>
          <w:tcPr>
            <w:tcW w:w="781" w:type="dxa"/>
            <w:noWrap/>
            <w:vAlign w:val="center"/>
            <w:hideMark/>
          </w:tcPr>
          <w:p w14:paraId="131C8D46" w14:textId="6ADEA090"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65</w:t>
            </w:r>
          </w:p>
        </w:tc>
        <w:tc>
          <w:tcPr>
            <w:tcW w:w="781" w:type="dxa"/>
            <w:noWrap/>
            <w:vAlign w:val="center"/>
            <w:hideMark/>
          </w:tcPr>
          <w:p w14:paraId="496463C3" w14:textId="3D9C9D63"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61</w:t>
            </w:r>
          </w:p>
        </w:tc>
        <w:tc>
          <w:tcPr>
            <w:tcW w:w="781" w:type="dxa"/>
            <w:noWrap/>
            <w:vAlign w:val="center"/>
            <w:hideMark/>
          </w:tcPr>
          <w:p w14:paraId="2B54058F" w14:textId="33428671"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78</w:t>
            </w:r>
          </w:p>
        </w:tc>
        <w:tc>
          <w:tcPr>
            <w:tcW w:w="795" w:type="dxa"/>
            <w:noWrap/>
            <w:vAlign w:val="center"/>
            <w:hideMark/>
          </w:tcPr>
          <w:p w14:paraId="516610FF" w14:textId="32A6CADE"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03</w:t>
            </w:r>
          </w:p>
        </w:tc>
        <w:tc>
          <w:tcPr>
            <w:tcW w:w="795" w:type="dxa"/>
            <w:noWrap/>
            <w:vAlign w:val="center"/>
            <w:hideMark/>
          </w:tcPr>
          <w:p w14:paraId="53A6DC81" w14:textId="725C823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49</w:t>
            </w:r>
          </w:p>
        </w:tc>
        <w:tc>
          <w:tcPr>
            <w:tcW w:w="304" w:type="dxa"/>
            <w:noWrap/>
            <w:vAlign w:val="center"/>
            <w:hideMark/>
          </w:tcPr>
          <w:p w14:paraId="436620D9"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4006F275" w14:textId="2D67B72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89</w:t>
            </w:r>
          </w:p>
        </w:tc>
        <w:tc>
          <w:tcPr>
            <w:tcW w:w="900" w:type="dxa"/>
            <w:noWrap/>
            <w:vAlign w:val="center"/>
            <w:hideMark/>
          </w:tcPr>
          <w:p w14:paraId="6590533C" w14:textId="73A612C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00</w:t>
            </w:r>
          </w:p>
        </w:tc>
        <w:tc>
          <w:tcPr>
            <w:tcW w:w="720" w:type="dxa"/>
            <w:gridSpan w:val="2"/>
            <w:noWrap/>
            <w:vAlign w:val="center"/>
            <w:hideMark/>
          </w:tcPr>
          <w:p w14:paraId="6CD611BD" w14:textId="0ABEBF8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62</w:t>
            </w:r>
          </w:p>
        </w:tc>
        <w:tc>
          <w:tcPr>
            <w:tcW w:w="720" w:type="dxa"/>
            <w:noWrap/>
            <w:vAlign w:val="center"/>
            <w:hideMark/>
          </w:tcPr>
          <w:p w14:paraId="6B7383E8" w14:textId="10C9DBE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69</w:t>
            </w:r>
          </w:p>
        </w:tc>
        <w:tc>
          <w:tcPr>
            <w:tcW w:w="812" w:type="dxa"/>
            <w:noWrap/>
            <w:vAlign w:val="center"/>
            <w:hideMark/>
          </w:tcPr>
          <w:p w14:paraId="49984C0C" w14:textId="13F58B2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57</w:t>
            </w:r>
          </w:p>
        </w:tc>
      </w:tr>
      <w:tr w:rsidR="00F72778" w:rsidRPr="00305A9F" w14:paraId="12CD3DF7" w14:textId="77777777" w:rsidTr="00883253">
        <w:trPr>
          <w:trHeight w:val="380"/>
        </w:trPr>
        <w:tc>
          <w:tcPr>
            <w:tcW w:w="1428" w:type="dxa"/>
            <w:noWrap/>
            <w:vAlign w:val="center"/>
            <w:hideMark/>
          </w:tcPr>
          <w:p w14:paraId="0ADC97A1"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Lääne</w:t>
            </w:r>
          </w:p>
        </w:tc>
        <w:tc>
          <w:tcPr>
            <w:tcW w:w="781" w:type="dxa"/>
            <w:noWrap/>
            <w:vAlign w:val="center"/>
            <w:hideMark/>
          </w:tcPr>
          <w:p w14:paraId="4BB1C524" w14:textId="4ED24D84"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14</w:t>
            </w:r>
          </w:p>
        </w:tc>
        <w:tc>
          <w:tcPr>
            <w:tcW w:w="781" w:type="dxa"/>
            <w:noWrap/>
            <w:vAlign w:val="center"/>
            <w:hideMark/>
          </w:tcPr>
          <w:p w14:paraId="7DE4E51E" w14:textId="6833804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05</w:t>
            </w:r>
          </w:p>
        </w:tc>
        <w:tc>
          <w:tcPr>
            <w:tcW w:w="781" w:type="dxa"/>
            <w:noWrap/>
            <w:vAlign w:val="center"/>
            <w:hideMark/>
          </w:tcPr>
          <w:p w14:paraId="5136B771" w14:textId="5317612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83</w:t>
            </w:r>
          </w:p>
        </w:tc>
        <w:tc>
          <w:tcPr>
            <w:tcW w:w="795" w:type="dxa"/>
            <w:noWrap/>
            <w:vAlign w:val="center"/>
            <w:hideMark/>
          </w:tcPr>
          <w:p w14:paraId="3B285A85" w14:textId="207F3B3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86</w:t>
            </w:r>
          </w:p>
        </w:tc>
        <w:tc>
          <w:tcPr>
            <w:tcW w:w="795" w:type="dxa"/>
            <w:noWrap/>
            <w:vAlign w:val="center"/>
            <w:hideMark/>
          </w:tcPr>
          <w:p w14:paraId="16256C72" w14:textId="6CD5CFF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73</w:t>
            </w:r>
          </w:p>
        </w:tc>
        <w:tc>
          <w:tcPr>
            <w:tcW w:w="304" w:type="dxa"/>
            <w:noWrap/>
            <w:vAlign w:val="center"/>
            <w:hideMark/>
          </w:tcPr>
          <w:p w14:paraId="34BE19DF"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7BF34C49" w14:textId="25F3926B"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81</w:t>
            </w:r>
          </w:p>
        </w:tc>
        <w:tc>
          <w:tcPr>
            <w:tcW w:w="900" w:type="dxa"/>
            <w:noWrap/>
            <w:vAlign w:val="center"/>
            <w:hideMark/>
          </w:tcPr>
          <w:p w14:paraId="3FC28947" w14:textId="4B31342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68</w:t>
            </w:r>
          </w:p>
        </w:tc>
        <w:tc>
          <w:tcPr>
            <w:tcW w:w="720" w:type="dxa"/>
            <w:gridSpan w:val="2"/>
            <w:noWrap/>
            <w:vAlign w:val="center"/>
            <w:hideMark/>
          </w:tcPr>
          <w:p w14:paraId="25192CE8" w14:textId="04911A8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64</w:t>
            </w:r>
          </w:p>
        </w:tc>
        <w:tc>
          <w:tcPr>
            <w:tcW w:w="720" w:type="dxa"/>
            <w:noWrap/>
            <w:vAlign w:val="center"/>
            <w:hideMark/>
          </w:tcPr>
          <w:p w14:paraId="51DC7807" w14:textId="1781F8C8"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74</w:t>
            </w:r>
          </w:p>
        </w:tc>
        <w:tc>
          <w:tcPr>
            <w:tcW w:w="812" w:type="dxa"/>
            <w:noWrap/>
            <w:vAlign w:val="center"/>
            <w:hideMark/>
          </w:tcPr>
          <w:p w14:paraId="11F583C8" w14:textId="4074BB91"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76</w:t>
            </w:r>
          </w:p>
        </w:tc>
      </w:tr>
      <w:tr w:rsidR="00F72778" w:rsidRPr="00305A9F" w14:paraId="02634736" w14:textId="77777777" w:rsidTr="00883253">
        <w:trPr>
          <w:trHeight w:val="380"/>
        </w:trPr>
        <w:tc>
          <w:tcPr>
            <w:tcW w:w="1428" w:type="dxa"/>
            <w:noWrap/>
            <w:vAlign w:val="center"/>
            <w:hideMark/>
          </w:tcPr>
          <w:p w14:paraId="66CEE9F2"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Lääne-Viru</w:t>
            </w:r>
          </w:p>
        </w:tc>
        <w:tc>
          <w:tcPr>
            <w:tcW w:w="781" w:type="dxa"/>
            <w:noWrap/>
            <w:vAlign w:val="center"/>
            <w:hideMark/>
          </w:tcPr>
          <w:p w14:paraId="2AF1D21D" w14:textId="671373F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70</w:t>
            </w:r>
          </w:p>
        </w:tc>
        <w:tc>
          <w:tcPr>
            <w:tcW w:w="781" w:type="dxa"/>
            <w:noWrap/>
            <w:vAlign w:val="center"/>
            <w:hideMark/>
          </w:tcPr>
          <w:p w14:paraId="1A167D47" w14:textId="1B76C7E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77</w:t>
            </w:r>
          </w:p>
        </w:tc>
        <w:tc>
          <w:tcPr>
            <w:tcW w:w="781" w:type="dxa"/>
            <w:noWrap/>
            <w:vAlign w:val="center"/>
            <w:hideMark/>
          </w:tcPr>
          <w:p w14:paraId="6BD0BEFE" w14:textId="47219A6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60</w:t>
            </w:r>
          </w:p>
        </w:tc>
        <w:tc>
          <w:tcPr>
            <w:tcW w:w="795" w:type="dxa"/>
            <w:noWrap/>
            <w:vAlign w:val="center"/>
            <w:hideMark/>
          </w:tcPr>
          <w:p w14:paraId="423C0AF0" w14:textId="16CDC3A4"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58</w:t>
            </w:r>
          </w:p>
        </w:tc>
        <w:tc>
          <w:tcPr>
            <w:tcW w:w="795" w:type="dxa"/>
            <w:noWrap/>
            <w:vAlign w:val="center"/>
            <w:hideMark/>
          </w:tcPr>
          <w:p w14:paraId="147C6BFC" w14:textId="50B6AD9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68</w:t>
            </w:r>
          </w:p>
        </w:tc>
        <w:tc>
          <w:tcPr>
            <w:tcW w:w="304" w:type="dxa"/>
            <w:noWrap/>
            <w:vAlign w:val="center"/>
            <w:hideMark/>
          </w:tcPr>
          <w:p w14:paraId="04477160"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43D526A6" w14:textId="7E80B8C4"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86</w:t>
            </w:r>
          </w:p>
        </w:tc>
        <w:tc>
          <w:tcPr>
            <w:tcW w:w="900" w:type="dxa"/>
            <w:noWrap/>
            <w:vAlign w:val="center"/>
            <w:hideMark/>
          </w:tcPr>
          <w:p w14:paraId="63387FAD" w14:textId="6358C6F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73</w:t>
            </w:r>
          </w:p>
        </w:tc>
        <w:tc>
          <w:tcPr>
            <w:tcW w:w="720" w:type="dxa"/>
            <w:gridSpan w:val="2"/>
            <w:noWrap/>
            <w:vAlign w:val="center"/>
            <w:hideMark/>
          </w:tcPr>
          <w:p w14:paraId="0986F3BB" w14:textId="5896A15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69</w:t>
            </w:r>
          </w:p>
        </w:tc>
        <w:tc>
          <w:tcPr>
            <w:tcW w:w="720" w:type="dxa"/>
            <w:noWrap/>
            <w:vAlign w:val="center"/>
            <w:hideMark/>
          </w:tcPr>
          <w:p w14:paraId="19410548" w14:textId="3063C40A"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86</w:t>
            </w:r>
          </w:p>
        </w:tc>
        <w:tc>
          <w:tcPr>
            <w:tcW w:w="812" w:type="dxa"/>
            <w:noWrap/>
            <w:vAlign w:val="center"/>
            <w:hideMark/>
          </w:tcPr>
          <w:p w14:paraId="6E746568" w14:textId="71DF14C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79</w:t>
            </w:r>
          </w:p>
        </w:tc>
      </w:tr>
      <w:tr w:rsidR="00F72778" w:rsidRPr="00305A9F" w14:paraId="79F0DBDC" w14:textId="77777777" w:rsidTr="00883253">
        <w:trPr>
          <w:trHeight w:val="380"/>
        </w:trPr>
        <w:tc>
          <w:tcPr>
            <w:tcW w:w="1428" w:type="dxa"/>
            <w:noWrap/>
            <w:vAlign w:val="center"/>
            <w:hideMark/>
          </w:tcPr>
          <w:p w14:paraId="35AFA2FB"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Põlva</w:t>
            </w:r>
          </w:p>
        </w:tc>
        <w:tc>
          <w:tcPr>
            <w:tcW w:w="781" w:type="dxa"/>
            <w:noWrap/>
            <w:vAlign w:val="center"/>
            <w:hideMark/>
          </w:tcPr>
          <w:p w14:paraId="2E0C5226" w14:textId="53A0AA2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84</w:t>
            </w:r>
          </w:p>
        </w:tc>
        <w:tc>
          <w:tcPr>
            <w:tcW w:w="781" w:type="dxa"/>
            <w:noWrap/>
            <w:vAlign w:val="center"/>
            <w:hideMark/>
          </w:tcPr>
          <w:p w14:paraId="29B859EB" w14:textId="39FE0D03"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95</w:t>
            </w:r>
          </w:p>
        </w:tc>
        <w:tc>
          <w:tcPr>
            <w:tcW w:w="781" w:type="dxa"/>
            <w:noWrap/>
            <w:vAlign w:val="center"/>
            <w:hideMark/>
          </w:tcPr>
          <w:p w14:paraId="205E453E" w14:textId="3383AB74"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67</w:t>
            </w:r>
          </w:p>
        </w:tc>
        <w:tc>
          <w:tcPr>
            <w:tcW w:w="795" w:type="dxa"/>
            <w:noWrap/>
            <w:vAlign w:val="center"/>
            <w:hideMark/>
          </w:tcPr>
          <w:p w14:paraId="5B933031" w14:textId="2C375BE3"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85</w:t>
            </w:r>
          </w:p>
        </w:tc>
        <w:tc>
          <w:tcPr>
            <w:tcW w:w="795" w:type="dxa"/>
            <w:noWrap/>
            <w:vAlign w:val="center"/>
            <w:hideMark/>
          </w:tcPr>
          <w:p w14:paraId="38ACAB62" w14:textId="677FA01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73</w:t>
            </w:r>
          </w:p>
        </w:tc>
        <w:tc>
          <w:tcPr>
            <w:tcW w:w="304" w:type="dxa"/>
            <w:noWrap/>
            <w:vAlign w:val="center"/>
            <w:hideMark/>
          </w:tcPr>
          <w:p w14:paraId="53379170"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15D3506E" w14:textId="6A4EE3E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58</w:t>
            </w:r>
          </w:p>
        </w:tc>
        <w:tc>
          <w:tcPr>
            <w:tcW w:w="900" w:type="dxa"/>
            <w:noWrap/>
            <w:vAlign w:val="center"/>
            <w:hideMark/>
          </w:tcPr>
          <w:p w14:paraId="66C13E29" w14:textId="41B7EC11"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58</w:t>
            </w:r>
          </w:p>
        </w:tc>
        <w:tc>
          <w:tcPr>
            <w:tcW w:w="720" w:type="dxa"/>
            <w:gridSpan w:val="2"/>
            <w:noWrap/>
            <w:vAlign w:val="center"/>
            <w:hideMark/>
          </w:tcPr>
          <w:p w14:paraId="1E7A9F8F" w14:textId="306AB9B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56</w:t>
            </w:r>
          </w:p>
        </w:tc>
        <w:tc>
          <w:tcPr>
            <w:tcW w:w="720" w:type="dxa"/>
            <w:noWrap/>
            <w:vAlign w:val="center"/>
            <w:hideMark/>
          </w:tcPr>
          <w:p w14:paraId="614803AB" w14:textId="73D0978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57</w:t>
            </w:r>
          </w:p>
        </w:tc>
        <w:tc>
          <w:tcPr>
            <w:tcW w:w="812" w:type="dxa"/>
            <w:noWrap/>
            <w:vAlign w:val="center"/>
            <w:hideMark/>
          </w:tcPr>
          <w:p w14:paraId="22C1A558" w14:textId="6E1D628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63</w:t>
            </w:r>
          </w:p>
        </w:tc>
      </w:tr>
      <w:tr w:rsidR="00F72778" w:rsidRPr="00305A9F" w14:paraId="596C321A" w14:textId="77777777" w:rsidTr="00883253">
        <w:trPr>
          <w:trHeight w:val="380"/>
        </w:trPr>
        <w:tc>
          <w:tcPr>
            <w:tcW w:w="1428" w:type="dxa"/>
            <w:noWrap/>
            <w:vAlign w:val="center"/>
            <w:hideMark/>
          </w:tcPr>
          <w:p w14:paraId="282F7E49"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Pärnu</w:t>
            </w:r>
          </w:p>
        </w:tc>
        <w:tc>
          <w:tcPr>
            <w:tcW w:w="781" w:type="dxa"/>
            <w:noWrap/>
            <w:vAlign w:val="center"/>
            <w:hideMark/>
          </w:tcPr>
          <w:p w14:paraId="410C77A2" w14:textId="44240F0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07</w:t>
            </w:r>
          </w:p>
        </w:tc>
        <w:tc>
          <w:tcPr>
            <w:tcW w:w="781" w:type="dxa"/>
            <w:noWrap/>
            <w:vAlign w:val="center"/>
            <w:hideMark/>
          </w:tcPr>
          <w:p w14:paraId="165655C6" w14:textId="3294257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88</w:t>
            </w:r>
          </w:p>
        </w:tc>
        <w:tc>
          <w:tcPr>
            <w:tcW w:w="781" w:type="dxa"/>
            <w:noWrap/>
            <w:vAlign w:val="center"/>
            <w:hideMark/>
          </w:tcPr>
          <w:p w14:paraId="09255131" w14:textId="53027CF1"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78</w:t>
            </w:r>
          </w:p>
        </w:tc>
        <w:tc>
          <w:tcPr>
            <w:tcW w:w="795" w:type="dxa"/>
            <w:noWrap/>
            <w:vAlign w:val="center"/>
            <w:hideMark/>
          </w:tcPr>
          <w:p w14:paraId="77A88A7B" w14:textId="4A563F3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91</w:t>
            </w:r>
          </w:p>
        </w:tc>
        <w:tc>
          <w:tcPr>
            <w:tcW w:w="795" w:type="dxa"/>
            <w:noWrap/>
            <w:vAlign w:val="center"/>
            <w:hideMark/>
          </w:tcPr>
          <w:p w14:paraId="17D58E0B" w14:textId="3ECAE7C3"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98</w:t>
            </w:r>
          </w:p>
        </w:tc>
        <w:tc>
          <w:tcPr>
            <w:tcW w:w="304" w:type="dxa"/>
            <w:noWrap/>
            <w:vAlign w:val="center"/>
            <w:hideMark/>
          </w:tcPr>
          <w:p w14:paraId="76B6EB1F"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62670E21" w14:textId="29F8D944"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11</w:t>
            </w:r>
          </w:p>
        </w:tc>
        <w:tc>
          <w:tcPr>
            <w:tcW w:w="900" w:type="dxa"/>
            <w:noWrap/>
            <w:vAlign w:val="center"/>
            <w:hideMark/>
          </w:tcPr>
          <w:p w14:paraId="2695EA39" w14:textId="6E5D8E2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03</w:t>
            </w:r>
          </w:p>
        </w:tc>
        <w:tc>
          <w:tcPr>
            <w:tcW w:w="720" w:type="dxa"/>
            <w:gridSpan w:val="2"/>
            <w:noWrap/>
            <w:vAlign w:val="center"/>
            <w:hideMark/>
          </w:tcPr>
          <w:p w14:paraId="60474534" w14:textId="66A4976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01</w:t>
            </w:r>
          </w:p>
        </w:tc>
        <w:tc>
          <w:tcPr>
            <w:tcW w:w="720" w:type="dxa"/>
            <w:noWrap/>
            <w:vAlign w:val="center"/>
            <w:hideMark/>
          </w:tcPr>
          <w:p w14:paraId="2936B415" w14:textId="658DA75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16</w:t>
            </w:r>
          </w:p>
        </w:tc>
        <w:tc>
          <w:tcPr>
            <w:tcW w:w="812" w:type="dxa"/>
            <w:noWrap/>
            <w:vAlign w:val="center"/>
            <w:hideMark/>
          </w:tcPr>
          <w:p w14:paraId="32A75B74" w14:textId="304B102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17</w:t>
            </w:r>
          </w:p>
        </w:tc>
      </w:tr>
      <w:tr w:rsidR="00F72778" w:rsidRPr="00305A9F" w14:paraId="5671B836" w14:textId="77777777" w:rsidTr="00883253">
        <w:trPr>
          <w:trHeight w:val="380"/>
        </w:trPr>
        <w:tc>
          <w:tcPr>
            <w:tcW w:w="1428" w:type="dxa"/>
            <w:noWrap/>
            <w:vAlign w:val="center"/>
            <w:hideMark/>
          </w:tcPr>
          <w:p w14:paraId="26CAFBCB"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Rapla</w:t>
            </w:r>
          </w:p>
        </w:tc>
        <w:tc>
          <w:tcPr>
            <w:tcW w:w="781" w:type="dxa"/>
            <w:noWrap/>
            <w:vAlign w:val="center"/>
            <w:hideMark/>
          </w:tcPr>
          <w:p w14:paraId="542A673F" w14:textId="166C53B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91</w:t>
            </w:r>
          </w:p>
        </w:tc>
        <w:tc>
          <w:tcPr>
            <w:tcW w:w="781" w:type="dxa"/>
            <w:noWrap/>
            <w:vAlign w:val="center"/>
            <w:hideMark/>
          </w:tcPr>
          <w:p w14:paraId="79C7C72E" w14:textId="10935081"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07</w:t>
            </w:r>
          </w:p>
        </w:tc>
        <w:tc>
          <w:tcPr>
            <w:tcW w:w="781" w:type="dxa"/>
            <w:noWrap/>
            <w:vAlign w:val="center"/>
            <w:hideMark/>
          </w:tcPr>
          <w:p w14:paraId="0031341D" w14:textId="2C0E3A2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55</w:t>
            </w:r>
          </w:p>
        </w:tc>
        <w:tc>
          <w:tcPr>
            <w:tcW w:w="795" w:type="dxa"/>
            <w:noWrap/>
            <w:vAlign w:val="center"/>
            <w:hideMark/>
          </w:tcPr>
          <w:p w14:paraId="7AA8EE82" w14:textId="76B0F26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39</w:t>
            </w:r>
          </w:p>
        </w:tc>
        <w:tc>
          <w:tcPr>
            <w:tcW w:w="795" w:type="dxa"/>
            <w:noWrap/>
            <w:vAlign w:val="center"/>
            <w:hideMark/>
          </w:tcPr>
          <w:p w14:paraId="3DD2F75A" w14:textId="27C8D7C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07</w:t>
            </w:r>
          </w:p>
        </w:tc>
        <w:tc>
          <w:tcPr>
            <w:tcW w:w="304" w:type="dxa"/>
            <w:noWrap/>
            <w:vAlign w:val="center"/>
            <w:hideMark/>
          </w:tcPr>
          <w:p w14:paraId="6167FECD"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6DA6E6C5" w14:textId="4539C54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80</w:t>
            </w:r>
          </w:p>
        </w:tc>
        <w:tc>
          <w:tcPr>
            <w:tcW w:w="900" w:type="dxa"/>
            <w:noWrap/>
            <w:vAlign w:val="center"/>
            <w:hideMark/>
          </w:tcPr>
          <w:p w14:paraId="36F00DC6" w14:textId="778A5E74"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78</w:t>
            </w:r>
          </w:p>
        </w:tc>
        <w:tc>
          <w:tcPr>
            <w:tcW w:w="720" w:type="dxa"/>
            <w:gridSpan w:val="2"/>
            <w:noWrap/>
            <w:vAlign w:val="center"/>
            <w:hideMark/>
          </w:tcPr>
          <w:p w14:paraId="324D48A9" w14:textId="18D116B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74</w:t>
            </w:r>
          </w:p>
        </w:tc>
        <w:tc>
          <w:tcPr>
            <w:tcW w:w="720" w:type="dxa"/>
            <w:noWrap/>
            <w:vAlign w:val="center"/>
            <w:hideMark/>
          </w:tcPr>
          <w:p w14:paraId="59E94C2A" w14:textId="3F7408A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71</w:t>
            </w:r>
          </w:p>
        </w:tc>
        <w:tc>
          <w:tcPr>
            <w:tcW w:w="812" w:type="dxa"/>
            <w:noWrap/>
            <w:vAlign w:val="center"/>
            <w:hideMark/>
          </w:tcPr>
          <w:p w14:paraId="661BE01D" w14:textId="0306B268"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59</w:t>
            </w:r>
          </w:p>
        </w:tc>
      </w:tr>
      <w:tr w:rsidR="00F72778" w:rsidRPr="00305A9F" w14:paraId="1F5A043C" w14:textId="77777777" w:rsidTr="00883253">
        <w:trPr>
          <w:trHeight w:val="380"/>
        </w:trPr>
        <w:tc>
          <w:tcPr>
            <w:tcW w:w="1428" w:type="dxa"/>
            <w:noWrap/>
            <w:vAlign w:val="center"/>
            <w:hideMark/>
          </w:tcPr>
          <w:p w14:paraId="63B4DD3C"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Saare</w:t>
            </w:r>
          </w:p>
        </w:tc>
        <w:tc>
          <w:tcPr>
            <w:tcW w:w="781" w:type="dxa"/>
            <w:noWrap/>
            <w:vAlign w:val="center"/>
            <w:hideMark/>
          </w:tcPr>
          <w:p w14:paraId="2C983D09" w14:textId="44E2338B"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87</w:t>
            </w:r>
          </w:p>
        </w:tc>
        <w:tc>
          <w:tcPr>
            <w:tcW w:w="781" w:type="dxa"/>
            <w:noWrap/>
            <w:vAlign w:val="center"/>
            <w:hideMark/>
          </w:tcPr>
          <w:p w14:paraId="676A4DDF" w14:textId="1620904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92</w:t>
            </w:r>
          </w:p>
        </w:tc>
        <w:tc>
          <w:tcPr>
            <w:tcW w:w="781" w:type="dxa"/>
            <w:noWrap/>
            <w:vAlign w:val="center"/>
            <w:hideMark/>
          </w:tcPr>
          <w:p w14:paraId="743A486A" w14:textId="654B8CEA"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77</w:t>
            </w:r>
          </w:p>
        </w:tc>
        <w:tc>
          <w:tcPr>
            <w:tcW w:w="795" w:type="dxa"/>
            <w:noWrap/>
            <w:vAlign w:val="center"/>
            <w:hideMark/>
          </w:tcPr>
          <w:p w14:paraId="7AF8F3A1" w14:textId="5D0F2CB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80</w:t>
            </w:r>
          </w:p>
        </w:tc>
        <w:tc>
          <w:tcPr>
            <w:tcW w:w="795" w:type="dxa"/>
            <w:noWrap/>
            <w:vAlign w:val="center"/>
            <w:hideMark/>
          </w:tcPr>
          <w:p w14:paraId="3BA761B2" w14:textId="014C4B2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78</w:t>
            </w:r>
          </w:p>
        </w:tc>
        <w:tc>
          <w:tcPr>
            <w:tcW w:w="304" w:type="dxa"/>
            <w:noWrap/>
            <w:vAlign w:val="center"/>
            <w:hideMark/>
          </w:tcPr>
          <w:p w14:paraId="1F5BCD65"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1FE36C77" w14:textId="7D4E7EA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24</w:t>
            </w:r>
          </w:p>
        </w:tc>
        <w:tc>
          <w:tcPr>
            <w:tcW w:w="900" w:type="dxa"/>
            <w:noWrap/>
            <w:vAlign w:val="center"/>
            <w:hideMark/>
          </w:tcPr>
          <w:p w14:paraId="72C4E3B9" w14:textId="1F768A6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21</w:t>
            </w:r>
          </w:p>
        </w:tc>
        <w:tc>
          <w:tcPr>
            <w:tcW w:w="720" w:type="dxa"/>
            <w:gridSpan w:val="2"/>
            <w:noWrap/>
            <w:vAlign w:val="center"/>
            <w:hideMark/>
          </w:tcPr>
          <w:p w14:paraId="06612FE4" w14:textId="700BFEE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23</w:t>
            </w:r>
          </w:p>
        </w:tc>
        <w:tc>
          <w:tcPr>
            <w:tcW w:w="720" w:type="dxa"/>
            <w:noWrap/>
            <w:vAlign w:val="center"/>
            <w:hideMark/>
          </w:tcPr>
          <w:p w14:paraId="5976DEB8" w14:textId="6C9B3983"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36</w:t>
            </w:r>
          </w:p>
        </w:tc>
        <w:tc>
          <w:tcPr>
            <w:tcW w:w="812" w:type="dxa"/>
            <w:noWrap/>
            <w:vAlign w:val="center"/>
            <w:hideMark/>
          </w:tcPr>
          <w:p w14:paraId="404B2F15" w14:textId="329BAA2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31</w:t>
            </w:r>
          </w:p>
        </w:tc>
      </w:tr>
      <w:tr w:rsidR="00F72778" w:rsidRPr="00305A9F" w14:paraId="3A2A01FA" w14:textId="77777777" w:rsidTr="00883253">
        <w:trPr>
          <w:trHeight w:val="380"/>
        </w:trPr>
        <w:tc>
          <w:tcPr>
            <w:tcW w:w="1428" w:type="dxa"/>
            <w:noWrap/>
            <w:vAlign w:val="center"/>
            <w:hideMark/>
          </w:tcPr>
          <w:p w14:paraId="5B612FD6"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Tartu</w:t>
            </w:r>
          </w:p>
        </w:tc>
        <w:tc>
          <w:tcPr>
            <w:tcW w:w="781" w:type="dxa"/>
            <w:noWrap/>
            <w:vAlign w:val="center"/>
            <w:hideMark/>
          </w:tcPr>
          <w:p w14:paraId="3A750DDE" w14:textId="610DF26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60</w:t>
            </w:r>
          </w:p>
        </w:tc>
        <w:tc>
          <w:tcPr>
            <w:tcW w:w="781" w:type="dxa"/>
            <w:noWrap/>
            <w:vAlign w:val="center"/>
            <w:hideMark/>
          </w:tcPr>
          <w:p w14:paraId="37A1D16B" w14:textId="62F3893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59</w:t>
            </w:r>
          </w:p>
        </w:tc>
        <w:tc>
          <w:tcPr>
            <w:tcW w:w="781" w:type="dxa"/>
            <w:noWrap/>
            <w:vAlign w:val="center"/>
            <w:hideMark/>
          </w:tcPr>
          <w:p w14:paraId="55EBD28E" w14:textId="7902FCE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62</w:t>
            </w:r>
          </w:p>
        </w:tc>
        <w:tc>
          <w:tcPr>
            <w:tcW w:w="795" w:type="dxa"/>
            <w:noWrap/>
            <w:vAlign w:val="center"/>
            <w:hideMark/>
          </w:tcPr>
          <w:p w14:paraId="52F985E0" w14:textId="66DD17F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63</w:t>
            </w:r>
          </w:p>
        </w:tc>
        <w:tc>
          <w:tcPr>
            <w:tcW w:w="795" w:type="dxa"/>
            <w:noWrap/>
            <w:vAlign w:val="center"/>
            <w:hideMark/>
          </w:tcPr>
          <w:p w14:paraId="4991B89E" w14:textId="721A10A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61</w:t>
            </w:r>
          </w:p>
        </w:tc>
        <w:tc>
          <w:tcPr>
            <w:tcW w:w="304" w:type="dxa"/>
            <w:noWrap/>
            <w:vAlign w:val="center"/>
            <w:hideMark/>
          </w:tcPr>
          <w:p w14:paraId="766461DB"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040B144F" w14:textId="5A440A2A"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06</w:t>
            </w:r>
          </w:p>
        </w:tc>
        <w:tc>
          <w:tcPr>
            <w:tcW w:w="900" w:type="dxa"/>
            <w:noWrap/>
            <w:vAlign w:val="center"/>
            <w:hideMark/>
          </w:tcPr>
          <w:p w14:paraId="3816D704" w14:textId="5A0E9338"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05</w:t>
            </w:r>
          </w:p>
        </w:tc>
        <w:tc>
          <w:tcPr>
            <w:tcW w:w="720" w:type="dxa"/>
            <w:gridSpan w:val="2"/>
            <w:noWrap/>
            <w:vAlign w:val="center"/>
            <w:hideMark/>
          </w:tcPr>
          <w:p w14:paraId="5F4396C2" w14:textId="3D62547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09</w:t>
            </w:r>
          </w:p>
        </w:tc>
        <w:tc>
          <w:tcPr>
            <w:tcW w:w="720" w:type="dxa"/>
            <w:noWrap/>
            <w:vAlign w:val="center"/>
            <w:hideMark/>
          </w:tcPr>
          <w:p w14:paraId="3EFB764E" w14:textId="0279A2B8"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03</w:t>
            </w:r>
          </w:p>
        </w:tc>
        <w:tc>
          <w:tcPr>
            <w:tcW w:w="812" w:type="dxa"/>
            <w:noWrap/>
            <w:vAlign w:val="center"/>
            <w:hideMark/>
          </w:tcPr>
          <w:p w14:paraId="4FF66268" w14:textId="10527D2A"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95</w:t>
            </w:r>
          </w:p>
        </w:tc>
      </w:tr>
      <w:tr w:rsidR="00F72778" w:rsidRPr="00305A9F" w14:paraId="245944EA" w14:textId="77777777" w:rsidTr="00883253">
        <w:trPr>
          <w:trHeight w:val="380"/>
        </w:trPr>
        <w:tc>
          <w:tcPr>
            <w:tcW w:w="1428" w:type="dxa"/>
            <w:noWrap/>
            <w:vAlign w:val="center"/>
            <w:hideMark/>
          </w:tcPr>
          <w:p w14:paraId="789AB79F"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Valga</w:t>
            </w:r>
          </w:p>
        </w:tc>
        <w:tc>
          <w:tcPr>
            <w:tcW w:w="781" w:type="dxa"/>
            <w:noWrap/>
            <w:vAlign w:val="center"/>
            <w:hideMark/>
          </w:tcPr>
          <w:p w14:paraId="62834CDD" w14:textId="3EC32288"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95</w:t>
            </w:r>
          </w:p>
        </w:tc>
        <w:tc>
          <w:tcPr>
            <w:tcW w:w="781" w:type="dxa"/>
            <w:noWrap/>
            <w:vAlign w:val="center"/>
            <w:hideMark/>
          </w:tcPr>
          <w:p w14:paraId="6228AF19" w14:textId="195D0D8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90</w:t>
            </w:r>
          </w:p>
        </w:tc>
        <w:tc>
          <w:tcPr>
            <w:tcW w:w="781" w:type="dxa"/>
            <w:noWrap/>
            <w:vAlign w:val="center"/>
            <w:hideMark/>
          </w:tcPr>
          <w:p w14:paraId="4DD232BD" w14:textId="1F123E38"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04</w:t>
            </w:r>
          </w:p>
        </w:tc>
        <w:tc>
          <w:tcPr>
            <w:tcW w:w="795" w:type="dxa"/>
            <w:noWrap/>
            <w:vAlign w:val="center"/>
            <w:hideMark/>
          </w:tcPr>
          <w:p w14:paraId="13F162A4" w14:textId="3660448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82</w:t>
            </w:r>
          </w:p>
        </w:tc>
        <w:tc>
          <w:tcPr>
            <w:tcW w:w="795" w:type="dxa"/>
            <w:noWrap/>
            <w:vAlign w:val="center"/>
            <w:hideMark/>
          </w:tcPr>
          <w:p w14:paraId="2E61E939" w14:textId="6723D97E"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81</w:t>
            </w:r>
          </w:p>
        </w:tc>
        <w:tc>
          <w:tcPr>
            <w:tcW w:w="304" w:type="dxa"/>
            <w:noWrap/>
            <w:vAlign w:val="center"/>
            <w:hideMark/>
          </w:tcPr>
          <w:p w14:paraId="7D3CF9A8"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2742ACF3" w14:textId="08AD1BD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88</w:t>
            </w:r>
          </w:p>
        </w:tc>
        <w:tc>
          <w:tcPr>
            <w:tcW w:w="900" w:type="dxa"/>
            <w:noWrap/>
            <w:vAlign w:val="center"/>
            <w:hideMark/>
          </w:tcPr>
          <w:p w14:paraId="43F1B720" w14:textId="5FC96D0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85</w:t>
            </w:r>
          </w:p>
        </w:tc>
        <w:tc>
          <w:tcPr>
            <w:tcW w:w="720" w:type="dxa"/>
            <w:gridSpan w:val="2"/>
            <w:noWrap/>
            <w:vAlign w:val="center"/>
            <w:hideMark/>
          </w:tcPr>
          <w:p w14:paraId="2B0B2017" w14:textId="3BA9B2C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84</w:t>
            </w:r>
          </w:p>
        </w:tc>
        <w:tc>
          <w:tcPr>
            <w:tcW w:w="720" w:type="dxa"/>
            <w:noWrap/>
            <w:vAlign w:val="center"/>
            <w:hideMark/>
          </w:tcPr>
          <w:p w14:paraId="64DAE78C" w14:textId="211F31CE"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74</w:t>
            </w:r>
          </w:p>
        </w:tc>
        <w:tc>
          <w:tcPr>
            <w:tcW w:w="812" w:type="dxa"/>
            <w:noWrap/>
            <w:vAlign w:val="center"/>
            <w:hideMark/>
          </w:tcPr>
          <w:p w14:paraId="3CF1D3DB" w14:textId="0E84953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64</w:t>
            </w:r>
          </w:p>
        </w:tc>
      </w:tr>
      <w:tr w:rsidR="00F72778" w:rsidRPr="00305A9F" w14:paraId="62C46D9B" w14:textId="77777777" w:rsidTr="00883253">
        <w:trPr>
          <w:trHeight w:val="380"/>
        </w:trPr>
        <w:tc>
          <w:tcPr>
            <w:tcW w:w="1428" w:type="dxa"/>
            <w:noWrap/>
            <w:vAlign w:val="center"/>
            <w:hideMark/>
          </w:tcPr>
          <w:p w14:paraId="0FB57C02"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Viljandi</w:t>
            </w:r>
          </w:p>
        </w:tc>
        <w:tc>
          <w:tcPr>
            <w:tcW w:w="781" w:type="dxa"/>
            <w:noWrap/>
            <w:vAlign w:val="center"/>
            <w:hideMark/>
          </w:tcPr>
          <w:p w14:paraId="406318A4" w14:textId="7EF6370E"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90</w:t>
            </w:r>
          </w:p>
        </w:tc>
        <w:tc>
          <w:tcPr>
            <w:tcW w:w="781" w:type="dxa"/>
            <w:noWrap/>
            <w:vAlign w:val="center"/>
            <w:hideMark/>
          </w:tcPr>
          <w:p w14:paraId="34B52318" w14:textId="2A53425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88</w:t>
            </w:r>
          </w:p>
        </w:tc>
        <w:tc>
          <w:tcPr>
            <w:tcW w:w="781" w:type="dxa"/>
            <w:noWrap/>
            <w:vAlign w:val="center"/>
            <w:hideMark/>
          </w:tcPr>
          <w:p w14:paraId="24102F8E" w14:textId="548E38D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77</w:t>
            </w:r>
          </w:p>
        </w:tc>
        <w:tc>
          <w:tcPr>
            <w:tcW w:w="795" w:type="dxa"/>
            <w:noWrap/>
            <w:vAlign w:val="center"/>
            <w:hideMark/>
          </w:tcPr>
          <w:p w14:paraId="1BFD1A47" w14:textId="0475049A"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63</w:t>
            </w:r>
          </w:p>
        </w:tc>
        <w:tc>
          <w:tcPr>
            <w:tcW w:w="795" w:type="dxa"/>
            <w:noWrap/>
            <w:vAlign w:val="center"/>
            <w:hideMark/>
          </w:tcPr>
          <w:p w14:paraId="57E5D867" w14:textId="2909D26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66</w:t>
            </w:r>
          </w:p>
        </w:tc>
        <w:tc>
          <w:tcPr>
            <w:tcW w:w="304" w:type="dxa"/>
            <w:noWrap/>
            <w:vAlign w:val="center"/>
            <w:hideMark/>
          </w:tcPr>
          <w:p w14:paraId="27ABD39E"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05E212F8" w14:textId="67CC32F0"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63</w:t>
            </w:r>
          </w:p>
        </w:tc>
        <w:tc>
          <w:tcPr>
            <w:tcW w:w="900" w:type="dxa"/>
            <w:noWrap/>
            <w:vAlign w:val="center"/>
            <w:hideMark/>
          </w:tcPr>
          <w:p w14:paraId="4CFE5AE8" w14:textId="4D17DEA8"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56</w:t>
            </w:r>
          </w:p>
        </w:tc>
        <w:tc>
          <w:tcPr>
            <w:tcW w:w="720" w:type="dxa"/>
            <w:gridSpan w:val="2"/>
            <w:noWrap/>
            <w:vAlign w:val="center"/>
            <w:hideMark/>
          </w:tcPr>
          <w:p w14:paraId="54F25391" w14:textId="675763BB"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61</w:t>
            </w:r>
          </w:p>
        </w:tc>
        <w:tc>
          <w:tcPr>
            <w:tcW w:w="720" w:type="dxa"/>
            <w:noWrap/>
            <w:vAlign w:val="center"/>
            <w:hideMark/>
          </w:tcPr>
          <w:p w14:paraId="6F7CC0FB" w14:textId="122F94C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59</w:t>
            </w:r>
          </w:p>
        </w:tc>
        <w:tc>
          <w:tcPr>
            <w:tcW w:w="812" w:type="dxa"/>
            <w:noWrap/>
            <w:vAlign w:val="center"/>
            <w:hideMark/>
          </w:tcPr>
          <w:p w14:paraId="20045F30" w14:textId="49991A4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61</w:t>
            </w:r>
          </w:p>
        </w:tc>
      </w:tr>
      <w:tr w:rsidR="00F72778" w:rsidRPr="00305A9F" w14:paraId="78ACC580" w14:textId="77777777" w:rsidTr="00883253">
        <w:trPr>
          <w:trHeight w:val="380"/>
        </w:trPr>
        <w:tc>
          <w:tcPr>
            <w:tcW w:w="1428" w:type="dxa"/>
            <w:noWrap/>
            <w:vAlign w:val="center"/>
            <w:hideMark/>
          </w:tcPr>
          <w:p w14:paraId="24ADC3DA"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Võru</w:t>
            </w:r>
          </w:p>
        </w:tc>
        <w:tc>
          <w:tcPr>
            <w:tcW w:w="781" w:type="dxa"/>
            <w:noWrap/>
            <w:vAlign w:val="center"/>
            <w:hideMark/>
          </w:tcPr>
          <w:p w14:paraId="393F554B" w14:textId="43EB9A3E"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95</w:t>
            </w:r>
          </w:p>
        </w:tc>
        <w:tc>
          <w:tcPr>
            <w:tcW w:w="781" w:type="dxa"/>
            <w:noWrap/>
            <w:vAlign w:val="center"/>
            <w:hideMark/>
          </w:tcPr>
          <w:p w14:paraId="4DB7E295" w14:textId="65348A94"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99</w:t>
            </w:r>
          </w:p>
        </w:tc>
        <w:tc>
          <w:tcPr>
            <w:tcW w:w="781" w:type="dxa"/>
            <w:noWrap/>
            <w:vAlign w:val="center"/>
            <w:hideMark/>
          </w:tcPr>
          <w:p w14:paraId="227C3AC8" w14:textId="615761FA"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99</w:t>
            </w:r>
          </w:p>
        </w:tc>
        <w:tc>
          <w:tcPr>
            <w:tcW w:w="795" w:type="dxa"/>
            <w:noWrap/>
            <w:vAlign w:val="center"/>
            <w:hideMark/>
          </w:tcPr>
          <w:p w14:paraId="12E7DD88" w14:textId="468D7B2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89</w:t>
            </w:r>
          </w:p>
        </w:tc>
        <w:tc>
          <w:tcPr>
            <w:tcW w:w="795" w:type="dxa"/>
            <w:noWrap/>
            <w:vAlign w:val="center"/>
            <w:hideMark/>
          </w:tcPr>
          <w:p w14:paraId="642A59D5" w14:textId="4F519EA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94</w:t>
            </w:r>
          </w:p>
        </w:tc>
        <w:tc>
          <w:tcPr>
            <w:tcW w:w="304" w:type="dxa"/>
            <w:noWrap/>
            <w:vAlign w:val="center"/>
            <w:hideMark/>
          </w:tcPr>
          <w:p w14:paraId="47C53FC2"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752BC738" w14:textId="7B3DC733"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90</w:t>
            </w:r>
          </w:p>
        </w:tc>
        <w:tc>
          <w:tcPr>
            <w:tcW w:w="900" w:type="dxa"/>
            <w:noWrap/>
            <w:vAlign w:val="center"/>
            <w:hideMark/>
          </w:tcPr>
          <w:p w14:paraId="2B86B611" w14:textId="56C9549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80</w:t>
            </w:r>
          </w:p>
        </w:tc>
        <w:tc>
          <w:tcPr>
            <w:tcW w:w="720" w:type="dxa"/>
            <w:gridSpan w:val="2"/>
            <w:noWrap/>
            <w:vAlign w:val="center"/>
            <w:hideMark/>
          </w:tcPr>
          <w:p w14:paraId="6A03746D" w14:textId="2298EA73"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83</w:t>
            </w:r>
          </w:p>
        </w:tc>
        <w:tc>
          <w:tcPr>
            <w:tcW w:w="720" w:type="dxa"/>
            <w:noWrap/>
            <w:vAlign w:val="center"/>
            <w:hideMark/>
          </w:tcPr>
          <w:p w14:paraId="21967A07" w14:textId="0D7862D0"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97</w:t>
            </w:r>
          </w:p>
        </w:tc>
        <w:tc>
          <w:tcPr>
            <w:tcW w:w="812" w:type="dxa"/>
            <w:noWrap/>
            <w:vAlign w:val="center"/>
            <w:hideMark/>
          </w:tcPr>
          <w:p w14:paraId="24D41EC2" w14:textId="0DF771D1"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82</w:t>
            </w:r>
          </w:p>
        </w:tc>
      </w:tr>
      <w:tr w:rsidR="00F72778" w:rsidRPr="00305A9F" w14:paraId="27A549EE" w14:textId="77777777" w:rsidTr="00883253">
        <w:trPr>
          <w:trHeight w:val="380"/>
        </w:trPr>
        <w:tc>
          <w:tcPr>
            <w:tcW w:w="1428" w:type="dxa"/>
            <w:noWrap/>
            <w:vAlign w:val="center"/>
            <w:hideMark/>
          </w:tcPr>
          <w:p w14:paraId="1721B537"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EESTI</w:t>
            </w:r>
          </w:p>
        </w:tc>
        <w:tc>
          <w:tcPr>
            <w:tcW w:w="781" w:type="dxa"/>
            <w:noWrap/>
            <w:vAlign w:val="center"/>
            <w:hideMark/>
          </w:tcPr>
          <w:p w14:paraId="0331C03F" w14:textId="7AB486B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84</w:t>
            </w:r>
          </w:p>
        </w:tc>
        <w:tc>
          <w:tcPr>
            <w:tcW w:w="781" w:type="dxa"/>
            <w:noWrap/>
            <w:vAlign w:val="center"/>
            <w:hideMark/>
          </w:tcPr>
          <w:p w14:paraId="26A8EC62" w14:textId="3E6518B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86</w:t>
            </w:r>
          </w:p>
        </w:tc>
        <w:tc>
          <w:tcPr>
            <w:tcW w:w="781" w:type="dxa"/>
            <w:noWrap/>
            <w:vAlign w:val="center"/>
            <w:hideMark/>
          </w:tcPr>
          <w:p w14:paraId="3981279F" w14:textId="1EDFC6B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87</w:t>
            </w:r>
          </w:p>
        </w:tc>
        <w:tc>
          <w:tcPr>
            <w:tcW w:w="795" w:type="dxa"/>
            <w:noWrap/>
            <w:vAlign w:val="center"/>
            <w:hideMark/>
          </w:tcPr>
          <w:p w14:paraId="2AD9DC33" w14:textId="2A704731"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83</w:t>
            </w:r>
          </w:p>
        </w:tc>
        <w:tc>
          <w:tcPr>
            <w:tcW w:w="795" w:type="dxa"/>
            <w:noWrap/>
            <w:vAlign w:val="center"/>
            <w:hideMark/>
          </w:tcPr>
          <w:p w14:paraId="02E1576A" w14:textId="1B12ADC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86</w:t>
            </w:r>
          </w:p>
        </w:tc>
        <w:tc>
          <w:tcPr>
            <w:tcW w:w="304" w:type="dxa"/>
            <w:noWrap/>
            <w:vAlign w:val="center"/>
            <w:hideMark/>
          </w:tcPr>
          <w:p w14:paraId="19E32A8B"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3AE3D058" w14:textId="693EABE8"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44</w:t>
            </w:r>
          </w:p>
        </w:tc>
        <w:tc>
          <w:tcPr>
            <w:tcW w:w="900" w:type="dxa"/>
            <w:noWrap/>
            <w:vAlign w:val="center"/>
            <w:hideMark/>
          </w:tcPr>
          <w:p w14:paraId="50BC9323" w14:textId="0BAEF89F"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41</w:t>
            </w:r>
          </w:p>
        </w:tc>
        <w:tc>
          <w:tcPr>
            <w:tcW w:w="720" w:type="dxa"/>
            <w:gridSpan w:val="2"/>
            <w:noWrap/>
            <w:vAlign w:val="center"/>
            <w:hideMark/>
          </w:tcPr>
          <w:p w14:paraId="6D659761" w14:textId="46C662D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47</w:t>
            </w:r>
          </w:p>
        </w:tc>
        <w:tc>
          <w:tcPr>
            <w:tcW w:w="720" w:type="dxa"/>
            <w:noWrap/>
            <w:vAlign w:val="center"/>
            <w:hideMark/>
          </w:tcPr>
          <w:p w14:paraId="6D6D5321" w14:textId="5B204243"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55</w:t>
            </w:r>
          </w:p>
        </w:tc>
        <w:tc>
          <w:tcPr>
            <w:tcW w:w="812" w:type="dxa"/>
            <w:noWrap/>
            <w:vAlign w:val="center"/>
            <w:hideMark/>
          </w:tcPr>
          <w:p w14:paraId="161B129A" w14:textId="73729A9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46</w:t>
            </w:r>
          </w:p>
        </w:tc>
      </w:tr>
      <w:tr w:rsidR="00F72778" w:rsidRPr="00305A9F" w14:paraId="535F5F8B" w14:textId="77777777" w:rsidTr="00883253">
        <w:trPr>
          <w:trHeight w:val="144"/>
        </w:trPr>
        <w:tc>
          <w:tcPr>
            <w:tcW w:w="1428" w:type="dxa"/>
            <w:noWrap/>
            <w:vAlign w:val="center"/>
            <w:hideMark/>
          </w:tcPr>
          <w:p w14:paraId="0B11FAD8" w14:textId="77777777" w:rsidR="00F72778" w:rsidRPr="00305A9F" w:rsidRDefault="00F72778" w:rsidP="00305A9F">
            <w:pPr>
              <w:spacing w:before="0" w:after="0" w:line="240" w:lineRule="auto"/>
              <w:jc w:val="right"/>
              <w:rPr>
                <w:rFonts w:asciiTheme="minorBidi" w:hAnsiTheme="minorBidi"/>
                <w:b/>
                <w:color w:val="000000"/>
                <w:sz w:val="18"/>
                <w:szCs w:val="18"/>
              </w:rPr>
            </w:pPr>
          </w:p>
        </w:tc>
        <w:tc>
          <w:tcPr>
            <w:tcW w:w="781" w:type="dxa"/>
            <w:noWrap/>
            <w:vAlign w:val="center"/>
            <w:hideMark/>
          </w:tcPr>
          <w:p w14:paraId="4BD0D99B" w14:textId="77777777" w:rsidR="00F72778" w:rsidRPr="00305A9F" w:rsidRDefault="00F72778" w:rsidP="00305A9F">
            <w:pPr>
              <w:spacing w:before="0" w:after="0" w:line="240" w:lineRule="auto"/>
              <w:rPr>
                <w:rFonts w:asciiTheme="minorBidi" w:hAnsiTheme="minorBidi"/>
                <w:sz w:val="18"/>
                <w:szCs w:val="18"/>
              </w:rPr>
            </w:pPr>
          </w:p>
        </w:tc>
        <w:tc>
          <w:tcPr>
            <w:tcW w:w="781" w:type="dxa"/>
            <w:noWrap/>
            <w:vAlign w:val="center"/>
            <w:hideMark/>
          </w:tcPr>
          <w:p w14:paraId="2638DE6F" w14:textId="77777777" w:rsidR="00F72778" w:rsidRPr="00305A9F" w:rsidRDefault="00F72778" w:rsidP="00305A9F">
            <w:pPr>
              <w:spacing w:before="0" w:after="0" w:line="240" w:lineRule="auto"/>
              <w:rPr>
                <w:rFonts w:asciiTheme="minorBidi" w:hAnsiTheme="minorBidi"/>
                <w:sz w:val="18"/>
                <w:szCs w:val="18"/>
              </w:rPr>
            </w:pPr>
          </w:p>
        </w:tc>
        <w:tc>
          <w:tcPr>
            <w:tcW w:w="781" w:type="dxa"/>
            <w:noWrap/>
            <w:vAlign w:val="center"/>
            <w:hideMark/>
          </w:tcPr>
          <w:p w14:paraId="6EBA1AF8" w14:textId="77777777" w:rsidR="00F72778" w:rsidRPr="00305A9F" w:rsidRDefault="00F72778" w:rsidP="00305A9F">
            <w:pPr>
              <w:spacing w:before="0" w:after="0" w:line="240" w:lineRule="auto"/>
              <w:rPr>
                <w:rFonts w:asciiTheme="minorBidi" w:hAnsiTheme="minorBidi"/>
                <w:sz w:val="18"/>
                <w:szCs w:val="18"/>
              </w:rPr>
            </w:pPr>
          </w:p>
        </w:tc>
        <w:tc>
          <w:tcPr>
            <w:tcW w:w="795" w:type="dxa"/>
            <w:noWrap/>
            <w:vAlign w:val="center"/>
            <w:hideMark/>
          </w:tcPr>
          <w:p w14:paraId="74A98358" w14:textId="77777777" w:rsidR="00F72778" w:rsidRPr="00305A9F" w:rsidRDefault="00F72778" w:rsidP="00305A9F">
            <w:pPr>
              <w:spacing w:before="0" w:after="0" w:line="240" w:lineRule="auto"/>
              <w:rPr>
                <w:rFonts w:asciiTheme="minorBidi" w:hAnsiTheme="minorBidi"/>
                <w:sz w:val="18"/>
                <w:szCs w:val="18"/>
              </w:rPr>
            </w:pPr>
          </w:p>
        </w:tc>
        <w:tc>
          <w:tcPr>
            <w:tcW w:w="795" w:type="dxa"/>
            <w:noWrap/>
            <w:vAlign w:val="center"/>
            <w:hideMark/>
          </w:tcPr>
          <w:p w14:paraId="2620AC80" w14:textId="77777777" w:rsidR="00F72778" w:rsidRPr="00305A9F" w:rsidRDefault="00F72778" w:rsidP="00305A9F">
            <w:pPr>
              <w:spacing w:before="0" w:after="0" w:line="240" w:lineRule="auto"/>
              <w:rPr>
                <w:rFonts w:asciiTheme="minorBidi" w:hAnsiTheme="minorBidi"/>
                <w:sz w:val="18"/>
                <w:szCs w:val="18"/>
              </w:rPr>
            </w:pPr>
          </w:p>
        </w:tc>
        <w:tc>
          <w:tcPr>
            <w:tcW w:w="304" w:type="dxa"/>
            <w:noWrap/>
            <w:vAlign w:val="center"/>
            <w:hideMark/>
          </w:tcPr>
          <w:p w14:paraId="4E8662C5" w14:textId="77777777" w:rsidR="00F72778" w:rsidRPr="00305A9F" w:rsidRDefault="00F72778" w:rsidP="00305A9F">
            <w:pPr>
              <w:spacing w:before="0" w:after="0" w:line="240" w:lineRule="auto"/>
              <w:rPr>
                <w:rFonts w:asciiTheme="minorBidi" w:hAnsiTheme="minorBidi"/>
                <w:sz w:val="18"/>
                <w:szCs w:val="18"/>
              </w:rPr>
            </w:pPr>
          </w:p>
        </w:tc>
        <w:tc>
          <w:tcPr>
            <w:tcW w:w="810" w:type="dxa"/>
            <w:noWrap/>
            <w:vAlign w:val="center"/>
            <w:hideMark/>
          </w:tcPr>
          <w:p w14:paraId="14880938" w14:textId="77777777" w:rsidR="00F72778" w:rsidRPr="00305A9F" w:rsidRDefault="00F72778" w:rsidP="00305A9F">
            <w:pPr>
              <w:spacing w:before="0" w:after="0" w:line="240" w:lineRule="auto"/>
              <w:rPr>
                <w:rFonts w:asciiTheme="minorBidi" w:hAnsiTheme="minorBidi"/>
                <w:sz w:val="18"/>
                <w:szCs w:val="18"/>
              </w:rPr>
            </w:pPr>
          </w:p>
        </w:tc>
        <w:tc>
          <w:tcPr>
            <w:tcW w:w="900" w:type="dxa"/>
            <w:noWrap/>
            <w:vAlign w:val="center"/>
            <w:hideMark/>
          </w:tcPr>
          <w:p w14:paraId="41D6612A" w14:textId="77777777" w:rsidR="00F72778" w:rsidRPr="00305A9F" w:rsidRDefault="00F72778" w:rsidP="00305A9F">
            <w:pPr>
              <w:spacing w:before="0" w:after="0" w:line="240" w:lineRule="auto"/>
              <w:rPr>
                <w:rFonts w:asciiTheme="minorBidi" w:hAnsiTheme="minorBidi"/>
                <w:sz w:val="18"/>
                <w:szCs w:val="18"/>
              </w:rPr>
            </w:pPr>
          </w:p>
        </w:tc>
        <w:tc>
          <w:tcPr>
            <w:tcW w:w="720" w:type="dxa"/>
            <w:gridSpan w:val="2"/>
            <w:noWrap/>
            <w:vAlign w:val="center"/>
            <w:hideMark/>
          </w:tcPr>
          <w:p w14:paraId="585A6E75" w14:textId="77777777" w:rsidR="00F72778" w:rsidRPr="00305A9F" w:rsidRDefault="00F72778" w:rsidP="00305A9F">
            <w:pPr>
              <w:spacing w:before="0" w:after="0" w:line="240" w:lineRule="auto"/>
              <w:rPr>
                <w:rFonts w:asciiTheme="minorBidi" w:hAnsiTheme="minorBidi"/>
                <w:sz w:val="18"/>
                <w:szCs w:val="18"/>
              </w:rPr>
            </w:pPr>
          </w:p>
        </w:tc>
        <w:tc>
          <w:tcPr>
            <w:tcW w:w="720" w:type="dxa"/>
            <w:noWrap/>
            <w:vAlign w:val="center"/>
            <w:hideMark/>
          </w:tcPr>
          <w:p w14:paraId="204C756B" w14:textId="77777777" w:rsidR="00F72778" w:rsidRPr="00305A9F" w:rsidRDefault="00F72778" w:rsidP="00305A9F">
            <w:pPr>
              <w:spacing w:before="0" w:after="0" w:line="240" w:lineRule="auto"/>
              <w:rPr>
                <w:rFonts w:asciiTheme="minorBidi" w:hAnsiTheme="minorBidi"/>
                <w:sz w:val="18"/>
                <w:szCs w:val="18"/>
              </w:rPr>
            </w:pPr>
          </w:p>
        </w:tc>
        <w:tc>
          <w:tcPr>
            <w:tcW w:w="812" w:type="dxa"/>
            <w:noWrap/>
            <w:vAlign w:val="center"/>
            <w:hideMark/>
          </w:tcPr>
          <w:p w14:paraId="30414777" w14:textId="77777777" w:rsidR="00F72778" w:rsidRPr="00305A9F" w:rsidRDefault="00F72778" w:rsidP="00305A9F">
            <w:pPr>
              <w:spacing w:before="0" w:after="0" w:line="240" w:lineRule="auto"/>
              <w:rPr>
                <w:rFonts w:asciiTheme="minorBidi" w:hAnsiTheme="minorBidi"/>
                <w:sz w:val="18"/>
                <w:szCs w:val="18"/>
              </w:rPr>
            </w:pPr>
          </w:p>
        </w:tc>
      </w:tr>
      <w:tr w:rsidR="00F72778" w:rsidRPr="00305A9F" w14:paraId="48ECB0CD" w14:textId="77777777" w:rsidTr="00883253">
        <w:trPr>
          <w:trHeight w:val="380"/>
        </w:trPr>
        <w:tc>
          <w:tcPr>
            <w:tcW w:w="1428" w:type="dxa"/>
            <w:noWrap/>
            <w:vAlign w:val="center"/>
            <w:hideMark/>
          </w:tcPr>
          <w:p w14:paraId="0CE143FF"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Tallinn</w:t>
            </w:r>
          </w:p>
        </w:tc>
        <w:tc>
          <w:tcPr>
            <w:tcW w:w="781" w:type="dxa"/>
            <w:noWrap/>
            <w:vAlign w:val="center"/>
            <w:hideMark/>
          </w:tcPr>
          <w:p w14:paraId="38FA41B6" w14:textId="47DDE56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84</w:t>
            </w:r>
          </w:p>
        </w:tc>
        <w:tc>
          <w:tcPr>
            <w:tcW w:w="781" w:type="dxa"/>
            <w:noWrap/>
            <w:vAlign w:val="center"/>
            <w:hideMark/>
          </w:tcPr>
          <w:p w14:paraId="73B7C62B" w14:textId="5007802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96</w:t>
            </w:r>
          </w:p>
        </w:tc>
        <w:tc>
          <w:tcPr>
            <w:tcW w:w="781" w:type="dxa"/>
            <w:noWrap/>
            <w:vAlign w:val="center"/>
            <w:hideMark/>
          </w:tcPr>
          <w:p w14:paraId="6C3A64C4" w14:textId="32B0E579"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08</w:t>
            </w:r>
          </w:p>
        </w:tc>
        <w:tc>
          <w:tcPr>
            <w:tcW w:w="795" w:type="dxa"/>
            <w:noWrap/>
            <w:vAlign w:val="center"/>
            <w:hideMark/>
          </w:tcPr>
          <w:p w14:paraId="1738AADE" w14:textId="4E3C0FF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88</w:t>
            </w:r>
          </w:p>
        </w:tc>
        <w:tc>
          <w:tcPr>
            <w:tcW w:w="795" w:type="dxa"/>
            <w:noWrap/>
            <w:vAlign w:val="center"/>
            <w:hideMark/>
          </w:tcPr>
          <w:p w14:paraId="73FFBD45" w14:textId="3DEE523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93</w:t>
            </w:r>
          </w:p>
        </w:tc>
        <w:tc>
          <w:tcPr>
            <w:tcW w:w="304" w:type="dxa"/>
            <w:noWrap/>
            <w:vAlign w:val="center"/>
            <w:hideMark/>
          </w:tcPr>
          <w:p w14:paraId="350CE9DE"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4B74AF68" w14:textId="7707726D"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74</w:t>
            </w:r>
          </w:p>
        </w:tc>
        <w:tc>
          <w:tcPr>
            <w:tcW w:w="900" w:type="dxa"/>
            <w:noWrap/>
            <w:vAlign w:val="center"/>
            <w:hideMark/>
          </w:tcPr>
          <w:p w14:paraId="567A06BE" w14:textId="51516EC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3</w:t>
            </w:r>
            <w:r w:rsidR="009402A5">
              <w:rPr>
                <w:rFonts w:asciiTheme="minorBidi" w:hAnsiTheme="minorBidi"/>
                <w:color w:val="000000"/>
                <w:sz w:val="18"/>
                <w:szCs w:val="18"/>
              </w:rPr>
              <w:t>,</w:t>
            </w:r>
            <w:r w:rsidRPr="00305A9F">
              <w:rPr>
                <w:rFonts w:asciiTheme="minorBidi" w:hAnsiTheme="minorBidi"/>
                <w:color w:val="000000"/>
                <w:sz w:val="18"/>
                <w:szCs w:val="18"/>
              </w:rPr>
              <w:t>09</w:t>
            </w:r>
          </w:p>
        </w:tc>
        <w:tc>
          <w:tcPr>
            <w:tcW w:w="720" w:type="dxa"/>
            <w:gridSpan w:val="2"/>
            <w:noWrap/>
            <w:vAlign w:val="center"/>
            <w:hideMark/>
          </w:tcPr>
          <w:p w14:paraId="22617853" w14:textId="4F66A9EE"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3</w:t>
            </w:r>
            <w:r w:rsidR="009402A5">
              <w:rPr>
                <w:rFonts w:asciiTheme="minorBidi" w:hAnsiTheme="minorBidi"/>
                <w:color w:val="000000"/>
                <w:sz w:val="18"/>
                <w:szCs w:val="18"/>
              </w:rPr>
              <w:t>,</w:t>
            </w:r>
            <w:r w:rsidRPr="00305A9F">
              <w:rPr>
                <w:rFonts w:asciiTheme="minorBidi" w:hAnsiTheme="minorBidi"/>
                <w:color w:val="000000"/>
                <w:sz w:val="18"/>
                <w:szCs w:val="18"/>
              </w:rPr>
              <w:t>74</w:t>
            </w:r>
          </w:p>
        </w:tc>
        <w:tc>
          <w:tcPr>
            <w:tcW w:w="720" w:type="dxa"/>
            <w:noWrap/>
            <w:vAlign w:val="center"/>
            <w:hideMark/>
          </w:tcPr>
          <w:p w14:paraId="1051BEB4" w14:textId="6C59167B"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3</w:t>
            </w:r>
            <w:r w:rsidR="009402A5">
              <w:rPr>
                <w:rFonts w:asciiTheme="minorBidi" w:hAnsiTheme="minorBidi"/>
                <w:color w:val="000000"/>
                <w:sz w:val="18"/>
                <w:szCs w:val="18"/>
              </w:rPr>
              <w:t>,</w:t>
            </w:r>
            <w:r w:rsidRPr="00305A9F">
              <w:rPr>
                <w:rFonts w:asciiTheme="minorBidi" w:hAnsiTheme="minorBidi"/>
                <w:color w:val="000000"/>
                <w:sz w:val="18"/>
                <w:szCs w:val="18"/>
              </w:rPr>
              <w:t>37</w:t>
            </w:r>
          </w:p>
        </w:tc>
        <w:tc>
          <w:tcPr>
            <w:tcW w:w="812" w:type="dxa"/>
            <w:noWrap/>
            <w:vAlign w:val="center"/>
            <w:hideMark/>
          </w:tcPr>
          <w:p w14:paraId="2B0DBBDC" w14:textId="60F01447"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3</w:t>
            </w:r>
            <w:r w:rsidR="009402A5">
              <w:rPr>
                <w:rFonts w:asciiTheme="minorBidi" w:hAnsiTheme="minorBidi"/>
                <w:color w:val="000000"/>
                <w:sz w:val="18"/>
                <w:szCs w:val="18"/>
              </w:rPr>
              <w:t>,</w:t>
            </w:r>
            <w:r w:rsidRPr="00305A9F">
              <w:rPr>
                <w:rFonts w:asciiTheme="minorBidi" w:hAnsiTheme="minorBidi"/>
                <w:color w:val="000000"/>
                <w:sz w:val="18"/>
                <w:szCs w:val="18"/>
              </w:rPr>
              <w:t>11</w:t>
            </w:r>
          </w:p>
        </w:tc>
      </w:tr>
      <w:tr w:rsidR="00F72778" w:rsidRPr="00305A9F" w14:paraId="46D09296" w14:textId="77777777" w:rsidTr="00883253">
        <w:trPr>
          <w:trHeight w:val="380"/>
        </w:trPr>
        <w:tc>
          <w:tcPr>
            <w:tcW w:w="1428" w:type="dxa"/>
            <w:noWrap/>
            <w:vAlign w:val="center"/>
            <w:hideMark/>
          </w:tcPr>
          <w:p w14:paraId="3B47860F"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Tartu linn</w:t>
            </w:r>
          </w:p>
        </w:tc>
        <w:tc>
          <w:tcPr>
            <w:tcW w:w="781" w:type="dxa"/>
            <w:noWrap/>
            <w:vAlign w:val="center"/>
            <w:hideMark/>
          </w:tcPr>
          <w:p w14:paraId="41EEC245" w14:textId="3B9B1AAE"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58</w:t>
            </w:r>
          </w:p>
        </w:tc>
        <w:tc>
          <w:tcPr>
            <w:tcW w:w="781" w:type="dxa"/>
            <w:noWrap/>
            <w:vAlign w:val="center"/>
            <w:hideMark/>
          </w:tcPr>
          <w:p w14:paraId="7F9F9C37" w14:textId="7500FFE4"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56</w:t>
            </w:r>
          </w:p>
        </w:tc>
        <w:tc>
          <w:tcPr>
            <w:tcW w:w="781" w:type="dxa"/>
            <w:noWrap/>
            <w:vAlign w:val="center"/>
            <w:hideMark/>
          </w:tcPr>
          <w:p w14:paraId="2938F14D" w14:textId="55396AB0"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61</w:t>
            </w:r>
          </w:p>
        </w:tc>
        <w:tc>
          <w:tcPr>
            <w:tcW w:w="795" w:type="dxa"/>
            <w:noWrap/>
            <w:vAlign w:val="center"/>
            <w:hideMark/>
          </w:tcPr>
          <w:p w14:paraId="088DF29D" w14:textId="31081281"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56</w:t>
            </w:r>
          </w:p>
        </w:tc>
        <w:tc>
          <w:tcPr>
            <w:tcW w:w="795" w:type="dxa"/>
            <w:noWrap/>
            <w:vAlign w:val="center"/>
            <w:hideMark/>
          </w:tcPr>
          <w:p w14:paraId="48A12A21" w14:textId="1F72016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59</w:t>
            </w:r>
          </w:p>
        </w:tc>
        <w:tc>
          <w:tcPr>
            <w:tcW w:w="304" w:type="dxa"/>
            <w:noWrap/>
            <w:vAlign w:val="center"/>
            <w:hideMark/>
          </w:tcPr>
          <w:p w14:paraId="69DA1D8F"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6FACF487" w14:textId="225B89C1"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07</w:t>
            </w:r>
          </w:p>
        </w:tc>
        <w:tc>
          <w:tcPr>
            <w:tcW w:w="900" w:type="dxa"/>
            <w:noWrap/>
            <w:vAlign w:val="center"/>
            <w:hideMark/>
          </w:tcPr>
          <w:p w14:paraId="592DC95D" w14:textId="6E69694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07</w:t>
            </w:r>
          </w:p>
        </w:tc>
        <w:tc>
          <w:tcPr>
            <w:tcW w:w="720" w:type="dxa"/>
            <w:gridSpan w:val="2"/>
            <w:noWrap/>
            <w:vAlign w:val="center"/>
            <w:hideMark/>
          </w:tcPr>
          <w:p w14:paraId="4C92EB65" w14:textId="6A58F87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11</w:t>
            </w:r>
          </w:p>
        </w:tc>
        <w:tc>
          <w:tcPr>
            <w:tcW w:w="720" w:type="dxa"/>
            <w:noWrap/>
            <w:vAlign w:val="center"/>
            <w:hideMark/>
          </w:tcPr>
          <w:p w14:paraId="3B5D7023" w14:textId="2387738C"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03</w:t>
            </w:r>
          </w:p>
        </w:tc>
        <w:tc>
          <w:tcPr>
            <w:tcW w:w="812" w:type="dxa"/>
            <w:noWrap/>
            <w:vAlign w:val="center"/>
            <w:hideMark/>
          </w:tcPr>
          <w:p w14:paraId="0AA3BE84" w14:textId="29BD66A8"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97</w:t>
            </w:r>
          </w:p>
        </w:tc>
      </w:tr>
      <w:tr w:rsidR="00F72778" w:rsidRPr="00305A9F" w14:paraId="056FCBA3" w14:textId="77777777" w:rsidTr="00883253">
        <w:trPr>
          <w:trHeight w:val="380"/>
        </w:trPr>
        <w:tc>
          <w:tcPr>
            <w:tcW w:w="1428" w:type="dxa"/>
            <w:noWrap/>
            <w:vAlign w:val="center"/>
            <w:hideMark/>
          </w:tcPr>
          <w:p w14:paraId="4A946D04" w14:textId="77777777" w:rsidR="00F72778" w:rsidRPr="00305A9F" w:rsidRDefault="00F72778" w:rsidP="00305A9F">
            <w:pPr>
              <w:spacing w:before="0" w:after="0" w:line="240" w:lineRule="auto"/>
              <w:rPr>
                <w:rFonts w:asciiTheme="minorBidi" w:hAnsiTheme="minorBidi"/>
                <w:b/>
                <w:color w:val="000000"/>
                <w:sz w:val="18"/>
                <w:szCs w:val="18"/>
              </w:rPr>
            </w:pPr>
            <w:r w:rsidRPr="00305A9F">
              <w:rPr>
                <w:rFonts w:asciiTheme="minorBidi" w:hAnsiTheme="minorBidi"/>
                <w:b/>
                <w:color w:val="000000"/>
                <w:sz w:val="18"/>
                <w:szCs w:val="18"/>
              </w:rPr>
              <w:t>Pärnu linn</w:t>
            </w:r>
          </w:p>
        </w:tc>
        <w:tc>
          <w:tcPr>
            <w:tcW w:w="781" w:type="dxa"/>
            <w:noWrap/>
            <w:vAlign w:val="center"/>
            <w:hideMark/>
          </w:tcPr>
          <w:p w14:paraId="3B271B34" w14:textId="4CF1AE3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11</w:t>
            </w:r>
          </w:p>
        </w:tc>
        <w:tc>
          <w:tcPr>
            <w:tcW w:w="781" w:type="dxa"/>
            <w:noWrap/>
            <w:vAlign w:val="center"/>
            <w:hideMark/>
          </w:tcPr>
          <w:p w14:paraId="664B712E" w14:textId="2FD2949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91</w:t>
            </w:r>
          </w:p>
        </w:tc>
        <w:tc>
          <w:tcPr>
            <w:tcW w:w="781" w:type="dxa"/>
            <w:noWrap/>
            <w:vAlign w:val="center"/>
            <w:hideMark/>
          </w:tcPr>
          <w:p w14:paraId="7741E300" w14:textId="1EF10C64"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88</w:t>
            </w:r>
          </w:p>
        </w:tc>
        <w:tc>
          <w:tcPr>
            <w:tcW w:w="795" w:type="dxa"/>
            <w:noWrap/>
            <w:vAlign w:val="center"/>
            <w:hideMark/>
          </w:tcPr>
          <w:p w14:paraId="35AE696B" w14:textId="454CEFC4"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1</w:t>
            </w:r>
            <w:r w:rsidR="009402A5">
              <w:rPr>
                <w:rFonts w:asciiTheme="minorBidi" w:hAnsiTheme="minorBidi"/>
                <w:color w:val="000000"/>
                <w:sz w:val="18"/>
                <w:szCs w:val="18"/>
              </w:rPr>
              <w:t>,</w:t>
            </w:r>
            <w:r w:rsidRPr="00305A9F">
              <w:rPr>
                <w:rFonts w:asciiTheme="minorBidi" w:hAnsiTheme="minorBidi"/>
                <w:color w:val="000000"/>
                <w:sz w:val="18"/>
                <w:szCs w:val="18"/>
              </w:rPr>
              <w:t>99</w:t>
            </w:r>
          </w:p>
        </w:tc>
        <w:tc>
          <w:tcPr>
            <w:tcW w:w="795" w:type="dxa"/>
            <w:noWrap/>
            <w:vAlign w:val="center"/>
            <w:hideMark/>
          </w:tcPr>
          <w:p w14:paraId="7F0EEF6E" w14:textId="45E0C638"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06</w:t>
            </w:r>
          </w:p>
        </w:tc>
        <w:tc>
          <w:tcPr>
            <w:tcW w:w="304" w:type="dxa"/>
            <w:noWrap/>
            <w:vAlign w:val="center"/>
            <w:hideMark/>
          </w:tcPr>
          <w:p w14:paraId="7B044CB0" w14:textId="77777777" w:rsidR="00F72778" w:rsidRPr="00305A9F" w:rsidRDefault="00F72778" w:rsidP="00305A9F">
            <w:pPr>
              <w:spacing w:before="0" w:after="0" w:line="240" w:lineRule="auto"/>
              <w:jc w:val="right"/>
              <w:rPr>
                <w:rFonts w:asciiTheme="minorBidi" w:hAnsiTheme="minorBidi"/>
                <w:color w:val="000000"/>
                <w:sz w:val="18"/>
                <w:szCs w:val="18"/>
              </w:rPr>
            </w:pPr>
          </w:p>
        </w:tc>
        <w:tc>
          <w:tcPr>
            <w:tcW w:w="810" w:type="dxa"/>
            <w:noWrap/>
            <w:vAlign w:val="center"/>
            <w:hideMark/>
          </w:tcPr>
          <w:p w14:paraId="6EFEF458" w14:textId="219AA4E8"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12</w:t>
            </w:r>
          </w:p>
        </w:tc>
        <w:tc>
          <w:tcPr>
            <w:tcW w:w="900" w:type="dxa"/>
            <w:noWrap/>
            <w:vAlign w:val="center"/>
            <w:hideMark/>
          </w:tcPr>
          <w:p w14:paraId="45F0D046" w14:textId="710F5D75"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03</w:t>
            </w:r>
          </w:p>
        </w:tc>
        <w:tc>
          <w:tcPr>
            <w:tcW w:w="720" w:type="dxa"/>
            <w:gridSpan w:val="2"/>
            <w:noWrap/>
            <w:vAlign w:val="center"/>
            <w:hideMark/>
          </w:tcPr>
          <w:p w14:paraId="4272F475" w14:textId="78E9CF62"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01</w:t>
            </w:r>
          </w:p>
        </w:tc>
        <w:tc>
          <w:tcPr>
            <w:tcW w:w="720" w:type="dxa"/>
            <w:noWrap/>
            <w:vAlign w:val="center"/>
            <w:hideMark/>
          </w:tcPr>
          <w:p w14:paraId="4F18FCFA" w14:textId="0D531954"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17</w:t>
            </w:r>
          </w:p>
        </w:tc>
        <w:tc>
          <w:tcPr>
            <w:tcW w:w="812" w:type="dxa"/>
            <w:noWrap/>
            <w:vAlign w:val="center"/>
            <w:hideMark/>
          </w:tcPr>
          <w:p w14:paraId="0CADDFCF" w14:textId="2D504C66" w:rsidR="00F72778" w:rsidRPr="00305A9F" w:rsidRDefault="00F72778" w:rsidP="00305A9F">
            <w:pPr>
              <w:spacing w:before="0" w:after="0" w:line="240" w:lineRule="auto"/>
              <w:jc w:val="right"/>
              <w:rPr>
                <w:rFonts w:asciiTheme="minorBidi" w:hAnsiTheme="minorBidi"/>
                <w:color w:val="000000"/>
                <w:sz w:val="18"/>
                <w:szCs w:val="18"/>
              </w:rPr>
            </w:pPr>
            <w:r w:rsidRPr="00305A9F">
              <w:rPr>
                <w:rFonts w:asciiTheme="minorBidi" w:hAnsiTheme="minorBidi"/>
                <w:color w:val="000000"/>
                <w:sz w:val="18"/>
                <w:szCs w:val="18"/>
              </w:rPr>
              <w:t>2</w:t>
            </w:r>
            <w:r w:rsidR="009402A5">
              <w:rPr>
                <w:rFonts w:asciiTheme="minorBidi" w:hAnsiTheme="minorBidi"/>
                <w:color w:val="000000"/>
                <w:sz w:val="18"/>
                <w:szCs w:val="18"/>
              </w:rPr>
              <w:t>,</w:t>
            </w:r>
            <w:r w:rsidRPr="00305A9F">
              <w:rPr>
                <w:rFonts w:asciiTheme="minorBidi" w:hAnsiTheme="minorBidi"/>
                <w:color w:val="000000"/>
                <w:sz w:val="18"/>
                <w:szCs w:val="18"/>
              </w:rPr>
              <w:t>18</w:t>
            </w:r>
          </w:p>
        </w:tc>
      </w:tr>
    </w:tbl>
    <w:p w14:paraId="4DF87159" w14:textId="7E080115" w:rsidR="00F72778" w:rsidRPr="00E14EBC" w:rsidRDefault="00F72778" w:rsidP="00662328">
      <w:pPr>
        <w:pStyle w:val="BottomCaption"/>
      </w:pPr>
      <w:r w:rsidRPr="00E14EBC">
        <w:t>Allikas: Eurostat</w:t>
      </w:r>
      <w:r>
        <w:t>, SA</w:t>
      </w:r>
    </w:p>
    <w:p w14:paraId="7AB7EA91" w14:textId="3F07D7DE" w:rsidR="00F72778" w:rsidRPr="00E14EBC" w:rsidRDefault="00F72778" w:rsidP="4A7E2F16">
      <w:r>
        <w:br w:type="page"/>
      </w:r>
    </w:p>
    <w:p w14:paraId="26EF3536" w14:textId="01721E5B" w:rsidR="00F72778" w:rsidRPr="00E14EBC" w:rsidRDefault="4A7E2F16" w:rsidP="00F72778">
      <w:pPr>
        <w:pStyle w:val="Caption"/>
      </w:pPr>
      <w:r>
        <w:lastRenderedPageBreak/>
        <w:t>Tabel 34: Ööbimiste arv majutuse tüübi alusel lühiajalise üüri majutuskohtades, Eesti, 2019–2023</w:t>
      </w:r>
    </w:p>
    <w:tbl>
      <w:tblPr>
        <w:tblW w:w="12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1540"/>
        <w:gridCol w:w="1540"/>
        <w:gridCol w:w="1540"/>
        <w:gridCol w:w="1540"/>
        <w:gridCol w:w="1540"/>
        <w:gridCol w:w="1540"/>
        <w:gridCol w:w="1300"/>
      </w:tblGrid>
      <w:tr w:rsidR="00F72778" w:rsidRPr="00DB5CE6" w14:paraId="5F30E187" w14:textId="77777777" w:rsidTr="00B54A22">
        <w:trPr>
          <w:trHeight w:val="300"/>
        </w:trPr>
        <w:tc>
          <w:tcPr>
            <w:tcW w:w="2325" w:type="dxa"/>
            <w:noWrap/>
            <w:vAlign w:val="center"/>
            <w:hideMark/>
          </w:tcPr>
          <w:p w14:paraId="1719F72A" w14:textId="77777777" w:rsidR="00F72778" w:rsidRPr="00DB5CE6" w:rsidRDefault="00F72778" w:rsidP="00DB5CE6">
            <w:pPr>
              <w:spacing w:before="0" w:after="0" w:line="240" w:lineRule="auto"/>
              <w:rPr>
                <w:rFonts w:asciiTheme="minorBidi" w:hAnsiTheme="minorBidi"/>
                <w:sz w:val="18"/>
                <w:szCs w:val="18"/>
              </w:rPr>
            </w:pPr>
          </w:p>
        </w:tc>
        <w:tc>
          <w:tcPr>
            <w:tcW w:w="1540" w:type="dxa"/>
            <w:noWrap/>
            <w:vAlign w:val="center"/>
            <w:hideMark/>
          </w:tcPr>
          <w:p w14:paraId="5A2BD169" w14:textId="77777777" w:rsidR="00F72778" w:rsidRPr="00DB5CE6" w:rsidRDefault="00F72778" w:rsidP="00DB5CE6">
            <w:pPr>
              <w:spacing w:before="0" w:after="0" w:line="240" w:lineRule="auto"/>
              <w:jc w:val="center"/>
              <w:rPr>
                <w:rFonts w:asciiTheme="minorBidi" w:hAnsiTheme="minorBidi"/>
                <w:b/>
                <w:color w:val="000000"/>
                <w:sz w:val="18"/>
                <w:szCs w:val="18"/>
              </w:rPr>
            </w:pPr>
            <w:r w:rsidRPr="00DB5CE6">
              <w:rPr>
                <w:rFonts w:asciiTheme="minorBidi" w:hAnsiTheme="minorBidi"/>
                <w:b/>
                <w:color w:val="000000"/>
                <w:sz w:val="18"/>
                <w:szCs w:val="18"/>
              </w:rPr>
              <w:t>2018</w:t>
            </w:r>
          </w:p>
        </w:tc>
        <w:tc>
          <w:tcPr>
            <w:tcW w:w="1540" w:type="dxa"/>
            <w:noWrap/>
            <w:vAlign w:val="center"/>
            <w:hideMark/>
          </w:tcPr>
          <w:p w14:paraId="5E0D8A1A" w14:textId="77777777" w:rsidR="00F72778" w:rsidRPr="00DB5CE6" w:rsidRDefault="00F72778" w:rsidP="00DB5CE6">
            <w:pPr>
              <w:spacing w:before="0" w:after="0" w:line="240" w:lineRule="auto"/>
              <w:jc w:val="center"/>
              <w:rPr>
                <w:rFonts w:asciiTheme="minorBidi" w:hAnsiTheme="minorBidi"/>
                <w:b/>
                <w:color w:val="000000"/>
                <w:sz w:val="18"/>
                <w:szCs w:val="18"/>
              </w:rPr>
            </w:pPr>
            <w:r w:rsidRPr="00DB5CE6">
              <w:rPr>
                <w:rFonts w:asciiTheme="minorBidi" w:hAnsiTheme="minorBidi"/>
                <w:b/>
                <w:color w:val="000000"/>
                <w:sz w:val="18"/>
                <w:szCs w:val="18"/>
              </w:rPr>
              <w:t>2019</w:t>
            </w:r>
          </w:p>
        </w:tc>
        <w:tc>
          <w:tcPr>
            <w:tcW w:w="1540" w:type="dxa"/>
            <w:noWrap/>
            <w:vAlign w:val="center"/>
            <w:hideMark/>
          </w:tcPr>
          <w:p w14:paraId="4877E2EF" w14:textId="77777777" w:rsidR="00F72778" w:rsidRPr="00DB5CE6" w:rsidRDefault="00F72778" w:rsidP="00DB5CE6">
            <w:pPr>
              <w:spacing w:before="0" w:after="0" w:line="240" w:lineRule="auto"/>
              <w:jc w:val="center"/>
              <w:rPr>
                <w:rFonts w:asciiTheme="minorBidi" w:hAnsiTheme="minorBidi"/>
                <w:b/>
                <w:color w:val="000000"/>
                <w:sz w:val="18"/>
                <w:szCs w:val="18"/>
              </w:rPr>
            </w:pPr>
            <w:r w:rsidRPr="00DB5CE6">
              <w:rPr>
                <w:rFonts w:asciiTheme="minorBidi" w:hAnsiTheme="minorBidi"/>
                <w:b/>
                <w:color w:val="000000"/>
                <w:sz w:val="18"/>
                <w:szCs w:val="18"/>
              </w:rPr>
              <w:t>2020</w:t>
            </w:r>
          </w:p>
        </w:tc>
        <w:tc>
          <w:tcPr>
            <w:tcW w:w="1540" w:type="dxa"/>
            <w:noWrap/>
            <w:vAlign w:val="center"/>
            <w:hideMark/>
          </w:tcPr>
          <w:p w14:paraId="3A49BC59" w14:textId="77777777" w:rsidR="00F72778" w:rsidRPr="00DB5CE6" w:rsidRDefault="00F72778" w:rsidP="00DB5CE6">
            <w:pPr>
              <w:spacing w:before="0" w:after="0" w:line="240" w:lineRule="auto"/>
              <w:jc w:val="center"/>
              <w:rPr>
                <w:rFonts w:asciiTheme="minorBidi" w:hAnsiTheme="minorBidi"/>
                <w:b/>
                <w:color w:val="000000"/>
                <w:sz w:val="18"/>
                <w:szCs w:val="18"/>
              </w:rPr>
            </w:pPr>
            <w:r w:rsidRPr="00DB5CE6">
              <w:rPr>
                <w:rFonts w:asciiTheme="minorBidi" w:hAnsiTheme="minorBidi"/>
                <w:b/>
                <w:color w:val="000000"/>
                <w:sz w:val="18"/>
                <w:szCs w:val="18"/>
              </w:rPr>
              <w:t>2021</w:t>
            </w:r>
          </w:p>
        </w:tc>
        <w:tc>
          <w:tcPr>
            <w:tcW w:w="1540" w:type="dxa"/>
            <w:noWrap/>
            <w:vAlign w:val="center"/>
            <w:hideMark/>
          </w:tcPr>
          <w:p w14:paraId="39CB6DC9" w14:textId="77777777" w:rsidR="00F72778" w:rsidRPr="00DB5CE6" w:rsidRDefault="00F72778" w:rsidP="00DB5CE6">
            <w:pPr>
              <w:spacing w:before="0" w:after="0" w:line="240" w:lineRule="auto"/>
              <w:jc w:val="center"/>
              <w:rPr>
                <w:rFonts w:asciiTheme="minorBidi" w:hAnsiTheme="minorBidi"/>
                <w:b/>
                <w:color w:val="000000"/>
                <w:sz w:val="18"/>
                <w:szCs w:val="18"/>
              </w:rPr>
            </w:pPr>
            <w:r w:rsidRPr="00DB5CE6">
              <w:rPr>
                <w:rFonts w:asciiTheme="minorBidi" w:hAnsiTheme="minorBidi"/>
                <w:b/>
                <w:color w:val="000000"/>
                <w:sz w:val="18"/>
                <w:szCs w:val="18"/>
              </w:rPr>
              <w:t>2022</w:t>
            </w:r>
          </w:p>
        </w:tc>
        <w:tc>
          <w:tcPr>
            <w:tcW w:w="1540" w:type="dxa"/>
            <w:noWrap/>
            <w:vAlign w:val="center"/>
            <w:hideMark/>
          </w:tcPr>
          <w:p w14:paraId="4C3F8E7D" w14:textId="77777777" w:rsidR="00F72778" w:rsidRPr="00DB5CE6" w:rsidRDefault="00F72778" w:rsidP="00DB5CE6">
            <w:pPr>
              <w:spacing w:before="0" w:after="0" w:line="240" w:lineRule="auto"/>
              <w:jc w:val="center"/>
              <w:rPr>
                <w:rFonts w:asciiTheme="minorBidi" w:hAnsiTheme="minorBidi"/>
                <w:b/>
                <w:color w:val="000000"/>
                <w:sz w:val="18"/>
                <w:szCs w:val="18"/>
              </w:rPr>
            </w:pPr>
            <w:r w:rsidRPr="00DB5CE6">
              <w:rPr>
                <w:rFonts w:asciiTheme="minorBidi" w:hAnsiTheme="minorBidi"/>
                <w:b/>
                <w:color w:val="000000"/>
                <w:sz w:val="18"/>
                <w:szCs w:val="18"/>
              </w:rPr>
              <w:t>2023</w:t>
            </w:r>
          </w:p>
        </w:tc>
        <w:tc>
          <w:tcPr>
            <w:tcW w:w="1300" w:type="dxa"/>
            <w:shd w:val="clear" w:color="auto" w:fill="E5E5E5" w:themeFill="background2" w:themeFillShade="E6"/>
            <w:noWrap/>
            <w:vAlign w:val="center"/>
            <w:hideMark/>
          </w:tcPr>
          <w:p w14:paraId="3D4A1C6A" w14:textId="77777777" w:rsidR="00F72778" w:rsidRPr="00DB5CE6" w:rsidRDefault="00F72778" w:rsidP="00DB5CE6">
            <w:pPr>
              <w:spacing w:before="0" w:after="0" w:line="240" w:lineRule="auto"/>
              <w:jc w:val="center"/>
              <w:rPr>
                <w:rFonts w:asciiTheme="minorBidi" w:hAnsiTheme="minorBidi"/>
                <w:b/>
                <w:color w:val="000000"/>
                <w:sz w:val="18"/>
                <w:szCs w:val="18"/>
              </w:rPr>
            </w:pPr>
            <w:r w:rsidRPr="00DB5CE6">
              <w:rPr>
                <w:rFonts w:asciiTheme="minorBidi" w:hAnsiTheme="minorBidi"/>
                <w:b/>
                <w:color w:val="000000"/>
                <w:sz w:val="18"/>
                <w:szCs w:val="18"/>
              </w:rPr>
              <w:t>osakaal (2023)</w:t>
            </w:r>
          </w:p>
        </w:tc>
      </w:tr>
      <w:tr w:rsidR="00F72778" w:rsidRPr="00DB5CE6" w14:paraId="798F712D" w14:textId="77777777" w:rsidTr="00B54A22">
        <w:trPr>
          <w:trHeight w:val="300"/>
        </w:trPr>
        <w:tc>
          <w:tcPr>
            <w:tcW w:w="2325" w:type="dxa"/>
            <w:noWrap/>
            <w:vAlign w:val="center"/>
            <w:hideMark/>
          </w:tcPr>
          <w:p w14:paraId="7148DBC5" w14:textId="77777777" w:rsidR="00F72778" w:rsidRPr="00DB5CE6" w:rsidRDefault="00F72778" w:rsidP="00DB5CE6">
            <w:pPr>
              <w:spacing w:before="0" w:after="0" w:line="240" w:lineRule="auto"/>
              <w:rPr>
                <w:rFonts w:asciiTheme="minorBidi" w:hAnsiTheme="minorBidi"/>
                <w:b/>
                <w:color w:val="000000"/>
                <w:sz w:val="18"/>
                <w:szCs w:val="18"/>
              </w:rPr>
            </w:pPr>
            <w:r w:rsidRPr="00DB5CE6">
              <w:rPr>
                <w:rFonts w:asciiTheme="minorBidi" w:hAnsiTheme="minorBidi"/>
                <w:b/>
                <w:color w:val="000000"/>
                <w:sz w:val="18"/>
                <w:szCs w:val="18"/>
              </w:rPr>
              <w:t>kogu eluase</w:t>
            </w:r>
          </w:p>
        </w:tc>
        <w:tc>
          <w:tcPr>
            <w:tcW w:w="1540" w:type="dxa"/>
            <w:noWrap/>
            <w:vAlign w:val="center"/>
            <w:hideMark/>
          </w:tcPr>
          <w:p w14:paraId="13240BB5" w14:textId="26F9AFC7"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1</w:t>
            </w:r>
            <w:r w:rsidR="009402A5">
              <w:rPr>
                <w:rFonts w:asciiTheme="minorBidi" w:hAnsiTheme="minorBidi"/>
                <w:sz w:val="18"/>
                <w:szCs w:val="18"/>
              </w:rPr>
              <w:t xml:space="preserve"> </w:t>
            </w:r>
            <w:r w:rsidRPr="00DB5CE6">
              <w:rPr>
                <w:rFonts w:asciiTheme="minorBidi" w:hAnsiTheme="minorBidi"/>
                <w:sz w:val="18"/>
                <w:szCs w:val="18"/>
              </w:rPr>
              <w:t>239</w:t>
            </w:r>
            <w:r w:rsidR="009402A5">
              <w:rPr>
                <w:rFonts w:asciiTheme="minorBidi" w:hAnsiTheme="minorBidi"/>
                <w:sz w:val="18"/>
                <w:szCs w:val="18"/>
              </w:rPr>
              <w:t xml:space="preserve"> </w:t>
            </w:r>
            <w:r w:rsidRPr="00DB5CE6">
              <w:rPr>
                <w:rFonts w:asciiTheme="minorBidi" w:hAnsiTheme="minorBidi"/>
                <w:sz w:val="18"/>
                <w:szCs w:val="18"/>
              </w:rPr>
              <w:t>321</w:t>
            </w:r>
          </w:p>
        </w:tc>
        <w:tc>
          <w:tcPr>
            <w:tcW w:w="1540" w:type="dxa"/>
            <w:noWrap/>
            <w:vAlign w:val="center"/>
            <w:hideMark/>
          </w:tcPr>
          <w:p w14:paraId="68E1CB09" w14:textId="0D410332"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1</w:t>
            </w:r>
            <w:r w:rsidR="009402A5">
              <w:rPr>
                <w:rFonts w:asciiTheme="minorBidi" w:hAnsiTheme="minorBidi"/>
                <w:sz w:val="18"/>
                <w:szCs w:val="18"/>
              </w:rPr>
              <w:t xml:space="preserve"> </w:t>
            </w:r>
            <w:r w:rsidRPr="00DB5CE6">
              <w:rPr>
                <w:rFonts w:asciiTheme="minorBidi" w:hAnsiTheme="minorBidi"/>
                <w:sz w:val="18"/>
                <w:szCs w:val="18"/>
              </w:rPr>
              <w:t>483</w:t>
            </w:r>
            <w:r w:rsidR="009402A5">
              <w:rPr>
                <w:rFonts w:asciiTheme="minorBidi" w:hAnsiTheme="minorBidi"/>
                <w:sz w:val="18"/>
                <w:szCs w:val="18"/>
              </w:rPr>
              <w:t xml:space="preserve"> </w:t>
            </w:r>
            <w:r w:rsidRPr="00DB5CE6">
              <w:rPr>
                <w:rFonts w:asciiTheme="minorBidi" w:hAnsiTheme="minorBidi"/>
                <w:sz w:val="18"/>
                <w:szCs w:val="18"/>
              </w:rPr>
              <w:t>873</w:t>
            </w:r>
          </w:p>
        </w:tc>
        <w:tc>
          <w:tcPr>
            <w:tcW w:w="1540" w:type="dxa"/>
            <w:noWrap/>
            <w:vAlign w:val="center"/>
            <w:hideMark/>
          </w:tcPr>
          <w:p w14:paraId="3936FF85" w14:textId="13687FBF"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785</w:t>
            </w:r>
            <w:r w:rsidR="009402A5">
              <w:rPr>
                <w:rFonts w:asciiTheme="minorBidi" w:hAnsiTheme="minorBidi"/>
                <w:sz w:val="18"/>
                <w:szCs w:val="18"/>
              </w:rPr>
              <w:t xml:space="preserve"> </w:t>
            </w:r>
            <w:r w:rsidRPr="00DB5CE6">
              <w:rPr>
                <w:rFonts w:asciiTheme="minorBidi" w:hAnsiTheme="minorBidi"/>
                <w:sz w:val="18"/>
                <w:szCs w:val="18"/>
              </w:rPr>
              <w:t>469</w:t>
            </w:r>
          </w:p>
        </w:tc>
        <w:tc>
          <w:tcPr>
            <w:tcW w:w="1540" w:type="dxa"/>
            <w:noWrap/>
            <w:vAlign w:val="center"/>
            <w:hideMark/>
          </w:tcPr>
          <w:p w14:paraId="0DF576B3" w14:textId="412DF9CF"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827</w:t>
            </w:r>
            <w:r w:rsidR="009402A5">
              <w:rPr>
                <w:rFonts w:asciiTheme="minorBidi" w:hAnsiTheme="minorBidi"/>
                <w:sz w:val="18"/>
                <w:szCs w:val="18"/>
              </w:rPr>
              <w:t xml:space="preserve"> </w:t>
            </w:r>
            <w:r w:rsidRPr="00DB5CE6">
              <w:rPr>
                <w:rFonts w:asciiTheme="minorBidi" w:hAnsiTheme="minorBidi"/>
                <w:sz w:val="18"/>
                <w:szCs w:val="18"/>
              </w:rPr>
              <w:t>164</w:t>
            </w:r>
          </w:p>
        </w:tc>
        <w:tc>
          <w:tcPr>
            <w:tcW w:w="1540" w:type="dxa"/>
            <w:noWrap/>
            <w:vAlign w:val="center"/>
            <w:hideMark/>
          </w:tcPr>
          <w:p w14:paraId="1CD75B4A" w14:textId="319326DB"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1</w:t>
            </w:r>
            <w:r w:rsidR="009402A5">
              <w:rPr>
                <w:rFonts w:asciiTheme="minorBidi" w:hAnsiTheme="minorBidi"/>
                <w:sz w:val="18"/>
                <w:szCs w:val="18"/>
              </w:rPr>
              <w:t xml:space="preserve"> </w:t>
            </w:r>
            <w:r w:rsidRPr="00DB5CE6">
              <w:rPr>
                <w:rFonts w:asciiTheme="minorBidi" w:hAnsiTheme="minorBidi"/>
                <w:sz w:val="18"/>
                <w:szCs w:val="18"/>
              </w:rPr>
              <w:t>252</w:t>
            </w:r>
            <w:r w:rsidR="009402A5">
              <w:rPr>
                <w:rFonts w:asciiTheme="minorBidi" w:hAnsiTheme="minorBidi"/>
                <w:sz w:val="18"/>
                <w:szCs w:val="18"/>
              </w:rPr>
              <w:t xml:space="preserve"> </w:t>
            </w:r>
            <w:r w:rsidRPr="00DB5CE6">
              <w:rPr>
                <w:rFonts w:asciiTheme="minorBidi" w:hAnsiTheme="minorBidi"/>
                <w:sz w:val="18"/>
                <w:szCs w:val="18"/>
              </w:rPr>
              <w:t>788</w:t>
            </w:r>
          </w:p>
        </w:tc>
        <w:tc>
          <w:tcPr>
            <w:tcW w:w="1540" w:type="dxa"/>
            <w:noWrap/>
            <w:vAlign w:val="center"/>
            <w:hideMark/>
          </w:tcPr>
          <w:p w14:paraId="0CD5EA72" w14:textId="05D9F28F"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1</w:t>
            </w:r>
            <w:r w:rsidR="009402A5">
              <w:rPr>
                <w:rFonts w:asciiTheme="minorBidi" w:hAnsiTheme="minorBidi"/>
                <w:sz w:val="18"/>
                <w:szCs w:val="18"/>
              </w:rPr>
              <w:t xml:space="preserve"> </w:t>
            </w:r>
            <w:r w:rsidRPr="00DB5CE6">
              <w:rPr>
                <w:rFonts w:asciiTheme="minorBidi" w:hAnsiTheme="minorBidi"/>
                <w:sz w:val="18"/>
                <w:szCs w:val="18"/>
              </w:rPr>
              <w:t>455</w:t>
            </w:r>
            <w:r w:rsidR="009402A5">
              <w:rPr>
                <w:rFonts w:asciiTheme="minorBidi" w:hAnsiTheme="minorBidi"/>
                <w:sz w:val="18"/>
                <w:szCs w:val="18"/>
              </w:rPr>
              <w:t xml:space="preserve"> </w:t>
            </w:r>
            <w:r w:rsidRPr="00DB5CE6">
              <w:rPr>
                <w:rFonts w:asciiTheme="minorBidi" w:hAnsiTheme="minorBidi"/>
                <w:sz w:val="18"/>
                <w:szCs w:val="18"/>
              </w:rPr>
              <w:t>788</w:t>
            </w:r>
          </w:p>
        </w:tc>
        <w:tc>
          <w:tcPr>
            <w:tcW w:w="1300" w:type="dxa"/>
            <w:shd w:val="clear" w:color="auto" w:fill="E5E5E5" w:themeFill="background2" w:themeFillShade="E6"/>
            <w:noWrap/>
            <w:vAlign w:val="center"/>
            <w:hideMark/>
          </w:tcPr>
          <w:p w14:paraId="058FD29C" w14:textId="77777777" w:rsidR="00F72778" w:rsidRPr="00DB5CE6" w:rsidRDefault="00F72778" w:rsidP="00DB5CE6">
            <w:pPr>
              <w:spacing w:before="0" w:after="0" w:line="240" w:lineRule="auto"/>
              <w:jc w:val="right"/>
              <w:rPr>
                <w:rFonts w:asciiTheme="minorBidi" w:hAnsiTheme="minorBidi"/>
                <w:color w:val="000000"/>
                <w:sz w:val="18"/>
                <w:szCs w:val="18"/>
              </w:rPr>
            </w:pPr>
            <w:r w:rsidRPr="00DB5CE6">
              <w:rPr>
                <w:rFonts w:asciiTheme="minorBidi" w:hAnsiTheme="minorBidi"/>
                <w:color w:val="000000"/>
                <w:sz w:val="18"/>
                <w:szCs w:val="18"/>
              </w:rPr>
              <w:t>98%</w:t>
            </w:r>
          </w:p>
        </w:tc>
      </w:tr>
      <w:tr w:rsidR="00F72778" w:rsidRPr="00DB5CE6" w14:paraId="5B3CBDFC" w14:textId="77777777" w:rsidTr="00B54A22">
        <w:trPr>
          <w:trHeight w:val="300"/>
        </w:trPr>
        <w:tc>
          <w:tcPr>
            <w:tcW w:w="2325" w:type="dxa"/>
            <w:noWrap/>
            <w:vAlign w:val="center"/>
            <w:hideMark/>
          </w:tcPr>
          <w:p w14:paraId="0EF5C8A2" w14:textId="77777777" w:rsidR="00F72778" w:rsidRPr="00DB5CE6" w:rsidRDefault="00F72778" w:rsidP="00DB5CE6">
            <w:pPr>
              <w:spacing w:before="0" w:after="0" w:line="240" w:lineRule="auto"/>
              <w:rPr>
                <w:rFonts w:asciiTheme="minorBidi" w:hAnsiTheme="minorBidi"/>
                <w:b/>
                <w:color w:val="000000"/>
                <w:sz w:val="18"/>
                <w:szCs w:val="18"/>
              </w:rPr>
            </w:pPr>
            <w:r w:rsidRPr="00DB5CE6">
              <w:rPr>
                <w:rFonts w:asciiTheme="minorBidi" w:hAnsiTheme="minorBidi"/>
                <w:b/>
                <w:color w:val="000000"/>
                <w:sz w:val="18"/>
                <w:szCs w:val="18"/>
              </w:rPr>
              <w:t>jagatud eluase</w:t>
            </w:r>
          </w:p>
        </w:tc>
        <w:tc>
          <w:tcPr>
            <w:tcW w:w="1540" w:type="dxa"/>
            <w:noWrap/>
            <w:vAlign w:val="center"/>
            <w:hideMark/>
          </w:tcPr>
          <w:p w14:paraId="061E96F1" w14:textId="15CD5F4A"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40</w:t>
            </w:r>
            <w:r w:rsidR="009402A5">
              <w:rPr>
                <w:rFonts w:asciiTheme="minorBidi" w:hAnsiTheme="minorBidi"/>
                <w:sz w:val="18"/>
                <w:szCs w:val="18"/>
              </w:rPr>
              <w:t xml:space="preserve"> </w:t>
            </w:r>
            <w:r w:rsidRPr="00DB5CE6">
              <w:rPr>
                <w:rFonts w:asciiTheme="minorBidi" w:hAnsiTheme="minorBidi"/>
                <w:sz w:val="18"/>
                <w:szCs w:val="18"/>
              </w:rPr>
              <w:t>980</w:t>
            </w:r>
          </w:p>
        </w:tc>
        <w:tc>
          <w:tcPr>
            <w:tcW w:w="1540" w:type="dxa"/>
            <w:noWrap/>
            <w:vAlign w:val="center"/>
            <w:hideMark/>
          </w:tcPr>
          <w:p w14:paraId="5E9155D8" w14:textId="1A3187AE"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39</w:t>
            </w:r>
            <w:r w:rsidR="009402A5">
              <w:rPr>
                <w:rFonts w:asciiTheme="minorBidi" w:hAnsiTheme="minorBidi"/>
                <w:sz w:val="18"/>
                <w:szCs w:val="18"/>
              </w:rPr>
              <w:t xml:space="preserve"> </w:t>
            </w:r>
            <w:r w:rsidRPr="00DB5CE6">
              <w:rPr>
                <w:rFonts w:asciiTheme="minorBidi" w:hAnsiTheme="minorBidi"/>
                <w:sz w:val="18"/>
                <w:szCs w:val="18"/>
              </w:rPr>
              <w:t>465</w:t>
            </w:r>
          </w:p>
        </w:tc>
        <w:tc>
          <w:tcPr>
            <w:tcW w:w="1540" w:type="dxa"/>
            <w:noWrap/>
            <w:vAlign w:val="center"/>
            <w:hideMark/>
          </w:tcPr>
          <w:p w14:paraId="08972573" w14:textId="1811C8DE"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20</w:t>
            </w:r>
            <w:r w:rsidR="009402A5">
              <w:rPr>
                <w:rFonts w:asciiTheme="minorBidi" w:hAnsiTheme="minorBidi"/>
                <w:sz w:val="18"/>
                <w:szCs w:val="18"/>
              </w:rPr>
              <w:t xml:space="preserve"> </w:t>
            </w:r>
            <w:r w:rsidRPr="00DB5CE6">
              <w:rPr>
                <w:rFonts w:asciiTheme="minorBidi" w:hAnsiTheme="minorBidi"/>
                <w:sz w:val="18"/>
                <w:szCs w:val="18"/>
              </w:rPr>
              <w:t>622</w:t>
            </w:r>
          </w:p>
        </w:tc>
        <w:tc>
          <w:tcPr>
            <w:tcW w:w="1540" w:type="dxa"/>
            <w:noWrap/>
            <w:vAlign w:val="center"/>
            <w:hideMark/>
          </w:tcPr>
          <w:p w14:paraId="2984686C" w14:textId="0F911681"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20</w:t>
            </w:r>
            <w:r w:rsidR="009402A5">
              <w:rPr>
                <w:rFonts w:asciiTheme="minorBidi" w:hAnsiTheme="minorBidi"/>
                <w:sz w:val="18"/>
                <w:szCs w:val="18"/>
              </w:rPr>
              <w:t xml:space="preserve"> </w:t>
            </w:r>
            <w:r w:rsidRPr="00DB5CE6">
              <w:rPr>
                <w:rFonts w:asciiTheme="minorBidi" w:hAnsiTheme="minorBidi"/>
                <w:sz w:val="18"/>
                <w:szCs w:val="18"/>
              </w:rPr>
              <w:t>352</w:t>
            </w:r>
          </w:p>
        </w:tc>
        <w:tc>
          <w:tcPr>
            <w:tcW w:w="1540" w:type="dxa"/>
            <w:noWrap/>
            <w:vAlign w:val="center"/>
            <w:hideMark/>
          </w:tcPr>
          <w:p w14:paraId="57A6C130" w14:textId="75BC18CB"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33</w:t>
            </w:r>
            <w:r w:rsidR="009402A5">
              <w:rPr>
                <w:rFonts w:asciiTheme="minorBidi" w:hAnsiTheme="minorBidi"/>
                <w:sz w:val="18"/>
                <w:szCs w:val="18"/>
              </w:rPr>
              <w:t xml:space="preserve"> </w:t>
            </w:r>
            <w:r w:rsidRPr="00DB5CE6">
              <w:rPr>
                <w:rFonts w:asciiTheme="minorBidi" w:hAnsiTheme="minorBidi"/>
                <w:sz w:val="18"/>
                <w:szCs w:val="18"/>
              </w:rPr>
              <w:t>413</w:t>
            </w:r>
          </w:p>
        </w:tc>
        <w:tc>
          <w:tcPr>
            <w:tcW w:w="1540" w:type="dxa"/>
            <w:noWrap/>
            <w:vAlign w:val="center"/>
            <w:hideMark/>
          </w:tcPr>
          <w:p w14:paraId="334E32FE" w14:textId="218DBB0B"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26</w:t>
            </w:r>
            <w:r w:rsidR="009402A5">
              <w:rPr>
                <w:rFonts w:asciiTheme="minorBidi" w:hAnsiTheme="minorBidi"/>
                <w:sz w:val="18"/>
                <w:szCs w:val="18"/>
              </w:rPr>
              <w:t xml:space="preserve"> </w:t>
            </w:r>
            <w:r w:rsidRPr="00DB5CE6">
              <w:rPr>
                <w:rFonts w:asciiTheme="minorBidi" w:hAnsiTheme="minorBidi"/>
                <w:sz w:val="18"/>
                <w:szCs w:val="18"/>
              </w:rPr>
              <w:t>439</w:t>
            </w:r>
          </w:p>
        </w:tc>
        <w:tc>
          <w:tcPr>
            <w:tcW w:w="1300" w:type="dxa"/>
            <w:shd w:val="clear" w:color="auto" w:fill="E5E5E5" w:themeFill="background2" w:themeFillShade="E6"/>
            <w:noWrap/>
            <w:vAlign w:val="center"/>
            <w:hideMark/>
          </w:tcPr>
          <w:p w14:paraId="5A070AF8" w14:textId="77777777" w:rsidR="00F72778" w:rsidRPr="00DB5CE6" w:rsidRDefault="00F72778" w:rsidP="00DB5CE6">
            <w:pPr>
              <w:spacing w:before="0" w:after="0" w:line="240" w:lineRule="auto"/>
              <w:jc w:val="right"/>
              <w:rPr>
                <w:rFonts w:asciiTheme="minorBidi" w:hAnsiTheme="minorBidi"/>
                <w:color w:val="000000"/>
                <w:sz w:val="18"/>
                <w:szCs w:val="18"/>
              </w:rPr>
            </w:pPr>
            <w:r w:rsidRPr="00DB5CE6">
              <w:rPr>
                <w:rFonts w:asciiTheme="minorBidi" w:hAnsiTheme="minorBidi"/>
                <w:color w:val="000000"/>
                <w:sz w:val="18"/>
                <w:szCs w:val="18"/>
              </w:rPr>
              <w:t>2%</w:t>
            </w:r>
          </w:p>
        </w:tc>
      </w:tr>
      <w:tr w:rsidR="00F72778" w:rsidRPr="00DB5CE6" w14:paraId="47C7E9F7" w14:textId="77777777" w:rsidTr="00B54A22">
        <w:trPr>
          <w:trHeight w:val="300"/>
        </w:trPr>
        <w:tc>
          <w:tcPr>
            <w:tcW w:w="2325" w:type="dxa"/>
            <w:noWrap/>
            <w:vAlign w:val="center"/>
            <w:hideMark/>
          </w:tcPr>
          <w:p w14:paraId="445149FC" w14:textId="77777777" w:rsidR="00F72778" w:rsidRPr="00DB5CE6" w:rsidRDefault="00F72778" w:rsidP="00DB5CE6">
            <w:pPr>
              <w:spacing w:before="0" w:after="0" w:line="240" w:lineRule="auto"/>
              <w:rPr>
                <w:rFonts w:asciiTheme="minorBidi" w:hAnsiTheme="minorBidi"/>
                <w:b/>
                <w:color w:val="000000"/>
                <w:sz w:val="18"/>
                <w:szCs w:val="18"/>
              </w:rPr>
            </w:pPr>
            <w:r w:rsidRPr="00DB5CE6">
              <w:rPr>
                <w:rFonts w:asciiTheme="minorBidi" w:hAnsiTheme="minorBidi"/>
                <w:b/>
                <w:color w:val="000000"/>
                <w:sz w:val="18"/>
                <w:szCs w:val="18"/>
              </w:rPr>
              <w:t>KOKKU</w:t>
            </w:r>
          </w:p>
        </w:tc>
        <w:tc>
          <w:tcPr>
            <w:tcW w:w="1540" w:type="dxa"/>
            <w:noWrap/>
            <w:vAlign w:val="center"/>
            <w:hideMark/>
          </w:tcPr>
          <w:p w14:paraId="7D900F6D" w14:textId="42BA5424"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1</w:t>
            </w:r>
            <w:r w:rsidR="009402A5">
              <w:rPr>
                <w:rFonts w:asciiTheme="minorBidi" w:hAnsiTheme="minorBidi"/>
                <w:sz w:val="18"/>
                <w:szCs w:val="18"/>
              </w:rPr>
              <w:t xml:space="preserve"> </w:t>
            </w:r>
            <w:r w:rsidRPr="00DB5CE6">
              <w:rPr>
                <w:rFonts w:asciiTheme="minorBidi" w:hAnsiTheme="minorBidi"/>
                <w:sz w:val="18"/>
                <w:szCs w:val="18"/>
              </w:rPr>
              <w:t>280</w:t>
            </w:r>
            <w:r w:rsidR="009402A5">
              <w:rPr>
                <w:rFonts w:asciiTheme="minorBidi" w:hAnsiTheme="minorBidi"/>
                <w:sz w:val="18"/>
                <w:szCs w:val="18"/>
              </w:rPr>
              <w:t xml:space="preserve"> </w:t>
            </w:r>
            <w:r w:rsidRPr="00DB5CE6">
              <w:rPr>
                <w:rFonts w:asciiTheme="minorBidi" w:hAnsiTheme="minorBidi"/>
                <w:sz w:val="18"/>
                <w:szCs w:val="18"/>
              </w:rPr>
              <w:t>301</w:t>
            </w:r>
          </w:p>
        </w:tc>
        <w:tc>
          <w:tcPr>
            <w:tcW w:w="1540" w:type="dxa"/>
            <w:noWrap/>
            <w:vAlign w:val="center"/>
            <w:hideMark/>
          </w:tcPr>
          <w:p w14:paraId="1AACC25C" w14:textId="6D2A961D"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1</w:t>
            </w:r>
            <w:r w:rsidR="009402A5">
              <w:rPr>
                <w:rFonts w:asciiTheme="minorBidi" w:hAnsiTheme="minorBidi"/>
                <w:sz w:val="18"/>
                <w:szCs w:val="18"/>
              </w:rPr>
              <w:t xml:space="preserve"> </w:t>
            </w:r>
            <w:r w:rsidRPr="00DB5CE6">
              <w:rPr>
                <w:rFonts w:asciiTheme="minorBidi" w:hAnsiTheme="minorBidi"/>
                <w:sz w:val="18"/>
                <w:szCs w:val="18"/>
              </w:rPr>
              <w:t>523</w:t>
            </w:r>
            <w:r w:rsidR="009402A5">
              <w:rPr>
                <w:rFonts w:asciiTheme="minorBidi" w:hAnsiTheme="minorBidi"/>
                <w:sz w:val="18"/>
                <w:szCs w:val="18"/>
              </w:rPr>
              <w:t xml:space="preserve"> </w:t>
            </w:r>
            <w:r w:rsidRPr="00DB5CE6">
              <w:rPr>
                <w:rFonts w:asciiTheme="minorBidi" w:hAnsiTheme="minorBidi"/>
                <w:sz w:val="18"/>
                <w:szCs w:val="18"/>
              </w:rPr>
              <w:t>338</w:t>
            </w:r>
          </w:p>
        </w:tc>
        <w:tc>
          <w:tcPr>
            <w:tcW w:w="1540" w:type="dxa"/>
            <w:noWrap/>
            <w:vAlign w:val="center"/>
            <w:hideMark/>
          </w:tcPr>
          <w:p w14:paraId="70A8FD57" w14:textId="10D14F28"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806</w:t>
            </w:r>
            <w:r w:rsidR="009402A5">
              <w:rPr>
                <w:rFonts w:asciiTheme="minorBidi" w:hAnsiTheme="minorBidi"/>
                <w:sz w:val="18"/>
                <w:szCs w:val="18"/>
              </w:rPr>
              <w:t xml:space="preserve"> </w:t>
            </w:r>
            <w:r w:rsidRPr="00DB5CE6">
              <w:rPr>
                <w:rFonts w:asciiTheme="minorBidi" w:hAnsiTheme="minorBidi"/>
                <w:sz w:val="18"/>
                <w:szCs w:val="18"/>
              </w:rPr>
              <w:t>091</w:t>
            </w:r>
          </w:p>
        </w:tc>
        <w:tc>
          <w:tcPr>
            <w:tcW w:w="1540" w:type="dxa"/>
            <w:noWrap/>
            <w:vAlign w:val="center"/>
            <w:hideMark/>
          </w:tcPr>
          <w:p w14:paraId="1E0BDC1B" w14:textId="65DF1906"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847</w:t>
            </w:r>
            <w:r w:rsidR="009402A5">
              <w:rPr>
                <w:rFonts w:asciiTheme="minorBidi" w:hAnsiTheme="minorBidi"/>
                <w:sz w:val="18"/>
                <w:szCs w:val="18"/>
              </w:rPr>
              <w:t xml:space="preserve"> </w:t>
            </w:r>
            <w:r w:rsidRPr="00DB5CE6">
              <w:rPr>
                <w:rFonts w:asciiTheme="minorBidi" w:hAnsiTheme="minorBidi"/>
                <w:sz w:val="18"/>
                <w:szCs w:val="18"/>
              </w:rPr>
              <w:t>516</w:t>
            </w:r>
          </w:p>
        </w:tc>
        <w:tc>
          <w:tcPr>
            <w:tcW w:w="1540" w:type="dxa"/>
            <w:noWrap/>
            <w:vAlign w:val="center"/>
            <w:hideMark/>
          </w:tcPr>
          <w:p w14:paraId="4807C80E" w14:textId="547C26AB"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1</w:t>
            </w:r>
            <w:r w:rsidR="009402A5">
              <w:rPr>
                <w:rFonts w:asciiTheme="minorBidi" w:hAnsiTheme="minorBidi"/>
                <w:sz w:val="18"/>
                <w:szCs w:val="18"/>
              </w:rPr>
              <w:t xml:space="preserve"> </w:t>
            </w:r>
            <w:r w:rsidRPr="00DB5CE6">
              <w:rPr>
                <w:rFonts w:asciiTheme="minorBidi" w:hAnsiTheme="minorBidi"/>
                <w:sz w:val="18"/>
                <w:szCs w:val="18"/>
              </w:rPr>
              <w:t>286</w:t>
            </w:r>
            <w:r w:rsidR="009402A5">
              <w:rPr>
                <w:rFonts w:asciiTheme="minorBidi" w:hAnsiTheme="minorBidi"/>
                <w:sz w:val="18"/>
                <w:szCs w:val="18"/>
              </w:rPr>
              <w:t xml:space="preserve"> </w:t>
            </w:r>
            <w:r w:rsidRPr="00DB5CE6">
              <w:rPr>
                <w:rFonts w:asciiTheme="minorBidi" w:hAnsiTheme="minorBidi"/>
                <w:sz w:val="18"/>
                <w:szCs w:val="18"/>
              </w:rPr>
              <w:t>201</w:t>
            </w:r>
          </w:p>
        </w:tc>
        <w:tc>
          <w:tcPr>
            <w:tcW w:w="1540" w:type="dxa"/>
            <w:noWrap/>
            <w:vAlign w:val="center"/>
            <w:hideMark/>
          </w:tcPr>
          <w:p w14:paraId="6D92AF87" w14:textId="50E604E6" w:rsidR="00F72778" w:rsidRPr="00DB5CE6" w:rsidRDefault="00F72778" w:rsidP="00DB5CE6">
            <w:pPr>
              <w:spacing w:before="0" w:after="0" w:line="240" w:lineRule="auto"/>
              <w:jc w:val="right"/>
              <w:rPr>
                <w:rFonts w:asciiTheme="minorBidi" w:hAnsiTheme="minorBidi"/>
                <w:sz w:val="18"/>
                <w:szCs w:val="18"/>
              </w:rPr>
            </w:pPr>
            <w:r w:rsidRPr="00DB5CE6">
              <w:rPr>
                <w:rFonts w:asciiTheme="minorBidi" w:hAnsiTheme="minorBidi"/>
                <w:sz w:val="18"/>
                <w:szCs w:val="18"/>
              </w:rPr>
              <w:t>1</w:t>
            </w:r>
            <w:r w:rsidR="009402A5">
              <w:rPr>
                <w:rFonts w:asciiTheme="minorBidi" w:hAnsiTheme="minorBidi"/>
                <w:sz w:val="18"/>
                <w:szCs w:val="18"/>
              </w:rPr>
              <w:t xml:space="preserve"> </w:t>
            </w:r>
            <w:r w:rsidRPr="00DB5CE6">
              <w:rPr>
                <w:rFonts w:asciiTheme="minorBidi" w:hAnsiTheme="minorBidi"/>
                <w:sz w:val="18"/>
                <w:szCs w:val="18"/>
              </w:rPr>
              <w:t>482</w:t>
            </w:r>
            <w:r w:rsidR="009402A5">
              <w:rPr>
                <w:rFonts w:asciiTheme="minorBidi" w:hAnsiTheme="minorBidi"/>
                <w:sz w:val="18"/>
                <w:szCs w:val="18"/>
              </w:rPr>
              <w:t xml:space="preserve"> </w:t>
            </w:r>
            <w:r w:rsidRPr="00DB5CE6">
              <w:rPr>
                <w:rFonts w:asciiTheme="minorBidi" w:hAnsiTheme="minorBidi"/>
                <w:sz w:val="18"/>
                <w:szCs w:val="18"/>
              </w:rPr>
              <w:t>227</w:t>
            </w:r>
          </w:p>
        </w:tc>
        <w:tc>
          <w:tcPr>
            <w:tcW w:w="1300" w:type="dxa"/>
            <w:shd w:val="clear" w:color="auto" w:fill="E5E5E5" w:themeFill="background2" w:themeFillShade="E6"/>
            <w:noWrap/>
            <w:vAlign w:val="center"/>
            <w:hideMark/>
          </w:tcPr>
          <w:p w14:paraId="2F64C435" w14:textId="7E87C489" w:rsidR="00F72778" w:rsidRPr="00DB5CE6" w:rsidRDefault="4A7E2F16" w:rsidP="4A7E2F16">
            <w:pPr>
              <w:spacing w:before="0" w:after="0" w:line="240" w:lineRule="auto"/>
              <w:jc w:val="right"/>
              <w:rPr>
                <w:rFonts w:asciiTheme="minorBidi" w:hAnsiTheme="minorBidi"/>
                <w:sz w:val="18"/>
                <w:szCs w:val="18"/>
              </w:rPr>
            </w:pPr>
            <w:r w:rsidRPr="4A7E2F16">
              <w:rPr>
                <w:rFonts w:asciiTheme="minorBidi" w:hAnsiTheme="minorBidi"/>
                <w:sz w:val="18"/>
                <w:szCs w:val="18"/>
              </w:rPr>
              <w:t>100%</w:t>
            </w:r>
          </w:p>
        </w:tc>
      </w:tr>
    </w:tbl>
    <w:p w14:paraId="42AE387B" w14:textId="77777777" w:rsidR="00F72778" w:rsidRPr="00E14EBC" w:rsidRDefault="00F72778" w:rsidP="00F72778">
      <w:pPr>
        <w:pStyle w:val="BottomCaption"/>
      </w:pPr>
      <w:r w:rsidRPr="00E14EBC">
        <w:t>Allikas: Eurostat</w:t>
      </w:r>
    </w:p>
    <w:p w14:paraId="30B99AE7" w14:textId="77777777" w:rsidR="00F72778" w:rsidRPr="00E14EBC" w:rsidRDefault="00F72778" w:rsidP="00F72778">
      <w:pPr>
        <w:spacing w:line="259" w:lineRule="auto"/>
      </w:pPr>
    </w:p>
    <w:p w14:paraId="767F2414" w14:textId="0AC62ADD" w:rsidR="00F72778" w:rsidRPr="00E14EBC" w:rsidRDefault="00F72778" w:rsidP="4A7E2F16"/>
    <w:p w14:paraId="5B78700D" w14:textId="7AFB54C9" w:rsidR="00F72778" w:rsidRPr="00E14EBC" w:rsidRDefault="4A7E2F16" w:rsidP="00F72778">
      <w:pPr>
        <w:pStyle w:val="Caption"/>
      </w:pPr>
      <w:r>
        <w:t>Tabel 35: Ööbimiste arv majutuskoha mahutavuse alusel lühiajalise üüri majutuskohtades, Eesti, 2019–2023</w:t>
      </w:r>
    </w:p>
    <w:tbl>
      <w:tblPr>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1440"/>
        <w:gridCol w:w="1530"/>
        <w:gridCol w:w="1530"/>
        <w:gridCol w:w="1530"/>
        <w:gridCol w:w="1530"/>
        <w:gridCol w:w="1530"/>
        <w:gridCol w:w="1260"/>
      </w:tblGrid>
      <w:tr w:rsidR="00F72778" w:rsidRPr="002D1573" w14:paraId="0EF20C39" w14:textId="77777777" w:rsidTr="002D2C8D">
        <w:trPr>
          <w:trHeight w:val="300"/>
        </w:trPr>
        <w:tc>
          <w:tcPr>
            <w:tcW w:w="3595" w:type="dxa"/>
            <w:noWrap/>
            <w:vAlign w:val="center"/>
            <w:hideMark/>
          </w:tcPr>
          <w:p w14:paraId="6A830A9B" w14:textId="77777777" w:rsidR="00F72778" w:rsidRPr="002D1573" w:rsidRDefault="00F72778" w:rsidP="002D1573">
            <w:pPr>
              <w:spacing w:before="0" w:after="0" w:line="240" w:lineRule="auto"/>
              <w:rPr>
                <w:rFonts w:asciiTheme="minorBidi" w:hAnsiTheme="minorBidi"/>
                <w:sz w:val="18"/>
                <w:szCs w:val="18"/>
              </w:rPr>
            </w:pPr>
          </w:p>
        </w:tc>
        <w:tc>
          <w:tcPr>
            <w:tcW w:w="1440" w:type="dxa"/>
            <w:noWrap/>
            <w:vAlign w:val="center"/>
            <w:hideMark/>
          </w:tcPr>
          <w:p w14:paraId="403AC608" w14:textId="77777777" w:rsidR="00F72778" w:rsidRPr="002D1573" w:rsidRDefault="00F72778" w:rsidP="002D1573">
            <w:pPr>
              <w:spacing w:before="0" w:after="0" w:line="240" w:lineRule="auto"/>
              <w:jc w:val="center"/>
              <w:rPr>
                <w:rFonts w:asciiTheme="minorBidi" w:hAnsiTheme="minorBidi"/>
                <w:b/>
                <w:color w:val="000000"/>
                <w:sz w:val="18"/>
                <w:szCs w:val="18"/>
              </w:rPr>
            </w:pPr>
            <w:r w:rsidRPr="002D1573">
              <w:rPr>
                <w:rFonts w:asciiTheme="minorBidi" w:hAnsiTheme="minorBidi"/>
                <w:b/>
                <w:color w:val="000000"/>
                <w:sz w:val="18"/>
                <w:szCs w:val="18"/>
              </w:rPr>
              <w:t>2018</w:t>
            </w:r>
          </w:p>
        </w:tc>
        <w:tc>
          <w:tcPr>
            <w:tcW w:w="1530" w:type="dxa"/>
            <w:noWrap/>
            <w:vAlign w:val="center"/>
            <w:hideMark/>
          </w:tcPr>
          <w:p w14:paraId="29CC0610" w14:textId="77777777" w:rsidR="00F72778" w:rsidRPr="002D1573" w:rsidRDefault="00F72778" w:rsidP="002D1573">
            <w:pPr>
              <w:spacing w:before="0" w:after="0" w:line="240" w:lineRule="auto"/>
              <w:jc w:val="center"/>
              <w:rPr>
                <w:rFonts w:asciiTheme="minorBidi" w:hAnsiTheme="minorBidi"/>
                <w:b/>
                <w:color w:val="000000"/>
                <w:sz w:val="18"/>
                <w:szCs w:val="18"/>
              </w:rPr>
            </w:pPr>
            <w:r w:rsidRPr="002D1573">
              <w:rPr>
                <w:rFonts w:asciiTheme="minorBidi" w:hAnsiTheme="minorBidi"/>
                <w:b/>
                <w:color w:val="000000"/>
                <w:sz w:val="18"/>
                <w:szCs w:val="18"/>
              </w:rPr>
              <w:t>2019</w:t>
            </w:r>
          </w:p>
        </w:tc>
        <w:tc>
          <w:tcPr>
            <w:tcW w:w="1530" w:type="dxa"/>
            <w:noWrap/>
            <w:vAlign w:val="center"/>
            <w:hideMark/>
          </w:tcPr>
          <w:p w14:paraId="13114F89" w14:textId="77777777" w:rsidR="00F72778" w:rsidRPr="002D1573" w:rsidRDefault="00F72778" w:rsidP="002D1573">
            <w:pPr>
              <w:spacing w:before="0" w:after="0" w:line="240" w:lineRule="auto"/>
              <w:jc w:val="center"/>
              <w:rPr>
                <w:rFonts w:asciiTheme="minorBidi" w:hAnsiTheme="minorBidi"/>
                <w:b/>
                <w:color w:val="000000"/>
                <w:sz w:val="18"/>
                <w:szCs w:val="18"/>
              </w:rPr>
            </w:pPr>
            <w:r w:rsidRPr="002D1573">
              <w:rPr>
                <w:rFonts w:asciiTheme="minorBidi" w:hAnsiTheme="minorBidi"/>
                <w:b/>
                <w:color w:val="000000"/>
                <w:sz w:val="18"/>
                <w:szCs w:val="18"/>
              </w:rPr>
              <w:t>2020</w:t>
            </w:r>
          </w:p>
        </w:tc>
        <w:tc>
          <w:tcPr>
            <w:tcW w:w="1530" w:type="dxa"/>
            <w:noWrap/>
            <w:vAlign w:val="center"/>
            <w:hideMark/>
          </w:tcPr>
          <w:p w14:paraId="1A24E555" w14:textId="77777777" w:rsidR="00F72778" w:rsidRPr="002D1573" w:rsidRDefault="00F72778" w:rsidP="002D1573">
            <w:pPr>
              <w:spacing w:before="0" w:after="0" w:line="240" w:lineRule="auto"/>
              <w:jc w:val="center"/>
              <w:rPr>
                <w:rFonts w:asciiTheme="minorBidi" w:hAnsiTheme="minorBidi"/>
                <w:b/>
                <w:color w:val="000000"/>
                <w:sz w:val="18"/>
                <w:szCs w:val="18"/>
              </w:rPr>
            </w:pPr>
            <w:r w:rsidRPr="002D1573">
              <w:rPr>
                <w:rFonts w:asciiTheme="minorBidi" w:hAnsiTheme="minorBidi"/>
                <w:b/>
                <w:color w:val="000000"/>
                <w:sz w:val="18"/>
                <w:szCs w:val="18"/>
              </w:rPr>
              <w:t>2021</w:t>
            </w:r>
          </w:p>
        </w:tc>
        <w:tc>
          <w:tcPr>
            <w:tcW w:w="1530" w:type="dxa"/>
            <w:noWrap/>
            <w:vAlign w:val="center"/>
            <w:hideMark/>
          </w:tcPr>
          <w:p w14:paraId="147EA7F4" w14:textId="77777777" w:rsidR="00F72778" w:rsidRPr="002D1573" w:rsidRDefault="00F72778" w:rsidP="002D1573">
            <w:pPr>
              <w:spacing w:before="0" w:after="0" w:line="240" w:lineRule="auto"/>
              <w:jc w:val="center"/>
              <w:rPr>
                <w:rFonts w:asciiTheme="minorBidi" w:hAnsiTheme="minorBidi"/>
                <w:b/>
                <w:color w:val="000000"/>
                <w:sz w:val="18"/>
                <w:szCs w:val="18"/>
              </w:rPr>
            </w:pPr>
            <w:r w:rsidRPr="002D1573">
              <w:rPr>
                <w:rFonts w:asciiTheme="minorBidi" w:hAnsiTheme="minorBidi"/>
                <w:b/>
                <w:color w:val="000000"/>
                <w:sz w:val="18"/>
                <w:szCs w:val="18"/>
              </w:rPr>
              <w:t>2022</w:t>
            </w:r>
          </w:p>
        </w:tc>
        <w:tc>
          <w:tcPr>
            <w:tcW w:w="1530" w:type="dxa"/>
            <w:noWrap/>
            <w:vAlign w:val="center"/>
            <w:hideMark/>
          </w:tcPr>
          <w:p w14:paraId="59FDE659" w14:textId="77777777" w:rsidR="00F72778" w:rsidRPr="002D1573" w:rsidRDefault="00F72778" w:rsidP="002D1573">
            <w:pPr>
              <w:spacing w:before="0" w:after="0" w:line="240" w:lineRule="auto"/>
              <w:jc w:val="center"/>
              <w:rPr>
                <w:rFonts w:asciiTheme="minorBidi" w:hAnsiTheme="minorBidi"/>
                <w:b/>
                <w:color w:val="000000"/>
                <w:sz w:val="18"/>
                <w:szCs w:val="18"/>
              </w:rPr>
            </w:pPr>
            <w:r w:rsidRPr="002D1573">
              <w:rPr>
                <w:rFonts w:asciiTheme="minorBidi" w:hAnsiTheme="minorBidi"/>
                <w:b/>
                <w:color w:val="000000"/>
                <w:sz w:val="18"/>
                <w:szCs w:val="18"/>
              </w:rPr>
              <w:t>2023</w:t>
            </w:r>
          </w:p>
        </w:tc>
        <w:tc>
          <w:tcPr>
            <w:tcW w:w="1260" w:type="dxa"/>
            <w:shd w:val="clear" w:color="auto" w:fill="E5E5E5" w:themeFill="background2" w:themeFillShade="E6"/>
            <w:noWrap/>
            <w:vAlign w:val="center"/>
            <w:hideMark/>
          </w:tcPr>
          <w:p w14:paraId="7C7AD2B3" w14:textId="77777777" w:rsidR="00F72778" w:rsidRPr="002D1573" w:rsidRDefault="00F72778" w:rsidP="002D1573">
            <w:pPr>
              <w:spacing w:before="0" w:after="0" w:line="240" w:lineRule="auto"/>
              <w:jc w:val="center"/>
              <w:rPr>
                <w:rFonts w:asciiTheme="minorBidi" w:hAnsiTheme="minorBidi"/>
                <w:b/>
                <w:color w:val="000000"/>
                <w:sz w:val="18"/>
                <w:szCs w:val="18"/>
              </w:rPr>
            </w:pPr>
            <w:r w:rsidRPr="002D1573">
              <w:rPr>
                <w:rFonts w:asciiTheme="minorBidi" w:hAnsiTheme="minorBidi"/>
                <w:b/>
                <w:color w:val="000000"/>
                <w:sz w:val="18"/>
                <w:szCs w:val="18"/>
              </w:rPr>
              <w:t>osakaal (2023)</w:t>
            </w:r>
          </w:p>
        </w:tc>
      </w:tr>
      <w:tr w:rsidR="00F72778" w:rsidRPr="002D1573" w14:paraId="7F2415C7" w14:textId="77777777" w:rsidTr="002D2C8D">
        <w:trPr>
          <w:trHeight w:val="300"/>
        </w:trPr>
        <w:tc>
          <w:tcPr>
            <w:tcW w:w="3595" w:type="dxa"/>
            <w:noWrap/>
            <w:vAlign w:val="center"/>
            <w:hideMark/>
          </w:tcPr>
          <w:p w14:paraId="76CBAF76" w14:textId="77777777" w:rsidR="00F72778" w:rsidRPr="002D1573" w:rsidRDefault="00F72778" w:rsidP="002D1573">
            <w:pPr>
              <w:spacing w:before="0" w:after="0" w:line="240" w:lineRule="auto"/>
              <w:rPr>
                <w:rFonts w:asciiTheme="minorBidi" w:hAnsiTheme="minorBidi"/>
                <w:b/>
                <w:color w:val="000000"/>
                <w:sz w:val="18"/>
                <w:szCs w:val="18"/>
              </w:rPr>
            </w:pPr>
            <w:r w:rsidRPr="002D1573">
              <w:rPr>
                <w:rFonts w:asciiTheme="minorBidi" w:hAnsiTheme="minorBidi"/>
                <w:b/>
                <w:color w:val="000000"/>
                <w:sz w:val="18"/>
                <w:szCs w:val="18"/>
              </w:rPr>
              <w:t>10 või rohkem voodikohaga</w:t>
            </w:r>
          </w:p>
        </w:tc>
        <w:tc>
          <w:tcPr>
            <w:tcW w:w="1440" w:type="dxa"/>
            <w:noWrap/>
            <w:vAlign w:val="center"/>
            <w:hideMark/>
          </w:tcPr>
          <w:p w14:paraId="7F172A04" w14:textId="2BDCAA2A"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69</w:t>
            </w:r>
            <w:r w:rsidR="009402A5">
              <w:rPr>
                <w:rFonts w:asciiTheme="minorBidi" w:hAnsiTheme="minorBidi"/>
                <w:sz w:val="18"/>
                <w:szCs w:val="18"/>
              </w:rPr>
              <w:t xml:space="preserve"> </w:t>
            </w:r>
            <w:r w:rsidRPr="002D1573">
              <w:rPr>
                <w:rFonts w:asciiTheme="minorBidi" w:hAnsiTheme="minorBidi"/>
                <w:sz w:val="18"/>
                <w:szCs w:val="18"/>
              </w:rPr>
              <w:t>667</w:t>
            </w:r>
          </w:p>
        </w:tc>
        <w:tc>
          <w:tcPr>
            <w:tcW w:w="1530" w:type="dxa"/>
            <w:noWrap/>
            <w:vAlign w:val="center"/>
            <w:hideMark/>
          </w:tcPr>
          <w:p w14:paraId="36B3C7E0" w14:textId="7383B296"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86</w:t>
            </w:r>
            <w:r w:rsidR="009402A5">
              <w:rPr>
                <w:rFonts w:asciiTheme="minorBidi" w:hAnsiTheme="minorBidi"/>
                <w:sz w:val="18"/>
                <w:szCs w:val="18"/>
              </w:rPr>
              <w:t xml:space="preserve"> </w:t>
            </w:r>
            <w:r w:rsidRPr="002D1573">
              <w:rPr>
                <w:rFonts w:asciiTheme="minorBidi" w:hAnsiTheme="minorBidi"/>
                <w:sz w:val="18"/>
                <w:szCs w:val="18"/>
              </w:rPr>
              <w:t>506</w:t>
            </w:r>
          </w:p>
        </w:tc>
        <w:tc>
          <w:tcPr>
            <w:tcW w:w="1530" w:type="dxa"/>
            <w:noWrap/>
            <w:vAlign w:val="center"/>
            <w:hideMark/>
          </w:tcPr>
          <w:p w14:paraId="2A07AFEC" w14:textId="734B7130"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54</w:t>
            </w:r>
            <w:r w:rsidR="009402A5">
              <w:rPr>
                <w:rFonts w:asciiTheme="minorBidi" w:hAnsiTheme="minorBidi"/>
                <w:sz w:val="18"/>
                <w:szCs w:val="18"/>
              </w:rPr>
              <w:t xml:space="preserve"> </w:t>
            </w:r>
            <w:r w:rsidRPr="002D1573">
              <w:rPr>
                <w:rFonts w:asciiTheme="minorBidi" w:hAnsiTheme="minorBidi"/>
                <w:sz w:val="18"/>
                <w:szCs w:val="18"/>
              </w:rPr>
              <w:t>257</w:t>
            </w:r>
          </w:p>
        </w:tc>
        <w:tc>
          <w:tcPr>
            <w:tcW w:w="1530" w:type="dxa"/>
            <w:noWrap/>
            <w:vAlign w:val="center"/>
            <w:hideMark/>
          </w:tcPr>
          <w:p w14:paraId="03F4B885" w14:textId="76E5DCB5"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61</w:t>
            </w:r>
            <w:r w:rsidR="009402A5">
              <w:rPr>
                <w:rFonts w:asciiTheme="minorBidi" w:hAnsiTheme="minorBidi"/>
                <w:sz w:val="18"/>
                <w:szCs w:val="18"/>
              </w:rPr>
              <w:t xml:space="preserve"> </w:t>
            </w:r>
            <w:r w:rsidRPr="002D1573">
              <w:rPr>
                <w:rFonts w:asciiTheme="minorBidi" w:hAnsiTheme="minorBidi"/>
                <w:sz w:val="18"/>
                <w:szCs w:val="18"/>
              </w:rPr>
              <w:t>782</w:t>
            </w:r>
          </w:p>
        </w:tc>
        <w:tc>
          <w:tcPr>
            <w:tcW w:w="1530" w:type="dxa"/>
            <w:noWrap/>
            <w:vAlign w:val="center"/>
            <w:hideMark/>
          </w:tcPr>
          <w:p w14:paraId="5E577A3D" w14:textId="1C564995"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95</w:t>
            </w:r>
            <w:r w:rsidR="009402A5">
              <w:rPr>
                <w:rFonts w:asciiTheme="minorBidi" w:hAnsiTheme="minorBidi"/>
                <w:sz w:val="18"/>
                <w:szCs w:val="18"/>
              </w:rPr>
              <w:t xml:space="preserve"> </w:t>
            </w:r>
            <w:r w:rsidRPr="002D1573">
              <w:rPr>
                <w:rFonts w:asciiTheme="minorBidi" w:hAnsiTheme="minorBidi"/>
                <w:sz w:val="18"/>
                <w:szCs w:val="18"/>
              </w:rPr>
              <w:t>239</w:t>
            </w:r>
          </w:p>
        </w:tc>
        <w:tc>
          <w:tcPr>
            <w:tcW w:w="1530" w:type="dxa"/>
            <w:noWrap/>
            <w:vAlign w:val="center"/>
            <w:hideMark/>
          </w:tcPr>
          <w:p w14:paraId="5CF971A4" w14:textId="16CACE1E"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104</w:t>
            </w:r>
            <w:r w:rsidR="009402A5">
              <w:rPr>
                <w:rFonts w:asciiTheme="minorBidi" w:hAnsiTheme="minorBidi"/>
                <w:sz w:val="18"/>
                <w:szCs w:val="18"/>
              </w:rPr>
              <w:t xml:space="preserve"> </w:t>
            </w:r>
            <w:r w:rsidRPr="002D1573">
              <w:rPr>
                <w:rFonts w:asciiTheme="minorBidi" w:hAnsiTheme="minorBidi"/>
                <w:sz w:val="18"/>
                <w:szCs w:val="18"/>
              </w:rPr>
              <w:t>672</w:t>
            </w:r>
          </w:p>
        </w:tc>
        <w:tc>
          <w:tcPr>
            <w:tcW w:w="1260" w:type="dxa"/>
            <w:shd w:val="clear" w:color="auto" w:fill="E5E5E5" w:themeFill="background2" w:themeFillShade="E6"/>
            <w:noWrap/>
            <w:vAlign w:val="center"/>
            <w:hideMark/>
          </w:tcPr>
          <w:p w14:paraId="6889879A" w14:textId="77777777" w:rsidR="00F72778" w:rsidRPr="002D1573" w:rsidRDefault="00F72778" w:rsidP="002D1573">
            <w:pPr>
              <w:spacing w:before="0" w:after="0" w:line="240" w:lineRule="auto"/>
              <w:jc w:val="right"/>
              <w:rPr>
                <w:rFonts w:asciiTheme="minorBidi" w:hAnsiTheme="minorBidi"/>
                <w:color w:val="000000"/>
                <w:sz w:val="18"/>
                <w:szCs w:val="18"/>
              </w:rPr>
            </w:pPr>
            <w:r w:rsidRPr="002D1573">
              <w:rPr>
                <w:rFonts w:asciiTheme="minorBidi" w:hAnsiTheme="minorBidi"/>
                <w:color w:val="000000"/>
                <w:sz w:val="18"/>
                <w:szCs w:val="18"/>
              </w:rPr>
              <w:t>7%</w:t>
            </w:r>
          </w:p>
        </w:tc>
      </w:tr>
      <w:tr w:rsidR="00F72778" w:rsidRPr="002D1573" w14:paraId="271EEFBB" w14:textId="77777777" w:rsidTr="002D2C8D">
        <w:trPr>
          <w:trHeight w:val="300"/>
        </w:trPr>
        <w:tc>
          <w:tcPr>
            <w:tcW w:w="3595" w:type="dxa"/>
            <w:noWrap/>
            <w:vAlign w:val="center"/>
            <w:hideMark/>
          </w:tcPr>
          <w:p w14:paraId="266476A5" w14:textId="77777777" w:rsidR="00F72778" w:rsidRPr="002D1573" w:rsidRDefault="00F72778" w:rsidP="002D1573">
            <w:pPr>
              <w:spacing w:before="0" w:after="0" w:line="240" w:lineRule="auto"/>
              <w:rPr>
                <w:rFonts w:asciiTheme="minorBidi" w:hAnsiTheme="minorBidi"/>
                <w:b/>
                <w:color w:val="000000"/>
                <w:sz w:val="18"/>
                <w:szCs w:val="18"/>
              </w:rPr>
            </w:pPr>
            <w:r w:rsidRPr="002D1573">
              <w:rPr>
                <w:rFonts w:asciiTheme="minorBidi" w:hAnsiTheme="minorBidi"/>
                <w:b/>
                <w:color w:val="000000"/>
                <w:sz w:val="18"/>
                <w:szCs w:val="18"/>
              </w:rPr>
              <w:t>alla 10 voodikohaga</w:t>
            </w:r>
          </w:p>
        </w:tc>
        <w:tc>
          <w:tcPr>
            <w:tcW w:w="1440" w:type="dxa"/>
            <w:noWrap/>
            <w:vAlign w:val="center"/>
            <w:hideMark/>
          </w:tcPr>
          <w:p w14:paraId="77285B73" w14:textId="195B39CB"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1</w:t>
            </w:r>
            <w:r w:rsidR="009402A5">
              <w:rPr>
                <w:rFonts w:asciiTheme="minorBidi" w:hAnsiTheme="minorBidi"/>
                <w:sz w:val="18"/>
                <w:szCs w:val="18"/>
              </w:rPr>
              <w:t xml:space="preserve"> </w:t>
            </w:r>
            <w:r w:rsidRPr="002D1573">
              <w:rPr>
                <w:rFonts w:asciiTheme="minorBidi" w:hAnsiTheme="minorBidi"/>
                <w:sz w:val="18"/>
                <w:szCs w:val="18"/>
              </w:rPr>
              <w:t>210</w:t>
            </w:r>
            <w:r w:rsidR="009402A5">
              <w:rPr>
                <w:rFonts w:asciiTheme="minorBidi" w:hAnsiTheme="minorBidi"/>
                <w:sz w:val="18"/>
                <w:szCs w:val="18"/>
              </w:rPr>
              <w:t xml:space="preserve"> </w:t>
            </w:r>
            <w:r w:rsidRPr="002D1573">
              <w:rPr>
                <w:rFonts w:asciiTheme="minorBidi" w:hAnsiTheme="minorBidi"/>
                <w:sz w:val="18"/>
                <w:szCs w:val="18"/>
              </w:rPr>
              <w:t>634</w:t>
            </w:r>
          </w:p>
        </w:tc>
        <w:tc>
          <w:tcPr>
            <w:tcW w:w="1530" w:type="dxa"/>
            <w:noWrap/>
            <w:vAlign w:val="center"/>
            <w:hideMark/>
          </w:tcPr>
          <w:p w14:paraId="62493DDE" w14:textId="280CC371"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1</w:t>
            </w:r>
            <w:r w:rsidR="009402A5">
              <w:rPr>
                <w:rFonts w:asciiTheme="minorBidi" w:hAnsiTheme="minorBidi"/>
                <w:sz w:val="18"/>
                <w:szCs w:val="18"/>
              </w:rPr>
              <w:t xml:space="preserve"> </w:t>
            </w:r>
            <w:r w:rsidRPr="002D1573">
              <w:rPr>
                <w:rFonts w:asciiTheme="minorBidi" w:hAnsiTheme="minorBidi"/>
                <w:sz w:val="18"/>
                <w:szCs w:val="18"/>
              </w:rPr>
              <w:t>436</w:t>
            </w:r>
            <w:r w:rsidR="009402A5">
              <w:rPr>
                <w:rFonts w:asciiTheme="minorBidi" w:hAnsiTheme="minorBidi"/>
                <w:sz w:val="18"/>
                <w:szCs w:val="18"/>
              </w:rPr>
              <w:t xml:space="preserve"> </w:t>
            </w:r>
            <w:r w:rsidRPr="002D1573">
              <w:rPr>
                <w:rFonts w:asciiTheme="minorBidi" w:hAnsiTheme="minorBidi"/>
                <w:sz w:val="18"/>
                <w:szCs w:val="18"/>
              </w:rPr>
              <w:t>832</w:t>
            </w:r>
          </w:p>
        </w:tc>
        <w:tc>
          <w:tcPr>
            <w:tcW w:w="1530" w:type="dxa"/>
            <w:noWrap/>
            <w:vAlign w:val="center"/>
            <w:hideMark/>
          </w:tcPr>
          <w:p w14:paraId="2ED7477D" w14:textId="3BCF3DF3"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751</w:t>
            </w:r>
            <w:r w:rsidR="009402A5">
              <w:rPr>
                <w:rFonts w:asciiTheme="minorBidi" w:hAnsiTheme="minorBidi"/>
                <w:sz w:val="18"/>
                <w:szCs w:val="18"/>
              </w:rPr>
              <w:t xml:space="preserve"> </w:t>
            </w:r>
            <w:r w:rsidRPr="002D1573">
              <w:rPr>
                <w:rFonts w:asciiTheme="minorBidi" w:hAnsiTheme="minorBidi"/>
                <w:sz w:val="18"/>
                <w:szCs w:val="18"/>
              </w:rPr>
              <w:t>834</w:t>
            </w:r>
          </w:p>
        </w:tc>
        <w:tc>
          <w:tcPr>
            <w:tcW w:w="1530" w:type="dxa"/>
            <w:noWrap/>
            <w:vAlign w:val="center"/>
            <w:hideMark/>
          </w:tcPr>
          <w:p w14:paraId="13DE5816" w14:textId="43143D7D"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785</w:t>
            </w:r>
            <w:r w:rsidR="009402A5">
              <w:rPr>
                <w:rFonts w:asciiTheme="minorBidi" w:hAnsiTheme="minorBidi"/>
                <w:sz w:val="18"/>
                <w:szCs w:val="18"/>
              </w:rPr>
              <w:t xml:space="preserve"> </w:t>
            </w:r>
            <w:r w:rsidRPr="002D1573">
              <w:rPr>
                <w:rFonts w:asciiTheme="minorBidi" w:hAnsiTheme="minorBidi"/>
                <w:sz w:val="18"/>
                <w:szCs w:val="18"/>
              </w:rPr>
              <w:t>734</w:t>
            </w:r>
          </w:p>
        </w:tc>
        <w:tc>
          <w:tcPr>
            <w:tcW w:w="1530" w:type="dxa"/>
            <w:noWrap/>
            <w:vAlign w:val="center"/>
            <w:hideMark/>
          </w:tcPr>
          <w:p w14:paraId="53E5F704" w14:textId="7EB081ED"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1</w:t>
            </w:r>
            <w:r w:rsidR="009402A5">
              <w:rPr>
                <w:rFonts w:asciiTheme="minorBidi" w:hAnsiTheme="minorBidi"/>
                <w:sz w:val="18"/>
                <w:szCs w:val="18"/>
              </w:rPr>
              <w:t xml:space="preserve"> </w:t>
            </w:r>
            <w:r w:rsidRPr="002D1573">
              <w:rPr>
                <w:rFonts w:asciiTheme="minorBidi" w:hAnsiTheme="minorBidi"/>
                <w:sz w:val="18"/>
                <w:szCs w:val="18"/>
              </w:rPr>
              <w:t>190</w:t>
            </w:r>
            <w:r w:rsidR="009402A5">
              <w:rPr>
                <w:rFonts w:asciiTheme="minorBidi" w:hAnsiTheme="minorBidi"/>
                <w:sz w:val="18"/>
                <w:szCs w:val="18"/>
              </w:rPr>
              <w:t xml:space="preserve"> </w:t>
            </w:r>
            <w:r w:rsidRPr="002D1573">
              <w:rPr>
                <w:rFonts w:asciiTheme="minorBidi" w:hAnsiTheme="minorBidi"/>
                <w:sz w:val="18"/>
                <w:szCs w:val="18"/>
              </w:rPr>
              <w:t>962</w:t>
            </w:r>
          </w:p>
        </w:tc>
        <w:tc>
          <w:tcPr>
            <w:tcW w:w="1530" w:type="dxa"/>
            <w:noWrap/>
            <w:vAlign w:val="center"/>
            <w:hideMark/>
          </w:tcPr>
          <w:p w14:paraId="3842490B" w14:textId="4B295AD0"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1</w:t>
            </w:r>
            <w:r w:rsidR="009402A5">
              <w:rPr>
                <w:rFonts w:asciiTheme="minorBidi" w:hAnsiTheme="minorBidi"/>
                <w:sz w:val="18"/>
                <w:szCs w:val="18"/>
              </w:rPr>
              <w:t xml:space="preserve"> </w:t>
            </w:r>
            <w:r w:rsidRPr="002D1573">
              <w:rPr>
                <w:rFonts w:asciiTheme="minorBidi" w:hAnsiTheme="minorBidi"/>
                <w:sz w:val="18"/>
                <w:szCs w:val="18"/>
              </w:rPr>
              <w:t>377</w:t>
            </w:r>
            <w:r w:rsidR="009402A5">
              <w:rPr>
                <w:rFonts w:asciiTheme="minorBidi" w:hAnsiTheme="minorBidi"/>
                <w:sz w:val="18"/>
                <w:szCs w:val="18"/>
              </w:rPr>
              <w:t xml:space="preserve"> </w:t>
            </w:r>
            <w:r w:rsidRPr="002D1573">
              <w:rPr>
                <w:rFonts w:asciiTheme="minorBidi" w:hAnsiTheme="minorBidi"/>
                <w:sz w:val="18"/>
                <w:szCs w:val="18"/>
              </w:rPr>
              <w:t>555</w:t>
            </w:r>
          </w:p>
        </w:tc>
        <w:tc>
          <w:tcPr>
            <w:tcW w:w="1260" w:type="dxa"/>
            <w:shd w:val="clear" w:color="auto" w:fill="E5E5E5" w:themeFill="background2" w:themeFillShade="E6"/>
            <w:noWrap/>
            <w:vAlign w:val="center"/>
            <w:hideMark/>
          </w:tcPr>
          <w:p w14:paraId="61F8F6BF" w14:textId="77777777" w:rsidR="00F72778" w:rsidRPr="002D1573" w:rsidRDefault="00F72778" w:rsidP="002D1573">
            <w:pPr>
              <w:spacing w:before="0" w:after="0" w:line="240" w:lineRule="auto"/>
              <w:jc w:val="right"/>
              <w:rPr>
                <w:rFonts w:asciiTheme="minorBidi" w:hAnsiTheme="minorBidi"/>
                <w:color w:val="000000"/>
                <w:sz w:val="18"/>
                <w:szCs w:val="18"/>
              </w:rPr>
            </w:pPr>
            <w:r w:rsidRPr="002D1573">
              <w:rPr>
                <w:rFonts w:asciiTheme="minorBidi" w:hAnsiTheme="minorBidi"/>
                <w:color w:val="000000"/>
                <w:sz w:val="18"/>
                <w:szCs w:val="18"/>
              </w:rPr>
              <w:t>93%</w:t>
            </w:r>
          </w:p>
        </w:tc>
      </w:tr>
      <w:tr w:rsidR="00F72778" w:rsidRPr="002D1573" w14:paraId="7AB80B74" w14:textId="77777777" w:rsidTr="002D2C8D">
        <w:trPr>
          <w:trHeight w:val="300"/>
        </w:trPr>
        <w:tc>
          <w:tcPr>
            <w:tcW w:w="3595" w:type="dxa"/>
            <w:noWrap/>
            <w:vAlign w:val="center"/>
            <w:hideMark/>
          </w:tcPr>
          <w:p w14:paraId="68DF9373" w14:textId="77777777" w:rsidR="00F72778" w:rsidRPr="002D1573" w:rsidRDefault="00F72778" w:rsidP="002D1573">
            <w:pPr>
              <w:spacing w:before="0" w:after="0" w:line="240" w:lineRule="auto"/>
              <w:rPr>
                <w:rFonts w:asciiTheme="minorBidi" w:hAnsiTheme="minorBidi"/>
                <w:b/>
                <w:color w:val="000000"/>
                <w:sz w:val="18"/>
                <w:szCs w:val="18"/>
              </w:rPr>
            </w:pPr>
            <w:r w:rsidRPr="002D1573">
              <w:rPr>
                <w:rFonts w:asciiTheme="minorBidi" w:hAnsiTheme="minorBidi"/>
                <w:b/>
                <w:color w:val="000000"/>
                <w:sz w:val="18"/>
                <w:szCs w:val="18"/>
              </w:rPr>
              <w:t>KOKKU</w:t>
            </w:r>
          </w:p>
        </w:tc>
        <w:tc>
          <w:tcPr>
            <w:tcW w:w="1440" w:type="dxa"/>
            <w:noWrap/>
            <w:vAlign w:val="center"/>
            <w:hideMark/>
          </w:tcPr>
          <w:p w14:paraId="64289DA8" w14:textId="4B347FC4"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1</w:t>
            </w:r>
            <w:r w:rsidR="009402A5">
              <w:rPr>
                <w:rFonts w:asciiTheme="minorBidi" w:hAnsiTheme="minorBidi"/>
                <w:sz w:val="18"/>
                <w:szCs w:val="18"/>
              </w:rPr>
              <w:t xml:space="preserve"> </w:t>
            </w:r>
            <w:r w:rsidRPr="002D1573">
              <w:rPr>
                <w:rFonts w:asciiTheme="minorBidi" w:hAnsiTheme="minorBidi"/>
                <w:sz w:val="18"/>
                <w:szCs w:val="18"/>
              </w:rPr>
              <w:t>280</w:t>
            </w:r>
            <w:r w:rsidR="009402A5">
              <w:rPr>
                <w:rFonts w:asciiTheme="minorBidi" w:hAnsiTheme="minorBidi"/>
                <w:sz w:val="18"/>
                <w:szCs w:val="18"/>
              </w:rPr>
              <w:t xml:space="preserve"> </w:t>
            </w:r>
            <w:r w:rsidRPr="002D1573">
              <w:rPr>
                <w:rFonts w:asciiTheme="minorBidi" w:hAnsiTheme="minorBidi"/>
                <w:sz w:val="18"/>
                <w:szCs w:val="18"/>
              </w:rPr>
              <w:t>301</w:t>
            </w:r>
          </w:p>
        </w:tc>
        <w:tc>
          <w:tcPr>
            <w:tcW w:w="1530" w:type="dxa"/>
            <w:noWrap/>
            <w:vAlign w:val="center"/>
            <w:hideMark/>
          </w:tcPr>
          <w:p w14:paraId="0535320B" w14:textId="1050BCF1"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1</w:t>
            </w:r>
            <w:r w:rsidR="009402A5">
              <w:rPr>
                <w:rFonts w:asciiTheme="minorBidi" w:hAnsiTheme="minorBidi"/>
                <w:sz w:val="18"/>
                <w:szCs w:val="18"/>
              </w:rPr>
              <w:t xml:space="preserve"> </w:t>
            </w:r>
            <w:r w:rsidRPr="002D1573">
              <w:rPr>
                <w:rFonts w:asciiTheme="minorBidi" w:hAnsiTheme="minorBidi"/>
                <w:sz w:val="18"/>
                <w:szCs w:val="18"/>
              </w:rPr>
              <w:t>523</w:t>
            </w:r>
            <w:r w:rsidR="009402A5">
              <w:rPr>
                <w:rFonts w:asciiTheme="minorBidi" w:hAnsiTheme="minorBidi"/>
                <w:sz w:val="18"/>
                <w:szCs w:val="18"/>
              </w:rPr>
              <w:t xml:space="preserve"> </w:t>
            </w:r>
            <w:r w:rsidRPr="002D1573">
              <w:rPr>
                <w:rFonts w:asciiTheme="minorBidi" w:hAnsiTheme="minorBidi"/>
                <w:sz w:val="18"/>
                <w:szCs w:val="18"/>
              </w:rPr>
              <w:t>338</w:t>
            </w:r>
          </w:p>
        </w:tc>
        <w:tc>
          <w:tcPr>
            <w:tcW w:w="1530" w:type="dxa"/>
            <w:noWrap/>
            <w:vAlign w:val="center"/>
            <w:hideMark/>
          </w:tcPr>
          <w:p w14:paraId="64CD74B6" w14:textId="6B6C4B47"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806</w:t>
            </w:r>
            <w:r w:rsidR="009402A5">
              <w:rPr>
                <w:rFonts w:asciiTheme="minorBidi" w:hAnsiTheme="minorBidi"/>
                <w:sz w:val="18"/>
                <w:szCs w:val="18"/>
              </w:rPr>
              <w:t xml:space="preserve"> </w:t>
            </w:r>
            <w:r w:rsidRPr="002D1573">
              <w:rPr>
                <w:rFonts w:asciiTheme="minorBidi" w:hAnsiTheme="minorBidi"/>
                <w:sz w:val="18"/>
                <w:szCs w:val="18"/>
              </w:rPr>
              <w:t>091</w:t>
            </w:r>
          </w:p>
        </w:tc>
        <w:tc>
          <w:tcPr>
            <w:tcW w:w="1530" w:type="dxa"/>
            <w:noWrap/>
            <w:vAlign w:val="center"/>
            <w:hideMark/>
          </w:tcPr>
          <w:p w14:paraId="3903441B" w14:textId="3424F09C"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847</w:t>
            </w:r>
            <w:r w:rsidR="009402A5">
              <w:rPr>
                <w:rFonts w:asciiTheme="minorBidi" w:hAnsiTheme="minorBidi"/>
                <w:sz w:val="18"/>
                <w:szCs w:val="18"/>
              </w:rPr>
              <w:t xml:space="preserve"> </w:t>
            </w:r>
            <w:r w:rsidRPr="002D1573">
              <w:rPr>
                <w:rFonts w:asciiTheme="minorBidi" w:hAnsiTheme="minorBidi"/>
                <w:sz w:val="18"/>
                <w:szCs w:val="18"/>
              </w:rPr>
              <w:t>516</w:t>
            </w:r>
          </w:p>
        </w:tc>
        <w:tc>
          <w:tcPr>
            <w:tcW w:w="1530" w:type="dxa"/>
            <w:noWrap/>
            <w:vAlign w:val="center"/>
            <w:hideMark/>
          </w:tcPr>
          <w:p w14:paraId="4D589F6B" w14:textId="613376BD"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1</w:t>
            </w:r>
            <w:r w:rsidR="009402A5">
              <w:rPr>
                <w:rFonts w:asciiTheme="minorBidi" w:hAnsiTheme="minorBidi"/>
                <w:sz w:val="18"/>
                <w:szCs w:val="18"/>
              </w:rPr>
              <w:t xml:space="preserve"> </w:t>
            </w:r>
            <w:r w:rsidRPr="002D1573">
              <w:rPr>
                <w:rFonts w:asciiTheme="minorBidi" w:hAnsiTheme="minorBidi"/>
                <w:sz w:val="18"/>
                <w:szCs w:val="18"/>
              </w:rPr>
              <w:t>286</w:t>
            </w:r>
            <w:r w:rsidR="009402A5">
              <w:rPr>
                <w:rFonts w:asciiTheme="minorBidi" w:hAnsiTheme="minorBidi"/>
                <w:sz w:val="18"/>
                <w:szCs w:val="18"/>
              </w:rPr>
              <w:t xml:space="preserve"> </w:t>
            </w:r>
            <w:r w:rsidRPr="002D1573">
              <w:rPr>
                <w:rFonts w:asciiTheme="minorBidi" w:hAnsiTheme="minorBidi"/>
                <w:sz w:val="18"/>
                <w:szCs w:val="18"/>
              </w:rPr>
              <w:t>201</w:t>
            </w:r>
          </w:p>
        </w:tc>
        <w:tc>
          <w:tcPr>
            <w:tcW w:w="1530" w:type="dxa"/>
            <w:noWrap/>
            <w:vAlign w:val="center"/>
            <w:hideMark/>
          </w:tcPr>
          <w:p w14:paraId="5BE89D04" w14:textId="56C49CD7" w:rsidR="00F72778" w:rsidRPr="002D1573" w:rsidRDefault="00F72778" w:rsidP="002D1573">
            <w:pPr>
              <w:spacing w:before="0" w:after="0" w:line="240" w:lineRule="auto"/>
              <w:jc w:val="right"/>
              <w:rPr>
                <w:rFonts w:asciiTheme="minorBidi" w:hAnsiTheme="minorBidi"/>
                <w:sz w:val="18"/>
                <w:szCs w:val="18"/>
              </w:rPr>
            </w:pPr>
            <w:r w:rsidRPr="002D1573">
              <w:rPr>
                <w:rFonts w:asciiTheme="minorBidi" w:hAnsiTheme="minorBidi"/>
                <w:sz w:val="18"/>
                <w:szCs w:val="18"/>
              </w:rPr>
              <w:t>1</w:t>
            </w:r>
            <w:r w:rsidR="009402A5">
              <w:rPr>
                <w:rFonts w:asciiTheme="minorBidi" w:hAnsiTheme="minorBidi"/>
                <w:sz w:val="18"/>
                <w:szCs w:val="18"/>
              </w:rPr>
              <w:t xml:space="preserve"> </w:t>
            </w:r>
            <w:r w:rsidRPr="002D1573">
              <w:rPr>
                <w:rFonts w:asciiTheme="minorBidi" w:hAnsiTheme="minorBidi"/>
                <w:sz w:val="18"/>
                <w:szCs w:val="18"/>
              </w:rPr>
              <w:t>482</w:t>
            </w:r>
            <w:r w:rsidR="009402A5">
              <w:rPr>
                <w:rFonts w:asciiTheme="minorBidi" w:hAnsiTheme="minorBidi"/>
                <w:sz w:val="18"/>
                <w:szCs w:val="18"/>
              </w:rPr>
              <w:t xml:space="preserve"> </w:t>
            </w:r>
            <w:r w:rsidRPr="002D1573">
              <w:rPr>
                <w:rFonts w:asciiTheme="minorBidi" w:hAnsiTheme="minorBidi"/>
                <w:sz w:val="18"/>
                <w:szCs w:val="18"/>
              </w:rPr>
              <w:t>227</w:t>
            </w:r>
          </w:p>
        </w:tc>
        <w:tc>
          <w:tcPr>
            <w:tcW w:w="1260" w:type="dxa"/>
            <w:shd w:val="clear" w:color="auto" w:fill="E5E5E5" w:themeFill="background2" w:themeFillShade="E6"/>
            <w:noWrap/>
            <w:vAlign w:val="center"/>
            <w:hideMark/>
          </w:tcPr>
          <w:p w14:paraId="05DC97CB" w14:textId="7BFBA93F" w:rsidR="00F72778" w:rsidRPr="002D1573" w:rsidRDefault="4A7E2F16" w:rsidP="4A7E2F16">
            <w:pPr>
              <w:spacing w:before="0" w:after="0" w:line="240" w:lineRule="auto"/>
              <w:jc w:val="right"/>
              <w:rPr>
                <w:rFonts w:asciiTheme="minorBidi" w:hAnsiTheme="minorBidi"/>
                <w:sz w:val="18"/>
                <w:szCs w:val="18"/>
              </w:rPr>
            </w:pPr>
            <w:r w:rsidRPr="4A7E2F16">
              <w:rPr>
                <w:rFonts w:asciiTheme="minorBidi" w:hAnsiTheme="minorBidi"/>
                <w:sz w:val="18"/>
                <w:szCs w:val="18"/>
              </w:rPr>
              <w:t>100%</w:t>
            </w:r>
          </w:p>
        </w:tc>
      </w:tr>
    </w:tbl>
    <w:p w14:paraId="0A172D6D" w14:textId="77777777" w:rsidR="00F72778" w:rsidRPr="00E14EBC" w:rsidRDefault="00F72778" w:rsidP="00F72778">
      <w:pPr>
        <w:pStyle w:val="BottomCaption"/>
      </w:pPr>
      <w:r w:rsidRPr="00E14EBC">
        <w:t>Allikas: Eurostat</w:t>
      </w:r>
    </w:p>
    <w:p w14:paraId="36365F14" w14:textId="77777777" w:rsidR="00F72778" w:rsidRPr="00E14EBC" w:rsidRDefault="00F72778" w:rsidP="00F72778">
      <w:pPr>
        <w:spacing w:line="259" w:lineRule="auto"/>
      </w:pPr>
      <w:r w:rsidRPr="00E14EBC">
        <w:br w:type="page"/>
      </w:r>
    </w:p>
    <w:p w14:paraId="4D574B4C" w14:textId="073282EF" w:rsidR="00F72778" w:rsidRPr="00E14EBC" w:rsidRDefault="00F72778" w:rsidP="00F72778">
      <w:pPr>
        <w:spacing w:line="259" w:lineRule="auto"/>
      </w:pPr>
    </w:p>
    <w:p w14:paraId="4DA5EE38" w14:textId="12BE14E9" w:rsidR="00F72778" w:rsidRPr="00E14EBC" w:rsidRDefault="00F72778" w:rsidP="00F72778">
      <w:pPr>
        <w:pStyle w:val="Caption"/>
      </w:pPr>
      <w:r w:rsidRPr="00F008CE">
        <w:t>Tabel 3</w:t>
      </w:r>
      <w:r>
        <w:t>6</w:t>
      </w:r>
      <w:r w:rsidRPr="00F008CE">
        <w:t>: Majutusettevõtete ja lühiajalise üüri majutuskohtade pakkumise kattuvus, 2023</w:t>
      </w:r>
      <w:r>
        <w:t xml:space="preserve"> ja 20</w:t>
      </w:r>
      <w:r w:rsidRPr="00F008CE">
        <w:t>24</w:t>
      </w: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5"/>
        <w:gridCol w:w="1079"/>
        <w:gridCol w:w="989"/>
        <w:gridCol w:w="1259"/>
        <w:gridCol w:w="236"/>
        <w:gridCol w:w="4000"/>
        <w:gridCol w:w="807"/>
        <w:gridCol w:w="990"/>
        <w:gridCol w:w="900"/>
      </w:tblGrid>
      <w:tr w:rsidR="00F72778" w:rsidRPr="007E4529" w14:paraId="5D8DEA72" w14:textId="77777777" w:rsidTr="009402A5">
        <w:trPr>
          <w:trHeight w:val="380"/>
        </w:trPr>
        <w:tc>
          <w:tcPr>
            <w:tcW w:w="3595" w:type="dxa"/>
            <w:noWrap/>
            <w:vAlign w:val="center"/>
            <w:hideMark/>
          </w:tcPr>
          <w:p w14:paraId="5770966B" w14:textId="77777777" w:rsidR="00F72778" w:rsidRPr="007E4529" w:rsidRDefault="00F72778" w:rsidP="007E4529">
            <w:pPr>
              <w:spacing w:before="0" w:after="0" w:line="240" w:lineRule="auto"/>
              <w:jc w:val="center"/>
              <w:rPr>
                <w:rFonts w:asciiTheme="minorBidi" w:hAnsiTheme="minorBidi"/>
                <w:color w:val="000000"/>
                <w:sz w:val="18"/>
                <w:szCs w:val="18"/>
              </w:rPr>
            </w:pPr>
            <w:r w:rsidRPr="007E4529">
              <w:rPr>
                <w:rFonts w:asciiTheme="minorBidi" w:hAnsiTheme="minorBidi"/>
                <w:color w:val="000000"/>
                <w:sz w:val="18"/>
                <w:szCs w:val="18"/>
              </w:rPr>
              <w:t>2023.a. (SA)</w:t>
            </w:r>
          </w:p>
        </w:tc>
        <w:tc>
          <w:tcPr>
            <w:tcW w:w="1079" w:type="dxa"/>
            <w:noWrap/>
            <w:vAlign w:val="center"/>
            <w:hideMark/>
          </w:tcPr>
          <w:p w14:paraId="1547673B" w14:textId="77777777" w:rsidR="00F72778" w:rsidRPr="007E4529" w:rsidRDefault="00F72778" w:rsidP="007E4529">
            <w:pPr>
              <w:spacing w:before="0" w:after="0" w:line="240" w:lineRule="auto"/>
              <w:jc w:val="center"/>
              <w:rPr>
                <w:rFonts w:asciiTheme="minorBidi" w:hAnsiTheme="minorBidi"/>
                <w:color w:val="000000"/>
                <w:sz w:val="18"/>
                <w:szCs w:val="18"/>
              </w:rPr>
            </w:pPr>
            <w:r w:rsidRPr="007E4529">
              <w:rPr>
                <w:rFonts w:asciiTheme="minorBidi" w:hAnsiTheme="minorBidi"/>
                <w:color w:val="000000"/>
                <w:sz w:val="18"/>
                <w:szCs w:val="18"/>
              </w:rPr>
              <w:t>EST</w:t>
            </w:r>
          </w:p>
        </w:tc>
        <w:tc>
          <w:tcPr>
            <w:tcW w:w="989" w:type="dxa"/>
            <w:noWrap/>
            <w:vAlign w:val="center"/>
            <w:hideMark/>
          </w:tcPr>
          <w:p w14:paraId="6F500C89" w14:textId="77777777" w:rsidR="00F72778" w:rsidRPr="007E4529" w:rsidRDefault="00F72778" w:rsidP="007E4529">
            <w:pPr>
              <w:spacing w:before="0" w:after="0" w:line="240" w:lineRule="auto"/>
              <w:jc w:val="center"/>
              <w:rPr>
                <w:rFonts w:asciiTheme="minorBidi" w:hAnsiTheme="minorBidi"/>
                <w:color w:val="000000"/>
                <w:sz w:val="18"/>
                <w:szCs w:val="18"/>
              </w:rPr>
            </w:pPr>
            <w:r w:rsidRPr="007E4529">
              <w:rPr>
                <w:rFonts w:asciiTheme="minorBidi" w:hAnsiTheme="minorBidi"/>
                <w:color w:val="000000"/>
                <w:sz w:val="18"/>
                <w:szCs w:val="18"/>
              </w:rPr>
              <w:t>sh TLN</w:t>
            </w:r>
          </w:p>
        </w:tc>
        <w:tc>
          <w:tcPr>
            <w:tcW w:w="1259" w:type="dxa"/>
            <w:noWrap/>
            <w:vAlign w:val="center"/>
            <w:hideMark/>
          </w:tcPr>
          <w:p w14:paraId="6CFDD642" w14:textId="77777777" w:rsidR="00F72778" w:rsidRPr="007E4529" w:rsidRDefault="00F72778" w:rsidP="007E4529">
            <w:pPr>
              <w:spacing w:before="0" w:after="0" w:line="240" w:lineRule="auto"/>
              <w:jc w:val="center"/>
              <w:rPr>
                <w:rFonts w:asciiTheme="minorBidi" w:hAnsiTheme="minorBidi"/>
                <w:color w:val="000000"/>
                <w:sz w:val="18"/>
                <w:szCs w:val="18"/>
              </w:rPr>
            </w:pPr>
            <w:r w:rsidRPr="007E4529">
              <w:rPr>
                <w:rFonts w:asciiTheme="minorBidi" w:hAnsiTheme="minorBidi"/>
                <w:color w:val="000000"/>
                <w:sz w:val="18"/>
                <w:szCs w:val="18"/>
              </w:rPr>
              <w:t>sh muu EST</w:t>
            </w:r>
          </w:p>
        </w:tc>
        <w:tc>
          <w:tcPr>
            <w:tcW w:w="236" w:type="dxa"/>
            <w:noWrap/>
            <w:vAlign w:val="center"/>
            <w:hideMark/>
          </w:tcPr>
          <w:p w14:paraId="611190CB" w14:textId="77777777" w:rsidR="00F72778" w:rsidRPr="007E4529" w:rsidRDefault="00F72778" w:rsidP="007E4529">
            <w:pPr>
              <w:spacing w:before="0" w:after="0" w:line="240" w:lineRule="auto"/>
              <w:jc w:val="center"/>
              <w:rPr>
                <w:rFonts w:asciiTheme="minorBidi" w:hAnsiTheme="minorBidi"/>
                <w:color w:val="000000"/>
                <w:sz w:val="18"/>
                <w:szCs w:val="18"/>
              </w:rPr>
            </w:pPr>
          </w:p>
        </w:tc>
        <w:tc>
          <w:tcPr>
            <w:tcW w:w="4000" w:type="dxa"/>
            <w:noWrap/>
            <w:vAlign w:val="center"/>
            <w:hideMark/>
          </w:tcPr>
          <w:p w14:paraId="79ECAE75" w14:textId="77777777" w:rsidR="00F72778" w:rsidRPr="007E4529" w:rsidRDefault="00F72778" w:rsidP="007E4529">
            <w:pPr>
              <w:spacing w:before="0" w:after="0" w:line="240" w:lineRule="auto"/>
              <w:jc w:val="center"/>
              <w:rPr>
                <w:rFonts w:asciiTheme="minorBidi" w:hAnsiTheme="minorBidi"/>
                <w:color w:val="000000"/>
                <w:sz w:val="18"/>
                <w:szCs w:val="18"/>
              </w:rPr>
            </w:pPr>
            <w:r w:rsidRPr="007E4529">
              <w:rPr>
                <w:rFonts w:asciiTheme="minorBidi" w:hAnsiTheme="minorBidi"/>
                <w:color w:val="000000"/>
                <w:sz w:val="18"/>
                <w:szCs w:val="18"/>
              </w:rPr>
              <w:t>JUL või AUG 2024 (EIS/Lighthouse, Doorbll)</w:t>
            </w:r>
          </w:p>
        </w:tc>
        <w:tc>
          <w:tcPr>
            <w:tcW w:w="807" w:type="dxa"/>
            <w:noWrap/>
            <w:vAlign w:val="center"/>
            <w:hideMark/>
          </w:tcPr>
          <w:p w14:paraId="07EDC23B" w14:textId="77777777" w:rsidR="00F72778" w:rsidRPr="007E4529" w:rsidRDefault="00F72778" w:rsidP="007E4529">
            <w:pPr>
              <w:spacing w:before="0" w:after="0" w:line="240" w:lineRule="auto"/>
              <w:jc w:val="center"/>
              <w:rPr>
                <w:rFonts w:asciiTheme="minorBidi" w:hAnsiTheme="minorBidi"/>
                <w:color w:val="000000"/>
                <w:sz w:val="18"/>
                <w:szCs w:val="18"/>
              </w:rPr>
            </w:pPr>
            <w:r w:rsidRPr="007E4529">
              <w:rPr>
                <w:rFonts w:asciiTheme="minorBidi" w:hAnsiTheme="minorBidi"/>
                <w:color w:val="000000"/>
                <w:sz w:val="18"/>
                <w:szCs w:val="18"/>
              </w:rPr>
              <w:t>EST</w:t>
            </w:r>
          </w:p>
        </w:tc>
        <w:tc>
          <w:tcPr>
            <w:tcW w:w="990" w:type="dxa"/>
            <w:noWrap/>
            <w:vAlign w:val="center"/>
            <w:hideMark/>
          </w:tcPr>
          <w:p w14:paraId="4741117F" w14:textId="77777777" w:rsidR="00F72778" w:rsidRPr="007E4529" w:rsidRDefault="00F72778" w:rsidP="007E4529">
            <w:pPr>
              <w:spacing w:before="0" w:after="0" w:line="240" w:lineRule="auto"/>
              <w:jc w:val="center"/>
              <w:rPr>
                <w:rFonts w:asciiTheme="minorBidi" w:hAnsiTheme="minorBidi"/>
                <w:color w:val="000000"/>
                <w:sz w:val="18"/>
                <w:szCs w:val="18"/>
              </w:rPr>
            </w:pPr>
            <w:r w:rsidRPr="007E4529">
              <w:rPr>
                <w:rFonts w:asciiTheme="minorBidi" w:hAnsiTheme="minorBidi"/>
                <w:color w:val="000000"/>
                <w:sz w:val="18"/>
                <w:szCs w:val="18"/>
              </w:rPr>
              <w:t>sh TLN</w:t>
            </w:r>
          </w:p>
        </w:tc>
        <w:tc>
          <w:tcPr>
            <w:tcW w:w="900" w:type="dxa"/>
            <w:noWrap/>
            <w:vAlign w:val="center"/>
            <w:hideMark/>
          </w:tcPr>
          <w:p w14:paraId="26491A97" w14:textId="77777777" w:rsidR="00F72778" w:rsidRPr="007E4529" w:rsidRDefault="00F72778" w:rsidP="007E4529">
            <w:pPr>
              <w:spacing w:before="0" w:after="0" w:line="240" w:lineRule="auto"/>
              <w:jc w:val="center"/>
              <w:rPr>
                <w:rFonts w:asciiTheme="minorBidi" w:hAnsiTheme="minorBidi"/>
                <w:color w:val="000000"/>
                <w:sz w:val="18"/>
                <w:szCs w:val="18"/>
              </w:rPr>
            </w:pPr>
            <w:r w:rsidRPr="007E4529">
              <w:rPr>
                <w:rFonts w:asciiTheme="minorBidi" w:hAnsiTheme="minorBidi"/>
                <w:color w:val="000000"/>
                <w:sz w:val="18"/>
                <w:szCs w:val="18"/>
              </w:rPr>
              <w:t>sh muu EST</w:t>
            </w:r>
          </w:p>
        </w:tc>
      </w:tr>
      <w:tr w:rsidR="00F72778" w:rsidRPr="007E4529" w14:paraId="26A45FF6" w14:textId="77777777" w:rsidTr="009402A5">
        <w:trPr>
          <w:trHeight w:val="180"/>
        </w:trPr>
        <w:tc>
          <w:tcPr>
            <w:tcW w:w="3595" w:type="dxa"/>
            <w:noWrap/>
            <w:vAlign w:val="center"/>
            <w:hideMark/>
          </w:tcPr>
          <w:p w14:paraId="2867FE38" w14:textId="77777777" w:rsidR="00F72778" w:rsidRPr="007E4529" w:rsidRDefault="00F72778" w:rsidP="007E4529">
            <w:pPr>
              <w:spacing w:before="0" w:after="0" w:line="240" w:lineRule="auto"/>
              <w:jc w:val="center"/>
              <w:rPr>
                <w:rFonts w:asciiTheme="minorBidi" w:hAnsiTheme="minorBidi"/>
                <w:color w:val="000000"/>
                <w:sz w:val="18"/>
                <w:szCs w:val="18"/>
              </w:rPr>
            </w:pPr>
          </w:p>
        </w:tc>
        <w:tc>
          <w:tcPr>
            <w:tcW w:w="1079" w:type="dxa"/>
            <w:noWrap/>
            <w:vAlign w:val="center"/>
            <w:hideMark/>
          </w:tcPr>
          <w:p w14:paraId="389065EA" w14:textId="77777777" w:rsidR="00F72778" w:rsidRPr="007E4529" w:rsidRDefault="00F72778" w:rsidP="007E4529">
            <w:pPr>
              <w:spacing w:before="0" w:after="0" w:line="240" w:lineRule="auto"/>
              <w:jc w:val="center"/>
              <w:rPr>
                <w:rFonts w:asciiTheme="minorBidi" w:hAnsiTheme="minorBidi"/>
                <w:sz w:val="18"/>
                <w:szCs w:val="18"/>
              </w:rPr>
            </w:pPr>
          </w:p>
        </w:tc>
        <w:tc>
          <w:tcPr>
            <w:tcW w:w="989" w:type="dxa"/>
            <w:noWrap/>
            <w:vAlign w:val="center"/>
            <w:hideMark/>
          </w:tcPr>
          <w:p w14:paraId="16A284FF" w14:textId="77777777" w:rsidR="00F72778" w:rsidRPr="007E4529" w:rsidRDefault="00F72778" w:rsidP="007E4529">
            <w:pPr>
              <w:spacing w:before="0" w:after="0" w:line="240" w:lineRule="auto"/>
              <w:jc w:val="center"/>
              <w:rPr>
                <w:rFonts w:asciiTheme="minorBidi" w:hAnsiTheme="minorBidi"/>
                <w:sz w:val="18"/>
                <w:szCs w:val="18"/>
              </w:rPr>
            </w:pPr>
          </w:p>
        </w:tc>
        <w:tc>
          <w:tcPr>
            <w:tcW w:w="1259" w:type="dxa"/>
            <w:noWrap/>
            <w:vAlign w:val="center"/>
            <w:hideMark/>
          </w:tcPr>
          <w:p w14:paraId="73D4ECF2" w14:textId="77777777" w:rsidR="00F72778" w:rsidRPr="007E4529" w:rsidRDefault="00F72778" w:rsidP="007E4529">
            <w:pPr>
              <w:spacing w:before="0" w:after="0" w:line="240" w:lineRule="auto"/>
              <w:jc w:val="center"/>
              <w:rPr>
                <w:rFonts w:asciiTheme="minorBidi" w:hAnsiTheme="minorBidi"/>
                <w:sz w:val="18"/>
                <w:szCs w:val="18"/>
              </w:rPr>
            </w:pPr>
          </w:p>
        </w:tc>
        <w:tc>
          <w:tcPr>
            <w:tcW w:w="236" w:type="dxa"/>
            <w:noWrap/>
            <w:vAlign w:val="center"/>
            <w:hideMark/>
          </w:tcPr>
          <w:p w14:paraId="4A92F69A" w14:textId="77777777" w:rsidR="00F72778" w:rsidRPr="007E4529" w:rsidRDefault="00F72778" w:rsidP="007E4529">
            <w:pPr>
              <w:spacing w:before="0" w:after="0" w:line="240" w:lineRule="auto"/>
              <w:jc w:val="center"/>
              <w:rPr>
                <w:rFonts w:asciiTheme="minorBidi" w:hAnsiTheme="minorBidi"/>
                <w:sz w:val="18"/>
                <w:szCs w:val="18"/>
              </w:rPr>
            </w:pPr>
          </w:p>
        </w:tc>
        <w:tc>
          <w:tcPr>
            <w:tcW w:w="4000" w:type="dxa"/>
            <w:noWrap/>
            <w:vAlign w:val="center"/>
            <w:hideMark/>
          </w:tcPr>
          <w:p w14:paraId="030B4100" w14:textId="77777777" w:rsidR="00F72778" w:rsidRPr="007E4529" w:rsidRDefault="00F72778" w:rsidP="007E4529">
            <w:pPr>
              <w:spacing w:before="0" w:after="0" w:line="240" w:lineRule="auto"/>
              <w:rPr>
                <w:rFonts w:asciiTheme="minorBidi" w:hAnsiTheme="minorBidi"/>
                <w:sz w:val="18"/>
                <w:szCs w:val="18"/>
              </w:rPr>
            </w:pPr>
          </w:p>
        </w:tc>
        <w:tc>
          <w:tcPr>
            <w:tcW w:w="807" w:type="dxa"/>
            <w:noWrap/>
            <w:vAlign w:val="center"/>
            <w:hideMark/>
          </w:tcPr>
          <w:p w14:paraId="61C94250" w14:textId="77777777" w:rsidR="00F72778" w:rsidRPr="007E4529" w:rsidRDefault="00F72778" w:rsidP="007E4529">
            <w:pPr>
              <w:spacing w:before="0" w:after="0" w:line="240" w:lineRule="auto"/>
              <w:jc w:val="center"/>
              <w:rPr>
                <w:rFonts w:asciiTheme="minorBidi" w:hAnsiTheme="minorBidi"/>
                <w:sz w:val="18"/>
                <w:szCs w:val="18"/>
              </w:rPr>
            </w:pPr>
          </w:p>
        </w:tc>
        <w:tc>
          <w:tcPr>
            <w:tcW w:w="990" w:type="dxa"/>
            <w:noWrap/>
            <w:vAlign w:val="center"/>
            <w:hideMark/>
          </w:tcPr>
          <w:p w14:paraId="0101E271" w14:textId="77777777" w:rsidR="00F72778" w:rsidRPr="007E4529" w:rsidRDefault="00F72778" w:rsidP="007E4529">
            <w:pPr>
              <w:spacing w:before="0" w:after="0" w:line="240" w:lineRule="auto"/>
              <w:jc w:val="center"/>
              <w:rPr>
                <w:rFonts w:asciiTheme="minorBidi" w:hAnsiTheme="minorBidi"/>
                <w:sz w:val="18"/>
                <w:szCs w:val="18"/>
              </w:rPr>
            </w:pPr>
          </w:p>
        </w:tc>
        <w:tc>
          <w:tcPr>
            <w:tcW w:w="900" w:type="dxa"/>
            <w:noWrap/>
            <w:vAlign w:val="center"/>
            <w:hideMark/>
          </w:tcPr>
          <w:p w14:paraId="4058B855" w14:textId="77777777" w:rsidR="00F72778" w:rsidRPr="007E4529" w:rsidRDefault="00F72778" w:rsidP="007E4529">
            <w:pPr>
              <w:spacing w:before="0" w:after="0" w:line="240" w:lineRule="auto"/>
              <w:jc w:val="center"/>
              <w:rPr>
                <w:rFonts w:asciiTheme="minorBidi" w:hAnsiTheme="minorBidi"/>
                <w:sz w:val="18"/>
                <w:szCs w:val="18"/>
              </w:rPr>
            </w:pPr>
          </w:p>
        </w:tc>
      </w:tr>
      <w:tr w:rsidR="00F72778" w:rsidRPr="007E4529" w14:paraId="544712D5" w14:textId="77777777" w:rsidTr="009402A5">
        <w:trPr>
          <w:trHeight w:val="380"/>
        </w:trPr>
        <w:tc>
          <w:tcPr>
            <w:tcW w:w="3595" w:type="dxa"/>
            <w:noWrap/>
            <w:vAlign w:val="center"/>
            <w:hideMark/>
          </w:tcPr>
          <w:p w14:paraId="0B021F76" w14:textId="77777777" w:rsidR="00F72778" w:rsidRPr="007E4529" w:rsidRDefault="00F72778" w:rsidP="007E4529">
            <w:pPr>
              <w:spacing w:before="0" w:after="0" w:line="240" w:lineRule="auto"/>
              <w:rPr>
                <w:rFonts w:asciiTheme="minorBidi" w:hAnsiTheme="minorBidi"/>
                <w:color w:val="000000"/>
                <w:sz w:val="18"/>
                <w:szCs w:val="18"/>
              </w:rPr>
            </w:pPr>
            <w:r w:rsidRPr="007E4529">
              <w:rPr>
                <w:rFonts w:asciiTheme="minorBidi" w:hAnsiTheme="minorBidi"/>
                <w:color w:val="000000"/>
                <w:sz w:val="18"/>
                <w:szCs w:val="18"/>
              </w:rPr>
              <w:t>voodikohtade arv majutusettevõtetes (ME)</w:t>
            </w:r>
          </w:p>
        </w:tc>
        <w:tc>
          <w:tcPr>
            <w:tcW w:w="1079" w:type="dxa"/>
            <w:noWrap/>
            <w:vAlign w:val="center"/>
            <w:hideMark/>
          </w:tcPr>
          <w:p w14:paraId="6B7DA318" w14:textId="02B47C55" w:rsidR="00F72778" w:rsidRPr="007E4529" w:rsidRDefault="00F72778" w:rsidP="007E4529">
            <w:pPr>
              <w:spacing w:before="0" w:after="0" w:line="240" w:lineRule="auto"/>
              <w:jc w:val="right"/>
              <w:rPr>
                <w:rFonts w:asciiTheme="minorBidi" w:hAnsiTheme="minorBidi"/>
                <w:b/>
                <w:sz w:val="18"/>
                <w:szCs w:val="18"/>
              </w:rPr>
            </w:pPr>
            <w:r w:rsidRPr="007E4529">
              <w:rPr>
                <w:rFonts w:asciiTheme="minorBidi" w:hAnsiTheme="minorBidi"/>
                <w:b/>
                <w:sz w:val="18"/>
                <w:szCs w:val="18"/>
              </w:rPr>
              <w:t>61</w:t>
            </w:r>
            <w:r w:rsidR="009402A5">
              <w:rPr>
                <w:rFonts w:asciiTheme="minorBidi" w:hAnsiTheme="minorBidi"/>
                <w:b/>
                <w:sz w:val="18"/>
                <w:szCs w:val="18"/>
              </w:rPr>
              <w:t xml:space="preserve"> </w:t>
            </w:r>
            <w:r w:rsidRPr="007E4529">
              <w:rPr>
                <w:rFonts w:asciiTheme="minorBidi" w:hAnsiTheme="minorBidi"/>
                <w:b/>
                <w:sz w:val="18"/>
                <w:szCs w:val="18"/>
              </w:rPr>
              <w:t>904</w:t>
            </w:r>
          </w:p>
        </w:tc>
        <w:tc>
          <w:tcPr>
            <w:tcW w:w="989" w:type="dxa"/>
            <w:noWrap/>
            <w:vAlign w:val="center"/>
            <w:hideMark/>
          </w:tcPr>
          <w:p w14:paraId="4DE6B685" w14:textId="1A372365" w:rsidR="00F72778" w:rsidRPr="007E4529" w:rsidRDefault="00F72778" w:rsidP="007E4529">
            <w:pPr>
              <w:spacing w:before="0" w:after="0" w:line="240" w:lineRule="auto"/>
              <w:jc w:val="right"/>
              <w:rPr>
                <w:rFonts w:asciiTheme="minorBidi" w:hAnsiTheme="minorBidi"/>
                <w:b/>
                <w:sz w:val="18"/>
                <w:szCs w:val="18"/>
              </w:rPr>
            </w:pPr>
            <w:r w:rsidRPr="007E4529">
              <w:rPr>
                <w:rFonts w:asciiTheme="minorBidi" w:hAnsiTheme="minorBidi"/>
                <w:b/>
                <w:sz w:val="18"/>
                <w:szCs w:val="18"/>
              </w:rPr>
              <w:t>19</w:t>
            </w:r>
            <w:r w:rsidR="009402A5">
              <w:rPr>
                <w:rFonts w:asciiTheme="minorBidi" w:hAnsiTheme="minorBidi"/>
                <w:b/>
                <w:sz w:val="18"/>
                <w:szCs w:val="18"/>
              </w:rPr>
              <w:t xml:space="preserve"> </w:t>
            </w:r>
            <w:r w:rsidRPr="007E4529">
              <w:rPr>
                <w:rFonts w:asciiTheme="minorBidi" w:hAnsiTheme="minorBidi"/>
                <w:b/>
                <w:sz w:val="18"/>
                <w:szCs w:val="18"/>
              </w:rPr>
              <w:t>541</w:t>
            </w:r>
          </w:p>
        </w:tc>
        <w:tc>
          <w:tcPr>
            <w:tcW w:w="1259" w:type="dxa"/>
            <w:noWrap/>
            <w:vAlign w:val="center"/>
            <w:hideMark/>
          </w:tcPr>
          <w:p w14:paraId="26F4EE40" w14:textId="7F404354" w:rsidR="00F72778" w:rsidRPr="007E4529" w:rsidRDefault="00F72778" w:rsidP="007E4529">
            <w:pPr>
              <w:spacing w:before="0" w:after="0" w:line="240" w:lineRule="auto"/>
              <w:jc w:val="right"/>
              <w:rPr>
                <w:rFonts w:asciiTheme="minorBidi" w:hAnsiTheme="minorBidi"/>
                <w:b/>
                <w:sz w:val="18"/>
                <w:szCs w:val="18"/>
              </w:rPr>
            </w:pPr>
            <w:r w:rsidRPr="007E4529">
              <w:rPr>
                <w:rFonts w:asciiTheme="minorBidi" w:hAnsiTheme="minorBidi"/>
                <w:b/>
                <w:sz w:val="18"/>
                <w:szCs w:val="18"/>
              </w:rPr>
              <w:t>42</w:t>
            </w:r>
            <w:r w:rsidR="009402A5">
              <w:rPr>
                <w:rFonts w:asciiTheme="minorBidi" w:hAnsiTheme="minorBidi"/>
                <w:b/>
                <w:sz w:val="18"/>
                <w:szCs w:val="18"/>
              </w:rPr>
              <w:t xml:space="preserve"> </w:t>
            </w:r>
            <w:r w:rsidRPr="007E4529">
              <w:rPr>
                <w:rFonts w:asciiTheme="minorBidi" w:hAnsiTheme="minorBidi"/>
                <w:b/>
                <w:sz w:val="18"/>
                <w:szCs w:val="18"/>
              </w:rPr>
              <w:t>363</w:t>
            </w:r>
          </w:p>
        </w:tc>
        <w:tc>
          <w:tcPr>
            <w:tcW w:w="236" w:type="dxa"/>
            <w:noWrap/>
            <w:vAlign w:val="center"/>
            <w:hideMark/>
          </w:tcPr>
          <w:p w14:paraId="1D64D03D" w14:textId="77777777" w:rsidR="00F72778" w:rsidRPr="007E4529" w:rsidRDefault="00F72778" w:rsidP="007E4529">
            <w:pPr>
              <w:spacing w:before="0" w:after="0" w:line="240" w:lineRule="auto"/>
              <w:jc w:val="right"/>
              <w:rPr>
                <w:rFonts w:asciiTheme="minorBidi" w:hAnsiTheme="minorBidi"/>
                <w:b/>
                <w:sz w:val="18"/>
                <w:szCs w:val="18"/>
              </w:rPr>
            </w:pPr>
          </w:p>
        </w:tc>
        <w:tc>
          <w:tcPr>
            <w:tcW w:w="4000" w:type="dxa"/>
            <w:noWrap/>
            <w:vAlign w:val="center"/>
            <w:hideMark/>
          </w:tcPr>
          <w:p w14:paraId="3F957679" w14:textId="77777777" w:rsidR="00F72778" w:rsidRPr="007E4529" w:rsidRDefault="00F72778" w:rsidP="007E4529">
            <w:pPr>
              <w:spacing w:before="0" w:after="0" w:line="240" w:lineRule="auto"/>
              <w:rPr>
                <w:rFonts w:asciiTheme="minorBidi" w:hAnsiTheme="minorBidi"/>
                <w:color w:val="000000"/>
                <w:sz w:val="18"/>
                <w:szCs w:val="18"/>
              </w:rPr>
            </w:pPr>
            <w:r w:rsidRPr="007E4529">
              <w:rPr>
                <w:rFonts w:asciiTheme="minorBidi" w:hAnsiTheme="minorBidi"/>
                <w:color w:val="000000"/>
                <w:sz w:val="18"/>
                <w:szCs w:val="18"/>
              </w:rPr>
              <w:t>A. LÜT majutusüksuste (MÜ) arv kokku (EIS/LH)</w:t>
            </w:r>
          </w:p>
        </w:tc>
        <w:tc>
          <w:tcPr>
            <w:tcW w:w="807" w:type="dxa"/>
            <w:noWrap/>
            <w:vAlign w:val="center"/>
            <w:hideMark/>
          </w:tcPr>
          <w:p w14:paraId="63EED047" w14:textId="191C0CBA" w:rsidR="00F72778" w:rsidRPr="007E4529" w:rsidRDefault="00F72778" w:rsidP="007E4529">
            <w:pPr>
              <w:spacing w:before="0" w:after="0" w:line="240" w:lineRule="auto"/>
              <w:jc w:val="right"/>
              <w:rPr>
                <w:rFonts w:asciiTheme="minorBidi" w:hAnsiTheme="minorBidi"/>
                <w:b/>
                <w:color w:val="000000"/>
                <w:sz w:val="18"/>
                <w:szCs w:val="18"/>
              </w:rPr>
            </w:pPr>
            <w:r w:rsidRPr="007E4529">
              <w:rPr>
                <w:rFonts w:asciiTheme="minorBidi" w:hAnsiTheme="minorBidi"/>
                <w:b/>
                <w:color w:val="000000"/>
                <w:sz w:val="18"/>
                <w:szCs w:val="18"/>
              </w:rPr>
              <w:t>10</w:t>
            </w:r>
            <w:r w:rsidR="009402A5">
              <w:rPr>
                <w:rFonts w:asciiTheme="minorBidi" w:hAnsiTheme="minorBidi"/>
                <w:b/>
                <w:color w:val="000000"/>
                <w:sz w:val="18"/>
                <w:szCs w:val="18"/>
              </w:rPr>
              <w:t xml:space="preserve"> </w:t>
            </w:r>
            <w:r w:rsidRPr="007E4529">
              <w:rPr>
                <w:rFonts w:asciiTheme="minorBidi" w:hAnsiTheme="minorBidi"/>
                <w:b/>
                <w:color w:val="000000"/>
                <w:sz w:val="18"/>
                <w:szCs w:val="18"/>
              </w:rPr>
              <w:t>500</w:t>
            </w:r>
          </w:p>
        </w:tc>
        <w:tc>
          <w:tcPr>
            <w:tcW w:w="990" w:type="dxa"/>
            <w:noWrap/>
            <w:vAlign w:val="center"/>
            <w:hideMark/>
          </w:tcPr>
          <w:p w14:paraId="5BB92934" w14:textId="601A7E89" w:rsidR="00F72778" w:rsidRPr="007E4529" w:rsidRDefault="00F72778" w:rsidP="007E4529">
            <w:pPr>
              <w:spacing w:before="0" w:after="0" w:line="240" w:lineRule="auto"/>
              <w:jc w:val="right"/>
              <w:rPr>
                <w:rFonts w:asciiTheme="minorBidi" w:hAnsiTheme="minorBidi"/>
                <w:b/>
                <w:color w:val="000000"/>
                <w:sz w:val="18"/>
                <w:szCs w:val="18"/>
              </w:rPr>
            </w:pPr>
            <w:r w:rsidRPr="007E4529">
              <w:rPr>
                <w:rFonts w:asciiTheme="minorBidi" w:hAnsiTheme="minorBidi"/>
                <w:b/>
                <w:color w:val="000000"/>
                <w:sz w:val="18"/>
                <w:szCs w:val="18"/>
              </w:rPr>
              <w:t>3</w:t>
            </w:r>
            <w:r w:rsidR="009402A5">
              <w:rPr>
                <w:rFonts w:asciiTheme="minorBidi" w:hAnsiTheme="minorBidi"/>
                <w:b/>
                <w:color w:val="000000"/>
                <w:sz w:val="18"/>
                <w:szCs w:val="18"/>
              </w:rPr>
              <w:t xml:space="preserve"> </w:t>
            </w:r>
            <w:r w:rsidRPr="007E4529">
              <w:rPr>
                <w:rFonts w:asciiTheme="minorBidi" w:hAnsiTheme="minorBidi"/>
                <w:b/>
                <w:color w:val="000000"/>
                <w:sz w:val="18"/>
                <w:szCs w:val="18"/>
              </w:rPr>
              <w:t>000</w:t>
            </w:r>
          </w:p>
        </w:tc>
        <w:tc>
          <w:tcPr>
            <w:tcW w:w="900" w:type="dxa"/>
            <w:noWrap/>
            <w:vAlign w:val="center"/>
            <w:hideMark/>
          </w:tcPr>
          <w:p w14:paraId="696EA1EE" w14:textId="741813D4" w:rsidR="00F72778" w:rsidRPr="007E4529" w:rsidRDefault="00F72778" w:rsidP="007E4529">
            <w:pPr>
              <w:spacing w:before="0" w:after="0" w:line="240" w:lineRule="auto"/>
              <w:jc w:val="right"/>
              <w:rPr>
                <w:rFonts w:asciiTheme="minorBidi" w:hAnsiTheme="minorBidi"/>
                <w:b/>
                <w:color w:val="000000"/>
                <w:sz w:val="18"/>
                <w:szCs w:val="18"/>
              </w:rPr>
            </w:pPr>
            <w:r w:rsidRPr="007E4529">
              <w:rPr>
                <w:rFonts w:asciiTheme="minorBidi" w:hAnsiTheme="minorBidi"/>
                <w:b/>
                <w:color w:val="000000"/>
                <w:sz w:val="18"/>
                <w:szCs w:val="18"/>
              </w:rPr>
              <w:t>7</w:t>
            </w:r>
            <w:r w:rsidR="009402A5">
              <w:rPr>
                <w:rFonts w:asciiTheme="minorBidi" w:hAnsiTheme="minorBidi"/>
                <w:b/>
                <w:color w:val="000000"/>
                <w:sz w:val="18"/>
                <w:szCs w:val="18"/>
              </w:rPr>
              <w:t xml:space="preserve"> </w:t>
            </w:r>
            <w:r w:rsidRPr="007E4529">
              <w:rPr>
                <w:rFonts w:asciiTheme="minorBidi" w:hAnsiTheme="minorBidi"/>
                <w:b/>
                <w:color w:val="000000"/>
                <w:sz w:val="18"/>
                <w:szCs w:val="18"/>
              </w:rPr>
              <w:t>500</w:t>
            </w:r>
          </w:p>
        </w:tc>
      </w:tr>
      <w:tr w:rsidR="00F72778" w:rsidRPr="007E4529" w14:paraId="79A645DA" w14:textId="77777777" w:rsidTr="009402A5">
        <w:trPr>
          <w:trHeight w:val="380"/>
        </w:trPr>
        <w:tc>
          <w:tcPr>
            <w:tcW w:w="3595" w:type="dxa"/>
            <w:noWrap/>
            <w:vAlign w:val="center"/>
            <w:hideMark/>
          </w:tcPr>
          <w:p w14:paraId="45AA5A62" w14:textId="77777777" w:rsidR="00F72778" w:rsidRPr="007E4529" w:rsidRDefault="00F72778" w:rsidP="007E4529">
            <w:pPr>
              <w:spacing w:before="0" w:after="0" w:line="240" w:lineRule="auto"/>
              <w:rPr>
                <w:rFonts w:asciiTheme="minorBidi" w:hAnsiTheme="minorBidi"/>
                <w:color w:val="000000"/>
                <w:sz w:val="18"/>
                <w:szCs w:val="18"/>
              </w:rPr>
            </w:pPr>
            <w:r w:rsidRPr="007E4529">
              <w:rPr>
                <w:rFonts w:asciiTheme="minorBidi" w:hAnsiTheme="minorBidi"/>
                <w:color w:val="000000"/>
                <w:sz w:val="18"/>
                <w:szCs w:val="18"/>
              </w:rPr>
              <w:t xml:space="preserve">     s.h hotellid jms majutusettevõtted</w:t>
            </w:r>
          </w:p>
        </w:tc>
        <w:tc>
          <w:tcPr>
            <w:tcW w:w="1079" w:type="dxa"/>
            <w:noWrap/>
            <w:vAlign w:val="center"/>
            <w:hideMark/>
          </w:tcPr>
          <w:p w14:paraId="335A35BF" w14:textId="36B052AE" w:rsidR="00F72778" w:rsidRPr="009402A5" w:rsidRDefault="00F72778" w:rsidP="007E4529">
            <w:pPr>
              <w:spacing w:before="0" w:after="0" w:line="240" w:lineRule="auto"/>
              <w:jc w:val="right"/>
              <w:rPr>
                <w:rFonts w:asciiTheme="minorBidi" w:hAnsiTheme="minorBidi"/>
                <w:b/>
                <w:sz w:val="18"/>
                <w:szCs w:val="18"/>
              </w:rPr>
            </w:pPr>
            <w:r w:rsidRPr="009402A5">
              <w:rPr>
                <w:rFonts w:asciiTheme="minorBidi" w:hAnsiTheme="minorBidi"/>
                <w:b/>
                <w:sz w:val="18"/>
                <w:szCs w:val="18"/>
              </w:rPr>
              <w:t>42</w:t>
            </w:r>
            <w:r w:rsidR="009402A5" w:rsidRPr="009402A5">
              <w:rPr>
                <w:rFonts w:asciiTheme="minorBidi" w:hAnsiTheme="minorBidi"/>
                <w:b/>
                <w:sz w:val="18"/>
                <w:szCs w:val="18"/>
              </w:rPr>
              <w:t xml:space="preserve"> </w:t>
            </w:r>
            <w:r w:rsidRPr="009402A5">
              <w:rPr>
                <w:rFonts w:asciiTheme="minorBidi" w:hAnsiTheme="minorBidi"/>
                <w:b/>
                <w:sz w:val="18"/>
                <w:szCs w:val="18"/>
              </w:rPr>
              <w:t>316</w:t>
            </w:r>
          </w:p>
        </w:tc>
        <w:tc>
          <w:tcPr>
            <w:tcW w:w="989" w:type="dxa"/>
            <w:noWrap/>
            <w:vAlign w:val="center"/>
            <w:hideMark/>
          </w:tcPr>
          <w:p w14:paraId="26CCB98E" w14:textId="0BBCCF7E" w:rsidR="00F72778" w:rsidRPr="009402A5" w:rsidRDefault="00F72778" w:rsidP="007E4529">
            <w:pPr>
              <w:spacing w:before="0" w:after="0" w:line="240" w:lineRule="auto"/>
              <w:jc w:val="right"/>
              <w:rPr>
                <w:rFonts w:asciiTheme="minorBidi" w:hAnsiTheme="minorBidi"/>
                <w:sz w:val="18"/>
                <w:szCs w:val="18"/>
              </w:rPr>
            </w:pPr>
            <w:r w:rsidRPr="009402A5">
              <w:rPr>
                <w:rFonts w:asciiTheme="minorBidi" w:hAnsiTheme="minorBidi"/>
                <w:sz w:val="18"/>
                <w:szCs w:val="18"/>
              </w:rPr>
              <w:t>18</w:t>
            </w:r>
            <w:r w:rsidR="009402A5" w:rsidRPr="009402A5">
              <w:rPr>
                <w:rFonts w:asciiTheme="minorBidi" w:hAnsiTheme="minorBidi"/>
                <w:sz w:val="18"/>
                <w:szCs w:val="18"/>
              </w:rPr>
              <w:t xml:space="preserve"> </w:t>
            </w:r>
            <w:r w:rsidRPr="009402A5">
              <w:rPr>
                <w:rFonts w:asciiTheme="minorBidi" w:hAnsiTheme="minorBidi"/>
                <w:sz w:val="18"/>
                <w:szCs w:val="18"/>
              </w:rPr>
              <w:t>052</w:t>
            </w:r>
          </w:p>
        </w:tc>
        <w:tc>
          <w:tcPr>
            <w:tcW w:w="1259" w:type="dxa"/>
            <w:noWrap/>
            <w:vAlign w:val="center"/>
            <w:hideMark/>
          </w:tcPr>
          <w:p w14:paraId="16F735E9" w14:textId="31747FCC" w:rsidR="00F72778" w:rsidRPr="009402A5" w:rsidRDefault="00F72778" w:rsidP="007E4529">
            <w:pPr>
              <w:spacing w:before="0" w:after="0" w:line="240" w:lineRule="auto"/>
              <w:jc w:val="right"/>
              <w:rPr>
                <w:rFonts w:asciiTheme="minorBidi" w:hAnsiTheme="minorBidi"/>
                <w:sz w:val="18"/>
                <w:szCs w:val="18"/>
              </w:rPr>
            </w:pPr>
            <w:r w:rsidRPr="009402A5">
              <w:rPr>
                <w:rFonts w:asciiTheme="minorBidi" w:hAnsiTheme="minorBidi"/>
                <w:sz w:val="18"/>
                <w:szCs w:val="18"/>
              </w:rPr>
              <w:t>24</w:t>
            </w:r>
            <w:r w:rsidR="009402A5" w:rsidRPr="009402A5">
              <w:rPr>
                <w:rFonts w:asciiTheme="minorBidi" w:hAnsiTheme="minorBidi"/>
                <w:sz w:val="18"/>
                <w:szCs w:val="18"/>
              </w:rPr>
              <w:t xml:space="preserve"> </w:t>
            </w:r>
            <w:r w:rsidRPr="009402A5">
              <w:rPr>
                <w:rFonts w:asciiTheme="minorBidi" w:hAnsiTheme="minorBidi"/>
                <w:sz w:val="18"/>
                <w:szCs w:val="18"/>
              </w:rPr>
              <w:t>264</w:t>
            </w:r>
          </w:p>
        </w:tc>
        <w:tc>
          <w:tcPr>
            <w:tcW w:w="236" w:type="dxa"/>
            <w:noWrap/>
            <w:vAlign w:val="center"/>
            <w:hideMark/>
          </w:tcPr>
          <w:p w14:paraId="24DBDD66" w14:textId="77777777" w:rsidR="00F72778" w:rsidRPr="007E4529" w:rsidRDefault="00F72778" w:rsidP="007E4529">
            <w:pPr>
              <w:spacing w:before="0" w:after="0" w:line="240" w:lineRule="auto"/>
              <w:jc w:val="right"/>
              <w:rPr>
                <w:rFonts w:asciiTheme="minorBidi" w:hAnsiTheme="minorBidi"/>
                <w:color w:val="0070C0"/>
                <w:sz w:val="18"/>
                <w:szCs w:val="18"/>
              </w:rPr>
            </w:pPr>
          </w:p>
        </w:tc>
        <w:tc>
          <w:tcPr>
            <w:tcW w:w="4000" w:type="dxa"/>
            <w:noWrap/>
            <w:vAlign w:val="center"/>
            <w:hideMark/>
          </w:tcPr>
          <w:p w14:paraId="21C95CE9" w14:textId="77777777"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voodikohta / MÜ (hinnanguline keskmine)</w:t>
            </w:r>
          </w:p>
        </w:tc>
        <w:tc>
          <w:tcPr>
            <w:tcW w:w="807" w:type="dxa"/>
            <w:noWrap/>
            <w:vAlign w:val="center"/>
            <w:hideMark/>
          </w:tcPr>
          <w:p w14:paraId="44FE1BBA" w14:textId="77777777" w:rsidR="00F72778" w:rsidRPr="007E4529" w:rsidRDefault="00F72778" w:rsidP="007E4529">
            <w:pPr>
              <w:spacing w:before="0" w:after="0" w:line="240" w:lineRule="auto"/>
              <w:jc w:val="right"/>
              <w:rPr>
                <w:rFonts w:asciiTheme="minorBidi" w:hAnsiTheme="minorBidi"/>
                <w:color w:val="000000"/>
                <w:sz w:val="18"/>
                <w:szCs w:val="18"/>
              </w:rPr>
            </w:pPr>
          </w:p>
        </w:tc>
        <w:tc>
          <w:tcPr>
            <w:tcW w:w="990" w:type="dxa"/>
            <w:noWrap/>
            <w:vAlign w:val="center"/>
            <w:hideMark/>
          </w:tcPr>
          <w:p w14:paraId="637A9A8A" w14:textId="77777777"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3.5</w:t>
            </w:r>
          </w:p>
        </w:tc>
        <w:tc>
          <w:tcPr>
            <w:tcW w:w="900" w:type="dxa"/>
            <w:noWrap/>
            <w:vAlign w:val="center"/>
            <w:hideMark/>
          </w:tcPr>
          <w:p w14:paraId="71879684" w14:textId="77777777"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5.0</w:t>
            </w:r>
          </w:p>
        </w:tc>
      </w:tr>
      <w:tr w:rsidR="00F72778" w:rsidRPr="007E4529" w14:paraId="134E2091" w14:textId="77777777" w:rsidTr="009402A5">
        <w:trPr>
          <w:trHeight w:val="380"/>
        </w:trPr>
        <w:tc>
          <w:tcPr>
            <w:tcW w:w="3595" w:type="dxa"/>
            <w:noWrap/>
            <w:vAlign w:val="center"/>
            <w:hideMark/>
          </w:tcPr>
          <w:p w14:paraId="7AD2BECB" w14:textId="77777777"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hotell 55101</w:t>
            </w:r>
          </w:p>
        </w:tc>
        <w:tc>
          <w:tcPr>
            <w:tcW w:w="1079" w:type="dxa"/>
            <w:noWrap/>
            <w:vAlign w:val="center"/>
            <w:hideMark/>
          </w:tcPr>
          <w:p w14:paraId="01EE62AB" w14:textId="7F4B1D87"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28</w:t>
            </w:r>
            <w:r w:rsidR="009402A5">
              <w:rPr>
                <w:rFonts w:asciiTheme="minorBidi" w:hAnsiTheme="minorBidi"/>
                <w:color w:val="000000"/>
                <w:sz w:val="18"/>
                <w:szCs w:val="18"/>
              </w:rPr>
              <w:t xml:space="preserve"> </w:t>
            </w:r>
            <w:r w:rsidRPr="007E4529">
              <w:rPr>
                <w:rFonts w:asciiTheme="minorBidi" w:hAnsiTheme="minorBidi"/>
                <w:color w:val="000000"/>
                <w:sz w:val="18"/>
                <w:szCs w:val="18"/>
              </w:rPr>
              <w:t>892</w:t>
            </w:r>
          </w:p>
        </w:tc>
        <w:tc>
          <w:tcPr>
            <w:tcW w:w="989" w:type="dxa"/>
            <w:noWrap/>
            <w:vAlign w:val="center"/>
            <w:hideMark/>
          </w:tcPr>
          <w:p w14:paraId="314BE368" w14:textId="6F644A03"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15</w:t>
            </w:r>
            <w:r w:rsidR="009402A5">
              <w:rPr>
                <w:rFonts w:asciiTheme="minorBidi" w:hAnsiTheme="minorBidi"/>
                <w:color w:val="000000"/>
                <w:sz w:val="18"/>
                <w:szCs w:val="18"/>
              </w:rPr>
              <w:t xml:space="preserve"> </w:t>
            </w:r>
            <w:r w:rsidRPr="007E4529">
              <w:rPr>
                <w:rFonts w:asciiTheme="minorBidi" w:hAnsiTheme="minorBidi"/>
                <w:color w:val="000000"/>
                <w:sz w:val="18"/>
                <w:szCs w:val="18"/>
              </w:rPr>
              <w:t>346</w:t>
            </w:r>
          </w:p>
        </w:tc>
        <w:tc>
          <w:tcPr>
            <w:tcW w:w="1259" w:type="dxa"/>
            <w:noWrap/>
            <w:vAlign w:val="center"/>
            <w:hideMark/>
          </w:tcPr>
          <w:p w14:paraId="475FE9D8" w14:textId="21F48C72"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13</w:t>
            </w:r>
            <w:r w:rsidR="009402A5">
              <w:rPr>
                <w:rFonts w:asciiTheme="minorBidi" w:hAnsiTheme="minorBidi"/>
                <w:color w:val="000000"/>
                <w:sz w:val="18"/>
                <w:szCs w:val="18"/>
              </w:rPr>
              <w:t xml:space="preserve"> </w:t>
            </w:r>
            <w:r w:rsidRPr="007E4529">
              <w:rPr>
                <w:rFonts w:asciiTheme="minorBidi" w:hAnsiTheme="minorBidi"/>
                <w:color w:val="000000"/>
                <w:sz w:val="18"/>
                <w:szCs w:val="18"/>
              </w:rPr>
              <w:t>546</w:t>
            </w:r>
          </w:p>
        </w:tc>
        <w:tc>
          <w:tcPr>
            <w:tcW w:w="236" w:type="dxa"/>
            <w:noWrap/>
            <w:vAlign w:val="center"/>
            <w:hideMark/>
          </w:tcPr>
          <w:p w14:paraId="459AE4E0" w14:textId="77777777" w:rsidR="00F72778" w:rsidRPr="007E4529" w:rsidRDefault="00F72778" w:rsidP="007E4529">
            <w:pPr>
              <w:spacing w:before="0" w:after="0" w:line="240" w:lineRule="auto"/>
              <w:jc w:val="right"/>
              <w:rPr>
                <w:rFonts w:asciiTheme="minorBidi" w:hAnsiTheme="minorBidi"/>
                <w:color w:val="000000"/>
                <w:sz w:val="18"/>
                <w:szCs w:val="18"/>
              </w:rPr>
            </w:pPr>
          </w:p>
        </w:tc>
        <w:tc>
          <w:tcPr>
            <w:tcW w:w="4000" w:type="dxa"/>
            <w:noWrap/>
            <w:vAlign w:val="center"/>
            <w:hideMark/>
          </w:tcPr>
          <w:p w14:paraId="624B444F" w14:textId="77777777" w:rsidR="00F72778" w:rsidRPr="00795CEB" w:rsidRDefault="00F72778" w:rsidP="007E4529">
            <w:pPr>
              <w:spacing w:before="0" w:after="0" w:line="240" w:lineRule="auto"/>
              <w:rPr>
                <w:rFonts w:asciiTheme="minorBidi" w:hAnsiTheme="minorBidi"/>
                <w:b/>
                <w:bCs/>
                <w:sz w:val="18"/>
                <w:szCs w:val="18"/>
              </w:rPr>
            </w:pPr>
            <w:r w:rsidRPr="00795CEB">
              <w:rPr>
                <w:rFonts w:asciiTheme="minorBidi" w:hAnsiTheme="minorBidi"/>
                <w:b/>
                <w:bCs/>
                <w:sz w:val="18"/>
                <w:szCs w:val="18"/>
              </w:rPr>
              <w:t>voodikohtade arv LÜT MÜ-des (Lighthouse)</w:t>
            </w:r>
          </w:p>
        </w:tc>
        <w:tc>
          <w:tcPr>
            <w:tcW w:w="807" w:type="dxa"/>
            <w:noWrap/>
            <w:vAlign w:val="center"/>
            <w:hideMark/>
          </w:tcPr>
          <w:p w14:paraId="7C8869DB" w14:textId="0DAEDB39" w:rsidR="00F72778" w:rsidRPr="00795CEB" w:rsidRDefault="00F72778" w:rsidP="007E4529">
            <w:pPr>
              <w:spacing w:before="0" w:after="0" w:line="240" w:lineRule="auto"/>
              <w:jc w:val="right"/>
              <w:rPr>
                <w:rFonts w:asciiTheme="minorBidi" w:hAnsiTheme="minorBidi"/>
                <w:b/>
                <w:bCs/>
                <w:sz w:val="18"/>
                <w:szCs w:val="18"/>
              </w:rPr>
            </w:pPr>
            <w:r w:rsidRPr="00795CEB">
              <w:rPr>
                <w:rFonts w:asciiTheme="minorBidi" w:hAnsiTheme="minorBidi"/>
                <w:b/>
                <w:bCs/>
                <w:sz w:val="18"/>
                <w:szCs w:val="18"/>
              </w:rPr>
              <w:t>48</w:t>
            </w:r>
            <w:r w:rsidR="009402A5">
              <w:rPr>
                <w:rFonts w:asciiTheme="minorBidi" w:hAnsiTheme="minorBidi"/>
                <w:b/>
                <w:bCs/>
                <w:sz w:val="18"/>
                <w:szCs w:val="18"/>
              </w:rPr>
              <w:t xml:space="preserve"> </w:t>
            </w:r>
            <w:r w:rsidRPr="00795CEB">
              <w:rPr>
                <w:rFonts w:asciiTheme="minorBidi" w:hAnsiTheme="minorBidi"/>
                <w:b/>
                <w:bCs/>
                <w:sz w:val="18"/>
                <w:szCs w:val="18"/>
              </w:rPr>
              <w:t>000</w:t>
            </w:r>
          </w:p>
        </w:tc>
        <w:tc>
          <w:tcPr>
            <w:tcW w:w="990" w:type="dxa"/>
            <w:noWrap/>
            <w:vAlign w:val="center"/>
            <w:hideMark/>
          </w:tcPr>
          <w:p w14:paraId="1851EAA0" w14:textId="526BA798" w:rsidR="00F72778" w:rsidRPr="00795CEB" w:rsidRDefault="00F72778" w:rsidP="007E4529">
            <w:pPr>
              <w:spacing w:before="0" w:after="0" w:line="240" w:lineRule="auto"/>
              <w:jc w:val="right"/>
              <w:rPr>
                <w:rFonts w:asciiTheme="minorBidi" w:hAnsiTheme="minorBidi"/>
                <w:b/>
                <w:bCs/>
                <w:sz w:val="18"/>
                <w:szCs w:val="18"/>
              </w:rPr>
            </w:pPr>
            <w:r w:rsidRPr="00795CEB">
              <w:rPr>
                <w:rFonts w:asciiTheme="minorBidi" w:hAnsiTheme="minorBidi"/>
                <w:b/>
                <w:bCs/>
                <w:sz w:val="18"/>
                <w:szCs w:val="18"/>
              </w:rPr>
              <w:t>10</w:t>
            </w:r>
            <w:r w:rsidR="009402A5">
              <w:rPr>
                <w:rFonts w:asciiTheme="minorBidi" w:hAnsiTheme="minorBidi"/>
                <w:b/>
                <w:bCs/>
                <w:sz w:val="18"/>
                <w:szCs w:val="18"/>
              </w:rPr>
              <w:t xml:space="preserve"> </w:t>
            </w:r>
            <w:r w:rsidRPr="00795CEB">
              <w:rPr>
                <w:rFonts w:asciiTheme="minorBidi" w:hAnsiTheme="minorBidi"/>
                <w:b/>
                <w:bCs/>
                <w:sz w:val="18"/>
                <w:szCs w:val="18"/>
              </w:rPr>
              <w:t>500</w:t>
            </w:r>
          </w:p>
        </w:tc>
        <w:tc>
          <w:tcPr>
            <w:tcW w:w="900" w:type="dxa"/>
            <w:noWrap/>
            <w:vAlign w:val="center"/>
            <w:hideMark/>
          </w:tcPr>
          <w:p w14:paraId="19A2BD8A" w14:textId="09A3B98A" w:rsidR="00F72778" w:rsidRPr="00795CEB" w:rsidRDefault="00F72778" w:rsidP="007E4529">
            <w:pPr>
              <w:spacing w:before="0" w:after="0" w:line="240" w:lineRule="auto"/>
              <w:jc w:val="right"/>
              <w:rPr>
                <w:rFonts w:asciiTheme="minorBidi" w:hAnsiTheme="minorBidi"/>
                <w:b/>
                <w:bCs/>
                <w:sz w:val="18"/>
                <w:szCs w:val="18"/>
              </w:rPr>
            </w:pPr>
            <w:r w:rsidRPr="00795CEB">
              <w:rPr>
                <w:rFonts w:asciiTheme="minorBidi" w:hAnsiTheme="minorBidi"/>
                <w:b/>
                <w:bCs/>
                <w:sz w:val="18"/>
                <w:szCs w:val="18"/>
              </w:rPr>
              <w:t>37</w:t>
            </w:r>
            <w:r w:rsidR="009402A5">
              <w:rPr>
                <w:rFonts w:asciiTheme="minorBidi" w:hAnsiTheme="minorBidi"/>
                <w:b/>
                <w:bCs/>
                <w:sz w:val="18"/>
                <w:szCs w:val="18"/>
              </w:rPr>
              <w:t xml:space="preserve"> </w:t>
            </w:r>
            <w:r w:rsidRPr="00795CEB">
              <w:rPr>
                <w:rFonts w:asciiTheme="minorBidi" w:hAnsiTheme="minorBidi"/>
                <w:b/>
                <w:bCs/>
                <w:sz w:val="18"/>
                <w:szCs w:val="18"/>
              </w:rPr>
              <w:t>500</w:t>
            </w:r>
          </w:p>
        </w:tc>
      </w:tr>
      <w:tr w:rsidR="00F72778" w:rsidRPr="007E4529" w14:paraId="0A1C97A0" w14:textId="77777777" w:rsidTr="009402A5">
        <w:trPr>
          <w:trHeight w:val="380"/>
        </w:trPr>
        <w:tc>
          <w:tcPr>
            <w:tcW w:w="3595" w:type="dxa"/>
            <w:noWrap/>
            <w:vAlign w:val="center"/>
            <w:hideMark/>
          </w:tcPr>
          <w:p w14:paraId="37440E74" w14:textId="77777777"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motell 55102</w:t>
            </w:r>
          </w:p>
        </w:tc>
        <w:tc>
          <w:tcPr>
            <w:tcW w:w="1079" w:type="dxa"/>
            <w:noWrap/>
            <w:vAlign w:val="center"/>
            <w:hideMark/>
          </w:tcPr>
          <w:p w14:paraId="48EB3F53" w14:textId="64865C6D"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1</w:t>
            </w:r>
            <w:r w:rsidR="009402A5">
              <w:rPr>
                <w:rFonts w:asciiTheme="minorBidi" w:hAnsiTheme="minorBidi"/>
                <w:color w:val="000000"/>
                <w:sz w:val="18"/>
                <w:szCs w:val="18"/>
              </w:rPr>
              <w:t xml:space="preserve"> </w:t>
            </w:r>
            <w:r w:rsidRPr="007E4529">
              <w:rPr>
                <w:rFonts w:asciiTheme="minorBidi" w:hAnsiTheme="minorBidi"/>
                <w:color w:val="000000"/>
                <w:sz w:val="18"/>
                <w:szCs w:val="18"/>
              </w:rPr>
              <w:t>076</w:t>
            </w:r>
          </w:p>
        </w:tc>
        <w:tc>
          <w:tcPr>
            <w:tcW w:w="989" w:type="dxa"/>
            <w:noWrap/>
            <w:vAlign w:val="center"/>
            <w:hideMark/>
          </w:tcPr>
          <w:p w14:paraId="03E91C10" w14:textId="77777777"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186</w:t>
            </w:r>
          </w:p>
        </w:tc>
        <w:tc>
          <w:tcPr>
            <w:tcW w:w="1259" w:type="dxa"/>
            <w:noWrap/>
            <w:vAlign w:val="center"/>
            <w:hideMark/>
          </w:tcPr>
          <w:p w14:paraId="20E63B2D" w14:textId="77777777"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890</w:t>
            </w:r>
          </w:p>
        </w:tc>
        <w:tc>
          <w:tcPr>
            <w:tcW w:w="236" w:type="dxa"/>
            <w:noWrap/>
            <w:vAlign w:val="center"/>
            <w:hideMark/>
          </w:tcPr>
          <w:p w14:paraId="3B78EB04" w14:textId="77777777" w:rsidR="00F72778" w:rsidRPr="007E4529" w:rsidRDefault="00F72778" w:rsidP="007E4529">
            <w:pPr>
              <w:spacing w:before="0" w:after="0" w:line="240" w:lineRule="auto"/>
              <w:jc w:val="right"/>
              <w:rPr>
                <w:rFonts w:asciiTheme="minorBidi" w:hAnsiTheme="minorBidi"/>
                <w:color w:val="000000"/>
                <w:sz w:val="18"/>
                <w:szCs w:val="18"/>
              </w:rPr>
            </w:pPr>
          </w:p>
        </w:tc>
        <w:tc>
          <w:tcPr>
            <w:tcW w:w="4000" w:type="dxa"/>
            <w:noWrap/>
            <w:vAlign w:val="center"/>
            <w:hideMark/>
          </w:tcPr>
          <w:p w14:paraId="28DCBEBD" w14:textId="77777777"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vrdl. voodikohtade arv LÜT MÜ-des (Doorbll)</w:t>
            </w:r>
          </w:p>
        </w:tc>
        <w:tc>
          <w:tcPr>
            <w:tcW w:w="807" w:type="dxa"/>
            <w:noWrap/>
            <w:vAlign w:val="center"/>
            <w:hideMark/>
          </w:tcPr>
          <w:p w14:paraId="378E1AAC" w14:textId="77777777" w:rsidR="00F72778" w:rsidRPr="00795CEB" w:rsidRDefault="00F72778" w:rsidP="007E4529">
            <w:pPr>
              <w:spacing w:before="0" w:after="0" w:line="240" w:lineRule="auto"/>
              <w:jc w:val="right"/>
              <w:rPr>
                <w:rFonts w:asciiTheme="minorBidi" w:hAnsiTheme="minorBidi"/>
                <w:sz w:val="18"/>
                <w:szCs w:val="18"/>
              </w:rPr>
            </w:pPr>
          </w:p>
        </w:tc>
        <w:tc>
          <w:tcPr>
            <w:tcW w:w="990" w:type="dxa"/>
            <w:noWrap/>
            <w:vAlign w:val="center"/>
            <w:hideMark/>
          </w:tcPr>
          <w:p w14:paraId="61A2134C" w14:textId="0FAB4BE0"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10</w:t>
            </w:r>
            <w:r w:rsidR="009402A5">
              <w:rPr>
                <w:rFonts w:asciiTheme="minorBidi" w:hAnsiTheme="minorBidi"/>
                <w:sz w:val="18"/>
                <w:szCs w:val="18"/>
              </w:rPr>
              <w:t xml:space="preserve"> </w:t>
            </w:r>
            <w:r w:rsidRPr="00795CEB">
              <w:rPr>
                <w:rFonts w:asciiTheme="minorBidi" w:hAnsiTheme="minorBidi"/>
                <w:sz w:val="18"/>
                <w:szCs w:val="18"/>
              </w:rPr>
              <w:t>300</w:t>
            </w:r>
          </w:p>
        </w:tc>
        <w:tc>
          <w:tcPr>
            <w:tcW w:w="900" w:type="dxa"/>
            <w:noWrap/>
            <w:vAlign w:val="center"/>
            <w:hideMark/>
          </w:tcPr>
          <w:p w14:paraId="21CB2A25" w14:textId="77777777" w:rsidR="00F72778" w:rsidRPr="00795CEB" w:rsidRDefault="00F72778" w:rsidP="007E4529">
            <w:pPr>
              <w:spacing w:before="0" w:after="0" w:line="240" w:lineRule="auto"/>
              <w:jc w:val="right"/>
              <w:rPr>
                <w:rFonts w:asciiTheme="minorBidi" w:hAnsiTheme="minorBidi"/>
                <w:sz w:val="18"/>
                <w:szCs w:val="18"/>
              </w:rPr>
            </w:pPr>
          </w:p>
        </w:tc>
      </w:tr>
      <w:tr w:rsidR="00F72778" w:rsidRPr="007E4529" w14:paraId="0FCE1AFA" w14:textId="77777777" w:rsidTr="009402A5">
        <w:trPr>
          <w:trHeight w:val="380"/>
        </w:trPr>
        <w:tc>
          <w:tcPr>
            <w:tcW w:w="3595" w:type="dxa"/>
            <w:noWrap/>
            <w:vAlign w:val="center"/>
            <w:hideMark/>
          </w:tcPr>
          <w:p w14:paraId="05F181DC" w14:textId="77777777" w:rsidR="00F72778" w:rsidRPr="007E4529" w:rsidRDefault="00F72778" w:rsidP="007E4529">
            <w:pPr>
              <w:spacing w:before="0" w:after="0" w:line="240" w:lineRule="auto"/>
              <w:jc w:val="right"/>
              <w:rPr>
                <w:rFonts w:asciiTheme="minorBidi" w:hAnsiTheme="minorBidi"/>
                <w:sz w:val="18"/>
                <w:szCs w:val="18"/>
              </w:rPr>
            </w:pPr>
            <w:r w:rsidRPr="007E4529">
              <w:rPr>
                <w:rFonts w:asciiTheme="minorBidi" w:hAnsiTheme="minorBidi"/>
                <w:sz w:val="18"/>
                <w:szCs w:val="18"/>
              </w:rPr>
              <w:t>külalistemaja 55103</w:t>
            </w:r>
          </w:p>
        </w:tc>
        <w:tc>
          <w:tcPr>
            <w:tcW w:w="1079" w:type="dxa"/>
            <w:noWrap/>
            <w:vAlign w:val="center"/>
            <w:hideMark/>
          </w:tcPr>
          <w:p w14:paraId="1D0F9942" w14:textId="14CB3305"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5</w:t>
            </w:r>
            <w:r w:rsidR="009402A5">
              <w:rPr>
                <w:rFonts w:asciiTheme="minorBidi" w:hAnsiTheme="minorBidi"/>
                <w:color w:val="000000"/>
                <w:sz w:val="18"/>
                <w:szCs w:val="18"/>
              </w:rPr>
              <w:t xml:space="preserve"> </w:t>
            </w:r>
            <w:r w:rsidRPr="007E4529">
              <w:rPr>
                <w:rFonts w:asciiTheme="minorBidi" w:hAnsiTheme="minorBidi"/>
                <w:color w:val="000000"/>
                <w:sz w:val="18"/>
                <w:szCs w:val="18"/>
              </w:rPr>
              <w:t>839</w:t>
            </w:r>
          </w:p>
        </w:tc>
        <w:tc>
          <w:tcPr>
            <w:tcW w:w="989" w:type="dxa"/>
            <w:noWrap/>
            <w:vAlign w:val="center"/>
            <w:hideMark/>
          </w:tcPr>
          <w:p w14:paraId="7A7745A0" w14:textId="77777777"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334</w:t>
            </w:r>
          </w:p>
        </w:tc>
        <w:tc>
          <w:tcPr>
            <w:tcW w:w="1259" w:type="dxa"/>
            <w:noWrap/>
            <w:vAlign w:val="center"/>
            <w:hideMark/>
          </w:tcPr>
          <w:p w14:paraId="4CB7045C" w14:textId="5749B25C"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5</w:t>
            </w:r>
            <w:r w:rsidR="009402A5">
              <w:rPr>
                <w:rFonts w:asciiTheme="minorBidi" w:hAnsiTheme="minorBidi"/>
                <w:color w:val="000000"/>
                <w:sz w:val="18"/>
                <w:szCs w:val="18"/>
              </w:rPr>
              <w:t xml:space="preserve"> </w:t>
            </w:r>
            <w:r w:rsidRPr="007E4529">
              <w:rPr>
                <w:rFonts w:asciiTheme="minorBidi" w:hAnsiTheme="minorBidi"/>
                <w:color w:val="000000"/>
                <w:sz w:val="18"/>
                <w:szCs w:val="18"/>
              </w:rPr>
              <w:t>505</w:t>
            </w:r>
          </w:p>
        </w:tc>
        <w:tc>
          <w:tcPr>
            <w:tcW w:w="236" w:type="dxa"/>
            <w:noWrap/>
            <w:vAlign w:val="center"/>
            <w:hideMark/>
          </w:tcPr>
          <w:p w14:paraId="242F135E" w14:textId="77777777" w:rsidR="00F72778" w:rsidRPr="007E4529" w:rsidRDefault="00F72778" w:rsidP="007E4529">
            <w:pPr>
              <w:spacing w:before="0" w:after="0" w:line="240" w:lineRule="auto"/>
              <w:jc w:val="right"/>
              <w:rPr>
                <w:rFonts w:asciiTheme="minorBidi" w:hAnsiTheme="minorBidi"/>
                <w:color w:val="000000"/>
                <w:sz w:val="18"/>
                <w:szCs w:val="18"/>
              </w:rPr>
            </w:pPr>
          </w:p>
        </w:tc>
        <w:tc>
          <w:tcPr>
            <w:tcW w:w="4000" w:type="dxa"/>
            <w:noWrap/>
            <w:vAlign w:val="center"/>
            <w:hideMark/>
          </w:tcPr>
          <w:p w14:paraId="3D06BDBD" w14:textId="77777777" w:rsidR="00F72778" w:rsidRPr="00795CEB" w:rsidRDefault="00F72778" w:rsidP="007E4529">
            <w:pPr>
              <w:spacing w:before="0" w:after="0" w:line="240" w:lineRule="auto"/>
              <w:rPr>
                <w:rFonts w:asciiTheme="minorBidi" w:hAnsiTheme="minorBidi"/>
                <w:sz w:val="18"/>
                <w:szCs w:val="18"/>
              </w:rPr>
            </w:pPr>
            <w:r w:rsidRPr="00795CEB">
              <w:rPr>
                <w:rFonts w:asciiTheme="minorBidi" w:hAnsiTheme="minorBidi"/>
                <w:sz w:val="18"/>
                <w:szCs w:val="18"/>
              </w:rPr>
              <w:t>voodikohtade arv LÜT MÜ / hotellid jm</w:t>
            </w:r>
          </w:p>
        </w:tc>
        <w:tc>
          <w:tcPr>
            <w:tcW w:w="807" w:type="dxa"/>
            <w:noWrap/>
            <w:vAlign w:val="center"/>
            <w:hideMark/>
          </w:tcPr>
          <w:p w14:paraId="46A9C52A" w14:textId="77777777"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113%</w:t>
            </w:r>
          </w:p>
        </w:tc>
        <w:tc>
          <w:tcPr>
            <w:tcW w:w="990" w:type="dxa"/>
            <w:noWrap/>
            <w:vAlign w:val="center"/>
            <w:hideMark/>
          </w:tcPr>
          <w:p w14:paraId="79FDBD5D" w14:textId="77777777"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58%</w:t>
            </w:r>
          </w:p>
        </w:tc>
        <w:tc>
          <w:tcPr>
            <w:tcW w:w="900" w:type="dxa"/>
            <w:noWrap/>
            <w:vAlign w:val="center"/>
            <w:hideMark/>
          </w:tcPr>
          <w:p w14:paraId="16568236" w14:textId="77777777"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155%</w:t>
            </w:r>
          </w:p>
        </w:tc>
      </w:tr>
      <w:tr w:rsidR="00F72778" w:rsidRPr="007E4529" w14:paraId="16DA5C79" w14:textId="77777777" w:rsidTr="009402A5">
        <w:trPr>
          <w:trHeight w:val="380"/>
        </w:trPr>
        <w:tc>
          <w:tcPr>
            <w:tcW w:w="3595" w:type="dxa"/>
            <w:noWrap/>
            <w:vAlign w:val="center"/>
            <w:hideMark/>
          </w:tcPr>
          <w:p w14:paraId="70ED95A0" w14:textId="77777777" w:rsidR="00F72778" w:rsidRPr="007E4529" w:rsidRDefault="00F72778" w:rsidP="007E4529">
            <w:pPr>
              <w:spacing w:before="0" w:after="0" w:line="240" w:lineRule="auto"/>
              <w:jc w:val="right"/>
              <w:rPr>
                <w:rFonts w:asciiTheme="minorBidi" w:hAnsiTheme="minorBidi"/>
                <w:color w:val="E97132"/>
                <w:sz w:val="18"/>
                <w:szCs w:val="18"/>
              </w:rPr>
            </w:pPr>
            <w:r w:rsidRPr="00795CEB">
              <w:rPr>
                <w:rFonts w:asciiTheme="minorBidi" w:hAnsiTheme="minorBidi"/>
                <w:sz w:val="18"/>
                <w:szCs w:val="18"/>
              </w:rPr>
              <w:t>hostel 55201</w:t>
            </w:r>
          </w:p>
        </w:tc>
        <w:tc>
          <w:tcPr>
            <w:tcW w:w="1079" w:type="dxa"/>
            <w:noWrap/>
            <w:vAlign w:val="center"/>
            <w:hideMark/>
          </w:tcPr>
          <w:p w14:paraId="65920CCA" w14:textId="290E8010"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6</w:t>
            </w:r>
            <w:r w:rsidR="009402A5">
              <w:rPr>
                <w:rFonts w:asciiTheme="minorBidi" w:hAnsiTheme="minorBidi"/>
                <w:color w:val="000000"/>
                <w:sz w:val="18"/>
                <w:szCs w:val="18"/>
              </w:rPr>
              <w:t xml:space="preserve"> </w:t>
            </w:r>
            <w:r w:rsidRPr="007E4529">
              <w:rPr>
                <w:rFonts w:asciiTheme="minorBidi" w:hAnsiTheme="minorBidi"/>
                <w:color w:val="000000"/>
                <w:sz w:val="18"/>
                <w:szCs w:val="18"/>
              </w:rPr>
              <w:t>509</w:t>
            </w:r>
          </w:p>
        </w:tc>
        <w:tc>
          <w:tcPr>
            <w:tcW w:w="989" w:type="dxa"/>
            <w:noWrap/>
            <w:vAlign w:val="center"/>
            <w:hideMark/>
          </w:tcPr>
          <w:p w14:paraId="2F01905A" w14:textId="218AD6C2"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2</w:t>
            </w:r>
            <w:r w:rsidR="009402A5">
              <w:rPr>
                <w:rFonts w:asciiTheme="minorBidi" w:hAnsiTheme="minorBidi"/>
                <w:color w:val="000000"/>
                <w:sz w:val="18"/>
                <w:szCs w:val="18"/>
              </w:rPr>
              <w:t xml:space="preserve"> </w:t>
            </w:r>
            <w:r w:rsidRPr="007E4529">
              <w:rPr>
                <w:rFonts w:asciiTheme="minorBidi" w:hAnsiTheme="minorBidi"/>
                <w:color w:val="000000"/>
                <w:sz w:val="18"/>
                <w:szCs w:val="18"/>
              </w:rPr>
              <w:t>186</w:t>
            </w:r>
          </w:p>
        </w:tc>
        <w:tc>
          <w:tcPr>
            <w:tcW w:w="1259" w:type="dxa"/>
            <w:noWrap/>
            <w:vAlign w:val="center"/>
            <w:hideMark/>
          </w:tcPr>
          <w:p w14:paraId="6A0BA6E8" w14:textId="30FD06E0"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4</w:t>
            </w:r>
            <w:r w:rsidR="009402A5">
              <w:rPr>
                <w:rFonts w:asciiTheme="minorBidi" w:hAnsiTheme="minorBidi"/>
                <w:color w:val="000000"/>
                <w:sz w:val="18"/>
                <w:szCs w:val="18"/>
              </w:rPr>
              <w:t xml:space="preserve"> </w:t>
            </w:r>
            <w:r w:rsidRPr="007E4529">
              <w:rPr>
                <w:rFonts w:asciiTheme="minorBidi" w:hAnsiTheme="minorBidi"/>
                <w:color w:val="000000"/>
                <w:sz w:val="18"/>
                <w:szCs w:val="18"/>
              </w:rPr>
              <w:t>323</w:t>
            </w:r>
          </w:p>
        </w:tc>
        <w:tc>
          <w:tcPr>
            <w:tcW w:w="236" w:type="dxa"/>
            <w:noWrap/>
            <w:vAlign w:val="center"/>
            <w:hideMark/>
          </w:tcPr>
          <w:p w14:paraId="5C0F06CB" w14:textId="77777777" w:rsidR="00F72778" w:rsidRPr="007E4529" w:rsidRDefault="00F72778" w:rsidP="007E4529">
            <w:pPr>
              <w:spacing w:before="0" w:after="0" w:line="240" w:lineRule="auto"/>
              <w:jc w:val="right"/>
              <w:rPr>
                <w:rFonts w:asciiTheme="minorBidi" w:hAnsiTheme="minorBidi"/>
                <w:color w:val="000000"/>
                <w:sz w:val="18"/>
                <w:szCs w:val="18"/>
              </w:rPr>
            </w:pPr>
          </w:p>
        </w:tc>
        <w:tc>
          <w:tcPr>
            <w:tcW w:w="4000" w:type="dxa"/>
            <w:noWrap/>
            <w:vAlign w:val="center"/>
            <w:hideMark/>
          </w:tcPr>
          <w:p w14:paraId="478484E5" w14:textId="77777777" w:rsidR="00F72778" w:rsidRPr="00795CEB" w:rsidRDefault="00F72778" w:rsidP="007E4529">
            <w:pPr>
              <w:spacing w:before="0" w:after="0" w:line="240" w:lineRule="auto"/>
              <w:rPr>
                <w:rFonts w:asciiTheme="minorBidi" w:hAnsiTheme="minorBidi"/>
                <w:sz w:val="18"/>
                <w:szCs w:val="18"/>
              </w:rPr>
            </w:pPr>
            <w:r w:rsidRPr="00795CEB">
              <w:rPr>
                <w:rFonts w:asciiTheme="minorBidi" w:hAnsiTheme="minorBidi"/>
                <w:sz w:val="18"/>
                <w:szCs w:val="18"/>
              </w:rPr>
              <w:t>voodikohtade arvu vahe LÜT MÜ - LÜT ME</w:t>
            </w:r>
          </w:p>
        </w:tc>
        <w:tc>
          <w:tcPr>
            <w:tcW w:w="807" w:type="dxa"/>
            <w:noWrap/>
            <w:vAlign w:val="center"/>
            <w:hideMark/>
          </w:tcPr>
          <w:p w14:paraId="41EB154A" w14:textId="1D759E72" w:rsidR="00F72778" w:rsidRPr="00795CEB" w:rsidRDefault="00F72778" w:rsidP="007E4529">
            <w:pPr>
              <w:spacing w:before="0" w:after="0" w:line="240" w:lineRule="auto"/>
              <w:jc w:val="right"/>
              <w:rPr>
                <w:rFonts w:asciiTheme="minorBidi" w:hAnsiTheme="minorBidi"/>
                <w:b/>
                <w:sz w:val="18"/>
                <w:szCs w:val="18"/>
              </w:rPr>
            </w:pPr>
            <w:r w:rsidRPr="00795CEB">
              <w:rPr>
                <w:rFonts w:asciiTheme="minorBidi" w:hAnsiTheme="minorBidi"/>
                <w:b/>
                <w:sz w:val="18"/>
                <w:szCs w:val="18"/>
              </w:rPr>
              <w:t>35</w:t>
            </w:r>
            <w:r w:rsidR="009402A5">
              <w:rPr>
                <w:rFonts w:asciiTheme="minorBidi" w:hAnsiTheme="minorBidi"/>
                <w:b/>
                <w:sz w:val="18"/>
                <w:szCs w:val="18"/>
              </w:rPr>
              <w:t xml:space="preserve"> </w:t>
            </w:r>
            <w:r w:rsidRPr="00795CEB">
              <w:rPr>
                <w:rFonts w:asciiTheme="minorBidi" w:hAnsiTheme="minorBidi"/>
                <w:b/>
                <w:sz w:val="18"/>
                <w:szCs w:val="18"/>
              </w:rPr>
              <w:t>534</w:t>
            </w:r>
          </w:p>
        </w:tc>
        <w:tc>
          <w:tcPr>
            <w:tcW w:w="990" w:type="dxa"/>
            <w:noWrap/>
            <w:vAlign w:val="center"/>
            <w:hideMark/>
          </w:tcPr>
          <w:p w14:paraId="729C9863" w14:textId="3E7DFB26"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9</w:t>
            </w:r>
            <w:r w:rsidR="009402A5">
              <w:rPr>
                <w:rFonts w:asciiTheme="minorBidi" w:hAnsiTheme="minorBidi"/>
                <w:sz w:val="18"/>
                <w:szCs w:val="18"/>
              </w:rPr>
              <w:t xml:space="preserve"> </w:t>
            </w:r>
            <w:r w:rsidRPr="00795CEB">
              <w:rPr>
                <w:rFonts w:asciiTheme="minorBidi" w:hAnsiTheme="minorBidi"/>
                <w:sz w:val="18"/>
                <w:szCs w:val="18"/>
              </w:rPr>
              <w:t>061</w:t>
            </w:r>
          </w:p>
        </w:tc>
        <w:tc>
          <w:tcPr>
            <w:tcW w:w="900" w:type="dxa"/>
            <w:noWrap/>
            <w:vAlign w:val="center"/>
            <w:hideMark/>
          </w:tcPr>
          <w:p w14:paraId="7C8F0C5E" w14:textId="09CE5CD7"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26</w:t>
            </w:r>
            <w:r w:rsidR="009402A5">
              <w:rPr>
                <w:rFonts w:asciiTheme="minorBidi" w:hAnsiTheme="minorBidi"/>
                <w:sz w:val="18"/>
                <w:szCs w:val="18"/>
              </w:rPr>
              <w:t xml:space="preserve"> </w:t>
            </w:r>
            <w:r w:rsidRPr="00795CEB">
              <w:rPr>
                <w:rFonts w:asciiTheme="minorBidi" w:hAnsiTheme="minorBidi"/>
                <w:sz w:val="18"/>
                <w:szCs w:val="18"/>
              </w:rPr>
              <w:t>473</w:t>
            </w:r>
          </w:p>
        </w:tc>
      </w:tr>
      <w:tr w:rsidR="00F72778" w:rsidRPr="007E4529" w14:paraId="461A86D7" w14:textId="77777777" w:rsidTr="009402A5">
        <w:trPr>
          <w:trHeight w:val="440"/>
        </w:trPr>
        <w:tc>
          <w:tcPr>
            <w:tcW w:w="3595" w:type="dxa"/>
            <w:noWrap/>
            <w:vAlign w:val="center"/>
            <w:hideMark/>
          </w:tcPr>
          <w:p w14:paraId="521A5E34" w14:textId="77777777" w:rsidR="00F72778" w:rsidRPr="007E4529" w:rsidRDefault="00F72778" w:rsidP="007E4529">
            <w:pPr>
              <w:spacing w:before="0" w:after="0" w:line="240" w:lineRule="auto"/>
              <w:jc w:val="right"/>
              <w:rPr>
                <w:rFonts w:asciiTheme="minorBidi" w:hAnsiTheme="minorBidi"/>
                <w:color w:val="A02B93"/>
                <w:sz w:val="18"/>
                <w:szCs w:val="18"/>
              </w:rPr>
            </w:pPr>
          </w:p>
        </w:tc>
        <w:tc>
          <w:tcPr>
            <w:tcW w:w="1079" w:type="dxa"/>
            <w:noWrap/>
            <w:vAlign w:val="center"/>
            <w:hideMark/>
          </w:tcPr>
          <w:p w14:paraId="589CDF55" w14:textId="77777777" w:rsidR="00F72778" w:rsidRPr="007E4529" w:rsidRDefault="00F72778" w:rsidP="007E4529">
            <w:pPr>
              <w:spacing w:before="0" w:after="0" w:line="240" w:lineRule="auto"/>
              <w:jc w:val="right"/>
              <w:rPr>
                <w:rFonts w:asciiTheme="minorBidi" w:hAnsiTheme="minorBidi"/>
                <w:sz w:val="18"/>
                <w:szCs w:val="18"/>
              </w:rPr>
            </w:pPr>
          </w:p>
        </w:tc>
        <w:tc>
          <w:tcPr>
            <w:tcW w:w="989" w:type="dxa"/>
            <w:noWrap/>
            <w:vAlign w:val="center"/>
            <w:hideMark/>
          </w:tcPr>
          <w:p w14:paraId="1530B60B" w14:textId="77777777" w:rsidR="00F72778" w:rsidRPr="007E4529" w:rsidRDefault="00F72778" w:rsidP="007E4529">
            <w:pPr>
              <w:spacing w:before="0" w:after="0" w:line="240" w:lineRule="auto"/>
              <w:rPr>
                <w:rFonts w:asciiTheme="minorBidi" w:hAnsiTheme="minorBidi"/>
                <w:sz w:val="18"/>
                <w:szCs w:val="18"/>
              </w:rPr>
            </w:pPr>
          </w:p>
        </w:tc>
        <w:tc>
          <w:tcPr>
            <w:tcW w:w="1259" w:type="dxa"/>
            <w:noWrap/>
            <w:vAlign w:val="center"/>
            <w:hideMark/>
          </w:tcPr>
          <w:p w14:paraId="08C488A2" w14:textId="77777777" w:rsidR="00F72778" w:rsidRPr="007E4529" w:rsidRDefault="00F72778" w:rsidP="007E4529">
            <w:pPr>
              <w:spacing w:before="0" w:after="0" w:line="240" w:lineRule="auto"/>
              <w:rPr>
                <w:rFonts w:asciiTheme="minorBidi" w:hAnsiTheme="minorBidi"/>
                <w:sz w:val="18"/>
                <w:szCs w:val="18"/>
              </w:rPr>
            </w:pPr>
          </w:p>
        </w:tc>
        <w:tc>
          <w:tcPr>
            <w:tcW w:w="236" w:type="dxa"/>
            <w:noWrap/>
            <w:vAlign w:val="center"/>
            <w:hideMark/>
          </w:tcPr>
          <w:p w14:paraId="76BA7103" w14:textId="77777777" w:rsidR="00F72778" w:rsidRPr="007E4529" w:rsidRDefault="00F72778" w:rsidP="007E4529">
            <w:pPr>
              <w:spacing w:before="0" w:after="0" w:line="240" w:lineRule="auto"/>
              <w:rPr>
                <w:rFonts w:asciiTheme="minorBidi" w:hAnsiTheme="minorBidi"/>
                <w:sz w:val="18"/>
                <w:szCs w:val="18"/>
              </w:rPr>
            </w:pPr>
          </w:p>
        </w:tc>
        <w:tc>
          <w:tcPr>
            <w:tcW w:w="4000" w:type="dxa"/>
            <w:noWrap/>
            <w:vAlign w:val="center"/>
            <w:hideMark/>
          </w:tcPr>
          <w:p w14:paraId="698E68D6" w14:textId="77777777" w:rsidR="00F72778" w:rsidRPr="00795CEB" w:rsidRDefault="00F72778" w:rsidP="007E4529">
            <w:pPr>
              <w:spacing w:before="0" w:after="0" w:line="240" w:lineRule="auto"/>
              <w:rPr>
                <w:rFonts w:asciiTheme="minorBidi" w:hAnsiTheme="minorBidi"/>
                <w:b/>
                <w:sz w:val="18"/>
                <w:szCs w:val="18"/>
              </w:rPr>
            </w:pPr>
            <w:r w:rsidRPr="00795CEB">
              <w:rPr>
                <w:rFonts w:asciiTheme="minorBidi" w:hAnsiTheme="minorBidi"/>
                <w:b/>
                <w:sz w:val="18"/>
                <w:szCs w:val="18"/>
              </w:rPr>
              <w:t>LÜT voodikohtade (SA) osakaal kõigist (LH)</w:t>
            </w:r>
          </w:p>
        </w:tc>
        <w:tc>
          <w:tcPr>
            <w:tcW w:w="807" w:type="dxa"/>
            <w:noWrap/>
            <w:vAlign w:val="center"/>
            <w:hideMark/>
          </w:tcPr>
          <w:p w14:paraId="1758D78D" w14:textId="77777777" w:rsidR="00F72778" w:rsidRPr="00795CEB" w:rsidRDefault="00F72778" w:rsidP="007E4529">
            <w:pPr>
              <w:spacing w:before="0" w:after="0" w:line="240" w:lineRule="auto"/>
              <w:jc w:val="right"/>
              <w:rPr>
                <w:rFonts w:asciiTheme="minorBidi" w:hAnsiTheme="minorBidi"/>
                <w:b/>
                <w:sz w:val="18"/>
                <w:szCs w:val="18"/>
              </w:rPr>
            </w:pPr>
            <w:r w:rsidRPr="00795CEB">
              <w:rPr>
                <w:rFonts w:asciiTheme="minorBidi" w:hAnsiTheme="minorBidi"/>
                <w:b/>
                <w:sz w:val="18"/>
                <w:szCs w:val="18"/>
              </w:rPr>
              <w:t>26%</w:t>
            </w:r>
          </w:p>
        </w:tc>
        <w:tc>
          <w:tcPr>
            <w:tcW w:w="990" w:type="dxa"/>
            <w:noWrap/>
            <w:vAlign w:val="center"/>
            <w:hideMark/>
          </w:tcPr>
          <w:p w14:paraId="4651EEB9" w14:textId="77777777" w:rsidR="00F72778" w:rsidRPr="00795CEB" w:rsidRDefault="00F72778" w:rsidP="007E4529">
            <w:pPr>
              <w:spacing w:before="0" w:after="0" w:line="240" w:lineRule="auto"/>
              <w:jc w:val="right"/>
              <w:rPr>
                <w:rFonts w:asciiTheme="minorBidi" w:hAnsiTheme="minorBidi"/>
                <w:b/>
                <w:sz w:val="18"/>
                <w:szCs w:val="18"/>
              </w:rPr>
            </w:pPr>
            <w:r w:rsidRPr="00795CEB">
              <w:rPr>
                <w:rFonts w:asciiTheme="minorBidi" w:hAnsiTheme="minorBidi"/>
                <w:b/>
                <w:sz w:val="18"/>
                <w:szCs w:val="18"/>
              </w:rPr>
              <w:t>14%</w:t>
            </w:r>
          </w:p>
        </w:tc>
        <w:tc>
          <w:tcPr>
            <w:tcW w:w="900" w:type="dxa"/>
            <w:noWrap/>
            <w:vAlign w:val="center"/>
            <w:hideMark/>
          </w:tcPr>
          <w:p w14:paraId="50401961" w14:textId="77777777" w:rsidR="00F72778" w:rsidRPr="00795CEB" w:rsidRDefault="00F72778" w:rsidP="007E4529">
            <w:pPr>
              <w:spacing w:before="0" w:after="0" w:line="240" w:lineRule="auto"/>
              <w:jc w:val="right"/>
              <w:rPr>
                <w:rFonts w:asciiTheme="minorBidi" w:hAnsiTheme="minorBidi"/>
                <w:b/>
                <w:sz w:val="18"/>
                <w:szCs w:val="18"/>
              </w:rPr>
            </w:pPr>
            <w:r w:rsidRPr="00795CEB">
              <w:rPr>
                <w:rFonts w:asciiTheme="minorBidi" w:hAnsiTheme="minorBidi"/>
                <w:b/>
                <w:sz w:val="18"/>
                <w:szCs w:val="18"/>
              </w:rPr>
              <w:t>29%</w:t>
            </w:r>
          </w:p>
        </w:tc>
      </w:tr>
      <w:tr w:rsidR="00F72778" w:rsidRPr="007E4529" w14:paraId="19BF74AC" w14:textId="77777777" w:rsidTr="009402A5">
        <w:trPr>
          <w:trHeight w:val="380"/>
        </w:trPr>
        <w:tc>
          <w:tcPr>
            <w:tcW w:w="3595" w:type="dxa"/>
            <w:noWrap/>
            <w:vAlign w:val="center"/>
            <w:hideMark/>
          </w:tcPr>
          <w:p w14:paraId="02B3AF77" w14:textId="588DD803" w:rsidR="00F72778" w:rsidRPr="00795CEB" w:rsidRDefault="00F72778" w:rsidP="007E4529">
            <w:pPr>
              <w:spacing w:before="0" w:after="0" w:line="240" w:lineRule="auto"/>
              <w:rPr>
                <w:rFonts w:asciiTheme="minorBidi" w:hAnsiTheme="minorBidi"/>
                <w:b/>
                <w:bCs/>
                <w:sz w:val="18"/>
                <w:szCs w:val="18"/>
              </w:rPr>
            </w:pPr>
            <w:r w:rsidRPr="00795CEB">
              <w:rPr>
                <w:rFonts w:asciiTheme="minorBidi" w:hAnsiTheme="minorBidi"/>
                <w:b/>
                <w:bCs/>
                <w:sz w:val="18"/>
                <w:szCs w:val="18"/>
              </w:rPr>
              <w:t xml:space="preserve"> s.h LÜT tunnusega majutusettevõtted</w:t>
            </w:r>
          </w:p>
        </w:tc>
        <w:tc>
          <w:tcPr>
            <w:tcW w:w="1079" w:type="dxa"/>
            <w:noWrap/>
            <w:vAlign w:val="center"/>
            <w:hideMark/>
          </w:tcPr>
          <w:p w14:paraId="425F150A" w14:textId="5842C108" w:rsidR="00F72778" w:rsidRPr="00795CEB" w:rsidRDefault="00F72778" w:rsidP="007E4529">
            <w:pPr>
              <w:spacing w:before="0" w:after="0" w:line="240" w:lineRule="auto"/>
              <w:jc w:val="right"/>
              <w:rPr>
                <w:rFonts w:asciiTheme="minorBidi" w:hAnsiTheme="minorBidi"/>
                <w:b/>
                <w:bCs/>
                <w:sz w:val="18"/>
                <w:szCs w:val="18"/>
              </w:rPr>
            </w:pPr>
            <w:r w:rsidRPr="00795CEB">
              <w:rPr>
                <w:rFonts w:asciiTheme="minorBidi" w:hAnsiTheme="minorBidi"/>
                <w:b/>
                <w:bCs/>
                <w:sz w:val="18"/>
                <w:szCs w:val="18"/>
              </w:rPr>
              <w:t>12</w:t>
            </w:r>
            <w:r w:rsidR="009402A5">
              <w:rPr>
                <w:rFonts w:asciiTheme="minorBidi" w:hAnsiTheme="minorBidi"/>
                <w:b/>
                <w:bCs/>
                <w:sz w:val="18"/>
                <w:szCs w:val="18"/>
              </w:rPr>
              <w:t xml:space="preserve"> </w:t>
            </w:r>
            <w:r w:rsidRPr="00795CEB">
              <w:rPr>
                <w:rFonts w:asciiTheme="minorBidi" w:hAnsiTheme="minorBidi"/>
                <w:b/>
                <w:bCs/>
                <w:sz w:val="18"/>
                <w:szCs w:val="18"/>
              </w:rPr>
              <w:t>466</w:t>
            </w:r>
          </w:p>
        </w:tc>
        <w:tc>
          <w:tcPr>
            <w:tcW w:w="989" w:type="dxa"/>
            <w:noWrap/>
            <w:vAlign w:val="center"/>
            <w:hideMark/>
          </w:tcPr>
          <w:p w14:paraId="54B6EBF0" w14:textId="1B849872" w:rsidR="00F72778" w:rsidRPr="00795CEB" w:rsidRDefault="00F72778" w:rsidP="007E4529">
            <w:pPr>
              <w:spacing w:before="0" w:after="0" w:line="240" w:lineRule="auto"/>
              <w:jc w:val="right"/>
              <w:rPr>
                <w:rFonts w:asciiTheme="minorBidi" w:hAnsiTheme="minorBidi"/>
                <w:b/>
                <w:bCs/>
                <w:sz w:val="18"/>
                <w:szCs w:val="18"/>
              </w:rPr>
            </w:pPr>
            <w:r w:rsidRPr="00795CEB">
              <w:rPr>
                <w:rFonts w:asciiTheme="minorBidi" w:hAnsiTheme="minorBidi"/>
                <w:b/>
                <w:bCs/>
                <w:sz w:val="18"/>
                <w:szCs w:val="18"/>
              </w:rPr>
              <w:t>1</w:t>
            </w:r>
            <w:r w:rsidR="009402A5">
              <w:rPr>
                <w:rFonts w:asciiTheme="minorBidi" w:hAnsiTheme="minorBidi"/>
                <w:b/>
                <w:bCs/>
                <w:sz w:val="18"/>
                <w:szCs w:val="18"/>
              </w:rPr>
              <w:t xml:space="preserve"> </w:t>
            </w:r>
            <w:r w:rsidRPr="00795CEB">
              <w:rPr>
                <w:rFonts w:asciiTheme="minorBidi" w:hAnsiTheme="minorBidi"/>
                <w:b/>
                <w:bCs/>
                <w:sz w:val="18"/>
                <w:szCs w:val="18"/>
              </w:rPr>
              <w:t>439</w:t>
            </w:r>
          </w:p>
        </w:tc>
        <w:tc>
          <w:tcPr>
            <w:tcW w:w="1259" w:type="dxa"/>
            <w:noWrap/>
            <w:vAlign w:val="center"/>
            <w:hideMark/>
          </w:tcPr>
          <w:p w14:paraId="088635BA" w14:textId="4A4002C4" w:rsidR="00F72778" w:rsidRPr="00795CEB" w:rsidRDefault="00F72778" w:rsidP="007E4529">
            <w:pPr>
              <w:spacing w:before="0" w:after="0" w:line="240" w:lineRule="auto"/>
              <w:jc w:val="right"/>
              <w:rPr>
                <w:rFonts w:asciiTheme="minorBidi" w:hAnsiTheme="minorBidi"/>
                <w:b/>
                <w:bCs/>
                <w:sz w:val="18"/>
                <w:szCs w:val="18"/>
              </w:rPr>
            </w:pPr>
            <w:r w:rsidRPr="00795CEB">
              <w:rPr>
                <w:rFonts w:asciiTheme="minorBidi" w:hAnsiTheme="minorBidi"/>
                <w:b/>
                <w:bCs/>
                <w:sz w:val="18"/>
                <w:szCs w:val="18"/>
              </w:rPr>
              <w:t>11</w:t>
            </w:r>
            <w:r w:rsidR="009402A5">
              <w:rPr>
                <w:rFonts w:asciiTheme="minorBidi" w:hAnsiTheme="minorBidi"/>
                <w:b/>
                <w:bCs/>
                <w:sz w:val="18"/>
                <w:szCs w:val="18"/>
              </w:rPr>
              <w:t xml:space="preserve"> </w:t>
            </w:r>
            <w:r w:rsidRPr="00795CEB">
              <w:rPr>
                <w:rFonts w:asciiTheme="minorBidi" w:hAnsiTheme="minorBidi"/>
                <w:b/>
                <w:bCs/>
                <w:sz w:val="18"/>
                <w:szCs w:val="18"/>
              </w:rPr>
              <w:t>027</w:t>
            </w:r>
          </w:p>
        </w:tc>
        <w:tc>
          <w:tcPr>
            <w:tcW w:w="236" w:type="dxa"/>
            <w:noWrap/>
            <w:vAlign w:val="center"/>
            <w:hideMark/>
          </w:tcPr>
          <w:p w14:paraId="1FC7C463" w14:textId="77777777" w:rsidR="00F72778" w:rsidRPr="007E4529" w:rsidRDefault="00F72778" w:rsidP="007E4529">
            <w:pPr>
              <w:spacing w:before="0" w:after="0" w:line="240" w:lineRule="auto"/>
              <w:jc w:val="right"/>
              <w:rPr>
                <w:rFonts w:asciiTheme="minorBidi" w:hAnsiTheme="minorBidi"/>
                <w:color w:val="A02B93"/>
                <w:sz w:val="18"/>
                <w:szCs w:val="18"/>
              </w:rPr>
            </w:pPr>
          </w:p>
        </w:tc>
        <w:tc>
          <w:tcPr>
            <w:tcW w:w="4000" w:type="dxa"/>
            <w:noWrap/>
            <w:vAlign w:val="center"/>
            <w:hideMark/>
          </w:tcPr>
          <w:p w14:paraId="4DC5DD0F" w14:textId="77777777" w:rsidR="00F72778" w:rsidRPr="00795CEB" w:rsidRDefault="00F72778" w:rsidP="007E4529">
            <w:pPr>
              <w:spacing w:before="0" w:after="0" w:line="240" w:lineRule="auto"/>
              <w:rPr>
                <w:rFonts w:asciiTheme="minorBidi" w:hAnsiTheme="minorBidi"/>
                <w:sz w:val="18"/>
                <w:szCs w:val="18"/>
              </w:rPr>
            </w:pPr>
          </w:p>
        </w:tc>
        <w:tc>
          <w:tcPr>
            <w:tcW w:w="807" w:type="dxa"/>
            <w:noWrap/>
            <w:vAlign w:val="center"/>
            <w:hideMark/>
          </w:tcPr>
          <w:p w14:paraId="3ABE7326" w14:textId="77777777" w:rsidR="00F72778" w:rsidRPr="00795CEB" w:rsidRDefault="00F72778" w:rsidP="007E4529">
            <w:pPr>
              <w:spacing w:before="0" w:after="0" w:line="240" w:lineRule="auto"/>
              <w:rPr>
                <w:rFonts w:asciiTheme="minorBidi" w:hAnsiTheme="minorBidi"/>
                <w:sz w:val="18"/>
                <w:szCs w:val="18"/>
              </w:rPr>
            </w:pPr>
          </w:p>
        </w:tc>
        <w:tc>
          <w:tcPr>
            <w:tcW w:w="990" w:type="dxa"/>
            <w:noWrap/>
            <w:vAlign w:val="center"/>
            <w:hideMark/>
          </w:tcPr>
          <w:p w14:paraId="37544575" w14:textId="77777777" w:rsidR="00F72778" w:rsidRPr="00795CEB" w:rsidRDefault="00F72778" w:rsidP="007E4529">
            <w:pPr>
              <w:spacing w:before="0" w:after="0" w:line="240" w:lineRule="auto"/>
              <w:rPr>
                <w:rFonts w:asciiTheme="minorBidi" w:hAnsiTheme="minorBidi"/>
                <w:sz w:val="18"/>
                <w:szCs w:val="18"/>
              </w:rPr>
            </w:pPr>
          </w:p>
        </w:tc>
        <w:tc>
          <w:tcPr>
            <w:tcW w:w="900" w:type="dxa"/>
            <w:noWrap/>
            <w:vAlign w:val="center"/>
            <w:hideMark/>
          </w:tcPr>
          <w:p w14:paraId="36F96C60" w14:textId="77777777" w:rsidR="00F72778" w:rsidRPr="00795CEB" w:rsidRDefault="00F72778" w:rsidP="007E4529">
            <w:pPr>
              <w:spacing w:before="0" w:after="0" w:line="240" w:lineRule="auto"/>
              <w:rPr>
                <w:rFonts w:asciiTheme="minorBidi" w:hAnsiTheme="minorBidi"/>
                <w:sz w:val="18"/>
                <w:szCs w:val="18"/>
              </w:rPr>
            </w:pPr>
          </w:p>
        </w:tc>
      </w:tr>
      <w:tr w:rsidR="00F72778" w:rsidRPr="007E4529" w14:paraId="6494BC90" w14:textId="77777777" w:rsidTr="009402A5">
        <w:trPr>
          <w:trHeight w:val="380"/>
        </w:trPr>
        <w:tc>
          <w:tcPr>
            <w:tcW w:w="3595" w:type="dxa"/>
            <w:noWrap/>
            <w:vAlign w:val="center"/>
            <w:hideMark/>
          </w:tcPr>
          <w:p w14:paraId="60EB9D22" w14:textId="77777777" w:rsidR="00F72778"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puhkemaja 55202</w:t>
            </w:r>
          </w:p>
        </w:tc>
        <w:tc>
          <w:tcPr>
            <w:tcW w:w="1079" w:type="dxa"/>
            <w:noWrap/>
            <w:vAlign w:val="center"/>
            <w:hideMark/>
          </w:tcPr>
          <w:p w14:paraId="49F81976" w14:textId="475AB867"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7</w:t>
            </w:r>
            <w:r w:rsidR="009402A5">
              <w:rPr>
                <w:rFonts w:asciiTheme="minorBidi" w:hAnsiTheme="minorBidi"/>
                <w:color w:val="000000"/>
                <w:sz w:val="18"/>
                <w:szCs w:val="18"/>
              </w:rPr>
              <w:t xml:space="preserve"> </w:t>
            </w:r>
            <w:r w:rsidRPr="007E4529">
              <w:rPr>
                <w:rFonts w:asciiTheme="minorBidi" w:hAnsiTheme="minorBidi"/>
                <w:color w:val="000000"/>
                <w:sz w:val="18"/>
                <w:szCs w:val="18"/>
              </w:rPr>
              <w:t>754</w:t>
            </w:r>
          </w:p>
        </w:tc>
        <w:tc>
          <w:tcPr>
            <w:tcW w:w="989" w:type="dxa"/>
            <w:noWrap/>
            <w:vAlign w:val="center"/>
            <w:hideMark/>
          </w:tcPr>
          <w:p w14:paraId="4DF5A439" w14:textId="77777777"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163</w:t>
            </w:r>
          </w:p>
        </w:tc>
        <w:tc>
          <w:tcPr>
            <w:tcW w:w="1259" w:type="dxa"/>
            <w:noWrap/>
            <w:vAlign w:val="center"/>
            <w:hideMark/>
          </w:tcPr>
          <w:p w14:paraId="63AA0F2C" w14:textId="715F3A76"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7</w:t>
            </w:r>
            <w:r w:rsidR="009402A5">
              <w:rPr>
                <w:rFonts w:asciiTheme="minorBidi" w:hAnsiTheme="minorBidi"/>
                <w:color w:val="000000"/>
                <w:sz w:val="18"/>
                <w:szCs w:val="18"/>
              </w:rPr>
              <w:t xml:space="preserve"> </w:t>
            </w:r>
            <w:r w:rsidRPr="007E4529">
              <w:rPr>
                <w:rFonts w:asciiTheme="minorBidi" w:hAnsiTheme="minorBidi"/>
                <w:color w:val="000000"/>
                <w:sz w:val="18"/>
                <w:szCs w:val="18"/>
              </w:rPr>
              <w:t>591</w:t>
            </w:r>
          </w:p>
        </w:tc>
        <w:tc>
          <w:tcPr>
            <w:tcW w:w="236" w:type="dxa"/>
            <w:noWrap/>
            <w:vAlign w:val="center"/>
            <w:hideMark/>
          </w:tcPr>
          <w:p w14:paraId="0E14FD7A" w14:textId="77777777" w:rsidR="00F72778" w:rsidRPr="007E4529" w:rsidRDefault="00F72778" w:rsidP="007E4529">
            <w:pPr>
              <w:spacing w:before="0" w:after="0" w:line="240" w:lineRule="auto"/>
              <w:jc w:val="right"/>
              <w:rPr>
                <w:rFonts w:asciiTheme="minorBidi" w:hAnsiTheme="minorBidi"/>
                <w:color w:val="000000"/>
                <w:sz w:val="18"/>
                <w:szCs w:val="18"/>
              </w:rPr>
            </w:pPr>
          </w:p>
        </w:tc>
        <w:tc>
          <w:tcPr>
            <w:tcW w:w="4000" w:type="dxa"/>
            <w:noWrap/>
            <w:vAlign w:val="center"/>
            <w:hideMark/>
          </w:tcPr>
          <w:p w14:paraId="564CF9C6" w14:textId="77777777" w:rsidR="00F72778" w:rsidRPr="00795CEB" w:rsidRDefault="00F72778" w:rsidP="007E4529">
            <w:pPr>
              <w:spacing w:before="0" w:after="0" w:line="240" w:lineRule="auto"/>
              <w:jc w:val="center"/>
              <w:rPr>
                <w:rFonts w:asciiTheme="minorBidi" w:hAnsiTheme="minorBidi"/>
                <w:sz w:val="18"/>
                <w:szCs w:val="18"/>
              </w:rPr>
            </w:pPr>
            <w:r w:rsidRPr="00795CEB">
              <w:rPr>
                <w:rFonts w:asciiTheme="minorBidi" w:hAnsiTheme="minorBidi"/>
                <w:sz w:val="18"/>
                <w:szCs w:val="18"/>
              </w:rPr>
              <w:t>2023.a. (MTA)</w:t>
            </w:r>
          </w:p>
        </w:tc>
        <w:tc>
          <w:tcPr>
            <w:tcW w:w="807" w:type="dxa"/>
            <w:noWrap/>
            <w:vAlign w:val="center"/>
            <w:hideMark/>
          </w:tcPr>
          <w:p w14:paraId="62171391" w14:textId="77777777" w:rsidR="00F72778" w:rsidRPr="00795CEB" w:rsidRDefault="00F72778" w:rsidP="007E4529">
            <w:pPr>
              <w:spacing w:before="0" w:after="0" w:line="240" w:lineRule="auto"/>
              <w:jc w:val="center"/>
              <w:rPr>
                <w:rFonts w:asciiTheme="minorBidi" w:hAnsiTheme="minorBidi"/>
                <w:sz w:val="18"/>
                <w:szCs w:val="18"/>
              </w:rPr>
            </w:pPr>
          </w:p>
        </w:tc>
        <w:tc>
          <w:tcPr>
            <w:tcW w:w="990" w:type="dxa"/>
            <w:noWrap/>
            <w:vAlign w:val="center"/>
            <w:hideMark/>
          </w:tcPr>
          <w:p w14:paraId="2A569E6F" w14:textId="77777777" w:rsidR="00F72778" w:rsidRPr="00795CEB" w:rsidRDefault="00F72778" w:rsidP="007E4529">
            <w:pPr>
              <w:spacing w:before="0" w:after="0" w:line="240" w:lineRule="auto"/>
              <w:rPr>
                <w:rFonts w:asciiTheme="minorBidi" w:hAnsiTheme="minorBidi"/>
                <w:sz w:val="18"/>
                <w:szCs w:val="18"/>
              </w:rPr>
            </w:pPr>
          </w:p>
        </w:tc>
        <w:tc>
          <w:tcPr>
            <w:tcW w:w="900" w:type="dxa"/>
            <w:noWrap/>
            <w:vAlign w:val="center"/>
            <w:hideMark/>
          </w:tcPr>
          <w:p w14:paraId="5808CC5C" w14:textId="77777777" w:rsidR="00F72778" w:rsidRPr="00795CEB" w:rsidRDefault="00F72778" w:rsidP="007E4529">
            <w:pPr>
              <w:spacing w:before="0" w:after="0" w:line="240" w:lineRule="auto"/>
              <w:rPr>
                <w:rFonts w:asciiTheme="minorBidi" w:hAnsiTheme="minorBidi"/>
                <w:sz w:val="18"/>
                <w:szCs w:val="18"/>
              </w:rPr>
            </w:pPr>
          </w:p>
        </w:tc>
      </w:tr>
      <w:tr w:rsidR="00F72778" w:rsidRPr="007E4529" w14:paraId="4E0380D5" w14:textId="77777777" w:rsidTr="009402A5">
        <w:trPr>
          <w:trHeight w:val="380"/>
        </w:trPr>
        <w:tc>
          <w:tcPr>
            <w:tcW w:w="3595" w:type="dxa"/>
            <w:noWrap/>
            <w:vAlign w:val="center"/>
            <w:hideMark/>
          </w:tcPr>
          <w:p w14:paraId="3912C3AB" w14:textId="77777777" w:rsidR="00F72778"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külaliskorter 55204</w:t>
            </w:r>
          </w:p>
        </w:tc>
        <w:tc>
          <w:tcPr>
            <w:tcW w:w="1079" w:type="dxa"/>
            <w:noWrap/>
            <w:vAlign w:val="center"/>
            <w:hideMark/>
          </w:tcPr>
          <w:p w14:paraId="1FE94B6B" w14:textId="1A35E7C1"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2</w:t>
            </w:r>
            <w:r w:rsidR="009402A5">
              <w:rPr>
                <w:rFonts w:asciiTheme="minorBidi" w:hAnsiTheme="minorBidi"/>
                <w:color w:val="000000"/>
                <w:sz w:val="18"/>
                <w:szCs w:val="18"/>
              </w:rPr>
              <w:t xml:space="preserve"> </w:t>
            </w:r>
            <w:r w:rsidRPr="007E4529">
              <w:rPr>
                <w:rFonts w:asciiTheme="minorBidi" w:hAnsiTheme="minorBidi"/>
                <w:color w:val="000000"/>
                <w:sz w:val="18"/>
                <w:szCs w:val="18"/>
              </w:rPr>
              <w:t>552</w:t>
            </w:r>
          </w:p>
        </w:tc>
        <w:tc>
          <w:tcPr>
            <w:tcW w:w="989" w:type="dxa"/>
            <w:noWrap/>
            <w:vAlign w:val="center"/>
            <w:hideMark/>
          </w:tcPr>
          <w:p w14:paraId="53FF089C" w14:textId="62D8B093"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1</w:t>
            </w:r>
            <w:r w:rsidR="009402A5">
              <w:rPr>
                <w:rFonts w:asciiTheme="minorBidi" w:hAnsiTheme="minorBidi"/>
                <w:color w:val="000000"/>
                <w:sz w:val="18"/>
                <w:szCs w:val="18"/>
              </w:rPr>
              <w:t xml:space="preserve"> </w:t>
            </w:r>
            <w:r w:rsidRPr="007E4529">
              <w:rPr>
                <w:rFonts w:asciiTheme="minorBidi" w:hAnsiTheme="minorBidi"/>
                <w:color w:val="000000"/>
                <w:sz w:val="18"/>
                <w:szCs w:val="18"/>
              </w:rPr>
              <w:t>276</w:t>
            </w:r>
          </w:p>
        </w:tc>
        <w:tc>
          <w:tcPr>
            <w:tcW w:w="1259" w:type="dxa"/>
            <w:noWrap/>
            <w:vAlign w:val="center"/>
            <w:hideMark/>
          </w:tcPr>
          <w:p w14:paraId="79FA201C" w14:textId="0AF200EC"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1</w:t>
            </w:r>
            <w:r w:rsidR="009402A5">
              <w:rPr>
                <w:rFonts w:asciiTheme="minorBidi" w:hAnsiTheme="minorBidi"/>
                <w:color w:val="000000"/>
                <w:sz w:val="18"/>
                <w:szCs w:val="18"/>
              </w:rPr>
              <w:t xml:space="preserve"> </w:t>
            </w:r>
            <w:r w:rsidRPr="007E4529">
              <w:rPr>
                <w:rFonts w:asciiTheme="minorBidi" w:hAnsiTheme="minorBidi"/>
                <w:color w:val="000000"/>
                <w:sz w:val="18"/>
                <w:szCs w:val="18"/>
              </w:rPr>
              <w:t>276</w:t>
            </w:r>
          </w:p>
        </w:tc>
        <w:tc>
          <w:tcPr>
            <w:tcW w:w="236" w:type="dxa"/>
            <w:noWrap/>
            <w:vAlign w:val="center"/>
            <w:hideMark/>
          </w:tcPr>
          <w:p w14:paraId="0BAED167" w14:textId="77777777" w:rsidR="00F72778" w:rsidRPr="007E4529" w:rsidRDefault="00F72778" w:rsidP="007E4529">
            <w:pPr>
              <w:spacing w:before="0" w:after="0" w:line="240" w:lineRule="auto"/>
              <w:jc w:val="right"/>
              <w:rPr>
                <w:rFonts w:asciiTheme="minorBidi" w:hAnsiTheme="minorBidi"/>
                <w:color w:val="000000"/>
                <w:sz w:val="18"/>
                <w:szCs w:val="18"/>
              </w:rPr>
            </w:pPr>
          </w:p>
        </w:tc>
        <w:tc>
          <w:tcPr>
            <w:tcW w:w="4000" w:type="dxa"/>
            <w:noWrap/>
            <w:vAlign w:val="center"/>
            <w:hideMark/>
          </w:tcPr>
          <w:p w14:paraId="4CA42061" w14:textId="77777777" w:rsidR="00F72778" w:rsidRPr="00795CEB" w:rsidRDefault="00F72778" w:rsidP="007E4529">
            <w:pPr>
              <w:spacing w:before="0" w:after="0" w:line="240" w:lineRule="auto"/>
              <w:rPr>
                <w:rFonts w:asciiTheme="minorBidi" w:hAnsiTheme="minorBidi"/>
                <w:b/>
                <w:bCs/>
                <w:sz w:val="18"/>
                <w:szCs w:val="18"/>
              </w:rPr>
            </w:pPr>
            <w:r w:rsidRPr="00795CEB">
              <w:rPr>
                <w:rFonts w:asciiTheme="minorBidi" w:hAnsiTheme="minorBidi"/>
                <w:b/>
                <w:bCs/>
                <w:sz w:val="18"/>
                <w:szCs w:val="18"/>
              </w:rPr>
              <w:t>B. LÜT kinnistusüksuste (KÜ) arv kokku</w:t>
            </w:r>
          </w:p>
        </w:tc>
        <w:tc>
          <w:tcPr>
            <w:tcW w:w="807" w:type="dxa"/>
            <w:noWrap/>
            <w:vAlign w:val="center"/>
            <w:hideMark/>
          </w:tcPr>
          <w:p w14:paraId="4F7AF969" w14:textId="60B9CEC9" w:rsidR="00F72778" w:rsidRPr="00795CEB" w:rsidRDefault="00F72778" w:rsidP="007E4529">
            <w:pPr>
              <w:spacing w:before="0" w:after="0" w:line="240" w:lineRule="auto"/>
              <w:jc w:val="right"/>
              <w:rPr>
                <w:rFonts w:asciiTheme="minorBidi" w:hAnsiTheme="minorBidi"/>
                <w:b/>
                <w:bCs/>
                <w:sz w:val="18"/>
                <w:szCs w:val="18"/>
              </w:rPr>
            </w:pPr>
            <w:r w:rsidRPr="00795CEB">
              <w:rPr>
                <w:rFonts w:asciiTheme="minorBidi" w:hAnsiTheme="minorBidi"/>
                <w:b/>
                <w:bCs/>
                <w:sz w:val="18"/>
                <w:szCs w:val="18"/>
              </w:rPr>
              <w:t>5</w:t>
            </w:r>
            <w:r w:rsidR="009402A5">
              <w:rPr>
                <w:rFonts w:asciiTheme="minorBidi" w:hAnsiTheme="minorBidi"/>
                <w:b/>
                <w:bCs/>
                <w:sz w:val="18"/>
                <w:szCs w:val="18"/>
              </w:rPr>
              <w:t xml:space="preserve"> </w:t>
            </w:r>
            <w:r w:rsidRPr="00795CEB">
              <w:rPr>
                <w:rFonts w:asciiTheme="minorBidi" w:hAnsiTheme="minorBidi"/>
                <w:b/>
                <w:bCs/>
                <w:sz w:val="18"/>
                <w:szCs w:val="18"/>
              </w:rPr>
              <w:t>380</w:t>
            </w:r>
          </w:p>
        </w:tc>
        <w:tc>
          <w:tcPr>
            <w:tcW w:w="990" w:type="dxa"/>
            <w:noWrap/>
            <w:vAlign w:val="center"/>
            <w:hideMark/>
          </w:tcPr>
          <w:p w14:paraId="3BBF189F" w14:textId="2FEDF8E1" w:rsidR="00F72778" w:rsidRPr="00795CEB" w:rsidRDefault="00F72778" w:rsidP="007E4529">
            <w:pPr>
              <w:spacing w:before="0" w:after="0" w:line="240" w:lineRule="auto"/>
              <w:jc w:val="right"/>
              <w:rPr>
                <w:rFonts w:asciiTheme="minorBidi" w:hAnsiTheme="minorBidi"/>
                <w:b/>
                <w:bCs/>
                <w:sz w:val="18"/>
                <w:szCs w:val="18"/>
              </w:rPr>
            </w:pPr>
            <w:r w:rsidRPr="00795CEB">
              <w:rPr>
                <w:rFonts w:asciiTheme="minorBidi" w:hAnsiTheme="minorBidi"/>
                <w:b/>
                <w:bCs/>
                <w:sz w:val="18"/>
                <w:szCs w:val="18"/>
              </w:rPr>
              <w:t>2</w:t>
            </w:r>
            <w:r w:rsidR="009402A5">
              <w:rPr>
                <w:rFonts w:asciiTheme="minorBidi" w:hAnsiTheme="minorBidi"/>
                <w:b/>
                <w:bCs/>
                <w:sz w:val="18"/>
                <w:szCs w:val="18"/>
              </w:rPr>
              <w:t xml:space="preserve"> </w:t>
            </w:r>
            <w:r w:rsidRPr="00795CEB">
              <w:rPr>
                <w:rFonts w:asciiTheme="minorBidi" w:hAnsiTheme="minorBidi"/>
                <w:b/>
                <w:bCs/>
                <w:sz w:val="18"/>
                <w:szCs w:val="18"/>
              </w:rPr>
              <w:t>517</w:t>
            </w:r>
          </w:p>
        </w:tc>
        <w:tc>
          <w:tcPr>
            <w:tcW w:w="900" w:type="dxa"/>
            <w:noWrap/>
            <w:vAlign w:val="center"/>
            <w:hideMark/>
          </w:tcPr>
          <w:p w14:paraId="2D205FAF" w14:textId="3F15FDD8" w:rsidR="00F72778" w:rsidRPr="00795CEB" w:rsidRDefault="00F72778" w:rsidP="007E4529">
            <w:pPr>
              <w:spacing w:before="0" w:after="0" w:line="240" w:lineRule="auto"/>
              <w:jc w:val="right"/>
              <w:rPr>
                <w:rFonts w:asciiTheme="minorBidi" w:hAnsiTheme="minorBidi"/>
                <w:b/>
                <w:bCs/>
                <w:sz w:val="18"/>
                <w:szCs w:val="18"/>
              </w:rPr>
            </w:pPr>
            <w:r w:rsidRPr="00795CEB">
              <w:rPr>
                <w:rFonts w:asciiTheme="minorBidi" w:hAnsiTheme="minorBidi"/>
                <w:b/>
                <w:bCs/>
                <w:sz w:val="18"/>
                <w:szCs w:val="18"/>
              </w:rPr>
              <w:t>2</w:t>
            </w:r>
            <w:r w:rsidR="009402A5">
              <w:rPr>
                <w:rFonts w:asciiTheme="minorBidi" w:hAnsiTheme="minorBidi"/>
                <w:b/>
                <w:bCs/>
                <w:sz w:val="18"/>
                <w:szCs w:val="18"/>
              </w:rPr>
              <w:t xml:space="preserve"> </w:t>
            </w:r>
            <w:r w:rsidRPr="00795CEB">
              <w:rPr>
                <w:rFonts w:asciiTheme="minorBidi" w:hAnsiTheme="minorBidi"/>
                <w:b/>
                <w:bCs/>
                <w:sz w:val="18"/>
                <w:szCs w:val="18"/>
              </w:rPr>
              <w:t>863</w:t>
            </w:r>
          </w:p>
        </w:tc>
      </w:tr>
      <w:tr w:rsidR="00F72778" w:rsidRPr="007E4529" w14:paraId="0532E5A0" w14:textId="77777777" w:rsidTr="009402A5">
        <w:trPr>
          <w:trHeight w:val="380"/>
        </w:trPr>
        <w:tc>
          <w:tcPr>
            <w:tcW w:w="3595" w:type="dxa"/>
            <w:noWrap/>
            <w:vAlign w:val="center"/>
            <w:hideMark/>
          </w:tcPr>
          <w:p w14:paraId="7772576C" w14:textId="77777777" w:rsidR="00F72778"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kodumajutus 55205</w:t>
            </w:r>
          </w:p>
        </w:tc>
        <w:tc>
          <w:tcPr>
            <w:tcW w:w="1079" w:type="dxa"/>
            <w:noWrap/>
            <w:vAlign w:val="center"/>
            <w:hideMark/>
          </w:tcPr>
          <w:p w14:paraId="7890C796" w14:textId="351125D5"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2</w:t>
            </w:r>
            <w:r w:rsidR="009402A5">
              <w:rPr>
                <w:rFonts w:asciiTheme="minorBidi" w:hAnsiTheme="minorBidi"/>
                <w:color w:val="000000"/>
                <w:sz w:val="18"/>
                <w:szCs w:val="18"/>
              </w:rPr>
              <w:t xml:space="preserve"> </w:t>
            </w:r>
            <w:r w:rsidRPr="007E4529">
              <w:rPr>
                <w:rFonts w:asciiTheme="minorBidi" w:hAnsiTheme="minorBidi"/>
                <w:color w:val="000000"/>
                <w:sz w:val="18"/>
                <w:szCs w:val="18"/>
              </w:rPr>
              <w:t>160</w:t>
            </w:r>
          </w:p>
        </w:tc>
        <w:tc>
          <w:tcPr>
            <w:tcW w:w="989" w:type="dxa"/>
            <w:noWrap/>
            <w:vAlign w:val="center"/>
            <w:hideMark/>
          </w:tcPr>
          <w:p w14:paraId="6545C159" w14:textId="77777777" w:rsidR="00F72778" w:rsidRPr="007E4529" w:rsidRDefault="00F72778" w:rsidP="007E4529">
            <w:pPr>
              <w:spacing w:before="0" w:after="0" w:line="240" w:lineRule="auto"/>
              <w:jc w:val="right"/>
              <w:rPr>
                <w:rFonts w:asciiTheme="minorBidi" w:hAnsiTheme="minorBidi"/>
                <w:color w:val="000000"/>
                <w:sz w:val="18"/>
                <w:szCs w:val="18"/>
              </w:rPr>
            </w:pPr>
          </w:p>
        </w:tc>
        <w:tc>
          <w:tcPr>
            <w:tcW w:w="1259" w:type="dxa"/>
            <w:noWrap/>
            <w:vAlign w:val="center"/>
            <w:hideMark/>
          </w:tcPr>
          <w:p w14:paraId="401756E9" w14:textId="0D15F741" w:rsidR="00F72778" w:rsidRPr="007E4529" w:rsidRDefault="00F72778" w:rsidP="007E4529">
            <w:pPr>
              <w:spacing w:before="0" w:after="0" w:line="240" w:lineRule="auto"/>
              <w:jc w:val="right"/>
              <w:rPr>
                <w:rFonts w:asciiTheme="minorBidi" w:hAnsiTheme="minorBidi"/>
                <w:color w:val="000000"/>
                <w:sz w:val="18"/>
                <w:szCs w:val="18"/>
              </w:rPr>
            </w:pPr>
            <w:r w:rsidRPr="007E4529">
              <w:rPr>
                <w:rFonts w:asciiTheme="minorBidi" w:hAnsiTheme="minorBidi"/>
                <w:color w:val="000000"/>
                <w:sz w:val="18"/>
                <w:szCs w:val="18"/>
              </w:rPr>
              <w:t>2</w:t>
            </w:r>
            <w:r w:rsidR="009402A5">
              <w:rPr>
                <w:rFonts w:asciiTheme="minorBidi" w:hAnsiTheme="minorBidi"/>
                <w:color w:val="000000"/>
                <w:sz w:val="18"/>
                <w:szCs w:val="18"/>
              </w:rPr>
              <w:t xml:space="preserve"> </w:t>
            </w:r>
            <w:r w:rsidRPr="007E4529">
              <w:rPr>
                <w:rFonts w:asciiTheme="minorBidi" w:hAnsiTheme="minorBidi"/>
                <w:color w:val="000000"/>
                <w:sz w:val="18"/>
                <w:szCs w:val="18"/>
              </w:rPr>
              <w:t>160</w:t>
            </w:r>
          </w:p>
        </w:tc>
        <w:tc>
          <w:tcPr>
            <w:tcW w:w="236" w:type="dxa"/>
            <w:noWrap/>
            <w:vAlign w:val="center"/>
            <w:hideMark/>
          </w:tcPr>
          <w:p w14:paraId="5A6E11D8" w14:textId="77777777" w:rsidR="00F72778" w:rsidRPr="007E4529" w:rsidRDefault="00F72778" w:rsidP="007E4529">
            <w:pPr>
              <w:spacing w:before="0" w:after="0" w:line="240" w:lineRule="auto"/>
              <w:jc w:val="right"/>
              <w:rPr>
                <w:rFonts w:asciiTheme="minorBidi" w:hAnsiTheme="minorBidi"/>
                <w:color w:val="000000"/>
                <w:sz w:val="18"/>
                <w:szCs w:val="18"/>
              </w:rPr>
            </w:pPr>
          </w:p>
        </w:tc>
        <w:tc>
          <w:tcPr>
            <w:tcW w:w="4000" w:type="dxa"/>
            <w:noWrap/>
            <w:vAlign w:val="center"/>
            <w:hideMark/>
          </w:tcPr>
          <w:p w14:paraId="4BAF6635" w14:textId="77777777"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voodikohta / MÜ (hinnanguline keskmine)</w:t>
            </w:r>
          </w:p>
        </w:tc>
        <w:tc>
          <w:tcPr>
            <w:tcW w:w="807" w:type="dxa"/>
            <w:noWrap/>
            <w:vAlign w:val="center"/>
            <w:hideMark/>
          </w:tcPr>
          <w:p w14:paraId="22F0D7D2" w14:textId="77777777" w:rsidR="00F72778" w:rsidRPr="00795CEB" w:rsidRDefault="00F72778" w:rsidP="007E4529">
            <w:pPr>
              <w:spacing w:before="0" w:after="0" w:line="240" w:lineRule="auto"/>
              <w:jc w:val="right"/>
              <w:rPr>
                <w:rFonts w:asciiTheme="minorBidi" w:hAnsiTheme="minorBidi"/>
                <w:sz w:val="18"/>
                <w:szCs w:val="18"/>
              </w:rPr>
            </w:pPr>
          </w:p>
        </w:tc>
        <w:tc>
          <w:tcPr>
            <w:tcW w:w="990" w:type="dxa"/>
            <w:noWrap/>
            <w:vAlign w:val="center"/>
            <w:hideMark/>
          </w:tcPr>
          <w:p w14:paraId="0C946198" w14:textId="77777777"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3.5</w:t>
            </w:r>
          </w:p>
        </w:tc>
        <w:tc>
          <w:tcPr>
            <w:tcW w:w="900" w:type="dxa"/>
            <w:noWrap/>
            <w:vAlign w:val="center"/>
            <w:hideMark/>
          </w:tcPr>
          <w:p w14:paraId="3370B094" w14:textId="77777777"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5.0</w:t>
            </w:r>
          </w:p>
        </w:tc>
      </w:tr>
      <w:tr w:rsidR="00F72778" w:rsidRPr="007E4529" w14:paraId="69FAA696" w14:textId="77777777" w:rsidTr="009402A5">
        <w:trPr>
          <w:trHeight w:val="180"/>
        </w:trPr>
        <w:tc>
          <w:tcPr>
            <w:tcW w:w="3595" w:type="dxa"/>
            <w:noWrap/>
            <w:vAlign w:val="center"/>
            <w:hideMark/>
          </w:tcPr>
          <w:p w14:paraId="0C9FE606" w14:textId="77777777" w:rsidR="00F72778" w:rsidRPr="007E4529" w:rsidRDefault="00F72778" w:rsidP="007E4529">
            <w:pPr>
              <w:spacing w:before="0" w:after="0" w:line="240" w:lineRule="auto"/>
              <w:jc w:val="right"/>
              <w:rPr>
                <w:rFonts w:asciiTheme="minorBidi" w:hAnsiTheme="minorBidi"/>
                <w:color w:val="000000"/>
                <w:sz w:val="18"/>
                <w:szCs w:val="18"/>
              </w:rPr>
            </w:pPr>
          </w:p>
        </w:tc>
        <w:tc>
          <w:tcPr>
            <w:tcW w:w="1079" w:type="dxa"/>
            <w:noWrap/>
            <w:vAlign w:val="center"/>
            <w:hideMark/>
          </w:tcPr>
          <w:p w14:paraId="6D481ED0" w14:textId="77777777" w:rsidR="00F72778" w:rsidRPr="007E4529" w:rsidRDefault="00F72778" w:rsidP="007E4529">
            <w:pPr>
              <w:spacing w:before="0" w:after="0" w:line="240" w:lineRule="auto"/>
              <w:rPr>
                <w:rFonts w:asciiTheme="minorBidi" w:hAnsiTheme="minorBidi"/>
                <w:sz w:val="18"/>
                <w:szCs w:val="18"/>
              </w:rPr>
            </w:pPr>
          </w:p>
        </w:tc>
        <w:tc>
          <w:tcPr>
            <w:tcW w:w="989" w:type="dxa"/>
            <w:noWrap/>
            <w:vAlign w:val="center"/>
            <w:hideMark/>
          </w:tcPr>
          <w:p w14:paraId="02D2F8F8" w14:textId="77777777" w:rsidR="00F72778" w:rsidRPr="007E4529" w:rsidRDefault="00F72778" w:rsidP="007E4529">
            <w:pPr>
              <w:spacing w:before="0" w:after="0" w:line="240" w:lineRule="auto"/>
              <w:rPr>
                <w:rFonts w:asciiTheme="minorBidi" w:hAnsiTheme="minorBidi"/>
                <w:sz w:val="18"/>
                <w:szCs w:val="18"/>
              </w:rPr>
            </w:pPr>
          </w:p>
        </w:tc>
        <w:tc>
          <w:tcPr>
            <w:tcW w:w="1259" w:type="dxa"/>
            <w:noWrap/>
            <w:vAlign w:val="center"/>
            <w:hideMark/>
          </w:tcPr>
          <w:p w14:paraId="72A5E8AE" w14:textId="77777777" w:rsidR="00F72778" w:rsidRPr="007E4529" w:rsidRDefault="00F72778" w:rsidP="007E4529">
            <w:pPr>
              <w:spacing w:before="0" w:after="0" w:line="240" w:lineRule="auto"/>
              <w:rPr>
                <w:rFonts w:asciiTheme="minorBidi" w:hAnsiTheme="minorBidi"/>
                <w:sz w:val="18"/>
                <w:szCs w:val="18"/>
              </w:rPr>
            </w:pPr>
          </w:p>
        </w:tc>
        <w:tc>
          <w:tcPr>
            <w:tcW w:w="236" w:type="dxa"/>
            <w:noWrap/>
            <w:vAlign w:val="center"/>
            <w:hideMark/>
          </w:tcPr>
          <w:p w14:paraId="61DC49F5" w14:textId="77777777" w:rsidR="00F72778" w:rsidRPr="007E4529" w:rsidRDefault="00F72778" w:rsidP="007E4529">
            <w:pPr>
              <w:spacing w:before="0" w:after="0" w:line="240" w:lineRule="auto"/>
              <w:rPr>
                <w:rFonts w:asciiTheme="minorBidi" w:hAnsiTheme="minorBidi"/>
                <w:sz w:val="18"/>
                <w:szCs w:val="18"/>
              </w:rPr>
            </w:pPr>
          </w:p>
        </w:tc>
        <w:tc>
          <w:tcPr>
            <w:tcW w:w="4000" w:type="dxa"/>
            <w:noWrap/>
            <w:vAlign w:val="center"/>
            <w:hideMark/>
          </w:tcPr>
          <w:p w14:paraId="5B0E1864" w14:textId="77777777" w:rsidR="00F72778" w:rsidRPr="00795CEB" w:rsidRDefault="00F72778" w:rsidP="007E4529">
            <w:pPr>
              <w:spacing w:before="0" w:after="0" w:line="240" w:lineRule="auto"/>
              <w:rPr>
                <w:rFonts w:asciiTheme="minorBidi" w:hAnsiTheme="minorBidi"/>
                <w:sz w:val="18"/>
                <w:szCs w:val="18"/>
              </w:rPr>
            </w:pPr>
          </w:p>
        </w:tc>
        <w:tc>
          <w:tcPr>
            <w:tcW w:w="807" w:type="dxa"/>
            <w:noWrap/>
            <w:vAlign w:val="center"/>
            <w:hideMark/>
          </w:tcPr>
          <w:p w14:paraId="46CA8CBE" w14:textId="77777777" w:rsidR="00F72778" w:rsidRPr="00795CEB" w:rsidRDefault="00F72778" w:rsidP="007E4529">
            <w:pPr>
              <w:spacing w:before="0" w:after="0" w:line="240" w:lineRule="auto"/>
              <w:rPr>
                <w:rFonts w:asciiTheme="minorBidi" w:hAnsiTheme="minorBidi"/>
                <w:sz w:val="18"/>
                <w:szCs w:val="18"/>
              </w:rPr>
            </w:pPr>
          </w:p>
        </w:tc>
        <w:tc>
          <w:tcPr>
            <w:tcW w:w="990" w:type="dxa"/>
            <w:noWrap/>
            <w:vAlign w:val="center"/>
            <w:hideMark/>
          </w:tcPr>
          <w:p w14:paraId="63863BC0" w14:textId="77777777" w:rsidR="00F72778" w:rsidRPr="00795CEB" w:rsidRDefault="00F72778" w:rsidP="007E4529">
            <w:pPr>
              <w:spacing w:before="0" w:after="0" w:line="240" w:lineRule="auto"/>
              <w:rPr>
                <w:rFonts w:asciiTheme="minorBidi" w:hAnsiTheme="minorBidi"/>
                <w:sz w:val="18"/>
                <w:szCs w:val="18"/>
              </w:rPr>
            </w:pPr>
          </w:p>
        </w:tc>
        <w:tc>
          <w:tcPr>
            <w:tcW w:w="900" w:type="dxa"/>
            <w:noWrap/>
            <w:vAlign w:val="center"/>
            <w:hideMark/>
          </w:tcPr>
          <w:p w14:paraId="2FAF0FB7" w14:textId="77777777" w:rsidR="00F72778" w:rsidRPr="00795CEB" w:rsidRDefault="00F72778" w:rsidP="007E4529">
            <w:pPr>
              <w:spacing w:before="0" w:after="0" w:line="240" w:lineRule="auto"/>
              <w:rPr>
                <w:rFonts w:asciiTheme="minorBidi" w:hAnsiTheme="minorBidi"/>
                <w:sz w:val="18"/>
                <w:szCs w:val="18"/>
              </w:rPr>
            </w:pPr>
          </w:p>
        </w:tc>
      </w:tr>
      <w:tr w:rsidR="00F72778" w:rsidRPr="007E4529" w14:paraId="30ED37EF" w14:textId="77777777" w:rsidTr="009402A5">
        <w:trPr>
          <w:trHeight w:val="380"/>
        </w:trPr>
        <w:tc>
          <w:tcPr>
            <w:tcW w:w="3595" w:type="dxa"/>
            <w:noWrap/>
            <w:vAlign w:val="center"/>
            <w:hideMark/>
          </w:tcPr>
          <w:p w14:paraId="4FD5B0CB" w14:textId="77777777" w:rsidR="00F72778" w:rsidRPr="007E4529" w:rsidRDefault="00F72778" w:rsidP="007E4529">
            <w:pPr>
              <w:spacing w:before="0" w:after="0" w:line="240" w:lineRule="auto"/>
              <w:rPr>
                <w:rFonts w:asciiTheme="minorBidi" w:hAnsiTheme="minorBidi"/>
                <w:color w:val="000000"/>
                <w:sz w:val="18"/>
                <w:szCs w:val="18"/>
              </w:rPr>
            </w:pPr>
            <w:r w:rsidRPr="007E4529">
              <w:rPr>
                <w:rFonts w:asciiTheme="minorBidi" w:hAnsiTheme="minorBidi"/>
                <w:color w:val="000000"/>
                <w:sz w:val="18"/>
                <w:szCs w:val="18"/>
              </w:rPr>
              <w:t>voodikohtade arv LÜT ME / hotellid jm</w:t>
            </w:r>
          </w:p>
        </w:tc>
        <w:tc>
          <w:tcPr>
            <w:tcW w:w="1079" w:type="dxa"/>
            <w:noWrap/>
            <w:vAlign w:val="center"/>
            <w:hideMark/>
          </w:tcPr>
          <w:p w14:paraId="53EC2F97" w14:textId="77777777" w:rsidR="00F72778" w:rsidRPr="00B54A22" w:rsidRDefault="4A7E2F16" w:rsidP="4A7E2F16">
            <w:pPr>
              <w:spacing w:before="0" w:after="0" w:line="240" w:lineRule="auto"/>
              <w:jc w:val="right"/>
              <w:rPr>
                <w:rFonts w:asciiTheme="minorBidi" w:hAnsiTheme="minorBidi"/>
                <w:b/>
                <w:bCs/>
                <w:sz w:val="18"/>
                <w:szCs w:val="18"/>
              </w:rPr>
            </w:pPr>
            <w:r w:rsidRPr="00B54A22">
              <w:rPr>
                <w:rFonts w:asciiTheme="minorBidi" w:hAnsiTheme="minorBidi"/>
                <w:b/>
                <w:bCs/>
                <w:sz w:val="18"/>
                <w:szCs w:val="18"/>
              </w:rPr>
              <w:t>29%</w:t>
            </w:r>
          </w:p>
        </w:tc>
        <w:tc>
          <w:tcPr>
            <w:tcW w:w="989" w:type="dxa"/>
            <w:noWrap/>
            <w:vAlign w:val="center"/>
            <w:hideMark/>
          </w:tcPr>
          <w:p w14:paraId="26EA9783" w14:textId="77777777" w:rsidR="00F72778"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8%</w:t>
            </w:r>
          </w:p>
        </w:tc>
        <w:tc>
          <w:tcPr>
            <w:tcW w:w="1259" w:type="dxa"/>
            <w:noWrap/>
            <w:vAlign w:val="center"/>
            <w:hideMark/>
          </w:tcPr>
          <w:p w14:paraId="10C34666" w14:textId="77777777" w:rsidR="00F72778"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45%</w:t>
            </w:r>
          </w:p>
        </w:tc>
        <w:tc>
          <w:tcPr>
            <w:tcW w:w="236" w:type="dxa"/>
            <w:noWrap/>
            <w:vAlign w:val="center"/>
            <w:hideMark/>
          </w:tcPr>
          <w:p w14:paraId="2E70674F" w14:textId="77777777" w:rsidR="00F72778" w:rsidRPr="007E4529" w:rsidRDefault="00F72778" w:rsidP="007E4529">
            <w:pPr>
              <w:spacing w:before="0" w:after="0" w:line="240" w:lineRule="auto"/>
              <w:jc w:val="right"/>
              <w:rPr>
                <w:rFonts w:asciiTheme="minorBidi" w:hAnsiTheme="minorBidi"/>
                <w:color w:val="A02B93"/>
                <w:sz w:val="18"/>
                <w:szCs w:val="18"/>
              </w:rPr>
            </w:pPr>
          </w:p>
        </w:tc>
        <w:tc>
          <w:tcPr>
            <w:tcW w:w="4000" w:type="dxa"/>
            <w:noWrap/>
            <w:vAlign w:val="center"/>
            <w:hideMark/>
          </w:tcPr>
          <w:p w14:paraId="29381AA4" w14:textId="77777777"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voodikohtade arv KÜ-des</w:t>
            </w:r>
          </w:p>
        </w:tc>
        <w:tc>
          <w:tcPr>
            <w:tcW w:w="807" w:type="dxa"/>
            <w:noWrap/>
            <w:vAlign w:val="center"/>
            <w:hideMark/>
          </w:tcPr>
          <w:p w14:paraId="6862D05B" w14:textId="0BBA1580" w:rsidR="00F72778" w:rsidRPr="00795CEB" w:rsidRDefault="00F72778" w:rsidP="007E4529">
            <w:pPr>
              <w:spacing w:before="0" w:after="0" w:line="240" w:lineRule="auto"/>
              <w:jc w:val="right"/>
              <w:rPr>
                <w:rFonts w:asciiTheme="minorBidi" w:hAnsiTheme="minorBidi"/>
                <w:b/>
                <w:sz w:val="18"/>
                <w:szCs w:val="18"/>
              </w:rPr>
            </w:pPr>
            <w:r w:rsidRPr="00795CEB">
              <w:rPr>
                <w:rFonts w:asciiTheme="minorBidi" w:hAnsiTheme="minorBidi"/>
                <w:b/>
                <w:sz w:val="18"/>
                <w:szCs w:val="18"/>
              </w:rPr>
              <w:t>23</w:t>
            </w:r>
            <w:r w:rsidR="009402A5">
              <w:rPr>
                <w:rFonts w:asciiTheme="minorBidi" w:hAnsiTheme="minorBidi"/>
                <w:b/>
                <w:sz w:val="18"/>
                <w:szCs w:val="18"/>
              </w:rPr>
              <w:t xml:space="preserve"> </w:t>
            </w:r>
            <w:r w:rsidRPr="00795CEB">
              <w:rPr>
                <w:rFonts w:asciiTheme="minorBidi" w:hAnsiTheme="minorBidi"/>
                <w:b/>
                <w:sz w:val="18"/>
                <w:szCs w:val="18"/>
              </w:rPr>
              <w:t>125</w:t>
            </w:r>
          </w:p>
        </w:tc>
        <w:tc>
          <w:tcPr>
            <w:tcW w:w="990" w:type="dxa"/>
            <w:noWrap/>
            <w:vAlign w:val="center"/>
            <w:hideMark/>
          </w:tcPr>
          <w:p w14:paraId="31E0178A" w14:textId="71C00E63"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8</w:t>
            </w:r>
            <w:r w:rsidR="009402A5">
              <w:rPr>
                <w:rFonts w:asciiTheme="minorBidi" w:hAnsiTheme="minorBidi"/>
                <w:sz w:val="18"/>
                <w:szCs w:val="18"/>
              </w:rPr>
              <w:t xml:space="preserve"> </w:t>
            </w:r>
            <w:r w:rsidRPr="00795CEB">
              <w:rPr>
                <w:rFonts w:asciiTheme="minorBidi" w:hAnsiTheme="minorBidi"/>
                <w:sz w:val="18"/>
                <w:szCs w:val="18"/>
              </w:rPr>
              <w:t>810</w:t>
            </w:r>
          </w:p>
        </w:tc>
        <w:tc>
          <w:tcPr>
            <w:tcW w:w="900" w:type="dxa"/>
            <w:noWrap/>
            <w:vAlign w:val="center"/>
            <w:hideMark/>
          </w:tcPr>
          <w:p w14:paraId="7CF3D2DC" w14:textId="215D07A6"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14</w:t>
            </w:r>
            <w:r w:rsidR="009402A5">
              <w:rPr>
                <w:rFonts w:asciiTheme="minorBidi" w:hAnsiTheme="minorBidi"/>
                <w:sz w:val="18"/>
                <w:szCs w:val="18"/>
              </w:rPr>
              <w:t xml:space="preserve"> </w:t>
            </w:r>
            <w:r w:rsidRPr="00795CEB">
              <w:rPr>
                <w:rFonts w:asciiTheme="minorBidi" w:hAnsiTheme="minorBidi"/>
                <w:sz w:val="18"/>
                <w:szCs w:val="18"/>
              </w:rPr>
              <w:t>315</w:t>
            </w:r>
          </w:p>
        </w:tc>
      </w:tr>
      <w:tr w:rsidR="00F72778" w:rsidRPr="007E4529" w14:paraId="0592B77F" w14:textId="77777777" w:rsidTr="009402A5">
        <w:trPr>
          <w:trHeight w:val="380"/>
        </w:trPr>
        <w:tc>
          <w:tcPr>
            <w:tcW w:w="3595" w:type="dxa"/>
            <w:noWrap/>
            <w:vAlign w:val="center"/>
            <w:hideMark/>
          </w:tcPr>
          <w:p w14:paraId="1787A8F6" w14:textId="77777777" w:rsidR="00F72778" w:rsidRPr="007E4529" w:rsidRDefault="00F72778" w:rsidP="007E4529">
            <w:pPr>
              <w:spacing w:before="0" w:after="0" w:line="240" w:lineRule="auto"/>
              <w:rPr>
                <w:rFonts w:asciiTheme="minorBidi" w:hAnsiTheme="minorBidi"/>
                <w:color w:val="000000"/>
                <w:sz w:val="18"/>
                <w:szCs w:val="18"/>
              </w:rPr>
            </w:pPr>
            <w:r w:rsidRPr="007E4529">
              <w:rPr>
                <w:rFonts w:asciiTheme="minorBidi" w:hAnsiTheme="minorBidi"/>
                <w:color w:val="000000"/>
                <w:sz w:val="18"/>
                <w:szCs w:val="18"/>
              </w:rPr>
              <w:t>voodikohtade arv LÜT ME / ME kokku</w:t>
            </w:r>
          </w:p>
        </w:tc>
        <w:tc>
          <w:tcPr>
            <w:tcW w:w="1079" w:type="dxa"/>
            <w:noWrap/>
            <w:vAlign w:val="center"/>
            <w:hideMark/>
          </w:tcPr>
          <w:p w14:paraId="4A69B6BD" w14:textId="77777777" w:rsidR="00F72778" w:rsidRPr="00B54A22" w:rsidRDefault="4A7E2F16" w:rsidP="4A7E2F16">
            <w:pPr>
              <w:spacing w:before="0" w:after="0" w:line="240" w:lineRule="auto"/>
              <w:jc w:val="right"/>
              <w:rPr>
                <w:rFonts w:asciiTheme="minorBidi" w:hAnsiTheme="minorBidi"/>
                <w:b/>
                <w:bCs/>
                <w:sz w:val="18"/>
                <w:szCs w:val="18"/>
              </w:rPr>
            </w:pPr>
            <w:r w:rsidRPr="00B54A22">
              <w:rPr>
                <w:rFonts w:asciiTheme="minorBidi" w:hAnsiTheme="minorBidi"/>
                <w:b/>
                <w:bCs/>
                <w:sz w:val="18"/>
                <w:szCs w:val="18"/>
              </w:rPr>
              <w:t>20%</w:t>
            </w:r>
          </w:p>
        </w:tc>
        <w:tc>
          <w:tcPr>
            <w:tcW w:w="989" w:type="dxa"/>
            <w:noWrap/>
            <w:vAlign w:val="center"/>
            <w:hideMark/>
          </w:tcPr>
          <w:p w14:paraId="5494548A" w14:textId="77777777" w:rsidR="00F72778"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7%</w:t>
            </w:r>
          </w:p>
        </w:tc>
        <w:tc>
          <w:tcPr>
            <w:tcW w:w="1259" w:type="dxa"/>
            <w:noWrap/>
            <w:vAlign w:val="center"/>
            <w:hideMark/>
          </w:tcPr>
          <w:p w14:paraId="597C10D7" w14:textId="77777777" w:rsidR="00F72778" w:rsidRPr="00B54A22" w:rsidRDefault="4A7E2F16" w:rsidP="4A7E2F16">
            <w:pPr>
              <w:spacing w:before="0" w:after="0" w:line="240" w:lineRule="auto"/>
              <w:jc w:val="right"/>
              <w:rPr>
                <w:rFonts w:asciiTheme="minorBidi" w:hAnsiTheme="minorBidi"/>
                <w:sz w:val="18"/>
                <w:szCs w:val="18"/>
              </w:rPr>
            </w:pPr>
            <w:r w:rsidRPr="00B54A22">
              <w:rPr>
                <w:rFonts w:asciiTheme="minorBidi" w:hAnsiTheme="minorBidi"/>
                <w:sz w:val="18"/>
                <w:szCs w:val="18"/>
              </w:rPr>
              <w:t>26%</w:t>
            </w:r>
          </w:p>
        </w:tc>
        <w:tc>
          <w:tcPr>
            <w:tcW w:w="236" w:type="dxa"/>
            <w:noWrap/>
            <w:vAlign w:val="center"/>
            <w:hideMark/>
          </w:tcPr>
          <w:p w14:paraId="079EF8BA" w14:textId="77777777" w:rsidR="00F72778" w:rsidRPr="007E4529" w:rsidRDefault="00F72778" w:rsidP="007E4529">
            <w:pPr>
              <w:spacing w:before="0" w:after="0" w:line="240" w:lineRule="auto"/>
              <w:jc w:val="right"/>
              <w:rPr>
                <w:rFonts w:asciiTheme="minorBidi" w:hAnsiTheme="minorBidi"/>
                <w:color w:val="A02B93"/>
                <w:sz w:val="18"/>
                <w:szCs w:val="18"/>
              </w:rPr>
            </w:pPr>
          </w:p>
        </w:tc>
        <w:tc>
          <w:tcPr>
            <w:tcW w:w="4000" w:type="dxa"/>
            <w:noWrap/>
            <w:vAlign w:val="center"/>
            <w:hideMark/>
          </w:tcPr>
          <w:p w14:paraId="78B8AB45" w14:textId="77777777" w:rsidR="00F72778" w:rsidRPr="00795CEB" w:rsidRDefault="00F72778" w:rsidP="007E4529">
            <w:pPr>
              <w:spacing w:before="0" w:after="0" w:line="240" w:lineRule="auto"/>
              <w:rPr>
                <w:rFonts w:asciiTheme="minorBidi" w:hAnsiTheme="minorBidi"/>
                <w:sz w:val="18"/>
                <w:szCs w:val="18"/>
              </w:rPr>
            </w:pPr>
            <w:r w:rsidRPr="00795CEB">
              <w:rPr>
                <w:rFonts w:asciiTheme="minorBidi" w:hAnsiTheme="minorBidi"/>
                <w:sz w:val="18"/>
                <w:szCs w:val="18"/>
              </w:rPr>
              <w:t>voodikohtade arv LÜT MÜ / hotellid jm</w:t>
            </w:r>
          </w:p>
        </w:tc>
        <w:tc>
          <w:tcPr>
            <w:tcW w:w="807" w:type="dxa"/>
            <w:noWrap/>
            <w:vAlign w:val="center"/>
            <w:hideMark/>
          </w:tcPr>
          <w:p w14:paraId="5F8F5CA4" w14:textId="77777777"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55%</w:t>
            </w:r>
          </w:p>
        </w:tc>
        <w:tc>
          <w:tcPr>
            <w:tcW w:w="990" w:type="dxa"/>
            <w:noWrap/>
            <w:vAlign w:val="center"/>
            <w:hideMark/>
          </w:tcPr>
          <w:p w14:paraId="19E1F30C" w14:textId="77777777"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49%</w:t>
            </w:r>
          </w:p>
        </w:tc>
        <w:tc>
          <w:tcPr>
            <w:tcW w:w="900" w:type="dxa"/>
            <w:noWrap/>
            <w:vAlign w:val="center"/>
            <w:hideMark/>
          </w:tcPr>
          <w:p w14:paraId="0C35C351" w14:textId="77777777" w:rsidR="00F72778" w:rsidRPr="00795CEB" w:rsidRDefault="00F72778" w:rsidP="007E4529">
            <w:pPr>
              <w:spacing w:before="0" w:after="0" w:line="240" w:lineRule="auto"/>
              <w:jc w:val="right"/>
              <w:rPr>
                <w:rFonts w:asciiTheme="minorBidi" w:hAnsiTheme="minorBidi"/>
                <w:sz w:val="18"/>
                <w:szCs w:val="18"/>
              </w:rPr>
            </w:pPr>
            <w:r w:rsidRPr="00795CEB">
              <w:rPr>
                <w:rFonts w:asciiTheme="minorBidi" w:hAnsiTheme="minorBidi"/>
                <w:sz w:val="18"/>
                <w:szCs w:val="18"/>
              </w:rPr>
              <w:t>59%</w:t>
            </w:r>
          </w:p>
        </w:tc>
      </w:tr>
      <w:tr w:rsidR="00F72778" w:rsidRPr="007E4529" w14:paraId="5CB3645E" w14:textId="77777777" w:rsidTr="009402A5">
        <w:trPr>
          <w:trHeight w:val="180"/>
        </w:trPr>
        <w:tc>
          <w:tcPr>
            <w:tcW w:w="3595" w:type="dxa"/>
            <w:noWrap/>
            <w:vAlign w:val="center"/>
            <w:hideMark/>
          </w:tcPr>
          <w:p w14:paraId="68963809" w14:textId="77777777" w:rsidR="00F72778" w:rsidRPr="007E4529" w:rsidRDefault="00F72778" w:rsidP="007E4529">
            <w:pPr>
              <w:spacing w:before="0" w:after="0" w:line="240" w:lineRule="auto"/>
              <w:jc w:val="right"/>
              <w:rPr>
                <w:rFonts w:asciiTheme="minorBidi" w:hAnsiTheme="minorBidi"/>
                <w:color w:val="000000"/>
                <w:sz w:val="18"/>
                <w:szCs w:val="18"/>
              </w:rPr>
            </w:pPr>
          </w:p>
        </w:tc>
        <w:tc>
          <w:tcPr>
            <w:tcW w:w="1079" w:type="dxa"/>
            <w:noWrap/>
            <w:vAlign w:val="center"/>
            <w:hideMark/>
          </w:tcPr>
          <w:p w14:paraId="65F0943F" w14:textId="77777777" w:rsidR="00F72778" w:rsidRPr="007E4529" w:rsidRDefault="00F72778" w:rsidP="007E4529">
            <w:pPr>
              <w:spacing w:before="0" w:after="0" w:line="240" w:lineRule="auto"/>
              <w:rPr>
                <w:rFonts w:asciiTheme="minorBidi" w:hAnsiTheme="minorBidi"/>
                <w:sz w:val="18"/>
                <w:szCs w:val="18"/>
              </w:rPr>
            </w:pPr>
          </w:p>
        </w:tc>
        <w:tc>
          <w:tcPr>
            <w:tcW w:w="989" w:type="dxa"/>
            <w:noWrap/>
            <w:vAlign w:val="center"/>
            <w:hideMark/>
          </w:tcPr>
          <w:p w14:paraId="59743311" w14:textId="77777777" w:rsidR="00F72778" w:rsidRPr="007E4529" w:rsidRDefault="00F72778" w:rsidP="007E4529">
            <w:pPr>
              <w:spacing w:before="0" w:after="0" w:line="240" w:lineRule="auto"/>
              <w:rPr>
                <w:rFonts w:asciiTheme="minorBidi" w:hAnsiTheme="minorBidi"/>
                <w:sz w:val="18"/>
                <w:szCs w:val="18"/>
              </w:rPr>
            </w:pPr>
          </w:p>
        </w:tc>
        <w:tc>
          <w:tcPr>
            <w:tcW w:w="1259" w:type="dxa"/>
            <w:noWrap/>
            <w:vAlign w:val="center"/>
            <w:hideMark/>
          </w:tcPr>
          <w:p w14:paraId="59D7E885" w14:textId="77777777" w:rsidR="00F72778" w:rsidRPr="007E4529" w:rsidRDefault="00F72778" w:rsidP="007E4529">
            <w:pPr>
              <w:spacing w:before="0" w:after="0" w:line="240" w:lineRule="auto"/>
              <w:rPr>
                <w:rFonts w:asciiTheme="minorBidi" w:hAnsiTheme="minorBidi"/>
                <w:sz w:val="18"/>
                <w:szCs w:val="18"/>
              </w:rPr>
            </w:pPr>
          </w:p>
        </w:tc>
        <w:tc>
          <w:tcPr>
            <w:tcW w:w="236" w:type="dxa"/>
            <w:noWrap/>
            <w:vAlign w:val="center"/>
            <w:hideMark/>
          </w:tcPr>
          <w:p w14:paraId="4B000BE2" w14:textId="77777777" w:rsidR="00F72778" w:rsidRPr="007E4529" w:rsidRDefault="00F72778" w:rsidP="007E4529">
            <w:pPr>
              <w:spacing w:before="0" w:after="0" w:line="240" w:lineRule="auto"/>
              <w:rPr>
                <w:rFonts w:asciiTheme="minorBidi" w:hAnsiTheme="minorBidi"/>
                <w:sz w:val="18"/>
                <w:szCs w:val="18"/>
              </w:rPr>
            </w:pPr>
          </w:p>
        </w:tc>
        <w:tc>
          <w:tcPr>
            <w:tcW w:w="4000" w:type="dxa"/>
            <w:noWrap/>
            <w:vAlign w:val="center"/>
            <w:hideMark/>
          </w:tcPr>
          <w:p w14:paraId="5BD4C793" w14:textId="77777777" w:rsidR="00F72778" w:rsidRPr="007E4529" w:rsidRDefault="00F72778" w:rsidP="007E4529">
            <w:pPr>
              <w:spacing w:before="0" w:after="0" w:line="240" w:lineRule="auto"/>
              <w:rPr>
                <w:rFonts w:asciiTheme="minorBidi" w:hAnsiTheme="minorBidi"/>
                <w:sz w:val="18"/>
                <w:szCs w:val="18"/>
              </w:rPr>
            </w:pPr>
          </w:p>
        </w:tc>
        <w:tc>
          <w:tcPr>
            <w:tcW w:w="807" w:type="dxa"/>
            <w:noWrap/>
            <w:vAlign w:val="center"/>
            <w:hideMark/>
          </w:tcPr>
          <w:p w14:paraId="0CF93084" w14:textId="77777777" w:rsidR="00F72778" w:rsidRPr="007E4529" w:rsidRDefault="00F72778" w:rsidP="007E4529">
            <w:pPr>
              <w:spacing w:before="0" w:after="0" w:line="240" w:lineRule="auto"/>
              <w:rPr>
                <w:rFonts w:asciiTheme="minorBidi" w:hAnsiTheme="minorBidi"/>
                <w:sz w:val="18"/>
                <w:szCs w:val="18"/>
              </w:rPr>
            </w:pPr>
          </w:p>
        </w:tc>
        <w:tc>
          <w:tcPr>
            <w:tcW w:w="990" w:type="dxa"/>
            <w:noWrap/>
            <w:vAlign w:val="center"/>
            <w:hideMark/>
          </w:tcPr>
          <w:p w14:paraId="4EC6F0D3" w14:textId="77777777" w:rsidR="00F72778" w:rsidRPr="007E4529" w:rsidRDefault="00F72778" w:rsidP="007E4529">
            <w:pPr>
              <w:spacing w:before="0" w:after="0" w:line="240" w:lineRule="auto"/>
              <w:rPr>
                <w:rFonts w:asciiTheme="minorBidi" w:hAnsiTheme="minorBidi"/>
                <w:sz w:val="18"/>
                <w:szCs w:val="18"/>
              </w:rPr>
            </w:pPr>
          </w:p>
        </w:tc>
        <w:tc>
          <w:tcPr>
            <w:tcW w:w="900" w:type="dxa"/>
            <w:noWrap/>
            <w:vAlign w:val="center"/>
            <w:hideMark/>
          </w:tcPr>
          <w:p w14:paraId="4111A352" w14:textId="77777777" w:rsidR="00F72778" w:rsidRPr="007E4529" w:rsidRDefault="00F72778" w:rsidP="007E4529">
            <w:pPr>
              <w:spacing w:before="0" w:after="0" w:line="240" w:lineRule="auto"/>
              <w:rPr>
                <w:rFonts w:asciiTheme="minorBidi" w:hAnsiTheme="minorBidi"/>
                <w:sz w:val="18"/>
                <w:szCs w:val="18"/>
              </w:rPr>
            </w:pPr>
          </w:p>
        </w:tc>
      </w:tr>
      <w:tr w:rsidR="00F72778" w:rsidRPr="007E4529" w14:paraId="6FE57CAB" w14:textId="77777777" w:rsidTr="009402A5">
        <w:trPr>
          <w:trHeight w:val="380"/>
        </w:trPr>
        <w:tc>
          <w:tcPr>
            <w:tcW w:w="3595" w:type="dxa"/>
            <w:noWrap/>
            <w:vAlign w:val="center"/>
            <w:hideMark/>
          </w:tcPr>
          <w:p w14:paraId="691E5358" w14:textId="77777777" w:rsidR="00F72778" w:rsidRPr="00795CEB" w:rsidRDefault="00F72778" w:rsidP="007E4529">
            <w:pPr>
              <w:spacing w:before="0" w:after="0" w:line="240" w:lineRule="auto"/>
              <w:jc w:val="right"/>
              <w:rPr>
                <w:rFonts w:asciiTheme="minorBidi" w:hAnsiTheme="minorBidi"/>
                <w:i/>
                <w:sz w:val="18"/>
                <w:szCs w:val="18"/>
              </w:rPr>
            </w:pPr>
            <w:r w:rsidRPr="00795CEB">
              <w:rPr>
                <w:rFonts w:asciiTheme="minorBidi" w:hAnsiTheme="minorBidi"/>
                <w:i/>
                <w:sz w:val="18"/>
                <w:szCs w:val="18"/>
              </w:rPr>
              <w:t>v.a puhkeküla 55203</w:t>
            </w:r>
          </w:p>
        </w:tc>
        <w:tc>
          <w:tcPr>
            <w:tcW w:w="1079" w:type="dxa"/>
            <w:noWrap/>
            <w:vAlign w:val="center"/>
            <w:hideMark/>
          </w:tcPr>
          <w:p w14:paraId="4B705812" w14:textId="251DAD3A" w:rsidR="00F72778" w:rsidRPr="00795CEB" w:rsidRDefault="00F72778" w:rsidP="007E4529">
            <w:pPr>
              <w:spacing w:before="0" w:after="0" w:line="240" w:lineRule="auto"/>
              <w:jc w:val="right"/>
              <w:rPr>
                <w:rFonts w:asciiTheme="minorBidi" w:hAnsiTheme="minorBidi"/>
                <w:i/>
                <w:sz w:val="18"/>
                <w:szCs w:val="18"/>
              </w:rPr>
            </w:pPr>
            <w:r w:rsidRPr="00795CEB">
              <w:rPr>
                <w:rFonts w:asciiTheme="minorBidi" w:hAnsiTheme="minorBidi"/>
                <w:i/>
                <w:sz w:val="18"/>
                <w:szCs w:val="18"/>
              </w:rPr>
              <w:t>6</w:t>
            </w:r>
            <w:r w:rsidR="009402A5">
              <w:rPr>
                <w:rFonts w:asciiTheme="minorBidi" w:hAnsiTheme="minorBidi"/>
                <w:i/>
                <w:sz w:val="18"/>
                <w:szCs w:val="18"/>
              </w:rPr>
              <w:t xml:space="preserve"> </w:t>
            </w:r>
            <w:r w:rsidRPr="00795CEB">
              <w:rPr>
                <w:rFonts w:asciiTheme="minorBidi" w:hAnsiTheme="minorBidi"/>
                <w:i/>
                <w:sz w:val="18"/>
                <w:szCs w:val="18"/>
              </w:rPr>
              <w:t>986</w:t>
            </w:r>
          </w:p>
        </w:tc>
        <w:tc>
          <w:tcPr>
            <w:tcW w:w="989" w:type="dxa"/>
            <w:noWrap/>
            <w:vAlign w:val="center"/>
            <w:hideMark/>
          </w:tcPr>
          <w:p w14:paraId="2FEF831B" w14:textId="77777777" w:rsidR="00F72778" w:rsidRPr="00795CEB" w:rsidRDefault="00F72778" w:rsidP="007E4529">
            <w:pPr>
              <w:spacing w:before="0" w:after="0" w:line="240" w:lineRule="auto"/>
              <w:jc w:val="right"/>
              <w:rPr>
                <w:rFonts w:asciiTheme="minorBidi" w:hAnsiTheme="minorBidi"/>
                <w:i/>
                <w:sz w:val="18"/>
                <w:szCs w:val="18"/>
              </w:rPr>
            </w:pPr>
          </w:p>
        </w:tc>
        <w:tc>
          <w:tcPr>
            <w:tcW w:w="1259" w:type="dxa"/>
            <w:noWrap/>
            <w:vAlign w:val="center"/>
            <w:hideMark/>
          </w:tcPr>
          <w:p w14:paraId="1285711D" w14:textId="77777777" w:rsidR="00F72778" w:rsidRPr="007E4529" w:rsidRDefault="00F72778" w:rsidP="007E4529">
            <w:pPr>
              <w:spacing w:before="0" w:after="0" w:line="240" w:lineRule="auto"/>
              <w:jc w:val="center"/>
              <w:rPr>
                <w:rFonts w:asciiTheme="minorBidi" w:hAnsiTheme="minorBidi"/>
                <w:sz w:val="18"/>
                <w:szCs w:val="18"/>
              </w:rPr>
            </w:pPr>
          </w:p>
        </w:tc>
        <w:tc>
          <w:tcPr>
            <w:tcW w:w="236" w:type="dxa"/>
            <w:noWrap/>
            <w:vAlign w:val="center"/>
            <w:hideMark/>
          </w:tcPr>
          <w:p w14:paraId="245111E5" w14:textId="77777777" w:rsidR="00F72778" w:rsidRPr="007E4529" w:rsidRDefault="00F72778" w:rsidP="007E4529">
            <w:pPr>
              <w:spacing w:before="0" w:after="0" w:line="240" w:lineRule="auto"/>
              <w:rPr>
                <w:rFonts w:asciiTheme="minorBidi" w:hAnsiTheme="minorBidi"/>
                <w:sz w:val="18"/>
                <w:szCs w:val="18"/>
              </w:rPr>
            </w:pPr>
          </w:p>
        </w:tc>
        <w:tc>
          <w:tcPr>
            <w:tcW w:w="4000" w:type="dxa"/>
            <w:noWrap/>
            <w:vAlign w:val="center"/>
            <w:hideMark/>
          </w:tcPr>
          <w:p w14:paraId="5528460C" w14:textId="77777777" w:rsidR="00F72778" w:rsidRPr="007E4529" w:rsidRDefault="00F72778" w:rsidP="007E4529">
            <w:pPr>
              <w:spacing w:before="0" w:after="0" w:line="240" w:lineRule="auto"/>
              <w:rPr>
                <w:rFonts w:asciiTheme="minorBidi" w:hAnsiTheme="minorBidi"/>
                <w:sz w:val="18"/>
                <w:szCs w:val="18"/>
              </w:rPr>
            </w:pPr>
          </w:p>
        </w:tc>
        <w:tc>
          <w:tcPr>
            <w:tcW w:w="807" w:type="dxa"/>
            <w:noWrap/>
            <w:vAlign w:val="center"/>
            <w:hideMark/>
          </w:tcPr>
          <w:p w14:paraId="05141B9F" w14:textId="77777777" w:rsidR="00F72778" w:rsidRPr="007E4529" w:rsidRDefault="00F72778" w:rsidP="007E4529">
            <w:pPr>
              <w:spacing w:before="0" w:after="0" w:line="240" w:lineRule="auto"/>
              <w:rPr>
                <w:rFonts w:asciiTheme="minorBidi" w:hAnsiTheme="minorBidi"/>
                <w:sz w:val="18"/>
                <w:szCs w:val="18"/>
              </w:rPr>
            </w:pPr>
          </w:p>
        </w:tc>
        <w:tc>
          <w:tcPr>
            <w:tcW w:w="990" w:type="dxa"/>
            <w:noWrap/>
            <w:vAlign w:val="center"/>
            <w:hideMark/>
          </w:tcPr>
          <w:p w14:paraId="6F744D65" w14:textId="77777777" w:rsidR="00F72778" w:rsidRPr="007E4529" w:rsidRDefault="00F72778" w:rsidP="007E4529">
            <w:pPr>
              <w:spacing w:before="0" w:after="0" w:line="240" w:lineRule="auto"/>
              <w:rPr>
                <w:rFonts w:asciiTheme="minorBidi" w:hAnsiTheme="minorBidi"/>
                <w:sz w:val="18"/>
                <w:szCs w:val="18"/>
              </w:rPr>
            </w:pPr>
          </w:p>
        </w:tc>
        <w:tc>
          <w:tcPr>
            <w:tcW w:w="900" w:type="dxa"/>
            <w:noWrap/>
            <w:vAlign w:val="center"/>
            <w:hideMark/>
          </w:tcPr>
          <w:p w14:paraId="5BCA0317" w14:textId="77777777" w:rsidR="00F72778" w:rsidRPr="007E4529" w:rsidRDefault="00F72778" w:rsidP="007E4529">
            <w:pPr>
              <w:spacing w:before="0" w:after="0" w:line="240" w:lineRule="auto"/>
              <w:rPr>
                <w:rFonts w:asciiTheme="minorBidi" w:hAnsiTheme="minorBidi"/>
                <w:sz w:val="18"/>
                <w:szCs w:val="18"/>
              </w:rPr>
            </w:pPr>
          </w:p>
        </w:tc>
      </w:tr>
      <w:tr w:rsidR="00F72778" w:rsidRPr="007E4529" w14:paraId="59A6F256" w14:textId="77777777" w:rsidTr="009402A5">
        <w:trPr>
          <w:trHeight w:val="380"/>
        </w:trPr>
        <w:tc>
          <w:tcPr>
            <w:tcW w:w="3595" w:type="dxa"/>
            <w:noWrap/>
            <w:vAlign w:val="center"/>
            <w:hideMark/>
          </w:tcPr>
          <w:p w14:paraId="51EC9ADD" w14:textId="77777777" w:rsidR="00F72778" w:rsidRPr="007E4529" w:rsidRDefault="00F72778" w:rsidP="007E4529">
            <w:pPr>
              <w:spacing w:before="0" w:after="0" w:line="240" w:lineRule="auto"/>
              <w:rPr>
                <w:rFonts w:asciiTheme="minorBidi" w:hAnsiTheme="minorBidi"/>
                <w:sz w:val="18"/>
                <w:szCs w:val="18"/>
              </w:rPr>
            </w:pPr>
          </w:p>
        </w:tc>
        <w:tc>
          <w:tcPr>
            <w:tcW w:w="1079" w:type="dxa"/>
            <w:noWrap/>
            <w:vAlign w:val="center"/>
            <w:hideMark/>
          </w:tcPr>
          <w:p w14:paraId="7CFDFC1B" w14:textId="77777777" w:rsidR="00F72778" w:rsidRPr="007E4529" w:rsidRDefault="00F72778" w:rsidP="007E4529">
            <w:pPr>
              <w:spacing w:before="0" w:after="0" w:line="240" w:lineRule="auto"/>
              <w:rPr>
                <w:rFonts w:asciiTheme="minorBidi" w:hAnsiTheme="minorBidi"/>
                <w:sz w:val="18"/>
                <w:szCs w:val="18"/>
              </w:rPr>
            </w:pPr>
          </w:p>
        </w:tc>
        <w:tc>
          <w:tcPr>
            <w:tcW w:w="989" w:type="dxa"/>
            <w:noWrap/>
            <w:vAlign w:val="center"/>
            <w:hideMark/>
          </w:tcPr>
          <w:p w14:paraId="36BD8042" w14:textId="77777777" w:rsidR="00F72778" w:rsidRPr="007E4529" w:rsidRDefault="00F72778" w:rsidP="007E4529">
            <w:pPr>
              <w:spacing w:before="0" w:after="0" w:line="240" w:lineRule="auto"/>
              <w:rPr>
                <w:rFonts w:asciiTheme="minorBidi" w:hAnsiTheme="minorBidi"/>
                <w:sz w:val="18"/>
                <w:szCs w:val="18"/>
              </w:rPr>
            </w:pPr>
          </w:p>
        </w:tc>
        <w:tc>
          <w:tcPr>
            <w:tcW w:w="1259" w:type="dxa"/>
            <w:noWrap/>
            <w:vAlign w:val="center"/>
            <w:hideMark/>
          </w:tcPr>
          <w:p w14:paraId="1EEE45E9" w14:textId="77777777" w:rsidR="00F72778" w:rsidRPr="007E4529" w:rsidRDefault="00F72778" w:rsidP="007E4529">
            <w:pPr>
              <w:spacing w:before="0" w:after="0" w:line="240" w:lineRule="auto"/>
              <w:rPr>
                <w:rFonts w:asciiTheme="minorBidi" w:hAnsiTheme="minorBidi"/>
                <w:sz w:val="18"/>
                <w:szCs w:val="18"/>
              </w:rPr>
            </w:pPr>
          </w:p>
        </w:tc>
        <w:tc>
          <w:tcPr>
            <w:tcW w:w="236" w:type="dxa"/>
            <w:noWrap/>
            <w:vAlign w:val="center"/>
            <w:hideMark/>
          </w:tcPr>
          <w:p w14:paraId="35FCBEA2" w14:textId="77777777" w:rsidR="00F72778" w:rsidRPr="007E4529" w:rsidRDefault="00F72778" w:rsidP="007E4529">
            <w:pPr>
              <w:spacing w:before="0" w:after="0" w:line="240" w:lineRule="auto"/>
              <w:rPr>
                <w:rFonts w:asciiTheme="minorBidi" w:hAnsiTheme="minorBidi"/>
                <w:sz w:val="18"/>
                <w:szCs w:val="18"/>
              </w:rPr>
            </w:pPr>
          </w:p>
        </w:tc>
        <w:tc>
          <w:tcPr>
            <w:tcW w:w="4000" w:type="dxa"/>
            <w:noWrap/>
            <w:vAlign w:val="center"/>
            <w:hideMark/>
          </w:tcPr>
          <w:p w14:paraId="3C2A0F2A" w14:textId="77777777" w:rsidR="00F72778" w:rsidRPr="007E4529" w:rsidRDefault="00F72778" w:rsidP="007E4529">
            <w:pPr>
              <w:spacing w:before="0" w:after="0" w:line="240" w:lineRule="auto"/>
              <w:rPr>
                <w:rFonts w:asciiTheme="minorBidi" w:hAnsiTheme="minorBidi"/>
                <w:sz w:val="18"/>
                <w:szCs w:val="18"/>
              </w:rPr>
            </w:pPr>
          </w:p>
        </w:tc>
        <w:tc>
          <w:tcPr>
            <w:tcW w:w="807" w:type="dxa"/>
            <w:noWrap/>
            <w:vAlign w:val="center"/>
            <w:hideMark/>
          </w:tcPr>
          <w:p w14:paraId="34948E95" w14:textId="77777777" w:rsidR="00F72778" w:rsidRPr="007E4529" w:rsidRDefault="00F72778" w:rsidP="007E4529">
            <w:pPr>
              <w:spacing w:before="0" w:after="0" w:line="240" w:lineRule="auto"/>
              <w:rPr>
                <w:rFonts w:asciiTheme="minorBidi" w:hAnsiTheme="minorBidi"/>
                <w:sz w:val="18"/>
                <w:szCs w:val="18"/>
              </w:rPr>
            </w:pPr>
          </w:p>
        </w:tc>
        <w:tc>
          <w:tcPr>
            <w:tcW w:w="990" w:type="dxa"/>
            <w:noWrap/>
            <w:vAlign w:val="center"/>
            <w:hideMark/>
          </w:tcPr>
          <w:p w14:paraId="422EB92E" w14:textId="77777777" w:rsidR="00F72778" w:rsidRPr="007E4529" w:rsidRDefault="00F72778" w:rsidP="007E4529">
            <w:pPr>
              <w:spacing w:before="0" w:after="0" w:line="240" w:lineRule="auto"/>
              <w:rPr>
                <w:rFonts w:asciiTheme="minorBidi" w:hAnsiTheme="minorBidi"/>
                <w:sz w:val="18"/>
                <w:szCs w:val="18"/>
              </w:rPr>
            </w:pPr>
          </w:p>
        </w:tc>
        <w:tc>
          <w:tcPr>
            <w:tcW w:w="900" w:type="dxa"/>
            <w:noWrap/>
            <w:vAlign w:val="center"/>
            <w:hideMark/>
          </w:tcPr>
          <w:p w14:paraId="1582E564" w14:textId="77777777" w:rsidR="00F72778" w:rsidRPr="007E4529" w:rsidRDefault="00F72778" w:rsidP="007E4529">
            <w:pPr>
              <w:spacing w:before="0" w:after="0" w:line="240" w:lineRule="auto"/>
              <w:rPr>
                <w:rFonts w:asciiTheme="minorBidi" w:hAnsiTheme="minorBidi"/>
                <w:sz w:val="18"/>
                <w:szCs w:val="18"/>
              </w:rPr>
            </w:pPr>
          </w:p>
        </w:tc>
      </w:tr>
      <w:tr w:rsidR="00F72778" w:rsidRPr="007E4529" w14:paraId="294314C0" w14:textId="77777777" w:rsidTr="009402A5">
        <w:trPr>
          <w:trHeight w:val="380"/>
        </w:trPr>
        <w:tc>
          <w:tcPr>
            <w:tcW w:w="3595" w:type="dxa"/>
            <w:noWrap/>
            <w:vAlign w:val="center"/>
            <w:hideMark/>
          </w:tcPr>
          <w:p w14:paraId="74ABB23E" w14:textId="77777777" w:rsidR="00F72778" w:rsidRPr="007E4529" w:rsidRDefault="00F72778" w:rsidP="007E4529">
            <w:pPr>
              <w:spacing w:before="0" w:after="0" w:line="240" w:lineRule="auto"/>
              <w:rPr>
                <w:rFonts w:asciiTheme="minorBidi" w:hAnsiTheme="minorBidi"/>
                <w:color w:val="000000"/>
                <w:sz w:val="18"/>
                <w:szCs w:val="18"/>
              </w:rPr>
            </w:pPr>
            <w:r w:rsidRPr="007E4529">
              <w:rPr>
                <w:rFonts w:asciiTheme="minorBidi" w:hAnsiTheme="minorBidi"/>
                <w:color w:val="000000"/>
                <w:sz w:val="18"/>
                <w:szCs w:val="18"/>
              </w:rPr>
              <w:t>ME - majutusettevõte (SA)</w:t>
            </w:r>
          </w:p>
        </w:tc>
        <w:tc>
          <w:tcPr>
            <w:tcW w:w="1079" w:type="dxa"/>
            <w:noWrap/>
            <w:vAlign w:val="center"/>
            <w:hideMark/>
          </w:tcPr>
          <w:p w14:paraId="79E1EF07" w14:textId="77777777" w:rsidR="00F72778" w:rsidRPr="007E4529" w:rsidRDefault="00F72778" w:rsidP="007E4529">
            <w:pPr>
              <w:spacing w:before="0" w:after="0" w:line="240" w:lineRule="auto"/>
              <w:rPr>
                <w:rFonts w:asciiTheme="minorBidi" w:hAnsiTheme="minorBidi"/>
                <w:color w:val="000000"/>
                <w:sz w:val="18"/>
                <w:szCs w:val="18"/>
              </w:rPr>
            </w:pPr>
          </w:p>
        </w:tc>
        <w:tc>
          <w:tcPr>
            <w:tcW w:w="989" w:type="dxa"/>
            <w:noWrap/>
            <w:vAlign w:val="center"/>
            <w:hideMark/>
          </w:tcPr>
          <w:p w14:paraId="6B9BDF25" w14:textId="77777777" w:rsidR="00F72778" w:rsidRPr="007E4529" w:rsidRDefault="00F72778" w:rsidP="007E4529">
            <w:pPr>
              <w:spacing w:before="0" w:after="0" w:line="240" w:lineRule="auto"/>
              <w:rPr>
                <w:rFonts w:asciiTheme="minorBidi" w:hAnsiTheme="minorBidi"/>
                <w:sz w:val="18"/>
                <w:szCs w:val="18"/>
              </w:rPr>
            </w:pPr>
          </w:p>
        </w:tc>
        <w:tc>
          <w:tcPr>
            <w:tcW w:w="1259" w:type="dxa"/>
            <w:noWrap/>
            <w:vAlign w:val="center"/>
            <w:hideMark/>
          </w:tcPr>
          <w:p w14:paraId="55CC752B" w14:textId="77777777" w:rsidR="00F72778" w:rsidRPr="007E4529" w:rsidRDefault="00F72778" w:rsidP="007E4529">
            <w:pPr>
              <w:spacing w:before="0" w:after="0" w:line="240" w:lineRule="auto"/>
              <w:rPr>
                <w:rFonts w:asciiTheme="minorBidi" w:hAnsiTheme="minorBidi"/>
                <w:sz w:val="18"/>
                <w:szCs w:val="18"/>
              </w:rPr>
            </w:pPr>
          </w:p>
        </w:tc>
        <w:tc>
          <w:tcPr>
            <w:tcW w:w="236" w:type="dxa"/>
            <w:noWrap/>
            <w:vAlign w:val="center"/>
            <w:hideMark/>
          </w:tcPr>
          <w:p w14:paraId="1FB7CDA9" w14:textId="77777777" w:rsidR="00F72778" w:rsidRPr="007E4529" w:rsidRDefault="00F72778" w:rsidP="007E4529">
            <w:pPr>
              <w:spacing w:before="0" w:after="0" w:line="240" w:lineRule="auto"/>
              <w:rPr>
                <w:rFonts w:asciiTheme="minorBidi" w:hAnsiTheme="minorBidi"/>
                <w:sz w:val="18"/>
                <w:szCs w:val="18"/>
              </w:rPr>
            </w:pPr>
          </w:p>
        </w:tc>
        <w:tc>
          <w:tcPr>
            <w:tcW w:w="4000" w:type="dxa"/>
            <w:noWrap/>
            <w:vAlign w:val="center"/>
            <w:hideMark/>
          </w:tcPr>
          <w:p w14:paraId="69599A78" w14:textId="77777777" w:rsidR="00F72778" w:rsidRPr="007E4529" w:rsidRDefault="00F72778" w:rsidP="007E4529">
            <w:pPr>
              <w:spacing w:before="0" w:after="0" w:line="240" w:lineRule="auto"/>
              <w:rPr>
                <w:rFonts w:asciiTheme="minorBidi" w:hAnsiTheme="minorBidi"/>
                <w:sz w:val="18"/>
                <w:szCs w:val="18"/>
              </w:rPr>
            </w:pPr>
          </w:p>
        </w:tc>
        <w:tc>
          <w:tcPr>
            <w:tcW w:w="807" w:type="dxa"/>
            <w:noWrap/>
            <w:vAlign w:val="center"/>
            <w:hideMark/>
          </w:tcPr>
          <w:p w14:paraId="2D87D1C6" w14:textId="77777777" w:rsidR="00F72778" w:rsidRPr="007E4529" w:rsidRDefault="00F72778" w:rsidP="007E4529">
            <w:pPr>
              <w:spacing w:before="0" w:after="0" w:line="240" w:lineRule="auto"/>
              <w:rPr>
                <w:rFonts w:asciiTheme="minorBidi" w:hAnsiTheme="minorBidi"/>
                <w:sz w:val="18"/>
                <w:szCs w:val="18"/>
              </w:rPr>
            </w:pPr>
          </w:p>
        </w:tc>
        <w:tc>
          <w:tcPr>
            <w:tcW w:w="990" w:type="dxa"/>
            <w:noWrap/>
            <w:vAlign w:val="center"/>
            <w:hideMark/>
          </w:tcPr>
          <w:p w14:paraId="4E876D26" w14:textId="77777777" w:rsidR="00F72778" w:rsidRPr="007E4529" w:rsidRDefault="00F72778" w:rsidP="007E4529">
            <w:pPr>
              <w:spacing w:before="0" w:after="0" w:line="240" w:lineRule="auto"/>
              <w:rPr>
                <w:rFonts w:asciiTheme="minorBidi" w:hAnsiTheme="minorBidi"/>
                <w:sz w:val="18"/>
                <w:szCs w:val="18"/>
              </w:rPr>
            </w:pPr>
          </w:p>
        </w:tc>
        <w:tc>
          <w:tcPr>
            <w:tcW w:w="900" w:type="dxa"/>
            <w:noWrap/>
            <w:vAlign w:val="center"/>
            <w:hideMark/>
          </w:tcPr>
          <w:p w14:paraId="3C732AF0" w14:textId="77777777" w:rsidR="00F72778" w:rsidRPr="007E4529" w:rsidRDefault="00F72778" w:rsidP="007E4529">
            <w:pPr>
              <w:spacing w:before="0" w:after="0" w:line="240" w:lineRule="auto"/>
              <w:rPr>
                <w:rFonts w:asciiTheme="minorBidi" w:hAnsiTheme="minorBidi"/>
                <w:sz w:val="18"/>
                <w:szCs w:val="18"/>
              </w:rPr>
            </w:pPr>
          </w:p>
        </w:tc>
      </w:tr>
      <w:tr w:rsidR="00F72778" w:rsidRPr="007E4529" w14:paraId="4F512BBE" w14:textId="77777777" w:rsidTr="009402A5">
        <w:trPr>
          <w:trHeight w:val="380"/>
        </w:trPr>
        <w:tc>
          <w:tcPr>
            <w:tcW w:w="3595" w:type="dxa"/>
            <w:noWrap/>
            <w:vAlign w:val="center"/>
            <w:hideMark/>
          </w:tcPr>
          <w:p w14:paraId="0D7FE23E" w14:textId="77777777" w:rsidR="00F72778" w:rsidRPr="007E4529" w:rsidRDefault="00F72778" w:rsidP="007E4529">
            <w:pPr>
              <w:spacing w:before="0" w:after="0" w:line="240" w:lineRule="auto"/>
              <w:rPr>
                <w:rFonts w:asciiTheme="minorBidi" w:hAnsiTheme="minorBidi"/>
                <w:color w:val="000000"/>
                <w:sz w:val="18"/>
                <w:szCs w:val="18"/>
              </w:rPr>
            </w:pPr>
            <w:r w:rsidRPr="007E4529">
              <w:rPr>
                <w:rFonts w:asciiTheme="minorBidi" w:hAnsiTheme="minorBidi"/>
                <w:color w:val="000000"/>
                <w:sz w:val="18"/>
                <w:szCs w:val="18"/>
              </w:rPr>
              <w:t>MÜ - LÜT majutusüksus (Lighthouse)</w:t>
            </w:r>
          </w:p>
        </w:tc>
        <w:tc>
          <w:tcPr>
            <w:tcW w:w="1079" w:type="dxa"/>
            <w:noWrap/>
            <w:vAlign w:val="center"/>
            <w:hideMark/>
          </w:tcPr>
          <w:p w14:paraId="7E172BDA" w14:textId="77777777" w:rsidR="00F72778" w:rsidRPr="007E4529" w:rsidRDefault="00F72778" w:rsidP="007E4529">
            <w:pPr>
              <w:spacing w:before="0" w:after="0" w:line="240" w:lineRule="auto"/>
              <w:rPr>
                <w:rFonts w:asciiTheme="minorBidi" w:hAnsiTheme="minorBidi"/>
                <w:color w:val="000000"/>
                <w:sz w:val="18"/>
                <w:szCs w:val="18"/>
              </w:rPr>
            </w:pPr>
          </w:p>
        </w:tc>
        <w:tc>
          <w:tcPr>
            <w:tcW w:w="989" w:type="dxa"/>
            <w:noWrap/>
            <w:vAlign w:val="center"/>
            <w:hideMark/>
          </w:tcPr>
          <w:p w14:paraId="59FA4766" w14:textId="77777777" w:rsidR="00F72778" w:rsidRPr="007E4529" w:rsidRDefault="00F72778" w:rsidP="007E4529">
            <w:pPr>
              <w:spacing w:before="0" w:after="0" w:line="240" w:lineRule="auto"/>
              <w:rPr>
                <w:rFonts w:asciiTheme="minorBidi" w:hAnsiTheme="minorBidi"/>
                <w:sz w:val="18"/>
                <w:szCs w:val="18"/>
              </w:rPr>
            </w:pPr>
          </w:p>
        </w:tc>
        <w:tc>
          <w:tcPr>
            <w:tcW w:w="1259" w:type="dxa"/>
            <w:noWrap/>
            <w:vAlign w:val="center"/>
            <w:hideMark/>
          </w:tcPr>
          <w:p w14:paraId="719201F9" w14:textId="77777777" w:rsidR="00F72778" w:rsidRPr="007E4529" w:rsidRDefault="00F72778" w:rsidP="007E4529">
            <w:pPr>
              <w:spacing w:before="0" w:after="0" w:line="240" w:lineRule="auto"/>
              <w:rPr>
                <w:rFonts w:asciiTheme="minorBidi" w:hAnsiTheme="minorBidi"/>
                <w:sz w:val="18"/>
                <w:szCs w:val="18"/>
              </w:rPr>
            </w:pPr>
          </w:p>
        </w:tc>
        <w:tc>
          <w:tcPr>
            <w:tcW w:w="236" w:type="dxa"/>
            <w:noWrap/>
            <w:vAlign w:val="center"/>
            <w:hideMark/>
          </w:tcPr>
          <w:p w14:paraId="09629935" w14:textId="77777777" w:rsidR="00F72778" w:rsidRPr="007E4529" w:rsidRDefault="00F72778" w:rsidP="007E4529">
            <w:pPr>
              <w:spacing w:before="0" w:after="0" w:line="240" w:lineRule="auto"/>
              <w:rPr>
                <w:rFonts w:asciiTheme="minorBidi" w:hAnsiTheme="minorBidi"/>
                <w:sz w:val="18"/>
                <w:szCs w:val="18"/>
              </w:rPr>
            </w:pPr>
          </w:p>
        </w:tc>
        <w:tc>
          <w:tcPr>
            <w:tcW w:w="4000" w:type="dxa"/>
            <w:noWrap/>
            <w:vAlign w:val="center"/>
            <w:hideMark/>
          </w:tcPr>
          <w:p w14:paraId="269C4186" w14:textId="77777777" w:rsidR="00F72778" w:rsidRPr="007E4529" w:rsidRDefault="00F72778" w:rsidP="007E4529">
            <w:pPr>
              <w:spacing w:before="0" w:after="0" w:line="240" w:lineRule="auto"/>
              <w:rPr>
                <w:rFonts w:asciiTheme="minorBidi" w:hAnsiTheme="minorBidi"/>
                <w:sz w:val="18"/>
                <w:szCs w:val="18"/>
              </w:rPr>
            </w:pPr>
          </w:p>
        </w:tc>
        <w:tc>
          <w:tcPr>
            <w:tcW w:w="807" w:type="dxa"/>
            <w:noWrap/>
            <w:vAlign w:val="center"/>
            <w:hideMark/>
          </w:tcPr>
          <w:p w14:paraId="538A7F28" w14:textId="77777777" w:rsidR="00F72778" w:rsidRPr="007E4529" w:rsidRDefault="00F72778" w:rsidP="007E4529">
            <w:pPr>
              <w:spacing w:before="0" w:after="0" w:line="240" w:lineRule="auto"/>
              <w:rPr>
                <w:rFonts w:asciiTheme="minorBidi" w:hAnsiTheme="minorBidi"/>
                <w:sz w:val="18"/>
                <w:szCs w:val="18"/>
              </w:rPr>
            </w:pPr>
          </w:p>
        </w:tc>
        <w:tc>
          <w:tcPr>
            <w:tcW w:w="990" w:type="dxa"/>
            <w:noWrap/>
            <w:vAlign w:val="center"/>
            <w:hideMark/>
          </w:tcPr>
          <w:p w14:paraId="033CF455" w14:textId="77777777" w:rsidR="00F72778" w:rsidRPr="007E4529" w:rsidRDefault="00F72778" w:rsidP="007E4529">
            <w:pPr>
              <w:spacing w:before="0" w:after="0" w:line="240" w:lineRule="auto"/>
              <w:rPr>
                <w:rFonts w:asciiTheme="minorBidi" w:hAnsiTheme="minorBidi"/>
                <w:sz w:val="18"/>
                <w:szCs w:val="18"/>
              </w:rPr>
            </w:pPr>
          </w:p>
        </w:tc>
        <w:tc>
          <w:tcPr>
            <w:tcW w:w="900" w:type="dxa"/>
            <w:noWrap/>
            <w:vAlign w:val="center"/>
            <w:hideMark/>
          </w:tcPr>
          <w:p w14:paraId="54760957" w14:textId="77777777" w:rsidR="00F72778" w:rsidRPr="007E4529" w:rsidRDefault="00F72778" w:rsidP="007E4529">
            <w:pPr>
              <w:spacing w:before="0" w:after="0" w:line="240" w:lineRule="auto"/>
              <w:rPr>
                <w:rFonts w:asciiTheme="minorBidi" w:hAnsiTheme="minorBidi"/>
                <w:sz w:val="18"/>
                <w:szCs w:val="18"/>
              </w:rPr>
            </w:pPr>
          </w:p>
        </w:tc>
      </w:tr>
      <w:tr w:rsidR="00F72778" w:rsidRPr="007E4529" w14:paraId="2D6A99D1" w14:textId="77777777" w:rsidTr="009402A5">
        <w:trPr>
          <w:trHeight w:val="380"/>
        </w:trPr>
        <w:tc>
          <w:tcPr>
            <w:tcW w:w="3595" w:type="dxa"/>
            <w:noWrap/>
            <w:vAlign w:val="center"/>
            <w:hideMark/>
          </w:tcPr>
          <w:p w14:paraId="78080065" w14:textId="77777777" w:rsidR="00F72778" w:rsidRPr="007E4529" w:rsidRDefault="00F72778" w:rsidP="007E4529">
            <w:pPr>
              <w:spacing w:before="0" w:after="0" w:line="240" w:lineRule="auto"/>
              <w:rPr>
                <w:rFonts w:asciiTheme="minorBidi" w:hAnsiTheme="minorBidi"/>
                <w:color w:val="000000"/>
                <w:sz w:val="18"/>
                <w:szCs w:val="18"/>
              </w:rPr>
            </w:pPr>
            <w:r w:rsidRPr="007E4529">
              <w:rPr>
                <w:rFonts w:asciiTheme="minorBidi" w:hAnsiTheme="minorBidi"/>
                <w:color w:val="000000"/>
                <w:sz w:val="18"/>
                <w:szCs w:val="18"/>
              </w:rPr>
              <w:t>KÜ - kinnistusüksus</w:t>
            </w:r>
          </w:p>
        </w:tc>
        <w:tc>
          <w:tcPr>
            <w:tcW w:w="1079" w:type="dxa"/>
            <w:noWrap/>
            <w:vAlign w:val="center"/>
            <w:hideMark/>
          </w:tcPr>
          <w:p w14:paraId="660423DE" w14:textId="77777777" w:rsidR="00F72778" w:rsidRPr="007E4529" w:rsidRDefault="00F72778" w:rsidP="007E4529">
            <w:pPr>
              <w:spacing w:before="0" w:after="0" w:line="240" w:lineRule="auto"/>
              <w:rPr>
                <w:rFonts w:asciiTheme="minorBidi" w:hAnsiTheme="minorBidi"/>
                <w:color w:val="000000"/>
                <w:sz w:val="18"/>
                <w:szCs w:val="18"/>
              </w:rPr>
            </w:pPr>
          </w:p>
        </w:tc>
        <w:tc>
          <w:tcPr>
            <w:tcW w:w="989" w:type="dxa"/>
            <w:noWrap/>
            <w:vAlign w:val="center"/>
            <w:hideMark/>
          </w:tcPr>
          <w:p w14:paraId="47E0DB2F" w14:textId="77777777" w:rsidR="00F72778" w:rsidRPr="007E4529" w:rsidRDefault="00F72778" w:rsidP="007E4529">
            <w:pPr>
              <w:spacing w:before="0" w:after="0" w:line="240" w:lineRule="auto"/>
              <w:rPr>
                <w:rFonts w:asciiTheme="minorBidi" w:hAnsiTheme="minorBidi"/>
                <w:sz w:val="18"/>
                <w:szCs w:val="18"/>
              </w:rPr>
            </w:pPr>
          </w:p>
        </w:tc>
        <w:tc>
          <w:tcPr>
            <w:tcW w:w="1259" w:type="dxa"/>
            <w:noWrap/>
            <w:vAlign w:val="center"/>
            <w:hideMark/>
          </w:tcPr>
          <w:p w14:paraId="18456442" w14:textId="77777777" w:rsidR="00F72778" w:rsidRPr="007E4529" w:rsidRDefault="00F72778" w:rsidP="007E4529">
            <w:pPr>
              <w:spacing w:before="0" w:after="0" w:line="240" w:lineRule="auto"/>
              <w:rPr>
                <w:rFonts w:asciiTheme="minorBidi" w:hAnsiTheme="minorBidi"/>
                <w:sz w:val="18"/>
                <w:szCs w:val="18"/>
              </w:rPr>
            </w:pPr>
          </w:p>
        </w:tc>
        <w:tc>
          <w:tcPr>
            <w:tcW w:w="236" w:type="dxa"/>
            <w:noWrap/>
            <w:vAlign w:val="center"/>
            <w:hideMark/>
          </w:tcPr>
          <w:p w14:paraId="3923E4B6" w14:textId="77777777" w:rsidR="00F72778" w:rsidRPr="007E4529" w:rsidRDefault="00F72778" w:rsidP="007E4529">
            <w:pPr>
              <w:spacing w:before="0" w:after="0" w:line="240" w:lineRule="auto"/>
              <w:rPr>
                <w:rFonts w:asciiTheme="minorBidi" w:hAnsiTheme="minorBidi"/>
                <w:sz w:val="18"/>
                <w:szCs w:val="18"/>
              </w:rPr>
            </w:pPr>
          </w:p>
        </w:tc>
        <w:tc>
          <w:tcPr>
            <w:tcW w:w="4000" w:type="dxa"/>
            <w:noWrap/>
            <w:vAlign w:val="center"/>
            <w:hideMark/>
          </w:tcPr>
          <w:p w14:paraId="3109DE74" w14:textId="77777777" w:rsidR="00F72778" w:rsidRPr="007E4529" w:rsidRDefault="00F72778" w:rsidP="007E4529">
            <w:pPr>
              <w:spacing w:before="0" w:after="0" w:line="240" w:lineRule="auto"/>
              <w:rPr>
                <w:rFonts w:asciiTheme="minorBidi" w:hAnsiTheme="minorBidi"/>
                <w:sz w:val="18"/>
                <w:szCs w:val="18"/>
              </w:rPr>
            </w:pPr>
          </w:p>
        </w:tc>
        <w:tc>
          <w:tcPr>
            <w:tcW w:w="807" w:type="dxa"/>
            <w:noWrap/>
            <w:vAlign w:val="center"/>
            <w:hideMark/>
          </w:tcPr>
          <w:p w14:paraId="62A7D4CA" w14:textId="77777777" w:rsidR="00F72778" w:rsidRPr="007E4529" w:rsidRDefault="00F72778" w:rsidP="007E4529">
            <w:pPr>
              <w:spacing w:before="0" w:after="0" w:line="240" w:lineRule="auto"/>
              <w:rPr>
                <w:rFonts w:asciiTheme="minorBidi" w:hAnsiTheme="minorBidi"/>
                <w:sz w:val="18"/>
                <w:szCs w:val="18"/>
              </w:rPr>
            </w:pPr>
          </w:p>
        </w:tc>
        <w:tc>
          <w:tcPr>
            <w:tcW w:w="990" w:type="dxa"/>
            <w:noWrap/>
            <w:vAlign w:val="center"/>
            <w:hideMark/>
          </w:tcPr>
          <w:p w14:paraId="5B9B429E" w14:textId="77777777" w:rsidR="00F72778" w:rsidRPr="007E4529" w:rsidRDefault="00F72778" w:rsidP="007E4529">
            <w:pPr>
              <w:spacing w:before="0" w:after="0" w:line="240" w:lineRule="auto"/>
              <w:rPr>
                <w:rFonts w:asciiTheme="minorBidi" w:hAnsiTheme="minorBidi"/>
                <w:sz w:val="18"/>
                <w:szCs w:val="18"/>
              </w:rPr>
            </w:pPr>
          </w:p>
        </w:tc>
        <w:tc>
          <w:tcPr>
            <w:tcW w:w="900" w:type="dxa"/>
            <w:noWrap/>
            <w:vAlign w:val="center"/>
            <w:hideMark/>
          </w:tcPr>
          <w:p w14:paraId="6E577D30" w14:textId="77777777" w:rsidR="00F72778" w:rsidRPr="007E4529" w:rsidRDefault="00F72778" w:rsidP="007E4529">
            <w:pPr>
              <w:spacing w:before="0" w:after="0" w:line="240" w:lineRule="auto"/>
              <w:rPr>
                <w:rFonts w:asciiTheme="minorBidi" w:hAnsiTheme="minorBidi"/>
                <w:sz w:val="18"/>
                <w:szCs w:val="18"/>
              </w:rPr>
            </w:pPr>
          </w:p>
        </w:tc>
      </w:tr>
    </w:tbl>
    <w:p w14:paraId="2907A147" w14:textId="00D23849" w:rsidR="00F72778" w:rsidRPr="00E14EBC" w:rsidRDefault="00C74AA8" w:rsidP="00795CEB">
      <w:pPr>
        <w:pStyle w:val="BottomCaption"/>
      </w:pPr>
      <w:r>
        <w:t>A</w:t>
      </w:r>
      <w:r w:rsidR="00F72778">
        <w:t>llikad: EIS, SA, Doorbll.com</w:t>
      </w:r>
      <w:r w:rsidR="00F72778">
        <w:br w:type="page"/>
      </w:r>
    </w:p>
    <w:p w14:paraId="56310945" w14:textId="5F1FAB3E" w:rsidR="00F72778" w:rsidRPr="00E14EBC" w:rsidRDefault="4A7E2F16" w:rsidP="00F72778">
      <w:pPr>
        <w:pStyle w:val="TableTitle"/>
      </w:pPr>
      <w:r>
        <w:lastRenderedPageBreak/>
        <w:t>Tabel 37: Majutusettevõtete ja lühiajalise üüri majutuskohtade nõudluse kattuvus, 2023</w:t>
      </w:r>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0"/>
        <w:gridCol w:w="1090"/>
        <w:gridCol w:w="1210"/>
        <w:gridCol w:w="1170"/>
        <w:gridCol w:w="340"/>
        <w:gridCol w:w="2985"/>
        <w:gridCol w:w="1170"/>
        <w:gridCol w:w="1170"/>
        <w:gridCol w:w="1170"/>
      </w:tblGrid>
      <w:tr w:rsidR="00F72778" w:rsidRPr="00FF397A" w14:paraId="58A18405" w14:textId="77777777" w:rsidTr="00795CEB">
        <w:trPr>
          <w:trHeight w:val="380"/>
        </w:trPr>
        <w:tc>
          <w:tcPr>
            <w:tcW w:w="3370" w:type="dxa"/>
            <w:noWrap/>
            <w:vAlign w:val="center"/>
            <w:hideMark/>
          </w:tcPr>
          <w:p w14:paraId="323D82A6" w14:textId="77777777" w:rsidR="00F72778" w:rsidRPr="00795CEB" w:rsidRDefault="00F72778" w:rsidP="00FF397A">
            <w:pPr>
              <w:spacing w:before="0" w:after="0" w:line="240" w:lineRule="auto"/>
              <w:jc w:val="center"/>
              <w:rPr>
                <w:rFonts w:asciiTheme="minorBidi" w:hAnsiTheme="minorBidi"/>
                <w:sz w:val="18"/>
                <w:szCs w:val="18"/>
              </w:rPr>
            </w:pPr>
            <w:r w:rsidRPr="00795CEB">
              <w:rPr>
                <w:rFonts w:asciiTheme="minorBidi" w:hAnsiTheme="minorBidi"/>
                <w:sz w:val="18"/>
                <w:szCs w:val="18"/>
              </w:rPr>
              <w:t>2023.a. (SA)</w:t>
            </w:r>
          </w:p>
        </w:tc>
        <w:tc>
          <w:tcPr>
            <w:tcW w:w="1090" w:type="dxa"/>
            <w:noWrap/>
            <w:vAlign w:val="center"/>
            <w:hideMark/>
          </w:tcPr>
          <w:p w14:paraId="7CC9D7F8" w14:textId="77777777" w:rsidR="00F72778" w:rsidRPr="00795CEB" w:rsidRDefault="00F72778" w:rsidP="00FF397A">
            <w:pPr>
              <w:spacing w:before="0" w:after="0" w:line="240" w:lineRule="auto"/>
              <w:jc w:val="center"/>
              <w:rPr>
                <w:rFonts w:asciiTheme="minorBidi" w:hAnsiTheme="minorBidi"/>
                <w:sz w:val="18"/>
                <w:szCs w:val="18"/>
              </w:rPr>
            </w:pPr>
            <w:r w:rsidRPr="00795CEB">
              <w:rPr>
                <w:rFonts w:asciiTheme="minorBidi" w:hAnsiTheme="minorBidi"/>
                <w:sz w:val="18"/>
                <w:szCs w:val="18"/>
              </w:rPr>
              <w:t>EST</w:t>
            </w:r>
          </w:p>
        </w:tc>
        <w:tc>
          <w:tcPr>
            <w:tcW w:w="1210" w:type="dxa"/>
            <w:noWrap/>
            <w:vAlign w:val="center"/>
            <w:hideMark/>
          </w:tcPr>
          <w:p w14:paraId="666F31BD" w14:textId="77777777" w:rsidR="00F72778" w:rsidRPr="00795CEB" w:rsidRDefault="00F72778" w:rsidP="00FF397A">
            <w:pPr>
              <w:spacing w:before="0" w:after="0" w:line="240" w:lineRule="auto"/>
              <w:jc w:val="center"/>
              <w:rPr>
                <w:rFonts w:asciiTheme="minorBidi" w:hAnsiTheme="minorBidi"/>
                <w:sz w:val="18"/>
                <w:szCs w:val="18"/>
              </w:rPr>
            </w:pPr>
            <w:r w:rsidRPr="00795CEB">
              <w:rPr>
                <w:rFonts w:asciiTheme="minorBidi" w:hAnsiTheme="minorBidi"/>
                <w:sz w:val="18"/>
                <w:szCs w:val="18"/>
              </w:rPr>
              <w:t>sh TLN</w:t>
            </w:r>
          </w:p>
        </w:tc>
        <w:tc>
          <w:tcPr>
            <w:tcW w:w="1170" w:type="dxa"/>
            <w:noWrap/>
            <w:vAlign w:val="center"/>
            <w:hideMark/>
          </w:tcPr>
          <w:p w14:paraId="52D4082F" w14:textId="77777777" w:rsidR="00F72778" w:rsidRPr="00795CEB" w:rsidRDefault="00F72778" w:rsidP="00FF397A">
            <w:pPr>
              <w:spacing w:before="0" w:after="0" w:line="240" w:lineRule="auto"/>
              <w:jc w:val="center"/>
              <w:rPr>
                <w:rFonts w:asciiTheme="minorBidi" w:hAnsiTheme="minorBidi"/>
                <w:sz w:val="18"/>
                <w:szCs w:val="18"/>
              </w:rPr>
            </w:pPr>
            <w:r w:rsidRPr="00795CEB">
              <w:rPr>
                <w:rFonts w:asciiTheme="minorBidi" w:hAnsiTheme="minorBidi"/>
                <w:sz w:val="18"/>
                <w:szCs w:val="18"/>
              </w:rPr>
              <w:t>sh muu EST</w:t>
            </w:r>
          </w:p>
        </w:tc>
        <w:tc>
          <w:tcPr>
            <w:tcW w:w="340" w:type="dxa"/>
            <w:noWrap/>
            <w:vAlign w:val="center"/>
            <w:hideMark/>
          </w:tcPr>
          <w:p w14:paraId="2B4ADBD3" w14:textId="77777777" w:rsidR="00F72778" w:rsidRPr="00795CEB" w:rsidRDefault="00F72778" w:rsidP="00FF397A">
            <w:pPr>
              <w:spacing w:before="0" w:after="0" w:line="240" w:lineRule="auto"/>
              <w:jc w:val="center"/>
              <w:rPr>
                <w:rFonts w:asciiTheme="minorBidi" w:hAnsiTheme="minorBidi"/>
                <w:sz w:val="18"/>
                <w:szCs w:val="18"/>
              </w:rPr>
            </w:pPr>
          </w:p>
        </w:tc>
        <w:tc>
          <w:tcPr>
            <w:tcW w:w="2985" w:type="dxa"/>
            <w:noWrap/>
            <w:vAlign w:val="center"/>
            <w:hideMark/>
          </w:tcPr>
          <w:p w14:paraId="71E004F1" w14:textId="77777777" w:rsidR="00F72778" w:rsidRPr="00795CEB" w:rsidRDefault="00F72778" w:rsidP="00FF397A">
            <w:pPr>
              <w:spacing w:before="0" w:after="0" w:line="240" w:lineRule="auto"/>
              <w:jc w:val="center"/>
              <w:rPr>
                <w:rFonts w:asciiTheme="minorBidi" w:hAnsiTheme="minorBidi"/>
                <w:sz w:val="18"/>
                <w:szCs w:val="18"/>
              </w:rPr>
            </w:pPr>
            <w:r w:rsidRPr="00795CEB">
              <w:rPr>
                <w:rFonts w:asciiTheme="minorBidi" w:hAnsiTheme="minorBidi"/>
                <w:sz w:val="18"/>
                <w:szCs w:val="18"/>
              </w:rPr>
              <w:t>2023.a. (SA/Eurostat; EIS/Lighthouse)</w:t>
            </w:r>
          </w:p>
        </w:tc>
        <w:tc>
          <w:tcPr>
            <w:tcW w:w="1170" w:type="dxa"/>
            <w:noWrap/>
            <w:vAlign w:val="center"/>
            <w:hideMark/>
          </w:tcPr>
          <w:p w14:paraId="3A2A82D8" w14:textId="77777777" w:rsidR="00F72778" w:rsidRPr="00795CEB" w:rsidRDefault="00F72778" w:rsidP="00FF397A">
            <w:pPr>
              <w:spacing w:before="0" w:after="0" w:line="240" w:lineRule="auto"/>
              <w:jc w:val="center"/>
              <w:rPr>
                <w:rFonts w:asciiTheme="minorBidi" w:hAnsiTheme="minorBidi"/>
                <w:sz w:val="18"/>
                <w:szCs w:val="18"/>
              </w:rPr>
            </w:pPr>
            <w:r w:rsidRPr="00795CEB">
              <w:rPr>
                <w:rFonts w:asciiTheme="minorBidi" w:hAnsiTheme="minorBidi"/>
                <w:sz w:val="18"/>
                <w:szCs w:val="18"/>
              </w:rPr>
              <w:t>EST</w:t>
            </w:r>
          </w:p>
        </w:tc>
        <w:tc>
          <w:tcPr>
            <w:tcW w:w="1170" w:type="dxa"/>
            <w:noWrap/>
            <w:vAlign w:val="center"/>
            <w:hideMark/>
          </w:tcPr>
          <w:p w14:paraId="0BEA6486" w14:textId="77777777" w:rsidR="00F72778" w:rsidRPr="00795CEB" w:rsidRDefault="00F72778" w:rsidP="00FF397A">
            <w:pPr>
              <w:spacing w:before="0" w:after="0" w:line="240" w:lineRule="auto"/>
              <w:jc w:val="center"/>
              <w:rPr>
                <w:rFonts w:asciiTheme="minorBidi" w:hAnsiTheme="minorBidi"/>
                <w:sz w:val="18"/>
                <w:szCs w:val="18"/>
              </w:rPr>
            </w:pPr>
            <w:r w:rsidRPr="00795CEB">
              <w:rPr>
                <w:rFonts w:asciiTheme="minorBidi" w:hAnsiTheme="minorBidi"/>
                <w:sz w:val="18"/>
                <w:szCs w:val="18"/>
              </w:rPr>
              <w:t>sh TLN</w:t>
            </w:r>
          </w:p>
        </w:tc>
        <w:tc>
          <w:tcPr>
            <w:tcW w:w="1170" w:type="dxa"/>
            <w:noWrap/>
            <w:vAlign w:val="center"/>
            <w:hideMark/>
          </w:tcPr>
          <w:p w14:paraId="3A1F2A2B" w14:textId="77777777" w:rsidR="00F72778" w:rsidRPr="00795CEB" w:rsidRDefault="00F72778" w:rsidP="00FF397A">
            <w:pPr>
              <w:spacing w:before="0" w:after="0" w:line="240" w:lineRule="auto"/>
              <w:jc w:val="center"/>
              <w:rPr>
                <w:rFonts w:asciiTheme="minorBidi" w:hAnsiTheme="minorBidi"/>
                <w:sz w:val="18"/>
                <w:szCs w:val="18"/>
              </w:rPr>
            </w:pPr>
            <w:r w:rsidRPr="00795CEB">
              <w:rPr>
                <w:rFonts w:asciiTheme="minorBidi" w:hAnsiTheme="minorBidi"/>
                <w:sz w:val="18"/>
                <w:szCs w:val="18"/>
              </w:rPr>
              <w:t>sh muu EST</w:t>
            </w:r>
          </w:p>
        </w:tc>
      </w:tr>
      <w:tr w:rsidR="00F72778" w:rsidRPr="00FF397A" w14:paraId="1CF78377" w14:textId="77777777" w:rsidTr="00795CEB">
        <w:trPr>
          <w:trHeight w:val="177"/>
        </w:trPr>
        <w:tc>
          <w:tcPr>
            <w:tcW w:w="3370" w:type="dxa"/>
            <w:noWrap/>
            <w:vAlign w:val="center"/>
            <w:hideMark/>
          </w:tcPr>
          <w:p w14:paraId="475289D5" w14:textId="77777777" w:rsidR="00F72778" w:rsidRPr="00795CEB" w:rsidRDefault="00F72778" w:rsidP="00FF397A">
            <w:pPr>
              <w:spacing w:before="0" w:after="0" w:line="240" w:lineRule="auto"/>
              <w:jc w:val="center"/>
              <w:rPr>
                <w:rFonts w:asciiTheme="minorBidi" w:hAnsiTheme="minorBidi"/>
                <w:sz w:val="18"/>
                <w:szCs w:val="18"/>
              </w:rPr>
            </w:pPr>
          </w:p>
        </w:tc>
        <w:tc>
          <w:tcPr>
            <w:tcW w:w="1090" w:type="dxa"/>
            <w:noWrap/>
            <w:vAlign w:val="center"/>
            <w:hideMark/>
          </w:tcPr>
          <w:p w14:paraId="447E9E4C" w14:textId="77777777" w:rsidR="00F72778" w:rsidRPr="00795CEB" w:rsidRDefault="00F72778" w:rsidP="00FF397A">
            <w:pPr>
              <w:spacing w:before="0" w:after="0" w:line="240" w:lineRule="auto"/>
              <w:jc w:val="center"/>
              <w:rPr>
                <w:rFonts w:asciiTheme="minorBidi" w:hAnsiTheme="minorBidi"/>
                <w:sz w:val="18"/>
                <w:szCs w:val="18"/>
              </w:rPr>
            </w:pPr>
          </w:p>
        </w:tc>
        <w:tc>
          <w:tcPr>
            <w:tcW w:w="1210" w:type="dxa"/>
            <w:noWrap/>
            <w:vAlign w:val="center"/>
            <w:hideMark/>
          </w:tcPr>
          <w:p w14:paraId="488BB55B" w14:textId="77777777" w:rsidR="00F72778" w:rsidRPr="00795CEB" w:rsidRDefault="00F72778" w:rsidP="00FF397A">
            <w:pPr>
              <w:spacing w:before="0" w:after="0" w:line="240" w:lineRule="auto"/>
              <w:jc w:val="center"/>
              <w:rPr>
                <w:rFonts w:asciiTheme="minorBidi" w:hAnsiTheme="minorBidi"/>
                <w:sz w:val="18"/>
                <w:szCs w:val="18"/>
              </w:rPr>
            </w:pPr>
          </w:p>
        </w:tc>
        <w:tc>
          <w:tcPr>
            <w:tcW w:w="1170" w:type="dxa"/>
            <w:noWrap/>
            <w:vAlign w:val="center"/>
            <w:hideMark/>
          </w:tcPr>
          <w:p w14:paraId="32B9458B" w14:textId="77777777" w:rsidR="00F72778" w:rsidRPr="00795CEB" w:rsidRDefault="00F72778" w:rsidP="00FF397A">
            <w:pPr>
              <w:spacing w:before="0" w:after="0" w:line="240" w:lineRule="auto"/>
              <w:jc w:val="center"/>
              <w:rPr>
                <w:rFonts w:asciiTheme="minorBidi" w:hAnsiTheme="minorBidi"/>
                <w:sz w:val="18"/>
                <w:szCs w:val="18"/>
              </w:rPr>
            </w:pPr>
          </w:p>
        </w:tc>
        <w:tc>
          <w:tcPr>
            <w:tcW w:w="340" w:type="dxa"/>
            <w:noWrap/>
            <w:vAlign w:val="center"/>
            <w:hideMark/>
          </w:tcPr>
          <w:p w14:paraId="08ADA50A" w14:textId="77777777" w:rsidR="00F72778" w:rsidRPr="00795CEB" w:rsidRDefault="00F72778" w:rsidP="00FF397A">
            <w:pPr>
              <w:spacing w:before="0" w:after="0" w:line="240" w:lineRule="auto"/>
              <w:jc w:val="center"/>
              <w:rPr>
                <w:rFonts w:asciiTheme="minorBidi" w:hAnsiTheme="minorBidi"/>
                <w:sz w:val="18"/>
                <w:szCs w:val="18"/>
              </w:rPr>
            </w:pPr>
          </w:p>
        </w:tc>
        <w:tc>
          <w:tcPr>
            <w:tcW w:w="2985" w:type="dxa"/>
            <w:noWrap/>
            <w:vAlign w:val="center"/>
            <w:hideMark/>
          </w:tcPr>
          <w:p w14:paraId="08A12550"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292115C7" w14:textId="77777777" w:rsidR="00F72778" w:rsidRPr="00795CEB" w:rsidRDefault="00F72778" w:rsidP="00FF397A">
            <w:pPr>
              <w:spacing w:before="0" w:after="0" w:line="240" w:lineRule="auto"/>
              <w:jc w:val="center"/>
              <w:rPr>
                <w:rFonts w:asciiTheme="minorBidi" w:hAnsiTheme="minorBidi"/>
                <w:sz w:val="18"/>
                <w:szCs w:val="18"/>
              </w:rPr>
            </w:pPr>
          </w:p>
        </w:tc>
        <w:tc>
          <w:tcPr>
            <w:tcW w:w="1170" w:type="dxa"/>
            <w:noWrap/>
            <w:vAlign w:val="center"/>
            <w:hideMark/>
          </w:tcPr>
          <w:p w14:paraId="754D311B" w14:textId="77777777" w:rsidR="00F72778" w:rsidRPr="00795CEB" w:rsidRDefault="00F72778" w:rsidP="00FF397A">
            <w:pPr>
              <w:spacing w:before="0" w:after="0" w:line="240" w:lineRule="auto"/>
              <w:jc w:val="center"/>
              <w:rPr>
                <w:rFonts w:asciiTheme="minorBidi" w:hAnsiTheme="minorBidi"/>
                <w:sz w:val="18"/>
                <w:szCs w:val="18"/>
              </w:rPr>
            </w:pPr>
          </w:p>
        </w:tc>
        <w:tc>
          <w:tcPr>
            <w:tcW w:w="1170" w:type="dxa"/>
            <w:noWrap/>
            <w:vAlign w:val="center"/>
            <w:hideMark/>
          </w:tcPr>
          <w:p w14:paraId="2D61D365" w14:textId="77777777" w:rsidR="00F72778" w:rsidRPr="00795CEB" w:rsidRDefault="00F72778" w:rsidP="00FF397A">
            <w:pPr>
              <w:spacing w:before="0" w:after="0" w:line="240" w:lineRule="auto"/>
              <w:jc w:val="center"/>
              <w:rPr>
                <w:rFonts w:asciiTheme="minorBidi" w:hAnsiTheme="minorBidi"/>
                <w:sz w:val="18"/>
                <w:szCs w:val="18"/>
              </w:rPr>
            </w:pPr>
          </w:p>
        </w:tc>
      </w:tr>
      <w:tr w:rsidR="00F72778" w:rsidRPr="00FF397A" w14:paraId="1556A6FE" w14:textId="77777777" w:rsidTr="00795CEB">
        <w:trPr>
          <w:trHeight w:val="380"/>
        </w:trPr>
        <w:tc>
          <w:tcPr>
            <w:tcW w:w="3370" w:type="dxa"/>
            <w:noWrap/>
            <w:vAlign w:val="center"/>
            <w:hideMark/>
          </w:tcPr>
          <w:p w14:paraId="5E7B216E" w14:textId="77777777" w:rsidR="00F72778" w:rsidRPr="00795CEB" w:rsidRDefault="00F72778" w:rsidP="00DD534C">
            <w:pPr>
              <w:spacing w:before="0" w:after="0" w:line="240" w:lineRule="auto"/>
              <w:jc w:val="both"/>
              <w:rPr>
                <w:rFonts w:asciiTheme="minorBidi" w:hAnsiTheme="minorBidi"/>
                <w:sz w:val="18"/>
                <w:szCs w:val="18"/>
              </w:rPr>
            </w:pPr>
            <w:r w:rsidRPr="00795CEB">
              <w:rPr>
                <w:rFonts w:asciiTheme="minorBidi" w:hAnsiTheme="minorBidi"/>
                <w:sz w:val="18"/>
                <w:szCs w:val="18"/>
              </w:rPr>
              <w:t>ööbimiste arv majutusettevõtetes (ME)</w:t>
            </w:r>
          </w:p>
        </w:tc>
        <w:tc>
          <w:tcPr>
            <w:tcW w:w="1090" w:type="dxa"/>
            <w:noWrap/>
            <w:vAlign w:val="center"/>
            <w:hideMark/>
          </w:tcPr>
          <w:p w14:paraId="34BE5174" w14:textId="38EE5471"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6</w:t>
            </w:r>
            <w:r w:rsidR="009402A5">
              <w:rPr>
                <w:rFonts w:asciiTheme="minorBidi" w:hAnsiTheme="minorBidi"/>
                <w:b/>
                <w:sz w:val="18"/>
                <w:szCs w:val="18"/>
              </w:rPr>
              <w:t xml:space="preserve"> </w:t>
            </w:r>
            <w:r w:rsidRPr="00795CEB">
              <w:rPr>
                <w:rFonts w:asciiTheme="minorBidi" w:hAnsiTheme="minorBidi"/>
                <w:b/>
                <w:sz w:val="18"/>
                <w:szCs w:val="18"/>
              </w:rPr>
              <w:t>374</w:t>
            </w:r>
            <w:r w:rsidR="009402A5">
              <w:rPr>
                <w:rFonts w:asciiTheme="minorBidi" w:hAnsiTheme="minorBidi"/>
                <w:b/>
                <w:sz w:val="18"/>
                <w:szCs w:val="18"/>
              </w:rPr>
              <w:t xml:space="preserve"> </w:t>
            </w:r>
            <w:r w:rsidRPr="00795CEB">
              <w:rPr>
                <w:rFonts w:asciiTheme="minorBidi" w:hAnsiTheme="minorBidi"/>
                <w:b/>
                <w:sz w:val="18"/>
                <w:szCs w:val="18"/>
              </w:rPr>
              <w:t>862</w:t>
            </w:r>
          </w:p>
        </w:tc>
        <w:tc>
          <w:tcPr>
            <w:tcW w:w="1210" w:type="dxa"/>
            <w:noWrap/>
            <w:vAlign w:val="center"/>
            <w:hideMark/>
          </w:tcPr>
          <w:p w14:paraId="0447967A" w14:textId="6FDEEEB0"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3</w:t>
            </w:r>
            <w:r w:rsidR="009402A5">
              <w:rPr>
                <w:rFonts w:asciiTheme="minorBidi" w:hAnsiTheme="minorBidi"/>
                <w:b/>
                <w:sz w:val="18"/>
                <w:szCs w:val="18"/>
              </w:rPr>
              <w:t xml:space="preserve"> </w:t>
            </w:r>
            <w:r w:rsidRPr="00795CEB">
              <w:rPr>
                <w:rFonts w:asciiTheme="minorBidi" w:hAnsiTheme="minorBidi"/>
                <w:b/>
                <w:sz w:val="18"/>
                <w:szCs w:val="18"/>
              </w:rPr>
              <w:t>047</w:t>
            </w:r>
            <w:r w:rsidR="009402A5">
              <w:rPr>
                <w:rFonts w:asciiTheme="minorBidi" w:hAnsiTheme="minorBidi"/>
                <w:b/>
                <w:sz w:val="18"/>
                <w:szCs w:val="18"/>
              </w:rPr>
              <w:t xml:space="preserve"> </w:t>
            </w:r>
            <w:r w:rsidRPr="00795CEB">
              <w:rPr>
                <w:rFonts w:asciiTheme="minorBidi" w:hAnsiTheme="minorBidi"/>
                <w:b/>
                <w:sz w:val="18"/>
                <w:szCs w:val="18"/>
              </w:rPr>
              <w:t>073</w:t>
            </w:r>
          </w:p>
        </w:tc>
        <w:tc>
          <w:tcPr>
            <w:tcW w:w="1170" w:type="dxa"/>
            <w:noWrap/>
            <w:vAlign w:val="center"/>
            <w:hideMark/>
          </w:tcPr>
          <w:p w14:paraId="496476CC" w14:textId="22EEA01D"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3</w:t>
            </w:r>
            <w:r w:rsidR="009402A5">
              <w:rPr>
                <w:rFonts w:asciiTheme="minorBidi" w:hAnsiTheme="minorBidi"/>
                <w:b/>
                <w:sz w:val="18"/>
                <w:szCs w:val="18"/>
              </w:rPr>
              <w:t xml:space="preserve"> </w:t>
            </w:r>
            <w:r w:rsidRPr="00795CEB">
              <w:rPr>
                <w:rFonts w:asciiTheme="minorBidi" w:hAnsiTheme="minorBidi"/>
                <w:b/>
                <w:sz w:val="18"/>
                <w:szCs w:val="18"/>
              </w:rPr>
              <w:t>327</w:t>
            </w:r>
            <w:r w:rsidR="009402A5">
              <w:rPr>
                <w:rFonts w:asciiTheme="minorBidi" w:hAnsiTheme="minorBidi"/>
                <w:b/>
                <w:sz w:val="18"/>
                <w:szCs w:val="18"/>
              </w:rPr>
              <w:t xml:space="preserve"> </w:t>
            </w:r>
            <w:r w:rsidRPr="00795CEB">
              <w:rPr>
                <w:rFonts w:asciiTheme="minorBidi" w:hAnsiTheme="minorBidi"/>
                <w:b/>
                <w:sz w:val="18"/>
                <w:szCs w:val="18"/>
              </w:rPr>
              <w:t>789</w:t>
            </w:r>
          </w:p>
        </w:tc>
        <w:tc>
          <w:tcPr>
            <w:tcW w:w="340" w:type="dxa"/>
            <w:noWrap/>
            <w:vAlign w:val="center"/>
            <w:hideMark/>
          </w:tcPr>
          <w:p w14:paraId="2E2E5DF5" w14:textId="77777777" w:rsidR="00F72778" w:rsidRPr="00795CEB" w:rsidRDefault="00F72778" w:rsidP="00FF397A">
            <w:pPr>
              <w:spacing w:before="0" w:after="0" w:line="240" w:lineRule="auto"/>
              <w:jc w:val="right"/>
              <w:rPr>
                <w:rFonts w:asciiTheme="minorBidi" w:hAnsiTheme="minorBidi"/>
                <w:sz w:val="18"/>
                <w:szCs w:val="18"/>
              </w:rPr>
            </w:pPr>
          </w:p>
        </w:tc>
        <w:tc>
          <w:tcPr>
            <w:tcW w:w="2985" w:type="dxa"/>
            <w:noWrap/>
            <w:vAlign w:val="center"/>
            <w:hideMark/>
          </w:tcPr>
          <w:p w14:paraId="43D73E6B" w14:textId="77777777" w:rsidR="00F72778" w:rsidRPr="00795CEB" w:rsidRDefault="00F72778" w:rsidP="00FF397A">
            <w:pPr>
              <w:spacing w:before="0" w:after="0" w:line="240" w:lineRule="auto"/>
              <w:rPr>
                <w:rFonts w:asciiTheme="minorBidi" w:hAnsiTheme="minorBidi"/>
                <w:sz w:val="18"/>
                <w:szCs w:val="18"/>
              </w:rPr>
            </w:pPr>
            <w:r w:rsidRPr="00795CEB">
              <w:rPr>
                <w:rFonts w:asciiTheme="minorBidi" w:hAnsiTheme="minorBidi"/>
                <w:sz w:val="18"/>
                <w:szCs w:val="18"/>
              </w:rPr>
              <w:t>A. LÜT ööbimiste arv kokku (Eurostat)</w:t>
            </w:r>
          </w:p>
        </w:tc>
        <w:tc>
          <w:tcPr>
            <w:tcW w:w="1170" w:type="dxa"/>
            <w:noWrap/>
            <w:vAlign w:val="center"/>
            <w:hideMark/>
          </w:tcPr>
          <w:p w14:paraId="3382747A" w14:textId="1C46FD95"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1</w:t>
            </w:r>
            <w:r w:rsidR="009402A5">
              <w:rPr>
                <w:rFonts w:asciiTheme="minorBidi" w:hAnsiTheme="minorBidi"/>
                <w:b/>
                <w:sz w:val="18"/>
                <w:szCs w:val="18"/>
              </w:rPr>
              <w:t xml:space="preserve"> </w:t>
            </w:r>
            <w:r w:rsidRPr="00795CEB">
              <w:rPr>
                <w:rFonts w:asciiTheme="minorBidi" w:hAnsiTheme="minorBidi"/>
                <w:b/>
                <w:sz w:val="18"/>
                <w:szCs w:val="18"/>
              </w:rPr>
              <w:t>482</w:t>
            </w:r>
            <w:r w:rsidR="009402A5">
              <w:rPr>
                <w:rFonts w:asciiTheme="minorBidi" w:hAnsiTheme="minorBidi"/>
                <w:b/>
                <w:sz w:val="18"/>
                <w:szCs w:val="18"/>
              </w:rPr>
              <w:t xml:space="preserve"> </w:t>
            </w:r>
            <w:r w:rsidRPr="00795CEB">
              <w:rPr>
                <w:rFonts w:asciiTheme="minorBidi" w:hAnsiTheme="minorBidi"/>
                <w:b/>
                <w:sz w:val="18"/>
                <w:szCs w:val="18"/>
              </w:rPr>
              <w:t>227</w:t>
            </w:r>
          </w:p>
        </w:tc>
        <w:tc>
          <w:tcPr>
            <w:tcW w:w="1170" w:type="dxa"/>
            <w:noWrap/>
            <w:vAlign w:val="center"/>
            <w:hideMark/>
          </w:tcPr>
          <w:p w14:paraId="2EBB2B7C" w14:textId="0978BB77"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747</w:t>
            </w:r>
            <w:r w:rsidR="009402A5">
              <w:rPr>
                <w:rFonts w:asciiTheme="minorBidi" w:hAnsiTheme="minorBidi"/>
                <w:b/>
                <w:sz w:val="18"/>
                <w:szCs w:val="18"/>
              </w:rPr>
              <w:t xml:space="preserve"> </w:t>
            </w:r>
            <w:r w:rsidRPr="00795CEB">
              <w:rPr>
                <w:rFonts w:asciiTheme="minorBidi" w:hAnsiTheme="minorBidi"/>
                <w:b/>
                <w:sz w:val="18"/>
                <w:szCs w:val="18"/>
              </w:rPr>
              <w:t>534</w:t>
            </w:r>
          </w:p>
        </w:tc>
        <w:tc>
          <w:tcPr>
            <w:tcW w:w="1170" w:type="dxa"/>
            <w:noWrap/>
            <w:vAlign w:val="center"/>
            <w:hideMark/>
          </w:tcPr>
          <w:p w14:paraId="5D80129B" w14:textId="177F4771"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734</w:t>
            </w:r>
            <w:r w:rsidR="009402A5">
              <w:rPr>
                <w:rFonts w:asciiTheme="minorBidi" w:hAnsiTheme="minorBidi"/>
                <w:b/>
                <w:sz w:val="18"/>
                <w:szCs w:val="18"/>
              </w:rPr>
              <w:t xml:space="preserve"> </w:t>
            </w:r>
            <w:r w:rsidRPr="00795CEB">
              <w:rPr>
                <w:rFonts w:asciiTheme="minorBidi" w:hAnsiTheme="minorBidi"/>
                <w:b/>
                <w:sz w:val="18"/>
                <w:szCs w:val="18"/>
              </w:rPr>
              <w:t>693</w:t>
            </w:r>
          </w:p>
        </w:tc>
      </w:tr>
      <w:tr w:rsidR="00F72778" w:rsidRPr="00FF397A" w14:paraId="77834125" w14:textId="77777777" w:rsidTr="00795CEB">
        <w:trPr>
          <w:trHeight w:val="380"/>
        </w:trPr>
        <w:tc>
          <w:tcPr>
            <w:tcW w:w="3370" w:type="dxa"/>
            <w:noWrap/>
            <w:vAlign w:val="center"/>
            <w:hideMark/>
          </w:tcPr>
          <w:p w14:paraId="38511A38" w14:textId="7BE22B3B" w:rsidR="00F72778" w:rsidRPr="00795CEB" w:rsidRDefault="00F72778" w:rsidP="00DD534C">
            <w:pPr>
              <w:spacing w:before="0" w:after="0" w:line="240" w:lineRule="auto"/>
              <w:jc w:val="both"/>
              <w:rPr>
                <w:rFonts w:asciiTheme="minorBidi" w:hAnsiTheme="minorBidi"/>
                <w:sz w:val="18"/>
                <w:szCs w:val="18"/>
              </w:rPr>
            </w:pPr>
            <w:r w:rsidRPr="00795CEB">
              <w:rPr>
                <w:rFonts w:asciiTheme="minorBidi" w:hAnsiTheme="minorBidi"/>
                <w:sz w:val="18"/>
                <w:szCs w:val="18"/>
              </w:rPr>
              <w:t>sh hotellid jms majutus</w:t>
            </w:r>
          </w:p>
        </w:tc>
        <w:tc>
          <w:tcPr>
            <w:tcW w:w="1090" w:type="dxa"/>
            <w:noWrap/>
            <w:vAlign w:val="center"/>
            <w:hideMark/>
          </w:tcPr>
          <w:p w14:paraId="1A6795D0" w14:textId="530472D0"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5</w:t>
            </w:r>
            <w:r w:rsidR="009402A5">
              <w:rPr>
                <w:rFonts w:asciiTheme="minorBidi" w:hAnsiTheme="minorBidi"/>
                <w:b/>
                <w:sz w:val="18"/>
                <w:szCs w:val="18"/>
              </w:rPr>
              <w:t xml:space="preserve"> </w:t>
            </w:r>
            <w:r w:rsidRPr="00795CEB">
              <w:rPr>
                <w:rFonts w:asciiTheme="minorBidi" w:hAnsiTheme="minorBidi"/>
                <w:b/>
                <w:sz w:val="18"/>
                <w:szCs w:val="18"/>
              </w:rPr>
              <w:t>521</w:t>
            </w:r>
            <w:r w:rsidR="009402A5">
              <w:rPr>
                <w:rFonts w:asciiTheme="minorBidi" w:hAnsiTheme="minorBidi"/>
                <w:b/>
                <w:sz w:val="18"/>
                <w:szCs w:val="18"/>
              </w:rPr>
              <w:t xml:space="preserve"> </w:t>
            </w:r>
            <w:r w:rsidRPr="00795CEB">
              <w:rPr>
                <w:rFonts w:asciiTheme="minorBidi" w:hAnsiTheme="minorBidi"/>
                <w:b/>
                <w:sz w:val="18"/>
                <w:szCs w:val="18"/>
              </w:rPr>
              <w:t>361</w:t>
            </w:r>
          </w:p>
        </w:tc>
        <w:tc>
          <w:tcPr>
            <w:tcW w:w="1210" w:type="dxa"/>
            <w:noWrap/>
            <w:vAlign w:val="center"/>
            <w:hideMark/>
          </w:tcPr>
          <w:p w14:paraId="12EAFA46" w14:textId="55536FC3"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w:t>
            </w:r>
            <w:r w:rsidR="009402A5">
              <w:rPr>
                <w:rFonts w:asciiTheme="minorBidi" w:hAnsiTheme="minorBidi"/>
                <w:sz w:val="18"/>
                <w:szCs w:val="18"/>
              </w:rPr>
              <w:t xml:space="preserve"> </w:t>
            </w:r>
            <w:r w:rsidRPr="00795CEB">
              <w:rPr>
                <w:rFonts w:asciiTheme="minorBidi" w:hAnsiTheme="minorBidi"/>
                <w:sz w:val="18"/>
                <w:szCs w:val="18"/>
              </w:rPr>
              <w:t>866</w:t>
            </w:r>
            <w:r w:rsidR="009402A5">
              <w:rPr>
                <w:rFonts w:asciiTheme="minorBidi" w:hAnsiTheme="minorBidi"/>
                <w:sz w:val="18"/>
                <w:szCs w:val="18"/>
              </w:rPr>
              <w:t xml:space="preserve"> </w:t>
            </w:r>
            <w:r w:rsidRPr="00795CEB">
              <w:rPr>
                <w:rFonts w:asciiTheme="minorBidi" w:hAnsiTheme="minorBidi"/>
                <w:sz w:val="18"/>
                <w:szCs w:val="18"/>
              </w:rPr>
              <w:t>347</w:t>
            </w:r>
          </w:p>
        </w:tc>
        <w:tc>
          <w:tcPr>
            <w:tcW w:w="1170" w:type="dxa"/>
            <w:noWrap/>
            <w:vAlign w:val="center"/>
            <w:hideMark/>
          </w:tcPr>
          <w:p w14:paraId="5B8FFB43" w14:textId="363F1EF8"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w:t>
            </w:r>
            <w:r w:rsidR="009402A5">
              <w:rPr>
                <w:rFonts w:asciiTheme="minorBidi" w:hAnsiTheme="minorBidi"/>
                <w:sz w:val="18"/>
                <w:szCs w:val="18"/>
              </w:rPr>
              <w:t xml:space="preserve"> </w:t>
            </w:r>
            <w:r w:rsidRPr="00795CEB">
              <w:rPr>
                <w:rFonts w:asciiTheme="minorBidi" w:hAnsiTheme="minorBidi"/>
                <w:sz w:val="18"/>
                <w:szCs w:val="18"/>
              </w:rPr>
              <w:t>655</w:t>
            </w:r>
            <w:r w:rsidR="009402A5">
              <w:rPr>
                <w:rFonts w:asciiTheme="minorBidi" w:hAnsiTheme="minorBidi"/>
                <w:sz w:val="18"/>
                <w:szCs w:val="18"/>
              </w:rPr>
              <w:t xml:space="preserve"> </w:t>
            </w:r>
            <w:r w:rsidRPr="00795CEB">
              <w:rPr>
                <w:rFonts w:asciiTheme="minorBidi" w:hAnsiTheme="minorBidi"/>
                <w:sz w:val="18"/>
                <w:szCs w:val="18"/>
              </w:rPr>
              <w:t>014</w:t>
            </w:r>
          </w:p>
        </w:tc>
        <w:tc>
          <w:tcPr>
            <w:tcW w:w="340" w:type="dxa"/>
            <w:noWrap/>
            <w:vAlign w:val="center"/>
            <w:hideMark/>
          </w:tcPr>
          <w:p w14:paraId="3DA71D25" w14:textId="77777777" w:rsidR="00F72778" w:rsidRPr="00795CEB" w:rsidRDefault="00F72778" w:rsidP="00FF397A">
            <w:pPr>
              <w:spacing w:before="0" w:after="0" w:line="240" w:lineRule="auto"/>
              <w:jc w:val="right"/>
              <w:rPr>
                <w:rFonts w:asciiTheme="minorBidi" w:hAnsiTheme="minorBidi"/>
                <w:sz w:val="18"/>
                <w:szCs w:val="18"/>
              </w:rPr>
            </w:pPr>
          </w:p>
        </w:tc>
        <w:tc>
          <w:tcPr>
            <w:tcW w:w="2985" w:type="dxa"/>
            <w:noWrap/>
            <w:vAlign w:val="center"/>
            <w:hideMark/>
          </w:tcPr>
          <w:p w14:paraId="4F15EC2F" w14:textId="77777777" w:rsidR="00F72778" w:rsidRPr="00795CEB" w:rsidRDefault="00F72778" w:rsidP="006A4D9D">
            <w:pPr>
              <w:spacing w:before="0" w:after="0" w:line="240" w:lineRule="auto"/>
              <w:rPr>
                <w:rFonts w:asciiTheme="minorBidi" w:hAnsiTheme="minorBidi"/>
                <w:sz w:val="18"/>
                <w:szCs w:val="18"/>
              </w:rPr>
            </w:pPr>
            <w:r w:rsidRPr="00795CEB">
              <w:rPr>
                <w:rFonts w:asciiTheme="minorBidi" w:hAnsiTheme="minorBidi"/>
                <w:sz w:val="18"/>
                <w:szCs w:val="18"/>
              </w:rPr>
              <w:t>ööbimiste arv LÜT / hotellid jm</w:t>
            </w:r>
          </w:p>
        </w:tc>
        <w:tc>
          <w:tcPr>
            <w:tcW w:w="1170" w:type="dxa"/>
            <w:noWrap/>
            <w:vAlign w:val="center"/>
            <w:hideMark/>
          </w:tcPr>
          <w:p w14:paraId="17129574" w14:textId="77777777"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27%</w:t>
            </w:r>
          </w:p>
        </w:tc>
        <w:tc>
          <w:tcPr>
            <w:tcW w:w="1170" w:type="dxa"/>
            <w:noWrap/>
            <w:vAlign w:val="center"/>
            <w:hideMark/>
          </w:tcPr>
          <w:p w14:paraId="3EFC3678" w14:textId="77777777"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26%</w:t>
            </w:r>
          </w:p>
        </w:tc>
        <w:tc>
          <w:tcPr>
            <w:tcW w:w="1170" w:type="dxa"/>
            <w:noWrap/>
            <w:vAlign w:val="center"/>
            <w:hideMark/>
          </w:tcPr>
          <w:p w14:paraId="6CC25D54" w14:textId="77777777"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28%</w:t>
            </w:r>
          </w:p>
        </w:tc>
      </w:tr>
      <w:tr w:rsidR="00F72778" w:rsidRPr="00FF397A" w14:paraId="6DFCD01B" w14:textId="77777777" w:rsidTr="00795CEB">
        <w:trPr>
          <w:trHeight w:val="440"/>
        </w:trPr>
        <w:tc>
          <w:tcPr>
            <w:tcW w:w="3370" w:type="dxa"/>
            <w:noWrap/>
            <w:vAlign w:val="center"/>
            <w:hideMark/>
          </w:tcPr>
          <w:p w14:paraId="01671C5C" w14:textId="77777777"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hotell 55101</w:t>
            </w:r>
          </w:p>
        </w:tc>
        <w:tc>
          <w:tcPr>
            <w:tcW w:w="1090" w:type="dxa"/>
            <w:noWrap/>
            <w:vAlign w:val="center"/>
            <w:hideMark/>
          </w:tcPr>
          <w:p w14:paraId="6BB7A8E5" w14:textId="06EBF9EB"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4</w:t>
            </w:r>
            <w:r w:rsidR="009402A5">
              <w:rPr>
                <w:rFonts w:asciiTheme="minorBidi" w:hAnsiTheme="minorBidi"/>
                <w:sz w:val="18"/>
                <w:szCs w:val="18"/>
              </w:rPr>
              <w:t xml:space="preserve"> </w:t>
            </w:r>
            <w:r w:rsidRPr="00795CEB">
              <w:rPr>
                <w:rFonts w:asciiTheme="minorBidi" w:hAnsiTheme="minorBidi"/>
                <w:sz w:val="18"/>
                <w:szCs w:val="18"/>
              </w:rPr>
              <w:t>651</w:t>
            </w:r>
            <w:r w:rsidR="009402A5">
              <w:rPr>
                <w:rFonts w:asciiTheme="minorBidi" w:hAnsiTheme="minorBidi"/>
                <w:sz w:val="18"/>
                <w:szCs w:val="18"/>
              </w:rPr>
              <w:t xml:space="preserve"> </w:t>
            </w:r>
            <w:r w:rsidRPr="00795CEB">
              <w:rPr>
                <w:rFonts w:asciiTheme="minorBidi" w:hAnsiTheme="minorBidi"/>
                <w:sz w:val="18"/>
                <w:szCs w:val="18"/>
              </w:rPr>
              <w:t>054</w:t>
            </w:r>
          </w:p>
        </w:tc>
        <w:tc>
          <w:tcPr>
            <w:tcW w:w="1210" w:type="dxa"/>
            <w:noWrap/>
            <w:vAlign w:val="center"/>
            <w:hideMark/>
          </w:tcPr>
          <w:p w14:paraId="7FD75139" w14:textId="039CAEFD"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w:t>
            </w:r>
            <w:r w:rsidR="009402A5">
              <w:rPr>
                <w:rFonts w:asciiTheme="minorBidi" w:hAnsiTheme="minorBidi"/>
                <w:sz w:val="18"/>
                <w:szCs w:val="18"/>
              </w:rPr>
              <w:t xml:space="preserve"> </w:t>
            </w:r>
            <w:r w:rsidRPr="00795CEB">
              <w:rPr>
                <w:rFonts w:asciiTheme="minorBidi" w:hAnsiTheme="minorBidi"/>
                <w:sz w:val="18"/>
                <w:szCs w:val="18"/>
              </w:rPr>
              <w:t>517</w:t>
            </w:r>
            <w:r w:rsidR="009402A5">
              <w:rPr>
                <w:rFonts w:asciiTheme="minorBidi" w:hAnsiTheme="minorBidi"/>
                <w:sz w:val="18"/>
                <w:szCs w:val="18"/>
              </w:rPr>
              <w:t xml:space="preserve"> </w:t>
            </w:r>
            <w:r w:rsidRPr="00795CEB">
              <w:rPr>
                <w:rFonts w:asciiTheme="minorBidi" w:hAnsiTheme="minorBidi"/>
                <w:sz w:val="18"/>
                <w:szCs w:val="18"/>
              </w:rPr>
              <w:t>523</w:t>
            </w:r>
          </w:p>
        </w:tc>
        <w:tc>
          <w:tcPr>
            <w:tcW w:w="1170" w:type="dxa"/>
            <w:noWrap/>
            <w:vAlign w:val="center"/>
            <w:hideMark/>
          </w:tcPr>
          <w:p w14:paraId="02540301" w14:textId="7F2D2BAA"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w:t>
            </w:r>
            <w:r w:rsidR="009402A5">
              <w:rPr>
                <w:rFonts w:asciiTheme="minorBidi" w:hAnsiTheme="minorBidi"/>
                <w:sz w:val="18"/>
                <w:szCs w:val="18"/>
              </w:rPr>
              <w:t xml:space="preserve"> </w:t>
            </w:r>
            <w:r w:rsidRPr="00795CEB">
              <w:rPr>
                <w:rFonts w:asciiTheme="minorBidi" w:hAnsiTheme="minorBidi"/>
                <w:sz w:val="18"/>
                <w:szCs w:val="18"/>
              </w:rPr>
              <w:t>133</w:t>
            </w:r>
            <w:r w:rsidR="009402A5">
              <w:rPr>
                <w:rFonts w:asciiTheme="minorBidi" w:hAnsiTheme="minorBidi"/>
                <w:sz w:val="18"/>
                <w:szCs w:val="18"/>
              </w:rPr>
              <w:t xml:space="preserve"> </w:t>
            </w:r>
            <w:r w:rsidRPr="00795CEB">
              <w:rPr>
                <w:rFonts w:asciiTheme="minorBidi" w:hAnsiTheme="minorBidi"/>
                <w:sz w:val="18"/>
                <w:szCs w:val="18"/>
              </w:rPr>
              <w:t>531</w:t>
            </w:r>
          </w:p>
        </w:tc>
        <w:tc>
          <w:tcPr>
            <w:tcW w:w="340" w:type="dxa"/>
            <w:noWrap/>
            <w:vAlign w:val="center"/>
            <w:hideMark/>
          </w:tcPr>
          <w:p w14:paraId="6C03E440" w14:textId="77777777" w:rsidR="00F72778" w:rsidRPr="00795CEB" w:rsidRDefault="00F72778" w:rsidP="00FF397A">
            <w:pPr>
              <w:spacing w:before="0" w:after="0" w:line="240" w:lineRule="auto"/>
              <w:jc w:val="right"/>
              <w:rPr>
                <w:rFonts w:asciiTheme="minorBidi" w:hAnsiTheme="minorBidi"/>
                <w:sz w:val="18"/>
                <w:szCs w:val="18"/>
              </w:rPr>
            </w:pPr>
          </w:p>
        </w:tc>
        <w:tc>
          <w:tcPr>
            <w:tcW w:w="2985" w:type="dxa"/>
            <w:noWrap/>
            <w:vAlign w:val="center"/>
            <w:hideMark/>
          </w:tcPr>
          <w:p w14:paraId="6C584F81" w14:textId="77777777" w:rsidR="00F72778" w:rsidRPr="00795CEB" w:rsidRDefault="00F72778" w:rsidP="00FF397A">
            <w:pPr>
              <w:spacing w:before="0" w:after="0" w:line="240" w:lineRule="auto"/>
              <w:rPr>
                <w:rFonts w:asciiTheme="minorBidi" w:hAnsiTheme="minorBidi"/>
                <w:b/>
                <w:sz w:val="18"/>
                <w:szCs w:val="18"/>
              </w:rPr>
            </w:pPr>
            <w:r w:rsidRPr="00795CEB">
              <w:rPr>
                <w:rFonts w:asciiTheme="minorBidi" w:hAnsiTheme="minorBidi"/>
                <w:b/>
                <w:sz w:val="18"/>
                <w:szCs w:val="18"/>
              </w:rPr>
              <w:t>LÜT ööbimiste (SA) osakaal kõigist (Eurostat)</w:t>
            </w:r>
          </w:p>
        </w:tc>
        <w:tc>
          <w:tcPr>
            <w:tcW w:w="1170" w:type="dxa"/>
            <w:noWrap/>
            <w:vAlign w:val="center"/>
            <w:hideMark/>
          </w:tcPr>
          <w:p w14:paraId="12EEFA22" w14:textId="77777777"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39%</w:t>
            </w:r>
          </w:p>
        </w:tc>
        <w:tc>
          <w:tcPr>
            <w:tcW w:w="1170" w:type="dxa"/>
            <w:noWrap/>
            <w:vAlign w:val="center"/>
            <w:hideMark/>
          </w:tcPr>
          <w:p w14:paraId="74FE9DF9" w14:textId="77777777"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23%</w:t>
            </w:r>
          </w:p>
        </w:tc>
        <w:tc>
          <w:tcPr>
            <w:tcW w:w="1170" w:type="dxa"/>
            <w:noWrap/>
            <w:vAlign w:val="center"/>
            <w:hideMark/>
          </w:tcPr>
          <w:p w14:paraId="66FF5F6D" w14:textId="77777777"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56%</w:t>
            </w:r>
          </w:p>
        </w:tc>
      </w:tr>
      <w:tr w:rsidR="00F72778" w:rsidRPr="00FF397A" w14:paraId="621FAFCF" w14:textId="77777777" w:rsidTr="00795CEB">
        <w:trPr>
          <w:trHeight w:val="380"/>
        </w:trPr>
        <w:tc>
          <w:tcPr>
            <w:tcW w:w="3370" w:type="dxa"/>
            <w:noWrap/>
            <w:vAlign w:val="center"/>
            <w:hideMark/>
          </w:tcPr>
          <w:p w14:paraId="16C89126" w14:textId="77777777"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motell 55102</w:t>
            </w:r>
          </w:p>
        </w:tc>
        <w:tc>
          <w:tcPr>
            <w:tcW w:w="1090" w:type="dxa"/>
            <w:noWrap/>
            <w:vAlign w:val="center"/>
            <w:hideMark/>
          </w:tcPr>
          <w:p w14:paraId="277523AA" w14:textId="75DEAC8B"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69</w:t>
            </w:r>
            <w:r w:rsidR="009402A5">
              <w:rPr>
                <w:rFonts w:asciiTheme="minorBidi" w:hAnsiTheme="minorBidi"/>
                <w:sz w:val="18"/>
                <w:szCs w:val="18"/>
              </w:rPr>
              <w:t xml:space="preserve"> </w:t>
            </w:r>
            <w:r w:rsidRPr="00795CEB">
              <w:rPr>
                <w:rFonts w:asciiTheme="minorBidi" w:hAnsiTheme="minorBidi"/>
                <w:sz w:val="18"/>
                <w:szCs w:val="18"/>
              </w:rPr>
              <w:t>229</w:t>
            </w:r>
          </w:p>
        </w:tc>
        <w:tc>
          <w:tcPr>
            <w:tcW w:w="1210" w:type="dxa"/>
            <w:noWrap/>
            <w:vAlign w:val="center"/>
            <w:hideMark/>
          </w:tcPr>
          <w:p w14:paraId="53E607D3" w14:textId="3EE640DC"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25</w:t>
            </w:r>
            <w:r w:rsidR="009402A5">
              <w:rPr>
                <w:rFonts w:asciiTheme="minorBidi" w:hAnsiTheme="minorBidi"/>
                <w:sz w:val="18"/>
                <w:szCs w:val="18"/>
              </w:rPr>
              <w:t xml:space="preserve"> </w:t>
            </w:r>
            <w:r w:rsidRPr="00795CEB">
              <w:rPr>
                <w:rFonts w:asciiTheme="minorBidi" w:hAnsiTheme="minorBidi"/>
                <w:sz w:val="18"/>
                <w:szCs w:val="18"/>
              </w:rPr>
              <w:t>061</w:t>
            </w:r>
          </w:p>
        </w:tc>
        <w:tc>
          <w:tcPr>
            <w:tcW w:w="1170" w:type="dxa"/>
            <w:noWrap/>
            <w:vAlign w:val="center"/>
            <w:hideMark/>
          </w:tcPr>
          <w:p w14:paraId="3AC7060A" w14:textId="64ACDC3D"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44</w:t>
            </w:r>
            <w:r w:rsidR="009402A5">
              <w:rPr>
                <w:rFonts w:asciiTheme="minorBidi" w:hAnsiTheme="minorBidi"/>
                <w:sz w:val="18"/>
                <w:szCs w:val="18"/>
              </w:rPr>
              <w:t xml:space="preserve"> </w:t>
            </w:r>
            <w:r w:rsidRPr="00795CEB">
              <w:rPr>
                <w:rFonts w:asciiTheme="minorBidi" w:hAnsiTheme="minorBidi"/>
                <w:sz w:val="18"/>
                <w:szCs w:val="18"/>
              </w:rPr>
              <w:t>168</w:t>
            </w:r>
          </w:p>
        </w:tc>
        <w:tc>
          <w:tcPr>
            <w:tcW w:w="340" w:type="dxa"/>
            <w:noWrap/>
            <w:vAlign w:val="center"/>
            <w:hideMark/>
          </w:tcPr>
          <w:p w14:paraId="003F860D" w14:textId="77777777" w:rsidR="00F72778" w:rsidRPr="00795CEB" w:rsidRDefault="00F72778" w:rsidP="00FF397A">
            <w:pPr>
              <w:spacing w:before="0" w:after="0" w:line="240" w:lineRule="auto"/>
              <w:jc w:val="right"/>
              <w:rPr>
                <w:rFonts w:asciiTheme="minorBidi" w:hAnsiTheme="minorBidi"/>
                <w:sz w:val="18"/>
                <w:szCs w:val="18"/>
              </w:rPr>
            </w:pPr>
          </w:p>
        </w:tc>
        <w:tc>
          <w:tcPr>
            <w:tcW w:w="2985" w:type="dxa"/>
            <w:noWrap/>
            <w:vAlign w:val="center"/>
            <w:hideMark/>
          </w:tcPr>
          <w:p w14:paraId="20066117"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2FC763F5"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0F528380"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6B8B82A4" w14:textId="77777777" w:rsidR="00F72778" w:rsidRPr="00795CEB" w:rsidRDefault="00F72778" w:rsidP="00FF397A">
            <w:pPr>
              <w:spacing w:before="0" w:after="0" w:line="240" w:lineRule="auto"/>
              <w:rPr>
                <w:rFonts w:asciiTheme="minorBidi" w:hAnsiTheme="minorBidi"/>
                <w:sz w:val="18"/>
                <w:szCs w:val="18"/>
              </w:rPr>
            </w:pPr>
          </w:p>
        </w:tc>
      </w:tr>
      <w:tr w:rsidR="00F72778" w:rsidRPr="00FF397A" w14:paraId="6AE4AE16" w14:textId="77777777" w:rsidTr="00795CEB">
        <w:trPr>
          <w:trHeight w:val="380"/>
        </w:trPr>
        <w:tc>
          <w:tcPr>
            <w:tcW w:w="3370" w:type="dxa"/>
            <w:noWrap/>
            <w:vAlign w:val="center"/>
            <w:hideMark/>
          </w:tcPr>
          <w:p w14:paraId="74A87721" w14:textId="77777777"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külalistemaja 55103</w:t>
            </w:r>
          </w:p>
        </w:tc>
        <w:tc>
          <w:tcPr>
            <w:tcW w:w="1090" w:type="dxa"/>
            <w:noWrap/>
            <w:vAlign w:val="center"/>
            <w:hideMark/>
          </w:tcPr>
          <w:p w14:paraId="7DEF3282" w14:textId="06BCF2D4"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267</w:t>
            </w:r>
            <w:r w:rsidR="009402A5">
              <w:rPr>
                <w:rFonts w:asciiTheme="minorBidi" w:hAnsiTheme="minorBidi"/>
                <w:sz w:val="18"/>
                <w:szCs w:val="18"/>
              </w:rPr>
              <w:t xml:space="preserve"> </w:t>
            </w:r>
            <w:r w:rsidRPr="00795CEB">
              <w:rPr>
                <w:rFonts w:asciiTheme="minorBidi" w:hAnsiTheme="minorBidi"/>
                <w:sz w:val="18"/>
                <w:szCs w:val="18"/>
              </w:rPr>
              <w:t>610</w:t>
            </w:r>
          </w:p>
        </w:tc>
        <w:tc>
          <w:tcPr>
            <w:tcW w:w="1210" w:type="dxa"/>
            <w:noWrap/>
            <w:vAlign w:val="center"/>
            <w:hideMark/>
          </w:tcPr>
          <w:p w14:paraId="5C719970" w14:textId="6966611A"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21</w:t>
            </w:r>
            <w:r w:rsidR="009402A5">
              <w:rPr>
                <w:rFonts w:asciiTheme="minorBidi" w:hAnsiTheme="minorBidi"/>
                <w:sz w:val="18"/>
                <w:szCs w:val="18"/>
              </w:rPr>
              <w:t xml:space="preserve"> </w:t>
            </w:r>
            <w:r w:rsidRPr="00795CEB">
              <w:rPr>
                <w:rFonts w:asciiTheme="minorBidi" w:hAnsiTheme="minorBidi"/>
                <w:sz w:val="18"/>
                <w:szCs w:val="18"/>
              </w:rPr>
              <w:t>666</w:t>
            </w:r>
          </w:p>
        </w:tc>
        <w:tc>
          <w:tcPr>
            <w:tcW w:w="1170" w:type="dxa"/>
            <w:noWrap/>
            <w:vAlign w:val="center"/>
            <w:hideMark/>
          </w:tcPr>
          <w:p w14:paraId="0D185367" w14:textId="2457F93E"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245</w:t>
            </w:r>
            <w:r w:rsidR="009402A5">
              <w:rPr>
                <w:rFonts w:asciiTheme="minorBidi" w:hAnsiTheme="minorBidi"/>
                <w:sz w:val="18"/>
                <w:szCs w:val="18"/>
              </w:rPr>
              <w:t xml:space="preserve"> </w:t>
            </w:r>
            <w:r w:rsidRPr="00795CEB">
              <w:rPr>
                <w:rFonts w:asciiTheme="minorBidi" w:hAnsiTheme="minorBidi"/>
                <w:sz w:val="18"/>
                <w:szCs w:val="18"/>
              </w:rPr>
              <w:t>944</w:t>
            </w:r>
          </w:p>
        </w:tc>
        <w:tc>
          <w:tcPr>
            <w:tcW w:w="340" w:type="dxa"/>
            <w:noWrap/>
            <w:vAlign w:val="center"/>
            <w:hideMark/>
          </w:tcPr>
          <w:p w14:paraId="7944579A" w14:textId="77777777" w:rsidR="00F72778" w:rsidRPr="00795CEB" w:rsidRDefault="00F72778" w:rsidP="00FF397A">
            <w:pPr>
              <w:spacing w:before="0" w:after="0" w:line="240" w:lineRule="auto"/>
              <w:jc w:val="right"/>
              <w:rPr>
                <w:rFonts w:asciiTheme="minorBidi" w:hAnsiTheme="minorBidi"/>
                <w:sz w:val="18"/>
                <w:szCs w:val="18"/>
              </w:rPr>
            </w:pPr>
          </w:p>
        </w:tc>
        <w:tc>
          <w:tcPr>
            <w:tcW w:w="2985" w:type="dxa"/>
            <w:noWrap/>
            <w:vAlign w:val="center"/>
            <w:hideMark/>
          </w:tcPr>
          <w:p w14:paraId="4DE1B032" w14:textId="77777777" w:rsidR="00F72778" w:rsidRPr="00795CEB" w:rsidRDefault="00F72778" w:rsidP="00FF397A">
            <w:pPr>
              <w:spacing w:before="0" w:after="0" w:line="240" w:lineRule="auto"/>
              <w:rPr>
                <w:rFonts w:asciiTheme="minorBidi" w:hAnsiTheme="minorBidi"/>
                <w:sz w:val="18"/>
                <w:szCs w:val="18"/>
              </w:rPr>
            </w:pPr>
            <w:r w:rsidRPr="00795CEB">
              <w:rPr>
                <w:rFonts w:asciiTheme="minorBidi" w:hAnsiTheme="minorBidi"/>
                <w:sz w:val="18"/>
                <w:szCs w:val="18"/>
              </w:rPr>
              <w:t>LÜT broneeritud ööde arv kokku (Lighthouse)</w:t>
            </w:r>
          </w:p>
        </w:tc>
        <w:tc>
          <w:tcPr>
            <w:tcW w:w="1170" w:type="dxa"/>
            <w:noWrap/>
            <w:vAlign w:val="center"/>
            <w:hideMark/>
          </w:tcPr>
          <w:p w14:paraId="663154BD" w14:textId="747A7781"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1</w:t>
            </w:r>
            <w:r w:rsidR="009402A5">
              <w:rPr>
                <w:rFonts w:asciiTheme="minorBidi" w:hAnsiTheme="minorBidi"/>
                <w:sz w:val="18"/>
                <w:szCs w:val="18"/>
              </w:rPr>
              <w:t xml:space="preserve"> </w:t>
            </w:r>
            <w:r w:rsidRPr="00795CEB">
              <w:rPr>
                <w:rFonts w:asciiTheme="minorBidi" w:hAnsiTheme="minorBidi"/>
                <w:sz w:val="18"/>
                <w:szCs w:val="18"/>
              </w:rPr>
              <w:t>015</w:t>
            </w:r>
            <w:r w:rsidR="009402A5">
              <w:rPr>
                <w:rFonts w:asciiTheme="minorBidi" w:hAnsiTheme="minorBidi"/>
                <w:sz w:val="18"/>
                <w:szCs w:val="18"/>
              </w:rPr>
              <w:t xml:space="preserve"> </w:t>
            </w:r>
            <w:r w:rsidRPr="00795CEB">
              <w:rPr>
                <w:rFonts w:asciiTheme="minorBidi" w:hAnsiTheme="minorBidi"/>
                <w:sz w:val="18"/>
                <w:szCs w:val="18"/>
              </w:rPr>
              <w:t>000</w:t>
            </w:r>
          </w:p>
        </w:tc>
        <w:tc>
          <w:tcPr>
            <w:tcW w:w="1170" w:type="dxa"/>
            <w:noWrap/>
            <w:vAlign w:val="center"/>
            <w:hideMark/>
          </w:tcPr>
          <w:p w14:paraId="0D8CCA0E" w14:textId="77777777" w:rsidR="00F72778" w:rsidRPr="00795CEB" w:rsidRDefault="00F72778" w:rsidP="00FF397A">
            <w:pPr>
              <w:spacing w:before="0" w:after="0" w:line="240" w:lineRule="auto"/>
              <w:jc w:val="right"/>
              <w:rPr>
                <w:rFonts w:asciiTheme="minorBidi" w:hAnsiTheme="minorBidi"/>
                <w:sz w:val="18"/>
                <w:szCs w:val="18"/>
              </w:rPr>
            </w:pPr>
          </w:p>
        </w:tc>
        <w:tc>
          <w:tcPr>
            <w:tcW w:w="1170" w:type="dxa"/>
            <w:noWrap/>
            <w:vAlign w:val="center"/>
            <w:hideMark/>
          </w:tcPr>
          <w:p w14:paraId="6D302412" w14:textId="77777777" w:rsidR="00F72778" w:rsidRPr="00795CEB" w:rsidRDefault="00F72778" w:rsidP="00FF397A">
            <w:pPr>
              <w:spacing w:before="0" w:after="0" w:line="240" w:lineRule="auto"/>
              <w:rPr>
                <w:rFonts w:asciiTheme="minorBidi" w:hAnsiTheme="minorBidi"/>
                <w:sz w:val="18"/>
                <w:szCs w:val="18"/>
              </w:rPr>
            </w:pPr>
          </w:p>
        </w:tc>
      </w:tr>
      <w:tr w:rsidR="00F72778" w:rsidRPr="00FF397A" w14:paraId="5BDC7199" w14:textId="77777777" w:rsidTr="00795CEB">
        <w:trPr>
          <w:trHeight w:val="380"/>
        </w:trPr>
        <w:tc>
          <w:tcPr>
            <w:tcW w:w="3370" w:type="dxa"/>
            <w:noWrap/>
            <w:vAlign w:val="center"/>
            <w:hideMark/>
          </w:tcPr>
          <w:p w14:paraId="61F78364" w14:textId="77777777"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hostel 55201</w:t>
            </w:r>
          </w:p>
        </w:tc>
        <w:tc>
          <w:tcPr>
            <w:tcW w:w="1090" w:type="dxa"/>
            <w:noWrap/>
            <w:vAlign w:val="center"/>
            <w:hideMark/>
          </w:tcPr>
          <w:p w14:paraId="6F7887D7" w14:textId="65443DD3"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533</w:t>
            </w:r>
            <w:r w:rsidR="009402A5">
              <w:rPr>
                <w:rFonts w:asciiTheme="minorBidi" w:hAnsiTheme="minorBidi"/>
                <w:sz w:val="18"/>
                <w:szCs w:val="18"/>
              </w:rPr>
              <w:t xml:space="preserve"> </w:t>
            </w:r>
            <w:r w:rsidRPr="00795CEB">
              <w:rPr>
                <w:rFonts w:asciiTheme="minorBidi" w:hAnsiTheme="minorBidi"/>
                <w:sz w:val="18"/>
                <w:szCs w:val="18"/>
              </w:rPr>
              <w:t>468</w:t>
            </w:r>
          </w:p>
        </w:tc>
        <w:tc>
          <w:tcPr>
            <w:tcW w:w="1210" w:type="dxa"/>
            <w:noWrap/>
            <w:vAlign w:val="center"/>
            <w:hideMark/>
          </w:tcPr>
          <w:p w14:paraId="7E002E40" w14:textId="7F8B18B4"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302</w:t>
            </w:r>
            <w:r w:rsidR="009402A5">
              <w:rPr>
                <w:rFonts w:asciiTheme="minorBidi" w:hAnsiTheme="minorBidi"/>
                <w:sz w:val="18"/>
                <w:szCs w:val="18"/>
              </w:rPr>
              <w:t xml:space="preserve"> </w:t>
            </w:r>
            <w:r w:rsidRPr="00795CEB">
              <w:rPr>
                <w:rFonts w:asciiTheme="minorBidi" w:hAnsiTheme="minorBidi"/>
                <w:sz w:val="18"/>
                <w:szCs w:val="18"/>
              </w:rPr>
              <w:t>097</w:t>
            </w:r>
          </w:p>
        </w:tc>
        <w:tc>
          <w:tcPr>
            <w:tcW w:w="1170" w:type="dxa"/>
            <w:noWrap/>
            <w:vAlign w:val="center"/>
            <w:hideMark/>
          </w:tcPr>
          <w:p w14:paraId="67FB43DC" w14:textId="22C3DA75"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231</w:t>
            </w:r>
            <w:r w:rsidR="009402A5">
              <w:rPr>
                <w:rFonts w:asciiTheme="minorBidi" w:hAnsiTheme="minorBidi"/>
                <w:sz w:val="18"/>
                <w:szCs w:val="18"/>
              </w:rPr>
              <w:t xml:space="preserve"> </w:t>
            </w:r>
            <w:r w:rsidRPr="00795CEB">
              <w:rPr>
                <w:rFonts w:asciiTheme="minorBidi" w:hAnsiTheme="minorBidi"/>
                <w:sz w:val="18"/>
                <w:szCs w:val="18"/>
              </w:rPr>
              <w:t>371</w:t>
            </w:r>
          </w:p>
        </w:tc>
        <w:tc>
          <w:tcPr>
            <w:tcW w:w="340" w:type="dxa"/>
            <w:noWrap/>
            <w:vAlign w:val="center"/>
            <w:hideMark/>
          </w:tcPr>
          <w:p w14:paraId="2D673D71" w14:textId="77777777" w:rsidR="00F72778" w:rsidRPr="00795CEB" w:rsidRDefault="00F72778" w:rsidP="00FF397A">
            <w:pPr>
              <w:spacing w:before="0" w:after="0" w:line="240" w:lineRule="auto"/>
              <w:jc w:val="right"/>
              <w:rPr>
                <w:rFonts w:asciiTheme="minorBidi" w:hAnsiTheme="minorBidi"/>
                <w:sz w:val="18"/>
                <w:szCs w:val="18"/>
              </w:rPr>
            </w:pPr>
          </w:p>
        </w:tc>
        <w:tc>
          <w:tcPr>
            <w:tcW w:w="2985" w:type="dxa"/>
            <w:noWrap/>
            <w:vAlign w:val="center"/>
            <w:hideMark/>
          </w:tcPr>
          <w:p w14:paraId="6CACEED1" w14:textId="77771185" w:rsidR="00F72778" w:rsidRPr="00795CEB" w:rsidRDefault="00F72778" w:rsidP="00FF397A">
            <w:pPr>
              <w:spacing w:before="0" w:after="0" w:line="240" w:lineRule="auto"/>
              <w:rPr>
                <w:rFonts w:asciiTheme="minorBidi" w:hAnsiTheme="minorBidi"/>
                <w:sz w:val="18"/>
                <w:szCs w:val="18"/>
              </w:rPr>
            </w:pPr>
            <w:r w:rsidRPr="00795CEB">
              <w:rPr>
                <w:rFonts w:asciiTheme="minorBidi" w:hAnsiTheme="minorBidi"/>
                <w:sz w:val="18"/>
                <w:szCs w:val="18"/>
              </w:rPr>
              <w:t>keskmine majutatute arv MÜ-s (airbtics)</w:t>
            </w:r>
          </w:p>
        </w:tc>
        <w:tc>
          <w:tcPr>
            <w:tcW w:w="1170" w:type="dxa"/>
            <w:noWrap/>
            <w:vAlign w:val="center"/>
            <w:hideMark/>
          </w:tcPr>
          <w:p w14:paraId="4152AECD" w14:textId="77777777"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2.6</w:t>
            </w:r>
          </w:p>
        </w:tc>
        <w:tc>
          <w:tcPr>
            <w:tcW w:w="1170" w:type="dxa"/>
            <w:noWrap/>
            <w:vAlign w:val="center"/>
            <w:hideMark/>
          </w:tcPr>
          <w:p w14:paraId="1C08D773" w14:textId="77777777" w:rsidR="00F72778" w:rsidRPr="00795CEB" w:rsidRDefault="00F72778" w:rsidP="00FF397A">
            <w:pPr>
              <w:spacing w:before="0" w:after="0" w:line="240" w:lineRule="auto"/>
              <w:jc w:val="right"/>
              <w:rPr>
                <w:rFonts w:asciiTheme="minorBidi" w:hAnsiTheme="minorBidi"/>
                <w:sz w:val="18"/>
                <w:szCs w:val="18"/>
              </w:rPr>
            </w:pPr>
          </w:p>
        </w:tc>
        <w:tc>
          <w:tcPr>
            <w:tcW w:w="1170" w:type="dxa"/>
            <w:noWrap/>
            <w:vAlign w:val="center"/>
            <w:hideMark/>
          </w:tcPr>
          <w:p w14:paraId="1A3E1C9D" w14:textId="77777777" w:rsidR="00F72778" w:rsidRPr="00795CEB" w:rsidRDefault="00F72778" w:rsidP="00FF397A">
            <w:pPr>
              <w:spacing w:before="0" w:after="0" w:line="240" w:lineRule="auto"/>
              <w:rPr>
                <w:rFonts w:asciiTheme="minorBidi" w:hAnsiTheme="minorBidi"/>
                <w:sz w:val="18"/>
                <w:szCs w:val="18"/>
              </w:rPr>
            </w:pPr>
          </w:p>
        </w:tc>
      </w:tr>
      <w:tr w:rsidR="00F72778" w:rsidRPr="00FF397A" w14:paraId="7910D336" w14:textId="77777777" w:rsidTr="00795CEB">
        <w:trPr>
          <w:trHeight w:val="380"/>
        </w:trPr>
        <w:tc>
          <w:tcPr>
            <w:tcW w:w="3370" w:type="dxa"/>
            <w:noWrap/>
            <w:vAlign w:val="center"/>
            <w:hideMark/>
          </w:tcPr>
          <w:p w14:paraId="32FEEE1F" w14:textId="77777777" w:rsidR="00F72778" w:rsidRPr="00795CEB" w:rsidRDefault="00F72778" w:rsidP="00FF397A">
            <w:pPr>
              <w:spacing w:before="0" w:after="0" w:line="240" w:lineRule="auto"/>
              <w:rPr>
                <w:rFonts w:asciiTheme="minorBidi" w:hAnsiTheme="minorBidi"/>
                <w:sz w:val="18"/>
                <w:szCs w:val="18"/>
              </w:rPr>
            </w:pPr>
          </w:p>
        </w:tc>
        <w:tc>
          <w:tcPr>
            <w:tcW w:w="1090" w:type="dxa"/>
            <w:noWrap/>
            <w:vAlign w:val="center"/>
            <w:hideMark/>
          </w:tcPr>
          <w:p w14:paraId="7901F88B" w14:textId="77777777" w:rsidR="00F72778" w:rsidRPr="00795CEB" w:rsidRDefault="00F72778" w:rsidP="00FF397A">
            <w:pPr>
              <w:spacing w:before="0" w:after="0" w:line="240" w:lineRule="auto"/>
              <w:rPr>
                <w:rFonts w:asciiTheme="minorBidi" w:hAnsiTheme="minorBidi"/>
                <w:sz w:val="18"/>
                <w:szCs w:val="18"/>
              </w:rPr>
            </w:pPr>
          </w:p>
        </w:tc>
        <w:tc>
          <w:tcPr>
            <w:tcW w:w="1210" w:type="dxa"/>
            <w:noWrap/>
            <w:vAlign w:val="center"/>
            <w:hideMark/>
          </w:tcPr>
          <w:p w14:paraId="5BA8F22B"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7B5F3741" w14:textId="77777777" w:rsidR="00F72778" w:rsidRPr="00795CEB" w:rsidRDefault="00F72778" w:rsidP="00FF397A">
            <w:pPr>
              <w:spacing w:before="0" w:after="0" w:line="240" w:lineRule="auto"/>
              <w:rPr>
                <w:rFonts w:asciiTheme="minorBidi" w:hAnsiTheme="minorBidi"/>
                <w:sz w:val="18"/>
                <w:szCs w:val="18"/>
              </w:rPr>
            </w:pPr>
          </w:p>
        </w:tc>
        <w:tc>
          <w:tcPr>
            <w:tcW w:w="340" w:type="dxa"/>
            <w:noWrap/>
            <w:vAlign w:val="center"/>
            <w:hideMark/>
          </w:tcPr>
          <w:p w14:paraId="0ED7BE70" w14:textId="77777777" w:rsidR="00F72778" w:rsidRPr="00795CEB" w:rsidRDefault="00F72778" w:rsidP="00FF397A">
            <w:pPr>
              <w:spacing w:before="0" w:after="0" w:line="240" w:lineRule="auto"/>
              <w:rPr>
                <w:rFonts w:asciiTheme="minorBidi" w:hAnsiTheme="minorBidi"/>
                <w:sz w:val="18"/>
                <w:szCs w:val="18"/>
              </w:rPr>
            </w:pPr>
          </w:p>
        </w:tc>
        <w:tc>
          <w:tcPr>
            <w:tcW w:w="2985" w:type="dxa"/>
            <w:noWrap/>
            <w:vAlign w:val="center"/>
            <w:hideMark/>
          </w:tcPr>
          <w:p w14:paraId="05B1920D" w14:textId="77777777" w:rsidR="00F72778" w:rsidRPr="00795CEB" w:rsidRDefault="00F72778" w:rsidP="00FF397A">
            <w:pPr>
              <w:spacing w:before="0" w:after="0" w:line="240" w:lineRule="auto"/>
              <w:rPr>
                <w:rFonts w:asciiTheme="minorBidi" w:hAnsiTheme="minorBidi"/>
                <w:sz w:val="18"/>
                <w:szCs w:val="18"/>
              </w:rPr>
            </w:pPr>
            <w:r w:rsidRPr="00795CEB">
              <w:rPr>
                <w:rFonts w:asciiTheme="minorBidi" w:hAnsiTheme="minorBidi"/>
                <w:sz w:val="18"/>
                <w:szCs w:val="18"/>
              </w:rPr>
              <w:t>B. LÜT ööbimiste arv kokku (Lighthouse)</w:t>
            </w:r>
          </w:p>
        </w:tc>
        <w:tc>
          <w:tcPr>
            <w:tcW w:w="1170" w:type="dxa"/>
            <w:noWrap/>
            <w:vAlign w:val="center"/>
            <w:hideMark/>
          </w:tcPr>
          <w:p w14:paraId="083CBB84" w14:textId="128B709A"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w:t>
            </w:r>
            <w:r w:rsidR="009402A5">
              <w:rPr>
                <w:rFonts w:asciiTheme="minorBidi" w:hAnsiTheme="minorBidi"/>
                <w:sz w:val="18"/>
                <w:szCs w:val="18"/>
              </w:rPr>
              <w:t xml:space="preserve"> </w:t>
            </w:r>
            <w:r w:rsidRPr="00795CEB">
              <w:rPr>
                <w:rFonts w:asciiTheme="minorBidi" w:hAnsiTheme="minorBidi"/>
                <w:sz w:val="18"/>
                <w:szCs w:val="18"/>
              </w:rPr>
              <w:t>639</w:t>
            </w:r>
            <w:r w:rsidR="009402A5">
              <w:rPr>
                <w:rFonts w:asciiTheme="minorBidi" w:hAnsiTheme="minorBidi"/>
                <w:sz w:val="18"/>
                <w:szCs w:val="18"/>
              </w:rPr>
              <w:t xml:space="preserve"> </w:t>
            </w:r>
            <w:r w:rsidRPr="00795CEB">
              <w:rPr>
                <w:rFonts w:asciiTheme="minorBidi" w:hAnsiTheme="minorBidi"/>
                <w:sz w:val="18"/>
                <w:szCs w:val="18"/>
              </w:rPr>
              <w:t>000</w:t>
            </w:r>
          </w:p>
        </w:tc>
        <w:tc>
          <w:tcPr>
            <w:tcW w:w="1170" w:type="dxa"/>
            <w:noWrap/>
            <w:vAlign w:val="center"/>
            <w:hideMark/>
          </w:tcPr>
          <w:p w14:paraId="1CF272AC" w14:textId="77777777" w:rsidR="00F72778" w:rsidRPr="00795CEB" w:rsidRDefault="00F72778" w:rsidP="00FF397A">
            <w:pPr>
              <w:spacing w:before="0" w:after="0" w:line="240" w:lineRule="auto"/>
              <w:jc w:val="right"/>
              <w:rPr>
                <w:rFonts w:asciiTheme="minorBidi" w:hAnsiTheme="minorBidi"/>
                <w:sz w:val="18"/>
                <w:szCs w:val="18"/>
              </w:rPr>
            </w:pPr>
          </w:p>
        </w:tc>
        <w:tc>
          <w:tcPr>
            <w:tcW w:w="1170" w:type="dxa"/>
            <w:noWrap/>
            <w:vAlign w:val="center"/>
            <w:hideMark/>
          </w:tcPr>
          <w:p w14:paraId="1C260169" w14:textId="77777777" w:rsidR="00F72778" w:rsidRPr="00795CEB" w:rsidRDefault="00F72778" w:rsidP="00FF397A">
            <w:pPr>
              <w:spacing w:before="0" w:after="0" w:line="240" w:lineRule="auto"/>
              <w:rPr>
                <w:rFonts w:asciiTheme="minorBidi" w:hAnsiTheme="minorBidi"/>
                <w:sz w:val="18"/>
                <w:szCs w:val="18"/>
              </w:rPr>
            </w:pPr>
          </w:p>
        </w:tc>
      </w:tr>
      <w:tr w:rsidR="00F72778" w:rsidRPr="00FF397A" w14:paraId="3EB4097F" w14:textId="77777777" w:rsidTr="00795CEB">
        <w:trPr>
          <w:trHeight w:val="380"/>
        </w:trPr>
        <w:tc>
          <w:tcPr>
            <w:tcW w:w="3370" w:type="dxa"/>
            <w:noWrap/>
            <w:vAlign w:val="center"/>
            <w:hideMark/>
          </w:tcPr>
          <w:p w14:paraId="1583B60E" w14:textId="39E2C4B2" w:rsidR="00F72778" w:rsidRPr="00795CEB" w:rsidRDefault="00F72778" w:rsidP="00FF397A">
            <w:pPr>
              <w:spacing w:before="0" w:after="0" w:line="240" w:lineRule="auto"/>
              <w:rPr>
                <w:rFonts w:asciiTheme="minorBidi" w:hAnsiTheme="minorBidi"/>
                <w:b/>
                <w:bCs/>
                <w:sz w:val="18"/>
                <w:szCs w:val="18"/>
              </w:rPr>
            </w:pPr>
            <w:r w:rsidRPr="00795CEB">
              <w:rPr>
                <w:rFonts w:asciiTheme="minorBidi" w:hAnsiTheme="minorBidi"/>
                <w:b/>
                <w:bCs/>
                <w:sz w:val="18"/>
                <w:szCs w:val="18"/>
              </w:rPr>
              <w:t>sh LÜT tunnusega majutusettevõtted</w:t>
            </w:r>
          </w:p>
        </w:tc>
        <w:tc>
          <w:tcPr>
            <w:tcW w:w="1090" w:type="dxa"/>
            <w:noWrap/>
            <w:vAlign w:val="center"/>
            <w:hideMark/>
          </w:tcPr>
          <w:p w14:paraId="78EBFF3D" w14:textId="5A3B401A" w:rsidR="00F72778" w:rsidRPr="00795CEB" w:rsidRDefault="00F72778" w:rsidP="00FF397A">
            <w:pPr>
              <w:spacing w:before="0" w:after="0" w:line="240" w:lineRule="auto"/>
              <w:jc w:val="right"/>
              <w:rPr>
                <w:rFonts w:asciiTheme="minorBidi" w:hAnsiTheme="minorBidi"/>
                <w:b/>
                <w:bCs/>
                <w:sz w:val="18"/>
                <w:szCs w:val="18"/>
              </w:rPr>
            </w:pPr>
            <w:r w:rsidRPr="00795CEB">
              <w:rPr>
                <w:rFonts w:asciiTheme="minorBidi" w:hAnsiTheme="minorBidi"/>
                <w:b/>
                <w:bCs/>
                <w:sz w:val="18"/>
                <w:szCs w:val="18"/>
              </w:rPr>
              <w:t>584</w:t>
            </w:r>
            <w:r w:rsidR="009402A5">
              <w:rPr>
                <w:rFonts w:asciiTheme="minorBidi" w:hAnsiTheme="minorBidi"/>
                <w:b/>
                <w:bCs/>
                <w:sz w:val="18"/>
                <w:szCs w:val="18"/>
              </w:rPr>
              <w:t xml:space="preserve"> </w:t>
            </w:r>
            <w:r w:rsidRPr="00795CEB">
              <w:rPr>
                <w:rFonts w:asciiTheme="minorBidi" w:hAnsiTheme="minorBidi"/>
                <w:b/>
                <w:bCs/>
                <w:sz w:val="18"/>
                <w:szCs w:val="18"/>
              </w:rPr>
              <w:t>668</w:t>
            </w:r>
          </w:p>
        </w:tc>
        <w:tc>
          <w:tcPr>
            <w:tcW w:w="1210" w:type="dxa"/>
            <w:noWrap/>
            <w:vAlign w:val="center"/>
            <w:hideMark/>
          </w:tcPr>
          <w:p w14:paraId="10ABC44B" w14:textId="42AE4C4E" w:rsidR="00F72778" w:rsidRPr="00795CEB" w:rsidRDefault="00F72778" w:rsidP="00FF397A">
            <w:pPr>
              <w:spacing w:before="0" w:after="0" w:line="240" w:lineRule="auto"/>
              <w:jc w:val="right"/>
              <w:rPr>
                <w:rFonts w:asciiTheme="minorBidi" w:hAnsiTheme="minorBidi"/>
                <w:b/>
                <w:bCs/>
                <w:sz w:val="18"/>
                <w:szCs w:val="18"/>
              </w:rPr>
            </w:pPr>
            <w:r w:rsidRPr="00795CEB">
              <w:rPr>
                <w:rFonts w:asciiTheme="minorBidi" w:hAnsiTheme="minorBidi"/>
                <w:b/>
                <w:bCs/>
                <w:sz w:val="18"/>
                <w:szCs w:val="18"/>
              </w:rPr>
              <w:t>172</w:t>
            </w:r>
            <w:r w:rsidR="009402A5">
              <w:rPr>
                <w:rFonts w:asciiTheme="minorBidi" w:hAnsiTheme="minorBidi"/>
                <w:b/>
                <w:bCs/>
                <w:sz w:val="18"/>
                <w:szCs w:val="18"/>
              </w:rPr>
              <w:t xml:space="preserve"> </w:t>
            </w:r>
            <w:r w:rsidRPr="00795CEB">
              <w:rPr>
                <w:rFonts w:asciiTheme="minorBidi" w:hAnsiTheme="minorBidi"/>
                <w:b/>
                <w:bCs/>
                <w:sz w:val="18"/>
                <w:szCs w:val="18"/>
              </w:rPr>
              <w:t>686</w:t>
            </w:r>
          </w:p>
        </w:tc>
        <w:tc>
          <w:tcPr>
            <w:tcW w:w="1170" w:type="dxa"/>
            <w:noWrap/>
            <w:vAlign w:val="center"/>
            <w:hideMark/>
          </w:tcPr>
          <w:p w14:paraId="289631E9" w14:textId="53D704DF" w:rsidR="00F72778" w:rsidRPr="00795CEB" w:rsidRDefault="00F72778" w:rsidP="00FF397A">
            <w:pPr>
              <w:spacing w:before="0" w:after="0" w:line="240" w:lineRule="auto"/>
              <w:jc w:val="right"/>
              <w:rPr>
                <w:rFonts w:asciiTheme="minorBidi" w:hAnsiTheme="minorBidi"/>
                <w:b/>
                <w:bCs/>
                <w:sz w:val="18"/>
                <w:szCs w:val="18"/>
              </w:rPr>
            </w:pPr>
            <w:r w:rsidRPr="00795CEB">
              <w:rPr>
                <w:rFonts w:asciiTheme="minorBidi" w:hAnsiTheme="minorBidi"/>
                <w:b/>
                <w:bCs/>
                <w:sz w:val="18"/>
                <w:szCs w:val="18"/>
              </w:rPr>
              <w:t>411</w:t>
            </w:r>
            <w:r w:rsidR="009402A5">
              <w:rPr>
                <w:rFonts w:asciiTheme="minorBidi" w:hAnsiTheme="minorBidi"/>
                <w:b/>
                <w:bCs/>
                <w:sz w:val="18"/>
                <w:szCs w:val="18"/>
              </w:rPr>
              <w:t xml:space="preserve"> </w:t>
            </w:r>
            <w:r w:rsidRPr="00795CEB">
              <w:rPr>
                <w:rFonts w:asciiTheme="minorBidi" w:hAnsiTheme="minorBidi"/>
                <w:b/>
                <w:bCs/>
                <w:sz w:val="18"/>
                <w:szCs w:val="18"/>
              </w:rPr>
              <w:t>982</w:t>
            </w:r>
          </w:p>
        </w:tc>
        <w:tc>
          <w:tcPr>
            <w:tcW w:w="340" w:type="dxa"/>
            <w:noWrap/>
            <w:vAlign w:val="center"/>
            <w:hideMark/>
          </w:tcPr>
          <w:p w14:paraId="2505881F" w14:textId="77777777" w:rsidR="00F72778" w:rsidRPr="00795CEB" w:rsidRDefault="00F72778" w:rsidP="00FF397A">
            <w:pPr>
              <w:spacing w:before="0" w:after="0" w:line="240" w:lineRule="auto"/>
              <w:jc w:val="right"/>
              <w:rPr>
                <w:rFonts w:asciiTheme="minorBidi" w:hAnsiTheme="minorBidi"/>
                <w:sz w:val="18"/>
                <w:szCs w:val="18"/>
              </w:rPr>
            </w:pPr>
          </w:p>
        </w:tc>
        <w:tc>
          <w:tcPr>
            <w:tcW w:w="2985" w:type="dxa"/>
            <w:noWrap/>
            <w:vAlign w:val="center"/>
            <w:hideMark/>
          </w:tcPr>
          <w:p w14:paraId="6043C3E2" w14:textId="77777777" w:rsidR="00F72778" w:rsidRPr="00795CEB" w:rsidRDefault="00F72778" w:rsidP="006A4D9D">
            <w:pPr>
              <w:spacing w:before="0" w:after="0" w:line="240" w:lineRule="auto"/>
              <w:rPr>
                <w:rFonts w:asciiTheme="minorBidi" w:hAnsiTheme="minorBidi"/>
                <w:sz w:val="18"/>
                <w:szCs w:val="18"/>
              </w:rPr>
            </w:pPr>
            <w:r w:rsidRPr="00795CEB">
              <w:rPr>
                <w:rFonts w:asciiTheme="minorBidi" w:hAnsiTheme="minorBidi"/>
                <w:sz w:val="18"/>
                <w:szCs w:val="18"/>
              </w:rPr>
              <w:t>ööbimiste arv LÜT / hotellid jm</w:t>
            </w:r>
          </w:p>
        </w:tc>
        <w:tc>
          <w:tcPr>
            <w:tcW w:w="1170" w:type="dxa"/>
            <w:noWrap/>
            <w:vAlign w:val="center"/>
            <w:hideMark/>
          </w:tcPr>
          <w:p w14:paraId="22BE9EE7" w14:textId="77777777"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48%</w:t>
            </w:r>
          </w:p>
        </w:tc>
        <w:tc>
          <w:tcPr>
            <w:tcW w:w="1170" w:type="dxa"/>
            <w:noWrap/>
            <w:vAlign w:val="center"/>
            <w:hideMark/>
          </w:tcPr>
          <w:p w14:paraId="05E2C9AE" w14:textId="77777777" w:rsidR="00F72778" w:rsidRPr="00795CEB" w:rsidRDefault="00F72778" w:rsidP="00FF397A">
            <w:pPr>
              <w:spacing w:before="0" w:after="0" w:line="240" w:lineRule="auto"/>
              <w:jc w:val="right"/>
              <w:rPr>
                <w:rFonts w:asciiTheme="minorBidi" w:hAnsiTheme="minorBidi"/>
                <w:sz w:val="18"/>
                <w:szCs w:val="18"/>
              </w:rPr>
            </w:pPr>
          </w:p>
        </w:tc>
        <w:tc>
          <w:tcPr>
            <w:tcW w:w="1170" w:type="dxa"/>
            <w:noWrap/>
            <w:vAlign w:val="center"/>
            <w:hideMark/>
          </w:tcPr>
          <w:p w14:paraId="685FCFCE" w14:textId="77777777" w:rsidR="00F72778" w:rsidRPr="00795CEB" w:rsidRDefault="00F72778" w:rsidP="00FF397A">
            <w:pPr>
              <w:spacing w:before="0" w:after="0" w:line="240" w:lineRule="auto"/>
              <w:rPr>
                <w:rFonts w:asciiTheme="minorBidi" w:hAnsiTheme="minorBidi"/>
                <w:sz w:val="18"/>
                <w:szCs w:val="18"/>
              </w:rPr>
            </w:pPr>
          </w:p>
        </w:tc>
      </w:tr>
      <w:tr w:rsidR="00F72778" w:rsidRPr="00FF397A" w14:paraId="68B08C3C" w14:textId="77777777" w:rsidTr="00795CEB">
        <w:trPr>
          <w:trHeight w:val="380"/>
        </w:trPr>
        <w:tc>
          <w:tcPr>
            <w:tcW w:w="3370" w:type="dxa"/>
            <w:noWrap/>
            <w:vAlign w:val="center"/>
            <w:hideMark/>
          </w:tcPr>
          <w:p w14:paraId="1BDD2A0D" w14:textId="77777777" w:rsidR="00F72778" w:rsidRPr="00795CEB" w:rsidRDefault="4A7E2F16" w:rsidP="4A7E2F16">
            <w:pPr>
              <w:spacing w:before="0" w:after="0" w:line="240" w:lineRule="auto"/>
              <w:jc w:val="right"/>
              <w:rPr>
                <w:rFonts w:asciiTheme="minorBidi" w:hAnsiTheme="minorBidi"/>
                <w:sz w:val="18"/>
                <w:szCs w:val="18"/>
              </w:rPr>
            </w:pPr>
            <w:r w:rsidRPr="00795CEB">
              <w:rPr>
                <w:rFonts w:asciiTheme="minorBidi" w:hAnsiTheme="minorBidi"/>
                <w:sz w:val="18"/>
                <w:szCs w:val="18"/>
              </w:rPr>
              <w:t>puhkemaja 55202</w:t>
            </w:r>
          </w:p>
        </w:tc>
        <w:tc>
          <w:tcPr>
            <w:tcW w:w="1090" w:type="dxa"/>
            <w:noWrap/>
            <w:vAlign w:val="center"/>
            <w:hideMark/>
          </w:tcPr>
          <w:p w14:paraId="0EA2F131" w14:textId="6AC587BB"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255</w:t>
            </w:r>
            <w:r w:rsidR="009402A5">
              <w:rPr>
                <w:rFonts w:asciiTheme="minorBidi" w:hAnsiTheme="minorBidi"/>
                <w:sz w:val="18"/>
                <w:szCs w:val="18"/>
              </w:rPr>
              <w:t xml:space="preserve"> </w:t>
            </w:r>
            <w:r w:rsidRPr="00795CEB">
              <w:rPr>
                <w:rFonts w:asciiTheme="minorBidi" w:hAnsiTheme="minorBidi"/>
                <w:sz w:val="18"/>
                <w:szCs w:val="18"/>
              </w:rPr>
              <w:t>523</w:t>
            </w:r>
          </w:p>
        </w:tc>
        <w:tc>
          <w:tcPr>
            <w:tcW w:w="1210" w:type="dxa"/>
            <w:noWrap/>
            <w:vAlign w:val="center"/>
            <w:hideMark/>
          </w:tcPr>
          <w:p w14:paraId="1C0BAEAF" w14:textId="6FBF5E91"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5</w:t>
            </w:r>
            <w:r w:rsidR="009402A5">
              <w:rPr>
                <w:rFonts w:asciiTheme="minorBidi" w:hAnsiTheme="minorBidi"/>
                <w:sz w:val="18"/>
                <w:szCs w:val="18"/>
              </w:rPr>
              <w:t xml:space="preserve"> </w:t>
            </w:r>
            <w:r w:rsidRPr="00795CEB">
              <w:rPr>
                <w:rFonts w:asciiTheme="minorBidi" w:hAnsiTheme="minorBidi"/>
                <w:sz w:val="18"/>
                <w:szCs w:val="18"/>
              </w:rPr>
              <w:t>600</w:t>
            </w:r>
          </w:p>
        </w:tc>
        <w:tc>
          <w:tcPr>
            <w:tcW w:w="1170" w:type="dxa"/>
            <w:noWrap/>
            <w:vAlign w:val="center"/>
            <w:hideMark/>
          </w:tcPr>
          <w:p w14:paraId="073926CD" w14:textId="44291F6B"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249</w:t>
            </w:r>
            <w:r w:rsidR="009402A5">
              <w:rPr>
                <w:rFonts w:asciiTheme="minorBidi" w:hAnsiTheme="minorBidi"/>
                <w:sz w:val="18"/>
                <w:szCs w:val="18"/>
              </w:rPr>
              <w:t xml:space="preserve"> </w:t>
            </w:r>
            <w:r w:rsidRPr="00795CEB">
              <w:rPr>
                <w:rFonts w:asciiTheme="minorBidi" w:hAnsiTheme="minorBidi"/>
                <w:sz w:val="18"/>
                <w:szCs w:val="18"/>
              </w:rPr>
              <w:t>923</w:t>
            </w:r>
          </w:p>
        </w:tc>
        <w:tc>
          <w:tcPr>
            <w:tcW w:w="340" w:type="dxa"/>
            <w:noWrap/>
            <w:vAlign w:val="center"/>
            <w:hideMark/>
          </w:tcPr>
          <w:p w14:paraId="369234EE" w14:textId="77777777" w:rsidR="00F72778" w:rsidRPr="00795CEB" w:rsidRDefault="00F72778" w:rsidP="00FF397A">
            <w:pPr>
              <w:spacing w:before="0" w:after="0" w:line="240" w:lineRule="auto"/>
              <w:jc w:val="right"/>
              <w:rPr>
                <w:rFonts w:asciiTheme="minorBidi" w:hAnsiTheme="minorBidi"/>
                <w:sz w:val="18"/>
                <w:szCs w:val="18"/>
              </w:rPr>
            </w:pPr>
          </w:p>
        </w:tc>
        <w:tc>
          <w:tcPr>
            <w:tcW w:w="2985" w:type="dxa"/>
            <w:noWrap/>
            <w:vAlign w:val="center"/>
            <w:hideMark/>
          </w:tcPr>
          <w:p w14:paraId="2205599E"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424BBCFE"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6E9E37C2"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46CE055D" w14:textId="77777777" w:rsidR="00F72778" w:rsidRPr="00795CEB" w:rsidRDefault="00F72778" w:rsidP="00FF397A">
            <w:pPr>
              <w:spacing w:before="0" w:after="0" w:line="240" w:lineRule="auto"/>
              <w:rPr>
                <w:rFonts w:asciiTheme="minorBidi" w:hAnsiTheme="minorBidi"/>
                <w:sz w:val="18"/>
                <w:szCs w:val="18"/>
              </w:rPr>
            </w:pPr>
          </w:p>
        </w:tc>
      </w:tr>
      <w:tr w:rsidR="00F72778" w:rsidRPr="00FF397A" w14:paraId="3855D548" w14:textId="77777777" w:rsidTr="00795CEB">
        <w:trPr>
          <w:trHeight w:val="380"/>
        </w:trPr>
        <w:tc>
          <w:tcPr>
            <w:tcW w:w="3370" w:type="dxa"/>
            <w:noWrap/>
            <w:vAlign w:val="center"/>
            <w:hideMark/>
          </w:tcPr>
          <w:p w14:paraId="5800D6A0" w14:textId="77777777" w:rsidR="00F72778" w:rsidRPr="00795CEB" w:rsidRDefault="4A7E2F16" w:rsidP="4A7E2F16">
            <w:pPr>
              <w:spacing w:before="0" w:after="0" w:line="240" w:lineRule="auto"/>
              <w:jc w:val="right"/>
              <w:rPr>
                <w:rFonts w:asciiTheme="minorBidi" w:hAnsiTheme="minorBidi"/>
                <w:sz w:val="18"/>
                <w:szCs w:val="18"/>
              </w:rPr>
            </w:pPr>
            <w:r w:rsidRPr="00795CEB">
              <w:rPr>
                <w:rFonts w:asciiTheme="minorBidi" w:hAnsiTheme="minorBidi"/>
                <w:sz w:val="18"/>
                <w:szCs w:val="18"/>
              </w:rPr>
              <w:t>külaliskorter 55204</w:t>
            </w:r>
          </w:p>
        </w:tc>
        <w:tc>
          <w:tcPr>
            <w:tcW w:w="1090" w:type="dxa"/>
            <w:noWrap/>
            <w:vAlign w:val="center"/>
            <w:hideMark/>
          </w:tcPr>
          <w:p w14:paraId="3336A97E" w14:textId="3C874982"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257</w:t>
            </w:r>
            <w:r w:rsidR="009402A5">
              <w:rPr>
                <w:rFonts w:asciiTheme="minorBidi" w:hAnsiTheme="minorBidi"/>
                <w:sz w:val="18"/>
                <w:szCs w:val="18"/>
              </w:rPr>
              <w:t xml:space="preserve"> </w:t>
            </w:r>
            <w:r w:rsidRPr="00795CEB">
              <w:rPr>
                <w:rFonts w:asciiTheme="minorBidi" w:hAnsiTheme="minorBidi"/>
                <w:sz w:val="18"/>
                <w:szCs w:val="18"/>
              </w:rPr>
              <w:t>459</w:t>
            </w:r>
          </w:p>
        </w:tc>
        <w:tc>
          <w:tcPr>
            <w:tcW w:w="1210" w:type="dxa"/>
            <w:noWrap/>
            <w:vAlign w:val="center"/>
            <w:hideMark/>
          </w:tcPr>
          <w:p w14:paraId="531119CB" w14:textId="2180C4BA"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167</w:t>
            </w:r>
            <w:r w:rsidR="009402A5">
              <w:rPr>
                <w:rFonts w:asciiTheme="minorBidi" w:hAnsiTheme="minorBidi"/>
                <w:sz w:val="18"/>
                <w:szCs w:val="18"/>
              </w:rPr>
              <w:t xml:space="preserve"> </w:t>
            </w:r>
            <w:r w:rsidRPr="00795CEB">
              <w:rPr>
                <w:rFonts w:asciiTheme="minorBidi" w:hAnsiTheme="minorBidi"/>
                <w:sz w:val="18"/>
                <w:szCs w:val="18"/>
              </w:rPr>
              <w:t>086</w:t>
            </w:r>
          </w:p>
        </w:tc>
        <w:tc>
          <w:tcPr>
            <w:tcW w:w="1170" w:type="dxa"/>
            <w:noWrap/>
            <w:vAlign w:val="center"/>
            <w:hideMark/>
          </w:tcPr>
          <w:p w14:paraId="5217647A" w14:textId="1DBBB75F"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90</w:t>
            </w:r>
            <w:r w:rsidR="009402A5">
              <w:rPr>
                <w:rFonts w:asciiTheme="minorBidi" w:hAnsiTheme="minorBidi"/>
                <w:sz w:val="18"/>
                <w:szCs w:val="18"/>
              </w:rPr>
              <w:t xml:space="preserve"> </w:t>
            </w:r>
            <w:r w:rsidRPr="00795CEB">
              <w:rPr>
                <w:rFonts w:asciiTheme="minorBidi" w:hAnsiTheme="minorBidi"/>
                <w:sz w:val="18"/>
                <w:szCs w:val="18"/>
              </w:rPr>
              <w:t>373</w:t>
            </w:r>
          </w:p>
        </w:tc>
        <w:tc>
          <w:tcPr>
            <w:tcW w:w="340" w:type="dxa"/>
            <w:noWrap/>
            <w:vAlign w:val="center"/>
            <w:hideMark/>
          </w:tcPr>
          <w:p w14:paraId="66766D17" w14:textId="77777777" w:rsidR="00F72778" w:rsidRPr="00795CEB" w:rsidRDefault="00F72778" w:rsidP="00FF397A">
            <w:pPr>
              <w:spacing w:before="0" w:after="0" w:line="240" w:lineRule="auto"/>
              <w:jc w:val="right"/>
              <w:rPr>
                <w:rFonts w:asciiTheme="minorBidi" w:hAnsiTheme="minorBidi"/>
                <w:sz w:val="18"/>
                <w:szCs w:val="18"/>
              </w:rPr>
            </w:pPr>
          </w:p>
        </w:tc>
        <w:tc>
          <w:tcPr>
            <w:tcW w:w="2985" w:type="dxa"/>
            <w:noWrap/>
            <w:vAlign w:val="center"/>
            <w:hideMark/>
          </w:tcPr>
          <w:p w14:paraId="68440436" w14:textId="77777777" w:rsidR="00F72778" w:rsidRPr="00795CEB" w:rsidRDefault="00F72778" w:rsidP="00FF397A">
            <w:pPr>
              <w:spacing w:before="0" w:after="0" w:line="240" w:lineRule="auto"/>
              <w:rPr>
                <w:rFonts w:asciiTheme="minorBidi" w:hAnsiTheme="minorBidi"/>
                <w:sz w:val="18"/>
                <w:szCs w:val="18"/>
              </w:rPr>
            </w:pPr>
            <w:r w:rsidRPr="00795CEB">
              <w:rPr>
                <w:rFonts w:asciiTheme="minorBidi" w:hAnsiTheme="minorBidi"/>
                <w:sz w:val="18"/>
                <w:szCs w:val="18"/>
              </w:rPr>
              <w:t>Ööbimiste arv ME-des kokku</w:t>
            </w:r>
          </w:p>
        </w:tc>
        <w:tc>
          <w:tcPr>
            <w:tcW w:w="1170" w:type="dxa"/>
            <w:noWrap/>
            <w:vAlign w:val="center"/>
            <w:hideMark/>
          </w:tcPr>
          <w:p w14:paraId="14628B4C" w14:textId="1E486744"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6</w:t>
            </w:r>
            <w:r w:rsidR="009402A5">
              <w:rPr>
                <w:rFonts w:asciiTheme="minorBidi" w:hAnsiTheme="minorBidi"/>
                <w:sz w:val="18"/>
                <w:szCs w:val="18"/>
              </w:rPr>
              <w:t xml:space="preserve"> </w:t>
            </w:r>
            <w:r w:rsidRPr="00795CEB">
              <w:rPr>
                <w:rFonts w:asciiTheme="minorBidi" w:hAnsiTheme="minorBidi"/>
                <w:sz w:val="18"/>
                <w:szCs w:val="18"/>
              </w:rPr>
              <w:t>374</w:t>
            </w:r>
            <w:r w:rsidR="009402A5">
              <w:rPr>
                <w:rFonts w:asciiTheme="minorBidi" w:hAnsiTheme="minorBidi"/>
                <w:sz w:val="18"/>
                <w:szCs w:val="18"/>
              </w:rPr>
              <w:t xml:space="preserve"> </w:t>
            </w:r>
            <w:r w:rsidRPr="00795CEB">
              <w:rPr>
                <w:rFonts w:asciiTheme="minorBidi" w:hAnsiTheme="minorBidi"/>
                <w:sz w:val="18"/>
                <w:szCs w:val="18"/>
              </w:rPr>
              <w:t>862</w:t>
            </w:r>
          </w:p>
        </w:tc>
        <w:tc>
          <w:tcPr>
            <w:tcW w:w="1170" w:type="dxa"/>
            <w:noWrap/>
            <w:vAlign w:val="center"/>
            <w:hideMark/>
          </w:tcPr>
          <w:p w14:paraId="2386A9DE" w14:textId="76F13375"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3</w:t>
            </w:r>
            <w:r w:rsidR="009402A5">
              <w:rPr>
                <w:rFonts w:asciiTheme="minorBidi" w:hAnsiTheme="minorBidi"/>
                <w:sz w:val="18"/>
                <w:szCs w:val="18"/>
              </w:rPr>
              <w:t xml:space="preserve"> </w:t>
            </w:r>
            <w:r w:rsidRPr="00795CEB">
              <w:rPr>
                <w:rFonts w:asciiTheme="minorBidi" w:hAnsiTheme="minorBidi"/>
                <w:sz w:val="18"/>
                <w:szCs w:val="18"/>
              </w:rPr>
              <w:t>047</w:t>
            </w:r>
            <w:r w:rsidR="009402A5">
              <w:rPr>
                <w:rFonts w:asciiTheme="minorBidi" w:hAnsiTheme="minorBidi"/>
                <w:sz w:val="18"/>
                <w:szCs w:val="18"/>
              </w:rPr>
              <w:t xml:space="preserve"> </w:t>
            </w:r>
            <w:r w:rsidRPr="00795CEB">
              <w:rPr>
                <w:rFonts w:asciiTheme="minorBidi" w:hAnsiTheme="minorBidi"/>
                <w:sz w:val="18"/>
                <w:szCs w:val="18"/>
              </w:rPr>
              <w:t>073</w:t>
            </w:r>
          </w:p>
        </w:tc>
        <w:tc>
          <w:tcPr>
            <w:tcW w:w="1170" w:type="dxa"/>
            <w:noWrap/>
            <w:vAlign w:val="center"/>
            <w:hideMark/>
          </w:tcPr>
          <w:p w14:paraId="002F7987" w14:textId="32D58C6D"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3</w:t>
            </w:r>
            <w:r w:rsidR="009402A5">
              <w:rPr>
                <w:rFonts w:asciiTheme="minorBidi" w:hAnsiTheme="minorBidi"/>
                <w:sz w:val="18"/>
                <w:szCs w:val="18"/>
              </w:rPr>
              <w:t xml:space="preserve"> </w:t>
            </w:r>
            <w:r w:rsidRPr="00795CEB">
              <w:rPr>
                <w:rFonts w:asciiTheme="minorBidi" w:hAnsiTheme="minorBidi"/>
                <w:sz w:val="18"/>
                <w:szCs w:val="18"/>
              </w:rPr>
              <w:t>327</w:t>
            </w:r>
            <w:r w:rsidR="009402A5">
              <w:rPr>
                <w:rFonts w:asciiTheme="minorBidi" w:hAnsiTheme="minorBidi"/>
                <w:sz w:val="18"/>
                <w:szCs w:val="18"/>
              </w:rPr>
              <w:t xml:space="preserve"> </w:t>
            </w:r>
            <w:r w:rsidRPr="00795CEB">
              <w:rPr>
                <w:rFonts w:asciiTheme="minorBidi" w:hAnsiTheme="minorBidi"/>
                <w:sz w:val="18"/>
                <w:szCs w:val="18"/>
              </w:rPr>
              <w:t>789</w:t>
            </w:r>
          </w:p>
        </w:tc>
      </w:tr>
      <w:tr w:rsidR="00F72778" w:rsidRPr="00FF397A" w14:paraId="4C86A5B6" w14:textId="77777777" w:rsidTr="00795CEB">
        <w:trPr>
          <w:trHeight w:val="380"/>
        </w:trPr>
        <w:tc>
          <w:tcPr>
            <w:tcW w:w="3370" w:type="dxa"/>
            <w:noWrap/>
            <w:vAlign w:val="center"/>
            <w:hideMark/>
          </w:tcPr>
          <w:p w14:paraId="4FE40F90" w14:textId="77777777" w:rsidR="00F72778" w:rsidRPr="00795CEB" w:rsidRDefault="4A7E2F16" w:rsidP="4A7E2F16">
            <w:pPr>
              <w:spacing w:before="0" w:after="0" w:line="240" w:lineRule="auto"/>
              <w:jc w:val="right"/>
              <w:rPr>
                <w:rFonts w:asciiTheme="minorBidi" w:hAnsiTheme="minorBidi"/>
                <w:sz w:val="18"/>
                <w:szCs w:val="18"/>
              </w:rPr>
            </w:pPr>
            <w:r w:rsidRPr="00795CEB">
              <w:rPr>
                <w:rFonts w:asciiTheme="minorBidi" w:hAnsiTheme="minorBidi"/>
                <w:sz w:val="18"/>
                <w:szCs w:val="18"/>
              </w:rPr>
              <w:t>kodumajutus 55205</w:t>
            </w:r>
          </w:p>
        </w:tc>
        <w:tc>
          <w:tcPr>
            <w:tcW w:w="1090" w:type="dxa"/>
            <w:noWrap/>
            <w:vAlign w:val="center"/>
            <w:hideMark/>
          </w:tcPr>
          <w:p w14:paraId="7B35D875" w14:textId="50149538"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71</w:t>
            </w:r>
            <w:r w:rsidR="009402A5">
              <w:rPr>
                <w:rFonts w:asciiTheme="minorBidi" w:hAnsiTheme="minorBidi"/>
                <w:sz w:val="18"/>
                <w:szCs w:val="18"/>
              </w:rPr>
              <w:t xml:space="preserve"> </w:t>
            </w:r>
            <w:r w:rsidRPr="00795CEB">
              <w:rPr>
                <w:rFonts w:asciiTheme="minorBidi" w:hAnsiTheme="minorBidi"/>
                <w:sz w:val="18"/>
                <w:szCs w:val="18"/>
              </w:rPr>
              <w:t>686</w:t>
            </w:r>
          </w:p>
        </w:tc>
        <w:tc>
          <w:tcPr>
            <w:tcW w:w="1210" w:type="dxa"/>
            <w:noWrap/>
            <w:vAlign w:val="center"/>
            <w:hideMark/>
          </w:tcPr>
          <w:p w14:paraId="5BBDF5D7" w14:textId="77777777" w:rsidR="00F72778" w:rsidRPr="00795CEB" w:rsidRDefault="00F72778" w:rsidP="00FF397A">
            <w:pPr>
              <w:spacing w:before="0" w:after="0" w:line="240" w:lineRule="auto"/>
              <w:jc w:val="center"/>
              <w:rPr>
                <w:rFonts w:asciiTheme="minorBidi" w:hAnsiTheme="minorBidi"/>
                <w:sz w:val="18"/>
                <w:szCs w:val="18"/>
              </w:rPr>
            </w:pPr>
            <w:r w:rsidRPr="00795CEB">
              <w:rPr>
                <w:rFonts w:asciiTheme="minorBidi" w:hAnsiTheme="minorBidi"/>
                <w:sz w:val="18"/>
                <w:szCs w:val="18"/>
              </w:rPr>
              <w:t>0</w:t>
            </w:r>
          </w:p>
        </w:tc>
        <w:tc>
          <w:tcPr>
            <w:tcW w:w="1170" w:type="dxa"/>
            <w:noWrap/>
            <w:vAlign w:val="center"/>
            <w:hideMark/>
          </w:tcPr>
          <w:p w14:paraId="218D2454" w14:textId="5953FB46" w:rsidR="00F72778" w:rsidRPr="00795CEB" w:rsidRDefault="00F72778" w:rsidP="00FF397A">
            <w:pPr>
              <w:spacing w:before="0" w:after="0" w:line="240" w:lineRule="auto"/>
              <w:jc w:val="right"/>
              <w:rPr>
                <w:rFonts w:asciiTheme="minorBidi" w:hAnsiTheme="minorBidi"/>
                <w:sz w:val="18"/>
                <w:szCs w:val="18"/>
              </w:rPr>
            </w:pPr>
            <w:r w:rsidRPr="00795CEB">
              <w:rPr>
                <w:rFonts w:asciiTheme="minorBidi" w:hAnsiTheme="minorBidi"/>
                <w:sz w:val="18"/>
                <w:szCs w:val="18"/>
              </w:rPr>
              <w:t>71</w:t>
            </w:r>
            <w:r w:rsidR="009402A5">
              <w:rPr>
                <w:rFonts w:asciiTheme="minorBidi" w:hAnsiTheme="minorBidi"/>
                <w:sz w:val="18"/>
                <w:szCs w:val="18"/>
              </w:rPr>
              <w:t xml:space="preserve"> </w:t>
            </w:r>
            <w:r w:rsidRPr="00795CEB">
              <w:rPr>
                <w:rFonts w:asciiTheme="minorBidi" w:hAnsiTheme="minorBidi"/>
                <w:sz w:val="18"/>
                <w:szCs w:val="18"/>
              </w:rPr>
              <w:t>686</w:t>
            </w:r>
          </w:p>
        </w:tc>
        <w:tc>
          <w:tcPr>
            <w:tcW w:w="340" w:type="dxa"/>
            <w:noWrap/>
            <w:vAlign w:val="center"/>
            <w:hideMark/>
          </w:tcPr>
          <w:p w14:paraId="3EB78195" w14:textId="77777777" w:rsidR="00F72778" w:rsidRPr="00795CEB" w:rsidRDefault="00F72778" w:rsidP="00FF397A">
            <w:pPr>
              <w:spacing w:before="0" w:after="0" w:line="240" w:lineRule="auto"/>
              <w:jc w:val="right"/>
              <w:rPr>
                <w:rFonts w:asciiTheme="minorBidi" w:hAnsiTheme="minorBidi"/>
                <w:sz w:val="18"/>
                <w:szCs w:val="18"/>
              </w:rPr>
            </w:pPr>
          </w:p>
        </w:tc>
        <w:tc>
          <w:tcPr>
            <w:tcW w:w="2985" w:type="dxa"/>
            <w:noWrap/>
            <w:vAlign w:val="center"/>
            <w:hideMark/>
          </w:tcPr>
          <w:p w14:paraId="20F30D85" w14:textId="77777777" w:rsidR="00F72778" w:rsidRPr="00795CEB" w:rsidRDefault="00F72778" w:rsidP="00FF397A">
            <w:pPr>
              <w:spacing w:before="0" w:after="0" w:line="240" w:lineRule="auto"/>
              <w:rPr>
                <w:rFonts w:asciiTheme="minorBidi" w:hAnsiTheme="minorBidi"/>
                <w:sz w:val="18"/>
                <w:szCs w:val="18"/>
              </w:rPr>
            </w:pPr>
            <w:r w:rsidRPr="00795CEB">
              <w:rPr>
                <w:rFonts w:asciiTheme="minorBidi" w:hAnsiTheme="minorBidi"/>
                <w:sz w:val="18"/>
                <w:szCs w:val="18"/>
              </w:rPr>
              <w:t>Mitte-LÜT ööbimiste arv ME-des kokku</w:t>
            </w:r>
          </w:p>
        </w:tc>
        <w:tc>
          <w:tcPr>
            <w:tcW w:w="1170" w:type="dxa"/>
            <w:noWrap/>
            <w:vAlign w:val="center"/>
            <w:hideMark/>
          </w:tcPr>
          <w:p w14:paraId="275A595F" w14:textId="715B4B21" w:rsidR="00F72778" w:rsidRPr="00795CEB" w:rsidRDefault="4A7E2F16" w:rsidP="4A7E2F16">
            <w:pPr>
              <w:spacing w:before="0" w:after="0" w:line="240" w:lineRule="auto"/>
              <w:jc w:val="right"/>
              <w:rPr>
                <w:rFonts w:asciiTheme="minorBidi" w:hAnsiTheme="minorBidi"/>
                <w:sz w:val="18"/>
                <w:szCs w:val="18"/>
              </w:rPr>
            </w:pPr>
            <w:r w:rsidRPr="00795CEB">
              <w:rPr>
                <w:rFonts w:asciiTheme="minorBidi" w:hAnsiTheme="minorBidi"/>
                <w:sz w:val="18"/>
                <w:szCs w:val="18"/>
              </w:rPr>
              <w:t>5</w:t>
            </w:r>
            <w:r w:rsidR="009402A5">
              <w:rPr>
                <w:rFonts w:asciiTheme="minorBidi" w:hAnsiTheme="minorBidi"/>
                <w:sz w:val="18"/>
                <w:szCs w:val="18"/>
              </w:rPr>
              <w:t xml:space="preserve"> </w:t>
            </w:r>
            <w:r w:rsidRPr="00795CEB">
              <w:rPr>
                <w:rFonts w:asciiTheme="minorBidi" w:hAnsiTheme="minorBidi"/>
                <w:sz w:val="18"/>
                <w:szCs w:val="18"/>
              </w:rPr>
              <w:t>673</w:t>
            </w:r>
            <w:r w:rsidR="009402A5">
              <w:rPr>
                <w:rFonts w:asciiTheme="minorBidi" w:hAnsiTheme="minorBidi"/>
                <w:sz w:val="18"/>
                <w:szCs w:val="18"/>
              </w:rPr>
              <w:t xml:space="preserve"> </w:t>
            </w:r>
            <w:r w:rsidRPr="00795CEB">
              <w:rPr>
                <w:rFonts w:asciiTheme="minorBidi" w:hAnsiTheme="minorBidi"/>
                <w:sz w:val="18"/>
                <w:szCs w:val="18"/>
              </w:rPr>
              <w:t>627</w:t>
            </w:r>
          </w:p>
        </w:tc>
        <w:tc>
          <w:tcPr>
            <w:tcW w:w="1170" w:type="dxa"/>
            <w:noWrap/>
            <w:vAlign w:val="center"/>
            <w:hideMark/>
          </w:tcPr>
          <w:p w14:paraId="502351E0" w14:textId="12F45EBC" w:rsidR="00F72778" w:rsidRPr="00795CEB" w:rsidRDefault="4A7E2F16" w:rsidP="4A7E2F16">
            <w:pPr>
              <w:spacing w:before="0" w:after="0" w:line="240" w:lineRule="auto"/>
              <w:jc w:val="right"/>
              <w:rPr>
                <w:rFonts w:asciiTheme="minorBidi" w:hAnsiTheme="minorBidi"/>
                <w:sz w:val="18"/>
                <w:szCs w:val="18"/>
              </w:rPr>
            </w:pPr>
            <w:r w:rsidRPr="00795CEB">
              <w:rPr>
                <w:rFonts w:asciiTheme="minorBidi" w:hAnsiTheme="minorBidi"/>
                <w:sz w:val="18"/>
                <w:szCs w:val="18"/>
              </w:rPr>
              <w:t>2</w:t>
            </w:r>
            <w:r w:rsidR="009402A5">
              <w:rPr>
                <w:rFonts w:asciiTheme="minorBidi" w:hAnsiTheme="minorBidi"/>
                <w:sz w:val="18"/>
                <w:szCs w:val="18"/>
              </w:rPr>
              <w:t xml:space="preserve"> </w:t>
            </w:r>
            <w:r w:rsidRPr="00795CEB">
              <w:rPr>
                <w:rFonts w:asciiTheme="minorBidi" w:hAnsiTheme="minorBidi"/>
                <w:sz w:val="18"/>
                <w:szCs w:val="18"/>
              </w:rPr>
              <w:t>864</w:t>
            </w:r>
            <w:r w:rsidR="009402A5">
              <w:rPr>
                <w:rFonts w:asciiTheme="minorBidi" w:hAnsiTheme="minorBidi"/>
                <w:sz w:val="18"/>
                <w:szCs w:val="18"/>
              </w:rPr>
              <w:t xml:space="preserve"> </w:t>
            </w:r>
            <w:r w:rsidRPr="00795CEB">
              <w:rPr>
                <w:rFonts w:asciiTheme="minorBidi" w:hAnsiTheme="minorBidi"/>
                <w:sz w:val="18"/>
                <w:szCs w:val="18"/>
              </w:rPr>
              <w:t>249</w:t>
            </w:r>
          </w:p>
        </w:tc>
        <w:tc>
          <w:tcPr>
            <w:tcW w:w="1170" w:type="dxa"/>
            <w:noWrap/>
            <w:vAlign w:val="center"/>
            <w:hideMark/>
          </w:tcPr>
          <w:p w14:paraId="7608D956" w14:textId="2FA78AAC" w:rsidR="00F72778" w:rsidRPr="00795CEB" w:rsidRDefault="4A7E2F16" w:rsidP="4A7E2F16">
            <w:pPr>
              <w:spacing w:before="0" w:after="0" w:line="240" w:lineRule="auto"/>
              <w:jc w:val="right"/>
              <w:rPr>
                <w:rFonts w:asciiTheme="minorBidi" w:hAnsiTheme="minorBidi"/>
                <w:sz w:val="18"/>
                <w:szCs w:val="18"/>
              </w:rPr>
            </w:pPr>
            <w:r w:rsidRPr="00795CEB">
              <w:rPr>
                <w:rFonts w:asciiTheme="minorBidi" w:hAnsiTheme="minorBidi"/>
                <w:sz w:val="18"/>
                <w:szCs w:val="18"/>
              </w:rPr>
              <w:t>2</w:t>
            </w:r>
            <w:r w:rsidR="009402A5">
              <w:rPr>
                <w:rFonts w:asciiTheme="minorBidi" w:hAnsiTheme="minorBidi"/>
                <w:sz w:val="18"/>
                <w:szCs w:val="18"/>
              </w:rPr>
              <w:t xml:space="preserve"> </w:t>
            </w:r>
            <w:r w:rsidRPr="00795CEB">
              <w:rPr>
                <w:rFonts w:asciiTheme="minorBidi" w:hAnsiTheme="minorBidi"/>
                <w:sz w:val="18"/>
                <w:szCs w:val="18"/>
              </w:rPr>
              <w:t>795</w:t>
            </w:r>
            <w:r w:rsidR="009402A5">
              <w:rPr>
                <w:rFonts w:asciiTheme="minorBidi" w:hAnsiTheme="minorBidi"/>
                <w:sz w:val="18"/>
                <w:szCs w:val="18"/>
              </w:rPr>
              <w:t xml:space="preserve"> </w:t>
            </w:r>
            <w:r w:rsidRPr="00795CEB">
              <w:rPr>
                <w:rFonts w:asciiTheme="minorBidi" w:hAnsiTheme="minorBidi"/>
                <w:sz w:val="18"/>
                <w:szCs w:val="18"/>
              </w:rPr>
              <w:t>343</w:t>
            </w:r>
          </w:p>
        </w:tc>
      </w:tr>
      <w:tr w:rsidR="00F72778" w:rsidRPr="00FF397A" w14:paraId="7E600888" w14:textId="77777777" w:rsidTr="00795CEB">
        <w:trPr>
          <w:trHeight w:val="380"/>
        </w:trPr>
        <w:tc>
          <w:tcPr>
            <w:tcW w:w="3370" w:type="dxa"/>
            <w:noWrap/>
            <w:vAlign w:val="center"/>
            <w:hideMark/>
          </w:tcPr>
          <w:p w14:paraId="64901F7E" w14:textId="77777777" w:rsidR="00F72778" w:rsidRPr="00795CEB" w:rsidRDefault="00F72778" w:rsidP="00FF397A">
            <w:pPr>
              <w:spacing w:before="0" w:after="0" w:line="240" w:lineRule="auto"/>
              <w:jc w:val="right"/>
              <w:rPr>
                <w:rFonts w:asciiTheme="minorBidi" w:hAnsiTheme="minorBidi"/>
                <w:sz w:val="18"/>
                <w:szCs w:val="18"/>
              </w:rPr>
            </w:pPr>
          </w:p>
        </w:tc>
        <w:tc>
          <w:tcPr>
            <w:tcW w:w="1090" w:type="dxa"/>
            <w:noWrap/>
            <w:vAlign w:val="center"/>
            <w:hideMark/>
          </w:tcPr>
          <w:p w14:paraId="0814FF97" w14:textId="77777777" w:rsidR="00F72778" w:rsidRPr="00795CEB" w:rsidRDefault="00F72778" w:rsidP="00FF397A">
            <w:pPr>
              <w:spacing w:before="0" w:after="0" w:line="240" w:lineRule="auto"/>
              <w:jc w:val="right"/>
              <w:rPr>
                <w:rFonts w:asciiTheme="minorBidi" w:hAnsiTheme="minorBidi"/>
                <w:sz w:val="18"/>
                <w:szCs w:val="18"/>
              </w:rPr>
            </w:pPr>
          </w:p>
        </w:tc>
        <w:tc>
          <w:tcPr>
            <w:tcW w:w="1210" w:type="dxa"/>
            <w:noWrap/>
            <w:vAlign w:val="center"/>
            <w:hideMark/>
          </w:tcPr>
          <w:p w14:paraId="289DFD07"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5000BFB9" w14:textId="77777777" w:rsidR="00F72778" w:rsidRPr="00795CEB" w:rsidRDefault="00F72778" w:rsidP="00FF397A">
            <w:pPr>
              <w:spacing w:before="0" w:after="0" w:line="240" w:lineRule="auto"/>
              <w:jc w:val="center"/>
              <w:rPr>
                <w:rFonts w:asciiTheme="minorBidi" w:hAnsiTheme="minorBidi"/>
                <w:sz w:val="18"/>
                <w:szCs w:val="18"/>
              </w:rPr>
            </w:pPr>
          </w:p>
        </w:tc>
        <w:tc>
          <w:tcPr>
            <w:tcW w:w="340" w:type="dxa"/>
            <w:noWrap/>
            <w:vAlign w:val="center"/>
            <w:hideMark/>
          </w:tcPr>
          <w:p w14:paraId="47C7EF4D" w14:textId="77777777" w:rsidR="00F72778" w:rsidRPr="00795CEB" w:rsidRDefault="00F72778" w:rsidP="00FF397A">
            <w:pPr>
              <w:spacing w:before="0" w:after="0" w:line="240" w:lineRule="auto"/>
              <w:rPr>
                <w:rFonts w:asciiTheme="minorBidi" w:hAnsiTheme="minorBidi"/>
                <w:sz w:val="18"/>
                <w:szCs w:val="18"/>
              </w:rPr>
            </w:pPr>
          </w:p>
        </w:tc>
        <w:tc>
          <w:tcPr>
            <w:tcW w:w="2985" w:type="dxa"/>
            <w:noWrap/>
            <w:vAlign w:val="center"/>
            <w:hideMark/>
          </w:tcPr>
          <w:p w14:paraId="5C3447AB" w14:textId="77777777" w:rsidR="00F72778" w:rsidRPr="00795CEB" w:rsidRDefault="00F72778" w:rsidP="00FF397A">
            <w:pPr>
              <w:spacing w:before="0" w:after="0" w:line="240" w:lineRule="auto"/>
              <w:rPr>
                <w:rFonts w:asciiTheme="minorBidi" w:hAnsiTheme="minorBidi"/>
                <w:sz w:val="18"/>
                <w:szCs w:val="18"/>
              </w:rPr>
            </w:pPr>
            <w:r w:rsidRPr="00795CEB">
              <w:rPr>
                <w:rFonts w:asciiTheme="minorBidi" w:hAnsiTheme="minorBidi"/>
                <w:sz w:val="18"/>
                <w:szCs w:val="18"/>
              </w:rPr>
              <w:t>Vahe: ööbimised MEdes - mitte-LÜT ööbimised MEdes</w:t>
            </w:r>
          </w:p>
        </w:tc>
        <w:tc>
          <w:tcPr>
            <w:tcW w:w="1170" w:type="dxa"/>
            <w:noWrap/>
            <w:vAlign w:val="center"/>
            <w:hideMark/>
          </w:tcPr>
          <w:p w14:paraId="5CAE5E22" w14:textId="45405C79"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897</w:t>
            </w:r>
            <w:r w:rsidR="009402A5">
              <w:rPr>
                <w:rFonts w:asciiTheme="minorBidi" w:hAnsiTheme="minorBidi"/>
                <w:b/>
                <w:sz w:val="18"/>
                <w:szCs w:val="18"/>
              </w:rPr>
              <w:t xml:space="preserve"> </w:t>
            </w:r>
            <w:r w:rsidRPr="00795CEB">
              <w:rPr>
                <w:rFonts w:asciiTheme="minorBidi" w:hAnsiTheme="minorBidi"/>
                <w:b/>
                <w:sz w:val="18"/>
                <w:szCs w:val="18"/>
              </w:rPr>
              <w:t>559</w:t>
            </w:r>
          </w:p>
        </w:tc>
        <w:tc>
          <w:tcPr>
            <w:tcW w:w="1170" w:type="dxa"/>
            <w:noWrap/>
            <w:vAlign w:val="center"/>
            <w:hideMark/>
          </w:tcPr>
          <w:p w14:paraId="285E3796" w14:textId="13684E36"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574</w:t>
            </w:r>
            <w:r w:rsidR="009402A5">
              <w:rPr>
                <w:rFonts w:asciiTheme="minorBidi" w:hAnsiTheme="minorBidi"/>
                <w:b/>
                <w:sz w:val="18"/>
                <w:szCs w:val="18"/>
              </w:rPr>
              <w:t xml:space="preserve"> </w:t>
            </w:r>
            <w:r w:rsidRPr="00795CEB">
              <w:rPr>
                <w:rFonts w:asciiTheme="minorBidi" w:hAnsiTheme="minorBidi"/>
                <w:b/>
                <w:sz w:val="18"/>
                <w:szCs w:val="18"/>
              </w:rPr>
              <w:t>848</w:t>
            </w:r>
          </w:p>
        </w:tc>
        <w:tc>
          <w:tcPr>
            <w:tcW w:w="1170" w:type="dxa"/>
            <w:noWrap/>
            <w:vAlign w:val="center"/>
            <w:hideMark/>
          </w:tcPr>
          <w:p w14:paraId="41874B49" w14:textId="78C2814F" w:rsidR="00F72778" w:rsidRPr="00795CEB" w:rsidRDefault="00F72778" w:rsidP="00FF397A">
            <w:pPr>
              <w:spacing w:before="0" w:after="0" w:line="240" w:lineRule="auto"/>
              <w:jc w:val="right"/>
              <w:rPr>
                <w:rFonts w:asciiTheme="minorBidi" w:hAnsiTheme="minorBidi"/>
                <w:b/>
                <w:sz w:val="18"/>
                <w:szCs w:val="18"/>
              </w:rPr>
            </w:pPr>
            <w:r w:rsidRPr="00795CEB">
              <w:rPr>
                <w:rFonts w:asciiTheme="minorBidi" w:hAnsiTheme="minorBidi"/>
                <w:b/>
                <w:sz w:val="18"/>
                <w:szCs w:val="18"/>
              </w:rPr>
              <w:t>322</w:t>
            </w:r>
            <w:r w:rsidR="009402A5">
              <w:rPr>
                <w:rFonts w:asciiTheme="minorBidi" w:hAnsiTheme="minorBidi"/>
                <w:b/>
                <w:sz w:val="18"/>
                <w:szCs w:val="18"/>
              </w:rPr>
              <w:t xml:space="preserve"> </w:t>
            </w:r>
            <w:r w:rsidRPr="00795CEB">
              <w:rPr>
                <w:rFonts w:asciiTheme="minorBidi" w:hAnsiTheme="minorBidi"/>
                <w:b/>
                <w:sz w:val="18"/>
                <w:szCs w:val="18"/>
              </w:rPr>
              <w:t>711</w:t>
            </w:r>
          </w:p>
        </w:tc>
      </w:tr>
      <w:tr w:rsidR="00F72778" w:rsidRPr="00FF397A" w14:paraId="1A40816C" w14:textId="77777777" w:rsidTr="00795CEB">
        <w:trPr>
          <w:trHeight w:val="380"/>
        </w:trPr>
        <w:tc>
          <w:tcPr>
            <w:tcW w:w="3370" w:type="dxa"/>
            <w:noWrap/>
            <w:vAlign w:val="center"/>
            <w:hideMark/>
          </w:tcPr>
          <w:p w14:paraId="45344184" w14:textId="77777777" w:rsidR="00F72778" w:rsidRPr="00795CEB" w:rsidRDefault="00F72778" w:rsidP="00FF397A">
            <w:pPr>
              <w:spacing w:before="0" w:after="0" w:line="240" w:lineRule="auto"/>
              <w:rPr>
                <w:rFonts w:asciiTheme="minorBidi" w:hAnsiTheme="minorBidi"/>
                <w:sz w:val="18"/>
                <w:szCs w:val="18"/>
              </w:rPr>
            </w:pPr>
            <w:r w:rsidRPr="00795CEB">
              <w:rPr>
                <w:rFonts w:asciiTheme="minorBidi" w:hAnsiTheme="minorBidi"/>
                <w:sz w:val="18"/>
                <w:szCs w:val="18"/>
              </w:rPr>
              <w:t>ööbimiste arv LÜT ME / hotellid jms</w:t>
            </w:r>
          </w:p>
        </w:tc>
        <w:tc>
          <w:tcPr>
            <w:tcW w:w="1090" w:type="dxa"/>
            <w:noWrap/>
            <w:vAlign w:val="center"/>
            <w:hideMark/>
          </w:tcPr>
          <w:p w14:paraId="00C24564" w14:textId="77777777" w:rsidR="00F72778" w:rsidRPr="00795CEB" w:rsidRDefault="4A7E2F16" w:rsidP="4A7E2F16">
            <w:pPr>
              <w:spacing w:before="0" w:after="0" w:line="240" w:lineRule="auto"/>
              <w:jc w:val="right"/>
              <w:rPr>
                <w:rFonts w:asciiTheme="minorBidi" w:hAnsiTheme="minorBidi"/>
                <w:sz w:val="18"/>
                <w:szCs w:val="18"/>
              </w:rPr>
            </w:pPr>
            <w:r w:rsidRPr="00795CEB">
              <w:rPr>
                <w:rFonts w:asciiTheme="minorBidi" w:hAnsiTheme="minorBidi"/>
                <w:sz w:val="18"/>
                <w:szCs w:val="18"/>
              </w:rPr>
              <w:t>11%</w:t>
            </w:r>
          </w:p>
        </w:tc>
        <w:tc>
          <w:tcPr>
            <w:tcW w:w="1210" w:type="dxa"/>
            <w:noWrap/>
            <w:vAlign w:val="center"/>
            <w:hideMark/>
          </w:tcPr>
          <w:p w14:paraId="37ECB80A" w14:textId="77777777" w:rsidR="00F72778" w:rsidRPr="00795CEB" w:rsidRDefault="4A7E2F16" w:rsidP="4A7E2F16">
            <w:pPr>
              <w:spacing w:before="0" w:after="0" w:line="240" w:lineRule="auto"/>
              <w:jc w:val="right"/>
              <w:rPr>
                <w:rFonts w:asciiTheme="minorBidi" w:hAnsiTheme="minorBidi"/>
                <w:sz w:val="18"/>
                <w:szCs w:val="18"/>
              </w:rPr>
            </w:pPr>
            <w:r w:rsidRPr="00795CEB">
              <w:rPr>
                <w:rFonts w:asciiTheme="minorBidi" w:hAnsiTheme="minorBidi"/>
                <w:sz w:val="18"/>
                <w:szCs w:val="18"/>
              </w:rPr>
              <w:t>6%</w:t>
            </w:r>
          </w:p>
        </w:tc>
        <w:tc>
          <w:tcPr>
            <w:tcW w:w="1170" w:type="dxa"/>
            <w:noWrap/>
            <w:vAlign w:val="center"/>
            <w:hideMark/>
          </w:tcPr>
          <w:p w14:paraId="0F5D1FA5" w14:textId="77777777" w:rsidR="00F72778" w:rsidRPr="00795CEB" w:rsidRDefault="4A7E2F16" w:rsidP="4A7E2F16">
            <w:pPr>
              <w:spacing w:before="0" w:after="0" w:line="240" w:lineRule="auto"/>
              <w:jc w:val="right"/>
              <w:rPr>
                <w:rFonts w:asciiTheme="minorBidi" w:hAnsiTheme="minorBidi"/>
                <w:sz w:val="18"/>
                <w:szCs w:val="18"/>
              </w:rPr>
            </w:pPr>
            <w:r w:rsidRPr="00795CEB">
              <w:rPr>
                <w:rFonts w:asciiTheme="minorBidi" w:hAnsiTheme="minorBidi"/>
                <w:sz w:val="18"/>
                <w:szCs w:val="18"/>
              </w:rPr>
              <w:t>16%</w:t>
            </w:r>
          </w:p>
        </w:tc>
        <w:tc>
          <w:tcPr>
            <w:tcW w:w="340" w:type="dxa"/>
            <w:noWrap/>
            <w:vAlign w:val="center"/>
            <w:hideMark/>
          </w:tcPr>
          <w:p w14:paraId="0293AAE0" w14:textId="77777777" w:rsidR="00F72778" w:rsidRPr="00795CEB" w:rsidRDefault="00F72778" w:rsidP="00FF397A">
            <w:pPr>
              <w:spacing w:before="0" w:after="0" w:line="240" w:lineRule="auto"/>
              <w:jc w:val="right"/>
              <w:rPr>
                <w:rFonts w:asciiTheme="minorBidi" w:hAnsiTheme="minorBidi"/>
                <w:sz w:val="18"/>
                <w:szCs w:val="18"/>
              </w:rPr>
            </w:pPr>
          </w:p>
        </w:tc>
        <w:tc>
          <w:tcPr>
            <w:tcW w:w="2985" w:type="dxa"/>
            <w:noWrap/>
            <w:vAlign w:val="center"/>
            <w:hideMark/>
          </w:tcPr>
          <w:p w14:paraId="760F141C"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3B8373FB"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3D052DB0"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0AB69A0C" w14:textId="77777777" w:rsidR="00F72778" w:rsidRPr="00795CEB" w:rsidRDefault="00F72778" w:rsidP="00FF397A">
            <w:pPr>
              <w:spacing w:before="0" w:after="0" w:line="240" w:lineRule="auto"/>
              <w:rPr>
                <w:rFonts w:asciiTheme="minorBidi" w:hAnsiTheme="minorBidi"/>
                <w:sz w:val="18"/>
                <w:szCs w:val="18"/>
              </w:rPr>
            </w:pPr>
          </w:p>
        </w:tc>
      </w:tr>
      <w:tr w:rsidR="00F72778" w:rsidRPr="00FF397A" w14:paraId="37E86EE3" w14:textId="77777777" w:rsidTr="00795CEB">
        <w:trPr>
          <w:trHeight w:val="380"/>
        </w:trPr>
        <w:tc>
          <w:tcPr>
            <w:tcW w:w="3370" w:type="dxa"/>
            <w:noWrap/>
            <w:vAlign w:val="center"/>
            <w:hideMark/>
          </w:tcPr>
          <w:p w14:paraId="37B1D584" w14:textId="77777777" w:rsidR="00F72778" w:rsidRPr="00795CEB" w:rsidRDefault="00F72778" w:rsidP="00FF397A">
            <w:pPr>
              <w:spacing w:before="0" w:after="0" w:line="240" w:lineRule="auto"/>
              <w:rPr>
                <w:rFonts w:asciiTheme="minorBidi" w:hAnsiTheme="minorBidi"/>
                <w:sz w:val="18"/>
                <w:szCs w:val="18"/>
              </w:rPr>
            </w:pPr>
            <w:r w:rsidRPr="00795CEB">
              <w:rPr>
                <w:rFonts w:asciiTheme="minorBidi" w:hAnsiTheme="minorBidi"/>
                <w:sz w:val="18"/>
                <w:szCs w:val="18"/>
              </w:rPr>
              <w:t>ööbimiste arv LÜT ME / ME kokku</w:t>
            </w:r>
          </w:p>
        </w:tc>
        <w:tc>
          <w:tcPr>
            <w:tcW w:w="1090" w:type="dxa"/>
            <w:noWrap/>
            <w:vAlign w:val="center"/>
            <w:hideMark/>
          </w:tcPr>
          <w:p w14:paraId="3C58F528" w14:textId="77777777" w:rsidR="00F72778" w:rsidRPr="00795CEB" w:rsidRDefault="4A7E2F16" w:rsidP="4A7E2F16">
            <w:pPr>
              <w:spacing w:before="0" w:after="0" w:line="240" w:lineRule="auto"/>
              <w:jc w:val="right"/>
              <w:rPr>
                <w:rFonts w:asciiTheme="minorBidi" w:hAnsiTheme="minorBidi"/>
                <w:sz w:val="18"/>
                <w:szCs w:val="18"/>
              </w:rPr>
            </w:pPr>
            <w:r w:rsidRPr="00795CEB">
              <w:rPr>
                <w:rFonts w:asciiTheme="minorBidi" w:hAnsiTheme="minorBidi"/>
                <w:sz w:val="18"/>
                <w:szCs w:val="18"/>
              </w:rPr>
              <w:t>9%</w:t>
            </w:r>
          </w:p>
        </w:tc>
        <w:tc>
          <w:tcPr>
            <w:tcW w:w="1210" w:type="dxa"/>
            <w:noWrap/>
            <w:vAlign w:val="center"/>
            <w:hideMark/>
          </w:tcPr>
          <w:p w14:paraId="3BC1CEF5" w14:textId="77777777" w:rsidR="00F72778" w:rsidRPr="00795CEB" w:rsidRDefault="4A7E2F16" w:rsidP="4A7E2F16">
            <w:pPr>
              <w:spacing w:before="0" w:after="0" w:line="240" w:lineRule="auto"/>
              <w:jc w:val="right"/>
              <w:rPr>
                <w:rFonts w:asciiTheme="minorBidi" w:hAnsiTheme="minorBidi"/>
                <w:sz w:val="18"/>
                <w:szCs w:val="18"/>
              </w:rPr>
            </w:pPr>
            <w:r w:rsidRPr="00795CEB">
              <w:rPr>
                <w:rFonts w:asciiTheme="minorBidi" w:hAnsiTheme="minorBidi"/>
                <w:sz w:val="18"/>
                <w:szCs w:val="18"/>
              </w:rPr>
              <w:t>6%</w:t>
            </w:r>
          </w:p>
        </w:tc>
        <w:tc>
          <w:tcPr>
            <w:tcW w:w="1170" w:type="dxa"/>
            <w:noWrap/>
            <w:vAlign w:val="center"/>
            <w:hideMark/>
          </w:tcPr>
          <w:p w14:paraId="152D552A" w14:textId="77777777" w:rsidR="00F72778" w:rsidRPr="00795CEB" w:rsidRDefault="4A7E2F16" w:rsidP="4A7E2F16">
            <w:pPr>
              <w:spacing w:before="0" w:after="0" w:line="240" w:lineRule="auto"/>
              <w:jc w:val="right"/>
              <w:rPr>
                <w:rFonts w:asciiTheme="minorBidi" w:hAnsiTheme="minorBidi"/>
                <w:sz w:val="18"/>
                <w:szCs w:val="18"/>
              </w:rPr>
            </w:pPr>
            <w:r w:rsidRPr="00795CEB">
              <w:rPr>
                <w:rFonts w:asciiTheme="minorBidi" w:hAnsiTheme="minorBidi"/>
                <w:sz w:val="18"/>
                <w:szCs w:val="18"/>
              </w:rPr>
              <w:t>12%</w:t>
            </w:r>
          </w:p>
        </w:tc>
        <w:tc>
          <w:tcPr>
            <w:tcW w:w="340" w:type="dxa"/>
            <w:noWrap/>
            <w:vAlign w:val="center"/>
            <w:hideMark/>
          </w:tcPr>
          <w:p w14:paraId="0728DCAA" w14:textId="77777777" w:rsidR="00F72778" w:rsidRPr="00795CEB" w:rsidRDefault="00F72778" w:rsidP="00FF397A">
            <w:pPr>
              <w:spacing w:before="0" w:after="0" w:line="240" w:lineRule="auto"/>
              <w:jc w:val="right"/>
              <w:rPr>
                <w:rFonts w:asciiTheme="minorBidi" w:hAnsiTheme="minorBidi"/>
                <w:sz w:val="18"/>
                <w:szCs w:val="18"/>
              </w:rPr>
            </w:pPr>
          </w:p>
        </w:tc>
        <w:tc>
          <w:tcPr>
            <w:tcW w:w="2985" w:type="dxa"/>
            <w:noWrap/>
            <w:vAlign w:val="center"/>
            <w:hideMark/>
          </w:tcPr>
          <w:p w14:paraId="45A62645"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12170DF8"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197FA1F6"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50751D0D" w14:textId="77777777" w:rsidR="00F72778" w:rsidRPr="00795CEB" w:rsidRDefault="00F72778" w:rsidP="00FF397A">
            <w:pPr>
              <w:spacing w:before="0" w:after="0" w:line="240" w:lineRule="auto"/>
              <w:rPr>
                <w:rFonts w:asciiTheme="minorBidi" w:hAnsiTheme="minorBidi"/>
                <w:sz w:val="18"/>
                <w:szCs w:val="18"/>
              </w:rPr>
            </w:pPr>
          </w:p>
        </w:tc>
      </w:tr>
      <w:tr w:rsidR="00F72778" w:rsidRPr="00FF397A" w14:paraId="746FD060" w14:textId="77777777" w:rsidTr="00795CEB">
        <w:trPr>
          <w:trHeight w:val="380"/>
        </w:trPr>
        <w:tc>
          <w:tcPr>
            <w:tcW w:w="3370" w:type="dxa"/>
            <w:noWrap/>
            <w:vAlign w:val="center"/>
            <w:hideMark/>
          </w:tcPr>
          <w:p w14:paraId="6AF2DB45" w14:textId="77777777" w:rsidR="00F72778" w:rsidRPr="00795CEB" w:rsidRDefault="00F72778" w:rsidP="00FF397A">
            <w:pPr>
              <w:spacing w:before="0" w:after="0" w:line="240" w:lineRule="auto"/>
              <w:rPr>
                <w:rFonts w:asciiTheme="minorBidi" w:hAnsiTheme="minorBidi"/>
                <w:sz w:val="18"/>
                <w:szCs w:val="18"/>
              </w:rPr>
            </w:pPr>
          </w:p>
        </w:tc>
        <w:tc>
          <w:tcPr>
            <w:tcW w:w="1090" w:type="dxa"/>
            <w:noWrap/>
            <w:vAlign w:val="center"/>
            <w:hideMark/>
          </w:tcPr>
          <w:p w14:paraId="01D2D9FC" w14:textId="77777777" w:rsidR="00F72778" w:rsidRPr="00795CEB" w:rsidRDefault="00F72778" w:rsidP="00FF397A">
            <w:pPr>
              <w:spacing w:before="0" w:after="0" w:line="240" w:lineRule="auto"/>
              <w:rPr>
                <w:rFonts w:asciiTheme="minorBidi" w:hAnsiTheme="minorBidi"/>
                <w:sz w:val="18"/>
                <w:szCs w:val="18"/>
              </w:rPr>
            </w:pPr>
          </w:p>
        </w:tc>
        <w:tc>
          <w:tcPr>
            <w:tcW w:w="1210" w:type="dxa"/>
            <w:noWrap/>
            <w:vAlign w:val="center"/>
            <w:hideMark/>
          </w:tcPr>
          <w:p w14:paraId="11014C07"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79CE53DA" w14:textId="77777777" w:rsidR="00F72778" w:rsidRPr="00795CEB" w:rsidRDefault="00F72778" w:rsidP="00FF397A">
            <w:pPr>
              <w:spacing w:before="0" w:after="0" w:line="240" w:lineRule="auto"/>
              <w:rPr>
                <w:rFonts w:asciiTheme="minorBidi" w:hAnsiTheme="minorBidi"/>
                <w:sz w:val="18"/>
                <w:szCs w:val="18"/>
              </w:rPr>
            </w:pPr>
          </w:p>
        </w:tc>
        <w:tc>
          <w:tcPr>
            <w:tcW w:w="340" w:type="dxa"/>
            <w:noWrap/>
            <w:vAlign w:val="center"/>
            <w:hideMark/>
          </w:tcPr>
          <w:p w14:paraId="7B73C296" w14:textId="77777777" w:rsidR="00F72778" w:rsidRPr="00795CEB" w:rsidRDefault="00F72778" w:rsidP="00FF397A">
            <w:pPr>
              <w:spacing w:before="0" w:after="0" w:line="240" w:lineRule="auto"/>
              <w:rPr>
                <w:rFonts w:asciiTheme="minorBidi" w:hAnsiTheme="minorBidi"/>
                <w:sz w:val="18"/>
                <w:szCs w:val="18"/>
              </w:rPr>
            </w:pPr>
          </w:p>
        </w:tc>
        <w:tc>
          <w:tcPr>
            <w:tcW w:w="2985" w:type="dxa"/>
            <w:noWrap/>
            <w:vAlign w:val="center"/>
            <w:hideMark/>
          </w:tcPr>
          <w:p w14:paraId="22FCE004"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5A2AC61A"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35FECCAE"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0AFF0502" w14:textId="77777777" w:rsidR="00F72778" w:rsidRPr="00795CEB" w:rsidRDefault="00F72778" w:rsidP="00FF397A">
            <w:pPr>
              <w:spacing w:before="0" w:after="0" w:line="240" w:lineRule="auto"/>
              <w:rPr>
                <w:rFonts w:asciiTheme="minorBidi" w:hAnsiTheme="minorBidi"/>
                <w:sz w:val="18"/>
                <w:szCs w:val="18"/>
              </w:rPr>
            </w:pPr>
          </w:p>
        </w:tc>
      </w:tr>
      <w:tr w:rsidR="00F72778" w:rsidRPr="00FF397A" w14:paraId="5E5E2B49" w14:textId="77777777" w:rsidTr="00795CEB">
        <w:trPr>
          <w:trHeight w:val="380"/>
        </w:trPr>
        <w:tc>
          <w:tcPr>
            <w:tcW w:w="3370" w:type="dxa"/>
            <w:noWrap/>
            <w:vAlign w:val="center"/>
            <w:hideMark/>
          </w:tcPr>
          <w:p w14:paraId="0099EAFD" w14:textId="77777777" w:rsidR="00F72778" w:rsidRPr="00795CEB" w:rsidRDefault="00F72778" w:rsidP="00FF397A">
            <w:pPr>
              <w:spacing w:before="0" w:after="0" w:line="240" w:lineRule="auto"/>
              <w:rPr>
                <w:rFonts w:asciiTheme="minorBidi" w:hAnsiTheme="minorBidi"/>
                <w:sz w:val="18"/>
                <w:szCs w:val="18"/>
              </w:rPr>
            </w:pPr>
            <w:r w:rsidRPr="00795CEB">
              <w:rPr>
                <w:rFonts w:asciiTheme="minorBidi" w:hAnsiTheme="minorBidi"/>
                <w:sz w:val="18"/>
                <w:szCs w:val="18"/>
              </w:rPr>
              <w:t>ME - majutusettevõte (SA)</w:t>
            </w:r>
          </w:p>
        </w:tc>
        <w:tc>
          <w:tcPr>
            <w:tcW w:w="1090" w:type="dxa"/>
            <w:noWrap/>
            <w:vAlign w:val="center"/>
            <w:hideMark/>
          </w:tcPr>
          <w:p w14:paraId="2BD8A5FB" w14:textId="77777777" w:rsidR="00F72778" w:rsidRPr="00795CEB" w:rsidRDefault="00F72778" w:rsidP="00FF397A">
            <w:pPr>
              <w:spacing w:before="0" w:after="0" w:line="240" w:lineRule="auto"/>
              <w:rPr>
                <w:rFonts w:asciiTheme="minorBidi" w:hAnsiTheme="minorBidi"/>
                <w:sz w:val="18"/>
                <w:szCs w:val="18"/>
              </w:rPr>
            </w:pPr>
          </w:p>
        </w:tc>
        <w:tc>
          <w:tcPr>
            <w:tcW w:w="1210" w:type="dxa"/>
            <w:noWrap/>
            <w:vAlign w:val="center"/>
            <w:hideMark/>
          </w:tcPr>
          <w:p w14:paraId="31645F42"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72A73A7B" w14:textId="77777777" w:rsidR="00F72778" w:rsidRPr="00795CEB" w:rsidRDefault="00F72778" w:rsidP="00FF397A">
            <w:pPr>
              <w:spacing w:before="0" w:after="0" w:line="240" w:lineRule="auto"/>
              <w:rPr>
                <w:rFonts w:asciiTheme="minorBidi" w:hAnsiTheme="minorBidi"/>
                <w:sz w:val="18"/>
                <w:szCs w:val="18"/>
              </w:rPr>
            </w:pPr>
          </w:p>
        </w:tc>
        <w:tc>
          <w:tcPr>
            <w:tcW w:w="340" w:type="dxa"/>
            <w:noWrap/>
            <w:vAlign w:val="center"/>
            <w:hideMark/>
          </w:tcPr>
          <w:p w14:paraId="147B7E87" w14:textId="77777777" w:rsidR="00F72778" w:rsidRPr="00795CEB" w:rsidRDefault="00F72778" w:rsidP="00FF397A">
            <w:pPr>
              <w:spacing w:before="0" w:after="0" w:line="240" w:lineRule="auto"/>
              <w:rPr>
                <w:rFonts w:asciiTheme="minorBidi" w:hAnsiTheme="minorBidi"/>
                <w:sz w:val="18"/>
                <w:szCs w:val="18"/>
              </w:rPr>
            </w:pPr>
          </w:p>
        </w:tc>
        <w:tc>
          <w:tcPr>
            <w:tcW w:w="2985" w:type="dxa"/>
            <w:noWrap/>
            <w:vAlign w:val="center"/>
            <w:hideMark/>
          </w:tcPr>
          <w:p w14:paraId="60B1CA3F"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1FA8BE7C"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27A06E98"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50BF8500" w14:textId="77777777" w:rsidR="00F72778" w:rsidRPr="00795CEB" w:rsidRDefault="00F72778" w:rsidP="00FF397A">
            <w:pPr>
              <w:spacing w:before="0" w:after="0" w:line="240" w:lineRule="auto"/>
              <w:rPr>
                <w:rFonts w:asciiTheme="minorBidi" w:hAnsiTheme="minorBidi"/>
                <w:sz w:val="18"/>
                <w:szCs w:val="18"/>
              </w:rPr>
            </w:pPr>
          </w:p>
        </w:tc>
      </w:tr>
      <w:tr w:rsidR="00F72778" w:rsidRPr="00FF397A" w14:paraId="7FC9080E" w14:textId="77777777" w:rsidTr="00795CEB">
        <w:trPr>
          <w:trHeight w:val="380"/>
        </w:trPr>
        <w:tc>
          <w:tcPr>
            <w:tcW w:w="3370" w:type="dxa"/>
            <w:noWrap/>
            <w:vAlign w:val="center"/>
            <w:hideMark/>
          </w:tcPr>
          <w:p w14:paraId="5DAF8B00" w14:textId="77777777" w:rsidR="00F72778" w:rsidRPr="00795CEB" w:rsidRDefault="00F72778" w:rsidP="00FF397A">
            <w:pPr>
              <w:spacing w:before="0" w:after="0" w:line="240" w:lineRule="auto"/>
              <w:rPr>
                <w:rFonts w:asciiTheme="minorBidi" w:hAnsiTheme="minorBidi"/>
                <w:sz w:val="18"/>
                <w:szCs w:val="18"/>
              </w:rPr>
            </w:pPr>
            <w:r w:rsidRPr="00795CEB">
              <w:rPr>
                <w:rFonts w:asciiTheme="minorBidi" w:hAnsiTheme="minorBidi"/>
                <w:sz w:val="18"/>
                <w:szCs w:val="18"/>
              </w:rPr>
              <w:t>MÜ - LÜT majutusüksus (Lighthouse)</w:t>
            </w:r>
          </w:p>
        </w:tc>
        <w:tc>
          <w:tcPr>
            <w:tcW w:w="1090" w:type="dxa"/>
            <w:noWrap/>
            <w:vAlign w:val="center"/>
            <w:hideMark/>
          </w:tcPr>
          <w:p w14:paraId="32746607" w14:textId="77777777" w:rsidR="00F72778" w:rsidRPr="00795CEB" w:rsidRDefault="00F72778" w:rsidP="00FF397A">
            <w:pPr>
              <w:spacing w:before="0" w:after="0" w:line="240" w:lineRule="auto"/>
              <w:rPr>
                <w:rFonts w:asciiTheme="minorBidi" w:hAnsiTheme="minorBidi"/>
                <w:sz w:val="18"/>
                <w:szCs w:val="18"/>
              </w:rPr>
            </w:pPr>
          </w:p>
        </w:tc>
        <w:tc>
          <w:tcPr>
            <w:tcW w:w="1210" w:type="dxa"/>
            <w:noWrap/>
            <w:vAlign w:val="center"/>
            <w:hideMark/>
          </w:tcPr>
          <w:p w14:paraId="367AEB04"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2496D571" w14:textId="77777777" w:rsidR="00F72778" w:rsidRPr="00795CEB" w:rsidRDefault="00F72778" w:rsidP="00FF397A">
            <w:pPr>
              <w:spacing w:before="0" w:after="0" w:line="240" w:lineRule="auto"/>
              <w:rPr>
                <w:rFonts w:asciiTheme="minorBidi" w:hAnsiTheme="minorBidi"/>
                <w:sz w:val="18"/>
                <w:szCs w:val="18"/>
              </w:rPr>
            </w:pPr>
          </w:p>
        </w:tc>
        <w:tc>
          <w:tcPr>
            <w:tcW w:w="340" w:type="dxa"/>
            <w:noWrap/>
            <w:vAlign w:val="center"/>
            <w:hideMark/>
          </w:tcPr>
          <w:p w14:paraId="4987137C" w14:textId="77777777" w:rsidR="00F72778" w:rsidRPr="00795CEB" w:rsidRDefault="00F72778" w:rsidP="00FF397A">
            <w:pPr>
              <w:spacing w:before="0" w:after="0" w:line="240" w:lineRule="auto"/>
              <w:rPr>
                <w:rFonts w:asciiTheme="minorBidi" w:hAnsiTheme="minorBidi"/>
                <w:sz w:val="18"/>
                <w:szCs w:val="18"/>
              </w:rPr>
            </w:pPr>
          </w:p>
        </w:tc>
        <w:tc>
          <w:tcPr>
            <w:tcW w:w="2985" w:type="dxa"/>
            <w:noWrap/>
            <w:vAlign w:val="center"/>
            <w:hideMark/>
          </w:tcPr>
          <w:p w14:paraId="5E03682B"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43C01795"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3B55806D"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5A2CB282" w14:textId="77777777" w:rsidR="00F72778" w:rsidRPr="00795CEB" w:rsidRDefault="00F72778" w:rsidP="00FF397A">
            <w:pPr>
              <w:spacing w:before="0" w:after="0" w:line="240" w:lineRule="auto"/>
              <w:rPr>
                <w:rFonts w:asciiTheme="minorBidi" w:hAnsiTheme="minorBidi"/>
                <w:sz w:val="18"/>
                <w:szCs w:val="18"/>
              </w:rPr>
            </w:pPr>
          </w:p>
        </w:tc>
      </w:tr>
      <w:tr w:rsidR="00F72778" w:rsidRPr="00FF397A" w14:paraId="027AD30D" w14:textId="77777777" w:rsidTr="00795CEB">
        <w:trPr>
          <w:trHeight w:val="380"/>
        </w:trPr>
        <w:tc>
          <w:tcPr>
            <w:tcW w:w="3370" w:type="dxa"/>
            <w:noWrap/>
            <w:vAlign w:val="center"/>
            <w:hideMark/>
          </w:tcPr>
          <w:p w14:paraId="5E46F154" w14:textId="77777777" w:rsidR="00F72778" w:rsidRPr="00795CEB" w:rsidRDefault="00F72778" w:rsidP="00FF397A">
            <w:pPr>
              <w:spacing w:before="0" w:after="0" w:line="240" w:lineRule="auto"/>
              <w:rPr>
                <w:rFonts w:asciiTheme="minorBidi" w:hAnsiTheme="minorBidi"/>
                <w:sz w:val="18"/>
                <w:szCs w:val="18"/>
              </w:rPr>
            </w:pPr>
          </w:p>
        </w:tc>
        <w:tc>
          <w:tcPr>
            <w:tcW w:w="1090" w:type="dxa"/>
            <w:noWrap/>
            <w:vAlign w:val="center"/>
            <w:hideMark/>
          </w:tcPr>
          <w:p w14:paraId="62A50140" w14:textId="77777777" w:rsidR="00F72778" w:rsidRPr="00795CEB" w:rsidRDefault="00F72778" w:rsidP="00FF397A">
            <w:pPr>
              <w:spacing w:before="0" w:after="0" w:line="240" w:lineRule="auto"/>
              <w:rPr>
                <w:rFonts w:asciiTheme="minorBidi" w:hAnsiTheme="minorBidi"/>
                <w:sz w:val="18"/>
                <w:szCs w:val="18"/>
              </w:rPr>
            </w:pPr>
          </w:p>
        </w:tc>
        <w:tc>
          <w:tcPr>
            <w:tcW w:w="1210" w:type="dxa"/>
            <w:noWrap/>
            <w:vAlign w:val="center"/>
            <w:hideMark/>
          </w:tcPr>
          <w:p w14:paraId="6F2DD701"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4C9E2AA3" w14:textId="77777777" w:rsidR="00F72778" w:rsidRPr="00795CEB" w:rsidRDefault="00F72778" w:rsidP="00FF397A">
            <w:pPr>
              <w:spacing w:before="0" w:after="0" w:line="240" w:lineRule="auto"/>
              <w:rPr>
                <w:rFonts w:asciiTheme="minorBidi" w:hAnsiTheme="minorBidi"/>
                <w:sz w:val="18"/>
                <w:szCs w:val="18"/>
              </w:rPr>
            </w:pPr>
          </w:p>
        </w:tc>
        <w:tc>
          <w:tcPr>
            <w:tcW w:w="340" w:type="dxa"/>
            <w:noWrap/>
            <w:vAlign w:val="center"/>
            <w:hideMark/>
          </w:tcPr>
          <w:p w14:paraId="6AD690FE" w14:textId="77777777" w:rsidR="00F72778" w:rsidRPr="00795CEB" w:rsidRDefault="00F72778" w:rsidP="00FF397A">
            <w:pPr>
              <w:spacing w:before="0" w:after="0" w:line="240" w:lineRule="auto"/>
              <w:rPr>
                <w:rFonts w:asciiTheme="minorBidi" w:hAnsiTheme="minorBidi"/>
                <w:sz w:val="18"/>
                <w:szCs w:val="18"/>
              </w:rPr>
            </w:pPr>
          </w:p>
        </w:tc>
        <w:tc>
          <w:tcPr>
            <w:tcW w:w="2985" w:type="dxa"/>
            <w:noWrap/>
            <w:vAlign w:val="center"/>
            <w:hideMark/>
          </w:tcPr>
          <w:p w14:paraId="4485620D"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4C0F5747"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03940E5F" w14:textId="77777777" w:rsidR="00F72778" w:rsidRPr="00795CEB" w:rsidRDefault="00F72778" w:rsidP="00FF397A">
            <w:pPr>
              <w:spacing w:before="0" w:after="0" w:line="240" w:lineRule="auto"/>
              <w:rPr>
                <w:rFonts w:asciiTheme="minorBidi" w:hAnsiTheme="minorBidi"/>
                <w:sz w:val="18"/>
                <w:szCs w:val="18"/>
              </w:rPr>
            </w:pPr>
          </w:p>
        </w:tc>
        <w:tc>
          <w:tcPr>
            <w:tcW w:w="1170" w:type="dxa"/>
            <w:noWrap/>
            <w:vAlign w:val="center"/>
            <w:hideMark/>
          </w:tcPr>
          <w:p w14:paraId="61F8023D" w14:textId="77777777" w:rsidR="00F72778" w:rsidRPr="00795CEB" w:rsidRDefault="00F72778" w:rsidP="00FF397A">
            <w:pPr>
              <w:spacing w:before="0" w:after="0" w:line="240" w:lineRule="auto"/>
              <w:rPr>
                <w:rFonts w:asciiTheme="minorBidi" w:hAnsiTheme="minorBidi"/>
                <w:sz w:val="18"/>
                <w:szCs w:val="18"/>
              </w:rPr>
            </w:pPr>
          </w:p>
        </w:tc>
      </w:tr>
      <w:tr w:rsidR="00F72778" w:rsidRPr="00FF397A" w14:paraId="68D5A572" w14:textId="77777777" w:rsidTr="00795CEB">
        <w:trPr>
          <w:trHeight w:val="380"/>
        </w:trPr>
        <w:tc>
          <w:tcPr>
            <w:tcW w:w="3370" w:type="dxa"/>
            <w:noWrap/>
            <w:vAlign w:val="center"/>
            <w:hideMark/>
          </w:tcPr>
          <w:p w14:paraId="3CFF5AFC" w14:textId="2392C5A4" w:rsidR="00F72778" w:rsidRPr="00795CEB" w:rsidRDefault="4A7E2F16" w:rsidP="4A7E2F16">
            <w:pPr>
              <w:spacing w:before="0" w:after="0" w:line="240" w:lineRule="auto"/>
              <w:jc w:val="right"/>
              <w:rPr>
                <w:rFonts w:asciiTheme="minorBidi" w:hAnsiTheme="minorBidi"/>
                <w:i/>
                <w:iCs/>
                <w:sz w:val="18"/>
                <w:szCs w:val="18"/>
              </w:rPr>
            </w:pPr>
            <w:r w:rsidRPr="00795CEB">
              <w:rPr>
                <w:rFonts w:asciiTheme="minorBidi" w:hAnsiTheme="minorBidi"/>
                <w:i/>
                <w:iCs/>
                <w:sz w:val="18"/>
                <w:szCs w:val="18"/>
              </w:rPr>
              <w:t>v.a puhkeküla 55203</w:t>
            </w:r>
          </w:p>
        </w:tc>
        <w:tc>
          <w:tcPr>
            <w:tcW w:w="1090" w:type="dxa"/>
            <w:noWrap/>
            <w:vAlign w:val="center"/>
            <w:hideMark/>
          </w:tcPr>
          <w:p w14:paraId="2B525768" w14:textId="370A7BAB" w:rsidR="00F72778" w:rsidRPr="00795CEB" w:rsidRDefault="00F72778" w:rsidP="00FF397A">
            <w:pPr>
              <w:spacing w:before="0" w:after="0" w:line="240" w:lineRule="auto"/>
              <w:jc w:val="right"/>
              <w:rPr>
                <w:rFonts w:asciiTheme="minorBidi" w:hAnsiTheme="minorBidi"/>
                <w:i/>
                <w:sz w:val="18"/>
                <w:szCs w:val="18"/>
              </w:rPr>
            </w:pPr>
            <w:r w:rsidRPr="00795CEB">
              <w:rPr>
                <w:rFonts w:asciiTheme="minorBidi" w:hAnsiTheme="minorBidi"/>
                <w:i/>
                <w:sz w:val="18"/>
                <w:szCs w:val="18"/>
              </w:rPr>
              <w:t>252</w:t>
            </w:r>
            <w:r w:rsidR="00471273">
              <w:rPr>
                <w:rFonts w:asciiTheme="minorBidi" w:hAnsiTheme="minorBidi"/>
                <w:i/>
                <w:sz w:val="18"/>
                <w:szCs w:val="18"/>
              </w:rPr>
              <w:t xml:space="preserve"> </w:t>
            </w:r>
            <w:r w:rsidRPr="00795CEB">
              <w:rPr>
                <w:rFonts w:asciiTheme="minorBidi" w:hAnsiTheme="minorBidi"/>
                <w:i/>
                <w:sz w:val="18"/>
                <w:szCs w:val="18"/>
              </w:rPr>
              <w:t>077</w:t>
            </w:r>
          </w:p>
        </w:tc>
        <w:tc>
          <w:tcPr>
            <w:tcW w:w="1210" w:type="dxa"/>
            <w:noWrap/>
            <w:vAlign w:val="center"/>
            <w:hideMark/>
          </w:tcPr>
          <w:p w14:paraId="10F003CE" w14:textId="77777777" w:rsidR="00F72778" w:rsidRPr="00795CEB" w:rsidRDefault="00F72778" w:rsidP="00FF397A">
            <w:pPr>
              <w:spacing w:before="0" w:after="0" w:line="240" w:lineRule="auto"/>
              <w:jc w:val="center"/>
              <w:rPr>
                <w:rFonts w:asciiTheme="minorBidi" w:hAnsiTheme="minorBidi"/>
                <w:i/>
                <w:sz w:val="18"/>
                <w:szCs w:val="18"/>
              </w:rPr>
            </w:pPr>
            <w:r w:rsidRPr="00795CEB">
              <w:rPr>
                <w:rFonts w:asciiTheme="minorBidi" w:hAnsiTheme="minorBidi"/>
                <w:i/>
                <w:sz w:val="18"/>
                <w:szCs w:val="18"/>
              </w:rPr>
              <w:t>...</w:t>
            </w:r>
          </w:p>
        </w:tc>
        <w:tc>
          <w:tcPr>
            <w:tcW w:w="1170" w:type="dxa"/>
            <w:noWrap/>
            <w:vAlign w:val="center"/>
            <w:hideMark/>
          </w:tcPr>
          <w:p w14:paraId="62CEB333" w14:textId="23D4D8FE" w:rsidR="00F72778" w:rsidRPr="00795CEB" w:rsidRDefault="00F72778" w:rsidP="00FF397A">
            <w:pPr>
              <w:spacing w:before="0" w:after="0" w:line="240" w:lineRule="auto"/>
              <w:jc w:val="right"/>
              <w:rPr>
                <w:rFonts w:asciiTheme="minorBidi" w:hAnsiTheme="minorBidi"/>
                <w:i/>
                <w:sz w:val="18"/>
                <w:szCs w:val="18"/>
              </w:rPr>
            </w:pPr>
            <w:r w:rsidRPr="00795CEB">
              <w:rPr>
                <w:rFonts w:asciiTheme="minorBidi" w:hAnsiTheme="minorBidi"/>
                <w:i/>
                <w:sz w:val="18"/>
                <w:szCs w:val="18"/>
              </w:rPr>
              <w:t>252</w:t>
            </w:r>
            <w:r w:rsidR="00471273">
              <w:rPr>
                <w:rFonts w:asciiTheme="minorBidi" w:hAnsiTheme="minorBidi"/>
                <w:i/>
                <w:sz w:val="18"/>
                <w:szCs w:val="18"/>
              </w:rPr>
              <w:t xml:space="preserve"> </w:t>
            </w:r>
            <w:r w:rsidRPr="00795CEB">
              <w:rPr>
                <w:rFonts w:asciiTheme="minorBidi" w:hAnsiTheme="minorBidi"/>
                <w:i/>
                <w:sz w:val="18"/>
                <w:szCs w:val="18"/>
              </w:rPr>
              <w:t>077</w:t>
            </w:r>
          </w:p>
        </w:tc>
        <w:tc>
          <w:tcPr>
            <w:tcW w:w="340" w:type="dxa"/>
            <w:noWrap/>
            <w:vAlign w:val="center"/>
            <w:hideMark/>
          </w:tcPr>
          <w:p w14:paraId="2EBDA2AA" w14:textId="77777777" w:rsidR="00F72778" w:rsidRPr="00FF397A" w:rsidRDefault="00F72778" w:rsidP="00FF397A">
            <w:pPr>
              <w:spacing w:before="0" w:after="0" w:line="240" w:lineRule="auto"/>
              <w:jc w:val="right"/>
              <w:rPr>
                <w:rFonts w:asciiTheme="minorBidi" w:hAnsiTheme="minorBidi"/>
                <w:i/>
                <w:color w:val="EE0000"/>
                <w:sz w:val="18"/>
                <w:szCs w:val="18"/>
              </w:rPr>
            </w:pPr>
          </w:p>
        </w:tc>
        <w:tc>
          <w:tcPr>
            <w:tcW w:w="2985" w:type="dxa"/>
            <w:noWrap/>
            <w:vAlign w:val="center"/>
            <w:hideMark/>
          </w:tcPr>
          <w:p w14:paraId="3C162641" w14:textId="77777777" w:rsidR="00F72778" w:rsidRPr="00FF397A" w:rsidRDefault="00F72778" w:rsidP="00FF397A">
            <w:pPr>
              <w:spacing w:before="0" w:after="0" w:line="240" w:lineRule="auto"/>
              <w:rPr>
                <w:rFonts w:asciiTheme="minorBidi" w:hAnsiTheme="minorBidi"/>
                <w:color w:val="EE0000"/>
                <w:sz w:val="18"/>
                <w:szCs w:val="18"/>
              </w:rPr>
            </w:pPr>
          </w:p>
        </w:tc>
        <w:tc>
          <w:tcPr>
            <w:tcW w:w="1170" w:type="dxa"/>
            <w:noWrap/>
            <w:vAlign w:val="center"/>
            <w:hideMark/>
          </w:tcPr>
          <w:p w14:paraId="38C664EE" w14:textId="77777777" w:rsidR="00F72778" w:rsidRPr="00FF397A" w:rsidRDefault="00F72778" w:rsidP="00FF397A">
            <w:pPr>
              <w:spacing w:before="0" w:after="0" w:line="240" w:lineRule="auto"/>
              <w:rPr>
                <w:rFonts w:asciiTheme="minorBidi" w:hAnsiTheme="minorBidi"/>
                <w:color w:val="EE0000"/>
                <w:sz w:val="18"/>
                <w:szCs w:val="18"/>
              </w:rPr>
            </w:pPr>
          </w:p>
        </w:tc>
        <w:tc>
          <w:tcPr>
            <w:tcW w:w="1170" w:type="dxa"/>
            <w:noWrap/>
            <w:vAlign w:val="center"/>
            <w:hideMark/>
          </w:tcPr>
          <w:p w14:paraId="2E1AC5B8" w14:textId="77777777" w:rsidR="00F72778" w:rsidRPr="00FF397A" w:rsidRDefault="00F72778" w:rsidP="00FF397A">
            <w:pPr>
              <w:spacing w:before="0" w:after="0" w:line="240" w:lineRule="auto"/>
              <w:rPr>
                <w:rFonts w:asciiTheme="minorBidi" w:hAnsiTheme="minorBidi"/>
                <w:color w:val="EE0000"/>
                <w:sz w:val="18"/>
                <w:szCs w:val="18"/>
              </w:rPr>
            </w:pPr>
          </w:p>
        </w:tc>
        <w:tc>
          <w:tcPr>
            <w:tcW w:w="1170" w:type="dxa"/>
            <w:noWrap/>
            <w:vAlign w:val="center"/>
            <w:hideMark/>
          </w:tcPr>
          <w:p w14:paraId="541FF3B7" w14:textId="77777777" w:rsidR="00F72778" w:rsidRPr="00FF397A" w:rsidRDefault="00F72778" w:rsidP="00FF397A">
            <w:pPr>
              <w:spacing w:before="0" w:after="0" w:line="240" w:lineRule="auto"/>
              <w:rPr>
                <w:rFonts w:asciiTheme="minorBidi" w:hAnsiTheme="minorBidi"/>
                <w:color w:val="EE0000"/>
                <w:sz w:val="18"/>
                <w:szCs w:val="18"/>
              </w:rPr>
            </w:pPr>
          </w:p>
        </w:tc>
      </w:tr>
    </w:tbl>
    <w:p w14:paraId="0B2BA2ED" w14:textId="1D331579" w:rsidR="72E47210" w:rsidRPr="00E14EBC" w:rsidRDefault="00F72778" w:rsidP="00795CEB">
      <w:pPr>
        <w:pStyle w:val="BottomCaption"/>
      </w:pPr>
      <w:r>
        <w:t>Allikad: Eurostat, SA, EIS</w:t>
      </w:r>
    </w:p>
    <w:p w14:paraId="0FDF9E4F" w14:textId="333AFC51" w:rsidR="72E47210" w:rsidRPr="00E14EBC" w:rsidRDefault="72E47210">
      <w:r w:rsidRPr="00E14EBC">
        <w:br w:type="page"/>
      </w:r>
    </w:p>
    <w:p w14:paraId="5D6CD872" w14:textId="26E7E612" w:rsidR="72E47210" w:rsidRPr="00E14EBC" w:rsidRDefault="72E47210" w:rsidP="72E47210">
      <w:pPr>
        <w:spacing w:before="0" w:line="259" w:lineRule="auto"/>
      </w:pPr>
    </w:p>
    <w:p w14:paraId="5D1C092A" w14:textId="2983DD6C" w:rsidR="009B225F" w:rsidRPr="00E14EBC" w:rsidRDefault="009B225F" w:rsidP="00AA3AB8">
      <w:pPr>
        <w:pStyle w:val="Heading2"/>
        <w:numPr>
          <w:ilvl w:val="0"/>
          <w:numId w:val="0"/>
        </w:numPr>
        <w:rPr>
          <w:rFonts w:hint="eastAsia"/>
        </w:rPr>
      </w:pPr>
      <w:bookmarkStart w:id="226" w:name="_Toc197718096"/>
      <w:bookmarkStart w:id="227" w:name="_Toc208991650"/>
      <w:r w:rsidRPr="00E14EBC">
        <w:t>Lisa 5a. Andmekraapimiste metoodika ja tulemused</w:t>
      </w:r>
      <w:bookmarkEnd w:id="226"/>
      <w:bookmarkEnd w:id="227"/>
    </w:p>
    <w:p w14:paraId="179875DD" w14:textId="77777777" w:rsidR="009B225F" w:rsidRPr="00795CEB" w:rsidRDefault="009B225F" w:rsidP="009B225F">
      <w:pPr>
        <w:rPr>
          <w:rStyle w:val="PurpleText"/>
          <w:b/>
          <w:bCs/>
          <w:color w:val="auto"/>
        </w:rPr>
      </w:pPr>
      <w:r w:rsidRPr="00795CEB">
        <w:rPr>
          <w:rStyle w:val="PurpleText"/>
          <w:b/>
          <w:bCs/>
          <w:color w:val="auto"/>
        </w:rPr>
        <w:t>1. Testandmekraabe</w:t>
      </w:r>
    </w:p>
    <w:p w14:paraId="4EEE5E73" w14:textId="0ED7373C" w:rsidR="009B225F" w:rsidRPr="00E14EBC" w:rsidRDefault="009B225F" w:rsidP="009B225F">
      <w:pPr>
        <w:jc w:val="both"/>
      </w:pPr>
      <w:r w:rsidRPr="00E14EBC">
        <w:rPr>
          <w:rFonts w:eastAsia="Aptos" w:cstheme="minorHAnsi"/>
          <w:szCs w:val="24"/>
        </w:rPr>
        <w:t xml:space="preserve">Analüütikafirmade tasuta kättesaadavate andmete valideerimiseks katsetasid koostajad ise andmekraapimist. Kasutasime kodeerimist mittevajava veebitööriista Octoparse tasuta versiooni kaheksa piirkonna kuulutuste allalaadimiseks veebiplatvormilt Airbnb ja kahe piirkonna kuulutuste allalaadimiseks veebiplatvormilt Booking. Päringud veebiplatvormidele tehti lahtise kuupäevaga maksimaalse </w:t>
      </w:r>
      <w:r w:rsidR="0053429C" w:rsidRPr="00E14EBC">
        <w:rPr>
          <w:rFonts w:eastAsia="Aptos" w:cstheme="minorHAnsi"/>
          <w:szCs w:val="24"/>
        </w:rPr>
        <w:t>paindlikkusega</w:t>
      </w:r>
      <w:r w:rsidRPr="00E14EBC">
        <w:rPr>
          <w:rFonts w:eastAsia="Aptos" w:cstheme="minorHAnsi"/>
          <w:szCs w:val="24"/>
        </w:rPr>
        <w:t xml:space="preserve"> ilma majutatavate arvu esitamata 19. ja 20. veebruaril 2025.</w:t>
      </w:r>
    </w:p>
    <w:p w14:paraId="29AA4057" w14:textId="20354954" w:rsidR="009B225F" w:rsidRPr="00E14EBC" w:rsidRDefault="5A18D7EE" w:rsidP="009B225F">
      <w:pPr>
        <w:jc w:val="both"/>
      </w:pPr>
      <w:r w:rsidRPr="288A3578">
        <w:rPr>
          <w:rFonts w:eastAsia="Aptos"/>
        </w:rPr>
        <w:t xml:space="preserve">Testandmekraapimise mõned </w:t>
      </w:r>
      <w:r w:rsidR="5A6C717C" w:rsidRPr="5A6C717C">
        <w:rPr>
          <w:rFonts w:eastAsia="Aptos"/>
        </w:rPr>
        <w:t>enam tähelepanu väärivad</w:t>
      </w:r>
      <w:r w:rsidRPr="288A3578">
        <w:rPr>
          <w:rFonts w:eastAsia="Aptos"/>
        </w:rPr>
        <w:t xml:space="preserve"> tulemused:</w:t>
      </w:r>
    </w:p>
    <w:p w14:paraId="037305ED" w14:textId="34C2E5CA" w:rsidR="009B225F" w:rsidRPr="00E14EBC" w:rsidRDefault="009B225F" w:rsidP="007F08F4">
      <w:pPr>
        <w:pStyle w:val="ListParagraph"/>
        <w:numPr>
          <w:ilvl w:val="0"/>
          <w:numId w:val="20"/>
        </w:numPr>
        <w:jc w:val="both"/>
        <w:rPr>
          <w:rFonts w:eastAsia="Aptos"/>
        </w:rPr>
      </w:pPr>
      <w:r w:rsidRPr="5A6C717C">
        <w:rPr>
          <w:rFonts w:eastAsia="Aptos"/>
        </w:rPr>
        <w:t xml:space="preserve">Tallinna </w:t>
      </w:r>
      <w:r w:rsidR="00AB154A" w:rsidRPr="5A6C717C">
        <w:rPr>
          <w:rFonts w:eastAsia="Aptos"/>
        </w:rPr>
        <w:t>v</w:t>
      </w:r>
      <w:r w:rsidRPr="5A6C717C">
        <w:rPr>
          <w:rFonts w:eastAsia="Aptos"/>
        </w:rPr>
        <w:t>analinna asum: 225 objekti, keskmine külaliste maksimaalne arv 5,2</w:t>
      </w:r>
      <w:r w:rsidR="5A6C717C" w:rsidRPr="5A6C717C">
        <w:rPr>
          <w:rFonts w:eastAsia="Aptos"/>
        </w:rPr>
        <w:t xml:space="preserve"> (Tallinna keskmine Doorbll andmetel 3,7). Valikust</w:t>
      </w:r>
      <w:r w:rsidRPr="5A6C717C">
        <w:rPr>
          <w:rFonts w:eastAsia="Aptos"/>
        </w:rPr>
        <w:t xml:space="preserve"> on eemaldatud hostelid ja ühiselamud. Neljal suuremal </w:t>
      </w:r>
      <w:r w:rsidR="00C549ED" w:rsidRPr="5A6C717C">
        <w:rPr>
          <w:rFonts w:eastAsia="Aptos"/>
        </w:rPr>
        <w:t>teenuse pakkujal</w:t>
      </w:r>
      <w:r w:rsidRPr="5A6C717C">
        <w:rPr>
          <w:rFonts w:eastAsia="Aptos"/>
        </w:rPr>
        <w:t xml:space="preserve"> on 21+18+14+13 = 66 majutuskohta (u 30%), kokku saavad nad majutada 415 külalist (1165-st), ehk 36%.</w:t>
      </w:r>
    </w:p>
    <w:p w14:paraId="6EB7110A" w14:textId="7129029E" w:rsidR="009B225F" w:rsidRPr="00E14EBC" w:rsidRDefault="009B225F" w:rsidP="007F08F4">
      <w:pPr>
        <w:pStyle w:val="ListParagraph"/>
        <w:numPr>
          <w:ilvl w:val="0"/>
          <w:numId w:val="20"/>
        </w:numPr>
        <w:jc w:val="both"/>
        <w:rPr>
          <w:bCs/>
        </w:rPr>
      </w:pPr>
      <w:r w:rsidRPr="00E14EBC">
        <w:rPr>
          <w:rFonts w:eastAsia="Aptos" w:cstheme="minorHAnsi"/>
          <w:bCs/>
          <w:szCs w:val="24"/>
        </w:rPr>
        <w:t xml:space="preserve">Tallinna Rotermanni asum: 115 objekti, keskmine külaliste maksimaalne arv objekti kohta 3,3. Majutuskoha asukohaks on koguni 21 kuulutuses märgitud </w:t>
      </w:r>
      <w:r w:rsidR="00AB154A">
        <w:rPr>
          <w:rFonts w:eastAsia="Aptos" w:cstheme="minorHAnsi"/>
          <w:bCs/>
          <w:szCs w:val="24"/>
        </w:rPr>
        <w:t>v</w:t>
      </w:r>
      <w:r w:rsidRPr="00E14EBC">
        <w:rPr>
          <w:rFonts w:eastAsia="Aptos" w:cstheme="minorHAnsi"/>
          <w:bCs/>
          <w:szCs w:val="24"/>
        </w:rPr>
        <w:t xml:space="preserve">analinn. Tuvastatav vaid üks suurem </w:t>
      </w:r>
      <w:r w:rsidR="00C26BE9" w:rsidRPr="00E14EBC">
        <w:rPr>
          <w:rFonts w:eastAsia="Aptos" w:cstheme="minorHAnsi"/>
          <w:bCs/>
          <w:szCs w:val="24"/>
        </w:rPr>
        <w:t xml:space="preserve">teenuse </w:t>
      </w:r>
      <w:r w:rsidR="00E06FBC" w:rsidRPr="00E14EBC">
        <w:rPr>
          <w:rFonts w:eastAsia="Aptos" w:cstheme="minorHAnsi"/>
          <w:bCs/>
          <w:szCs w:val="24"/>
        </w:rPr>
        <w:t>pakkuja</w:t>
      </w:r>
      <w:r w:rsidRPr="00E14EBC">
        <w:rPr>
          <w:rFonts w:eastAsia="Aptos" w:cstheme="minorHAnsi"/>
          <w:bCs/>
          <w:szCs w:val="24"/>
        </w:rPr>
        <w:t xml:space="preserve"> (17 objekti, max 38 külalist). NB! Rotermanni kvartalis on 322 eluruumi, seega moodustavad </w:t>
      </w:r>
      <w:r w:rsidR="00E53A01" w:rsidRPr="00E14EBC">
        <w:rPr>
          <w:rFonts w:eastAsia="Aptos" w:cstheme="minorHAnsi"/>
          <w:bCs/>
          <w:szCs w:val="24"/>
        </w:rPr>
        <w:t xml:space="preserve">lühiajalise </w:t>
      </w:r>
      <w:r w:rsidR="00C26BE9" w:rsidRPr="00E14EBC">
        <w:rPr>
          <w:rFonts w:eastAsia="Aptos" w:cstheme="minorHAnsi"/>
          <w:bCs/>
          <w:szCs w:val="24"/>
        </w:rPr>
        <w:t>üüri teenuse</w:t>
      </w:r>
      <w:r w:rsidRPr="00E14EBC">
        <w:rPr>
          <w:rFonts w:eastAsia="Aptos" w:cstheme="minorHAnsi"/>
          <w:bCs/>
          <w:szCs w:val="24"/>
        </w:rPr>
        <w:t xml:space="preserve"> majutuskohad läbi viidud testi põhjal 36% eluruumidest.</w:t>
      </w:r>
    </w:p>
    <w:p w14:paraId="00159277" w14:textId="77777777" w:rsidR="009B225F" w:rsidRPr="00E14EBC" w:rsidRDefault="009B225F" w:rsidP="007F08F4">
      <w:pPr>
        <w:pStyle w:val="ListParagraph"/>
        <w:numPr>
          <w:ilvl w:val="0"/>
          <w:numId w:val="20"/>
        </w:numPr>
        <w:jc w:val="both"/>
        <w:rPr>
          <w:bCs/>
        </w:rPr>
      </w:pPr>
      <w:r w:rsidRPr="00E14EBC">
        <w:rPr>
          <w:rFonts w:eastAsia="Aptos" w:cstheme="minorHAnsi"/>
          <w:bCs/>
          <w:szCs w:val="24"/>
        </w:rPr>
        <w:t>Tartu kesklinn: 229 objekti, keskmine külaliste maksimaalne arv objekti kohta 3,0.</w:t>
      </w:r>
    </w:p>
    <w:p w14:paraId="56A08D03" w14:textId="77777777" w:rsidR="009B225F" w:rsidRPr="00E14EBC" w:rsidRDefault="009B225F" w:rsidP="007F08F4">
      <w:pPr>
        <w:pStyle w:val="ListParagraph"/>
        <w:numPr>
          <w:ilvl w:val="0"/>
          <w:numId w:val="20"/>
        </w:numPr>
        <w:jc w:val="both"/>
        <w:rPr>
          <w:bCs/>
        </w:rPr>
      </w:pPr>
      <w:r w:rsidRPr="00E14EBC">
        <w:rPr>
          <w:rFonts w:eastAsia="Aptos" w:cstheme="minorHAnsi"/>
          <w:bCs/>
          <w:szCs w:val="24"/>
        </w:rPr>
        <w:t>Pärnu kesklinn: 248 objekti, keskmine külaliste maksimaalne arv objekti kohta 4,0.</w:t>
      </w:r>
    </w:p>
    <w:p w14:paraId="684E8541" w14:textId="77777777" w:rsidR="009B225F" w:rsidRPr="00E14EBC" w:rsidRDefault="009B225F" w:rsidP="007F08F4">
      <w:pPr>
        <w:pStyle w:val="ListParagraph"/>
        <w:numPr>
          <w:ilvl w:val="0"/>
          <w:numId w:val="20"/>
        </w:numPr>
        <w:jc w:val="both"/>
        <w:rPr>
          <w:bCs/>
        </w:rPr>
      </w:pPr>
      <w:r w:rsidRPr="00E14EBC">
        <w:rPr>
          <w:rFonts w:eastAsia="Aptos" w:cstheme="minorHAnsi"/>
          <w:bCs/>
          <w:szCs w:val="24"/>
        </w:rPr>
        <w:t>Lääne-Virumaa: 116 objekti, keskmine külaliste maksimaalne arv objekti kohta 5,0. Pakutakse 27 korterit ja 9 tuba; 24 elumaja ja 10 maamaja.</w:t>
      </w:r>
    </w:p>
    <w:p w14:paraId="275AFBEF" w14:textId="77777777" w:rsidR="009B225F" w:rsidRPr="00E14EBC" w:rsidRDefault="009B225F" w:rsidP="007F08F4">
      <w:pPr>
        <w:pStyle w:val="ListParagraph"/>
        <w:numPr>
          <w:ilvl w:val="0"/>
          <w:numId w:val="20"/>
        </w:numPr>
        <w:spacing w:before="0" w:after="0"/>
        <w:jc w:val="both"/>
        <w:rPr>
          <w:bCs/>
        </w:rPr>
      </w:pPr>
      <w:r w:rsidRPr="00E14EBC">
        <w:rPr>
          <w:rFonts w:eastAsia="Aptos" w:cstheme="minorHAnsi"/>
          <w:bCs/>
          <w:szCs w:val="24"/>
        </w:rPr>
        <w:t xml:space="preserve">Võrumaa: 129 objekti, keskmine külaliste maksimaalne arv objekti kohta 5,5. </w:t>
      </w:r>
    </w:p>
    <w:p w14:paraId="687FDA30" w14:textId="77777777" w:rsidR="009B225F" w:rsidRPr="00E14EBC" w:rsidRDefault="009B225F" w:rsidP="009B225F">
      <w:pPr>
        <w:spacing w:before="0" w:after="0"/>
        <w:ind w:firstLine="720"/>
        <w:jc w:val="both"/>
        <w:rPr>
          <w:bCs/>
        </w:rPr>
      </w:pPr>
      <w:r w:rsidRPr="00E14EBC">
        <w:rPr>
          <w:rFonts w:eastAsia="Aptos" w:cstheme="minorHAnsi"/>
          <w:bCs/>
          <w:szCs w:val="24"/>
        </w:rPr>
        <w:t>Pakutakse 25 korterit ja 13 tuba; 25 elumaja, 10 maamaja ja 4 villat.</w:t>
      </w:r>
    </w:p>
    <w:p w14:paraId="0BE23F87" w14:textId="77777777" w:rsidR="009B225F" w:rsidRPr="00E14EBC" w:rsidRDefault="009B225F" w:rsidP="007F08F4">
      <w:pPr>
        <w:pStyle w:val="ListParagraph"/>
        <w:numPr>
          <w:ilvl w:val="0"/>
          <w:numId w:val="20"/>
        </w:numPr>
        <w:spacing w:before="0" w:after="0"/>
        <w:jc w:val="both"/>
        <w:rPr>
          <w:bCs/>
        </w:rPr>
      </w:pPr>
      <w:r w:rsidRPr="00E14EBC">
        <w:rPr>
          <w:rFonts w:eastAsia="Aptos" w:cstheme="minorHAnsi"/>
          <w:bCs/>
          <w:szCs w:val="24"/>
        </w:rPr>
        <w:t xml:space="preserve">Järvamaa: 68 objekti, keskmine külaliste maksimaalne arv objekti kohta 5,2. </w:t>
      </w:r>
    </w:p>
    <w:p w14:paraId="01ABDA97" w14:textId="77777777" w:rsidR="009B225F" w:rsidRPr="00E14EBC" w:rsidRDefault="009B225F" w:rsidP="009B225F">
      <w:pPr>
        <w:spacing w:before="0" w:after="0"/>
        <w:ind w:firstLine="720"/>
        <w:jc w:val="both"/>
        <w:rPr>
          <w:rFonts w:eastAsia="Aptos"/>
        </w:rPr>
      </w:pPr>
      <w:r w:rsidRPr="00E14EBC">
        <w:rPr>
          <w:rFonts w:eastAsia="Aptos"/>
        </w:rPr>
        <w:t>Pakutakse 12 korterit ja 11 tuba; 13 elumaja ja 7 maamaja.</w:t>
      </w:r>
    </w:p>
    <w:p w14:paraId="38ED7D57" w14:textId="77777777" w:rsidR="009B225F" w:rsidRPr="00E14EBC" w:rsidRDefault="009B225F" w:rsidP="007F08F4">
      <w:pPr>
        <w:pStyle w:val="ListParagraph"/>
        <w:numPr>
          <w:ilvl w:val="0"/>
          <w:numId w:val="20"/>
        </w:numPr>
        <w:spacing w:before="0" w:after="0"/>
        <w:jc w:val="both"/>
        <w:rPr>
          <w:bCs/>
        </w:rPr>
      </w:pPr>
      <w:r w:rsidRPr="00E14EBC">
        <w:rPr>
          <w:rFonts w:eastAsia="Aptos" w:cstheme="minorHAnsi"/>
          <w:bCs/>
          <w:szCs w:val="24"/>
        </w:rPr>
        <w:t xml:space="preserve">Hiiumaa: 113 objekti, keskmine külaliste maksimaalne arv objekti kohta 5,6. </w:t>
      </w:r>
    </w:p>
    <w:p w14:paraId="15E93ABD" w14:textId="0921BF7E" w:rsidR="009B225F" w:rsidRPr="00E14EBC" w:rsidRDefault="009B225F" w:rsidP="00F26050">
      <w:pPr>
        <w:spacing w:before="0"/>
        <w:ind w:firstLine="720"/>
        <w:jc w:val="both"/>
      </w:pPr>
      <w:r w:rsidRPr="00E14EBC">
        <w:rPr>
          <w:rFonts w:eastAsia="Aptos"/>
        </w:rPr>
        <w:t>Pakutakse 15 korterit ja 2 tuba; 39 elumaja, 10 maamaja ja 1 villa.</w:t>
      </w:r>
    </w:p>
    <w:p w14:paraId="176358F1" w14:textId="77777777" w:rsidR="00F26050" w:rsidRPr="00E14EBC" w:rsidRDefault="00F26050" w:rsidP="00F26050">
      <w:pPr>
        <w:spacing w:before="0"/>
        <w:ind w:firstLine="720"/>
        <w:jc w:val="both"/>
        <w:rPr>
          <w:rFonts w:eastAsia="Aptos"/>
        </w:rPr>
      </w:pPr>
    </w:p>
    <w:p w14:paraId="1B1D9CCF" w14:textId="77777777" w:rsidR="00F26050" w:rsidRPr="00E14EBC" w:rsidRDefault="00F26050" w:rsidP="00F26050">
      <w:pPr>
        <w:spacing w:before="0"/>
        <w:ind w:firstLine="720"/>
        <w:jc w:val="both"/>
        <w:rPr>
          <w:rFonts w:eastAsia="Aptos"/>
        </w:rPr>
      </w:pPr>
    </w:p>
    <w:p w14:paraId="2F7F233A" w14:textId="77777777" w:rsidR="009B225F" w:rsidRPr="00795CEB" w:rsidRDefault="009B225F" w:rsidP="009B225F">
      <w:pPr>
        <w:rPr>
          <w:b/>
          <w:bCs/>
        </w:rPr>
      </w:pPr>
      <w:r w:rsidRPr="00795CEB">
        <w:rPr>
          <w:b/>
          <w:bCs/>
        </w:rPr>
        <w:lastRenderedPageBreak/>
        <w:t>2. Professionaalne andmekraabe</w:t>
      </w:r>
    </w:p>
    <w:p w14:paraId="3B77353F" w14:textId="77777777" w:rsidR="009B225F" w:rsidRPr="00E14EBC" w:rsidRDefault="009B225F" w:rsidP="00F26050">
      <w:pPr>
        <w:pStyle w:val="TableTitle"/>
        <w:rPr>
          <w:rStyle w:val="PurpleText"/>
        </w:rPr>
      </w:pPr>
      <w:r w:rsidRPr="00E14EBC">
        <w:rPr>
          <w:rStyle w:val="PurpleText"/>
        </w:rPr>
        <w:t>Doorbll.com andmekraape metoodika</w:t>
      </w:r>
    </w:p>
    <w:p w14:paraId="67428F2C" w14:textId="7A80CBFB" w:rsidR="009B225F" w:rsidRPr="00E14EBC" w:rsidRDefault="5A18D7EE" w:rsidP="009B225F">
      <w:pPr>
        <w:jc w:val="both"/>
        <w:rPr>
          <w:rFonts w:ascii="Arial" w:eastAsia="Arial" w:hAnsi="Arial" w:cs="Arial"/>
        </w:rPr>
      </w:pPr>
      <w:r w:rsidRPr="288A3578">
        <w:rPr>
          <w:rFonts w:ascii="Arial" w:eastAsia="Arial" w:hAnsi="Arial" w:cs="Arial"/>
        </w:rPr>
        <w:t xml:space="preserve">Automatiseeritud kraapeprotsess kõige populaarsemate puhkesihtkohtade osas kolmel platvormil (Airbnb, Vrbo and Booking) toimub iga ühe kuni kolme kuu tagant. Tuvastatakse kõik kuulutused, seejärel andmed puhastatakse ja kategoriseeritakse. Doorbll kasutab kombineeritud kraapeprotsesse (HTML ja API). </w:t>
      </w:r>
      <w:r w:rsidR="5A6C717C" w:rsidRPr="5A6C717C">
        <w:rPr>
          <w:rFonts w:ascii="Arial" w:eastAsia="Arial" w:hAnsi="Arial" w:cs="Arial"/>
        </w:rPr>
        <w:t>Dubleerivate kirjete</w:t>
      </w:r>
      <w:r w:rsidRPr="288A3578">
        <w:rPr>
          <w:rFonts w:ascii="Arial" w:eastAsia="Arial" w:hAnsi="Arial" w:cs="Arial"/>
        </w:rPr>
        <w:t xml:space="preserve"> väljaselgitamiseks kasutatakse pildituvastus-tarkvara, mis majutuskoha fotode alusel määratleb, kas sarnasus ületab teatud lävendi.</w:t>
      </w:r>
    </w:p>
    <w:p w14:paraId="7F7B6A4A" w14:textId="4D56594A" w:rsidR="009B225F" w:rsidRPr="00E14EBC" w:rsidRDefault="009B225F" w:rsidP="009B225F">
      <w:pPr>
        <w:jc w:val="both"/>
        <w:rPr>
          <w:rStyle w:val="PurpleText"/>
        </w:rPr>
      </w:pPr>
      <w:r w:rsidRPr="00E14EBC">
        <w:rPr>
          <w:rStyle w:val="PurpleText"/>
        </w:rPr>
        <w:t xml:space="preserve">Andmekraape alusmaterjal (3 csv faili) ja </w:t>
      </w:r>
      <w:r w:rsidR="0069390B">
        <w:rPr>
          <w:rStyle w:val="PurpleText"/>
        </w:rPr>
        <w:t>selle</w:t>
      </w:r>
      <w:r w:rsidR="0069390B" w:rsidRPr="00E14EBC">
        <w:rPr>
          <w:rStyle w:val="PurpleText"/>
        </w:rPr>
        <w:t xml:space="preserve"> </w:t>
      </w:r>
      <w:r w:rsidRPr="00E14EBC">
        <w:rPr>
          <w:rStyle w:val="PurpleText"/>
        </w:rPr>
        <w:t>töötlemise tulemus</w:t>
      </w:r>
    </w:p>
    <w:p w14:paraId="3CA99AE2" w14:textId="3ECFB9CF" w:rsidR="009B225F" w:rsidRPr="00E14EBC" w:rsidRDefault="5A18D7EE" w:rsidP="288A3578">
      <w:pPr>
        <w:jc w:val="both"/>
        <w:rPr>
          <w:rFonts w:eastAsia="Aptos"/>
        </w:rPr>
      </w:pPr>
      <w:r w:rsidRPr="288A3578">
        <w:rPr>
          <w:rFonts w:eastAsia="Aptos"/>
        </w:rPr>
        <w:t xml:space="preserve">Algandmetega failides on </w:t>
      </w:r>
      <w:r w:rsidR="5A6C717C" w:rsidRPr="5A6C717C">
        <w:rPr>
          <w:rFonts w:eastAsia="Aptos"/>
        </w:rPr>
        <w:t xml:space="preserve">Tallinna kohta esitatud </w:t>
      </w:r>
      <w:r w:rsidRPr="288A3578">
        <w:rPr>
          <w:rFonts w:eastAsia="Aptos"/>
        </w:rPr>
        <w:t xml:space="preserve">2317 Airbnb, 905 Booking ja 103 Vrbo </w:t>
      </w:r>
      <w:r w:rsidR="5A6C717C" w:rsidRPr="5A6C717C">
        <w:rPr>
          <w:rFonts w:eastAsia="Aptos"/>
        </w:rPr>
        <w:t xml:space="preserve">platvormil pakkumises olnud </w:t>
      </w:r>
      <w:r w:rsidRPr="288A3578">
        <w:rPr>
          <w:rFonts w:eastAsia="Aptos"/>
        </w:rPr>
        <w:t>majutuskoha andmed, ühtekokku 3325 majutuskohta.</w:t>
      </w:r>
    </w:p>
    <w:p w14:paraId="51A7AFA2" w14:textId="524D2EE0" w:rsidR="009B225F" w:rsidRPr="00E14EBC" w:rsidRDefault="009B225F" w:rsidP="009B225F">
      <w:pPr>
        <w:jc w:val="both"/>
        <w:rPr>
          <w:rFonts w:eastAsia="Aptos"/>
        </w:rPr>
      </w:pPr>
      <w:r w:rsidRPr="00E14EBC">
        <w:rPr>
          <w:rFonts w:eastAsia="Aptos"/>
        </w:rPr>
        <w:t>Tabelite puhastamise, korrastamise ja ümbersorteerimise käigus eemaldasi</w:t>
      </w:r>
      <w:r w:rsidR="007C0BA6">
        <w:rPr>
          <w:rFonts w:eastAsia="Aptos"/>
        </w:rPr>
        <w:t>me</w:t>
      </w:r>
      <w:r w:rsidRPr="00E14EBC">
        <w:rPr>
          <w:rFonts w:eastAsia="Aptos"/>
        </w:rPr>
        <w:t xml:space="preserve"> väljaspool Tallinna asuvad objektid (peamiselt Peetri/Rae ja Viimsi); majutuskohad veesõidukitel, matkaautodes, puu otsas jmt; samuti rohkem kui viie toaga hotellid ning hostelid/ühiselamud. Andmekogumisse jäid (ka suuremad) külalistemajad ja korterhotellid.</w:t>
      </w:r>
    </w:p>
    <w:p w14:paraId="2909CA65" w14:textId="55ECD9C0" w:rsidR="009B225F" w:rsidRPr="00E14EBC" w:rsidRDefault="009B225F" w:rsidP="009B225F">
      <w:pPr>
        <w:spacing w:after="40"/>
        <w:jc w:val="both"/>
        <w:rPr>
          <w:rFonts w:eastAsia="Aptos"/>
          <w:lang w:val="en-US"/>
        </w:rPr>
      </w:pPr>
      <w:r w:rsidRPr="5A6C717C">
        <w:rPr>
          <w:rFonts w:eastAsia="Aptos"/>
          <w:lang w:val="en-US"/>
        </w:rPr>
        <w:t xml:space="preserve">Airbnb 2180 kuulutusest on </w:t>
      </w:r>
      <w:r w:rsidR="5A6C717C" w:rsidRPr="5A6C717C">
        <w:rPr>
          <w:rFonts w:eastAsia="Aptos"/>
          <w:lang w:val="en-US"/>
        </w:rPr>
        <w:t xml:space="preserve">märkega </w:t>
      </w:r>
      <w:r w:rsidRPr="5A6C717C">
        <w:rPr>
          <w:rFonts w:eastAsia="Aptos"/>
          <w:lang w:val="en-US"/>
        </w:rPr>
        <w:t xml:space="preserve">’Booking matched’ </w:t>
      </w:r>
      <w:r w:rsidR="5A6C717C" w:rsidRPr="5A6C717C">
        <w:rPr>
          <w:rFonts w:eastAsia="Aptos"/>
          <w:lang w:val="en-US"/>
        </w:rPr>
        <w:t xml:space="preserve">(‘kattuvus Booking platvormiga’) </w:t>
      </w:r>
      <w:r w:rsidRPr="5A6C717C">
        <w:rPr>
          <w:rFonts w:eastAsia="Aptos"/>
          <w:lang w:val="en-US"/>
        </w:rPr>
        <w:t>310</w:t>
      </w:r>
      <w:r w:rsidR="5A6C717C" w:rsidRPr="5A6C717C">
        <w:rPr>
          <w:rFonts w:eastAsia="Aptos"/>
          <w:lang w:val="en-US"/>
        </w:rPr>
        <w:t xml:space="preserve"> kirjet</w:t>
      </w:r>
      <w:r w:rsidRPr="5A6C717C">
        <w:rPr>
          <w:rFonts w:eastAsia="Aptos"/>
          <w:lang w:val="en-US"/>
        </w:rPr>
        <w:t>, ’Vrbo matched’ 32, ning ’Booking &amp; Vrbo matched’ 16. Booking 905 kuulutusest on ’Airbnb matched’ 291. Vrbo 103 kuulutusest on ’Airbnb matched’ 37.</w:t>
      </w:r>
    </w:p>
    <w:p w14:paraId="77A657C9" w14:textId="4BF967EE" w:rsidR="009B225F" w:rsidRPr="00E14EBC" w:rsidRDefault="5A18D7EE" w:rsidP="288A3578">
      <w:pPr>
        <w:jc w:val="both"/>
        <w:rPr>
          <w:rFonts w:eastAsia="Aptos"/>
        </w:rPr>
      </w:pPr>
      <w:r w:rsidRPr="288A3578">
        <w:rPr>
          <w:rFonts w:eastAsia="Aptos"/>
        </w:rPr>
        <w:t xml:space="preserve">Puhastatud tabelites on 2180 Airbnb </w:t>
      </w:r>
      <w:r w:rsidR="78E4F164" w:rsidRPr="288A3578">
        <w:rPr>
          <w:rFonts w:eastAsia="Aptos"/>
        </w:rPr>
        <w:t>(</w:t>
      </w:r>
      <w:r w:rsidRPr="288A3578">
        <w:rPr>
          <w:rFonts w:eastAsia="Aptos"/>
        </w:rPr>
        <w:t>80</w:t>
      </w:r>
      <w:r w:rsidR="7E18F3AD" w:rsidRPr="7E18F3AD">
        <w:rPr>
          <w:rFonts w:eastAsia="Aptos"/>
        </w:rPr>
        <w:t>%) pakkumist,</w:t>
      </w:r>
      <w:r w:rsidRPr="288A3578">
        <w:rPr>
          <w:rFonts w:eastAsia="Aptos"/>
        </w:rPr>
        <w:t xml:space="preserve"> 498 /enne dubleeruvuste eemaldamist 798/ Booking </w:t>
      </w:r>
      <w:r w:rsidR="1949FF98" w:rsidRPr="288A3578">
        <w:rPr>
          <w:rFonts w:eastAsia="Aptos"/>
        </w:rPr>
        <w:t>(</w:t>
      </w:r>
      <w:r w:rsidRPr="288A3578">
        <w:rPr>
          <w:rFonts w:eastAsia="Aptos"/>
        </w:rPr>
        <w:t xml:space="preserve">18%) </w:t>
      </w:r>
      <w:r w:rsidR="7E18F3AD" w:rsidRPr="7E18F3AD">
        <w:rPr>
          <w:rFonts w:eastAsia="Aptos"/>
        </w:rPr>
        <w:t xml:space="preserve">pakkumist </w:t>
      </w:r>
      <w:r w:rsidRPr="288A3578">
        <w:rPr>
          <w:rFonts w:eastAsia="Aptos"/>
        </w:rPr>
        <w:t>ja</w:t>
      </w:r>
      <w:r w:rsidR="35AA02AC" w:rsidRPr="288A3578">
        <w:rPr>
          <w:rFonts w:eastAsia="Aptos"/>
        </w:rPr>
        <w:t xml:space="preserve"> </w:t>
      </w:r>
      <w:r w:rsidRPr="288A3578">
        <w:rPr>
          <w:rFonts w:eastAsia="Aptos"/>
        </w:rPr>
        <w:t xml:space="preserve">52 /103/ Vrbo </w:t>
      </w:r>
      <w:r w:rsidR="739781CE" w:rsidRPr="288A3578">
        <w:rPr>
          <w:rFonts w:eastAsia="Aptos"/>
        </w:rPr>
        <w:t>(</w:t>
      </w:r>
      <w:r w:rsidRPr="288A3578">
        <w:rPr>
          <w:rFonts w:eastAsia="Aptos"/>
        </w:rPr>
        <w:t xml:space="preserve">2%) </w:t>
      </w:r>
      <w:r w:rsidR="7E18F3AD" w:rsidRPr="7E18F3AD">
        <w:rPr>
          <w:rFonts w:eastAsia="Aptos"/>
        </w:rPr>
        <w:t>pakkumist.</w:t>
      </w:r>
      <w:r w:rsidR="35AA02AC" w:rsidRPr="288A3578">
        <w:rPr>
          <w:rFonts w:eastAsia="Aptos"/>
        </w:rPr>
        <w:t xml:space="preserve"> </w:t>
      </w:r>
      <w:r w:rsidRPr="288A3578">
        <w:rPr>
          <w:rFonts w:eastAsia="Aptos"/>
        </w:rPr>
        <w:t xml:space="preserve">Kokku 2730 </w:t>
      </w:r>
      <w:r w:rsidR="7E18F3AD" w:rsidRPr="7E18F3AD">
        <w:rPr>
          <w:rFonts w:eastAsia="Aptos"/>
        </w:rPr>
        <w:t xml:space="preserve">unikaalset </w:t>
      </w:r>
      <w:r w:rsidRPr="288A3578">
        <w:rPr>
          <w:rFonts w:eastAsia="Aptos"/>
        </w:rPr>
        <w:t>majutuskohta.</w:t>
      </w:r>
    </w:p>
    <w:p w14:paraId="4382A4B8" w14:textId="4BEC4680" w:rsidR="009B225F" w:rsidRPr="00E14EBC" w:rsidRDefault="009B225F" w:rsidP="009B225F">
      <w:pPr>
        <w:spacing w:after="0"/>
        <w:jc w:val="both"/>
      </w:pPr>
      <w:r w:rsidRPr="00E14EBC">
        <w:rPr>
          <w:rFonts w:eastAsia="Aptos"/>
        </w:rPr>
        <w:t xml:space="preserve">Maksimaalne lühiajalise üüri külaliste arv Tallinnas kolmel platvormil </w:t>
      </w:r>
      <w:r w:rsidR="5A6C717C" w:rsidRPr="5A6C717C">
        <w:rPr>
          <w:rFonts w:eastAsia="Aptos"/>
        </w:rPr>
        <w:t xml:space="preserve">oli </w:t>
      </w:r>
      <w:r w:rsidRPr="00E14EBC">
        <w:rPr>
          <w:rFonts w:eastAsia="Aptos"/>
        </w:rPr>
        <w:t>7987+2073+234 = 10</w:t>
      </w:r>
      <w:r w:rsidR="00471273">
        <w:rPr>
          <w:rFonts w:eastAsia="Aptos"/>
        </w:rPr>
        <w:t xml:space="preserve"> </w:t>
      </w:r>
      <w:r w:rsidRPr="00E14EBC">
        <w:rPr>
          <w:rFonts w:eastAsia="Aptos"/>
        </w:rPr>
        <w:t xml:space="preserve">294. </w:t>
      </w:r>
    </w:p>
    <w:p w14:paraId="05F5F380" w14:textId="13070DB1" w:rsidR="009B225F" w:rsidRPr="00E14EBC" w:rsidRDefault="5A6C717C" w:rsidP="009B225F">
      <w:pPr>
        <w:spacing w:after="0"/>
        <w:jc w:val="both"/>
      </w:pPr>
      <w:r w:rsidRPr="5A6C717C">
        <w:rPr>
          <w:rFonts w:eastAsia="Aptos"/>
        </w:rPr>
        <w:t xml:space="preserve">Puhastatud doorbll.com tabelis oli </w:t>
      </w:r>
      <w:r w:rsidR="009B225F" w:rsidRPr="00E14EBC">
        <w:rPr>
          <w:rFonts w:eastAsia="Aptos"/>
        </w:rPr>
        <w:t>Tallinnas veebruaris 2025 kokku 629 lühiajalise üüri majutuskohta, kus on 5 või rohkem voodikohta.</w:t>
      </w:r>
    </w:p>
    <w:p w14:paraId="478B2202" w14:textId="2B12C5A4" w:rsidR="009B225F" w:rsidRPr="00E14EBC" w:rsidRDefault="5A6C717C" w:rsidP="009B225F">
      <w:pPr>
        <w:spacing w:after="0"/>
        <w:jc w:val="both"/>
      </w:pPr>
      <w:r w:rsidRPr="5A6C717C">
        <w:rPr>
          <w:rFonts w:eastAsia="Aptos"/>
        </w:rPr>
        <w:t xml:space="preserve">SA majutusettevõtete statistika kohaselt oli </w:t>
      </w:r>
      <w:r w:rsidR="5A18D7EE" w:rsidRPr="288A3578">
        <w:rPr>
          <w:rFonts w:eastAsia="Aptos"/>
        </w:rPr>
        <w:t>Tallinna 130 registreeritud majutusettevõtetes 2023. aastal 19541 voodikohta.</w:t>
      </w:r>
    </w:p>
    <w:p w14:paraId="3FA47C85" w14:textId="1E892316" w:rsidR="009B225F" w:rsidRPr="00E14EBC" w:rsidRDefault="5A18D7EE" w:rsidP="009B225F">
      <w:pPr>
        <w:spacing w:after="0"/>
        <w:jc w:val="both"/>
        <w:rPr>
          <w:rFonts w:eastAsia="Aptos"/>
        </w:rPr>
      </w:pPr>
      <w:r w:rsidRPr="288A3578">
        <w:rPr>
          <w:rFonts w:eastAsia="Aptos"/>
        </w:rPr>
        <w:t>Mõned tulemused (Airbnb kuulutused + Booking ja Vrbo täiendused):</w:t>
      </w:r>
    </w:p>
    <w:p w14:paraId="2449D355" w14:textId="72FAA346" w:rsidR="009B225F" w:rsidRPr="00E14EBC" w:rsidRDefault="009B225F" w:rsidP="007F08F4">
      <w:pPr>
        <w:pStyle w:val="ListParagraph"/>
        <w:numPr>
          <w:ilvl w:val="0"/>
          <w:numId w:val="21"/>
        </w:numPr>
        <w:spacing w:after="0"/>
        <w:jc w:val="both"/>
        <w:rPr>
          <w:rFonts w:eastAsia="Aptos"/>
        </w:rPr>
      </w:pPr>
      <w:r w:rsidRPr="5A6C717C">
        <w:rPr>
          <w:rFonts w:eastAsia="Aptos"/>
        </w:rPr>
        <w:t xml:space="preserve">Tallinna </w:t>
      </w:r>
      <w:r w:rsidR="00AB154A" w:rsidRPr="5A6C717C">
        <w:rPr>
          <w:rFonts w:eastAsia="Aptos"/>
        </w:rPr>
        <w:t>v</w:t>
      </w:r>
      <w:r w:rsidRPr="5A6C717C">
        <w:rPr>
          <w:rFonts w:eastAsia="Aptos"/>
        </w:rPr>
        <w:t xml:space="preserve">analinn: </w:t>
      </w:r>
      <w:r w:rsidR="5A6C717C" w:rsidRPr="5A6C717C">
        <w:rPr>
          <w:rFonts w:eastAsia="Aptos"/>
        </w:rPr>
        <w:t xml:space="preserve">Airbnb’s </w:t>
      </w:r>
      <w:r w:rsidRPr="5A6C717C">
        <w:rPr>
          <w:rFonts w:eastAsia="Aptos"/>
        </w:rPr>
        <w:t xml:space="preserve">509 objekti, keskmine külaliste maksimaalne arv 4,7. </w:t>
      </w:r>
    </w:p>
    <w:p w14:paraId="3F3D35A0" w14:textId="65CA50C5" w:rsidR="009B225F" w:rsidRPr="00E14EBC" w:rsidRDefault="009B225F" w:rsidP="007F08F4">
      <w:pPr>
        <w:pStyle w:val="ListParagraph"/>
        <w:numPr>
          <w:ilvl w:val="0"/>
          <w:numId w:val="21"/>
        </w:numPr>
        <w:spacing w:after="0"/>
        <w:jc w:val="both"/>
      </w:pPr>
      <w:r w:rsidRPr="5A6C717C">
        <w:rPr>
          <w:rFonts w:eastAsia="Aptos"/>
        </w:rPr>
        <w:t xml:space="preserve">Neljal suuremal </w:t>
      </w:r>
      <w:r w:rsidR="0053429C" w:rsidRPr="5A6C717C">
        <w:rPr>
          <w:rFonts w:eastAsia="Aptos"/>
        </w:rPr>
        <w:t>teenuse pakkujal</w:t>
      </w:r>
      <w:r w:rsidRPr="5A6C717C">
        <w:rPr>
          <w:rFonts w:eastAsia="Aptos"/>
        </w:rPr>
        <w:t xml:space="preserve"> on 69 + 41 + 37 + 25 = 175 majutuskohta (kokku u 34%), üheskoos saavad nad majutada 398 + 139 + 295 + 184 = 1016 külalist (2401-st) e 42%.</w:t>
      </w:r>
    </w:p>
    <w:p w14:paraId="2A3F1B7C" w14:textId="6F812394" w:rsidR="009B225F" w:rsidRPr="00E14EBC" w:rsidRDefault="5A18D7EE" w:rsidP="007F08F4">
      <w:pPr>
        <w:pStyle w:val="ListParagraph"/>
        <w:numPr>
          <w:ilvl w:val="0"/>
          <w:numId w:val="21"/>
        </w:numPr>
        <w:spacing w:after="0"/>
        <w:jc w:val="both"/>
        <w:rPr>
          <w:rFonts w:eastAsia="Aptos"/>
        </w:rPr>
      </w:pPr>
      <w:r w:rsidRPr="288A3578">
        <w:rPr>
          <w:rFonts w:eastAsia="Aptos"/>
        </w:rPr>
        <w:t xml:space="preserve">Booking’st lisandub </w:t>
      </w:r>
      <w:r w:rsidR="5A6C717C" w:rsidRPr="5A6C717C">
        <w:rPr>
          <w:rFonts w:eastAsia="Aptos"/>
        </w:rPr>
        <w:t xml:space="preserve">Airbnb’le </w:t>
      </w:r>
      <w:r w:rsidRPr="288A3578">
        <w:rPr>
          <w:rFonts w:eastAsia="Aptos"/>
        </w:rPr>
        <w:t xml:space="preserve">134 objekti (max 675 külalist). Vrbo’st lisandub </w:t>
      </w:r>
      <w:r w:rsidR="7E18F3AD" w:rsidRPr="7E18F3AD">
        <w:rPr>
          <w:rFonts w:eastAsia="Aptos"/>
        </w:rPr>
        <w:t xml:space="preserve">kahele </w:t>
      </w:r>
      <w:r w:rsidR="5A6C717C" w:rsidRPr="5A6C717C">
        <w:rPr>
          <w:rFonts w:eastAsia="Aptos"/>
        </w:rPr>
        <w:t xml:space="preserve">eelnevale veel </w:t>
      </w:r>
      <w:r w:rsidRPr="288A3578">
        <w:rPr>
          <w:rFonts w:eastAsia="Aptos"/>
        </w:rPr>
        <w:t>24 (107).</w:t>
      </w:r>
    </w:p>
    <w:p w14:paraId="520E2E26" w14:textId="77777777" w:rsidR="009B225F" w:rsidRPr="00E14EBC" w:rsidRDefault="009B225F" w:rsidP="007F08F4">
      <w:pPr>
        <w:pStyle w:val="ListParagraph"/>
        <w:numPr>
          <w:ilvl w:val="0"/>
          <w:numId w:val="21"/>
        </w:numPr>
        <w:spacing w:after="0"/>
        <w:jc w:val="both"/>
      </w:pPr>
      <w:r w:rsidRPr="00E14EBC">
        <w:rPr>
          <w:rFonts w:eastAsia="Aptos" w:cstheme="minorHAnsi"/>
          <w:szCs w:val="24"/>
        </w:rPr>
        <w:lastRenderedPageBreak/>
        <w:t>Vanalinnas on kolmel platvormil kokku saadaval 2401 + 675 + 107 = 3183 voodikohta.</w:t>
      </w:r>
    </w:p>
    <w:p w14:paraId="050D5A4D" w14:textId="77777777" w:rsidR="009B225F" w:rsidRPr="00E14EBC" w:rsidRDefault="009B225F" w:rsidP="007F08F4">
      <w:pPr>
        <w:pStyle w:val="ListParagraph"/>
        <w:numPr>
          <w:ilvl w:val="1"/>
          <w:numId w:val="22"/>
        </w:numPr>
        <w:spacing w:before="0" w:after="0"/>
        <w:jc w:val="both"/>
        <w:rPr>
          <w:rFonts w:eastAsia="Aptos" w:cstheme="minorHAnsi"/>
          <w:szCs w:val="24"/>
        </w:rPr>
      </w:pPr>
      <w:r w:rsidRPr="00E14EBC">
        <w:rPr>
          <w:rFonts w:eastAsia="Aptos" w:cstheme="minorHAnsi"/>
          <w:szCs w:val="24"/>
        </w:rPr>
        <w:t>Visittallinn.ee veebilehel on 11 vanalinna hotelli, kus on kokku ligi 900 voodikohta.</w:t>
      </w:r>
    </w:p>
    <w:p w14:paraId="6C4DDE10" w14:textId="77777777" w:rsidR="009B225F" w:rsidRPr="00E14EBC" w:rsidRDefault="009B225F" w:rsidP="007F08F4">
      <w:pPr>
        <w:pStyle w:val="ListParagraph"/>
        <w:numPr>
          <w:ilvl w:val="1"/>
          <w:numId w:val="22"/>
        </w:numPr>
        <w:spacing w:before="0" w:after="0"/>
        <w:jc w:val="both"/>
        <w:rPr>
          <w:rFonts w:eastAsia="Aptos" w:cstheme="minorHAnsi"/>
          <w:szCs w:val="24"/>
        </w:rPr>
      </w:pPr>
      <w:r w:rsidRPr="00E14EBC">
        <w:rPr>
          <w:rFonts w:eastAsia="Aptos" w:cstheme="minorHAnsi"/>
          <w:szCs w:val="24"/>
        </w:rPr>
        <w:t>Maa-ameti infosüsteemis on vanalinnas u 2400 eluruumi.</w:t>
      </w:r>
    </w:p>
    <w:p w14:paraId="024CFE75" w14:textId="0E7F8FC8" w:rsidR="009B225F" w:rsidRPr="00E14EBC" w:rsidRDefault="009B225F" w:rsidP="007F08F4">
      <w:pPr>
        <w:pStyle w:val="ListParagraph"/>
        <w:numPr>
          <w:ilvl w:val="0"/>
          <w:numId w:val="21"/>
        </w:numPr>
        <w:spacing w:before="0" w:after="0"/>
        <w:jc w:val="both"/>
        <w:rPr>
          <w:rFonts w:eastAsia="Aptos"/>
        </w:rPr>
      </w:pPr>
      <w:r w:rsidRPr="00E14EBC">
        <w:rPr>
          <w:rFonts w:eastAsia="Aptos"/>
        </w:rPr>
        <w:t xml:space="preserve">Vanalinnas on </w:t>
      </w:r>
      <w:r w:rsidR="5A6C717C" w:rsidRPr="5A6C717C">
        <w:rPr>
          <w:rFonts w:eastAsia="Aptos"/>
        </w:rPr>
        <w:t xml:space="preserve">kolmel platvormil </w:t>
      </w:r>
      <w:r w:rsidRPr="00E14EBC">
        <w:rPr>
          <w:rFonts w:eastAsia="Aptos"/>
        </w:rPr>
        <w:t>205 + 60 + 7 = 272 lühiajalise müüri majutuskohta, kus on 5 või rohkem voodikohta.</w:t>
      </w:r>
    </w:p>
    <w:p w14:paraId="161400CD" w14:textId="69DF889A" w:rsidR="7E18F3AD" w:rsidRDefault="7E18F3AD" w:rsidP="7E18F3AD">
      <w:pPr>
        <w:spacing w:after="0"/>
        <w:jc w:val="both"/>
        <w:rPr>
          <w:rFonts w:eastAsia="Aptos"/>
          <w:szCs w:val="24"/>
        </w:rPr>
      </w:pPr>
    </w:p>
    <w:p w14:paraId="5ECA7EAE" w14:textId="4DDD2821" w:rsidR="009B225F" w:rsidRPr="00E14EBC" w:rsidRDefault="5A18D7EE" w:rsidP="007F08F4">
      <w:pPr>
        <w:pStyle w:val="ListParagraph"/>
        <w:numPr>
          <w:ilvl w:val="0"/>
          <w:numId w:val="21"/>
        </w:numPr>
        <w:spacing w:after="0"/>
        <w:jc w:val="both"/>
        <w:rPr>
          <w:rFonts w:eastAsia="Aptos"/>
        </w:rPr>
      </w:pPr>
      <w:r w:rsidRPr="288A3578">
        <w:rPr>
          <w:rFonts w:eastAsia="Aptos"/>
        </w:rPr>
        <w:t>Tallinn Kalamaja:</w:t>
      </w:r>
      <w:r w:rsidR="5A6C717C" w:rsidRPr="5A6C717C">
        <w:rPr>
          <w:rFonts w:eastAsia="Aptos"/>
        </w:rPr>
        <w:t xml:space="preserve"> Airbnb’s</w:t>
      </w:r>
      <w:r w:rsidRPr="288A3578">
        <w:rPr>
          <w:rFonts w:eastAsia="Aptos"/>
        </w:rPr>
        <w:t xml:space="preserve"> 253 objekti, keskmine külaliste maksimaalne arv objekti kohta 3,1. Majutuskoha asukohaks on 13 kuulutuses märgitud vanalinn. Tuvastatav üks suurem </w:t>
      </w:r>
      <w:r w:rsidR="7725B9DF" w:rsidRPr="288A3578">
        <w:rPr>
          <w:rFonts w:eastAsia="Aptos"/>
        </w:rPr>
        <w:t>teenuse pakkuja</w:t>
      </w:r>
      <w:r w:rsidRPr="288A3578">
        <w:rPr>
          <w:rFonts w:eastAsia="Aptos"/>
        </w:rPr>
        <w:t xml:space="preserve"> (10 objekti, maksimaalselt 22 külalist). Airbnb ööbimisvõimalusi on 794 külastajale.</w:t>
      </w:r>
    </w:p>
    <w:p w14:paraId="196AD18D" w14:textId="2D9BC2C9" w:rsidR="009B225F" w:rsidRPr="00E14EBC" w:rsidRDefault="5A18D7EE" w:rsidP="007F08F4">
      <w:pPr>
        <w:pStyle w:val="ListParagraph"/>
        <w:numPr>
          <w:ilvl w:val="0"/>
          <w:numId w:val="21"/>
        </w:numPr>
        <w:spacing w:after="0"/>
        <w:jc w:val="both"/>
        <w:rPr>
          <w:rFonts w:eastAsia="Aptos"/>
        </w:rPr>
      </w:pPr>
      <w:r w:rsidRPr="288A3578">
        <w:rPr>
          <w:rFonts w:eastAsia="Aptos"/>
        </w:rPr>
        <w:t xml:space="preserve">Booking’st lisandub </w:t>
      </w:r>
      <w:r w:rsidR="5A6C717C" w:rsidRPr="5A6C717C">
        <w:rPr>
          <w:rFonts w:eastAsia="Aptos"/>
        </w:rPr>
        <w:t xml:space="preserve">Airbnb’le </w:t>
      </w:r>
      <w:r w:rsidRPr="288A3578">
        <w:rPr>
          <w:rFonts w:eastAsia="Aptos"/>
        </w:rPr>
        <w:t xml:space="preserve">43 objekti (maksimaalselt 154 külalist). Kokku </w:t>
      </w:r>
      <w:r w:rsidR="4C52D407" w:rsidRPr="288A3578">
        <w:rPr>
          <w:rFonts w:eastAsia="Aptos"/>
        </w:rPr>
        <w:t xml:space="preserve">kahe platvormi peale </w:t>
      </w:r>
      <w:r w:rsidRPr="288A3578">
        <w:rPr>
          <w:rFonts w:eastAsia="Aptos"/>
        </w:rPr>
        <w:t>948 voodikohta.</w:t>
      </w:r>
    </w:p>
    <w:p w14:paraId="31F5CDC3" w14:textId="77777777" w:rsidR="009B225F" w:rsidRPr="00E14EBC" w:rsidRDefault="009B225F" w:rsidP="5A6C717C">
      <w:pPr>
        <w:pStyle w:val="ListParagraph"/>
        <w:numPr>
          <w:ilvl w:val="1"/>
          <w:numId w:val="21"/>
        </w:numPr>
        <w:spacing w:before="0" w:after="0"/>
        <w:jc w:val="both"/>
        <w:rPr>
          <w:rFonts w:eastAsia="Aptos"/>
        </w:rPr>
      </w:pPr>
      <w:r w:rsidRPr="5A6C717C">
        <w:rPr>
          <w:rFonts w:eastAsia="Aptos"/>
        </w:rPr>
        <w:t>Maa-ameti infosüsteemis on Kalamajas u 8800 eluruumi.</w:t>
      </w:r>
    </w:p>
    <w:p w14:paraId="3DE38CE1" w14:textId="518D3F89" w:rsidR="009B225F" w:rsidRPr="00E14EBC" w:rsidRDefault="009B225F" w:rsidP="007F08F4">
      <w:pPr>
        <w:pStyle w:val="ListParagraph"/>
        <w:numPr>
          <w:ilvl w:val="0"/>
          <w:numId w:val="21"/>
        </w:numPr>
        <w:spacing w:before="0" w:after="0"/>
        <w:jc w:val="both"/>
        <w:rPr>
          <w:rFonts w:eastAsia="Aptos"/>
        </w:rPr>
      </w:pPr>
      <w:r w:rsidRPr="5A6C717C">
        <w:rPr>
          <w:rFonts w:eastAsia="Aptos"/>
        </w:rPr>
        <w:t xml:space="preserve">Kalamajas on </w:t>
      </w:r>
      <w:r w:rsidR="5A6C717C" w:rsidRPr="5A6C717C">
        <w:rPr>
          <w:rFonts w:eastAsia="Aptos"/>
        </w:rPr>
        <w:t xml:space="preserve">kahel platvormil </w:t>
      </w:r>
      <w:r w:rsidRPr="5A6C717C">
        <w:rPr>
          <w:rFonts w:eastAsia="Aptos"/>
        </w:rPr>
        <w:t>35 + 9 = 44 lühiajalise üüri majutuskohta, kus on 5 või rohkem voodikohta.</w:t>
      </w:r>
    </w:p>
    <w:p w14:paraId="1900DDD0" w14:textId="0DCED9D1" w:rsidR="7E18F3AD" w:rsidRDefault="7E18F3AD" w:rsidP="7E18F3AD">
      <w:pPr>
        <w:spacing w:after="0"/>
        <w:jc w:val="both"/>
        <w:rPr>
          <w:rFonts w:eastAsia="Aptos"/>
          <w:szCs w:val="24"/>
        </w:rPr>
      </w:pPr>
    </w:p>
    <w:p w14:paraId="5DA061D0" w14:textId="1156EE5B" w:rsidR="009B225F" w:rsidRPr="00E14EBC" w:rsidRDefault="5A18D7EE" w:rsidP="288A3578">
      <w:pPr>
        <w:pStyle w:val="ListParagraph"/>
        <w:numPr>
          <w:ilvl w:val="0"/>
          <w:numId w:val="21"/>
        </w:numPr>
        <w:spacing w:after="0"/>
        <w:jc w:val="both"/>
        <w:rPr>
          <w:rFonts w:eastAsia="Aptos"/>
        </w:rPr>
      </w:pPr>
      <w:r w:rsidRPr="288A3578">
        <w:rPr>
          <w:rFonts w:eastAsia="Aptos"/>
        </w:rPr>
        <w:t xml:space="preserve">Tallinna kesklinn (v.a </w:t>
      </w:r>
      <w:r w:rsidR="0091195E">
        <w:rPr>
          <w:rFonts w:eastAsia="Aptos"/>
        </w:rPr>
        <w:t>v</w:t>
      </w:r>
      <w:r w:rsidRPr="288A3578">
        <w:rPr>
          <w:rFonts w:eastAsia="Aptos"/>
        </w:rPr>
        <w:t xml:space="preserve">analinn): </w:t>
      </w:r>
      <w:r w:rsidR="5A6C717C" w:rsidRPr="5A6C717C">
        <w:rPr>
          <w:rFonts w:eastAsia="Aptos"/>
        </w:rPr>
        <w:t xml:space="preserve">Airbnb’s </w:t>
      </w:r>
      <w:r w:rsidRPr="288A3578">
        <w:rPr>
          <w:rFonts w:eastAsia="Aptos"/>
        </w:rPr>
        <w:t xml:space="preserve">937 objekti, keskmine külaliste maksimaalne arv 3,5. </w:t>
      </w:r>
    </w:p>
    <w:p w14:paraId="6CD54CBD" w14:textId="3CE4FA4B" w:rsidR="009B225F" w:rsidRPr="00E14EBC" w:rsidRDefault="5A18D7EE" w:rsidP="288A3578">
      <w:pPr>
        <w:pStyle w:val="ListParagraph"/>
        <w:numPr>
          <w:ilvl w:val="0"/>
          <w:numId w:val="21"/>
        </w:numPr>
        <w:spacing w:after="0"/>
        <w:jc w:val="both"/>
        <w:rPr>
          <w:rFonts w:eastAsia="Aptos"/>
        </w:rPr>
      </w:pPr>
      <w:r w:rsidRPr="288A3578">
        <w:rPr>
          <w:rFonts w:eastAsia="Aptos"/>
        </w:rPr>
        <w:t xml:space="preserve">Viiel suuremal </w:t>
      </w:r>
      <w:r w:rsidR="7725B9DF" w:rsidRPr="288A3578">
        <w:rPr>
          <w:rFonts w:eastAsia="Aptos"/>
        </w:rPr>
        <w:t xml:space="preserve">teenuse </w:t>
      </w:r>
      <w:r w:rsidR="5D8ED2CF" w:rsidRPr="288A3578">
        <w:rPr>
          <w:rFonts w:eastAsia="Aptos"/>
        </w:rPr>
        <w:t>pakkujal</w:t>
      </w:r>
      <w:r w:rsidRPr="288A3578">
        <w:rPr>
          <w:rFonts w:eastAsia="Aptos"/>
        </w:rPr>
        <w:t xml:space="preserve"> on 46 + 42 + 20 + 19 + 19 = 146 majutuskohta (kokku u 16%), üheskoos saavad nad majutada 127 + 117 + 46 + 79 + 70 = 439 külalist (3257-st) e 13%.</w:t>
      </w:r>
    </w:p>
    <w:p w14:paraId="4DEDE93E" w14:textId="6AE128E3" w:rsidR="009B225F" w:rsidRPr="00E14EBC" w:rsidRDefault="009B225F" w:rsidP="007F08F4">
      <w:pPr>
        <w:pStyle w:val="ListParagraph"/>
        <w:numPr>
          <w:ilvl w:val="0"/>
          <w:numId w:val="21"/>
        </w:numPr>
        <w:spacing w:after="0"/>
        <w:jc w:val="both"/>
        <w:rPr>
          <w:rFonts w:eastAsia="Aptos"/>
        </w:rPr>
      </w:pPr>
      <w:r w:rsidRPr="5A6C717C">
        <w:rPr>
          <w:rFonts w:eastAsia="Aptos"/>
        </w:rPr>
        <w:t xml:space="preserve">Booking’st lisandub </w:t>
      </w:r>
      <w:r w:rsidR="5A6C717C" w:rsidRPr="5A6C717C">
        <w:rPr>
          <w:rFonts w:eastAsia="Aptos"/>
        </w:rPr>
        <w:t xml:space="preserve">Airbnb’le </w:t>
      </w:r>
      <w:r w:rsidRPr="5A6C717C">
        <w:rPr>
          <w:rFonts w:eastAsia="Aptos"/>
        </w:rPr>
        <w:t xml:space="preserve">192 objekti (maksimaalselt 758 külalist). Vrbo’st lisandub </w:t>
      </w:r>
      <w:r w:rsidR="5A6C717C" w:rsidRPr="5A6C717C">
        <w:rPr>
          <w:rFonts w:eastAsia="Aptos"/>
        </w:rPr>
        <w:t xml:space="preserve">eelnevatele veel </w:t>
      </w:r>
      <w:r w:rsidRPr="5A6C717C">
        <w:rPr>
          <w:rFonts w:eastAsia="Aptos"/>
        </w:rPr>
        <w:t xml:space="preserve">22 (107). </w:t>
      </w:r>
    </w:p>
    <w:p w14:paraId="3B19CFA8" w14:textId="77777777" w:rsidR="009B225F" w:rsidRPr="00E14EBC" w:rsidRDefault="009B225F" w:rsidP="007F08F4">
      <w:pPr>
        <w:pStyle w:val="ListParagraph"/>
        <w:numPr>
          <w:ilvl w:val="0"/>
          <w:numId w:val="21"/>
        </w:numPr>
        <w:spacing w:after="0"/>
        <w:jc w:val="both"/>
      </w:pPr>
      <w:r w:rsidRPr="00E14EBC">
        <w:rPr>
          <w:rFonts w:eastAsia="Aptos" w:cstheme="minorHAnsi"/>
          <w:szCs w:val="24"/>
        </w:rPr>
        <w:t>Kokku 4122 voodikohta.</w:t>
      </w:r>
    </w:p>
    <w:p w14:paraId="68403B97" w14:textId="2F6CDA6B" w:rsidR="009B225F" w:rsidRPr="00E14EBC" w:rsidRDefault="009B225F" w:rsidP="007F08F4">
      <w:pPr>
        <w:pStyle w:val="ListParagraph"/>
        <w:numPr>
          <w:ilvl w:val="0"/>
          <w:numId w:val="21"/>
        </w:numPr>
        <w:spacing w:before="0" w:after="0"/>
        <w:jc w:val="both"/>
        <w:rPr>
          <w:rFonts w:eastAsia="Aptos"/>
        </w:rPr>
      </w:pPr>
      <w:r w:rsidRPr="00E14EBC">
        <w:rPr>
          <w:rFonts w:eastAsia="Aptos"/>
        </w:rPr>
        <w:t xml:space="preserve">Kesklinnas on </w:t>
      </w:r>
      <w:r w:rsidR="5A6C717C" w:rsidRPr="5A6C717C">
        <w:rPr>
          <w:rFonts w:eastAsia="Aptos"/>
        </w:rPr>
        <w:t xml:space="preserve">kolmel platvormil </w:t>
      </w:r>
      <w:r w:rsidRPr="00E14EBC">
        <w:rPr>
          <w:rFonts w:eastAsia="Aptos"/>
        </w:rPr>
        <w:t>147 + 60 + 4 = 211 lühiajalise üüri majutuskohta, kus on 5 või rohkem voodikohta.</w:t>
      </w:r>
    </w:p>
    <w:p w14:paraId="1F3372F3" w14:textId="60FF1A43" w:rsidR="7E18F3AD" w:rsidRDefault="7E18F3AD" w:rsidP="7E18F3AD">
      <w:pPr>
        <w:jc w:val="both"/>
        <w:rPr>
          <w:szCs w:val="24"/>
        </w:rPr>
      </w:pPr>
    </w:p>
    <w:p w14:paraId="033B0EB7" w14:textId="77777777" w:rsidR="009B225F" w:rsidRPr="00E14EBC" w:rsidRDefault="009B225F" w:rsidP="007F08F4">
      <w:pPr>
        <w:pStyle w:val="ListParagraph"/>
        <w:numPr>
          <w:ilvl w:val="0"/>
          <w:numId w:val="21"/>
        </w:numPr>
        <w:jc w:val="both"/>
      </w:pPr>
      <w:r w:rsidRPr="7E18F3AD">
        <w:rPr>
          <w:rFonts w:eastAsia="Aptos"/>
        </w:rPr>
        <w:t>Põhja-Tallinn, v.a Kalamaja 175 objekti ja max 434 külalist; Haabersti 66 ja 269; Kristiine 114 ja 409; Lasnamäe 119 ja 418; Mustamäe 61 ja 173; Nõmme 58 ja 219; Pirita 35 ja 124.</w:t>
      </w:r>
    </w:p>
    <w:p w14:paraId="7F70802B" w14:textId="34257783" w:rsidR="7E18F3AD" w:rsidRDefault="7E18F3AD" w:rsidP="7E18F3AD">
      <w:pPr>
        <w:jc w:val="both"/>
        <w:rPr>
          <w:rFonts w:eastAsia="Aptos"/>
          <w:szCs w:val="24"/>
        </w:rPr>
      </w:pPr>
    </w:p>
    <w:p w14:paraId="0BB02374" w14:textId="1459082C" w:rsidR="009B225F" w:rsidRPr="00E14EBC" w:rsidRDefault="009B225F" w:rsidP="007F08F4">
      <w:pPr>
        <w:pStyle w:val="ListParagraph"/>
        <w:numPr>
          <w:ilvl w:val="0"/>
          <w:numId w:val="21"/>
        </w:numPr>
        <w:jc w:val="both"/>
        <w:rPr>
          <w:rFonts w:eastAsia="Aptos"/>
        </w:rPr>
      </w:pPr>
      <w:r w:rsidRPr="00E14EBC">
        <w:rPr>
          <w:rFonts w:eastAsia="Aptos"/>
        </w:rPr>
        <w:t xml:space="preserve">Doorbll kodulehel olevat linnaosade tabelit (Lisa 5, Tabel 4) analüüsides torkab eeskätt silma, et </w:t>
      </w:r>
      <w:r w:rsidR="00EF0C69" w:rsidRPr="00E14EBC">
        <w:rPr>
          <w:rFonts w:eastAsia="Aptos"/>
        </w:rPr>
        <w:t>k</w:t>
      </w:r>
      <w:r w:rsidRPr="00E14EBC">
        <w:rPr>
          <w:rFonts w:eastAsia="Aptos"/>
        </w:rPr>
        <w:t>esklinna/vanalinna ja ‘mägede’ majutushinnad erinevad üllatavalt vähe. Teiseks tundub eraldi tubade osakaal liiga kõrge.</w:t>
      </w:r>
    </w:p>
    <w:p w14:paraId="176B9DEC" w14:textId="221661BC" w:rsidR="2DDA8BF5" w:rsidRPr="00E14EBC" w:rsidRDefault="2DDA8BF5" w:rsidP="2DDA8BF5">
      <w:pPr>
        <w:spacing w:before="0" w:line="259" w:lineRule="auto"/>
      </w:pPr>
    </w:p>
    <w:p w14:paraId="00F60279" w14:textId="1E82AB60" w:rsidR="00664CBA" w:rsidRPr="00E14EBC" w:rsidRDefault="00664CBA" w:rsidP="0013013D">
      <w:pPr>
        <w:spacing w:before="0" w:line="259" w:lineRule="auto"/>
        <w:rPr>
          <w:rFonts w:asciiTheme="majorHAnsi" w:eastAsiaTheme="majorEastAsia" w:hAnsiTheme="majorHAnsi" w:cstheme="majorBidi" w:hint="eastAsia"/>
          <w:color w:val="1A1A1A" w:themeColor="accent1" w:themeShade="BF"/>
          <w:sz w:val="28"/>
          <w:szCs w:val="26"/>
        </w:rPr>
      </w:pPr>
      <w:r w:rsidRPr="00E14EBC">
        <w:rPr>
          <w:sz w:val="28"/>
          <w:szCs w:val="26"/>
        </w:rPr>
        <w:br w:type="page"/>
      </w:r>
    </w:p>
    <w:p w14:paraId="5DCD9EE3" w14:textId="77777777" w:rsidR="00FE3311" w:rsidRPr="00E14EBC" w:rsidRDefault="00FE3311" w:rsidP="00104145">
      <w:pPr>
        <w:pStyle w:val="Heading2"/>
        <w:numPr>
          <w:ilvl w:val="0"/>
          <w:numId w:val="0"/>
        </w:numPr>
        <w:rPr>
          <w:rFonts w:hint="eastAsia"/>
        </w:rPr>
        <w:sectPr w:rsidR="00FE3311" w:rsidRPr="00E14EBC" w:rsidSect="00211F6F">
          <w:pgSz w:w="16838" w:h="11906" w:orient="landscape"/>
          <w:pgMar w:top="821" w:right="1469" w:bottom="821" w:left="1469" w:header="706" w:footer="706" w:gutter="0"/>
          <w:cols w:space="708"/>
          <w:titlePg/>
          <w:docGrid w:linePitch="360"/>
        </w:sectPr>
      </w:pPr>
    </w:p>
    <w:p w14:paraId="3DCFF80D" w14:textId="0724F472" w:rsidR="005D2D77" w:rsidRPr="00E14EBC" w:rsidRDefault="00F70914" w:rsidP="001E5B0D">
      <w:pPr>
        <w:pStyle w:val="Heading2"/>
        <w:numPr>
          <w:ilvl w:val="0"/>
          <w:numId w:val="0"/>
        </w:numPr>
        <w:rPr>
          <w:rFonts w:hint="eastAsia"/>
        </w:rPr>
      </w:pPr>
      <w:bookmarkStart w:id="228" w:name="_Toc197718098"/>
      <w:bookmarkStart w:id="229" w:name="_Toc208991651"/>
      <w:r w:rsidRPr="00E14EBC">
        <w:lastRenderedPageBreak/>
        <w:t xml:space="preserve">Lisa </w:t>
      </w:r>
      <w:r w:rsidR="003B71C1" w:rsidRPr="00E14EBC">
        <w:t>6</w:t>
      </w:r>
      <w:r w:rsidRPr="00E14EBC">
        <w:t>.</w:t>
      </w:r>
      <w:r w:rsidR="002F707B" w:rsidRPr="00E14EBC">
        <w:t xml:space="preserve"> </w:t>
      </w:r>
      <w:bookmarkEnd w:id="228"/>
      <w:r w:rsidR="00DD5F47">
        <w:t>Uuringus osalenute</w:t>
      </w:r>
      <w:r w:rsidR="00900464" w:rsidRPr="00E14EBC">
        <w:t xml:space="preserve"> valim</w:t>
      </w:r>
      <w:bookmarkEnd w:id="229"/>
      <w:r w:rsidR="00900464" w:rsidRPr="00E14EBC">
        <w:t xml:space="preserve"> </w:t>
      </w:r>
    </w:p>
    <w:p w14:paraId="507973C3" w14:textId="77777777" w:rsidR="001E5B0D" w:rsidRPr="001E5B0D" w:rsidRDefault="001E5B0D" w:rsidP="001E5B0D"/>
    <w:tbl>
      <w:tblPr>
        <w:tblStyle w:val="GridTable5Dark"/>
        <w:tblW w:w="10080" w:type="dxa"/>
        <w:tblInd w:w="-5" w:type="dxa"/>
        <w:tblLayout w:type="fixed"/>
        <w:tblLook w:val="06A0" w:firstRow="1" w:lastRow="0" w:firstColumn="1" w:lastColumn="0" w:noHBand="1" w:noVBand="1"/>
      </w:tblPr>
      <w:tblGrid>
        <w:gridCol w:w="2070"/>
        <w:gridCol w:w="5580"/>
        <w:gridCol w:w="1260"/>
        <w:gridCol w:w="1170"/>
      </w:tblGrid>
      <w:tr w:rsidR="00254ED6" w:rsidRPr="00E14EBC" w14:paraId="06F7F4E2" w14:textId="77777777" w:rsidTr="005559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70" w:type="dxa"/>
            <w:tcBorders>
              <w:right w:val="single" w:sz="4" w:space="0" w:color="FEFEFE" w:themeColor="background2"/>
            </w:tcBorders>
          </w:tcPr>
          <w:p w14:paraId="6E6BE349" w14:textId="77777777" w:rsidR="005D2D77" w:rsidRPr="00E14EBC" w:rsidRDefault="005D2D77" w:rsidP="008F3CC1">
            <w:pPr>
              <w:jc w:val="center"/>
            </w:pPr>
            <w:r w:rsidRPr="00E14EBC">
              <w:t>Sihtgrupp</w:t>
            </w:r>
          </w:p>
        </w:tc>
        <w:tc>
          <w:tcPr>
            <w:tcW w:w="5580" w:type="dxa"/>
            <w:tcBorders>
              <w:left w:val="single" w:sz="4" w:space="0" w:color="FEFEFE" w:themeColor="background2"/>
            </w:tcBorders>
          </w:tcPr>
          <w:p w14:paraId="3BFB5C2F" w14:textId="42B87C19" w:rsidR="005D2D77" w:rsidRPr="00E14EBC" w:rsidRDefault="00B7477E" w:rsidP="008F3CC1">
            <w:pPr>
              <w:jc w:val="center"/>
              <w:cnfStyle w:val="100000000000" w:firstRow="1" w:lastRow="0" w:firstColumn="0" w:lastColumn="0" w:oddVBand="0" w:evenVBand="0" w:oddHBand="0" w:evenHBand="0" w:firstRowFirstColumn="0" w:firstRowLastColumn="0" w:lastRowFirstColumn="0" w:lastRowLastColumn="0"/>
            </w:pPr>
            <w:r w:rsidRPr="00E14EBC">
              <w:t>T</w:t>
            </w:r>
            <w:r w:rsidR="005D2D77" w:rsidRPr="00E14EBC">
              <w:t>uruosalised</w:t>
            </w:r>
            <w:r w:rsidR="00B82419">
              <w:t xml:space="preserve"> jm asjakohased osapooled</w:t>
            </w:r>
          </w:p>
        </w:tc>
        <w:tc>
          <w:tcPr>
            <w:tcW w:w="1260" w:type="dxa"/>
            <w:tcBorders>
              <w:left w:val="single" w:sz="4" w:space="0" w:color="FEFEFE" w:themeColor="background2"/>
            </w:tcBorders>
          </w:tcPr>
          <w:p w14:paraId="350C49DF" w14:textId="483AFE4D" w:rsidR="005D2D77" w:rsidRPr="00E14EBC" w:rsidRDefault="005D2D77" w:rsidP="008F3CC1">
            <w:pPr>
              <w:jc w:val="center"/>
              <w:cnfStyle w:val="100000000000" w:firstRow="1" w:lastRow="0" w:firstColumn="0" w:lastColumn="0" w:oddVBand="0" w:evenVBand="0" w:oddHBand="0" w:evenHBand="0" w:firstRowFirstColumn="0" w:firstRowLastColumn="0" w:lastRowFirstColumn="0" w:lastRowLastColumn="0"/>
            </w:pPr>
            <w:r w:rsidRPr="00E14EBC">
              <w:t>Interv</w:t>
            </w:r>
            <w:r w:rsidR="00A444FD" w:rsidRPr="00E14EBC">
              <w:t>-</w:t>
            </w:r>
            <w:r w:rsidRPr="00E14EBC">
              <w:t xml:space="preserve">juude </w:t>
            </w:r>
            <w:r w:rsidR="003A539F" w:rsidRPr="00E14EBC">
              <w:t>arv</w:t>
            </w:r>
          </w:p>
        </w:tc>
        <w:tc>
          <w:tcPr>
            <w:tcW w:w="1170" w:type="dxa"/>
            <w:tcBorders>
              <w:left w:val="single" w:sz="4" w:space="0" w:color="FEFEFE" w:themeColor="background2"/>
              <w:right w:val="single" w:sz="4" w:space="0" w:color="FEFEFE" w:themeColor="background2"/>
            </w:tcBorders>
          </w:tcPr>
          <w:p w14:paraId="337ABED6" w14:textId="6A5B6647" w:rsidR="005D2D77" w:rsidRPr="00E14EBC" w:rsidRDefault="005D2D77" w:rsidP="008F3CC1">
            <w:pPr>
              <w:jc w:val="center"/>
              <w:cnfStyle w:val="100000000000" w:firstRow="1" w:lastRow="0" w:firstColumn="0" w:lastColumn="0" w:oddVBand="0" w:evenVBand="0" w:oddHBand="0" w:evenHBand="0" w:firstRowFirstColumn="0" w:firstRowLastColumn="0" w:lastRowFirstColumn="0" w:lastRowLastColumn="0"/>
            </w:pPr>
            <w:r w:rsidRPr="00E14EBC">
              <w:t>Interv</w:t>
            </w:r>
            <w:r w:rsidR="003A539F" w:rsidRPr="00E14EBC">
              <w:t>-</w:t>
            </w:r>
            <w:r w:rsidRPr="00E14EBC">
              <w:t>juu(de)l osale</w:t>
            </w:r>
            <w:r w:rsidR="00B41030" w:rsidRPr="00E14EBC">
              <w:t>-</w:t>
            </w:r>
            <w:r w:rsidRPr="00E14EBC">
              <w:t>nute arv</w:t>
            </w:r>
          </w:p>
        </w:tc>
      </w:tr>
      <w:tr w:rsidR="00AF7639" w:rsidRPr="00E14EBC" w14:paraId="25DF70B0"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val="restart"/>
          </w:tcPr>
          <w:p w14:paraId="717A2D1C" w14:textId="77777777" w:rsidR="005D2D77" w:rsidRPr="00E14EBC" w:rsidRDefault="005D2D77" w:rsidP="008F3CC1">
            <w:r w:rsidRPr="00E14EBC">
              <w:t>Kohalikud omavalitsused ja nendega seotud osapooled (sh regionaal- ja eluasemepoliitika kujundamine kohalikul tasandil)</w:t>
            </w:r>
          </w:p>
          <w:p w14:paraId="77216F0C" w14:textId="77777777" w:rsidR="005D2D77" w:rsidRPr="00E14EBC" w:rsidRDefault="005D2D77" w:rsidP="008F3CC1"/>
        </w:tc>
        <w:tc>
          <w:tcPr>
            <w:tcW w:w="5580" w:type="dxa"/>
          </w:tcPr>
          <w:p w14:paraId="58AE2481"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Tallinna Linnavalitsus</w:t>
            </w:r>
          </w:p>
        </w:tc>
        <w:tc>
          <w:tcPr>
            <w:tcW w:w="1260" w:type="dxa"/>
          </w:tcPr>
          <w:p w14:paraId="2BBB6086"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4E72D197"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AF7639" w:rsidRPr="00E14EBC" w14:paraId="1A4109A5"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07F2D9D2" w14:textId="77777777" w:rsidR="005D2D77" w:rsidRPr="00E14EBC" w:rsidRDefault="005D2D77" w:rsidP="008F3CC1"/>
        </w:tc>
        <w:tc>
          <w:tcPr>
            <w:tcW w:w="5580" w:type="dxa"/>
          </w:tcPr>
          <w:p w14:paraId="0A9B0484"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Tallinna Strateegiakeskus</w:t>
            </w:r>
          </w:p>
        </w:tc>
        <w:tc>
          <w:tcPr>
            <w:tcW w:w="1260" w:type="dxa"/>
          </w:tcPr>
          <w:p w14:paraId="7808EA68"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0915894D"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3</w:t>
            </w:r>
          </w:p>
        </w:tc>
      </w:tr>
      <w:tr w:rsidR="00AF7639" w:rsidRPr="00E14EBC" w14:paraId="6CDAC47C"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4C1BBB09" w14:textId="77777777" w:rsidR="005D2D77" w:rsidRPr="00E14EBC" w:rsidRDefault="005D2D77" w:rsidP="008F3CC1">
            <w:pPr>
              <w:spacing w:line="259" w:lineRule="auto"/>
            </w:pPr>
          </w:p>
        </w:tc>
        <w:tc>
          <w:tcPr>
            <w:tcW w:w="5580" w:type="dxa"/>
          </w:tcPr>
          <w:p w14:paraId="5EE315AB"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Tallinna Vanalinna Selts</w:t>
            </w:r>
          </w:p>
        </w:tc>
        <w:tc>
          <w:tcPr>
            <w:tcW w:w="1260" w:type="dxa"/>
          </w:tcPr>
          <w:p w14:paraId="48C33350"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03945703"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3</w:t>
            </w:r>
          </w:p>
        </w:tc>
      </w:tr>
      <w:tr w:rsidR="00AF7639" w:rsidRPr="00E14EBC" w14:paraId="367625CC"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1FB0C44E" w14:textId="77777777" w:rsidR="005D2D77" w:rsidRPr="00E14EBC" w:rsidRDefault="005D2D77" w:rsidP="008F3CC1"/>
        </w:tc>
        <w:tc>
          <w:tcPr>
            <w:tcW w:w="5580" w:type="dxa"/>
          </w:tcPr>
          <w:p w14:paraId="5B67B688"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Pärnu Linnavalitsus (juhtkond, kinnisvara, turism)</w:t>
            </w:r>
          </w:p>
        </w:tc>
        <w:tc>
          <w:tcPr>
            <w:tcW w:w="1260" w:type="dxa"/>
          </w:tcPr>
          <w:p w14:paraId="34D26336"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3</w:t>
            </w:r>
          </w:p>
        </w:tc>
        <w:tc>
          <w:tcPr>
            <w:tcW w:w="1170" w:type="dxa"/>
          </w:tcPr>
          <w:p w14:paraId="0634E65D"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4</w:t>
            </w:r>
          </w:p>
        </w:tc>
      </w:tr>
      <w:tr w:rsidR="00AF7639" w:rsidRPr="00E14EBC" w14:paraId="4E60DE58"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6D94DCCC" w14:textId="77777777" w:rsidR="005D2D77" w:rsidRPr="00E14EBC" w:rsidRDefault="005D2D77" w:rsidP="008F3CC1"/>
        </w:tc>
        <w:tc>
          <w:tcPr>
            <w:tcW w:w="5580" w:type="dxa"/>
          </w:tcPr>
          <w:p w14:paraId="02E76836"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Tartu Linnavalitsus (juhtkond, kinnisvara, turism)</w:t>
            </w:r>
          </w:p>
        </w:tc>
        <w:tc>
          <w:tcPr>
            <w:tcW w:w="1260" w:type="dxa"/>
          </w:tcPr>
          <w:p w14:paraId="02959AE4"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3</w:t>
            </w:r>
          </w:p>
        </w:tc>
        <w:tc>
          <w:tcPr>
            <w:tcW w:w="1170" w:type="dxa"/>
          </w:tcPr>
          <w:p w14:paraId="4063C3F1"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3</w:t>
            </w:r>
          </w:p>
        </w:tc>
      </w:tr>
      <w:tr w:rsidR="00AF7639" w:rsidRPr="00E14EBC" w14:paraId="07D5AD19"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753EBA72" w14:textId="77777777" w:rsidR="005D2D77" w:rsidRPr="00E14EBC" w:rsidRDefault="005D2D77" w:rsidP="008F3CC1"/>
        </w:tc>
        <w:tc>
          <w:tcPr>
            <w:tcW w:w="5580" w:type="dxa"/>
          </w:tcPr>
          <w:p w14:paraId="02839783"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Saaremaa Vallavalitsus</w:t>
            </w:r>
          </w:p>
        </w:tc>
        <w:tc>
          <w:tcPr>
            <w:tcW w:w="1260" w:type="dxa"/>
          </w:tcPr>
          <w:p w14:paraId="0D5825E1"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09B1DF71"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AF7639" w:rsidRPr="00E14EBC" w14:paraId="5CCFBC89"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2B5E50A8" w14:textId="77777777" w:rsidR="005D2D77" w:rsidRPr="00E14EBC" w:rsidRDefault="005D2D77" w:rsidP="008F3CC1"/>
        </w:tc>
        <w:tc>
          <w:tcPr>
            <w:tcW w:w="5580" w:type="dxa"/>
          </w:tcPr>
          <w:p w14:paraId="5C48F5D3"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Otepää Vallavalitsus</w:t>
            </w:r>
          </w:p>
        </w:tc>
        <w:tc>
          <w:tcPr>
            <w:tcW w:w="1260" w:type="dxa"/>
          </w:tcPr>
          <w:p w14:paraId="760B93B7"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352EBB2F"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AF7639" w:rsidRPr="00E14EBC" w14:paraId="1FCD71D5"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2880B208" w14:textId="77777777" w:rsidR="005D2D77" w:rsidRPr="00E14EBC" w:rsidRDefault="005D2D77" w:rsidP="008F3CC1"/>
        </w:tc>
        <w:tc>
          <w:tcPr>
            <w:tcW w:w="5580" w:type="dxa"/>
          </w:tcPr>
          <w:p w14:paraId="6C3AA3B6"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Haapsalu Linnavalitsus</w:t>
            </w:r>
          </w:p>
        </w:tc>
        <w:tc>
          <w:tcPr>
            <w:tcW w:w="1260" w:type="dxa"/>
          </w:tcPr>
          <w:p w14:paraId="20A76FE9"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527CFB9C"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AF7639" w:rsidRPr="00E14EBC" w14:paraId="7E321065" w14:textId="77777777" w:rsidTr="005559E0">
        <w:trPr>
          <w:trHeight w:val="269"/>
        </w:trPr>
        <w:tc>
          <w:tcPr>
            <w:cnfStyle w:val="001000000000" w:firstRow="0" w:lastRow="0" w:firstColumn="1" w:lastColumn="0" w:oddVBand="0" w:evenVBand="0" w:oddHBand="0" w:evenHBand="0" w:firstRowFirstColumn="0" w:firstRowLastColumn="0" w:lastRowFirstColumn="0" w:lastRowLastColumn="0"/>
            <w:tcW w:w="2070" w:type="dxa"/>
            <w:vMerge w:val="restart"/>
          </w:tcPr>
          <w:p w14:paraId="2794A9E9" w14:textId="75C85528" w:rsidR="005D2D77" w:rsidRPr="00E14EBC" w:rsidRDefault="005D2D77" w:rsidP="008F3CC1">
            <w:pPr>
              <w:rPr>
                <w:b w:val="0"/>
                <w:bCs w:val="0"/>
              </w:rPr>
            </w:pPr>
            <w:r w:rsidRPr="00E14EBC">
              <w:t>Poliitika</w:t>
            </w:r>
            <w:r w:rsidR="005559E0" w:rsidRPr="00E14EBC">
              <w:t>-</w:t>
            </w:r>
            <w:r w:rsidRPr="00E14EBC">
              <w:t>kujundajad</w:t>
            </w:r>
          </w:p>
          <w:p w14:paraId="0D470599" w14:textId="77777777" w:rsidR="005D2D77" w:rsidRPr="00E14EBC" w:rsidRDefault="005D2D77" w:rsidP="008F3CC1">
            <w:pPr>
              <w:rPr>
                <w:b w:val="0"/>
                <w:bCs w:val="0"/>
              </w:rPr>
            </w:pPr>
          </w:p>
          <w:p w14:paraId="78AE69AA" w14:textId="77777777" w:rsidR="005D2D77" w:rsidRPr="00E14EBC" w:rsidRDefault="005D2D77" w:rsidP="008F3CC1"/>
        </w:tc>
        <w:tc>
          <w:tcPr>
            <w:tcW w:w="5580" w:type="dxa"/>
          </w:tcPr>
          <w:p w14:paraId="5618899B"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Regionaal- ja Põllumajandusministeerium</w:t>
            </w:r>
          </w:p>
        </w:tc>
        <w:tc>
          <w:tcPr>
            <w:tcW w:w="1260" w:type="dxa"/>
          </w:tcPr>
          <w:p w14:paraId="0663DA0D"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3FB0D6ED"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2</w:t>
            </w:r>
          </w:p>
        </w:tc>
      </w:tr>
      <w:tr w:rsidR="00AF7639" w:rsidRPr="00E14EBC" w14:paraId="5DDFD299"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61ABEBC6" w14:textId="77777777" w:rsidR="005D2D77" w:rsidRPr="00E14EBC" w:rsidRDefault="005D2D77" w:rsidP="008F3CC1"/>
        </w:tc>
        <w:tc>
          <w:tcPr>
            <w:tcW w:w="5580" w:type="dxa"/>
          </w:tcPr>
          <w:p w14:paraId="1B80F927"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Kliimaministeerium</w:t>
            </w:r>
          </w:p>
        </w:tc>
        <w:tc>
          <w:tcPr>
            <w:tcW w:w="1260" w:type="dxa"/>
          </w:tcPr>
          <w:p w14:paraId="3DE30810"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3</w:t>
            </w:r>
          </w:p>
        </w:tc>
        <w:tc>
          <w:tcPr>
            <w:tcW w:w="1170" w:type="dxa"/>
          </w:tcPr>
          <w:p w14:paraId="49B91ECF"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3</w:t>
            </w:r>
          </w:p>
        </w:tc>
      </w:tr>
      <w:tr w:rsidR="00AF7639" w:rsidRPr="00E14EBC" w14:paraId="1D58E355"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0682065B" w14:textId="77777777" w:rsidR="001D65FF" w:rsidRPr="00E14EBC" w:rsidRDefault="001D65FF" w:rsidP="001D65FF"/>
        </w:tc>
        <w:tc>
          <w:tcPr>
            <w:tcW w:w="5580" w:type="dxa"/>
          </w:tcPr>
          <w:p w14:paraId="453A81E9" w14:textId="15DE7CFA" w:rsidR="001D65FF" w:rsidRPr="00E14EBC" w:rsidRDefault="001D65FF" w:rsidP="001D65FF">
            <w:pPr>
              <w:cnfStyle w:val="000000000000" w:firstRow="0" w:lastRow="0" w:firstColumn="0" w:lastColumn="0" w:oddVBand="0" w:evenVBand="0" w:oddHBand="0" w:evenHBand="0" w:firstRowFirstColumn="0" w:firstRowLastColumn="0" w:lastRowFirstColumn="0" w:lastRowLastColumn="0"/>
            </w:pPr>
            <w:r w:rsidRPr="00E14EBC">
              <w:t>Majandus- ja Kommunikatsiooniministeerium</w:t>
            </w:r>
          </w:p>
        </w:tc>
        <w:tc>
          <w:tcPr>
            <w:tcW w:w="1260" w:type="dxa"/>
          </w:tcPr>
          <w:p w14:paraId="7096B1F7" w14:textId="136D352D" w:rsidR="001D65FF" w:rsidRPr="00E14EBC" w:rsidRDefault="001D65FF" w:rsidP="001D65F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60364744" w14:textId="5F9DB538" w:rsidR="001D65FF" w:rsidRPr="00E14EBC" w:rsidRDefault="001D65FF" w:rsidP="001D65F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AF7639" w:rsidRPr="00E14EBC" w14:paraId="1DE1B8FC"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6E9F2AE5" w14:textId="77777777" w:rsidR="005D2D77" w:rsidRPr="00E14EBC" w:rsidRDefault="005D2D77" w:rsidP="008F3CC1"/>
        </w:tc>
        <w:tc>
          <w:tcPr>
            <w:tcW w:w="5580" w:type="dxa"/>
          </w:tcPr>
          <w:p w14:paraId="6B3D81EF" w14:textId="33AD97E2" w:rsidR="005D2D77" w:rsidRPr="00E14EBC" w:rsidRDefault="001D65FF" w:rsidP="008F3CC1">
            <w:pPr>
              <w:cnfStyle w:val="000000000000" w:firstRow="0" w:lastRow="0" w:firstColumn="0" w:lastColumn="0" w:oddVBand="0" w:evenVBand="0" w:oddHBand="0" w:evenHBand="0" w:firstRowFirstColumn="0" w:firstRowLastColumn="0" w:lastRowFirstColumn="0" w:lastRowLastColumn="0"/>
            </w:pPr>
            <w:r w:rsidRPr="00E14EBC">
              <w:t>Majandus- ja Kommunikatsiooniministeerium</w:t>
            </w:r>
            <w:r>
              <w:t>i ja Riigi Infosüsteemide Ameti ühine i</w:t>
            </w:r>
            <w:r w:rsidR="00704773">
              <w:t>ntervjuu</w:t>
            </w:r>
          </w:p>
        </w:tc>
        <w:tc>
          <w:tcPr>
            <w:tcW w:w="1260" w:type="dxa"/>
          </w:tcPr>
          <w:p w14:paraId="31AE99A6" w14:textId="1D094500"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12493778" w14:textId="7EB95827" w:rsidR="005D2D77" w:rsidRPr="00E14EBC" w:rsidRDefault="00704773" w:rsidP="003A539F">
            <w:pPr>
              <w:jc w:val="right"/>
              <w:cnfStyle w:val="000000000000" w:firstRow="0" w:lastRow="0" w:firstColumn="0" w:lastColumn="0" w:oddVBand="0" w:evenVBand="0" w:oddHBand="0" w:evenHBand="0" w:firstRowFirstColumn="0" w:firstRowLastColumn="0" w:lastRowFirstColumn="0" w:lastRowLastColumn="0"/>
            </w:pPr>
            <w:r>
              <w:t>2</w:t>
            </w:r>
          </w:p>
        </w:tc>
      </w:tr>
      <w:tr w:rsidR="00AF7639" w:rsidRPr="00E14EBC" w14:paraId="31E5A20D"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val="restart"/>
          </w:tcPr>
          <w:p w14:paraId="77824C79" w14:textId="77777777" w:rsidR="005D2D77" w:rsidRPr="00E14EBC" w:rsidRDefault="005D2D77" w:rsidP="008F3CC1">
            <w:r w:rsidRPr="00E14EBC">
              <w:t>Lühiajalise üüri teenuse ja majutusteenuse pakkumine</w:t>
            </w:r>
          </w:p>
        </w:tc>
        <w:tc>
          <w:tcPr>
            <w:tcW w:w="5580" w:type="dxa"/>
          </w:tcPr>
          <w:p w14:paraId="5CBCAF3F"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Eesti Hotellide ja Restoranide Liit</w:t>
            </w:r>
          </w:p>
        </w:tc>
        <w:tc>
          <w:tcPr>
            <w:tcW w:w="1260" w:type="dxa"/>
          </w:tcPr>
          <w:p w14:paraId="4D9BF64D"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7344CFD2"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3</w:t>
            </w:r>
          </w:p>
        </w:tc>
      </w:tr>
      <w:tr w:rsidR="00AF7639" w:rsidRPr="00E14EBC" w14:paraId="2ADC29D0" w14:textId="77777777" w:rsidTr="005559E0">
        <w:trPr>
          <w:trHeight w:val="404"/>
        </w:trPr>
        <w:tc>
          <w:tcPr>
            <w:cnfStyle w:val="001000000000" w:firstRow="0" w:lastRow="0" w:firstColumn="1" w:lastColumn="0" w:oddVBand="0" w:evenVBand="0" w:oddHBand="0" w:evenHBand="0" w:firstRowFirstColumn="0" w:firstRowLastColumn="0" w:lastRowFirstColumn="0" w:lastRowLastColumn="0"/>
            <w:tcW w:w="2070" w:type="dxa"/>
            <w:vMerge/>
          </w:tcPr>
          <w:p w14:paraId="5186A2D1" w14:textId="77777777" w:rsidR="005D2D77" w:rsidRPr="00E14EBC" w:rsidRDefault="005D2D77" w:rsidP="008F3CC1"/>
        </w:tc>
        <w:tc>
          <w:tcPr>
            <w:tcW w:w="5580" w:type="dxa"/>
          </w:tcPr>
          <w:p w14:paraId="3520FA74" w14:textId="243C1A28"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 xml:space="preserve">Lühiajalise üüri teenuse pakkujad (keskmised ja suured pakkujad, sh haldusteenuse pakkumine) </w:t>
            </w:r>
          </w:p>
        </w:tc>
        <w:tc>
          <w:tcPr>
            <w:tcW w:w="1260" w:type="dxa"/>
          </w:tcPr>
          <w:p w14:paraId="4D34F567"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4</w:t>
            </w:r>
          </w:p>
        </w:tc>
        <w:tc>
          <w:tcPr>
            <w:tcW w:w="1170" w:type="dxa"/>
          </w:tcPr>
          <w:p w14:paraId="03B75247"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4</w:t>
            </w:r>
          </w:p>
        </w:tc>
      </w:tr>
      <w:tr w:rsidR="00AF7639" w:rsidRPr="00E14EBC" w14:paraId="13053939"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5B3CD6FE" w14:textId="77777777" w:rsidR="005D2D77" w:rsidRPr="00E14EBC" w:rsidRDefault="005D2D77" w:rsidP="008F3CC1"/>
        </w:tc>
        <w:tc>
          <w:tcPr>
            <w:tcW w:w="5580" w:type="dxa"/>
          </w:tcPr>
          <w:p w14:paraId="4810C496"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Lühiajalise üüri teenuse pakkuja (sh lühiajalise üürimise alase konsultatsiooniteenuse osutaja)</w:t>
            </w:r>
          </w:p>
        </w:tc>
        <w:tc>
          <w:tcPr>
            <w:tcW w:w="1260" w:type="dxa"/>
          </w:tcPr>
          <w:p w14:paraId="46528110"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662E2318"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AF7639" w:rsidRPr="00E14EBC" w14:paraId="6D5711D6" w14:textId="77777777" w:rsidTr="005559E0">
        <w:trPr>
          <w:trHeight w:val="521"/>
        </w:trPr>
        <w:tc>
          <w:tcPr>
            <w:cnfStyle w:val="001000000000" w:firstRow="0" w:lastRow="0" w:firstColumn="1" w:lastColumn="0" w:oddVBand="0" w:evenVBand="0" w:oddHBand="0" w:evenHBand="0" w:firstRowFirstColumn="0" w:firstRowLastColumn="0" w:lastRowFirstColumn="0" w:lastRowLastColumn="0"/>
            <w:tcW w:w="2070" w:type="dxa"/>
            <w:vMerge/>
          </w:tcPr>
          <w:p w14:paraId="4A70E997" w14:textId="77777777" w:rsidR="005D2D77" w:rsidRPr="00E14EBC" w:rsidRDefault="005D2D77" w:rsidP="008F3CC1"/>
        </w:tc>
        <w:tc>
          <w:tcPr>
            <w:tcW w:w="5580" w:type="dxa"/>
          </w:tcPr>
          <w:p w14:paraId="68BE344C"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Lühiajalise üüri teenuse pakkujad (väikepakkujad; 1 – 4 korterit pakkuja kohta)</w:t>
            </w:r>
          </w:p>
        </w:tc>
        <w:tc>
          <w:tcPr>
            <w:tcW w:w="1260" w:type="dxa"/>
          </w:tcPr>
          <w:p w14:paraId="63E93DC5"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3</w:t>
            </w:r>
          </w:p>
        </w:tc>
        <w:tc>
          <w:tcPr>
            <w:tcW w:w="1170" w:type="dxa"/>
          </w:tcPr>
          <w:p w14:paraId="05F39991"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3</w:t>
            </w:r>
          </w:p>
        </w:tc>
      </w:tr>
      <w:tr w:rsidR="00AF7639" w:rsidRPr="00E14EBC" w14:paraId="68D6A7FF" w14:textId="77777777" w:rsidTr="005559E0">
        <w:trPr>
          <w:trHeight w:val="242"/>
        </w:trPr>
        <w:tc>
          <w:tcPr>
            <w:cnfStyle w:val="001000000000" w:firstRow="0" w:lastRow="0" w:firstColumn="1" w:lastColumn="0" w:oddVBand="0" w:evenVBand="0" w:oddHBand="0" w:evenHBand="0" w:firstRowFirstColumn="0" w:firstRowLastColumn="0" w:lastRowFirstColumn="0" w:lastRowLastColumn="0"/>
            <w:tcW w:w="2070" w:type="dxa"/>
            <w:vMerge w:val="restart"/>
          </w:tcPr>
          <w:p w14:paraId="4054277E" w14:textId="77777777" w:rsidR="005D2D77" w:rsidRPr="00E14EBC" w:rsidRDefault="005D2D77" w:rsidP="008F3CC1">
            <w:pPr>
              <w:spacing w:line="259" w:lineRule="auto"/>
              <w:rPr>
                <w:szCs w:val="20"/>
              </w:rPr>
            </w:pPr>
            <w:r w:rsidRPr="00E14EBC">
              <w:rPr>
                <w:szCs w:val="20"/>
              </w:rPr>
              <w:t>Eluaseme ja kinnisvara omamine ning arendamine (sh elamupoliitika kujundamine)</w:t>
            </w:r>
          </w:p>
          <w:p w14:paraId="777BE436" w14:textId="77777777" w:rsidR="005D2D77" w:rsidRPr="00E14EBC" w:rsidRDefault="005D2D77" w:rsidP="008F3CC1"/>
        </w:tc>
        <w:tc>
          <w:tcPr>
            <w:tcW w:w="5580" w:type="dxa"/>
          </w:tcPr>
          <w:p w14:paraId="66EEEAD8"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Eesti Omanike Keskliit</w:t>
            </w:r>
          </w:p>
        </w:tc>
        <w:tc>
          <w:tcPr>
            <w:tcW w:w="1260" w:type="dxa"/>
          </w:tcPr>
          <w:p w14:paraId="76B44ACA"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7DA61DEA"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AF7639" w:rsidRPr="00E14EBC" w14:paraId="1C202F19"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0DF7C392" w14:textId="77777777" w:rsidR="005D2D77" w:rsidRPr="00E14EBC" w:rsidRDefault="005D2D77" w:rsidP="008F3CC1"/>
        </w:tc>
        <w:tc>
          <w:tcPr>
            <w:tcW w:w="5580" w:type="dxa"/>
          </w:tcPr>
          <w:p w14:paraId="75167B06"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Eesti Korteriühistute Liit</w:t>
            </w:r>
          </w:p>
        </w:tc>
        <w:tc>
          <w:tcPr>
            <w:tcW w:w="1260" w:type="dxa"/>
          </w:tcPr>
          <w:p w14:paraId="7A7A7DDA"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483B0AF5"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AF7639" w:rsidRPr="00E14EBC" w14:paraId="4F5895BA"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19BBA09C" w14:textId="77777777" w:rsidR="005D2D77" w:rsidRPr="00E14EBC" w:rsidRDefault="005D2D77" w:rsidP="008F3CC1"/>
        </w:tc>
        <w:tc>
          <w:tcPr>
            <w:tcW w:w="5580" w:type="dxa"/>
          </w:tcPr>
          <w:p w14:paraId="4E0D41EF"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Eesti Kinnisvarafirmade Liit</w:t>
            </w:r>
          </w:p>
        </w:tc>
        <w:tc>
          <w:tcPr>
            <w:tcW w:w="1260" w:type="dxa"/>
          </w:tcPr>
          <w:p w14:paraId="6DA74FAE"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46A8A897"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AF7639" w:rsidRPr="00E14EBC" w14:paraId="2EBA0E08"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1474D77D" w14:textId="77777777" w:rsidR="005D2D77" w:rsidRPr="00E14EBC" w:rsidRDefault="005D2D77" w:rsidP="008F3CC1"/>
        </w:tc>
        <w:tc>
          <w:tcPr>
            <w:tcW w:w="5580" w:type="dxa"/>
          </w:tcPr>
          <w:p w14:paraId="617BA4DC" w14:textId="1B4010BA"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Kinnisvarafirmad, sh</w:t>
            </w:r>
            <w:r w:rsidR="008A6AD7" w:rsidRPr="00E14EBC">
              <w:t xml:space="preserve"> </w:t>
            </w:r>
            <w:r w:rsidRPr="00E14EBC">
              <w:t>arendajad</w:t>
            </w:r>
          </w:p>
        </w:tc>
        <w:tc>
          <w:tcPr>
            <w:tcW w:w="1260" w:type="dxa"/>
          </w:tcPr>
          <w:p w14:paraId="5F706C94"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3</w:t>
            </w:r>
          </w:p>
        </w:tc>
        <w:tc>
          <w:tcPr>
            <w:tcW w:w="1170" w:type="dxa"/>
          </w:tcPr>
          <w:p w14:paraId="77024FBD"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3</w:t>
            </w:r>
          </w:p>
        </w:tc>
      </w:tr>
      <w:tr w:rsidR="00AF7639" w:rsidRPr="00E14EBC" w14:paraId="722137D9"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val="restart"/>
          </w:tcPr>
          <w:p w14:paraId="0115667B" w14:textId="02D9AC36" w:rsidR="005D2D77" w:rsidRPr="00E14EBC" w:rsidRDefault="005D2D77" w:rsidP="004E3E67">
            <w:pPr>
              <w:spacing w:line="259" w:lineRule="auto"/>
            </w:pPr>
            <w:r w:rsidRPr="00E14EBC">
              <w:rPr>
                <w:szCs w:val="20"/>
              </w:rPr>
              <w:t>Turismi</w:t>
            </w:r>
            <w:r w:rsidR="005559E0" w:rsidRPr="00E14EBC">
              <w:rPr>
                <w:szCs w:val="20"/>
              </w:rPr>
              <w:t>-</w:t>
            </w:r>
            <w:r w:rsidRPr="00E14EBC">
              <w:rPr>
                <w:szCs w:val="20"/>
              </w:rPr>
              <w:t>valdkonna arendamine (sh andmete kogumine)</w:t>
            </w:r>
          </w:p>
        </w:tc>
        <w:tc>
          <w:tcPr>
            <w:tcW w:w="5580" w:type="dxa"/>
          </w:tcPr>
          <w:p w14:paraId="2D092705" w14:textId="504F55A0"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 xml:space="preserve">Ettevõtluse </w:t>
            </w:r>
            <w:r w:rsidR="00342957" w:rsidRPr="00E14EBC">
              <w:t xml:space="preserve">ja </w:t>
            </w:r>
            <w:r w:rsidRPr="00E14EBC">
              <w:t>Innovatsiooni Sihtasutus</w:t>
            </w:r>
          </w:p>
        </w:tc>
        <w:tc>
          <w:tcPr>
            <w:tcW w:w="1260" w:type="dxa"/>
          </w:tcPr>
          <w:p w14:paraId="532AB658"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2</w:t>
            </w:r>
          </w:p>
        </w:tc>
        <w:tc>
          <w:tcPr>
            <w:tcW w:w="1170" w:type="dxa"/>
          </w:tcPr>
          <w:p w14:paraId="28A236E8" w14:textId="7D6D6F7F"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2</w:t>
            </w:r>
          </w:p>
        </w:tc>
      </w:tr>
      <w:tr w:rsidR="00AF7639" w:rsidRPr="00E14EBC" w14:paraId="7D273620"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7F686A4D" w14:textId="77777777" w:rsidR="005D2D77" w:rsidRPr="00E14EBC" w:rsidRDefault="005D2D77" w:rsidP="008F3CC1"/>
        </w:tc>
        <w:tc>
          <w:tcPr>
            <w:tcW w:w="5580" w:type="dxa"/>
          </w:tcPr>
          <w:p w14:paraId="63C31085"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Eesti Maaturism</w:t>
            </w:r>
          </w:p>
        </w:tc>
        <w:tc>
          <w:tcPr>
            <w:tcW w:w="1260" w:type="dxa"/>
          </w:tcPr>
          <w:p w14:paraId="4D5DA498"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1C8032BD"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AF7639" w:rsidRPr="00E14EBC" w14:paraId="4354C254"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6454760A" w14:textId="77777777" w:rsidR="005D2D77" w:rsidRPr="00E14EBC" w:rsidRDefault="005D2D77" w:rsidP="008F3CC1"/>
        </w:tc>
        <w:tc>
          <w:tcPr>
            <w:tcW w:w="5580" w:type="dxa"/>
          </w:tcPr>
          <w:p w14:paraId="174146C3" w14:textId="4682A9D8"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Statistikaamet</w:t>
            </w:r>
          </w:p>
        </w:tc>
        <w:tc>
          <w:tcPr>
            <w:tcW w:w="1260" w:type="dxa"/>
          </w:tcPr>
          <w:p w14:paraId="3E44543F"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5E60D192"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AF7639" w:rsidRPr="00E14EBC" w14:paraId="430033BE"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val="restart"/>
          </w:tcPr>
          <w:p w14:paraId="25AFE6C3" w14:textId="77777777" w:rsidR="005D2D77" w:rsidRPr="00E14EBC" w:rsidRDefault="005D2D77" w:rsidP="008F3CC1">
            <w:pPr>
              <w:spacing w:line="259" w:lineRule="auto"/>
              <w:rPr>
                <w:szCs w:val="20"/>
              </w:rPr>
            </w:pPr>
            <w:r w:rsidRPr="00E14EBC">
              <w:rPr>
                <w:szCs w:val="20"/>
              </w:rPr>
              <w:t>Järelevalve teostamine</w:t>
            </w:r>
          </w:p>
          <w:p w14:paraId="68347CF0" w14:textId="77777777" w:rsidR="005D2D77" w:rsidRPr="00E14EBC" w:rsidRDefault="005D2D77" w:rsidP="008F3CC1"/>
        </w:tc>
        <w:tc>
          <w:tcPr>
            <w:tcW w:w="5580" w:type="dxa"/>
          </w:tcPr>
          <w:p w14:paraId="40A9E292"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Maksu- ja Tolliamet</w:t>
            </w:r>
          </w:p>
        </w:tc>
        <w:tc>
          <w:tcPr>
            <w:tcW w:w="1260" w:type="dxa"/>
          </w:tcPr>
          <w:p w14:paraId="5065DDA5" w14:textId="6A422677" w:rsidR="005D2D77" w:rsidRPr="00E14EBC" w:rsidRDefault="00935B71"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6EF4DE47"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2</w:t>
            </w:r>
          </w:p>
        </w:tc>
      </w:tr>
      <w:tr w:rsidR="00AF7639" w:rsidRPr="00E14EBC" w14:paraId="10749D63"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79CDD3DD" w14:textId="77777777" w:rsidR="005D2D77" w:rsidRPr="00E14EBC" w:rsidRDefault="005D2D77" w:rsidP="008F3CC1"/>
        </w:tc>
        <w:tc>
          <w:tcPr>
            <w:tcW w:w="5580" w:type="dxa"/>
          </w:tcPr>
          <w:p w14:paraId="6845CF4D"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Tarbijakaitse ja Tehnilise Järelevalve Amet</w:t>
            </w:r>
          </w:p>
        </w:tc>
        <w:tc>
          <w:tcPr>
            <w:tcW w:w="1260" w:type="dxa"/>
          </w:tcPr>
          <w:p w14:paraId="592EAD4A" w14:textId="43E81BB6"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6EBAD46F" w14:textId="10677D69"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2</w:t>
            </w:r>
          </w:p>
        </w:tc>
      </w:tr>
      <w:tr w:rsidR="00AF7639" w:rsidRPr="00E14EBC" w14:paraId="2918961D"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3FAAEC9A" w14:textId="77777777" w:rsidR="003A539F" w:rsidRPr="00E14EBC" w:rsidRDefault="003A539F" w:rsidP="008F3CC1"/>
        </w:tc>
        <w:tc>
          <w:tcPr>
            <w:tcW w:w="5580" w:type="dxa"/>
          </w:tcPr>
          <w:p w14:paraId="1B439E8C" w14:textId="1380CD4B" w:rsidR="003A539F" w:rsidRPr="00E14EBC" w:rsidRDefault="0030619A" w:rsidP="008F3CC1">
            <w:pPr>
              <w:cnfStyle w:val="000000000000" w:firstRow="0" w:lastRow="0" w:firstColumn="0" w:lastColumn="0" w:oddVBand="0" w:evenVBand="0" w:oddHBand="0" w:evenHBand="0" w:firstRowFirstColumn="0" w:firstRowLastColumn="0" w:lastRowFirstColumn="0" w:lastRowLastColumn="0"/>
            </w:pPr>
            <w:r w:rsidRPr="00E14EBC">
              <w:t>Politsei- ja Piirivalveamet</w:t>
            </w:r>
          </w:p>
        </w:tc>
        <w:tc>
          <w:tcPr>
            <w:tcW w:w="1260" w:type="dxa"/>
          </w:tcPr>
          <w:p w14:paraId="0C262918" w14:textId="2777CAFA" w:rsidR="003A539F" w:rsidRPr="00E14EBC" w:rsidRDefault="001D65FF" w:rsidP="003A539F">
            <w:pPr>
              <w:jc w:val="right"/>
              <w:cnfStyle w:val="000000000000" w:firstRow="0" w:lastRow="0" w:firstColumn="0" w:lastColumn="0" w:oddVBand="0" w:evenVBand="0" w:oddHBand="0" w:evenHBand="0" w:firstRowFirstColumn="0" w:firstRowLastColumn="0" w:lastRowFirstColumn="0" w:lastRowLastColumn="0"/>
            </w:pPr>
            <w:r>
              <w:t>2</w:t>
            </w:r>
          </w:p>
        </w:tc>
        <w:tc>
          <w:tcPr>
            <w:tcW w:w="1170" w:type="dxa"/>
          </w:tcPr>
          <w:p w14:paraId="2F033518" w14:textId="39B2A792" w:rsidR="003A539F" w:rsidRPr="00E14EBC" w:rsidRDefault="001D65FF" w:rsidP="003A539F">
            <w:pPr>
              <w:jc w:val="right"/>
              <w:cnfStyle w:val="000000000000" w:firstRow="0" w:lastRow="0" w:firstColumn="0" w:lastColumn="0" w:oddVBand="0" w:evenVBand="0" w:oddHBand="0" w:evenHBand="0" w:firstRowFirstColumn="0" w:firstRowLastColumn="0" w:lastRowFirstColumn="0" w:lastRowLastColumn="0"/>
            </w:pPr>
            <w:r>
              <w:t>3</w:t>
            </w:r>
          </w:p>
        </w:tc>
      </w:tr>
      <w:tr w:rsidR="00AF7639" w:rsidRPr="00E14EBC" w14:paraId="404C38C5"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64C6AA91" w14:textId="77777777" w:rsidR="005D2D77" w:rsidRPr="00E14EBC" w:rsidRDefault="005D2D77" w:rsidP="008F3CC1"/>
        </w:tc>
        <w:tc>
          <w:tcPr>
            <w:tcW w:w="5580" w:type="dxa"/>
          </w:tcPr>
          <w:p w14:paraId="348A6115"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Päästeamet</w:t>
            </w:r>
          </w:p>
        </w:tc>
        <w:tc>
          <w:tcPr>
            <w:tcW w:w="1260" w:type="dxa"/>
          </w:tcPr>
          <w:p w14:paraId="3BBB2564" w14:textId="15D36236" w:rsidR="005D2D77" w:rsidRPr="00E14EBC" w:rsidRDefault="001D65FF" w:rsidP="003A539F">
            <w:pPr>
              <w:jc w:val="right"/>
              <w:cnfStyle w:val="000000000000" w:firstRow="0" w:lastRow="0" w:firstColumn="0" w:lastColumn="0" w:oddVBand="0" w:evenVBand="0" w:oddHBand="0" w:evenHBand="0" w:firstRowFirstColumn="0" w:firstRowLastColumn="0" w:lastRowFirstColumn="0" w:lastRowLastColumn="0"/>
            </w:pPr>
            <w:r>
              <w:t>2</w:t>
            </w:r>
          </w:p>
        </w:tc>
        <w:tc>
          <w:tcPr>
            <w:tcW w:w="1170" w:type="dxa"/>
          </w:tcPr>
          <w:p w14:paraId="1596411A" w14:textId="696B60BF" w:rsidR="005D2D77" w:rsidRPr="00E14EBC" w:rsidRDefault="001D65FF" w:rsidP="003A539F">
            <w:pPr>
              <w:jc w:val="right"/>
              <w:cnfStyle w:val="000000000000" w:firstRow="0" w:lastRow="0" w:firstColumn="0" w:lastColumn="0" w:oddVBand="0" w:evenVBand="0" w:oddHBand="0" w:evenHBand="0" w:firstRowFirstColumn="0" w:firstRowLastColumn="0" w:lastRowFirstColumn="0" w:lastRowLastColumn="0"/>
            </w:pPr>
            <w:r>
              <w:t>6</w:t>
            </w:r>
          </w:p>
        </w:tc>
      </w:tr>
      <w:tr w:rsidR="00AF7639" w:rsidRPr="00E14EBC" w14:paraId="2D191EEF" w14:textId="77777777" w:rsidTr="005559E0">
        <w:tc>
          <w:tcPr>
            <w:cnfStyle w:val="001000000000" w:firstRow="0" w:lastRow="0" w:firstColumn="1" w:lastColumn="0" w:oddVBand="0" w:evenVBand="0" w:oddHBand="0" w:evenHBand="0" w:firstRowFirstColumn="0" w:firstRowLastColumn="0" w:lastRowFirstColumn="0" w:lastRowLastColumn="0"/>
            <w:tcW w:w="2070" w:type="dxa"/>
            <w:vMerge/>
          </w:tcPr>
          <w:p w14:paraId="472AAB7E" w14:textId="77777777" w:rsidR="005D2D77" w:rsidRPr="00E14EBC" w:rsidRDefault="005D2D77" w:rsidP="008F3CC1"/>
        </w:tc>
        <w:tc>
          <w:tcPr>
            <w:tcW w:w="5580" w:type="dxa"/>
          </w:tcPr>
          <w:p w14:paraId="4B01D704"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Terviseamet</w:t>
            </w:r>
          </w:p>
        </w:tc>
        <w:tc>
          <w:tcPr>
            <w:tcW w:w="1260" w:type="dxa"/>
          </w:tcPr>
          <w:p w14:paraId="20A290EB"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179E4065"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22722C" w:rsidRPr="00E14EBC" w14:paraId="198B0516" w14:textId="77777777" w:rsidTr="005559E0">
        <w:tc>
          <w:tcPr>
            <w:cnfStyle w:val="001000000000" w:firstRow="0" w:lastRow="0" w:firstColumn="1" w:lastColumn="0" w:oddVBand="0" w:evenVBand="0" w:oddHBand="0" w:evenHBand="0" w:firstRowFirstColumn="0" w:firstRowLastColumn="0" w:lastRowFirstColumn="0" w:lastRowLastColumn="0"/>
            <w:tcW w:w="2070" w:type="dxa"/>
          </w:tcPr>
          <w:p w14:paraId="0DE2BE7B" w14:textId="77777777" w:rsidR="005D2D77" w:rsidRPr="00E14EBC" w:rsidRDefault="005D2D77" w:rsidP="008F3CC1">
            <w:r w:rsidRPr="00E14EBC">
              <w:t>Toetavad uuringud</w:t>
            </w:r>
          </w:p>
        </w:tc>
        <w:tc>
          <w:tcPr>
            <w:tcW w:w="5580" w:type="dxa"/>
          </w:tcPr>
          <w:p w14:paraId="4EB21F8B" w14:textId="77777777" w:rsidR="005D2D77" w:rsidRPr="00E14EBC" w:rsidRDefault="005D2D77" w:rsidP="008F3CC1">
            <w:pPr>
              <w:cnfStyle w:val="000000000000" w:firstRow="0" w:lastRow="0" w:firstColumn="0" w:lastColumn="0" w:oddVBand="0" w:evenVBand="0" w:oddHBand="0" w:evenHBand="0" w:firstRowFirstColumn="0" w:firstRowLastColumn="0" w:lastRowFirstColumn="0" w:lastRowLastColumn="0"/>
            </w:pPr>
            <w:r w:rsidRPr="00E14EBC">
              <w:t>Tartu Ülikool</w:t>
            </w:r>
          </w:p>
        </w:tc>
        <w:tc>
          <w:tcPr>
            <w:tcW w:w="1260" w:type="dxa"/>
          </w:tcPr>
          <w:p w14:paraId="2270ED71"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c>
          <w:tcPr>
            <w:tcW w:w="1170" w:type="dxa"/>
          </w:tcPr>
          <w:p w14:paraId="6151C8A3" w14:textId="77777777" w:rsidR="005D2D77" w:rsidRPr="00E14EBC" w:rsidRDefault="005D2D77" w:rsidP="003A539F">
            <w:pPr>
              <w:jc w:val="right"/>
              <w:cnfStyle w:val="000000000000" w:firstRow="0" w:lastRow="0" w:firstColumn="0" w:lastColumn="0" w:oddVBand="0" w:evenVBand="0" w:oddHBand="0" w:evenHBand="0" w:firstRowFirstColumn="0" w:firstRowLastColumn="0" w:lastRowFirstColumn="0" w:lastRowLastColumn="0"/>
            </w:pPr>
            <w:r w:rsidRPr="00E14EBC">
              <w:t>1</w:t>
            </w:r>
          </w:p>
        </w:tc>
      </w:tr>
      <w:tr w:rsidR="0022722C" w:rsidRPr="00E14EBC" w14:paraId="6B424A81" w14:textId="77777777" w:rsidTr="005559E0">
        <w:tc>
          <w:tcPr>
            <w:cnfStyle w:val="001000000000" w:firstRow="0" w:lastRow="0" w:firstColumn="1" w:lastColumn="0" w:oddVBand="0" w:evenVBand="0" w:oddHBand="0" w:evenHBand="0" w:firstRowFirstColumn="0" w:firstRowLastColumn="0" w:lastRowFirstColumn="0" w:lastRowLastColumn="0"/>
            <w:tcW w:w="2070" w:type="dxa"/>
          </w:tcPr>
          <w:p w14:paraId="6DB78114" w14:textId="6214A6EA" w:rsidR="00213E45" w:rsidRPr="00E14EBC" w:rsidRDefault="001079A8" w:rsidP="001D65FF">
            <w:r>
              <w:t>Tehnilised lahendused</w:t>
            </w:r>
          </w:p>
        </w:tc>
        <w:tc>
          <w:tcPr>
            <w:tcW w:w="5580" w:type="dxa"/>
          </w:tcPr>
          <w:p w14:paraId="33DFD906" w14:textId="099FCE01" w:rsidR="00213E45" w:rsidRPr="00E14EBC" w:rsidRDefault="00213E45" w:rsidP="001D65FF">
            <w:pPr>
              <w:cnfStyle w:val="000000000000" w:firstRow="0" w:lastRow="0" w:firstColumn="0" w:lastColumn="0" w:oddVBand="0" w:evenVBand="0" w:oddHBand="0" w:evenHBand="0" w:firstRowFirstColumn="0" w:firstRowLastColumn="0" w:lastRowFirstColumn="0" w:lastRowLastColumn="0"/>
            </w:pPr>
            <w:r>
              <w:t xml:space="preserve">Keskkonnaministeeriumi </w:t>
            </w:r>
            <w:r w:rsidR="001079A8">
              <w:t>Infotehnoloogiakeskus</w:t>
            </w:r>
          </w:p>
        </w:tc>
        <w:tc>
          <w:tcPr>
            <w:tcW w:w="1260" w:type="dxa"/>
          </w:tcPr>
          <w:p w14:paraId="2D957F4A" w14:textId="0224854A" w:rsidR="00213E45" w:rsidRPr="00E14EBC" w:rsidRDefault="001079A8" w:rsidP="001D65FF">
            <w:pPr>
              <w:jc w:val="right"/>
              <w:cnfStyle w:val="000000000000" w:firstRow="0" w:lastRow="0" w:firstColumn="0" w:lastColumn="0" w:oddVBand="0" w:evenVBand="0" w:oddHBand="0" w:evenHBand="0" w:firstRowFirstColumn="0" w:firstRowLastColumn="0" w:lastRowFirstColumn="0" w:lastRowLastColumn="0"/>
            </w:pPr>
            <w:r>
              <w:t>1</w:t>
            </w:r>
          </w:p>
        </w:tc>
        <w:tc>
          <w:tcPr>
            <w:tcW w:w="1170" w:type="dxa"/>
          </w:tcPr>
          <w:p w14:paraId="5B4117FE" w14:textId="0E515000" w:rsidR="00213E45" w:rsidRPr="00E14EBC" w:rsidRDefault="001079A8" w:rsidP="001D65FF">
            <w:pPr>
              <w:jc w:val="right"/>
              <w:cnfStyle w:val="000000000000" w:firstRow="0" w:lastRow="0" w:firstColumn="0" w:lastColumn="0" w:oddVBand="0" w:evenVBand="0" w:oddHBand="0" w:evenHBand="0" w:firstRowFirstColumn="0" w:firstRowLastColumn="0" w:lastRowFirstColumn="0" w:lastRowLastColumn="0"/>
            </w:pPr>
            <w:r>
              <w:t>1</w:t>
            </w:r>
          </w:p>
        </w:tc>
      </w:tr>
      <w:tr w:rsidR="0022722C" w:rsidRPr="00E14EBC" w14:paraId="397E6376" w14:textId="77777777" w:rsidTr="005559E0">
        <w:tc>
          <w:tcPr>
            <w:cnfStyle w:val="001000000000" w:firstRow="0" w:lastRow="0" w:firstColumn="1" w:lastColumn="0" w:oddVBand="0" w:evenVBand="0" w:oddHBand="0" w:evenHBand="0" w:firstRowFirstColumn="0" w:firstRowLastColumn="0" w:lastRowFirstColumn="0" w:lastRowLastColumn="0"/>
            <w:tcW w:w="2070" w:type="dxa"/>
          </w:tcPr>
          <w:p w14:paraId="054ED7BD" w14:textId="77777777" w:rsidR="005D2D77" w:rsidRPr="00E14EBC" w:rsidRDefault="005D2D77" w:rsidP="008F3CC1">
            <w:r w:rsidRPr="00E14EBC">
              <w:t>Kokku</w:t>
            </w:r>
          </w:p>
        </w:tc>
        <w:tc>
          <w:tcPr>
            <w:tcW w:w="5580" w:type="dxa"/>
          </w:tcPr>
          <w:p w14:paraId="3CB730B9" w14:textId="77777777" w:rsidR="005D2D77" w:rsidRPr="00E14EBC" w:rsidRDefault="005D2D77" w:rsidP="008F3CC1">
            <w:pPr>
              <w:jc w:val="right"/>
              <w:cnfStyle w:val="000000000000" w:firstRow="0" w:lastRow="0" w:firstColumn="0" w:lastColumn="0" w:oddVBand="0" w:evenVBand="0" w:oddHBand="0" w:evenHBand="0" w:firstRowFirstColumn="0" w:firstRowLastColumn="0" w:lastRowFirstColumn="0" w:lastRowLastColumn="0"/>
              <w:rPr>
                <w:b/>
              </w:rPr>
            </w:pPr>
          </w:p>
        </w:tc>
        <w:tc>
          <w:tcPr>
            <w:tcW w:w="1260" w:type="dxa"/>
          </w:tcPr>
          <w:p w14:paraId="5AD4F27C" w14:textId="576B62E4" w:rsidR="005D2D77" w:rsidRPr="00E14EBC" w:rsidRDefault="001D65FF" w:rsidP="008F3CC1">
            <w:pPr>
              <w:jc w:val="right"/>
              <w:cnfStyle w:val="000000000000" w:firstRow="0" w:lastRow="0" w:firstColumn="0" w:lastColumn="0" w:oddVBand="0" w:evenVBand="0" w:oddHBand="0" w:evenHBand="0" w:firstRowFirstColumn="0" w:firstRowLastColumn="0" w:lastRowFirstColumn="0" w:lastRowLastColumn="0"/>
              <w:rPr>
                <w:b/>
              </w:rPr>
            </w:pPr>
            <w:r w:rsidRPr="00E14EBC">
              <w:rPr>
                <w:b/>
                <w:bCs/>
              </w:rPr>
              <w:t>4</w:t>
            </w:r>
            <w:r w:rsidR="005500DC">
              <w:rPr>
                <w:b/>
                <w:bCs/>
              </w:rPr>
              <w:t>6</w:t>
            </w:r>
          </w:p>
        </w:tc>
        <w:tc>
          <w:tcPr>
            <w:tcW w:w="1170" w:type="dxa"/>
          </w:tcPr>
          <w:p w14:paraId="3667719D" w14:textId="4DBDA70F" w:rsidR="005D2D77" w:rsidRPr="00E14EBC" w:rsidRDefault="005500DC" w:rsidP="008F3CC1">
            <w:pPr>
              <w:jc w:val="right"/>
              <w:cnfStyle w:val="000000000000" w:firstRow="0" w:lastRow="0" w:firstColumn="0" w:lastColumn="0" w:oddVBand="0" w:evenVBand="0" w:oddHBand="0" w:evenHBand="0" w:firstRowFirstColumn="0" w:firstRowLastColumn="0" w:lastRowFirstColumn="0" w:lastRowLastColumn="0"/>
              <w:rPr>
                <w:b/>
              </w:rPr>
            </w:pPr>
            <w:r>
              <w:rPr>
                <w:b/>
                <w:bCs/>
              </w:rPr>
              <w:t>6</w:t>
            </w:r>
            <w:r w:rsidR="00C172F0" w:rsidRPr="00E14EBC">
              <w:rPr>
                <w:b/>
                <w:bCs/>
              </w:rPr>
              <w:t>2</w:t>
            </w:r>
          </w:p>
        </w:tc>
      </w:tr>
    </w:tbl>
    <w:p w14:paraId="68591D8F" w14:textId="77777777" w:rsidR="005D2D77" w:rsidRPr="00E14EBC" w:rsidRDefault="005D2D77" w:rsidP="00B30803">
      <w:pPr>
        <w:rPr>
          <w:i/>
          <w:iCs/>
        </w:rPr>
      </w:pPr>
    </w:p>
    <w:p w14:paraId="48BD2F01" w14:textId="77777777" w:rsidR="00104A4A" w:rsidRPr="00E14EBC" w:rsidRDefault="00104A4A" w:rsidP="00B30803"/>
    <w:p w14:paraId="36C55B28" w14:textId="77777777" w:rsidR="00104A4A" w:rsidRPr="00E14EBC" w:rsidRDefault="00104A4A" w:rsidP="00B30803"/>
    <w:p w14:paraId="7BA9F013" w14:textId="77777777" w:rsidR="00B30803" w:rsidRPr="00E14EBC" w:rsidRDefault="00B30803" w:rsidP="00B30803">
      <w:pPr>
        <w:rPr>
          <w:i/>
          <w:iCs/>
        </w:rPr>
      </w:pPr>
    </w:p>
    <w:p w14:paraId="05F46F09" w14:textId="77777777" w:rsidR="00B529B8" w:rsidRPr="00E14EBC" w:rsidRDefault="00B529B8" w:rsidP="00B30803">
      <w:pPr>
        <w:rPr>
          <w:i/>
          <w:iCs/>
        </w:rPr>
      </w:pPr>
    </w:p>
    <w:p w14:paraId="76170495" w14:textId="77777777" w:rsidR="00B529B8" w:rsidRPr="00E14EBC" w:rsidRDefault="00B529B8" w:rsidP="00B30803">
      <w:pPr>
        <w:rPr>
          <w:i/>
          <w:iCs/>
        </w:rPr>
      </w:pPr>
    </w:p>
    <w:p w14:paraId="6494875F" w14:textId="77777777" w:rsidR="00B529B8" w:rsidRPr="00E14EBC" w:rsidRDefault="00B529B8" w:rsidP="00B30803">
      <w:pPr>
        <w:rPr>
          <w:i/>
          <w:iCs/>
        </w:rPr>
      </w:pPr>
    </w:p>
    <w:p w14:paraId="544A36AD" w14:textId="77777777" w:rsidR="00B529B8" w:rsidRPr="00E14EBC" w:rsidRDefault="00B529B8" w:rsidP="00B30803">
      <w:pPr>
        <w:rPr>
          <w:i/>
          <w:iCs/>
        </w:rPr>
      </w:pPr>
    </w:p>
    <w:p w14:paraId="7A9E52CC" w14:textId="77777777" w:rsidR="00B529B8" w:rsidRPr="00E14EBC" w:rsidRDefault="00B529B8" w:rsidP="00B30803">
      <w:pPr>
        <w:rPr>
          <w:i/>
          <w:iCs/>
        </w:rPr>
      </w:pPr>
    </w:p>
    <w:p w14:paraId="4820BE6E" w14:textId="77777777" w:rsidR="00B529B8" w:rsidRPr="00E14EBC" w:rsidRDefault="00B529B8" w:rsidP="00B30803">
      <w:pPr>
        <w:rPr>
          <w:i/>
          <w:iCs/>
        </w:rPr>
      </w:pPr>
    </w:p>
    <w:p w14:paraId="60722D60" w14:textId="77777777" w:rsidR="00B529B8" w:rsidRPr="00E14EBC" w:rsidRDefault="00B529B8" w:rsidP="00B30803">
      <w:pPr>
        <w:rPr>
          <w:i/>
          <w:iCs/>
        </w:rPr>
      </w:pPr>
    </w:p>
    <w:p w14:paraId="180CB10F" w14:textId="77777777" w:rsidR="00B529B8" w:rsidRPr="00E14EBC" w:rsidRDefault="00B529B8" w:rsidP="00B30803">
      <w:pPr>
        <w:rPr>
          <w:i/>
          <w:iCs/>
        </w:rPr>
      </w:pPr>
    </w:p>
    <w:p w14:paraId="6A2C77C6" w14:textId="77777777" w:rsidR="00E9388E" w:rsidRPr="00E14EBC" w:rsidRDefault="00E9388E" w:rsidP="00E9388E">
      <w:pPr>
        <w:spacing w:before="0" w:after="0" w:line="240" w:lineRule="auto"/>
        <w:rPr>
          <w:rFonts w:ascii="Times New Roman" w:eastAsia="Times New Roman" w:hAnsi="Times New Roman" w:cs="Times New Roman"/>
          <w:vanish/>
          <w:kern w:val="0"/>
          <w:szCs w:val="24"/>
          <w:lang w:eastAsia="en-GB"/>
          <w14:ligatures w14:val="none"/>
        </w:rPr>
      </w:pPr>
    </w:p>
    <w:p w14:paraId="5EC72B45" w14:textId="77777777" w:rsidR="00E9388E" w:rsidRPr="00E14EBC" w:rsidRDefault="00E9388E" w:rsidP="00E9388E">
      <w:pPr>
        <w:spacing w:before="0" w:after="0" w:line="240" w:lineRule="auto"/>
        <w:rPr>
          <w:rFonts w:ascii="Times New Roman" w:eastAsia="Times New Roman" w:hAnsi="Times New Roman" w:cs="Times New Roman"/>
          <w:vanish/>
          <w:kern w:val="0"/>
          <w:szCs w:val="24"/>
          <w:lang w:eastAsia="en-GB"/>
          <w14:ligatures w14:val="none"/>
        </w:rPr>
      </w:pPr>
    </w:p>
    <w:p w14:paraId="78121FA1" w14:textId="77777777" w:rsidR="00E9388E" w:rsidRPr="00E14EBC" w:rsidRDefault="00E9388E" w:rsidP="00E9388E">
      <w:pPr>
        <w:spacing w:before="0" w:after="0" w:line="240" w:lineRule="auto"/>
        <w:rPr>
          <w:rFonts w:ascii="Times New Roman" w:eastAsia="Times New Roman" w:hAnsi="Times New Roman" w:cs="Times New Roman"/>
          <w:vanish/>
          <w:kern w:val="0"/>
          <w:szCs w:val="24"/>
          <w:lang w:eastAsia="en-GB"/>
          <w14:ligatures w14:val="none"/>
        </w:rPr>
      </w:pPr>
    </w:p>
    <w:p w14:paraId="4826D31D" w14:textId="77777777" w:rsidR="00E9388E" w:rsidRPr="00E14EBC" w:rsidRDefault="00E9388E" w:rsidP="00E9388E">
      <w:pPr>
        <w:spacing w:before="0" w:after="0" w:line="240" w:lineRule="auto"/>
        <w:rPr>
          <w:rFonts w:ascii="Times New Roman" w:eastAsia="Times New Roman" w:hAnsi="Times New Roman" w:cs="Times New Roman"/>
          <w:vanish/>
          <w:kern w:val="0"/>
          <w:szCs w:val="24"/>
          <w:lang w:eastAsia="en-GB"/>
          <w14:ligatures w14:val="none"/>
        </w:rPr>
      </w:pPr>
    </w:p>
    <w:p w14:paraId="7EE32EAB" w14:textId="6E70631B" w:rsidR="00266C3A" w:rsidRPr="00E14EBC" w:rsidRDefault="00F87996">
      <w:pPr>
        <w:spacing w:before="0" w:line="259" w:lineRule="auto"/>
      </w:pPr>
      <w:r w:rsidRPr="00E14EBC">
        <w:br w:type="page"/>
      </w:r>
      <w:r w:rsidR="001A4C11" w:rsidRPr="00E14EBC">
        <w:rPr>
          <w:noProof/>
        </w:rPr>
        <w:lastRenderedPageBreak/>
        <mc:AlternateContent>
          <mc:Choice Requires="wps">
            <w:drawing>
              <wp:anchor distT="45720" distB="45720" distL="114300" distR="114300" simplePos="0" relativeHeight="251658240" behindDoc="0" locked="1" layoutInCell="1" hidden="0" allowOverlap="1" wp14:anchorId="1A853910" wp14:editId="03EAD1E4">
                <wp:simplePos x="0" y="0"/>
                <wp:positionH relativeFrom="margin">
                  <wp:align>right</wp:align>
                </wp:positionH>
                <wp:positionV relativeFrom="margin">
                  <wp:posOffset>6849110</wp:posOffset>
                </wp:positionV>
                <wp:extent cx="2465705" cy="1963420"/>
                <wp:effectExtent l="0" t="0" r="10795" b="17780"/>
                <wp:wrapSquare wrapText="bothSides" distT="45720" distB="45720" distL="114300" distR="114300"/>
                <wp:docPr id="1590270825" name="Rectangle 2"/>
                <wp:cNvGraphicFramePr/>
                <a:graphic xmlns:a="http://schemas.openxmlformats.org/drawingml/2006/main">
                  <a:graphicData uri="http://schemas.microsoft.com/office/word/2010/wordprocessingShape">
                    <wps:wsp>
                      <wps:cNvSpPr/>
                      <wps:spPr>
                        <a:xfrm>
                          <a:off x="0" y="0"/>
                          <a:ext cx="2465705" cy="1963420"/>
                        </a:xfrm>
                        <a:prstGeom prst="rect">
                          <a:avLst/>
                        </a:prstGeom>
                        <a:noFill/>
                        <a:ln>
                          <a:noFill/>
                        </a:ln>
                      </wps:spPr>
                      <wps:txbx>
                        <w:txbxContent>
                          <w:p w14:paraId="10A8373F" w14:textId="77777777" w:rsidR="001A4C11" w:rsidRPr="00784CF1" w:rsidRDefault="001A4C11" w:rsidP="00E64FCC">
                            <w:pPr>
                              <w:pStyle w:val="CoverText"/>
                            </w:pPr>
                            <w:r w:rsidRPr="00784CF1">
                              <w:t xml:space="preserve">Contacts </w:t>
                            </w:r>
                            <w:r w:rsidR="002D17E7" w:rsidRPr="00784CF1">
                              <w:t>of</w:t>
                            </w:r>
                            <w:r w:rsidRPr="00784CF1">
                              <w:t xml:space="preserve"> </w:t>
                            </w:r>
                            <w:r w:rsidR="002D17E7" w:rsidRPr="00784CF1">
                              <w:t>Civitta</w:t>
                            </w:r>
                            <w:r w:rsidRPr="00784CF1">
                              <w:t xml:space="preserve"> representative</w:t>
                            </w:r>
                          </w:p>
                          <w:p w14:paraId="205C23C9" w14:textId="77777777" w:rsidR="001A4C11" w:rsidRPr="00784CF1" w:rsidRDefault="001A4C11" w:rsidP="00E64FCC">
                            <w:pPr>
                              <w:pStyle w:val="CoverText"/>
                            </w:pPr>
                          </w:p>
                          <w:p w14:paraId="09D59CD5" w14:textId="77777777" w:rsidR="001A4C11" w:rsidRPr="00784CF1" w:rsidRDefault="001A4C11" w:rsidP="00F2683B">
                            <w:pPr>
                              <w:pStyle w:val="CoverText"/>
                              <w:rPr>
                                <w:rStyle w:val="Strong"/>
                              </w:rPr>
                            </w:pPr>
                            <w:r w:rsidRPr="00784CF1">
                              <w:rPr>
                                <w:rStyle w:val="Strong"/>
                              </w:rPr>
                              <w:t>Name Surname</w:t>
                            </w:r>
                          </w:p>
                          <w:p w14:paraId="62EE3D71" w14:textId="77777777" w:rsidR="001A4C11" w:rsidRPr="00784CF1" w:rsidRDefault="001A4C11" w:rsidP="00F2683B">
                            <w:pPr>
                              <w:pStyle w:val="CoverText"/>
                              <w:rPr>
                                <w:rStyle w:val="Strong"/>
                                <w:b w:val="0"/>
                                <w:bCs w:val="0"/>
                              </w:rPr>
                            </w:pPr>
                            <w:r w:rsidRPr="00784CF1">
                              <w:rPr>
                                <w:rStyle w:val="Strong"/>
                                <w:b w:val="0"/>
                                <w:bCs w:val="0"/>
                              </w:rPr>
                              <w:t>Position</w:t>
                            </w:r>
                          </w:p>
                          <w:p w14:paraId="68B7FC61" w14:textId="77777777" w:rsidR="001A4C11" w:rsidRPr="00784CF1" w:rsidRDefault="001A4C11" w:rsidP="00F2683B">
                            <w:pPr>
                              <w:pStyle w:val="CoverText"/>
                              <w:rPr>
                                <w:rStyle w:val="Strong"/>
                                <w:b w:val="0"/>
                                <w:bCs w:val="0"/>
                              </w:rPr>
                            </w:pPr>
                            <w:r w:rsidRPr="00784CF1">
                              <w:rPr>
                                <w:rStyle w:val="Strong"/>
                                <w:b w:val="0"/>
                                <w:bCs w:val="0"/>
                              </w:rPr>
                              <w:t>Email</w:t>
                            </w:r>
                          </w:p>
                          <w:p w14:paraId="7559F764" w14:textId="77777777" w:rsidR="001A4C11" w:rsidRPr="00784CF1" w:rsidRDefault="001A4C11" w:rsidP="00F2683B">
                            <w:pPr>
                              <w:pStyle w:val="CoverText"/>
                              <w:rPr>
                                <w:b/>
                                <w:bCs/>
                              </w:rPr>
                            </w:pPr>
                            <w:r w:rsidRPr="00784CF1">
                              <w:rPr>
                                <w:rStyle w:val="Strong"/>
                                <w:b w:val="0"/>
                                <w:bCs w:val="0"/>
                              </w:rPr>
                              <w:t>Phone</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A853910" id="Rectangle 2" o:spid="_x0000_s1027" style="position:absolute;margin-left:142.95pt;margin-top:539.3pt;width:194.15pt;height:154.6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" filled="f" stroked="f">
                <v:textbox inset="0,0,0,0">
                  <w:txbxContent>
                    <w:p w14:paraId="10A8373F" w14:textId="77777777" w:rsidR="001A4C11" w:rsidRPr="00784CF1" w:rsidRDefault="001A4C11" w:rsidP="00E64FCC">
                      <w:pPr>
                        <w:pStyle w:val="CoverText"/>
                      </w:pPr>
                      <w:r w:rsidRPr="00784CF1">
                        <w:t xml:space="preserve">Contacts </w:t>
                      </w:r>
                      <w:r w:rsidR="002D17E7" w:rsidRPr="00784CF1">
                        <w:t>of</w:t>
                      </w:r>
                      <w:r w:rsidRPr="00784CF1">
                        <w:t xml:space="preserve"> </w:t>
                      </w:r>
                      <w:r w:rsidR="002D17E7" w:rsidRPr="00784CF1">
                        <w:t>Civitta</w:t>
                      </w:r>
                      <w:r w:rsidRPr="00784CF1">
                        <w:t xml:space="preserve"> representative</w:t>
                      </w:r>
                    </w:p>
                    <w:p w14:paraId="205C23C9" w14:textId="77777777" w:rsidR="001A4C11" w:rsidRPr="00784CF1" w:rsidRDefault="001A4C11" w:rsidP="00E64FCC">
                      <w:pPr>
                        <w:pStyle w:val="CoverText"/>
                      </w:pPr>
                    </w:p>
                    <w:p w14:paraId="09D59CD5" w14:textId="77777777" w:rsidR="001A4C11" w:rsidRPr="00784CF1" w:rsidRDefault="001A4C11" w:rsidP="00F2683B">
                      <w:pPr>
                        <w:pStyle w:val="CoverText"/>
                        <w:rPr>
                          <w:rStyle w:val="Strong"/>
                        </w:rPr>
                      </w:pPr>
                      <w:r w:rsidRPr="00784CF1">
                        <w:rPr>
                          <w:rStyle w:val="Strong"/>
                        </w:rPr>
                        <w:t>Name Surname</w:t>
                      </w:r>
                    </w:p>
                    <w:p w14:paraId="62EE3D71" w14:textId="77777777" w:rsidR="001A4C11" w:rsidRPr="00784CF1" w:rsidRDefault="001A4C11" w:rsidP="00F2683B">
                      <w:pPr>
                        <w:pStyle w:val="CoverText"/>
                        <w:rPr>
                          <w:rStyle w:val="Strong"/>
                          <w:b w:val="0"/>
                          <w:bCs w:val="0"/>
                        </w:rPr>
                      </w:pPr>
                      <w:r w:rsidRPr="00784CF1">
                        <w:rPr>
                          <w:rStyle w:val="Strong"/>
                          <w:b w:val="0"/>
                          <w:bCs w:val="0"/>
                        </w:rPr>
                        <w:t>Position</w:t>
                      </w:r>
                    </w:p>
                    <w:p w14:paraId="68B7FC61" w14:textId="77777777" w:rsidR="001A4C11" w:rsidRPr="00784CF1" w:rsidRDefault="001A4C11" w:rsidP="00F2683B">
                      <w:pPr>
                        <w:pStyle w:val="CoverText"/>
                        <w:rPr>
                          <w:rStyle w:val="Strong"/>
                          <w:b w:val="0"/>
                          <w:bCs w:val="0"/>
                        </w:rPr>
                      </w:pPr>
                      <w:r w:rsidRPr="00784CF1">
                        <w:rPr>
                          <w:rStyle w:val="Strong"/>
                          <w:b w:val="0"/>
                          <w:bCs w:val="0"/>
                        </w:rPr>
                        <w:t>Email</w:t>
                      </w:r>
                    </w:p>
                    <w:p w14:paraId="7559F764" w14:textId="77777777" w:rsidR="001A4C11" w:rsidRPr="00784CF1" w:rsidRDefault="001A4C11" w:rsidP="00F2683B">
                      <w:pPr>
                        <w:pStyle w:val="CoverText"/>
                        <w:rPr>
                          <w:b/>
                          <w:bCs/>
                        </w:rPr>
                      </w:pPr>
                      <w:r w:rsidRPr="00784CF1">
                        <w:rPr>
                          <w:rStyle w:val="Strong"/>
                          <w:b w:val="0"/>
                          <w:bCs w:val="0"/>
                        </w:rPr>
                        <w:t>Phone</w:t>
                      </w:r>
                    </w:p>
                  </w:txbxContent>
                </v:textbox>
                <w10:wrap type="square" anchorx="margin" anchory="margin"/>
                <w10:anchorlock/>
              </v:rect>
            </w:pict>
          </mc:Fallback>
        </mc:AlternateContent>
      </w:r>
      <w:r w:rsidR="001A4C11" w:rsidRPr="00E14EBC">
        <w:rPr>
          <w:noProof/>
        </w:rPr>
        <mc:AlternateContent>
          <mc:Choice Requires="wps">
            <w:drawing>
              <wp:anchor distT="45720" distB="45720" distL="114300" distR="114300" simplePos="0" relativeHeight="251658242" behindDoc="0" locked="1" layoutInCell="1" hidden="0" allowOverlap="1" wp14:anchorId="783A1CC6" wp14:editId="686EE0D2">
                <wp:simplePos x="0" y="0"/>
                <wp:positionH relativeFrom="margin">
                  <wp:align>right</wp:align>
                </wp:positionH>
                <wp:positionV relativeFrom="margin">
                  <wp:align>bottom</wp:align>
                </wp:positionV>
                <wp:extent cx="2466000" cy="1389600"/>
                <wp:effectExtent l="0" t="0" r="10795" b="1270"/>
                <wp:wrapSquare wrapText="bothSides" distT="45720" distB="45720" distL="114300" distR="114300"/>
                <wp:docPr id="291536402" name="Rectangle 1"/>
                <wp:cNvGraphicFramePr/>
                <a:graphic xmlns:a="http://schemas.openxmlformats.org/drawingml/2006/main">
                  <a:graphicData uri="http://schemas.microsoft.com/office/word/2010/wordprocessingShape">
                    <wps:wsp>
                      <wps:cNvSpPr/>
                      <wps:spPr>
                        <a:xfrm>
                          <a:off x="0" y="0"/>
                          <a:ext cx="2466000" cy="1389600"/>
                        </a:xfrm>
                        <a:prstGeom prst="rect">
                          <a:avLst/>
                        </a:prstGeom>
                        <a:noFill/>
                        <a:ln>
                          <a:noFill/>
                        </a:ln>
                      </wps:spPr>
                      <wps:txbx>
                        <w:txbxContent>
                          <w:p w14:paraId="7366F183" w14:textId="77777777" w:rsidR="001A4C11" w:rsidRPr="00784CF1" w:rsidRDefault="001A4C11" w:rsidP="001D694B">
                            <w:pPr>
                              <w:pStyle w:val="CoverText"/>
                              <w:rPr>
                                <w:bCs/>
                              </w:rPr>
                            </w:pPr>
                            <w:r w:rsidRPr="00784CF1">
                              <w:t>CIVITTA International</w:t>
                            </w:r>
                            <w:r w:rsidRPr="00784CF1">
                              <w:br/>
                              <w:t>info@civitta.com</w:t>
                            </w:r>
                          </w:p>
                          <w:p w14:paraId="4F4C2D5E" w14:textId="77777777" w:rsidR="001A4C11" w:rsidRPr="00784CF1" w:rsidRDefault="001A4C11" w:rsidP="001D694B">
                            <w:pPr>
                              <w:pStyle w:val="CoverText"/>
                              <w:rPr>
                                <w:bCs/>
                              </w:rPr>
                            </w:pPr>
                            <w:r w:rsidRPr="00784CF1">
                              <w:t>+372 735 2802</w:t>
                            </w:r>
                          </w:p>
                          <w:p w14:paraId="387555E0" w14:textId="77777777" w:rsidR="001A4C11" w:rsidRPr="00784CF1" w:rsidRDefault="001A4C11" w:rsidP="001D694B">
                            <w:pPr>
                              <w:pStyle w:val="CoverText"/>
                              <w:rPr>
                                <w:bCs/>
                              </w:rPr>
                            </w:pPr>
                            <w:r w:rsidRPr="00784CF1">
                              <w:t>www.civitta.com</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83A1CC6" id="Rectangle 1" o:spid="_x0000_s1028" style="position:absolute;margin-left:142.95pt;margin-top:0;width:194.15pt;height:109.4pt;z-index:251658242;visibility:visible;mso-wrap-style:square;mso-width-percent:0;mso-height-percent:0;mso-wrap-distance-left:9pt;mso-wrap-distance-top:3.6pt;mso-wrap-distance-right:9pt;mso-wrap-distance-bottom:3.6pt;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" filled="f" stroked="f">
                <v:textbox inset="0,0,0,0">
                  <w:txbxContent>
                    <w:p w14:paraId="7366F183" w14:textId="77777777" w:rsidR="001A4C11" w:rsidRPr="00784CF1" w:rsidRDefault="001A4C11" w:rsidP="001D694B">
                      <w:pPr>
                        <w:pStyle w:val="CoverText"/>
                        <w:rPr>
                          <w:bCs/>
                        </w:rPr>
                      </w:pPr>
                      <w:r w:rsidRPr="00784CF1">
                        <w:t>CIVITTA International</w:t>
                      </w:r>
                      <w:r w:rsidRPr="00784CF1">
                        <w:br/>
                        <w:t>info@civitta.com</w:t>
                      </w:r>
                    </w:p>
                    <w:p w14:paraId="4F4C2D5E" w14:textId="77777777" w:rsidR="001A4C11" w:rsidRPr="00784CF1" w:rsidRDefault="001A4C11" w:rsidP="001D694B">
                      <w:pPr>
                        <w:pStyle w:val="CoverText"/>
                        <w:rPr>
                          <w:bCs/>
                        </w:rPr>
                      </w:pPr>
                      <w:r w:rsidRPr="00784CF1">
                        <w:t>+372 735 2802</w:t>
                      </w:r>
                    </w:p>
                    <w:p w14:paraId="387555E0" w14:textId="77777777" w:rsidR="001A4C11" w:rsidRPr="00784CF1" w:rsidRDefault="001A4C11" w:rsidP="001D694B">
                      <w:pPr>
                        <w:pStyle w:val="CoverText"/>
                        <w:rPr>
                          <w:bCs/>
                        </w:rPr>
                      </w:pPr>
                      <w:r w:rsidRPr="00784CF1">
                        <w:t>www.civitta.com</w:t>
                      </w:r>
                    </w:p>
                  </w:txbxContent>
                </v:textbox>
                <w10:wrap type="square" anchorx="margin" anchory="margin"/>
                <w10:anchorlock/>
              </v:rect>
            </w:pict>
          </mc:Fallback>
        </mc:AlternateContent>
      </w:r>
      <w:r w:rsidR="001A4C11" w:rsidRPr="00E14EBC">
        <w:rPr>
          <w:noProof/>
        </w:rPr>
        <w:drawing>
          <wp:anchor distT="0" distB="0" distL="114300" distR="114300" simplePos="0" relativeHeight="251658241" behindDoc="0" locked="1" layoutInCell="1" hidden="0" allowOverlap="0" wp14:anchorId="00B3D31A" wp14:editId="0DB634C3">
            <wp:simplePos x="0" y="0"/>
            <wp:positionH relativeFrom="page">
              <wp:align>left</wp:align>
            </wp:positionH>
            <wp:positionV relativeFrom="page">
              <wp:align>top</wp:align>
            </wp:positionV>
            <wp:extent cx="7542000" cy="10677600"/>
            <wp:effectExtent l="0" t="0" r="1905" b="0"/>
            <wp:wrapTopAndBottom/>
            <wp:docPr id="891044594" name="image4.jpg" descr="A white background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281" name="image4.jpg" descr="A white background with black lines&#10;&#10;Description automatically generated"/>
                    <pic:cNvPicPr preferRelativeResize="0"/>
                  </pic:nvPicPr>
                  <pic:blipFill>
                    <a:blip r:embed="rId40">
                      <a:extLst>
                        <a:ext uri="{28A0092B-C50C-407E-A947-70E740481C1C}">
                          <a14:useLocalDpi xmlns:a14="http://schemas.microsoft.com/office/drawing/2010/main" val="0"/>
                        </a:ext>
                      </a:extLst>
                    </a:blip>
                    <a:stretch>
                      <a:fillRect/>
                    </a:stretch>
                  </pic:blipFill>
                  <pic:spPr>
                    <a:xfrm>
                      <a:off x="0" y="0"/>
                      <a:ext cx="7542000" cy="10677600"/>
                    </a:xfrm>
                    <a:prstGeom prst="rect">
                      <a:avLst/>
                    </a:prstGeom>
                    <a:ln/>
                  </pic:spPr>
                </pic:pic>
              </a:graphicData>
            </a:graphic>
            <wp14:sizeRelH relativeFrom="margin">
              <wp14:pctWidth>0</wp14:pctWidth>
            </wp14:sizeRelH>
            <wp14:sizeRelV relativeFrom="margin">
              <wp14:pctHeight>0</wp14:pctHeight>
            </wp14:sizeRelV>
          </wp:anchor>
        </w:drawing>
      </w:r>
    </w:p>
    <w:sectPr w:rsidR="00266C3A" w:rsidRPr="00E14EBC" w:rsidSect="00FE3311">
      <w:pgSz w:w="11906" w:h="16838"/>
      <w:pgMar w:top="1469" w:right="821" w:bottom="1469" w:left="82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9562D" w14:textId="77777777" w:rsidR="00744BEC" w:rsidRPr="00784CF1" w:rsidRDefault="00744BEC" w:rsidP="00BA2BE6">
      <w:pPr>
        <w:spacing w:before="0" w:after="0" w:line="240" w:lineRule="auto"/>
      </w:pPr>
      <w:r w:rsidRPr="00784CF1">
        <w:separator/>
      </w:r>
    </w:p>
  </w:endnote>
  <w:endnote w:type="continuationSeparator" w:id="0">
    <w:p w14:paraId="0D25F1AF" w14:textId="77777777" w:rsidR="00744BEC" w:rsidRPr="00784CF1" w:rsidRDefault="00744BEC" w:rsidP="00BA2BE6">
      <w:pPr>
        <w:spacing w:before="0" w:after="0" w:line="240" w:lineRule="auto"/>
      </w:pPr>
      <w:r w:rsidRPr="00784CF1">
        <w:continuationSeparator/>
      </w:r>
    </w:p>
  </w:endnote>
  <w:endnote w:type="continuationNotice" w:id="1">
    <w:p w14:paraId="6396BC36" w14:textId="77777777" w:rsidR="00744BEC" w:rsidRPr="00784CF1" w:rsidRDefault="00744BE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embedRegular r:id="rId1" w:fontKey="{6AAEB53D-373B-4FB8-B649-A946524C2F4F}"/>
  </w:font>
  <w:font w:name="Times New Roman">
    <w:panose1 w:val="02020603050405020304"/>
    <w:charset w:val="00"/>
    <w:family w:val="roman"/>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embedRegular r:id="rId2" w:fontKey="{23DF2E82-861B-459D-9944-F8DB8CAA878B}"/>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46FBE376-C254-4D3B-9DD7-1D7D09BE5D9B}"/>
    <w:embedBold r:id="rId4" w:fontKey="{BE96EFED-B3B5-41D8-8565-3E92589BBB25}"/>
  </w:font>
  <w:font w:name="Georgia">
    <w:panose1 w:val="02040502050405020303"/>
    <w:charset w:val="00"/>
    <w:family w:val="roman"/>
    <w:pitch w:val="variable"/>
    <w:sig w:usb0="00000287" w:usb1="00000000" w:usb2="00000000" w:usb3="00000000" w:csb0="0000009F" w:csb1="00000000"/>
    <w:embedRegular r:id="rId5" w:fontKey="{84D01AF5-2A02-4DDF-9608-59711F481A0F}"/>
  </w:font>
  <w:font w:name="Cambria Math">
    <w:panose1 w:val="02040503050406030204"/>
    <w:charset w:val="00"/>
    <w:family w:val="roman"/>
    <w:pitch w:val="variable"/>
    <w:sig w:usb0="E00006FF" w:usb1="420024FF" w:usb2="02000000" w:usb3="00000000" w:csb0="0000019F" w:csb1="00000000"/>
    <w:embedRegular r:id="rId6" w:fontKey="{02B32AED-A100-4787-A71B-3AC084EDD120}"/>
  </w:font>
  <w:font w:name="Aptos">
    <w:charset w:val="00"/>
    <w:family w:val="swiss"/>
    <w:pitch w:val="variable"/>
    <w:sig w:usb0="20000287" w:usb1="00000003" w:usb2="00000000" w:usb3="00000000" w:csb0="0000019F" w:csb1="00000000"/>
    <w:embedRegular r:id="rId7" w:fontKey="{B9A8013E-D202-4201-B6D5-CFAFB88F34CE}"/>
    <w:embedBold r:id="rId8" w:fontKey="{90873E52-43AA-407D-A510-E14B8C8EE9B8}"/>
    <w:embedItalic r:id="rId9" w:fontKey="{EC5BC7CE-6808-4458-A8C0-32747C58DA48}"/>
  </w:font>
  <w:font w:name="Arial (Body CS)">
    <w:charset w:val="00"/>
    <w:family w:val="roman"/>
    <w:pitch w:val="default"/>
  </w:font>
  <w:font w:name="Open Sans">
    <w:charset w:val="00"/>
    <w:family w:val="swiss"/>
    <w:pitch w:val="variable"/>
    <w:sig w:usb0="E00002EF" w:usb1="4000205B" w:usb2="00000028" w:usb3="00000000" w:csb0="0000019F" w:csb1="00000000"/>
    <w:embedRegular r:id="rId10" w:fontKey="{45AE9D51-B82B-4F18-A988-7A2FCB2EDC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FC81" w14:textId="77777777" w:rsidR="00451FEF" w:rsidRPr="00784CF1" w:rsidRDefault="00451FEF">
    <w:pPr>
      <w:pStyle w:val="Footer"/>
    </w:pPr>
    <w:r w:rsidRPr="00784CF1">
      <w:rPr>
        <w:noProof/>
      </w:rPr>
      <w:drawing>
        <wp:anchor distT="0" distB="0" distL="114300" distR="114300" simplePos="0" relativeHeight="251658246" behindDoc="1" locked="1" layoutInCell="1" allowOverlap="1" wp14:anchorId="0EF92491" wp14:editId="6D9A25F4">
          <wp:simplePos x="0" y="0"/>
          <wp:positionH relativeFrom="page">
            <wp:align>left</wp:align>
          </wp:positionH>
          <wp:positionV relativeFrom="page">
            <wp:align>bottom</wp:align>
          </wp:positionV>
          <wp:extent cx="11030400" cy="939600"/>
          <wp:effectExtent l="0" t="0" r="0" b="0"/>
          <wp:wrapNone/>
          <wp:docPr id="1129276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29950" name="Picture 787529950"/>
                  <pic:cNvPicPr/>
                </pic:nvPicPr>
                <pic:blipFill>
                  <a:blip r:embed="rId1"/>
                  <a:stretch>
                    <a:fillRect/>
                  </a:stretch>
                </pic:blipFill>
                <pic:spPr>
                  <a:xfrm>
                    <a:off x="0" y="0"/>
                    <a:ext cx="11030400" cy="939600"/>
                  </a:xfrm>
                  <a:prstGeom prst="rect">
                    <a:avLst/>
                  </a:prstGeom>
                </pic:spPr>
              </pic:pic>
            </a:graphicData>
          </a:graphic>
          <wp14:sizeRelH relativeFrom="margin">
            <wp14:pctWidth>0</wp14:pctWidth>
          </wp14:sizeRelH>
          <wp14:sizeRelV relativeFrom="margin">
            <wp14:pctHeight>0</wp14:pctHeight>
          </wp14:sizeRelV>
        </wp:anchor>
      </w:drawing>
    </w:r>
    <w:r w:rsidRPr="00784CF1">
      <w:rPr>
        <w:noProof/>
      </w:rPr>
      <w:drawing>
        <wp:anchor distT="0" distB="0" distL="114300" distR="114300" simplePos="0" relativeHeight="251658248" behindDoc="1" locked="1" layoutInCell="1" allowOverlap="1" wp14:anchorId="217E53CE" wp14:editId="4DAEEDE9">
          <wp:simplePos x="0" y="0"/>
          <wp:positionH relativeFrom="page">
            <wp:align>right</wp:align>
          </wp:positionH>
          <wp:positionV relativeFrom="page">
            <wp:align>bottom</wp:align>
          </wp:positionV>
          <wp:extent cx="7563600" cy="1882800"/>
          <wp:effectExtent l="0" t="0" r="0" b="3175"/>
          <wp:wrapNone/>
          <wp:docPr id="1175223973"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26841" name="Picture 2" descr="A black background with a black square&#10;&#10;Description automatically generated with medium confidence"/>
                  <pic:cNvPicPr/>
                </pic:nvPicPr>
                <pic:blipFill>
                  <a:blip r:embed="rId2"/>
                  <a:stretch>
                    <a:fillRect/>
                  </a:stretch>
                </pic:blipFill>
                <pic:spPr>
                  <a:xfrm>
                    <a:off x="0" y="0"/>
                    <a:ext cx="7563600" cy="1882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F422A" w14:textId="77777777" w:rsidR="00451FEF" w:rsidRPr="00784CF1" w:rsidRDefault="00451F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86642" w14:textId="7A87CF7D" w:rsidR="00372C26" w:rsidRPr="00784CF1" w:rsidRDefault="00372C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2985" w14:textId="7889B131" w:rsidR="0053135B" w:rsidRPr="00784CF1" w:rsidRDefault="0053135B">
    <w:pPr>
      <w:pStyle w:val="Footer"/>
    </w:pPr>
    <w:r w:rsidRPr="00784CF1">
      <w:rPr>
        <w:noProof/>
      </w:rPr>
      <mc:AlternateContent>
        <mc:Choice Requires="wps">
          <w:drawing>
            <wp:anchor distT="0" distB="0" distL="114300" distR="114300" simplePos="0" relativeHeight="251658250" behindDoc="0" locked="0" layoutInCell="1" allowOverlap="1" wp14:anchorId="7217020E" wp14:editId="4AE9EF9E">
              <wp:simplePos x="0" y="0"/>
              <wp:positionH relativeFrom="rightMargin">
                <wp:posOffset>-323850</wp:posOffset>
              </wp:positionH>
              <wp:positionV relativeFrom="paragraph">
                <wp:posOffset>189906</wp:posOffset>
              </wp:positionV>
              <wp:extent cx="324000" cy="198000"/>
              <wp:effectExtent l="0" t="0" r="0" b="12065"/>
              <wp:wrapNone/>
              <wp:docPr id="1994033937" name="Text Box 9"/>
              <wp:cNvGraphicFramePr/>
              <a:graphic xmlns:a="http://schemas.openxmlformats.org/drawingml/2006/main">
                <a:graphicData uri="http://schemas.microsoft.com/office/word/2010/wordprocessingShape">
                  <wps:wsp>
                    <wps:cNvSpPr txBox="1"/>
                    <wps:spPr>
                      <a:xfrm>
                        <a:off x="0" y="0"/>
                        <a:ext cx="324000" cy="198000"/>
                      </a:xfrm>
                      <a:prstGeom prst="rect">
                        <a:avLst/>
                      </a:prstGeom>
                      <a:noFill/>
                      <a:ln w="6350">
                        <a:noFill/>
                      </a:ln>
                    </wps:spPr>
                    <wps:txbx>
                      <w:txbxContent>
                        <w:p w14:paraId="4E5E2F59" w14:textId="77777777" w:rsidR="0053135B" w:rsidRPr="00784CF1" w:rsidRDefault="0053135B" w:rsidP="00DC6A03">
                          <w:pPr>
                            <w:pStyle w:val="Header"/>
                            <w:jc w:val="left"/>
                          </w:pPr>
                          <w:r w:rsidRPr="00784CF1">
                            <w:fldChar w:fldCharType="begin"/>
                          </w:r>
                          <w:r w:rsidRPr="00784CF1">
                            <w:instrText xml:space="preserve"> PAGE   \* MERGEFORMAT </w:instrText>
                          </w:r>
                          <w:r w:rsidRPr="00784CF1">
                            <w:fldChar w:fldCharType="separate"/>
                          </w:r>
                          <w:r w:rsidRPr="00784CF1">
                            <w:t>1</w:t>
                          </w:r>
                          <w:r w:rsidRPr="00784CF1">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17020E" id="_x0000_t202" coordsize="21600,21600" o:spt="202" path="m,l,21600r21600,l21600,xe">
              <v:stroke joinstyle="miter"/>
              <v:path gradientshapeok="t" o:connecttype="rect"/>
            </v:shapetype>
            <v:shape id="_x0000_s1032" type="#_x0000_t202" style="position:absolute;margin-left:-25.5pt;margin-top:14.95pt;width:25.5pt;height:15.6pt;z-index:25165825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" filled="f" stroked="f" strokeweight=".5pt">
              <v:textbox inset="0,0,0,0">
                <w:txbxContent>
                  <w:p w14:paraId="4E5E2F59" w14:textId="77777777" w:rsidR="0053135B" w:rsidRPr="00784CF1" w:rsidRDefault="0053135B" w:rsidP="00DC6A03">
                    <w:pPr>
                      <w:pStyle w:val="Header"/>
                      <w:jc w:val="left"/>
                    </w:pPr>
                    <w:r w:rsidRPr="00784CF1">
                      <w:fldChar w:fldCharType="begin"/>
                    </w:r>
                    <w:r w:rsidRPr="00784CF1">
                      <w:instrText xml:space="preserve"> PAGE   \* MERGEFORMAT </w:instrText>
                    </w:r>
                    <w:r w:rsidRPr="00784CF1">
                      <w:fldChar w:fldCharType="separate"/>
                    </w:r>
                    <w:r w:rsidRPr="00784CF1">
                      <w:t>1</w:t>
                    </w:r>
                    <w:r w:rsidRPr="00784CF1">
                      <w:fldChar w:fldCharType="end"/>
                    </w:r>
                  </w:p>
                </w:txbxContent>
              </v:textbox>
              <w10:wrap anchorx="margin"/>
            </v:shape>
          </w:pict>
        </mc:Fallback>
      </mc:AlternateContent>
    </w:r>
    <w:r w:rsidRPr="00784CF1">
      <w:rPr>
        <w:noProof/>
      </w:rPr>
      <mc:AlternateContent>
        <mc:Choice Requires="wps">
          <w:drawing>
            <wp:anchor distT="0" distB="0" distL="114300" distR="114300" simplePos="0" relativeHeight="251658251" behindDoc="0" locked="0" layoutInCell="1" allowOverlap="1" wp14:anchorId="38621742" wp14:editId="0B9A506D">
              <wp:simplePos x="0" y="0"/>
              <wp:positionH relativeFrom="rightMargin">
                <wp:posOffset>-377825</wp:posOffset>
              </wp:positionH>
              <wp:positionV relativeFrom="paragraph">
                <wp:posOffset>201197</wp:posOffset>
              </wp:positionV>
              <wp:extent cx="0" cy="162000"/>
              <wp:effectExtent l="0" t="0" r="38100" b="28575"/>
              <wp:wrapNone/>
              <wp:docPr id="557382857" name="Straight Connector 10"/>
              <wp:cNvGraphicFramePr/>
              <a:graphic xmlns:a="http://schemas.openxmlformats.org/drawingml/2006/main">
                <a:graphicData uri="http://schemas.microsoft.com/office/word/2010/wordprocessingShape">
                  <wps:wsp>
                    <wps:cNvCnPr/>
                    <wps:spPr>
                      <a:xfrm>
                        <a:off x="0" y="0"/>
                        <a:ext cx="0" cy="162000"/>
                      </a:xfrm>
                      <a:prstGeom prst="line">
                        <a:avLst/>
                      </a:prstGeom>
                      <a:ln w="1270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7A51FDB">
            <v:line id="Straight Connector 10" style="position:absolute;z-index:2516679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spid="_x0000_s1026" strokecolor="#e6e6e6 [3206]" strokeweight="1pt" from="-29.75pt,15.85pt" to="-29.75pt,28.6pt" w14:anchorId="69329C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">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21B1F" w14:textId="77777777" w:rsidR="00744BEC" w:rsidRPr="00784CF1" w:rsidRDefault="00744BEC" w:rsidP="00BA2BE6">
      <w:pPr>
        <w:spacing w:before="0" w:after="0" w:line="240" w:lineRule="auto"/>
      </w:pPr>
      <w:r w:rsidRPr="00784CF1">
        <w:separator/>
      </w:r>
    </w:p>
  </w:footnote>
  <w:footnote w:type="continuationSeparator" w:id="0">
    <w:p w14:paraId="7D7A40F5" w14:textId="77777777" w:rsidR="00744BEC" w:rsidRPr="00784CF1" w:rsidRDefault="00744BEC" w:rsidP="00BA2BE6">
      <w:pPr>
        <w:spacing w:before="0" w:after="0" w:line="240" w:lineRule="auto"/>
      </w:pPr>
      <w:r w:rsidRPr="00784CF1">
        <w:continuationSeparator/>
      </w:r>
    </w:p>
  </w:footnote>
  <w:footnote w:type="continuationNotice" w:id="1">
    <w:p w14:paraId="62E9853E" w14:textId="77777777" w:rsidR="00744BEC" w:rsidRPr="00784CF1" w:rsidRDefault="00744BEC">
      <w:pPr>
        <w:spacing w:before="0" w:after="0" w:line="240" w:lineRule="auto"/>
      </w:pPr>
    </w:p>
  </w:footnote>
  <w:footnote w:id="2">
    <w:p w14:paraId="1FA4C3AE" w14:textId="383C24EF" w:rsidR="0039699B" w:rsidRPr="00E2585E" w:rsidRDefault="0039699B">
      <w:pPr>
        <w:pStyle w:val="FootnoteText"/>
        <w:rPr>
          <w:lang w:val="en-US"/>
        </w:rPr>
      </w:pPr>
      <w:r>
        <w:rPr>
          <w:rStyle w:val="FootnoteReference"/>
        </w:rPr>
        <w:footnoteRef/>
      </w:r>
      <w:r>
        <w:t xml:space="preserve"> </w:t>
      </w:r>
      <w:r>
        <w:rPr>
          <w:lang w:val="en-US"/>
        </w:rPr>
        <w:t xml:space="preserve">Eurostati veebileht. </w:t>
      </w:r>
      <w:hyperlink r:id="rId1" w:history="1">
        <w:r w:rsidR="00E2585E" w:rsidRPr="00E2585E">
          <w:rPr>
            <w:rStyle w:val="Hyperlink"/>
            <w:lang w:val="en-US"/>
          </w:rPr>
          <w:t>Link</w:t>
        </w:r>
      </w:hyperlink>
    </w:p>
  </w:footnote>
  <w:footnote w:id="3">
    <w:p w14:paraId="30A473B1" w14:textId="77777777" w:rsidR="00A700B0" w:rsidRPr="00EF388D" w:rsidRDefault="00A700B0">
      <w:pPr>
        <w:pStyle w:val="FootnoteText"/>
      </w:pPr>
      <w:r>
        <w:rPr>
          <w:rStyle w:val="FootnoteReference"/>
        </w:rPr>
        <w:footnoteRef/>
      </w:r>
      <w:r>
        <w:t xml:space="preserve"> AirDNA veebilehe põhjal. </w:t>
      </w:r>
      <w:hyperlink r:id="rId2" w:history="1">
        <w:r w:rsidRPr="009001A2">
          <w:rPr>
            <w:rStyle w:val="Hyperlink"/>
          </w:rPr>
          <w:t>Link</w:t>
        </w:r>
      </w:hyperlink>
    </w:p>
  </w:footnote>
  <w:footnote w:id="4">
    <w:p w14:paraId="675AECCB" w14:textId="243D2870" w:rsidR="00556078" w:rsidRDefault="00556078" w:rsidP="004F64FB">
      <w:pPr>
        <w:pStyle w:val="FootnoteText"/>
      </w:pPr>
      <w:r w:rsidRPr="00784CF1">
        <w:rPr>
          <w:rStyle w:val="FootnoteReference"/>
        </w:rPr>
        <w:footnoteRef/>
      </w:r>
      <w:r w:rsidRPr="00784CF1">
        <w:t xml:space="preserve"> </w:t>
      </w:r>
      <w:r w:rsidR="004F64FB">
        <w:t>UNECE, 2021. Sharing economy and its effects on housing markets. REM- UNECE reports, Geneva.</w:t>
      </w:r>
      <w:r w:rsidR="004F64FB" w:rsidRPr="00784CF1" w:rsidDel="004F64FB">
        <w:t xml:space="preserve"> </w:t>
      </w:r>
      <w:hyperlink r:id="rId3" w:history="1">
        <w:r w:rsidR="00A93074" w:rsidRPr="00A93074">
          <w:rPr>
            <w:rStyle w:val="Hyperlink"/>
          </w:rPr>
          <w:t>Link</w:t>
        </w:r>
      </w:hyperlink>
    </w:p>
    <w:p w14:paraId="3A25576E" w14:textId="55271066" w:rsidR="0093283C" w:rsidRPr="00784CF1" w:rsidRDefault="0093283C" w:rsidP="00556078">
      <w:pPr>
        <w:pStyle w:val="FootnoteText"/>
      </w:pPr>
      <w:r w:rsidRPr="00784CF1">
        <w:t>Gauß, P., Gensler, S., Kortenhaus</w:t>
      </w:r>
      <w:r w:rsidRPr="00CA4185">
        <w:t>, M</w:t>
      </w:r>
      <w:r w:rsidR="005C11CD" w:rsidRPr="00514229">
        <w:t xml:space="preserve">. Riedel, N., </w:t>
      </w:r>
      <w:r w:rsidR="00CA4185" w:rsidRPr="00514229">
        <w:t>Schneider, A., 202</w:t>
      </w:r>
      <w:r w:rsidR="000525EE">
        <w:t>4</w:t>
      </w:r>
      <w:r w:rsidRPr="00514229">
        <w:t>.</w:t>
      </w:r>
      <w:r w:rsidRPr="00784CF1">
        <w:t> Regulating the sharing economy: The effects of day caps on short- and long-term rental markets and stakeholder outcomes.</w:t>
      </w:r>
      <w:r w:rsidR="00F91A01">
        <w:t xml:space="preserve"> </w:t>
      </w:r>
      <w:hyperlink r:id="rId4" w:history="1">
        <w:r w:rsidR="00F91A01" w:rsidRPr="00F91A01">
          <w:rPr>
            <w:rStyle w:val="Hyperlink"/>
          </w:rPr>
          <w:t>Link</w:t>
        </w:r>
      </w:hyperlink>
    </w:p>
  </w:footnote>
  <w:footnote w:id="5">
    <w:p w14:paraId="5A85C604" w14:textId="77777777" w:rsidR="006909D2" w:rsidRPr="00784CF1" w:rsidRDefault="006909D2" w:rsidP="006909D2">
      <w:pPr>
        <w:pStyle w:val="FootnoteText"/>
      </w:pPr>
      <w:r w:rsidRPr="00784CF1">
        <w:rPr>
          <w:rStyle w:val="FootnoteReference"/>
        </w:rPr>
        <w:footnoteRef/>
      </w:r>
      <w:r w:rsidRPr="00784CF1">
        <w:t xml:space="preserve"> </w:t>
      </w:r>
      <w:r>
        <w:t xml:space="preserve">Airbnb. About us. </w:t>
      </w:r>
      <w:hyperlink r:id="rId5" w:history="1">
        <w:r w:rsidRPr="0093283C">
          <w:rPr>
            <w:rStyle w:val="Hyperlink"/>
          </w:rPr>
          <w:t>Link</w:t>
        </w:r>
      </w:hyperlink>
      <w:r>
        <w:t>.</w:t>
      </w:r>
    </w:p>
  </w:footnote>
  <w:footnote w:id="6">
    <w:p w14:paraId="046380CE" w14:textId="43C9AE8B" w:rsidR="00BC2DE1" w:rsidRPr="00784CF1" w:rsidRDefault="00BC2DE1" w:rsidP="00BC2DE1">
      <w:pPr>
        <w:pStyle w:val="FootnoteText"/>
      </w:pPr>
      <w:r w:rsidRPr="00784CF1">
        <w:rPr>
          <w:rStyle w:val="FootnoteReference"/>
        </w:rPr>
        <w:footnoteRef/>
      </w:r>
      <w:r w:rsidRPr="00784CF1">
        <w:t xml:space="preserve"> Wang, Y., Livingston, M., McArthur, D. P., &amp; Bailey, N.</w:t>
      </w:r>
      <w:r w:rsidR="00DA1030">
        <w:t xml:space="preserve">, </w:t>
      </w:r>
      <w:r w:rsidRPr="00784CF1">
        <w:t>2023. The challenges of measuring the short-term rental market: an analysis of open data on Airbnb activity. </w:t>
      </w:r>
      <w:r w:rsidRPr="00514229">
        <w:t>Housing Studies</w:t>
      </w:r>
      <w:r w:rsidRPr="00DA1030">
        <w:t>, </w:t>
      </w:r>
      <w:r w:rsidRPr="00514229">
        <w:t>39</w:t>
      </w:r>
      <w:r w:rsidRPr="00DA1030">
        <w:t>(9),</w:t>
      </w:r>
      <w:r w:rsidRPr="00784CF1">
        <w:t xml:space="preserve"> 2260–2279. </w:t>
      </w:r>
      <w:hyperlink r:id="rId6" w:history="1">
        <w:r w:rsidR="0093283C" w:rsidRPr="0093283C">
          <w:rPr>
            <w:rStyle w:val="Hyperlink"/>
          </w:rPr>
          <w:t>Link</w:t>
        </w:r>
      </w:hyperlink>
      <w:r w:rsidR="0093283C">
        <w:t>.</w:t>
      </w:r>
    </w:p>
  </w:footnote>
  <w:footnote w:id="7">
    <w:p w14:paraId="7228098A" w14:textId="692FCF6F" w:rsidR="00166E01" w:rsidRPr="00F35F48" w:rsidRDefault="00166E01">
      <w:pPr>
        <w:pStyle w:val="FootnoteText"/>
      </w:pPr>
      <w:r>
        <w:rPr>
          <w:rStyle w:val="FootnoteReference"/>
        </w:rPr>
        <w:footnoteRef/>
      </w:r>
      <w:r w:rsidR="00F35F48">
        <w:t xml:space="preserve"> </w:t>
      </w:r>
      <w:r>
        <w:rPr>
          <w:lang w:val="en-US"/>
        </w:rPr>
        <w:t>Eurostat</w:t>
      </w:r>
      <w:r w:rsidR="00E8516F">
        <w:rPr>
          <w:lang w:val="en-US"/>
        </w:rPr>
        <w:t>, 2025</w:t>
      </w:r>
      <w:r w:rsidR="008E28C0">
        <w:rPr>
          <w:lang w:val="en-US"/>
        </w:rPr>
        <w:t>.</w:t>
      </w:r>
      <w:r>
        <w:rPr>
          <w:lang w:val="en-US"/>
        </w:rPr>
        <w:t xml:space="preserve"> </w:t>
      </w:r>
      <w:r w:rsidR="00F35F48" w:rsidRPr="00F35F48">
        <w:rPr>
          <w:lang w:val="en-US"/>
        </w:rPr>
        <w:t>Short-stay accommodation offered via collaborative economy platforms by months and residence of the guest - experimental statistics</w:t>
      </w:r>
      <w:r w:rsidR="0082428C">
        <w:rPr>
          <w:lang w:val="en-US"/>
        </w:rPr>
        <w:t>.</w:t>
      </w:r>
      <w:r w:rsidR="004E16EF">
        <w:rPr>
          <w:lang w:val="en-US"/>
        </w:rPr>
        <w:t xml:space="preserve"> </w:t>
      </w:r>
      <w:hyperlink r:id="rId7" w:history="1">
        <w:r w:rsidR="004E16EF" w:rsidRPr="004E16EF">
          <w:rPr>
            <w:rStyle w:val="Hyperlink"/>
            <w:lang w:val="en-US"/>
          </w:rPr>
          <w:t>Link</w:t>
        </w:r>
      </w:hyperlink>
      <w:r w:rsidR="004E16EF">
        <w:rPr>
          <w:lang w:val="en-US"/>
        </w:rPr>
        <w:t>.</w:t>
      </w:r>
    </w:p>
  </w:footnote>
  <w:footnote w:id="8">
    <w:p w14:paraId="1D2FDAB2" w14:textId="2D4D993A" w:rsidR="00E6428B" w:rsidRPr="00E6428B" w:rsidRDefault="00E6428B" w:rsidP="00514229">
      <w:pPr>
        <w:pStyle w:val="FootnoteText"/>
        <w:jc w:val="both"/>
        <w:rPr>
          <w:lang w:val="en-US"/>
        </w:rPr>
      </w:pPr>
      <w:r>
        <w:rPr>
          <w:rStyle w:val="FootnoteReference"/>
        </w:rPr>
        <w:footnoteRef/>
      </w:r>
      <w:r>
        <w:t xml:space="preserve"> </w:t>
      </w:r>
      <w:r w:rsidRPr="00E6428B">
        <w:t>Eljas-Taal, K., Rõa, K., Lauren, A., Vallistu, J., &amp; Müürisepp, K.</w:t>
      </w:r>
      <w:r w:rsidR="00DA1030">
        <w:t xml:space="preserve">, </w:t>
      </w:r>
      <w:r>
        <w:t>2016</w:t>
      </w:r>
      <w:r w:rsidRPr="00E6428B">
        <w:t xml:space="preserve">. </w:t>
      </w:r>
      <w:r w:rsidRPr="00514229">
        <w:t>Jagamismajanduse põhimõtete rakendamine Eesti majandus- ja õigusruumis: Lõpparuanne</w:t>
      </w:r>
      <w:r w:rsidRPr="00DA1030">
        <w:t>.</w:t>
      </w:r>
      <w:r w:rsidRPr="00E6428B">
        <w:t xml:space="preserve"> Technopolis Group ja Ernst &amp; Young Baltic AS.</w:t>
      </w:r>
    </w:p>
  </w:footnote>
  <w:footnote w:id="9">
    <w:p w14:paraId="2F0627D3" w14:textId="77777777" w:rsidR="009519EC" w:rsidRDefault="009519EC" w:rsidP="00FD3E0A">
      <w:pPr>
        <w:pStyle w:val="FootnoteText"/>
      </w:pPr>
      <w:r w:rsidRPr="18C9F0B4">
        <w:rPr>
          <w:rStyle w:val="FootnoteReference"/>
        </w:rPr>
        <w:footnoteRef/>
      </w:r>
      <w:r>
        <w:t xml:space="preserve"> EIS-i töölaud põhineb Lighthouse’i andmetel. Töölaud on kättesaadav </w:t>
      </w:r>
      <w:hyperlink r:id="rId8" w:history="1">
        <w:r w:rsidRPr="00247A0A">
          <w:rPr>
            <w:rStyle w:val="Hyperlink"/>
          </w:rPr>
          <w:t>link</w:t>
        </w:r>
      </w:hyperlink>
      <w:r>
        <w:t>.</w:t>
      </w:r>
    </w:p>
  </w:footnote>
  <w:footnote w:id="10">
    <w:p w14:paraId="23CE533F" w14:textId="62E8C2C5" w:rsidR="0001536D" w:rsidRDefault="0001536D" w:rsidP="0054482A">
      <w:pPr>
        <w:pStyle w:val="FootnoteText"/>
      </w:pPr>
      <w:r>
        <w:rPr>
          <w:rStyle w:val="FootnoteReference"/>
        </w:rPr>
        <w:footnoteRef/>
      </w:r>
      <w:r>
        <w:t xml:space="preserve"> </w:t>
      </w:r>
      <w:r w:rsidR="00A43A7C" w:rsidRPr="00A43A7C">
        <w:t>Lutz</w:t>
      </w:r>
      <w:r w:rsidR="00A43A7C">
        <w:t xml:space="preserve">, C., </w:t>
      </w:r>
      <w:r w:rsidR="00A43A7C" w:rsidRPr="00A43A7C">
        <w:t>Majeti</w:t>
      </w:r>
      <w:r w:rsidR="002F55E0">
        <w:t xml:space="preserve">c, F., </w:t>
      </w:r>
      <w:r w:rsidR="00A43A7C" w:rsidRPr="00A43A7C">
        <w:t>Miguel</w:t>
      </w:r>
      <w:r w:rsidR="002F55E0">
        <w:t>, C.,</w:t>
      </w:r>
      <w:r w:rsidR="00A43A7C" w:rsidRPr="00A43A7C">
        <w:t xml:space="preserve"> Perez-Vega,</w:t>
      </w:r>
      <w:r w:rsidR="0054482A">
        <w:t xml:space="preserve"> R.,</w:t>
      </w:r>
      <w:r w:rsidR="00A43A7C" w:rsidRPr="00A43A7C">
        <w:t xml:space="preserve"> Jones</w:t>
      </w:r>
      <w:r w:rsidR="0054482A">
        <w:t>, B., 2024. The perceived impacts of short-term rental platforms: Comparing the United States and United Kingdom.</w:t>
      </w:r>
      <w:r w:rsidR="00DE563B" w:rsidRPr="00DE563B">
        <w:t xml:space="preserve"> Technology in Society</w:t>
      </w:r>
      <w:r w:rsidR="00DE563B">
        <w:t>,</w:t>
      </w:r>
      <w:r w:rsidR="00DE563B" w:rsidRPr="00DE563B">
        <w:t xml:space="preserve"> 77</w:t>
      </w:r>
      <w:r w:rsidR="00DE563B">
        <w:t>,</w:t>
      </w:r>
      <w:r w:rsidR="00DE563B" w:rsidRPr="00DE563B">
        <w:t xml:space="preserve"> 102586</w:t>
      </w:r>
      <w:r w:rsidR="00DE563B">
        <w:t xml:space="preserve">. </w:t>
      </w:r>
      <w:hyperlink r:id="rId9" w:history="1">
        <w:r w:rsidR="00DE563B" w:rsidRPr="001600B5">
          <w:rPr>
            <w:rStyle w:val="Hyperlink"/>
          </w:rPr>
          <w:t>Link</w:t>
        </w:r>
      </w:hyperlink>
    </w:p>
  </w:footnote>
  <w:footnote w:id="11">
    <w:p w14:paraId="3EC7B052" w14:textId="047A97CC" w:rsidR="00C93119" w:rsidRDefault="00C93119" w:rsidP="00356F2F">
      <w:pPr>
        <w:pStyle w:val="FootnoteText"/>
      </w:pPr>
      <w:r>
        <w:rPr>
          <w:rStyle w:val="FootnoteReference"/>
        </w:rPr>
        <w:footnoteRef/>
      </w:r>
      <w:r>
        <w:t xml:space="preserve"> Wrede, M., </w:t>
      </w:r>
      <w:r w:rsidR="00356F2F">
        <w:t>2022. How Short-Term Rentals are Changing the Neighborhood.</w:t>
      </w:r>
      <w:r w:rsidR="00356F2F" w:rsidRPr="00356F2F">
        <w:t xml:space="preserve"> </w:t>
      </w:r>
      <w:r w:rsidR="00356F2F">
        <w:t>International Regional Science Review, 45(4) 417–443.</w:t>
      </w:r>
      <w:r w:rsidR="00AE0AFE">
        <w:t xml:space="preserve"> </w:t>
      </w:r>
      <w:hyperlink r:id="rId10" w:history="1">
        <w:r w:rsidR="00AE0AFE" w:rsidRPr="00AE0AFE">
          <w:rPr>
            <w:rStyle w:val="Hyperlink"/>
          </w:rPr>
          <w:t>Link</w:t>
        </w:r>
      </w:hyperlink>
    </w:p>
  </w:footnote>
  <w:footnote w:id="12">
    <w:p w14:paraId="00249CF9" w14:textId="4CA393EB" w:rsidR="008B3380" w:rsidRDefault="008B3380">
      <w:pPr>
        <w:pStyle w:val="FootnoteText"/>
      </w:pPr>
      <w:r>
        <w:rPr>
          <w:rStyle w:val="FootnoteReference"/>
        </w:rPr>
        <w:footnoteRef/>
      </w:r>
      <w:r>
        <w:t xml:space="preserve"> Eurostat, 2025. </w:t>
      </w:r>
      <w:r w:rsidRPr="008B3380">
        <w:t>Short-stay accommodation offered via online collaborative economy platforms - monthly data</w:t>
      </w:r>
      <w:r>
        <w:t xml:space="preserve">. </w:t>
      </w:r>
      <w:hyperlink r:id="rId11" w:history="1">
        <w:r w:rsidRPr="00B61D06">
          <w:rPr>
            <w:rStyle w:val="Hyperlink"/>
          </w:rPr>
          <w:t>Link</w:t>
        </w:r>
      </w:hyperlink>
    </w:p>
  </w:footnote>
  <w:footnote w:id="13">
    <w:p w14:paraId="02480C99" w14:textId="56D164DE" w:rsidR="007967CC" w:rsidRPr="006F7965" w:rsidRDefault="007967CC" w:rsidP="009770A3">
      <w:pPr>
        <w:pStyle w:val="FootnoteText"/>
        <w:jc w:val="both"/>
        <w:rPr>
          <w:lang w:val="en-US"/>
        </w:rPr>
      </w:pPr>
      <w:r>
        <w:rPr>
          <w:rStyle w:val="FootnoteReference"/>
        </w:rPr>
        <w:footnoteRef/>
      </w:r>
      <w:r w:rsidRPr="00C87E17">
        <w:rPr>
          <w:rFonts w:asciiTheme="minorBidi" w:eastAsia="Times New Roman" w:hAnsiTheme="minorBidi"/>
          <w:bCs/>
          <w:color w:val="000000"/>
          <w:sz w:val="20"/>
        </w:rPr>
        <w:t xml:space="preserve"> Haqqani,</w:t>
      </w:r>
      <w:r w:rsidR="00F60626">
        <w:rPr>
          <w:rFonts w:asciiTheme="minorBidi" w:eastAsia="Times New Roman" w:hAnsiTheme="minorBidi"/>
          <w:bCs/>
          <w:color w:val="000000"/>
          <w:sz w:val="20"/>
        </w:rPr>
        <w:t xml:space="preserve"> A.A.H,</w:t>
      </w:r>
      <w:r w:rsidRPr="00C87E17">
        <w:rPr>
          <w:rFonts w:asciiTheme="minorBidi" w:eastAsia="Times New Roman" w:hAnsiTheme="minorBidi"/>
          <w:bCs/>
          <w:color w:val="000000"/>
          <w:sz w:val="20"/>
        </w:rPr>
        <w:t xml:space="preserve"> Elomri,</w:t>
      </w:r>
      <w:r w:rsidR="00F60626">
        <w:rPr>
          <w:rFonts w:asciiTheme="minorBidi" w:eastAsia="Times New Roman" w:hAnsiTheme="minorBidi"/>
          <w:bCs/>
          <w:color w:val="000000"/>
          <w:sz w:val="20"/>
        </w:rPr>
        <w:t xml:space="preserve"> A.,</w:t>
      </w:r>
      <w:r w:rsidRPr="00C87E17">
        <w:rPr>
          <w:rFonts w:asciiTheme="minorBidi" w:eastAsia="Times New Roman" w:hAnsiTheme="minorBidi"/>
          <w:bCs/>
          <w:color w:val="000000"/>
          <w:sz w:val="20"/>
        </w:rPr>
        <w:t xml:space="preserve"> Kerbache</w:t>
      </w:r>
      <w:r w:rsidR="00F60626">
        <w:rPr>
          <w:rFonts w:asciiTheme="minorBidi" w:eastAsia="Times New Roman" w:hAnsiTheme="minorBidi"/>
          <w:bCs/>
          <w:color w:val="000000"/>
          <w:sz w:val="20"/>
        </w:rPr>
        <w:t>, L., 2022.</w:t>
      </w:r>
      <w:r w:rsidRPr="00C87E17">
        <w:rPr>
          <w:rFonts w:asciiTheme="minorBidi" w:eastAsia="Times New Roman" w:hAnsiTheme="minorBidi"/>
          <w:bCs/>
          <w:color w:val="000000"/>
          <w:sz w:val="20"/>
        </w:rPr>
        <w:t xml:space="preserve"> Sharing Economy: A Systematic Review of Definitions, Drivers, Applications, Industry status and Business models</w:t>
      </w:r>
      <w:r w:rsidR="00F60626">
        <w:rPr>
          <w:rFonts w:asciiTheme="minorBidi" w:eastAsia="Times New Roman" w:hAnsiTheme="minorBidi"/>
          <w:bCs/>
          <w:color w:val="000000"/>
          <w:sz w:val="20"/>
        </w:rPr>
        <w:t>.</w:t>
      </w:r>
      <w:r w:rsidRPr="00C87E17">
        <w:rPr>
          <w:rFonts w:asciiTheme="minorBidi" w:eastAsia="Times New Roman" w:hAnsiTheme="minorBidi"/>
          <w:bCs/>
          <w:color w:val="000000"/>
          <w:sz w:val="20"/>
        </w:rPr>
        <w:t xml:space="preserve"> IFAC PapersOnLine</w:t>
      </w:r>
      <w:r w:rsidR="00ED56DB">
        <w:rPr>
          <w:rFonts w:asciiTheme="minorBidi" w:eastAsia="Times New Roman" w:hAnsiTheme="minorBidi"/>
          <w:bCs/>
          <w:color w:val="000000"/>
          <w:sz w:val="20"/>
        </w:rPr>
        <w:t>,</w:t>
      </w:r>
      <w:r w:rsidRPr="00C87E17">
        <w:rPr>
          <w:rFonts w:asciiTheme="minorBidi" w:eastAsia="Times New Roman" w:hAnsiTheme="minorBidi"/>
          <w:bCs/>
          <w:color w:val="000000"/>
          <w:sz w:val="20"/>
        </w:rPr>
        <w:t xml:space="preserve"> 55</w:t>
      </w:r>
      <w:r w:rsidR="00ED56DB">
        <w:rPr>
          <w:rFonts w:asciiTheme="minorBidi" w:eastAsia="Times New Roman" w:hAnsiTheme="minorBidi"/>
          <w:bCs/>
          <w:color w:val="000000"/>
          <w:sz w:val="20"/>
        </w:rPr>
        <w:t>(</w:t>
      </w:r>
      <w:r w:rsidRPr="00C87E17">
        <w:rPr>
          <w:rFonts w:asciiTheme="minorBidi" w:eastAsia="Times New Roman" w:hAnsiTheme="minorBidi"/>
          <w:bCs/>
          <w:color w:val="000000"/>
          <w:sz w:val="20"/>
        </w:rPr>
        <w:t>10</w:t>
      </w:r>
      <w:r w:rsidR="00ED56DB">
        <w:rPr>
          <w:rFonts w:asciiTheme="minorBidi" w:eastAsia="Times New Roman" w:hAnsiTheme="minorBidi"/>
          <w:bCs/>
          <w:color w:val="000000"/>
          <w:sz w:val="20"/>
        </w:rPr>
        <w:t>),</w:t>
      </w:r>
      <w:r w:rsidRPr="00C87E17">
        <w:rPr>
          <w:rFonts w:asciiTheme="minorBidi" w:eastAsia="Times New Roman" w:hAnsiTheme="minorBidi"/>
          <w:bCs/>
          <w:color w:val="000000"/>
          <w:sz w:val="20"/>
        </w:rPr>
        <w:t xml:space="preserve"> 490–495</w:t>
      </w:r>
      <w:r w:rsidR="00ED56DB">
        <w:rPr>
          <w:rFonts w:asciiTheme="minorBidi" w:eastAsia="Times New Roman" w:hAnsiTheme="minorBidi"/>
          <w:bCs/>
          <w:color w:val="000000"/>
          <w:sz w:val="20"/>
        </w:rPr>
        <w:t>.</w:t>
      </w:r>
      <w:r w:rsidR="00F2305C">
        <w:rPr>
          <w:rFonts w:asciiTheme="minorBidi" w:eastAsia="Times New Roman" w:hAnsiTheme="minorBidi"/>
          <w:bCs/>
          <w:color w:val="000000"/>
          <w:sz w:val="20"/>
        </w:rPr>
        <w:t xml:space="preserve"> </w:t>
      </w:r>
      <w:hyperlink r:id="rId12" w:history="1">
        <w:r w:rsidR="00F2305C" w:rsidRPr="00F2305C">
          <w:rPr>
            <w:rStyle w:val="Hyperlink"/>
            <w:rFonts w:asciiTheme="minorBidi" w:eastAsia="Times New Roman" w:hAnsiTheme="minorBidi"/>
            <w:bCs/>
            <w:sz w:val="20"/>
          </w:rPr>
          <w:t>Link</w:t>
        </w:r>
      </w:hyperlink>
    </w:p>
  </w:footnote>
  <w:footnote w:id="14">
    <w:p w14:paraId="685DD903" w14:textId="35BEEA1D" w:rsidR="00490558" w:rsidRPr="00CC0FFD" w:rsidRDefault="00490558" w:rsidP="009770A3">
      <w:pPr>
        <w:pStyle w:val="FootnoteText"/>
        <w:jc w:val="both"/>
        <w:rPr>
          <w:lang w:val="en-US"/>
        </w:rPr>
      </w:pPr>
      <w:r>
        <w:rPr>
          <w:rStyle w:val="FootnoteReference"/>
        </w:rPr>
        <w:footnoteRef/>
      </w:r>
      <w:r>
        <w:t xml:space="preserve"> F</w:t>
      </w:r>
      <w:r w:rsidRPr="00412947">
        <w:t>elson, M. &amp; Spaeth, J.</w:t>
      </w:r>
      <w:r w:rsidR="00ED56DB">
        <w:t>,</w:t>
      </w:r>
      <w:r w:rsidRPr="00412947">
        <w:t xml:space="preserve"> 1978. </w:t>
      </w:r>
      <w:r w:rsidRPr="00B54A22">
        <w:rPr>
          <w:iCs/>
        </w:rPr>
        <w:t>Community structure and collaborative consumption: a routine activity approach</w:t>
      </w:r>
      <w:r w:rsidR="00ED56DB">
        <w:t>.</w:t>
      </w:r>
      <w:r w:rsidRPr="00412947">
        <w:t xml:space="preserve"> </w:t>
      </w:r>
      <w:r w:rsidRPr="00B54A22">
        <w:rPr>
          <w:iCs/>
        </w:rPr>
        <w:t>American Behavioral Scientist</w:t>
      </w:r>
      <w:r w:rsidRPr="00ED56DB">
        <w:rPr>
          <w:iCs/>
        </w:rPr>
        <w:t>, 21(4)</w:t>
      </w:r>
      <w:r w:rsidR="00ED56DB">
        <w:rPr>
          <w:iCs/>
        </w:rPr>
        <w:t>,</w:t>
      </w:r>
      <w:r w:rsidRPr="00ED56DB">
        <w:rPr>
          <w:iCs/>
        </w:rPr>
        <w:t xml:space="preserve"> 614-624</w:t>
      </w:r>
      <w:r w:rsidR="00ED56DB">
        <w:rPr>
          <w:iCs/>
        </w:rPr>
        <w:t>.</w:t>
      </w:r>
    </w:p>
  </w:footnote>
  <w:footnote w:id="15">
    <w:p w14:paraId="2DC4979C" w14:textId="7BC15168" w:rsidR="007967CC" w:rsidRDefault="007967CC" w:rsidP="009770A3">
      <w:pPr>
        <w:pStyle w:val="FootnoteText"/>
        <w:jc w:val="both"/>
      </w:pPr>
      <w:r>
        <w:rPr>
          <w:rStyle w:val="FootnoteReference"/>
        </w:rPr>
        <w:footnoteRef/>
      </w:r>
      <w:r>
        <w:t xml:space="preserve"> </w:t>
      </w:r>
      <w:r w:rsidR="00415E43" w:rsidRPr="00415E43">
        <w:t xml:space="preserve">Brynjolfsson, </w:t>
      </w:r>
      <w:r w:rsidR="00ED56DB">
        <w:t xml:space="preserve">E., </w:t>
      </w:r>
      <w:r w:rsidR="00415E43" w:rsidRPr="00415E43">
        <w:t>McAfee</w:t>
      </w:r>
      <w:r w:rsidR="00ED56DB">
        <w:t>, A.</w:t>
      </w:r>
      <w:r w:rsidR="00D36326">
        <w:t>, 2018.</w:t>
      </w:r>
      <w:r w:rsidR="00415E43" w:rsidRPr="00415E43">
        <w:t xml:space="preserve"> Teine masinate ajastu. Töö, progress ning õitseng hiilgava tehnika ajastul. Post Faktum, 287</w:t>
      </w:r>
      <w:r w:rsidR="00630AC7">
        <w:t xml:space="preserve"> lk.</w:t>
      </w:r>
    </w:p>
  </w:footnote>
  <w:footnote w:id="16">
    <w:p w14:paraId="1430EEF6" w14:textId="425CECF4" w:rsidR="007967CC" w:rsidRPr="003E0387" w:rsidRDefault="007967CC" w:rsidP="007967CC">
      <w:pPr>
        <w:pStyle w:val="FootnoteText"/>
        <w:rPr>
          <w:sz w:val="20"/>
        </w:rPr>
      </w:pPr>
      <w:r>
        <w:rPr>
          <w:rStyle w:val="FootnoteReference"/>
        </w:rPr>
        <w:footnoteRef/>
      </w:r>
      <w:r>
        <w:t xml:space="preserve"> </w:t>
      </w:r>
      <w:r w:rsidRPr="003E0387">
        <w:rPr>
          <w:sz w:val="20"/>
        </w:rPr>
        <w:t>Cohen, B.</w:t>
      </w:r>
      <w:r w:rsidR="0047121C">
        <w:rPr>
          <w:sz w:val="20"/>
        </w:rPr>
        <w:t>, 2016.</w:t>
      </w:r>
      <w:r w:rsidRPr="003E0387">
        <w:rPr>
          <w:sz w:val="20"/>
        </w:rPr>
        <w:t xml:space="preserve"> Making Sense of the Many Business Models in the Sharing Economy.</w:t>
      </w:r>
      <w:r w:rsidR="0047121C">
        <w:rPr>
          <w:sz w:val="20"/>
        </w:rPr>
        <w:t xml:space="preserve"> </w:t>
      </w:r>
      <w:hyperlink r:id="rId13" w:history="1">
        <w:r w:rsidRPr="003E0387">
          <w:rPr>
            <w:rStyle w:val="Hyperlink"/>
            <w:sz w:val="20"/>
          </w:rPr>
          <w:t>Link</w:t>
        </w:r>
      </w:hyperlink>
    </w:p>
  </w:footnote>
  <w:footnote w:id="17">
    <w:p w14:paraId="344C1D3F" w14:textId="01FB3552" w:rsidR="007967CC" w:rsidRDefault="007967CC" w:rsidP="009770A3">
      <w:pPr>
        <w:pStyle w:val="FootnoteText"/>
        <w:jc w:val="both"/>
      </w:pPr>
      <w:r>
        <w:rPr>
          <w:rStyle w:val="FootnoteReference"/>
        </w:rPr>
        <w:footnoteRef/>
      </w:r>
      <w:r>
        <w:t xml:space="preserve"> Bakker, M.H.E. Twining-Ward,</w:t>
      </w:r>
      <w:r w:rsidR="006677FE">
        <w:t xml:space="preserve"> </w:t>
      </w:r>
      <w:r>
        <w:t xml:space="preserve">L.D., 2018. </w:t>
      </w:r>
      <w:r w:rsidRPr="00A26A11">
        <w:t>Tourism and the Sharing Economy: Policy &amp; Potential of Sustainable Peer-to-Peer Accommodation</w:t>
      </w:r>
      <w:r>
        <w:t xml:space="preserve">. World </w:t>
      </w:r>
      <w:r w:rsidR="006677FE">
        <w:t>B</w:t>
      </w:r>
      <w:r>
        <w:t>ank Group.</w:t>
      </w:r>
      <w:r w:rsidR="00E47231">
        <w:t xml:space="preserve"> </w:t>
      </w:r>
      <w:hyperlink r:id="rId14" w:history="1">
        <w:r w:rsidR="00E47231" w:rsidRPr="00E47231">
          <w:rPr>
            <w:rStyle w:val="Hyperlink"/>
          </w:rPr>
          <w:t>Link</w:t>
        </w:r>
      </w:hyperlink>
    </w:p>
  </w:footnote>
  <w:footnote w:id="18">
    <w:p w14:paraId="670AD778" w14:textId="5C022756" w:rsidR="007967CC" w:rsidRDefault="007967CC" w:rsidP="009770A3">
      <w:pPr>
        <w:pStyle w:val="FootnoteText"/>
        <w:jc w:val="both"/>
      </w:pPr>
      <w:r>
        <w:rPr>
          <w:rStyle w:val="FootnoteReference"/>
        </w:rPr>
        <w:footnoteRef/>
      </w:r>
      <w:r>
        <w:t xml:space="preserve"> </w:t>
      </w:r>
      <w:r w:rsidRPr="00EC3CD1">
        <w:t>Belk</w:t>
      </w:r>
      <w:r>
        <w:t>, R.W.,</w:t>
      </w:r>
      <w:r w:rsidRPr="00EC3CD1">
        <w:t xml:space="preserve"> Eckhardt</w:t>
      </w:r>
      <w:r>
        <w:t>, G.M.,</w:t>
      </w:r>
      <w:r w:rsidRPr="00EC3CD1">
        <w:t xml:space="preserve"> Bardhi</w:t>
      </w:r>
      <w:r>
        <w:t>, F.</w:t>
      </w:r>
      <w:r w:rsidR="006677FE">
        <w:t>,</w:t>
      </w:r>
      <w:r w:rsidRPr="00EC3CD1">
        <w:t xml:space="preserve"> 2019. Handbook of the Sharing Economy</w:t>
      </w:r>
      <w:r>
        <w:t>.</w:t>
      </w:r>
      <w:r w:rsidRPr="00EC3CD1">
        <w:t xml:space="preserve"> Edward Elgar</w:t>
      </w:r>
      <w:r>
        <w:t xml:space="preserve"> </w:t>
      </w:r>
      <w:r w:rsidRPr="00EC3CD1">
        <w:t>Publishing.</w:t>
      </w:r>
    </w:p>
  </w:footnote>
  <w:footnote w:id="19">
    <w:p w14:paraId="25F911C7" w14:textId="6C75BA95" w:rsidR="007967CC" w:rsidRPr="00554F46" w:rsidRDefault="007967CC" w:rsidP="00B36D82">
      <w:pPr>
        <w:pStyle w:val="FootnoteText"/>
        <w:jc w:val="both"/>
        <w:rPr>
          <w:lang w:val="en-US"/>
        </w:rPr>
      </w:pPr>
      <w:r>
        <w:rPr>
          <w:rStyle w:val="FootnoteReference"/>
        </w:rPr>
        <w:footnoteRef/>
      </w:r>
      <w:r>
        <w:t xml:space="preserve"> </w:t>
      </w:r>
      <w:r w:rsidR="00EC4571">
        <w:t xml:space="preserve">2016. aastal ettevõtte </w:t>
      </w:r>
      <w:r>
        <w:t>Uber tellimusel Tallinna Ülikooli Tuleviku-uuringute Instituudi poolt läbiviidud uuring näitas, et Eestis oli jagamismajanduse mudelite aktsepteerimise väga oluliseks aluseks just põhimõte, et võimalused ettevõtlusega peavad olema kättesaadavad võimalikult paljudele, mitte vaid juba</w:t>
      </w:r>
      <w:r w:rsidR="004C59AD">
        <w:t xml:space="preserve"> </w:t>
      </w:r>
      <w:r>
        <w:t>oma positsioonid kättevõidelnud</w:t>
      </w:r>
      <w:r w:rsidR="004C59AD">
        <w:t xml:space="preserve"> </w:t>
      </w:r>
      <w:r>
        <w:t>firmadele. Küllalt julgelt, võrreldes teiste maadega</w:t>
      </w:r>
      <w:r w:rsidR="0084447D">
        <w:t>,</w:t>
      </w:r>
      <w:r>
        <w:t xml:space="preserve"> oldi nõus kasutama reisiteenusel mitteprofessionaalidest juhte, paljud olid huvitatud ka ise oma autoga “taksot sõitma.” E. Terk, J. Kruusvall, </w:t>
      </w:r>
      <w:r>
        <w:rPr>
          <w:i/>
        </w:rPr>
        <w:t>Kokkuleppeveoteenuse arendamise perspektiivid Tallinnas</w:t>
      </w:r>
      <w:r>
        <w:t>, 2016.</w:t>
      </w:r>
    </w:p>
  </w:footnote>
  <w:footnote w:id="20">
    <w:p w14:paraId="5F2BCA72" w14:textId="1451FBF5" w:rsidR="007967CC" w:rsidRDefault="007967CC" w:rsidP="00B36D82">
      <w:pPr>
        <w:pStyle w:val="FootnoteText"/>
        <w:jc w:val="both"/>
      </w:pPr>
      <w:r>
        <w:rPr>
          <w:rStyle w:val="FootnoteReference"/>
        </w:rPr>
        <w:footnoteRef/>
      </w:r>
      <w:r>
        <w:t xml:space="preserve"> Vt näiteks</w:t>
      </w:r>
      <w:r w:rsidR="004C59AD">
        <w:t xml:space="preserve"> </w:t>
      </w:r>
      <w:r>
        <w:t>Misaad, M., Benoit, S., Jayawardhena, C.</w:t>
      </w:r>
      <w:r w:rsidR="00737E2F">
        <w:t>,</w:t>
      </w:r>
      <w:r>
        <w:t xml:space="preserve"> 2023. The dark side of the sharing economy: A systematic literature review of externalities and their regulation. Journal of Business Research, 168, 114186.</w:t>
      </w:r>
      <w:r w:rsidR="00737E2F">
        <w:t xml:space="preserve"> </w:t>
      </w:r>
      <w:hyperlink r:id="rId15" w:history="1">
        <w:r w:rsidR="00C866F5" w:rsidRPr="00C866F5">
          <w:rPr>
            <w:rStyle w:val="Hyperlink"/>
          </w:rPr>
          <w:t>L</w:t>
        </w:r>
        <w:r w:rsidR="00737E2F" w:rsidRPr="00C866F5">
          <w:rPr>
            <w:rStyle w:val="Hyperlink"/>
          </w:rPr>
          <w:t>ink</w:t>
        </w:r>
      </w:hyperlink>
    </w:p>
    <w:p w14:paraId="2E02585F" w14:textId="77777777" w:rsidR="007967CC" w:rsidRDefault="007967CC" w:rsidP="007967CC">
      <w:pPr>
        <w:pStyle w:val="FootnoteText"/>
      </w:pPr>
    </w:p>
  </w:footnote>
  <w:footnote w:id="21">
    <w:p w14:paraId="2B051000" w14:textId="2DB80AE5" w:rsidR="007967CC" w:rsidRDefault="007967CC" w:rsidP="007967CC">
      <w:pPr>
        <w:pStyle w:val="FootnoteText"/>
        <w:jc w:val="both"/>
      </w:pPr>
      <w:r>
        <w:rPr>
          <w:rStyle w:val="FootnoteReference"/>
        </w:rPr>
        <w:footnoteRef/>
      </w:r>
      <w:r>
        <w:t xml:space="preserve"> Vt </w:t>
      </w:r>
      <w:r w:rsidRPr="00CB1D10">
        <w:t>Furukawa, N., Onuki, M.</w:t>
      </w:r>
      <w:r w:rsidR="00F74A51">
        <w:t xml:space="preserve">, </w:t>
      </w:r>
      <w:r w:rsidRPr="00CB1D10">
        <w:t xml:space="preserve">2019. The design and effects of short-term rental regulation. Current Issues in Tourism, 25(20), 3245–3260. </w:t>
      </w:r>
      <w:hyperlink r:id="rId16" w:history="1">
        <w:r w:rsidRPr="00501E27">
          <w:rPr>
            <w:rStyle w:val="Hyperlink"/>
          </w:rPr>
          <w:t>Link</w:t>
        </w:r>
      </w:hyperlink>
      <w:r>
        <w:t xml:space="preserve"> või</w:t>
      </w:r>
      <w:r w:rsidR="00F74A51">
        <w:t xml:space="preserve"> </w:t>
      </w:r>
      <w:r>
        <w:t>Nieuwland</w:t>
      </w:r>
      <w:r w:rsidR="00F74A51">
        <w:t xml:space="preserve">, S., </w:t>
      </w:r>
      <w:r>
        <w:t>van Melik</w:t>
      </w:r>
      <w:r w:rsidR="00F74A51">
        <w:t xml:space="preserve">, R., </w:t>
      </w:r>
      <w:r>
        <w:t>2020</w:t>
      </w:r>
      <w:r w:rsidR="00F74A51">
        <w:t>.</w:t>
      </w:r>
      <w:r>
        <w:t xml:space="preserve"> Regulating Airbnb: how cities deal with perceived negative externalities of short-term rentals, Current Issues in Tourism, 23(7), 811-825</w:t>
      </w:r>
      <w:r w:rsidR="00C07B38">
        <w:t>.</w:t>
      </w:r>
      <w:r>
        <w:t xml:space="preserve"> </w:t>
      </w:r>
      <w:hyperlink r:id="rId17" w:history="1">
        <w:r w:rsidR="00C07B38" w:rsidRPr="00C07B38">
          <w:rPr>
            <w:rStyle w:val="Hyperlink"/>
          </w:rPr>
          <w:t>Link</w:t>
        </w:r>
      </w:hyperlink>
    </w:p>
  </w:footnote>
  <w:footnote w:id="22">
    <w:p w14:paraId="7C43A185" w14:textId="47355A9B" w:rsidR="007967CC" w:rsidRDefault="007967CC" w:rsidP="007967CC">
      <w:pPr>
        <w:pStyle w:val="FootnoteText"/>
      </w:pPr>
      <w:r>
        <w:rPr>
          <w:rStyle w:val="FootnoteReference"/>
        </w:rPr>
        <w:footnoteRef/>
      </w:r>
      <w:r>
        <w:t xml:space="preserve"> </w:t>
      </w:r>
      <w:r w:rsidRPr="00CE4A8A">
        <w:rPr>
          <w:rStyle w:val="Strong"/>
          <w:b w:val="0"/>
          <w:bCs w:val="0"/>
          <w:szCs w:val="18"/>
        </w:rPr>
        <w:t>Srnicek</w:t>
      </w:r>
      <w:r w:rsidR="00E53A73">
        <w:rPr>
          <w:rStyle w:val="Strong"/>
          <w:b w:val="0"/>
          <w:bCs w:val="0"/>
          <w:szCs w:val="18"/>
        </w:rPr>
        <w:t>, N., 2016.</w:t>
      </w:r>
      <w:r w:rsidRPr="00CE4A8A">
        <w:rPr>
          <w:rStyle w:val="Strong"/>
          <w:b w:val="0"/>
          <w:bCs w:val="0"/>
          <w:szCs w:val="18"/>
        </w:rPr>
        <w:t xml:space="preserve"> Platform Capitalism</w:t>
      </w:r>
      <w:r w:rsidR="00E53A73">
        <w:rPr>
          <w:rStyle w:val="Strong"/>
          <w:b w:val="0"/>
          <w:bCs w:val="0"/>
          <w:szCs w:val="18"/>
        </w:rPr>
        <w:t>.</w:t>
      </w:r>
      <w:r w:rsidRPr="00CE4A8A">
        <w:rPr>
          <w:rStyle w:val="Strong"/>
          <w:b w:val="0"/>
          <w:bCs w:val="0"/>
          <w:szCs w:val="18"/>
        </w:rPr>
        <w:t xml:space="preserve"> Polity Press, </w:t>
      </w:r>
      <w:r w:rsidR="001B11C3">
        <w:rPr>
          <w:rStyle w:val="Strong"/>
          <w:b w:val="0"/>
          <w:bCs w:val="0"/>
          <w:szCs w:val="18"/>
        </w:rPr>
        <w:t>92p</w:t>
      </w:r>
      <w:r w:rsidRPr="00CE4A8A">
        <w:rPr>
          <w:rStyle w:val="Strong"/>
          <w:b w:val="0"/>
          <w:bCs w:val="0"/>
          <w:szCs w:val="18"/>
        </w:rPr>
        <w:t>.</w:t>
      </w:r>
      <w:r>
        <w:rPr>
          <w:rStyle w:val="Strong"/>
        </w:rPr>
        <w:t> </w:t>
      </w:r>
    </w:p>
  </w:footnote>
  <w:footnote w:id="23">
    <w:p w14:paraId="0A05D4A0" w14:textId="77919C72" w:rsidR="00CD6369" w:rsidRDefault="00CD6369" w:rsidP="00CD6369">
      <w:pPr>
        <w:pStyle w:val="FootnoteText"/>
      </w:pPr>
      <w:r>
        <w:rPr>
          <w:rStyle w:val="FootnoteReference"/>
        </w:rPr>
        <w:footnoteRef/>
      </w:r>
      <w:r>
        <w:t xml:space="preserve"> Dean</w:t>
      </w:r>
      <w:r w:rsidR="00C362D9">
        <w:t>, J., 2025.</w:t>
      </w:r>
      <w:r>
        <w:t xml:space="preserve"> Capital`s Grave. Neofeudalism and New Class Struggle. Verso. London/New York, 92</w:t>
      </w:r>
      <w:r w:rsidR="00C362D9">
        <w:t>p</w:t>
      </w:r>
      <w:r>
        <w:t>.</w:t>
      </w:r>
    </w:p>
  </w:footnote>
  <w:footnote w:id="24">
    <w:p w14:paraId="47F903C9" w14:textId="77777777" w:rsidR="00703455" w:rsidRDefault="00703455" w:rsidP="00703455">
      <w:pPr>
        <w:pStyle w:val="FootnoteText"/>
        <w:jc w:val="both"/>
      </w:pPr>
      <w:r>
        <w:rPr>
          <w:rStyle w:val="FootnoteReference"/>
        </w:rPr>
        <w:footnoteRef/>
      </w:r>
      <w:r>
        <w:t xml:space="preserve"> Paljudes teistes riikides on majutuskorterite ekspansiooni tugevalt takistanud nõue, et selle äriga tegelejad peavad omama avaliku sektori poolt antud litsentsi. Litsentsi andmise kaudu on püütud protsessi kontrolli all hoida. </w:t>
      </w:r>
    </w:p>
  </w:footnote>
  <w:footnote w:id="25">
    <w:p w14:paraId="7C444589" w14:textId="43F177AF" w:rsidR="001E44AD" w:rsidRPr="002970D7" w:rsidRDefault="001E44AD" w:rsidP="00BA7381">
      <w:pPr>
        <w:pStyle w:val="FootnoteText"/>
        <w:jc w:val="both"/>
      </w:pPr>
      <w:r>
        <w:rPr>
          <w:rStyle w:val="FootnoteReference"/>
        </w:rPr>
        <w:footnoteRef/>
      </w:r>
      <w:r>
        <w:t xml:space="preserve"> </w:t>
      </w:r>
      <w:r w:rsidRPr="00B85F5C">
        <w:t>Euroopa Komisjon</w:t>
      </w:r>
      <w:r w:rsidR="00C033B0">
        <w:t xml:space="preserve">, </w:t>
      </w:r>
      <w:r w:rsidRPr="00B85F5C">
        <w:t xml:space="preserve">2022. </w:t>
      </w:r>
      <w:r w:rsidRPr="00B54A22">
        <w:t>Ettepanek: Euroopa Parlamendi ja nõukogu määrus lühiajalise majutuse renditeenustega seotud andmete kogumise ja jagamise kohta</w:t>
      </w:r>
      <w:r w:rsidRPr="00B85F5C">
        <w:t xml:space="preserve"> (COM(2022) 571 final). </w:t>
      </w:r>
      <w:hyperlink r:id="rId18" w:tgtFrame="_new" w:history="1">
        <w:r>
          <w:rPr>
            <w:rStyle w:val="Hyperlink"/>
          </w:rPr>
          <w:t>Link</w:t>
        </w:r>
      </w:hyperlink>
      <w:r>
        <w:t xml:space="preserve"> </w:t>
      </w:r>
    </w:p>
  </w:footnote>
  <w:footnote w:id="26">
    <w:p w14:paraId="622C972C" w14:textId="7A161A18" w:rsidR="001E44AD" w:rsidRDefault="001E44AD" w:rsidP="00BA7381">
      <w:pPr>
        <w:pStyle w:val="FootnoteText"/>
        <w:jc w:val="both"/>
      </w:pPr>
      <w:r w:rsidRPr="598BB2BE">
        <w:rPr>
          <w:rStyle w:val="FootnoteReference"/>
        </w:rPr>
        <w:footnoteRef/>
      </w:r>
      <w:r>
        <w:t xml:space="preserve"> </w:t>
      </w:r>
      <w:r w:rsidR="00DA3FB1">
        <w:t xml:space="preserve">Euroopa Komisjon, 2024. </w:t>
      </w:r>
      <w:r w:rsidR="00E72FAB" w:rsidRPr="00C7216E">
        <w:t xml:space="preserve">Euroopa Parlamendi ja nõukogu määrus (EL) 2024/1028, 11. aprill 2024, milles käsitletakse lühiajalise majutuse üüriteenustega seotud andmete kogumist ja jagamist ning millega muudetakse </w:t>
      </w:r>
      <w:r w:rsidR="00E72FAB" w:rsidRPr="001F1DDA">
        <w:t>määrust</w:t>
      </w:r>
      <w:r w:rsidR="001F1DDA" w:rsidRPr="001F1DDA">
        <w:t xml:space="preserve"> (EL) 2018/1724</w:t>
      </w:r>
      <w:r w:rsidR="00EF5F65">
        <w:t>.</w:t>
      </w:r>
      <w:r w:rsidR="001F1DDA">
        <w:t xml:space="preserve"> </w:t>
      </w:r>
      <w:r w:rsidR="001F1DDA" w:rsidRPr="0073035D">
        <w:t>Euroopa Liidu Teataja</w:t>
      </w:r>
      <w:r w:rsidR="001F1DDA">
        <w:t xml:space="preserve">. </w:t>
      </w:r>
      <w:hyperlink r:id="rId19" w:history="1">
        <w:r w:rsidR="00EF5F65" w:rsidRPr="00EF5F65">
          <w:rPr>
            <w:rStyle w:val="Hyperlink"/>
          </w:rPr>
          <w:t>Link</w:t>
        </w:r>
      </w:hyperlink>
    </w:p>
  </w:footnote>
  <w:footnote w:id="27">
    <w:p w14:paraId="63B05D4E" w14:textId="2C66C09C" w:rsidR="001E44AD" w:rsidRPr="00B85F5C" w:rsidRDefault="001E44AD" w:rsidP="00BA7381">
      <w:pPr>
        <w:pStyle w:val="FootnoteText"/>
        <w:jc w:val="both"/>
      </w:pPr>
      <w:r>
        <w:rPr>
          <w:rStyle w:val="FootnoteReference"/>
        </w:rPr>
        <w:footnoteRef/>
      </w:r>
      <w:r>
        <w:t xml:space="preserve"> </w:t>
      </w:r>
      <w:r w:rsidRPr="0073035D">
        <w:t>Euroopa Komisjon</w:t>
      </w:r>
      <w:r w:rsidR="00C033B0">
        <w:t xml:space="preserve">, </w:t>
      </w:r>
      <w:r w:rsidRPr="0073035D">
        <w:t xml:space="preserve">2016. </w:t>
      </w:r>
      <w:r w:rsidRPr="00B54A22">
        <w:t>Euroopa jagamismajanduse tegevuskava: võimaluste ärakasutamine ja õigusraamistiku täpsustamine</w:t>
      </w:r>
      <w:r w:rsidRPr="00C033B0">
        <w:t xml:space="preserve"> </w:t>
      </w:r>
      <w:r w:rsidRPr="0073035D">
        <w:t xml:space="preserve">(COM(2016) 356 final). Euroopa Liidu Teataja. </w:t>
      </w:r>
      <w:hyperlink r:id="rId20" w:tgtFrame="_new" w:history="1">
        <w:r>
          <w:rPr>
            <w:rStyle w:val="Hyperlink"/>
          </w:rPr>
          <w:t>Link</w:t>
        </w:r>
      </w:hyperlink>
    </w:p>
  </w:footnote>
  <w:footnote w:id="28">
    <w:p w14:paraId="7FF86FDE" w14:textId="508BC2AD" w:rsidR="001E44AD" w:rsidRPr="00B85F5C" w:rsidRDefault="001E44AD" w:rsidP="00BA7381">
      <w:pPr>
        <w:pStyle w:val="FootnoteText"/>
        <w:jc w:val="both"/>
        <w:rPr>
          <w:lang w:val="en-US"/>
        </w:rPr>
      </w:pPr>
      <w:r>
        <w:rPr>
          <w:rStyle w:val="FootnoteReference"/>
        </w:rPr>
        <w:footnoteRef/>
      </w:r>
      <w:r>
        <w:t xml:space="preserve"> </w:t>
      </w:r>
      <w:r w:rsidRPr="00B85F5C">
        <w:t>Euroopa Majandus- ja Sotsiaalkomitee</w:t>
      </w:r>
      <w:r w:rsidR="00C033B0">
        <w:t xml:space="preserve">, </w:t>
      </w:r>
      <w:r w:rsidRPr="00B85F5C">
        <w:t xml:space="preserve">2023. </w:t>
      </w:r>
      <w:r w:rsidRPr="00B54A22">
        <w:t>Arvamus lühiajalise majutuse sektori mõju kohta elamumajandusele ja kogukondadele</w:t>
      </w:r>
      <w:r w:rsidRPr="00C033B0">
        <w:t xml:space="preserve">. </w:t>
      </w:r>
      <w:r w:rsidRPr="00B85F5C">
        <w:t xml:space="preserve">EESC Info 04/2023. </w:t>
      </w:r>
      <w:hyperlink r:id="rId21" w:history="1">
        <w:r w:rsidRPr="009136DF">
          <w:rPr>
            <w:rStyle w:val="Hyperlink"/>
          </w:rPr>
          <w:t>Link</w:t>
        </w:r>
      </w:hyperlink>
    </w:p>
  </w:footnote>
  <w:footnote w:id="29">
    <w:p w14:paraId="78E8A57C" w14:textId="62B07BF4" w:rsidR="001E44AD" w:rsidRPr="00BE1010" w:rsidRDefault="001E44AD" w:rsidP="001E44AD">
      <w:pPr>
        <w:pStyle w:val="FootnoteText"/>
      </w:pPr>
      <w:r>
        <w:rPr>
          <w:rStyle w:val="FootnoteReference"/>
        </w:rPr>
        <w:footnoteRef/>
      </w:r>
      <w:r>
        <w:t xml:space="preserve"> </w:t>
      </w:r>
      <w:r w:rsidRPr="00EB40AC">
        <w:t>Võlaõigusseadus</w:t>
      </w:r>
      <w:r w:rsidR="00C033B0">
        <w:t xml:space="preserve">, </w:t>
      </w:r>
      <w:r w:rsidRPr="00EB40AC">
        <w:t>2001. Riigi Teataja I, 2001, 258, 263, 106.</w:t>
      </w:r>
    </w:p>
  </w:footnote>
  <w:footnote w:id="30">
    <w:p w14:paraId="10218068" w14:textId="6186EED1" w:rsidR="001E44AD" w:rsidRDefault="001E44AD" w:rsidP="005F13EF">
      <w:pPr>
        <w:pStyle w:val="FootnoteText"/>
      </w:pPr>
      <w:r>
        <w:rPr>
          <w:rStyle w:val="FootnoteReference"/>
        </w:rPr>
        <w:footnoteRef/>
      </w:r>
      <w:r>
        <w:t xml:space="preserve"> </w:t>
      </w:r>
      <w:r w:rsidR="00122F49" w:rsidRPr="00122F49">
        <w:t>Ettevõtlus- ja infotehnoloogiaminister</w:t>
      </w:r>
      <w:r w:rsidR="00C033B0">
        <w:t xml:space="preserve">, </w:t>
      </w:r>
      <w:r w:rsidR="00122F49" w:rsidRPr="00122F49">
        <w:t xml:space="preserve">2021. </w:t>
      </w:r>
      <w:r w:rsidR="005F13EF" w:rsidRPr="005F13EF">
        <w:t>Majutusteenuse osutamise nõuded</w:t>
      </w:r>
      <w:r w:rsidR="005F13EF">
        <w:rPr>
          <w:b/>
        </w:rPr>
        <w:t xml:space="preserve"> </w:t>
      </w:r>
      <w:r w:rsidR="00122F49" w:rsidRPr="00122F49">
        <w:t>[Määrus, RT I, 22.04.2021, 11]. Riigi Teataja</w:t>
      </w:r>
      <w:r w:rsidR="00122F49">
        <w:t>.</w:t>
      </w:r>
      <w:r>
        <w:t xml:space="preserve"> </w:t>
      </w:r>
      <w:hyperlink r:id="rId22" w:history="1">
        <w:r w:rsidRPr="00B40BB1">
          <w:rPr>
            <w:rStyle w:val="Hyperlink"/>
          </w:rPr>
          <w:t>Link</w:t>
        </w:r>
      </w:hyperlink>
    </w:p>
  </w:footnote>
  <w:footnote w:id="31">
    <w:p w14:paraId="10A86945" w14:textId="77777777" w:rsidR="00CE386C" w:rsidRPr="006909A0" w:rsidRDefault="00CE386C" w:rsidP="00CE386C">
      <w:pPr>
        <w:pStyle w:val="FootnoteText"/>
        <w:jc w:val="both"/>
      </w:pPr>
      <w:r>
        <w:rPr>
          <w:rStyle w:val="FootnoteReference"/>
        </w:rPr>
        <w:footnoteRef/>
      </w:r>
      <w:r>
        <w:t xml:space="preserve"> </w:t>
      </w:r>
      <w:r w:rsidRPr="00DE43F0">
        <w:t xml:space="preserve">TurS §17 lg2 muudeti </w:t>
      </w:r>
      <w:r>
        <w:t xml:space="preserve">sõnastust </w:t>
      </w:r>
      <w:r w:rsidRPr="00DE43F0">
        <w:t xml:space="preserve">14.12.2020. Varasem sõnastus oli: „Majutusteenus on ööbimisvõimaluse ning sellega kaasneva kauba või teenuse müügiks pakkumine ja müük.“ Muudatuse seletuskirjas on sätestatud: „Eeltoodust tuleneb, et juhuslikku laadi tasulise majutamise võimaldamine, kui see ei toimu ettevõtja poolt tema püsiva majandus- või kutsetegevuse raames, ei ole ka edaspidi majutusteenuseks.“ See näitab, et </w:t>
      </w:r>
      <w:r>
        <w:t>2020. aastal ei peetud</w:t>
      </w:r>
      <w:r w:rsidRPr="00DE43F0">
        <w:t xml:space="preserve"> oluliseks või reguleerimist</w:t>
      </w:r>
      <w:r>
        <w:t xml:space="preserve"> </w:t>
      </w:r>
      <w:r w:rsidRPr="00DE43F0">
        <w:t>vajavaks majutuse võimaldamist isikute poolt, kes ei olnud ennast määratlenud ettevõtjana. Sellest seisukohast kinnihoidmine looks näiliselt olukorra, kus näiteks füüsilise isiku poolt nädalavahetuseks eluruumi kasutusse andmist ei olegi võimalik õiguslikult määratleda.</w:t>
      </w:r>
    </w:p>
  </w:footnote>
  <w:footnote w:id="32">
    <w:p w14:paraId="7047E115" w14:textId="77777777" w:rsidR="001E44AD" w:rsidRPr="000B77AB" w:rsidRDefault="001E44AD" w:rsidP="00BA7381">
      <w:pPr>
        <w:pStyle w:val="FootnoteText"/>
        <w:jc w:val="both"/>
        <w:rPr>
          <w:lang w:val="en-US"/>
        </w:rPr>
      </w:pPr>
      <w:r>
        <w:rPr>
          <w:rStyle w:val="FootnoteReference"/>
        </w:rPr>
        <w:footnoteRef/>
      </w:r>
      <w:r>
        <w:t xml:space="preserve"> </w:t>
      </w:r>
      <w:r w:rsidRPr="1DB0A5F5">
        <w:rPr>
          <w:rFonts w:ascii="Arial" w:hAnsi="Arial" w:cs="Arial"/>
        </w:rPr>
        <w:t xml:space="preserve">Kuni 31.06.2014 </w:t>
      </w:r>
      <w:r>
        <w:rPr>
          <w:rFonts w:ascii="Arial" w:hAnsi="Arial" w:cs="Arial"/>
        </w:rPr>
        <w:t>võis</w:t>
      </w:r>
      <w:r w:rsidRPr="1DB0A5F5">
        <w:rPr>
          <w:rFonts w:ascii="Arial" w:hAnsi="Arial" w:cs="Arial"/>
        </w:rPr>
        <w:t xml:space="preserve"> </w:t>
      </w:r>
      <w:r>
        <w:rPr>
          <w:rFonts w:ascii="Arial" w:hAnsi="Arial" w:cs="Arial"/>
        </w:rPr>
        <w:t xml:space="preserve">Eestis </w:t>
      </w:r>
      <w:r w:rsidRPr="1DB0A5F5">
        <w:rPr>
          <w:rFonts w:ascii="Arial" w:hAnsi="Arial" w:cs="Arial"/>
        </w:rPr>
        <w:t>majutusteenust osutada ainult Majandustegevuse registris registreeritud majutusettevõtte kaudu</w:t>
      </w:r>
      <w:r>
        <w:rPr>
          <w:rFonts w:ascii="Arial" w:hAnsi="Arial" w:cs="Arial"/>
        </w:rPr>
        <w:t>.</w:t>
      </w:r>
    </w:p>
  </w:footnote>
  <w:footnote w:id="33">
    <w:p w14:paraId="1092D187" w14:textId="4B1C2F6D" w:rsidR="001E44AD" w:rsidRPr="00500BF3" w:rsidRDefault="001E44AD" w:rsidP="00762DAF">
      <w:pPr>
        <w:pStyle w:val="FootnoteText"/>
        <w:rPr>
          <w:lang w:val="en-US"/>
        </w:rPr>
      </w:pPr>
      <w:r>
        <w:rPr>
          <w:rStyle w:val="FootnoteReference"/>
        </w:rPr>
        <w:footnoteRef/>
      </w:r>
      <w:r>
        <w:t xml:space="preserve"> </w:t>
      </w:r>
      <w:r w:rsidR="00762DAF" w:rsidRPr="00762DAF">
        <w:t>Riigikogu</w:t>
      </w:r>
      <w:r w:rsidR="00C033B0">
        <w:t xml:space="preserve">, </w:t>
      </w:r>
      <w:r w:rsidR="00762DAF" w:rsidRPr="00762DAF">
        <w:t xml:space="preserve">2021. </w:t>
      </w:r>
      <w:r w:rsidR="00762DAF" w:rsidRPr="00B54A22">
        <w:t>Turismiseaduse ja tarbijakaitseseaduse muutmise seadus</w:t>
      </w:r>
      <w:r w:rsidR="00762DAF" w:rsidRPr="00762DAF">
        <w:t xml:space="preserve"> [Eelnõu]. Riigikogu</w:t>
      </w:r>
      <w:r w:rsidR="00762DAF">
        <w:t xml:space="preserve">. </w:t>
      </w:r>
      <w:hyperlink r:id="rId23" w:history="1">
        <w:r w:rsidR="00762DAF" w:rsidRPr="00762DAF">
          <w:rPr>
            <w:rStyle w:val="Hyperlink"/>
          </w:rPr>
          <w:t>Link</w:t>
        </w:r>
      </w:hyperlink>
      <w:r w:rsidR="00762DAF">
        <w:t xml:space="preserve"> </w:t>
      </w:r>
    </w:p>
  </w:footnote>
  <w:footnote w:id="34">
    <w:p w14:paraId="6B7CD4EC" w14:textId="14FC0E9B" w:rsidR="001E44AD" w:rsidRDefault="001E44AD" w:rsidP="00BA7381">
      <w:pPr>
        <w:pStyle w:val="FootnoteText"/>
        <w:jc w:val="both"/>
      </w:pPr>
      <w:r>
        <w:rPr>
          <w:rStyle w:val="FootnoteReference"/>
        </w:rPr>
        <w:footnoteRef/>
      </w:r>
      <w:r>
        <w:t xml:space="preserve"> </w:t>
      </w:r>
      <w:r w:rsidRPr="00A32B95">
        <w:t xml:space="preserve">The Schengen acquis - Convention implementing the Schengen Agreement of 14 June 1985 between the Governments of the States of the Benelux Economic Union, the Federal Republic of Germany and the French Republic on the gradual abolition of checks at their common borders. </w:t>
      </w:r>
      <w:hyperlink r:id="rId24" w:history="1">
        <w:r w:rsidRPr="00E35922">
          <w:rPr>
            <w:rStyle w:val="Hyperlink"/>
          </w:rPr>
          <w:t>Link</w:t>
        </w:r>
      </w:hyperlink>
    </w:p>
  </w:footnote>
  <w:footnote w:id="35">
    <w:p w14:paraId="2F015A5F" w14:textId="77777777" w:rsidR="001E44AD" w:rsidRPr="00DA4B69" w:rsidRDefault="001E44AD" w:rsidP="00BA7381">
      <w:pPr>
        <w:pStyle w:val="FootnoteText"/>
        <w:jc w:val="both"/>
        <w:rPr>
          <w:lang w:val="en-US"/>
        </w:rPr>
      </w:pPr>
      <w:r>
        <w:rPr>
          <w:rStyle w:val="FootnoteReference"/>
        </w:rPr>
        <w:footnoteRef/>
      </w:r>
      <w:r>
        <w:t xml:space="preserve"> SA küsimustikud „Majutustegevus“. </w:t>
      </w:r>
      <w:hyperlink r:id="rId25" w:history="1">
        <w:r w:rsidRPr="00CD23A6">
          <w:rPr>
            <w:rStyle w:val="Hyperlink"/>
            <w:lang w:val="en-US"/>
          </w:rPr>
          <w:t>Link</w:t>
        </w:r>
      </w:hyperlink>
    </w:p>
  </w:footnote>
  <w:footnote w:id="36">
    <w:p w14:paraId="7FFDB1B2" w14:textId="241DC1FF" w:rsidR="006142F5" w:rsidRPr="006142F5" w:rsidRDefault="006142F5" w:rsidP="000468A7">
      <w:pPr>
        <w:pStyle w:val="FootnoteText"/>
        <w:rPr>
          <w:lang w:val="en-US"/>
        </w:rPr>
      </w:pPr>
      <w:r>
        <w:rPr>
          <w:rStyle w:val="FootnoteReference"/>
        </w:rPr>
        <w:footnoteRef/>
      </w:r>
      <w:r>
        <w:t xml:space="preserve"> </w:t>
      </w:r>
      <w:r w:rsidR="000468A7" w:rsidRPr="000468A7">
        <w:t>Riigikogu</w:t>
      </w:r>
      <w:r w:rsidR="00531EE4">
        <w:t xml:space="preserve">, </w:t>
      </w:r>
      <w:r w:rsidR="000468A7" w:rsidRPr="000468A7">
        <w:t xml:space="preserve">2023. </w:t>
      </w:r>
      <w:r w:rsidR="000468A7" w:rsidRPr="00B54A22">
        <w:t>Planeerimisseadus</w:t>
      </w:r>
      <w:r w:rsidR="000468A7" w:rsidRPr="000468A7">
        <w:t xml:space="preserve"> [Seadus, RT I, 07.03.2023, 82]. Riigi Teataja. </w:t>
      </w:r>
      <w:hyperlink r:id="rId26" w:history="1">
        <w:r w:rsidR="00A42EE2" w:rsidRPr="00A42EE2">
          <w:rPr>
            <w:rStyle w:val="Hyperlink"/>
          </w:rPr>
          <w:t>Link</w:t>
        </w:r>
      </w:hyperlink>
    </w:p>
  </w:footnote>
  <w:footnote w:id="37">
    <w:p w14:paraId="61F4B312" w14:textId="77777777" w:rsidR="001E44AD" w:rsidRDefault="001E44AD" w:rsidP="001E44AD">
      <w:pPr>
        <w:pStyle w:val="FootnoteText"/>
        <w:jc w:val="both"/>
      </w:pPr>
      <w:r>
        <w:rPr>
          <w:rStyle w:val="FootnoteReference"/>
        </w:rPr>
        <w:footnoteRef/>
      </w:r>
      <w:r>
        <w:t xml:space="preserve"> Talk, T., 2021. Uurimisprojekti „Tallinna vanalinna jätkusuutlik haldamine ja eksponeerimine“ kolmas vahearuanne. Eesti Kunstiakadeemia. </w:t>
      </w:r>
      <w:hyperlink r:id="rId27" w:history="1">
        <w:r w:rsidRPr="0081392A">
          <w:rPr>
            <w:rStyle w:val="Hyperlink1"/>
          </w:rPr>
          <w:t>Link</w:t>
        </w:r>
      </w:hyperlink>
    </w:p>
  </w:footnote>
  <w:footnote w:id="38">
    <w:p w14:paraId="6DC7A671" w14:textId="4F406B45" w:rsidR="00DC6592" w:rsidRPr="00DC6592" w:rsidRDefault="00DC6592" w:rsidP="00DC6592">
      <w:pPr>
        <w:pStyle w:val="FootnoteText"/>
        <w:jc w:val="both"/>
      </w:pPr>
      <w:r>
        <w:rPr>
          <w:rStyle w:val="FootnoteReference"/>
        </w:rPr>
        <w:footnoteRef/>
      </w:r>
      <w:r>
        <w:t xml:space="preserve"> </w:t>
      </w:r>
      <w:r w:rsidRPr="007B45DA">
        <w:t>Majandus- ja taristuminister</w:t>
      </w:r>
      <w:r>
        <w:t xml:space="preserve">, </w:t>
      </w:r>
      <w:r w:rsidRPr="007B45DA">
        <w:t xml:space="preserve">2015. </w:t>
      </w:r>
      <w:r w:rsidRPr="00B54A22">
        <w:t>Ehitise kasutamise otstarvete loetelu</w:t>
      </w:r>
      <w:r w:rsidRPr="007B45DA">
        <w:t xml:space="preserve"> [Määrus nr 51, RT I, 05.06.2015, 1]. Riigi Teataja.</w:t>
      </w:r>
      <w:r>
        <w:t xml:space="preserve"> </w:t>
      </w:r>
      <w:hyperlink r:id="rId28" w:history="1">
        <w:r w:rsidRPr="007B45DA">
          <w:rPr>
            <w:rStyle w:val="Hyperlink"/>
          </w:rPr>
          <w:t>Link</w:t>
        </w:r>
      </w:hyperlink>
    </w:p>
  </w:footnote>
  <w:footnote w:id="39">
    <w:p w14:paraId="4C40D3AF" w14:textId="5DD3FE46" w:rsidR="00D33246" w:rsidRPr="00D33246" w:rsidRDefault="00D33246" w:rsidP="002273B7">
      <w:pPr>
        <w:pStyle w:val="FootnoteText"/>
        <w:rPr>
          <w:lang w:val="en-US"/>
        </w:rPr>
      </w:pPr>
      <w:r>
        <w:rPr>
          <w:rStyle w:val="FootnoteReference"/>
        </w:rPr>
        <w:footnoteRef/>
      </w:r>
      <w:r>
        <w:t xml:space="preserve"> </w:t>
      </w:r>
      <w:r w:rsidRPr="007B45DA">
        <w:t>Majandus- ja taristuminister</w:t>
      </w:r>
      <w:r>
        <w:t xml:space="preserve">, </w:t>
      </w:r>
      <w:r w:rsidRPr="007B45DA">
        <w:t xml:space="preserve">2015. </w:t>
      </w:r>
      <w:r>
        <w:t>Eluruumile esitatavad nõuded</w:t>
      </w:r>
      <w:r w:rsidRPr="007B45DA">
        <w:t xml:space="preserve"> [Määrus nr </w:t>
      </w:r>
      <w:r w:rsidR="002273B7">
        <w:t>85</w:t>
      </w:r>
      <w:r w:rsidR="003004B0">
        <w:t>,</w:t>
      </w:r>
      <w:r w:rsidR="002273B7">
        <w:t xml:space="preserve"> </w:t>
      </w:r>
      <w:r w:rsidR="002273B7" w:rsidRPr="00D205A8">
        <w:t>RT I, 03.07.2015, 34</w:t>
      </w:r>
      <w:r w:rsidRPr="007B45DA">
        <w:t>]. Riigi Teataja.</w:t>
      </w:r>
      <w:r>
        <w:t xml:space="preserve"> </w:t>
      </w:r>
      <w:hyperlink r:id="rId29" w:history="1">
        <w:r w:rsidRPr="007B45DA">
          <w:rPr>
            <w:rStyle w:val="Hyperlink"/>
          </w:rPr>
          <w:t>Link</w:t>
        </w:r>
      </w:hyperlink>
    </w:p>
  </w:footnote>
  <w:footnote w:id="40">
    <w:p w14:paraId="55F35BBE" w14:textId="2ECA058C" w:rsidR="00B336C8" w:rsidRPr="00B336C8" w:rsidRDefault="00B336C8">
      <w:pPr>
        <w:pStyle w:val="FootnoteText"/>
        <w:rPr>
          <w:lang w:val="en-US"/>
        </w:rPr>
      </w:pPr>
      <w:r>
        <w:rPr>
          <w:rStyle w:val="FootnoteReference"/>
        </w:rPr>
        <w:footnoteRef/>
      </w:r>
      <w:r>
        <w:t xml:space="preserve"> </w:t>
      </w:r>
      <w:r w:rsidRPr="00F41876">
        <w:t>Siseminister</w:t>
      </w:r>
      <w:r>
        <w:t xml:space="preserve">, </w:t>
      </w:r>
      <w:r w:rsidRPr="00F41876">
        <w:t xml:space="preserve">2021. </w:t>
      </w:r>
      <w:r w:rsidRPr="00B54A22">
        <w:t>Ehitisele esitatavad tuleohutusnõuded</w:t>
      </w:r>
      <w:r w:rsidRPr="00F41876">
        <w:t xml:space="preserve"> [Määrus</w:t>
      </w:r>
      <w:r>
        <w:t xml:space="preserve"> nr 17</w:t>
      </w:r>
      <w:r w:rsidRPr="00F41876">
        <w:t>, RT I, 23.02.2021, 13]. Riigi Teataja.</w:t>
      </w:r>
      <w:r>
        <w:t xml:space="preserve"> </w:t>
      </w:r>
      <w:hyperlink r:id="rId30" w:history="1">
        <w:r>
          <w:rPr>
            <w:rStyle w:val="Hyperlink"/>
          </w:rPr>
          <w:t>Link</w:t>
        </w:r>
      </w:hyperlink>
      <w:r>
        <w:t xml:space="preserve"> </w:t>
      </w:r>
    </w:p>
  </w:footnote>
  <w:footnote w:id="41">
    <w:p w14:paraId="03869B1A" w14:textId="2B7112D9" w:rsidR="001E44AD" w:rsidRDefault="001E44AD" w:rsidP="0077361C">
      <w:pPr>
        <w:pStyle w:val="FootnoteText"/>
        <w:jc w:val="both"/>
      </w:pPr>
      <w:r>
        <w:rPr>
          <w:rStyle w:val="FootnoteReference"/>
        </w:rPr>
        <w:footnoteRef/>
      </w:r>
      <w:r>
        <w:t xml:space="preserve"> </w:t>
      </w:r>
      <w:r w:rsidR="006A54F0" w:rsidRPr="006A54F0">
        <w:t>Ettevõtlus- ja infotehnoloogiaminister</w:t>
      </w:r>
      <w:r w:rsidR="007F7091">
        <w:t xml:space="preserve">, </w:t>
      </w:r>
      <w:r w:rsidR="006A54F0" w:rsidRPr="006A54F0">
        <w:t xml:space="preserve">2021. </w:t>
      </w:r>
      <w:r w:rsidR="006A54F0" w:rsidRPr="00B54A22">
        <w:t>Majutusteenuse osutamise nõuded</w:t>
      </w:r>
      <w:r w:rsidR="006A54F0" w:rsidRPr="006A54F0">
        <w:t xml:space="preserve"> [Määrus</w:t>
      </w:r>
      <w:r w:rsidR="00377CDA">
        <w:t xml:space="preserve"> nr 17</w:t>
      </w:r>
      <w:r w:rsidR="006A54F0" w:rsidRPr="006A54F0">
        <w:t>, RT I, 22.04.2021, 11]. Riigi Teataja.</w:t>
      </w:r>
      <w:r w:rsidR="006A54F0">
        <w:t xml:space="preserve"> </w:t>
      </w:r>
      <w:hyperlink r:id="rId31" w:history="1">
        <w:r w:rsidR="006A54F0">
          <w:rPr>
            <w:rStyle w:val="Hyperlink"/>
          </w:rPr>
          <w:t>Link</w:t>
        </w:r>
      </w:hyperlink>
      <w:r>
        <w:t xml:space="preserve"> </w:t>
      </w:r>
    </w:p>
  </w:footnote>
  <w:footnote w:id="42">
    <w:p w14:paraId="39799BCB" w14:textId="59B512EC" w:rsidR="007B4284" w:rsidRPr="007B4284" w:rsidRDefault="007B4284">
      <w:pPr>
        <w:pStyle w:val="FootnoteText"/>
        <w:rPr>
          <w:lang w:val="en-US"/>
        </w:rPr>
      </w:pPr>
      <w:r>
        <w:rPr>
          <w:rStyle w:val="FootnoteReference"/>
        </w:rPr>
        <w:footnoteRef/>
      </w:r>
      <w:r>
        <w:t xml:space="preserve"> </w:t>
      </w:r>
      <w:r w:rsidRPr="00F41876">
        <w:t>Siseminister</w:t>
      </w:r>
      <w:r>
        <w:t xml:space="preserve">, </w:t>
      </w:r>
      <w:r w:rsidRPr="00F41876">
        <w:t xml:space="preserve">2021. </w:t>
      </w:r>
      <w:r w:rsidRPr="00B54A22">
        <w:t>Ehitisele esitatavad tuleohutusnõuded</w:t>
      </w:r>
      <w:r w:rsidRPr="00F41876">
        <w:t xml:space="preserve"> [Määrus</w:t>
      </w:r>
      <w:r>
        <w:t xml:space="preserve"> nr 17</w:t>
      </w:r>
      <w:r w:rsidRPr="00F41876">
        <w:t>, RT I, 23.02.2021, 13]. Riigi Teataja.</w:t>
      </w:r>
      <w:r>
        <w:t xml:space="preserve"> </w:t>
      </w:r>
      <w:hyperlink r:id="rId32" w:history="1">
        <w:r>
          <w:rPr>
            <w:rStyle w:val="Hyperlink"/>
          </w:rPr>
          <w:t>Link</w:t>
        </w:r>
      </w:hyperlink>
      <w:r>
        <w:t xml:space="preserve"> </w:t>
      </w:r>
    </w:p>
  </w:footnote>
  <w:footnote w:id="43">
    <w:p w14:paraId="2E007BC6" w14:textId="3B0C32AD" w:rsidR="001E44AD" w:rsidRDefault="001E44AD" w:rsidP="0077361C">
      <w:pPr>
        <w:pStyle w:val="FootnoteText"/>
        <w:jc w:val="both"/>
      </w:pPr>
      <w:r>
        <w:rPr>
          <w:rStyle w:val="FootnoteReference"/>
        </w:rPr>
        <w:footnoteRef/>
      </w:r>
      <w:r>
        <w:t xml:space="preserve"> </w:t>
      </w:r>
      <w:r w:rsidR="007B45DA" w:rsidRPr="007B45DA">
        <w:t>Majandus- ja taristuminister</w:t>
      </w:r>
      <w:r w:rsidR="00273A87">
        <w:t xml:space="preserve">, </w:t>
      </w:r>
      <w:r w:rsidR="007B45DA" w:rsidRPr="007B45DA">
        <w:t xml:space="preserve">2015. </w:t>
      </w:r>
      <w:r w:rsidR="007B45DA" w:rsidRPr="00B54A22">
        <w:t>Ehitise kasutamise otstarvete loetelu</w:t>
      </w:r>
      <w:r w:rsidR="007B45DA" w:rsidRPr="007B45DA">
        <w:t xml:space="preserve"> [Määrus nr 51, RT I, 05.06.2015, 1]. Riigi Teataja.</w:t>
      </w:r>
      <w:r w:rsidR="007B45DA">
        <w:t xml:space="preserve"> </w:t>
      </w:r>
      <w:hyperlink r:id="rId33" w:history="1">
        <w:r w:rsidR="007B45DA" w:rsidRPr="007B45DA">
          <w:rPr>
            <w:rStyle w:val="Hyperlink"/>
          </w:rPr>
          <w:t>Link</w:t>
        </w:r>
      </w:hyperlink>
    </w:p>
  </w:footnote>
  <w:footnote w:id="44">
    <w:p w14:paraId="63992961" w14:textId="49E5B786" w:rsidR="001E44AD" w:rsidRDefault="001E44AD" w:rsidP="0077361C">
      <w:pPr>
        <w:pStyle w:val="FootnoteText"/>
        <w:jc w:val="both"/>
      </w:pPr>
      <w:r>
        <w:rPr>
          <w:rStyle w:val="FootnoteReference"/>
        </w:rPr>
        <w:footnoteRef/>
      </w:r>
      <w:r>
        <w:t xml:space="preserve"> </w:t>
      </w:r>
      <w:r w:rsidR="00030986" w:rsidRPr="006A54F0">
        <w:t>Ettevõtlus- ja infotehnoloogiaminister</w:t>
      </w:r>
      <w:r w:rsidR="00273A87">
        <w:t xml:space="preserve">, </w:t>
      </w:r>
      <w:r w:rsidR="00030986" w:rsidRPr="006A54F0">
        <w:t xml:space="preserve">2021. </w:t>
      </w:r>
      <w:r w:rsidR="00030986" w:rsidRPr="00B54A22">
        <w:t>Majutusteenuse osutamise nõuded</w:t>
      </w:r>
      <w:r w:rsidR="00030986" w:rsidRPr="006A54F0">
        <w:t xml:space="preserve"> [Määrus</w:t>
      </w:r>
      <w:r w:rsidR="0059328A">
        <w:t xml:space="preserve"> nr 17</w:t>
      </w:r>
      <w:r w:rsidR="00030986" w:rsidRPr="006A54F0">
        <w:t>, RT I, 22.04.2021, 11]. Riigi Teataja.</w:t>
      </w:r>
      <w:r w:rsidR="00030986">
        <w:t xml:space="preserve"> </w:t>
      </w:r>
      <w:hyperlink r:id="rId34" w:history="1">
        <w:r w:rsidR="00030986">
          <w:rPr>
            <w:rStyle w:val="Hyperlink"/>
          </w:rPr>
          <w:t>Link</w:t>
        </w:r>
      </w:hyperlink>
      <w:r w:rsidR="00030986">
        <w:t xml:space="preserve"> </w:t>
      </w:r>
    </w:p>
  </w:footnote>
  <w:footnote w:id="45">
    <w:p w14:paraId="05D54EE6" w14:textId="0F189EE0" w:rsidR="001E44AD" w:rsidRDefault="001E44AD" w:rsidP="0077361C">
      <w:pPr>
        <w:pStyle w:val="FootnoteText"/>
        <w:jc w:val="both"/>
      </w:pPr>
      <w:r>
        <w:rPr>
          <w:rStyle w:val="FootnoteReference"/>
        </w:rPr>
        <w:footnoteRef/>
      </w:r>
      <w:r>
        <w:t xml:space="preserve"> </w:t>
      </w:r>
      <w:r w:rsidR="00CD38CC" w:rsidRPr="00CD38CC">
        <w:t>Vabariigi Valitsus</w:t>
      </w:r>
      <w:r w:rsidR="00273A87">
        <w:t xml:space="preserve">, </w:t>
      </w:r>
      <w:r w:rsidR="00CD38CC" w:rsidRPr="00CD38CC">
        <w:t xml:space="preserve">2017. </w:t>
      </w:r>
      <w:r w:rsidR="00CD38CC" w:rsidRPr="00B54A22">
        <w:t>Eluruumi sotsiaalselt põhjendatud norm ja selle rakendamise erisused</w:t>
      </w:r>
      <w:r w:rsidR="00CD38CC" w:rsidRPr="00CD38CC">
        <w:t xml:space="preserve"> [Määrus, RT I, 19.12.2017, 11]. Riigi Teataja.</w:t>
      </w:r>
      <w:r w:rsidR="00D9758C">
        <w:t xml:space="preserve"> </w:t>
      </w:r>
      <w:hyperlink r:id="rId35" w:history="1">
        <w:r w:rsidR="00D9758C" w:rsidRPr="00D9758C">
          <w:rPr>
            <w:rStyle w:val="Hyperlink"/>
          </w:rPr>
          <w:t>Link</w:t>
        </w:r>
      </w:hyperlink>
    </w:p>
  </w:footnote>
  <w:footnote w:id="46">
    <w:p w14:paraId="63408D2B" w14:textId="4355F020" w:rsidR="001E44AD" w:rsidRPr="00273A87" w:rsidRDefault="001E44AD" w:rsidP="0077361C">
      <w:pPr>
        <w:pStyle w:val="FootnoteText"/>
        <w:jc w:val="both"/>
      </w:pPr>
      <w:r>
        <w:rPr>
          <w:rStyle w:val="FootnoteReference"/>
        </w:rPr>
        <w:footnoteRef/>
      </w:r>
      <w:r>
        <w:t xml:space="preserve"> </w:t>
      </w:r>
      <w:r w:rsidR="00030986" w:rsidRPr="006A54F0">
        <w:t>Ettevõtlus- ja infotehnoloogiaminister</w:t>
      </w:r>
      <w:r w:rsidR="00273A87">
        <w:t xml:space="preserve">, </w:t>
      </w:r>
      <w:r w:rsidR="00030986" w:rsidRPr="006A54F0">
        <w:t xml:space="preserve">2021. </w:t>
      </w:r>
      <w:r w:rsidR="00030986" w:rsidRPr="00B54A22">
        <w:t>Majutusteenuse osutamise nõuded</w:t>
      </w:r>
      <w:r w:rsidR="00030986" w:rsidRPr="00273A87">
        <w:t xml:space="preserve"> [Määrus, RT I, 22.04.2021, 11]. Riigi Teataja. </w:t>
      </w:r>
      <w:hyperlink r:id="rId36" w:history="1">
        <w:r w:rsidR="00030986" w:rsidRPr="00273A87">
          <w:rPr>
            <w:rStyle w:val="Hyperlink"/>
          </w:rPr>
          <w:t>Link</w:t>
        </w:r>
      </w:hyperlink>
      <w:r w:rsidR="00030986" w:rsidRPr="00273A87">
        <w:t xml:space="preserve"> </w:t>
      </w:r>
    </w:p>
  </w:footnote>
  <w:footnote w:id="47">
    <w:p w14:paraId="3E748CA1" w14:textId="77777777" w:rsidR="001E44AD" w:rsidRDefault="001E44AD" w:rsidP="001E44AD">
      <w:pPr>
        <w:pStyle w:val="FootnoteText"/>
      </w:pPr>
      <w:r>
        <w:rPr>
          <w:rStyle w:val="FootnoteReference"/>
        </w:rPr>
        <w:footnoteRef/>
      </w:r>
      <w:r>
        <w:t xml:space="preserve"> Lisaks siintoodule sõltuvad tuleohutusnõuded ka hoone kõrgusest ja hoones viibivate inimeste arvust.</w:t>
      </w:r>
    </w:p>
  </w:footnote>
  <w:footnote w:id="48">
    <w:p w14:paraId="1843C672" w14:textId="404709BA" w:rsidR="001E44AD" w:rsidRDefault="001E44AD" w:rsidP="00B54A22">
      <w:pPr>
        <w:pStyle w:val="FootnoteText"/>
        <w:jc w:val="both"/>
      </w:pPr>
      <w:r>
        <w:rPr>
          <w:rStyle w:val="FootnoteReference"/>
        </w:rPr>
        <w:footnoteRef/>
      </w:r>
      <w:r>
        <w:t xml:space="preserve"> </w:t>
      </w:r>
      <w:r w:rsidRPr="0027451E">
        <w:t>Eriomand on korteriomandi osa, mille omanikul on ainuõigus seda kasutada ja käsutada vastavalt seadusele.</w:t>
      </w:r>
      <w:r>
        <w:t xml:space="preserve"> </w:t>
      </w:r>
      <w:r w:rsidRPr="0027451E">
        <w:t>Eriomandi ese on ruumiliselt piiritletud eluruum või mitteeluruum ning selle juurde kuuluvad hoone osad, mida on võimalik eraldi kasutada ning mida saab muuta, kõrvaldada või lisada kaasomandit või teise korteriomaniku õigusi kahjustamata või hoone välist kuju muutmata</w:t>
      </w:r>
      <w:r w:rsidR="003D10DA">
        <w:t xml:space="preserve"> (</w:t>
      </w:r>
      <w:r>
        <w:t>KrtS §4 lg1</w:t>
      </w:r>
      <w:r w:rsidR="00041267">
        <w:t>)</w:t>
      </w:r>
      <w:r>
        <w:t>.</w:t>
      </w:r>
    </w:p>
  </w:footnote>
  <w:footnote w:id="49">
    <w:p w14:paraId="76C613EA" w14:textId="04BC6973" w:rsidR="00F166E0" w:rsidRPr="00C82482" w:rsidRDefault="00F166E0" w:rsidP="00582691">
      <w:pPr>
        <w:pStyle w:val="FootnoteText"/>
        <w:jc w:val="both"/>
      </w:pPr>
      <w:r>
        <w:rPr>
          <w:rStyle w:val="FootnoteReference"/>
        </w:rPr>
        <w:footnoteRef/>
      </w:r>
      <w:r>
        <w:t xml:space="preserve"> </w:t>
      </w:r>
      <w:r w:rsidR="005625E4">
        <w:t xml:space="preserve">Märgime siinkohal, et </w:t>
      </w:r>
      <w:r w:rsidR="00C93EFE">
        <w:t xml:space="preserve">Riigikohtu lahendis </w:t>
      </w:r>
      <w:r w:rsidR="00C93EFE" w:rsidRPr="00C82482">
        <w:t>(</w:t>
      </w:r>
      <w:hyperlink r:id="rId37" w:history="1">
        <w:r w:rsidR="00C93EFE" w:rsidRPr="00C82482">
          <w:rPr>
            <w:rStyle w:val="Hyperlink"/>
          </w:rPr>
          <w:t>2-18-15391/41</w:t>
        </w:r>
      </w:hyperlink>
      <w:r w:rsidR="00C93EFE" w:rsidRPr="00C82482">
        <w:t xml:space="preserve">) </w:t>
      </w:r>
      <w:r w:rsidR="00C93EFE">
        <w:t xml:space="preserve">käsitleti </w:t>
      </w:r>
      <w:r w:rsidR="00B730AD" w:rsidRPr="00B730AD">
        <w:t>kinnisasjade kaasomandis olevate osade kasutuskorra kindlaksmäärami</w:t>
      </w:r>
      <w:r w:rsidR="00AC5780">
        <w:t xml:space="preserve">st. Lahendis selgitatakse, et </w:t>
      </w:r>
      <w:r w:rsidR="001872F7">
        <w:t>k</w:t>
      </w:r>
      <w:r w:rsidR="00820104" w:rsidRPr="00820104">
        <w:t>orteriomanikud võivad ise korraldada korteriomandist ja korteriühistust tulenevaid õigussuhteid KrtS-is sätestatust erinevalt juhul, kui nad sõlmivad vastava kokkuleppe (KrtS § 13 lg 1). Korteriomanike kokkulepe eeldab kõikide korteriomanike sellekohast tahteavaldust</w:t>
      </w:r>
      <w:r w:rsidR="002A3DE0">
        <w:t>.</w:t>
      </w:r>
      <w:r w:rsidR="00820104" w:rsidRPr="00820104">
        <w:t xml:space="preserve"> Korteriomanike kokkulepe, millega korteriomanikud korraldavad korteriomandist või korteriühistust tulenevaid õigussuhteid KrtS-is sätestatust erinevalt, kehtib korteriomaniku eriõigusjärglase suhtes üksnes juhul, kui see on kantud kinnistusraamatusse eriomandi sisuna (KrtS § 13 lg 3).</w:t>
      </w:r>
      <w:r w:rsidR="00723030">
        <w:t xml:space="preserve"> Käesoleva uuringu käigus viitasid mõned turuosalised antud lahendi</w:t>
      </w:r>
      <w:r w:rsidR="00E96631">
        <w:t xml:space="preserve">s välja toodud </w:t>
      </w:r>
      <w:r w:rsidR="00DC7F97">
        <w:t>korteriomanike kokkuleppele</w:t>
      </w:r>
      <w:r w:rsidR="00723030">
        <w:t xml:space="preserve"> kui potentsiaalsele võimalusele, millega KÜ-</w:t>
      </w:r>
      <w:r w:rsidR="00B775DC">
        <w:t>d</w:t>
      </w:r>
      <w:r w:rsidR="00723030">
        <w:t xml:space="preserve">el oleks võimalik elamus lühiajalise üüri teenust keelata või piirata. Siiski ei leidnud </w:t>
      </w:r>
      <w:r w:rsidR="007E708C">
        <w:t xml:space="preserve">me </w:t>
      </w:r>
      <w:r w:rsidR="00723030">
        <w:t xml:space="preserve">analüüsi käigus piisavalt kinnitust, et </w:t>
      </w:r>
      <w:r w:rsidR="000D36B4">
        <w:t>selles kohtulahendis toodud</w:t>
      </w:r>
      <w:r w:rsidR="00B470D5">
        <w:t xml:space="preserve"> seisukohti </w:t>
      </w:r>
      <w:r w:rsidR="008C55D8">
        <w:t>ja</w:t>
      </w:r>
      <w:r w:rsidR="00B470D5">
        <w:t xml:space="preserve"> viidatud sätteid </w:t>
      </w:r>
      <w:r w:rsidR="0042304A">
        <w:t>saab</w:t>
      </w:r>
      <w:r w:rsidR="00B470D5">
        <w:t xml:space="preserve"> </w:t>
      </w:r>
      <w:r w:rsidR="005E1254">
        <w:t>rakendada ka</w:t>
      </w:r>
      <w:r w:rsidR="00B470D5">
        <w:t xml:space="preserve"> </w:t>
      </w:r>
      <w:r w:rsidR="007E708C">
        <w:t xml:space="preserve">eriomandi kasutamise </w:t>
      </w:r>
      <w:r w:rsidR="0042304A">
        <w:t xml:space="preserve">piiramisel. </w:t>
      </w:r>
      <w:r w:rsidR="008E1C92">
        <w:t xml:space="preserve">Viidatud lahend puudutab kitsalt </w:t>
      </w:r>
      <w:r w:rsidR="008E1C92" w:rsidRPr="008E1C92">
        <w:t>eraomandi kokkulepet ainult selliselt, kui mingi kaasomandi osa on kokkuleppel antud ühe korteriomaniku ainukasutusse.</w:t>
      </w:r>
      <w:r w:rsidR="0042304A">
        <w:t xml:space="preserve"> Seega </w:t>
      </w:r>
      <w:r w:rsidR="00582691">
        <w:t xml:space="preserve">saame analüüsi tulemusel järeldada, et </w:t>
      </w:r>
      <w:r w:rsidR="00A87A8F">
        <w:t xml:space="preserve">KÜ-de õigused </w:t>
      </w:r>
      <w:r w:rsidR="009F424B">
        <w:t xml:space="preserve">lühiajalise üüri teenuste piiramisel vajavad täpsustamist ja täiendamist (vt täpsemalt peatükist </w:t>
      </w:r>
      <w:r w:rsidR="00A939EA">
        <w:t>4.2)</w:t>
      </w:r>
      <w:r w:rsidR="009F424B">
        <w:t>.</w:t>
      </w:r>
    </w:p>
  </w:footnote>
  <w:footnote w:id="50">
    <w:p w14:paraId="7B20C19A" w14:textId="52E9CB93" w:rsidR="001E44AD" w:rsidRDefault="001E44AD" w:rsidP="001E44AD">
      <w:pPr>
        <w:pStyle w:val="FootnoteText"/>
      </w:pPr>
      <w:r w:rsidRPr="18C9F0B4">
        <w:rPr>
          <w:rStyle w:val="FootnoteReference"/>
        </w:rPr>
        <w:footnoteRef/>
      </w:r>
      <w:r>
        <w:t xml:space="preserve"> </w:t>
      </w:r>
      <w:r w:rsidR="00D3109D" w:rsidRPr="00D3109D">
        <w:t>Riigikogu, 20</w:t>
      </w:r>
      <w:r w:rsidR="009E715B">
        <w:t>17</w:t>
      </w:r>
      <w:r w:rsidR="00D3109D" w:rsidRPr="00D3109D">
        <w:t xml:space="preserve">. Ettevõtlustulu lihtsustatud maksustamise seadus [Seadus, </w:t>
      </w:r>
      <w:r w:rsidR="009E715B" w:rsidRPr="009E715B">
        <w:t>RT I, 07.07.2017, 2</w:t>
      </w:r>
      <w:r w:rsidR="00D3109D" w:rsidRPr="00D3109D">
        <w:t>]. Riigi Teataja</w:t>
      </w:r>
      <w:r w:rsidR="009E715B">
        <w:t xml:space="preserve">. </w:t>
      </w:r>
      <w:hyperlink r:id="rId38" w:history="1">
        <w:r w:rsidR="009E715B" w:rsidRPr="009E715B">
          <w:rPr>
            <w:rStyle w:val="Hyperlink"/>
          </w:rPr>
          <w:t>Link</w:t>
        </w:r>
      </w:hyperlink>
    </w:p>
  </w:footnote>
  <w:footnote w:id="51">
    <w:p w14:paraId="32B02802" w14:textId="77777777" w:rsidR="001E44AD" w:rsidRPr="00211E7F" w:rsidRDefault="001E44AD" w:rsidP="00427132">
      <w:pPr>
        <w:pStyle w:val="FootnoteText"/>
        <w:jc w:val="both"/>
      </w:pPr>
      <w:r>
        <w:rPr>
          <w:rStyle w:val="FootnoteReference"/>
        </w:rPr>
        <w:footnoteRef/>
      </w:r>
      <w:r>
        <w:t xml:space="preserve"> Siinkohal on oluline märkida, et kui eespool mainitud d</w:t>
      </w:r>
      <w:r w:rsidRPr="00451782">
        <w:t>irektiiv (EL) 2021/514</w:t>
      </w:r>
      <w:r>
        <w:t xml:space="preserve"> ehk DAC7 eesmärk on läbipaistev maksustamine ja maksupettuste ennetamine ning selle alusel kogutakse andmeid kõikide platvormide kaudu osutatud teenuste kohta (sh ka nt majutus, sõidujagamine jms); siis </w:t>
      </w:r>
      <w:r w:rsidRPr="00C73DEF">
        <w:t xml:space="preserve">määruse (EL) 2024/1028 eesmärk on </w:t>
      </w:r>
      <w:r>
        <w:t xml:space="preserve">kitsamalt </w:t>
      </w:r>
      <w:r w:rsidRPr="00C73DEF">
        <w:t>majustus- ja turismisektori läbipaistvus ning see rakendub kõikidele majutusteenuste pakkujatele.</w:t>
      </w:r>
    </w:p>
  </w:footnote>
  <w:footnote w:id="52">
    <w:p w14:paraId="2AFBA055" w14:textId="6E3398F9" w:rsidR="001E44AD" w:rsidRPr="005A2B91" w:rsidRDefault="001E44AD" w:rsidP="00427132">
      <w:pPr>
        <w:pStyle w:val="FootnoteText"/>
        <w:jc w:val="both"/>
      </w:pPr>
      <w:r w:rsidRPr="00784CF1">
        <w:rPr>
          <w:rStyle w:val="FootnoteReference"/>
        </w:rPr>
        <w:footnoteRef/>
      </w:r>
      <w:r w:rsidRPr="00784CF1">
        <w:t xml:space="preserve"> Euroopa Parlament</w:t>
      </w:r>
      <w:r w:rsidR="00E732D6">
        <w:t>, 202</w:t>
      </w:r>
      <w:r w:rsidR="00BD619A">
        <w:t>4</w:t>
      </w:r>
      <w:r w:rsidRPr="00784CF1">
        <w:t xml:space="preserve">. Data collection and sharing relating to short-term accommodation rental services. Legislative Train Schedule. </w:t>
      </w:r>
      <w:hyperlink r:id="rId39" w:history="1">
        <w:r w:rsidRPr="00784CF1">
          <w:rPr>
            <w:rStyle w:val="Hyperlink"/>
          </w:rPr>
          <w:t>Link</w:t>
        </w:r>
      </w:hyperlink>
      <w:r w:rsidRPr="00784CF1">
        <w:t>.</w:t>
      </w:r>
    </w:p>
  </w:footnote>
  <w:footnote w:id="53">
    <w:p w14:paraId="12429AEC" w14:textId="24C8FD31" w:rsidR="001E44AD" w:rsidRDefault="001E44AD" w:rsidP="0027723D">
      <w:pPr>
        <w:pStyle w:val="FootnoteText"/>
      </w:pPr>
      <w:r>
        <w:rPr>
          <w:rStyle w:val="FootnoteReference"/>
        </w:rPr>
        <w:footnoteRef/>
      </w:r>
      <w:r>
        <w:t xml:space="preserve"> </w:t>
      </w:r>
      <w:r w:rsidR="0027723D" w:rsidRPr="0027723D">
        <w:t>Riigikohus</w:t>
      </w:r>
      <w:r w:rsidR="007F7091">
        <w:t xml:space="preserve">, </w:t>
      </w:r>
      <w:r w:rsidR="0027723D" w:rsidRPr="0027723D">
        <w:t xml:space="preserve">2016. </w:t>
      </w:r>
      <w:r w:rsidR="0027723D" w:rsidRPr="00B54A22">
        <w:t>OÜ Kemtal kaebus Maksu- ja Tolliameti maksuotsuse tühistamiseks</w:t>
      </w:r>
      <w:r w:rsidR="0027723D" w:rsidRPr="0027723D">
        <w:t xml:space="preserve"> (Kohtuasi nr 3-3-1-47-15).</w:t>
      </w:r>
      <w:r w:rsidR="0027723D">
        <w:t xml:space="preserve"> </w:t>
      </w:r>
      <w:hyperlink r:id="rId40" w:history="1">
        <w:r w:rsidR="0027723D" w:rsidRPr="0027723D">
          <w:rPr>
            <w:rStyle w:val="Hyperlink"/>
          </w:rPr>
          <w:t>Link</w:t>
        </w:r>
      </w:hyperlink>
    </w:p>
  </w:footnote>
  <w:footnote w:id="54">
    <w:p w14:paraId="6F272B5E" w14:textId="77777777" w:rsidR="005B15E3" w:rsidRPr="00BE668D" w:rsidRDefault="005B15E3" w:rsidP="00D542C2">
      <w:pPr>
        <w:pStyle w:val="FootnoteText"/>
        <w:jc w:val="both"/>
        <w:rPr>
          <w:lang w:val="en-US"/>
        </w:rPr>
      </w:pPr>
      <w:r>
        <w:rPr>
          <w:rStyle w:val="FootnoteReference"/>
        </w:rPr>
        <w:footnoteRef/>
      </w:r>
      <w:r>
        <w:t xml:space="preserve"> Vaata täpsemalt Lisa 1 Soome ülevaatest</w:t>
      </w:r>
      <w:r w:rsidRPr="00BE668D">
        <w:t xml:space="preserve"> </w:t>
      </w:r>
      <w:r>
        <w:t>„</w:t>
      </w:r>
      <w:r w:rsidRPr="00BE668D">
        <w:t>Helsingi juhindub elamu- ja majutuspinna eristamisel järgnevatest kriteeriumitest</w:t>
      </w:r>
      <w:r>
        <w:t>“.</w:t>
      </w:r>
    </w:p>
  </w:footnote>
  <w:footnote w:id="55">
    <w:p w14:paraId="23DA130E" w14:textId="46D0C6AB" w:rsidR="4E440EBC" w:rsidRDefault="4E440EBC" w:rsidP="4E440EBC">
      <w:pPr>
        <w:pStyle w:val="FootnoteText"/>
      </w:pPr>
      <w:r w:rsidRPr="4E440EBC">
        <w:rPr>
          <w:rStyle w:val="FootnoteReference"/>
        </w:rPr>
        <w:footnoteRef/>
      </w:r>
      <w:r>
        <w:t xml:space="preserve"> </w:t>
      </w:r>
      <w:r w:rsidR="00CD4118">
        <w:t xml:space="preserve">EIS veebileht. </w:t>
      </w:r>
      <w:hyperlink r:id="rId41" w:history="1">
        <w:r w:rsidR="00CD4118" w:rsidRPr="00CD4118">
          <w:rPr>
            <w:rStyle w:val="Hyperlink"/>
          </w:rPr>
          <w:t>Link</w:t>
        </w:r>
      </w:hyperlink>
    </w:p>
  </w:footnote>
  <w:footnote w:id="56">
    <w:p w14:paraId="62E8B9E2" w14:textId="77777777" w:rsidR="006A36EE" w:rsidRPr="00784CF1" w:rsidRDefault="006A36EE" w:rsidP="006A36EE">
      <w:pPr>
        <w:pStyle w:val="FootnoteText"/>
      </w:pPr>
      <w:r w:rsidRPr="00784CF1">
        <w:rPr>
          <w:rStyle w:val="FootnoteReference"/>
        </w:rPr>
        <w:footnoteRef/>
      </w:r>
      <w:r w:rsidRPr="00784CF1">
        <w:t xml:space="preserve"> </w:t>
      </w:r>
      <w:r>
        <w:t xml:space="preserve">Eurostati veebileht. </w:t>
      </w:r>
      <w:hyperlink r:id="rId42" w:history="1">
        <w:r w:rsidRPr="00D45792">
          <w:rPr>
            <w:rStyle w:val="Hyperlink"/>
          </w:rPr>
          <w:t>Link</w:t>
        </w:r>
      </w:hyperlink>
    </w:p>
  </w:footnote>
  <w:footnote w:id="57">
    <w:p w14:paraId="579A1A8F" w14:textId="584E92F2" w:rsidR="00391C35" w:rsidRDefault="00391C35" w:rsidP="00D542C2">
      <w:pPr>
        <w:pStyle w:val="FootnoteText"/>
        <w:jc w:val="both"/>
        <w:rPr>
          <w:rFonts w:eastAsia="Aptos"/>
          <w:lang w:val="en-US"/>
        </w:rPr>
      </w:pPr>
      <w:r w:rsidRPr="4E440EBC">
        <w:rPr>
          <w:rStyle w:val="FootnoteReference"/>
        </w:rPr>
        <w:footnoteRef/>
      </w:r>
      <w:r>
        <w:t xml:space="preserve"> </w:t>
      </w:r>
      <w:r w:rsidR="00802E98">
        <w:t>Eurostat</w:t>
      </w:r>
      <w:r w:rsidR="00883CF8">
        <w:t>, 2021.</w:t>
      </w:r>
      <w:r w:rsidR="00802E98">
        <w:t xml:space="preserve"> </w:t>
      </w:r>
      <w:r w:rsidRPr="4E440EBC">
        <w:rPr>
          <w:rFonts w:eastAsia="Aptos"/>
          <w:lang w:val="en-US"/>
        </w:rPr>
        <w:t xml:space="preserve">Experimental statistics on short-stay accommodation offered via online collaborative economy platforms (lk 2). </w:t>
      </w:r>
      <w:hyperlink r:id="rId43">
        <w:r w:rsidRPr="4E440EBC">
          <w:rPr>
            <w:rStyle w:val="Hyperlink"/>
            <w:rFonts w:eastAsia="Aptos"/>
            <w:lang w:val="en-US"/>
          </w:rPr>
          <w:t>Link</w:t>
        </w:r>
      </w:hyperlink>
    </w:p>
  </w:footnote>
  <w:footnote w:id="58">
    <w:p w14:paraId="4DF9D0A4" w14:textId="77777777" w:rsidR="00391C35" w:rsidRDefault="00391C35" w:rsidP="00BE179D">
      <w:pPr>
        <w:pStyle w:val="FootnoteText"/>
        <w:jc w:val="both"/>
      </w:pPr>
      <w:r w:rsidRPr="4E440EBC">
        <w:rPr>
          <w:rFonts w:eastAsia="Aptos"/>
          <w:vertAlign w:val="superscript"/>
          <w:lang w:val="en-US"/>
        </w:rPr>
        <w:footnoteRef/>
      </w:r>
      <w:r w:rsidRPr="4E440EBC">
        <w:rPr>
          <w:rFonts w:eastAsia="Aptos"/>
          <w:lang w:val="en-US"/>
        </w:rPr>
        <w:t xml:space="preserve"> Platvormid ei ole väga selgelt defineerinud</w:t>
      </w:r>
      <w:r>
        <w:rPr>
          <w:rFonts w:eastAsia="Aptos"/>
          <w:lang w:val="en-US"/>
        </w:rPr>
        <w:t>,</w:t>
      </w:r>
      <w:r w:rsidRPr="4E440EBC">
        <w:rPr>
          <w:rFonts w:eastAsia="Aptos"/>
          <w:lang w:val="en-US"/>
        </w:rPr>
        <w:t xml:space="preserve"> mida nad NACE 55.2 alla loevad ja mida mitte, kuna arvestust peetakse mitte kodeeritult, vaid majutuskohtade sõnaliste määrangute järgi, mis on erinevatel platvormidel erinevad.</w:t>
      </w:r>
    </w:p>
  </w:footnote>
  <w:footnote w:id="59">
    <w:p w14:paraId="57596615" w14:textId="64620198" w:rsidR="4E440EBC" w:rsidRDefault="4E440EBC" w:rsidP="00CB05BF">
      <w:pPr>
        <w:pStyle w:val="FootnoteText"/>
      </w:pPr>
      <w:r w:rsidRPr="4E440EBC">
        <w:rPr>
          <w:rStyle w:val="FootnoteReference"/>
        </w:rPr>
        <w:footnoteRef/>
      </w:r>
      <w:r>
        <w:t xml:space="preserve"> </w:t>
      </w:r>
      <w:r w:rsidR="00CB05BF">
        <w:t xml:space="preserve">Veebileht </w:t>
      </w:r>
      <w:r w:rsidR="00932E8D">
        <w:t xml:space="preserve">Doorbll. </w:t>
      </w:r>
      <w:hyperlink r:id="rId44" w:history="1">
        <w:r w:rsidR="00932E8D" w:rsidRPr="00932E8D">
          <w:rPr>
            <w:rStyle w:val="Hyperlink"/>
          </w:rPr>
          <w:t>Link</w:t>
        </w:r>
      </w:hyperlink>
    </w:p>
  </w:footnote>
  <w:footnote w:id="60">
    <w:p w14:paraId="651703B5" w14:textId="6D0A16AF" w:rsidR="00936CF8" w:rsidRDefault="00936CF8" w:rsidP="00B54A22">
      <w:pPr>
        <w:pStyle w:val="FootnoteText"/>
        <w:jc w:val="both"/>
        <w:rPr>
          <w:lang w:val="fr-FR"/>
        </w:rPr>
      </w:pPr>
      <w:r w:rsidRPr="181C9876">
        <w:rPr>
          <w:rStyle w:val="FootnoteReference"/>
          <w:lang w:val="fr-FR"/>
        </w:rPr>
        <w:footnoteRef/>
      </w:r>
      <w:r w:rsidRPr="181C9876">
        <w:rPr>
          <w:lang w:val="fr-FR"/>
        </w:rPr>
        <w:t xml:space="preserve"> Defert</w:t>
      </w:r>
      <w:r w:rsidR="009119B2">
        <w:rPr>
          <w:lang w:val="fr-FR"/>
        </w:rPr>
        <w:t>, G., 1967.</w:t>
      </w:r>
      <w:r w:rsidRPr="181C9876">
        <w:rPr>
          <w:lang w:val="fr-FR"/>
        </w:rPr>
        <w:t xml:space="preserve"> Le taux de fonction touristique: essai de définition d’un cadre d’analyse.</w:t>
      </w:r>
    </w:p>
  </w:footnote>
  <w:footnote w:id="61">
    <w:p w14:paraId="3EF61397" w14:textId="1AD57304" w:rsidR="00936CF8" w:rsidRDefault="00936CF8" w:rsidP="00B54A22">
      <w:pPr>
        <w:pStyle w:val="FootnoteText"/>
        <w:jc w:val="both"/>
      </w:pPr>
      <w:r w:rsidRPr="181C9876">
        <w:rPr>
          <w:rStyle w:val="FootnoteReference"/>
        </w:rPr>
        <w:footnoteRef/>
      </w:r>
      <w:r>
        <w:t xml:space="preserve"> </w:t>
      </w:r>
      <w:r w:rsidRPr="000C0B32">
        <w:t>Castro</w:t>
      </w:r>
      <w:r w:rsidR="006906B6">
        <w:t xml:space="preserve"> </w:t>
      </w:r>
      <w:r w:rsidR="006906B6" w:rsidRPr="006906B6">
        <w:t>Noblejas</w:t>
      </w:r>
      <w:r w:rsidRPr="000C0B32">
        <w:t>, H.</w:t>
      </w:r>
      <w:r w:rsidR="002107FD">
        <w:t xml:space="preserve">, </w:t>
      </w:r>
      <w:r w:rsidR="0022205C" w:rsidRPr="0022205C">
        <w:t>Sortino Barrionuevo, J. F., &amp; Orellana Macías, J. M.</w:t>
      </w:r>
      <w:r w:rsidR="008D226D">
        <w:t xml:space="preserve">, </w:t>
      </w:r>
      <w:r w:rsidRPr="000C0B32">
        <w:t>2023. Mapping method for the integrated analysis of gentrification and touristification</w:t>
      </w:r>
      <w:r w:rsidR="00D30EFC" w:rsidRPr="00D30EFC">
        <w:t>: the case of Málaga (Spain)</w:t>
      </w:r>
      <w:r w:rsidR="00D30EFC">
        <w:t>.</w:t>
      </w:r>
      <w:r w:rsidR="00EB0BFB">
        <w:t xml:space="preserve"> </w:t>
      </w:r>
      <w:r w:rsidRPr="000C0B32">
        <w:t>Cuadernos Geográficos</w:t>
      </w:r>
      <w:r w:rsidR="008B1C66">
        <w:t>,</w:t>
      </w:r>
      <w:r w:rsidRPr="000C0B32">
        <w:t xml:space="preserve"> 62(1), 109-129</w:t>
      </w:r>
      <w:r>
        <w:t xml:space="preserve">. </w:t>
      </w:r>
      <w:hyperlink r:id="rId45" w:history="1">
        <w:r w:rsidRPr="000C0B32">
          <w:rPr>
            <w:rStyle w:val="Hyperlink"/>
          </w:rPr>
          <w:t>Link</w:t>
        </w:r>
      </w:hyperlink>
    </w:p>
  </w:footnote>
  <w:footnote w:id="62">
    <w:p w14:paraId="6B3A4E39" w14:textId="5AC12A73" w:rsidR="00E41100" w:rsidRDefault="00E41100" w:rsidP="00B54A22">
      <w:pPr>
        <w:pStyle w:val="FootnoteText"/>
        <w:jc w:val="both"/>
      </w:pPr>
      <w:r>
        <w:rPr>
          <w:rStyle w:val="FootnoteReference"/>
        </w:rPr>
        <w:footnoteRef/>
      </w:r>
      <w:r>
        <w:t xml:space="preserve"> </w:t>
      </w:r>
      <w:r w:rsidR="00AA465B" w:rsidRPr="00AA465B">
        <w:t>Borzyszkowski,</w:t>
      </w:r>
      <w:r w:rsidR="00AA465B">
        <w:t xml:space="preserve"> J., </w:t>
      </w:r>
      <w:r w:rsidR="00AA465B" w:rsidRPr="00AA465B">
        <w:t>Marczak,</w:t>
      </w:r>
      <w:r w:rsidR="00AA465B">
        <w:t xml:space="preserve"> M.,</w:t>
      </w:r>
      <w:r w:rsidR="00AA465B" w:rsidRPr="00AA465B">
        <w:t xml:space="preserve"> Zarębski</w:t>
      </w:r>
      <w:r w:rsidR="00AA465B">
        <w:t>, P.</w:t>
      </w:r>
      <w:r w:rsidR="00354D13">
        <w:t>, 2014.</w:t>
      </w:r>
      <w:r w:rsidR="00AA465B">
        <w:t xml:space="preserve"> </w:t>
      </w:r>
      <w:r w:rsidR="00AC52B7">
        <w:t xml:space="preserve">Spatial </w:t>
      </w:r>
      <w:r w:rsidR="00354D13">
        <w:t>d</w:t>
      </w:r>
      <w:r w:rsidR="00AC52B7">
        <w:t xml:space="preserve">iversity of </w:t>
      </w:r>
      <w:r w:rsidR="00354D13">
        <w:t>t</w:t>
      </w:r>
      <w:r w:rsidR="00AC52B7">
        <w:t xml:space="preserve">ourist </w:t>
      </w:r>
      <w:r w:rsidR="00354D13">
        <w:t>f</w:t>
      </w:r>
      <w:r w:rsidR="00AC52B7">
        <w:t xml:space="preserve">unction </w:t>
      </w:r>
      <w:r w:rsidR="00354D13">
        <w:t>d</w:t>
      </w:r>
      <w:r w:rsidR="00AC52B7">
        <w:t>evelopment</w:t>
      </w:r>
      <w:r w:rsidR="00224623">
        <w:t>: The municipalities of Poland’s West Pomerania</w:t>
      </w:r>
      <w:r w:rsidR="006A4DE7">
        <w:t xml:space="preserve"> province. </w:t>
      </w:r>
      <w:r w:rsidR="006A4DE7" w:rsidRPr="006A4DE7">
        <w:t>Acta geographica Slovenica, 56-2, 2016, 267–276</w:t>
      </w:r>
      <w:r w:rsidR="00FD4505">
        <w:t xml:space="preserve">. </w:t>
      </w:r>
      <w:hyperlink r:id="rId46" w:history="1">
        <w:r w:rsidR="00FD4505" w:rsidRPr="00FD4505">
          <w:rPr>
            <w:rStyle w:val="Hyperlink"/>
          </w:rPr>
          <w:t>Link</w:t>
        </w:r>
      </w:hyperlink>
    </w:p>
  </w:footnote>
  <w:footnote w:id="63">
    <w:p w14:paraId="64A89F3E" w14:textId="1BC31D08" w:rsidR="00ED0E64" w:rsidRPr="00784CF1" w:rsidRDefault="00ED0E64" w:rsidP="00D542C2">
      <w:pPr>
        <w:pStyle w:val="FootnoteText"/>
        <w:jc w:val="both"/>
      </w:pPr>
      <w:r w:rsidRPr="00784CF1">
        <w:rPr>
          <w:rStyle w:val="FootnoteReference"/>
        </w:rPr>
        <w:footnoteRef/>
      </w:r>
      <w:r w:rsidRPr="00784CF1">
        <w:t xml:space="preserve"> Technopolis </w:t>
      </w:r>
      <w:r w:rsidR="008C542B">
        <w:t>G</w:t>
      </w:r>
      <w:r w:rsidR="00D40A04" w:rsidRPr="00784CF1">
        <w:t>roup</w:t>
      </w:r>
      <w:r w:rsidRPr="00784CF1">
        <w:t>, Ernst &amp; Young Baltic AS. (2016). Jagamismajanduse põhimõtete rakendamine Eesti majandus- ja</w:t>
      </w:r>
      <w:r>
        <w:t xml:space="preserve"> </w:t>
      </w:r>
      <w:r w:rsidRPr="00784CF1">
        <w:t>õigusruumis</w:t>
      </w:r>
      <w:r>
        <w:t>.</w:t>
      </w:r>
    </w:p>
  </w:footnote>
  <w:footnote w:id="64">
    <w:p w14:paraId="33F20CAE" w14:textId="736BB31F" w:rsidR="00ED0E64" w:rsidRPr="004349CA" w:rsidRDefault="00ED0E64" w:rsidP="00D542C2">
      <w:pPr>
        <w:pStyle w:val="FootnoteText"/>
        <w:jc w:val="both"/>
        <w:rPr>
          <w:lang w:val="en-US"/>
        </w:rPr>
      </w:pPr>
      <w:r>
        <w:rPr>
          <w:rStyle w:val="FootnoteReference"/>
        </w:rPr>
        <w:footnoteRef/>
      </w:r>
      <w:r>
        <w:t xml:space="preserve"> </w:t>
      </w:r>
      <w:r w:rsidRPr="007D78AD">
        <w:rPr>
          <w:rFonts w:eastAsia="Aptos" w:cstheme="minorHAnsi"/>
          <w:szCs w:val="24"/>
        </w:rPr>
        <w:t>Colliers</w:t>
      </w:r>
      <w:r w:rsidR="00895D33" w:rsidRPr="007D78AD">
        <w:rPr>
          <w:rFonts w:eastAsia="Aptos" w:cstheme="minorHAnsi"/>
          <w:szCs w:val="24"/>
        </w:rPr>
        <w:t xml:space="preserve"> Baltics. </w:t>
      </w:r>
      <w:r w:rsidR="00895D33" w:rsidRPr="007D78AD">
        <w:rPr>
          <w:rFonts w:eastAsia="Aptos" w:cstheme="minorHAnsi"/>
          <w:szCs w:val="24"/>
          <w:lang w:val="en-US"/>
        </w:rPr>
        <w:t>Tallinn short-term rental residential market overview</w:t>
      </w:r>
      <w:r w:rsidR="00895D33">
        <w:rPr>
          <w:rFonts w:eastAsia="Aptos" w:cstheme="minorHAnsi"/>
          <w:szCs w:val="24"/>
          <w:lang w:val="en-US"/>
        </w:rPr>
        <w:t>.</w:t>
      </w:r>
      <w:r>
        <w:rPr>
          <w:rFonts w:eastAsia="Aptos" w:cstheme="minorHAnsi"/>
          <w:szCs w:val="24"/>
          <w:lang w:val="en-US"/>
        </w:rPr>
        <w:t xml:space="preserve"> </w:t>
      </w:r>
      <w:r w:rsidRPr="00C612D4">
        <w:rPr>
          <w:rFonts w:ascii="Arial" w:hAnsi="Arial" w:cs="Arial"/>
        </w:rPr>
        <w:t>2024</w:t>
      </w:r>
    </w:p>
  </w:footnote>
  <w:footnote w:id="65">
    <w:p w14:paraId="67DD2C0D" w14:textId="4C4C4C36" w:rsidR="00ED0E64" w:rsidRPr="004B0FA6" w:rsidRDefault="00ED0E64" w:rsidP="00D542C2">
      <w:pPr>
        <w:pStyle w:val="FootnoteText"/>
        <w:jc w:val="both"/>
        <w:rPr>
          <w:lang w:val="en-US"/>
        </w:rPr>
      </w:pPr>
      <w:r>
        <w:rPr>
          <w:rStyle w:val="FootnoteReference"/>
        </w:rPr>
        <w:footnoteRef/>
      </w:r>
      <w:r>
        <w:t xml:space="preserve"> </w:t>
      </w:r>
      <w:r w:rsidRPr="00C612D4">
        <w:rPr>
          <w:rFonts w:ascii="Arial" w:hAnsi="Arial" w:cs="Arial"/>
        </w:rPr>
        <w:t>MTA</w:t>
      </w:r>
      <w:r w:rsidR="000729C9">
        <w:rPr>
          <w:rFonts w:ascii="Arial" w:hAnsi="Arial" w:cs="Arial"/>
        </w:rPr>
        <w:t xml:space="preserve"> veebileht</w:t>
      </w:r>
      <w:r w:rsidRPr="00C612D4">
        <w:rPr>
          <w:rFonts w:ascii="Arial" w:hAnsi="Arial" w:cs="Arial"/>
        </w:rPr>
        <w:t>, 2024  NB! MTA poolt 2025 septembris korrigeeritud 2023. aasta kogutulu oli ligi 31,9 miljonit eurot.</w:t>
      </w:r>
    </w:p>
  </w:footnote>
  <w:footnote w:id="66">
    <w:p w14:paraId="2AEFDB72" w14:textId="60FC3DEF" w:rsidR="00ED0E64" w:rsidRPr="00784CF1" w:rsidRDefault="00ED0E64" w:rsidP="00D542C2">
      <w:pPr>
        <w:pStyle w:val="FootnoteText"/>
        <w:jc w:val="both"/>
      </w:pPr>
      <w:r w:rsidRPr="00784CF1">
        <w:rPr>
          <w:rStyle w:val="FootnoteReference"/>
        </w:rPr>
        <w:footnoteRef/>
      </w:r>
      <w:r w:rsidRPr="00784CF1">
        <w:t xml:space="preserve"> AirDNA. </w:t>
      </w:r>
      <w:r w:rsidRPr="00D542C2">
        <w:t>Market Overview: Tallinn. Market Performance</w:t>
      </w:r>
      <w:r w:rsidRPr="00F20CBE">
        <w:t>.</w:t>
      </w:r>
      <w:r w:rsidRPr="00784CF1">
        <w:t xml:space="preserve"> </w:t>
      </w:r>
      <w:hyperlink r:id="rId47" w:history="1">
        <w:r w:rsidR="00095E23" w:rsidRPr="00095E23">
          <w:rPr>
            <w:rStyle w:val="Hyperlink"/>
          </w:rPr>
          <w:t>Link</w:t>
        </w:r>
      </w:hyperlink>
    </w:p>
  </w:footnote>
  <w:footnote w:id="67">
    <w:p w14:paraId="20CFDA1E" w14:textId="06454EC8" w:rsidR="00ED0E64" w:rsidRPr="004C221E" w:rsidRDefault="00ED0E64" w:rsidP="00ED0E64">
      <w:pPr>
        <w:pStyle w:val="FootnoteText"/>
        <w:rPr>
          <w:rFonts w:eastAsia="Aptos" w:cstheme="minorHAnsi"/>
          <w:szCs w:val="24"/>
          <w:lang w:val="en-US"/>
        </w:rPr>
      </w:pPr>
      <w:r>
        <w:rPr>
          <w:rStyle w:val="FootnoteReference"/>
        </w:rPr>
        <w:footnoteRef/>
      </w:r>
      <w:r w:rsidR="00D40A04">
        <w:rPr>
          <w:lang w:val="en-US"/>
        </w:rPr>
        <w:t xml:space="preserve"> </w:t>
      </w:r>
      <w:r w:rsidR="00D40A04" w:rsidRPr="004C221E">
        <w:rPr>
          <w:rFonts w:eastAsia="Aptos" w:cstheme="minorHAnsi"/>
          <w:szCs w:val="24"/>
          <w:lang w:val="en-US"/>
        </w:rPr>
        <w:t xml:space="preserve">Mihkel Randrüüdi hinnang. </w:t>
      </w:r>
      <w:hyperlink r:id="rId48" w:history="1">
        <w:r w:rsidR="00125F96" w:rsidRPr="00125F96">
          <w:rPr>
            <w:rStyle w:val="Hyperlink"/>
            <w:rFonts w:eastAsia="Aptos" w:cstheme="minorHAnsi"/>
            <w:szCs w:val="24"/>
            <w:lang w:val="en-US"/>
          </w:rPr>
          <w:t>Link</w:t>
        </w:r>
      </w:hyperlink>
    </w:p>
  </w:footnote>
  <w:footnote w:id="68">
    <w:p w14:paraId="4F5B9982" w14:textId="4E6A2A83" w:rsidR="00ED0E64" w:rsidRPr="004C221E" w:rsidRDefault="00ED0E64" w:rsidP="00ED0E64">
      <w:pPr>
        <w:pStyle w:val="FootnoteText"/>
        <w:rPr>
          <w:rFonts w:eastAsia="Aptos" w:cstheme="minorHAnsi"/>
          <w:szCs w:val="24"/>
          <w:lang w:val="en-US"/>
        </w:rPr>
      </w:pPr>
      <w:r w:rsidRPr="00725C10">
        <w:rPr>
          <w:rFonts w:eastAsia="Aptos" w:cstheme="minorHAnsi"/>
          <w:szCs w:val="24"/>
          <w:vertAlign w:val="superscript"/>
          <w:lang w:val="en-US"/>
        </w:rPr>
        <w:footnoteRef/>
      </w:r>
      <w:r w:rsidRPr="00725C10">
        <w:rPr>
          <w:rFonts w:eastAsia="Aptos" w:cstheme="minorHAnsi"/>
          <w:szCs w:val="24"/>
          <w:vertAlign w:val="superscript"/>
          <w:lang w:val="en-US"/>
        </w:rPr>
        <w:t xml:space="preserve"> </w:t>
      </w:r>
      <w:r w:rsidRPr="004C221E">
        <w:rPr>
          <w:rFonts w:eastAsia="Aptos" w:cstheme="minorHAnsi"/>
          <w:szCs w:val="24"/>
          <w:lang w:val="en-US"/>
        </w:rPr>
        <w:t xml:space="preserve">Airbnb esindaja selgitus. </w:t>
      </w:r>
      <w:hyperlink r:id="rId49" w:history="1">
        <w:r w:rsidR="00125F96" w:rsidRPr="00125F96">
          <w:rPr>
            <w:rStyle w:val="Hyperlink"/>
            <w:rFonts w:eastAsia="Aptos" w:cstheme="minorHAnsi"/>
            <w:szCs w:val="24"/>
            <w:lang w:val="en-US"/>
          </w:rPr>
          <w:t>Link</w:t>
        </w:r>
      </w:hyperlink>
    </w:p>
  </w:footnote>
  <w:footnote w:id="69">
    <w:p w14:paraId="081CFD40" w14:textId="38DBF990" w:rsidR="00ED0E64" w:rsidRPr="009770A3" w:rsidRDefault="00ED0E64" w:rsidP="00ED0E64">
      <w:pPr>
        <w:pStyle w:val="FootnoteText"/>
        <w:rPr>
          <w:rFonts w:eastAsia="Aptos" w:cstheme="minorHAnsi"/>
          <w:szCs w:val="24"/>
        </w:rPr>
      </w:pPr>
      <w:r w:rsidRPr="00725C10">
        <w:rPr>
          <w:rFonts w:eastAsia="Aptos" w:cstheme="minorHAnsi"/>
          <w:szCs w:val="24"/>
          <w:vertAlign w:val="superscript"/>
          <w:lang w:val="en-US"/>
        </w:rPr>
        <w:footnoteRef/>
      </w:r>
      <w:r w:rsidRPr="00725C10">
        <w:rPr>
          <w:rFonts w:eastAsia="Aptos" w:cstheme="minorHAnsi"/>
          <w:szCs w:val="24"/>
          <w:vertAlign w:val="superscript"/>
          <w:lang w:val="en-US"/>
        </w:rPr>
        <w:t xml:space="preserve"> </w:t>
      </w:r>
      <w:r w:rsidR="00125F96" w:rsidRPr="00125F96">
        <w:rPr>
          <w:rFonts w:eastAsia="Aptos" w:cstheme="minorHAnsi"/>
          <w:szCs w:val="24"/>
          <w:lang w:val="en-US"/>
        </w:rPr>
        <w:t xml:space="preserve">MKM </w:t>
      </w:r>
      <w:r w:rsidR="00125F96">
        <w:rPr>
          <w:rFonts w:eastAsia="Aptos" w:cstheme="minorHAnsi"/>
          <w:szCs w:val="24"/>
          <w:lang w:val="en-US"/>
        </w:rPr>
        <w:t>v</w:t>
      </w:r>
      <w:r w:rsidR="00125F96" w:rsidRPr="00125F96">
        <w:rPr>
          <w:rFonts w:eastAsia="Aptos" w:cstheme="minorHAnsi"/>
          <w:szCs w:val="24"/>
          <w:lang w:val="en-US"/>
        </w:rPr>
        <w:t>eebileht</w:t>
      </w:r>
      <w:r w:rsidR="00125F96">
        <w:rPr>
          <w:rFonts w:eastAsia="Aptos" w:cstheme="minorHAnsi"/>
          <w:szCs w:val="24"/>
          <w:lang w:val="en-US"/>
        </w:rPr>
        <w:t xml:space="preserve">. </w:t>
      </w:r>
      <w:hyperlink r:id="rId50" w:history="1">
        <w:r w:rsidR="00125F96" w:rsidRPr="009770A3">
          <w:rPr>
            <w:rStyle w:val="Hyperlink"/>
            <w:rFonts w:eastAsia="Aptos" w:cstheme="minorHAnsi"/>
            <w:szCs w:val="24"/>
          </w:rPr>
          <w:t>Link</w:t>
        </w:r>
      </w:hyperlink>
    </w:p>
  </w:footnote>
  <w:footnote w:id="70">
    <w:p w14:paraId="5B2C3EBD" w14:textId="017B6DB0" w:rsidR="00ED0E64" w:rsidRPr="00BE179D" w:rsidRDefault="00ED0E64" w:rsidP="00ED0E64">
      <w:pPr>
        <w:pStyle w:val="FootnoteText"/>
        <w:rPr>
          <w:rFonts w:eastAsia="Aptos" w:cstheme="minorHAnsi"/>
          <w:szCs w:val="24"/>
        </w:rPr>
      </w:pPr>
      <w:r w:rsidRPr="00725C10">
        <w:rPr>
          <w:rFonts w:eastAsia="Aptos" w:cstheme="minorHAnsi"/>
          <w:szCs w:val="24"/>
          <w:vertAlign w:val="superscript"/>
          <w:lang w:val="en-US"/>
        </w:rPr>
        <w:footnoteRef/>
      </w:r>
      <w:r w:rsidRPr="009770A3">
        <w:rPr>
          <w:rFonts w:eastAsia="Aptos" w:cstheme="minorHAnsi"/>
          <w:szCs w:val="24"/>
        </w:rPr>
        <w:t xml:space="preserve"> </w:t>
      </w:r>
      <w:r w:rsidR="00125F96" w:rsidRPr="009770A3">
        <w:rPr>
          <w:rFonts w:eastAsia="Aptos" w:cstheme="minorHAnsi"/>
          <w:szCs w:val="24"/>
        </w:rPr>
        <w:t xml:space="preserve">Visit Estonia veebileht. </w:t>
      </w:r>
      <w:hyperlink r:id="rId51" w:anchor="17" w:history="1">
        <w:r w:rsidR="00125F96" w:rsidRPr="00BE179D">
          <w:rPr>
            <w:rStyle w:val="Hyperlink"/>
            <w:rFonts w:eastAsia="Aptos" w:cstheme="minorHAnsi"/>
            <w:szCs w:val="24"/>
          </w:rPr>
          <w:t>Link</w:t>
        </w:r>
      </w:hyperlink>
    </w:p>
  </w:footnote>
  <w:footnote w:id="71">
    <w:p w14:paraId="4B6FC53B" w14:textId="37E76A34" w:rsidR="00ED0E64" w:rsidRPr="00BE179D" w:rsidRDefault="00ED0E64" w:rsidP="00ED0E64">
      <w:pPr>
        <w:pStyle w:val="FootnoteText"/>
      </w:pPr>
      <w:r w:rsidRPr="00725C10">
        <w:rPr>
          <w:rFonts w:eastAsia="Aptos" w:cstheme="minorHAnsi"/>
          <w:szCs w:val="24"/>
          <w:vertAlign w:val="superscript"/>
          <w:lang w:val="en-US"/>
        </w:rPr>
        <w:footnoteRef/>
      </w:r>
      <w:r w:rsidRPr="00BE179D">
        <w:rPr>
          <w:rFonts w:eastAsia="Aptos" w:cstheme="minorHAnsi"/>
          <w:szCs w:val="24"/>
        </w:rPr>
        <w:t xml:space="preserve"> </w:t>
      </w:r>
      <w:r w:rsidR="00263BCB" w:rsidRPr="00BE179D">
        <w:rPr>
          <w:rFonts w:eastAsia="Aptos" w:cstheme="minorHAnsi"/>
          <w:szCs w:val="24"/>
        </w:rPr>
        <w:t xml:space="preserve">EIS veebileht. </w:t>
      </w:r>
      <w:hyperlink r:id="rId52" w:history="1">
        <w:r w:rsidR="00263BCB" w:rsidRPr="00BE179D">
          <w:rPr>
            <w:rStyle w:val="Hyperlink"/>
            <w:rFonts w:eastAsia="Aptos" w:cstheme="minorHAnsi"/>
            <w:szCs w:val="24"/>
          </w:rPr>
          <w:t>Link</w:t>
        </w:r>
      </w:hyperlink>
    </w:p>
  </w:footnote>
  <w:footnote w:id="72">
    <w:p w14:paraId="1F3D7800" w14:textId="0A9E16D2" w:rsidR="00E671D0" w:rsidRDefault="00E671D0" w:rsidP="00BE179D">
      <w:pPr>
        <w:pStyle w:val="FootnoteText"/>
        <w:jc w:val="both"/>
      </w:pPr>
      <w:r>
        <w:rPr>
          <w:rStyle w:val="FootnoteReference"/>
        </w:rPr>
        <w:footnoteRef/>
      </w:r>
      <w:r>
        <w:t xml:space="preserve"> Need ei tohiks sisaldada traditsioonilisi majutusasutusi</w:t>
      </w:r>
      <w:r w:rsidR="00C07FE1">
        <w:t>, kus aastas tehakse üldjuhul enam kui 2000 tehingut, mis on nende andmete</w:t>
      </w:r>
      <w:r w:rsidR="005947BC">
        <w:t xml:space="preserve"> kogumisel</w:t>
      </w:r>
      <w:r w:rsidR="00C07FE1">
        <w:t xml:space="preserve"> ülempiiriks.</w:t>
      </w:r>
    </w:p>
  </w:footnote>
  <w:footnote w:id="73">
    <w:p w14:paraId="135D9435" w14:textId="211D7B8F" w:rsidR="598BB2BE" w:rsidRDefault="598BB2BE" w:rsidP="598BB2BE">
      <w:pPr>
        <w:pStyle w:val="FootnoteText"/>
        <w:rPr>
          <w:lang w:val="en-US"/>
        </w:rPr>
      </w:pPr>
      <w:r w:rsidRPr="598BB2BE">
        <w:rPr>
          <w:rStyle w:val="FootnoteReference"/>
        </w:rPr>
        <w:footnoteRef/>
      </w:r>
      <w:r>
        <w:t xml:space="preserve"> </w:t>
      </w:r>
      <w:r w:rsidR="004C43BA">
        <w:t xml:space="preserve">Puhka Eestis veebileht. </w:t>
      </w:r>
      <w:hyperlink r:id="rId53">
        <w:r w:rsidR="004C43BA">
          <w:rPr>
            <w:rStyle w:val="Hyperlink"/>
          </w:rPr>
          <w:t>Link</w:t>
        </w:r>
      </w:hyperlink>
      <w:r w:rsidR="004C43BA">
        <w:t xml:space="preserve"> </w:t>
      </w:r>
    </w:p>
  </w:footnote>
  <w:footnote w:id="74">
    <w:p w14:paraId="6B26DEFC" w14:textId="25919F4A" w:rsidR="598BB2BE" w:rsidRDefault="598BB2BE" w:rsidP="00B54A22">
      <w:pPr>
        <w:pStyle w:val="FootnoteText"/>
        <w:jc w:val="both"/>
      </w:pPr>
      <w:r w:rsidRPr="598BB2BE">
        <w:rPr>
          <w:rStyle w:val="FootnoteReference"/>
        </w:rPr>
        <w:footnoteRef/>
      </w:r>
      <w:r>
        <w:t xml:space="preserve"> </w:t>
      </w:r>
      <w:r w:rsidRPr="598BB2BE">
        <w:rPr>
          <w:rFonts w:ascii="Arial" w:eastAsia="Arial" w:hAnsi="Arial" w:cs="Arial"/>
          <w:sz w:val="20"/>
          <w:lang w:val="et"/>
        </w:rPr>
        <w:t>Kõigist korterite üüripakkumistest Eestis moodustasid veebruaris 2020 Tallinna pakkumised 68%</w:t>
      </w:r>
      <w:r w:rsidR="00DB5050">
        <w:rPr>
          <w:rFonts w:ascii="Arial" w:eastAsia="Arial" w:hAnsi="Arial" w:cs="Arial"/>
          <w:sz w:val="20"/>
          <w:lang w:val="et"/>
        </w:rPr>
        <w:t>, vt</w:t>
      </w:r>
      <w:r w:rsidRPr="598BB2BE">
        <w:rPr>
          <w:rFonts w:ascii="Arial" w:eastAsia="Arial" w:hAnsi="Arial" w:cs="Arial"/>
          <w:sz w:val="20"/>
          <w:lang w:val="et"/>
        </w:rPr>
        <w:t xml:space="preserve"> </w:t>
      </w:r>
      <w:r w:rsidR="0030405E" w:rsidRPr="00E10923">
        <w:rPr>
          <w:rFonts w:ascii="Arial" w:eastAsia="Arial" w:hAnsi="Arial" w:cs="Arial"/>
          <w:sz w:val="20"/>
        </w:rPr>
        <w:t>Kinnisvaraweb.ee</w:t>
      </w:r>
      <w:r w:rsidR="0030405E">
        <w:rPr>
          <w:rFonts w:ascii="Arial" w:eastAsia="Arial" w:hAnsi="Arial" w:cs="Arial"/>
          <w:sz w:val="20"/>
        </w:rPr>
        <w:t>, 2021.</w:t>
      </w:r>
      <w:r w:rsidR="0030405E" w:rsidRPr="00E10923">
        <w:rPr>
          <w:rFonts w:ascii="Arial" w:eastAsia="Arial" w:hAnsi="Arial" w:cs="Arial"/>
          <w:sz w:val="20"/>
        </w:rPr>
        <w:t xml:space="preserve"> </w:t>
      </w:r>
      <w:r w:rsidR="00E10923" w:rsidRPr="00B54A22">
        <w:rPr>
          <w:rFonts w:ascii="Arial" w:eastAsia="Arial" w:hAnsi="Arial" w:cs="Arial"/>
          <w:sz w:val="20"/>
        </w:rPr>
        <w:t>KV.</w:t>
      </w:r>
      <w:r w:rsidR="0030405E">
        <w:rPr>
          <w:rFonts w:ascii="Arial" w:eastAsia="Arial" w:hAnsi="Arial" w:cs="Arial"/>
          <w:sz w:val="20"/>
        </w:rPr>
        <w:t>ee</w:t>
      </w:r>
      <w:r w:rsidR="00E10923" w:rsidRPr="00B54A22">
        <w:rPr>
          <w:rFonts w:ascii="Arial" w:eastAsia="Arial" w:hAnsi="Arial" w:cs="Arial"/>
          <w:sz w:val="20"/>
        </w:rPr>
        <w:t>: Korterite üüripakkumine on aastaga kasvanud kolmandiku võrra</w:t>
      </w:r>
      <w:r w:rsidR="00E10923" w:rsidRPr="00E10923">
        <w:rPr>
          <w:rFonts w:ascii="Arial" w:eastAsia="Arial" w:hAnsi="Arial" w:cs="Arial"/>
          <w:sz w:val="20"/>
        </w:rPr>
        <w:t>.</w:t>
      </w:r>
      <w:r w:rsidR="0070711B">
        <w:rPr>
          <w:rFonts w:ascii="Arial" w:eastAsia="Arial" w:hAnsi="Arial" w:cs="Arial"/>
          <w:sz w:val="20"/>
          <w:lang w:val="et"/>
        </w:rPr>
        <w:t xml:space="preserve"> </w:t>
      </w:r>
      <w:hyperlink r:id="rId54" w:history="1">
        <w:r w:rsidR="0070711B" w:rsidRPr="0070711B">
          <w:rPr>
            <w:rStyle w:val="Hyperlink"/>
            <w:rFonts w:ascii="Arial" w:eastAsia="Arial" w:hAnsi="Arial" w:cs="Arial"/>
            <w:sz w:val="20"/>
            <w:lang w:val="et"/>
          </w:rPr>
          <w:t>Link</w:t>
        </w:r>
      </w:hyperlink>
    </w:p>
  </w:footnote>
  <w:footnote w:id="75">
    <w:p w14:paraId="70C564F6" w14:textId="1C7C4356" w:rsidR="598BB2BE" w:rsidRDefault="598BB2BE" w:rsidP="598BB2BE">
      <w:pPr>
        <w:pStyle w:val="FootnoteText"/>
      </w:pPr>
      <w:r w:rsidRPr="598BB2BE">
        <w:rPr>
          <w:rStyle w:val="FootnoteReference"/>
        </w:rPr>
        <w:footnoteRef/>
      </w:r>
      <w:r>
        <w:t xml:space="preserve"> </w:t>
      </w:r>
      <w:r w:rsidR="00B900EA">
        <w:t xml:space="preserve">Ärileht. </w:t>
      </w:r>
      <w:hyperlink r:id="rId55" w:history="1">
        <w:r w:rsidR="00B900EA" w:rsidRPr="00B900EA">
          <w:rPr>
            <w:rStyle w:val="Hyperlink"/>
          </w:rPr>
          <w:t>Link</w:t>
        </w:r>
      </w:hyperlink>
    </w:p>
  </w:footnote>
  <w:footnote w:id="76">
    <w:p w14:paraId="32B3B98E" w14:textId="4B878C9A" w:rsidR="00B900EA" w:rsidRPr="00B900EA" w:rsidRDefault="00B900EA">
      <w:pPr>
        <w:pStyle w:val="FootnoteText"/>
      </w:pPr>
      <w:r>
        <w:rPr>
          <w:rStyle w:val="FootnoteReference"/>
        </w:rPr>
        <w:footnoteRef/>
      </w:r>
      <w:r>
        <w:t xml:space="preserve"> Postimees. </w:t>
      </w:r>
      <w:hyperlink r:id="rId56" w:history="1">
        <w:r w:rsidRPr="00B900EA">
          <w:rPr>
            <w:rStyle w:val="Hyperlink"/>
          </w:rPr>
          <w:t>Link</w:t>
        </w:r>
      </w:hyperlink>
    </w:p>
  </w:footnote>
  <w:footnote w:id="77">
    <w:p w14:paraId="6A4BF97F" w14:textId="448074B9" w:rsidR="58A6FF9C" w:rsidRDefault="58A6FF9C" w:rsidP="58A6FF9C">
      <w:pPr>
        <w:pStyle w:val="FootnoteText"/>
      </w:pPr>
      <w:r w:rsidRPr="58A6FF9C">
        <w:rPr>
          <w:rStyle w:val="FootnoteReference"/>
        </w:rPr>
        <w:footnoteRef/>
      </w:r>
      <w:r>
        <w:t xml:space="preserve"> </w:t>
      </w:r>
      <w:r w:rsidR="007416DC">
        <w:t xml:space="preserve">Ärileht. </w:t>
      </w:r>
      <w:hyperlink r:id="rId57" w:history="1">
        <w:r w:rsidR="007416DC" w:rsidRPr="007416DC">
          <w:rPr>
            <w:rStyle w:val="Hyperlink"/>
          </w:rPr>
          <w:t>Link</w:t>
        </w:r>
      </w:hyperlink>
    </w:p>
  </w:footnote>
  <w:footnote w:id="78">
    <w:p w14:paraId="65939C0A" w14:textId="32614FD0" w:rsidR="00ED0E64" w:rsidRPr="00784CF1" w:rsidRDefault="00ED0E64" w:rsidP="00ED0E64">
      <w:pPr>
        <w:pStyle w:val="FootnoteText"/>
      </w:pPr>
      <w:r w:rsidRPr="00784CF1">
        <w:rPr>
          <w:rStyle w:val="FootnoteReference"/>
        </w:rPr>
        <w:footnoteRef/>
      </w:r>
      <w:r w:rsidRPr="00784CF1">
        <w:t xml:space="preserve"> Doorbll</w:t>
      </w:r>
      <w:r w:rsidR="00E10923">
        <w:t xml:space="preserve"> veebileht</w:t>
      </w:r>
      <w:r w:rsidRPr="00784CF1">
        <w:t xml:space="preserve">. </w:t>
      </w:r>
      <w:hyperlink r:id="rId58" w:history="1">
        <w:r w:rsidR="00E10923" w:rsidRPr="00E10923">
          <w:rPr>
            <w:rStyle w:val="Hyperlink"/>
          </w:rPr>
          <w:t>Link</w:t>
        </w:r>
      </w:hyperlink>
    </w:p>
  </w:footnote>
  <w:footnote w:id="79">
    <w:p w14:paraId="6AD60ACA" w14:textId="64CD88C1" w:rsidR="00ED0E64" w:rsidRPr="00784CF1" w:rsidRDefault="00ED0E64" w:rsidP="00ED0E64">
      <w:pPr>
        <w:pStyle w:val="FootnoteText"/>
      </w:pPr>
      <w:r w:rsidRPr="00784CF1">
        <w:rPr>
          <w:rStyle w:val="FootnoteReference"/>
        </w:rPr>
        <w:footnoteRef/>
      </w:r>
      <w:r w:rsidRPr="00784CF1">
        <w:t xml:space="preserve"> Doorbll</w:t>
      </w:r>
      <w:r w:rsidR="00E10923">
        <w:t xml:space="preserve"> veebileht</w:t>
      </w:r>
      <w:r w:rsidR="00B15ED3">
        <w:t>, Tallinna ülevaade</w:t>
      </w:r>
      <w:r w:rsidRPr="00784CF1">
        <w:t xml:space="preserve">. </w:t>
      </w:r>
      <w:hyperlink r:id="rId59" w:history="1">
        <w:r w:rsidR="00B15ED3" w:rsidRPr="00B15ED3">
          <w:rPr>
            <w:rStyle w:val="Hyperlink"/>
          </w:rPr>
          <w:t>Link</w:t>
        </w:r>
      </w:hyperlink>
    </w:p>
  </w:footnote>
  <w:footnote w:id="80">
    <w:p w14:paraId="562FE563" w14:textId="06F2D0BA" w:rsidR="00D40A04" w:rsidRDefault="00D40A04" w:rsidP="00D40A04">
      <w:pPr>
        <w:pStyle w:val="FootnoteText"/>
      </w:pPr>
      <w:r>
        <w:rPr>
          <w:rStyle w:val="FootnoteReference"/>
        </w:rPr>
        <w:footnoteRef/>
      </w:r>
      <w:r>
        <w:t xml:space="preserve"> 2023.a. keskmine USD/EUR kurss oli 0,924. </w:t>
      </w:r>
    </w:p>
  </w:footnote>
  <w:footnote w:id="81">
    <w:p w14:paraId="2332C416" w14:textId="5C66A549" w:rsidR="4EDD54EB" w:rsidRDefault="4EDD54EB" w:rsidP="4EDD54EB">
      <w:pPr>
        <w:pStyle w:val="FootnoteText"/>
      </w:pPr>
      <w:r w:rsidRPr="4EDD54EB">
        <w:rPr>
          <w:rStyle w:val="FootnoteReference"/>
        </w:rPr>
        <w:footnoteRef/>
      </w:r>
      <w:r>
        <w:t xml:space="preserve"> </w:t>
      </w:r>
      <w:r w:rsidR="007E5E46">
        <w:t xml:space="preserve">Pärnu Postimees. </w:t>
      </w:r>
      <w:hyperlink r:id="rId60" w:history="1">
        <w:r w:rsidR="007E5E46" w:rsidRPr="007E5E46">
          <w:rPr>
            <w:rStyle w:val="Hyperlink"/>
          </w:rPr>
          <w:t>Link</w:t>
        </w:r>
      </w:hyperlink>
    </w:p>
  </w:footnote>
  <w:footnote w:id="82">
    <w:p w14:paraId="64F4C794" w14:textId="69596BB7" w:rsidR="4EDD54EB" w:rsidRDefault="4EDD54EB" w:rsidP="4EDD54EB">
      <w:pPr>
        <w:pStyle w:val="FootnoteText"/>
      </w:pPr>
      <w:r w:rsidRPr="4EDD54EB">
        <w:rPr>
          <w:rStyle w:val="FootnoteReference"/>
        </w:rPr>
        <w:footnoteRef/>
      </w:r>
      <w:r>
        <w:t xml:space="preserve"> </w:t>
      </w:r>
      <w:r w:rsidR="007E5E46">
        <w:t xml:space="preserve">Ärileht. </w:t>
      </w:r>
      <w:hyperlink r:id="rId61" w:history="1">
        <w:r w:rsidR="007E5E46" w:rsidRPr="007E5E46">
          <w:rPr>
            <w:rStyle w:val="Hyperlink"/>
          </w:rPr>
          <w:t>Link</w:t>
        </w:r>
      </w:hyperlink>
    </w:p>
  </w:footnote>
  <w:footnote w:id="83">
    <w:p w14:paraId="067FDC63" w14:textId="74AB38B5" w:rsidR="00ED0E64" w:rsidRDefault="00ED0E64" w:rsidP="00ED0E64">
      <w:pPr>
        <w:pStyle w:val="FootnoteText"/>
      </w:pPr>
      <w:r>
        <w:rPr>
          <w:rStyle w:val="FootnoteReference"/>
        </w:rPr>
        <w:footnoteRef/>
      </w:r>
      <w:r>
        <w:t xml:space="preserve"> </w:t>
      </w:r>
      <w:r w:rsidR="004740F8">
        <w:t xml:space="preserve">Puhka Eestis veebileht. </w:t>
      </w:r>
      <w:hyperlink r:id="rId62" w:history="1">
        <w:r w:rsidR="004740F8" w:rsidRPr="004740F8">
          <w:rPr>
            <w:rStyle w:val="Hyperlink"/>
          </w:rPr>
          <w:t>Link</w:t>
        </w:r>
      </w:hyperlink>
    </w:p>
  </w:footnote>
  <w:footnote w:id="84">
    <w:p w14:paraId="0D4C265A" w14:textId="62BAD847" w:rsidR="4EDD54EB" w:rsidRDefault="4EDD54EB" w:rsidP="4EDD54EB">
      <w:pPr>
        <w:pStyle w:val="FootnoteText"/>
      </w:pPr>
      <w:r w:rsidRPr="4EDD54EB">
        <w:rPr>
          <w:rStyle w:val="FootnoteReference"/>
        </w:rPr>
        <w:footnoteRef/>
      </w:r>
      <w:r>
        <w:t xml:space="preserve"> </w:t>
      </w:r>
      <w:r w:rsidR="00E70FC8">
        <w:t xml:space="preserve">Reldor veebileht. </w:t>
      </w:r>
      <w:hyperlink r:id="rId63" w:history="1">
        <w:r w:rsidR="00E70FC8" w:rsidRPr="00E70FC8">
          <w:rPr>
            <w:rStyle w:val="Hyperlink"/>
          </w:rPr>
          <w:t>Link</w:t>
        </w:r>
      </w:hyperlink>
    </w:p>
  </w:footnote>
  <w:footnote w:id="85">
    <w:p w14:paraId="691C3DEF" w14:textId="0D98681F" w:rsidR="18C9F0B4" w:rsidRDefault="18C9F0B4" w:rsidP="00D542C2">
      <w:pPr>
        <w:pStyle w:val="FootnoteText"/>
        <w:jc w:val="both"/>
        <w:rPr>
          <w:i/>
          <w:iCs/>
        </w:rPr>
      </w:pPr>
      <w:r w:rsidRPr="18C9F0B4">
        <w:rPr>
          <w:rStyle w:val="FootnoteReference"/>
        </w:rPr>
        <w:footnoteRef/>
      </w:r>
      <w:r w:rsidRPr="00D45792">
        <w:rPr>
          <w:i/>
          <w:iCs/>
        </w:rPr>
        <w:t xml:space="preserve"> </w:t>
      </w:r>
      <w:r w:rsidR="00D45792">
        <w:t>K</w:t>
      </w:r>
      <w:r w:rsidRPr="18C9F0B4">
        <w:t>uni 60m</w:t>
      </w:r>
      <w:r w:rsidRPr="18C9F0B4">
        <w:rPr>
          <w:rFonts w:cs="Arial (Body CS)"/>
          <w:vertAlign w:val="superscript"/>
        </w:rPr>
        <w:t>2</w:t>
      </w:r>
      <w:r w:rsidRPr="18C9F0B4">
        <w:t xml:space="preserve"> elamu püstitamiseks piisab ehitusteatisest ja projektist, vaja ei ole ehitusluba ega kasutusluba, seega on protsess oluliselt kiirem</w:t>
      </w:r>
    </w:p>
  </w:footnote>
  <w:footnote w:id="86">
    <w:p w14:paraId="7A6AC095" w14:textId="74225D3E" w:rsidR="00ED0E64" w:rsidRPr="00784CF1" w:rsidRDefault="00ED0E64" w:rsidP="00D542C2">
      <w:pPr>
        <w:pStyle w:val="FootnoteText"/>
        <w:pBdr>
          <w:left w:val="double" w:sz="6" w:space="6" w:color="3CEB9D" w:themeColor="accent5"/>
        </w:pBdr>
        <w:jc w:val="both"/>
      </w:pPr>
      <w:r w:rsidRPr="00784CF1">
        <w:rPr>
          <w:rStyle w:val="FootnoteReference"/>
        </w:rPr>
        <w:footnoteRef/>
      </w:r>
      <w:r w:rsidR="00817A75">
        <w:t xml:space="preserve"> SA </w:t>
      </w:r>
      <w:r w:rsidRPr="00784CF1">
        <w:t>jaotab turistide majutusüksused kahte põhirühma: kollektiivmajutus (teenindavad turiste äriüksustena) ja eramajutus. Majutusstatistika kajastab ainult kollektiivmajutuskohtade andmeid.</w:t>
      </w:r>
    </w:p>
  </w:footnote>
  <w:footnote w:id="87">
    <w:p w14:paraId="6EEDC00E" w14:textId="4DA61312" w:rsidR="598BB2BE" w:rsidRDefault="598BB2BE" w:rsidP="00D542C2">
      <w:pPr>
        <w:pStyle w:val="FootnoteText"/>
        <w:jc w:val="both"/>
      </w:pPr>
      <w:r w:rsidRPr="598BB2BE">
        <w:rPr>
          <w:rStyle w:val="FootnoteReference"/>
        </w:rPr>
        <w:footnoteRef/>
      </w:r>
      <w:r>
        <w:t xml:space="preserve"> </w:t>
      </w:r>
      <w:r w:rsidR="65B24A91">
        <w:t>TurS</w:t>
      </w:r>
      <w:r w:rsidR="00DF290D">
        <w:t>-i</w:t>
      </w:r>
      <w:r>
        <w:t xml:space="preserve"> §18 lg1 ja 2 kohaselt </w:t>
      </w:r>
      <w:r w:rsidR="00AE79FB">
        <w:t xml:space="preserve">on </w:t>
      </w:r>
      <w:r w:rsidR="104E5247">
        <w:t>hotelli</w:t>
      </w:r>
      <w:r w:rsidR="00AE79FB">
        <w:t>d</w:t>
      </w:r>
      <w:r w:rsidR="104E5247">
        <w:t xml:space="preserve"> ja </w:t>
      </w:r>
      <w:r w:rsidR="3AB2E4FE">
        <w:t>motelli</w:t>
      </w:r>
      <w:r w:rsidR="00AE79FB">
        <w:t>d</w:t>
      </w:r>
      <w:r w:rsidR="3AB2E4FE">
        <w:t xml:space="preserve"> vähemalt viie</w:t>
      </w:r>
      <w:r>
        <w:t xml:space="preserve"> majutusruumiga majutusettevõte</w:t>
      </w:r>
      <w:r w:rsidR="00DA58F7">
        <w:t>.</w:t>
      </w:r>
    </w:p>
  </w:footnote>
  <w:footnote w:id="88">
    <w:p w14:paraId="11D5C405" w14:textId="77777777" w:rsidR="00D40A04" w:rsidRPr="00827865" w:rsidRDefault="00D40A04" w:rsidP="00D542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both"/>
        <w:rPr>
          <w:sz w:val="18"/>
          <w:szCs w:val="20"/>
        </w:rPr>
      </w:pPr>
      <w:r w:rsidRPr="00046C4E">
        <w:rPr>
          <w:rStyle w:val="FootnoteReference"/>
          <w:sz w:val="18"/>
          <w:szCs w:val="16"/>
        </w:rPr>
        <w:footnoteRef/>
      </w:r>
      <w:r w:rsidRPr="00592313">
        <w:rPr>
          <w:vertAlign w:val="superscript"/>
        </w:rPr>
        <w:t xml:space="preserve"> </w:t>
      </w:r>
      <w:r w:rsidRPr="00827865">
        <w:rPr>
          <w:sz w:val="18"/>
          <w:szCs w:val="20"/>
        </w:rPr>
        <w:t>Endale kuuluva või renditud kinnisvara üürileandmine ja käitamine, sh korterelamud ja eluruumid.</w:t>
      </w:r>
    </w:p>
  </w:footnote>
  <w:footnote w:id="89">
    <w:p w14:paraId="11156A2A" w14:textId="017EC4B0" w:rsidR="00A12A22" w:rsidRDefault="00A12A22" w:rsidP="00DF290D">
      <w:pPr>
        <w:pStyle w:val="FootnoteText"/>
        <w:jc w:val="both"/>
      </w:pPr>
      <w:r>
        <w:rPr>
          <w:rStyle w:val="FootnoteReference"/>
        </w:rPr>
        <w:footnoteRef/>
      </w:r>
      <w:r>
        <w:t xml:space="preserve"> </w:t>
      </w:r>
      <w:r w:rsidR="00BA0109">
        <w:t xml:space="preserve">EL-i lühiajalise üürimise andmete </w:t>
      </w:r>
      <w:r w:rsidR="00EF1605">
        <w:t xml:space="preserve">kogumise </w:t>
      </w:r>
      <w:r w:rsidR="00BA0109">
        <w:t>määruses ei loeta küla</w:t>
      </w:r>
      <w:r w:rsidR="00EF1605">
        <w:t>l</w:t>
      </w:r>
      <w:r w:rsidR="00BA0109">
        <w:t>istemajades majutusteenuse osutamist lühiajaliseks üürimiseks, kuigi väiksemad külalistemajad võivad seda olla</w:t>
      </w:r>
      <w:r w:rsidR="00EF1605">
        <w:t>, kui</w:t>
      </w:r>
      <w:r w:rsidR="00BA0109">
        <w:t xml:space="preserve"> üüritakse välja eluruume. Kuna</w:t>
      </w:r>
      <w:r w:rsidR="00F02E18">
        <w:t xml:space="preserve"> kättesaadavad andmed ei ole piisavad, et külalistemaju </w:t>
      </w:r>
      <w:r w:rsidR="004F0977">
        <w:t xml:space="preserve">eraldi </w:t>
      </w:r>
      <w:r w:rsidR="00270DCD">
        <w:t xml:space="preserve">sellise detailsusega klassifitseerida, ei loe me ka selles uuringus </w:t>
      </w:r>
      <w:r w:rsidR="00EF1605">
        <w:t>seda majutusteenuse liiki lühiajaliseks üürimiseks</w:t>
      </w:r>
      <w:r w:rsidR="00270DCD">
        <w:t>.</w:t>
      </w:r>
    </w:p>
  </w:footnote>
  <w:footnote w:id="90">
    <w:p w14:paraId="50CDB3A8" w14:textId="037B6CAC" w:rsidR="00D40A04" w:rsidRDefault="00D40A04" w:rsidP="00D40A04">
      <w:pPr>
        <w:pStyle w:val="FootnoteText"/>
      </w:pPr>
      <w:r>
        <w:rPr>
          <w:rStyle w:val="FootnoteReference"/>
        </w:rPr>
        <w:footnoteRef/>
      </w:r>
      <w:r w:rsidR="1C92C443">
        <w:t xml:space="preserve"> </w:t>
      </w:r>
      <w:r w:rsidR="1C92C443" w:rsidRPr="1C92C443">
        <w:rPr>
          <w:rFonts w:asciiTheme="minorBidi" w:hAnsiTheme="minorBidi"/>
        </w:rPr>
        <w:t xml:space="preserve">NACE </w:t>
      </w:r>
      <w:r w:rsidR="1C92C443" w:rsidRPr="1C92C443">
        <w:rPr>
          <w:rFonts w:asciiTheme="minorBidi" w:hAnsiTheme="minorBidi"/>
          <w:color w:val="000000"/>
          <w:kern w:val="0"/>
          <w:sz w:val="20"/>
          <w:lang w:val="en-US"/>
        </w:rPr>
        <w:t>55.2 sisu ei ole SA hinnangul hetkel täielikult ühtlustatud ei platvormide</w:t>
      </w:r>
      <w:r w:rsidR="1C92C443" w:rsidRPr="1C92C443">
        <w:rPr>
          <w:rFonts w:asciiTheme="minorBidi" w:hAnsiTheme="minorBidi"/>
          <w:color w:val="000000"/>
          <w:sz w:val="20"/>
          <w:lang w:val="en-US"/>
        </w:rPr>
        <w:t xml:space="preserve"> ega </w:t>
      </w:r>
      <w:r w:rsidR="1C92C443" w:rsidRPr="1C92C443">
        <w:rPr>
          <w:rFonts w:asciiTheme="minorBidi" w:hAnsiTheme="minorBidi"/>
          <w:color w:val="000000"/>
          <w:kern w:val="0"/>
          <w:sz w:val="20"/>
          <w:lang w:val="en-US"/>
        </w:rPr>
        <w:t>Eurostati poolt.</w:t>
      </w:r>
    </w:p>
  </w:footnote>
  <w:footnote w:id="91">
    <w:p w14:paraId="41BB1DA8" w14:textId="77777777" w:rsidR="009B7541" w:rsidRDefault="009B7541" w:rsidP="009B7541">
      <w:pPr>
        <w:pStyle w:val="FootnoteText"/>
      </w:pPr>
      <w:r w:rsidRPr="4E440EBC">
        <w:rPr>
          <w:rStyle w:val="FootnoteReference"/>
        </w:rPr>
        <w:footnoteRef/>
      </w:r>
      <w:r>
        <w:t xml:space="preserve"> Lighthouse veebilleht. </w:t>
      </w:r>
      <w:hyperlink r:id="rId64" w:history="1">
        <w:r w:rsidRPr="00E14EBC">
          <w:rPr>
            <w:rStyle w:val="Hyperlink"/>
          </w:rPr>
          <w:t>Link</w:t>
        </w:r>
      </w:hyperlink>
    </w:p>
  </w:footnote>
  <w:footnote w:id="92">
    <w:p w14:paraId="2094AD35" w14:textId="37F0A7BA" w:rsidR="00684CB7" w:rsidRDefault="00684CB7" w:rsidP="00684CB7">
      <w:pPr>
        <w:pStyle w:val="FootnoteText"/>
      </w:pPr>
      <w:r>
        <w:rPr>
          <w:rStyle w:val="FootnoteReference"/>
        </w:rPr>
        <w:footnoteRef/>
      </w:r>
      <w:r>
        <w:t xml:space="preserve"> Kv.ee. Hinnastatistika. </w:t>
      </w:r>
      <w:hyperlink r:id="rId65" w:history="1">
        <w:r w:rsidR="00AD2FA6" w:rsidRPr="00AD2FA6">
          <w:rPr>
            <w:rStyle w:val="Hyperlink"/>
          </w:rPr>
          <w:t>Link</w:t>
        </w:r>
      </w:hyperlink>
    </w:p>
  </w:footnote>
  <w:footnote w:id="93">
    <w:p w14:paraId="02C57FFB" w14:textId="1CC06DC8" w:rsidR="00684CB7" w:rsidRDefault="00684CB7" w:rsidP="00684CB7">
      <w:pPr>
        <w:pStyle w:val="FootnoteText"/>
      </w:pPr>
      <w:r>
        <w:rPr>
          <w:rStyle w:val="FootnoteReference"/>
        </w:rPr>
        <w:footnoteRef/>
      </w:r>
      <w:r>
        <w:t xml:space="preserve"> Eurostat. 2025. HICP - monthly data (index). </w:t>
      </w:r>
      <w:hyperlink r:id="rId66" w:history="1">
        <w:r w:rsidR="000A3A6F" w:rsidRPr="000A3A6F">
          <w:rPr>
            <w:rStyle w:val="Hyperlink"/>
          </w:rPr>
          <w:t>Link</w:t>
        </w:r>
      </w:hyperlink>
    </w:p>
  </w:footnote>
  <w:footnote w:id="94">
    <w:p w14:paraId="6DCB7CB9" w14:textId="4D17B97B" w:rsidR="00684CB7" w:rsidRDefault="00684CB7" w:rsidP="00684CB7">
      <w:pPr>
        <w:pStyle w:val="FootnoteText"/>
      </w:pPr>
      <w:r>
        <w:rPr>
          <w:rStyle w:val="FootnoteReference"/>
        </w:rPr>
        <w:footnoteRef/>
      </w:r>
      <w:r>
        <w:t xml:space="preserve"> Statistikaamet, 2025. TT064: Registreeritud töötud piirkonna/haldusüksuse järgi (kuud). </w:t>
      </w:r>
      <w:hyperlink r:id="rId67" w:history="1">
        <w:r w:rsidR="000A3A6F" w:rsidRPr="000A3A6F">
          <w:rPr>
            <w:rStyle w:val="Hyperlink"/>
          </w:rPr>
          <w:t>Link</w:t>
        </w:r>
      </w:hyperlink>
    </w:p>
  </w:footnote>
  <w:footnote w:id="95">
    <w:p w14:paraId="327CBC6C" w14:textId="04FF797D" w:rsidR="00684CB7" w:rsidRDefault="00684CB7" w:rsidP="00684CB7">
      <w:pPr>
        <w:pStyle w:val="FootnoteText"/>
      </w:pPr>
      <w:r>
        <w:rPr>
          <w:rStyle w:val="FootnoteReference"/>
        </w:rPr>
        <w:footnoteRef/>
      </w:r>
      <w:r>
        <w:t xml:space="preserve"> Politsei- ja Piirivalveamet, 2025. </w:t>
      </w:r>
      <w:r w:rsidRPr="001179F1">
        <w:t>Politseitööga seotud avaandmed</w:t>
      </w:r>
      <w:r>
        <w:t xml:space="preserve">. </w:t>
      </w:r>
      <w:hyperlink r:id="rId68" w:history="1">
        <w:r w:rsidR="000A3A6F" w:rsidRPr="000A3A6F">
          <w:rPr>
            <w:rStyle w:val="Hyperlink"/>
          </w:rPr>
          <w:t>Link</w:t>
        </w:r>
      </w:hyperlink>
    </w:p>
  </w:footnote>
  <w:footnote w:id="96">
    <w:p w14:paraId="086D121F" w14:textId="2D48F532" w:rsidR="00BF10D1" w:rsidRDefault="00BF10D1" w:rsidP="00BF10D1">
      <w:pPr>
        <w:pStyle w:val="FootnoteText"/>
        <w:jc w:val="both"/>
      </w:pPr>
      <w:r>
        <w:rPr>
          <w:rStyle w:val="FootnoteReference"/>
        </w:rPr>
        <w:footnoteRef/>
      </w:r>
      <w:r>
        <w:t xml:space="preserve"> Näiteks AR(1) koefitsient väljendab seda, kuidas mudeli jääkliige perioodil t sõltub jääkliikme väärtusest perioodil t-1. Samas võivad need esineda ka sesoonsel kujul, näiteks SAR(1) näitab, kuidas jääkliikmed sõltuvad jääkliikmete väärtusest 12 kuud tagasi.</w:t>
      </w:r>
      <w:r w:rsidR="004049FD">
        <w:t xml:space="preserve"> Sesoonseid mudeleid tähistatakse </w:t>
      </w:r>
      <w:r w:rsidR="00E466B5">
        <w:t>(p,d,q)(</w:t>
      </w:r>
      <w:r w:rsidR="002C0323">
        <w:t>P,D,Q</w:t>
      </w:r>
      <w:r w:rsidR="00E466B5">
        <w:t>).</w:t>
      </w:r>
      <w:r>
        <w:t xml:space="preserve"> </w:t>
      </w:r>
      <w:r w:rsidR="004049FD">
        <w:t xml:space="preserve">Mudelite parimad spetsifikatsioonid </w:t>
      </w:r>
      <w:r>
        <w:t>otsustati jääkliikmete autokorrelatsioonifunktsioonide põhjal.</w:t>
      </w:r>
    </w:p>
  </w:footnote>
  <w:footnote w:id="97">
    <w:p w14:paraId="7F64211B" w14:textId="50FB6578" w:rsidR="0047727D" w:rsidRDefault="0047727D">
      <w:pPr>
        <w:pStyle w:val="FootnoteText"/>
      </w:pPr>
      <w:r>
        <w:rPr>
          <w:rStyle w:val="FootnoteReference"/>
        </w:rPr>
        <w:footnoteRef/>
      </w:r>
      <w:r>
        <w:t xml:space="preserve"> </w:t>
      </w:r>
      <w:r w:rsidR="00A20068">
        <w:t xml:space="preserve">City of Amsterdam. Apply for a permit. </w:t>
      </w:r>
      <w:hyperlink r:id="rId69" w:history="1">
        <w:r w:rsidR="00A20068" w:rsidRPr="00A20068">
          <w:rPr>
            <w:rStyle w:val="Hyperlink"/>
          </w:rPr>
          <w:t>Link</w:t>
        </w:r>
      </w:hyperlink>
    </w:p>
  </w:footnote>
  <w:footnote w:id="98">
    <w:p w14:paraId="24970E13" w14:textId="344D498E" w:rsidR="004B1536" w:rsidRDefault="004B1536">
      <w:pPr>
        <w:pStyle w:val="FootnoteText"/>
      </w:pPr>
      <w:r>
        <w:rPr>
          <w:rStyle w:val="FootnoteReference"/>
        </w:rPr>
        <w:footnoteRef/>
      </w:r>
      <w:r>
        <w:t xml:space="preserve"> </w:t>
      </w:r>
      <w:r w:rsidR="00990A68">
        <w:t xml:space="preserve">City of Edinburgh. </w:t>
      </w:r>
      <w:r w:rsidR="00990A68" w:rsidRPr="00990A68">
        <w:t>Short term let licence application fees</w:t>
      </w:r>
      <w:r w:rsidR="00990A68">
        <w:t xml:space="preserve">. </w:t>
      </w:r>
      <w:hyperlink r:id="rId70" w:history="1">
        <w:r w:rsidR="00990A68" w:rsidRPr="001E4826">
          <w:rPr>
            <w:rStyle w:val="Hyperlink"/>
          </w:rPr>
          <w:t>Link</w:t>
        </w:r>
      </w:hyperlink>
    </w:p>
  </w:footnote>
  <w:footnote w:id="99">
    <w:p w14:paraId="094D2B57" w14:textId="1F343FEC" w:rsidR="00B77AD7" w:rsidRPr="00784CF1" w:rsidRDefault="00B77AD7" w:rsidP="00B77AD7">
      <w:pPr>
        <w:pStyle w:val="FootnoteText"/>
      </w:pPr>
      <w:r w:rsidRPr="00784CF1">
        <w:rPr>
          <w:rStyle w:val="FootnoteReference"/>
        </w:rPr>
        <w:footnoteRef/>
      </w:r>
      <w:r w:rsidRPr="00784CF1">
        <w:t xml:space="preserve"> Bottino, F.</w:t>
      </w:r>
      <w:r w:rsidR="00B611C1">
        <w:t xml:space="preserve">, </w:t>
      </w:r>
      <w:r w:rsidRPr="00784CF1">
        <w:t>2024. An Analysis of Airbnb Performance in Amsterdam following the Introduction of the 30-Day Policy.</w:t>
      </w:r>
      <w:r w:rsidRPr="00784CF1">
        <w:rPr>
          <w:sz w:val="24"/>
          <w:szCs w:val="22"/>
        </w:rPr>
        <w:t xml:space="preserve"> </w:t>
      </w:r>
      <w:r w:rsidRPr="00784CF1">
        <w:t>Politecnico di Torino</w:t>
      </w:r>
    </w:p>
  </w:footnote>
  <w:footnote w:id="100">
    <w:p w14:paraId="70846BE3" w14:textId="3F42F85F" w:rsidR="00B77AD7" w:rsidRPr="00784CF1" w:rsidRDefault="00B77AD7" w:rsidP="00B77AD7">
      <w:pPr>
        <w:pStyle w:val="FootnoteText"/>
      </w:pPr>
      <w:r w:rsidRPr="00784CF1">
        <w:rPr>
          <w:rStyle w:val="FootnoteReference"/>
        </w:rPr>
        <w:footnoteRef/>
      </w:r>
      <w:r w:rsidRPr="00784CF1">
        <w:t xml:space="preserve"> Evans, A., Graham, E., Rae, A., Robertson, D., Serpa, R.</w:t>
      </w:r>
      <w:r w:rsidR="00B611C1">
        <w:t xml:space="preserve">, </w:t>
      </w:r>
      <w:r w:rsidRPr="00784CF1">
        <w:t>2019. </w:t>
      </w:r>
      <w:r w:rsidRPr="00784CF1">
        <w:rPr>
          <w:i/>
          <w:iCs/>
        </w:rPr>
        <w:t>Research into the impact of short-term lets on communities across Scotland</w:t>
      </w:r>
      <w:r w:rsidRPr="00784CF1">
        <w:t>. Scottish Government Social Research.</w:t>
      </w:r>
    </w:p>
  </w:footnote>
  <w:footnote w:id="101">
    <w:p w14:paraId="7840045B" w14:textId="77777777" w:rsidR="00DC3343" w:rsidRPr="00AE54AC" w:rsidRDefault="00DC3343" w:rsidP="00DC3343">
      <w:pPr>
        <w:pStyle w:val="FootnoteText"/>
        <w:rPr>
          <w:lang w:val="en-US"/>
        </w:rPr>
      </w:pPr>
      <w:r>
        <w:rPr>
          <w:rStyle w:val="FootnoteReference"/>
        </w:rPr>
        <w:footnoteRef/>
      </w:r>
      <w:r>
        <w:t xml:space="preserve"> </w:t>
      </w:r>
      <w:r>
        <w:rPr>
          <w:lang w:val="en-US"/>
        </w:rPr>
        <w:t xml:space="preserve">Potsdam. </w:t>
      </w:r>
      <w:r w:rsidRPr="0073384F">
        <w:rPr>
          <w:lang w:val="en-US"/>
        </w:rPr>
        <w:t>Zweckentfremdung</w:t>
      </w:r>
      <w:r>
        <w:rPr>
          <w:lang w:val="en-US"/>
        </w:rPr>
        <w:t xml:space="preserve"> (rikkumised). </w:t>
      </w:r>
      <w:hyperlink r:id="rId71" w:history="1">
        <w:r w:rsidRPr="0073384F">
          <w:rPr>
            <w:rStyle w:val="Hyperlink"/>
            <w:lang w:val="en-US"/>
          </w:rPr>
          <w:t>Link</w:t>
        </w:r>
      </w:hyperlink>
      <w:r>
        <w:rPr>
          <w:lang w:val="en-US"/>
        </w:rPr>
        <w:t>.</w:t>
      </w:r>
    </w:p>
  </w:footnote>
  <w:footnote w:id="102">
    <w:p w14:paraId="4AF40162" w14:textId="77777777" w:rsidR="00DC3343" w:rsidRPr="00DA5670" w:rsidRDefault="00DC3343" w:rsidP="00DC3343">
      <w:pPr>
        <w:pStyle w:val="FootnoteText"/>
        <w:rPr>
          <w:lang w:val="en-US"/>
        </w:rPr>
      </w:pPr>
      <w:r>
        <w:rPr>
          <w:rStyle w:val="FootnoteReference"/>
        </w:rPr>
        <w:footnoteRef/>
      </w:r>
      <w:r>
        <w:t xml:space="preserve"> Berliini senati linnaplaneerimise ja elamumajanduse osakonna esindajate tagasiside.</w:t>
      </w:r>
    </w:p>
  </w:footnote>
  <w:footnote w:id="103">
    <w:p w14:paraId="232BE804" w14:textId="606E94C3" w:rsidR="00B77AD7" w:rsidRDefault="00B77AD7" w:rsidP="00B77AD7">
      <w:pPr>
        <w:pStyle w:val="FootnoteText"/>
      </w:pPr>
      <w:r>
        <w:rPr>
          <w:rStyle w:val="FootnoteReference"/>
        </w:rPr>
        <w:footnoteRef/>
      </w:r>
      <w:r>
        <w:t xml:space="preserve"> City of Toronto</w:t>
      </w:r>
      <w:r w:rsidR="00B611C1">
        <w:t xml:space="preserve">, </w:t>
      </w:r>
      <w:r>
        <w:t>2024. Short-term rental market report.</w:t>
      </w:r>
    </w:p>
  </w:footnote>
  <w:footnote w:id="104">
    <w:p w14:paraId="6F156F6F" w14:textId="0D4DD688" w:rsidR="006911DA" w:rsidRPr="00784CF1" w:rsidRDefault="006911DA" w:rsidP="006911DA">
      <w:pPr>
        <w:pStyle w:val="FootnoteText"/>
      </w:pPr>
      <w:r w:rsidRPr="00784CF1">
        <w:rPr>
          <w:rStyle w:val="FootnoteReference"/>
        </w:rPr>
        <w:footnoteRef/>
      </w:r>
      <w:r w:rsidRPr="00784CF1">
        <w:t xml:space="preserve"> Airbnb 90-Day Rule. </w:t>
      </w:r>
      <w:hyperlink r:id="rId72" w:history="1">
        <w:r w:rsidR="00B611C1" w:rsidRPr="00B611C1">
          <w:rPr>
            <w:rStyle w:val="Hyperlink"/>
          </w:rPr>
          <w:t>Link</w:t>
        </w:r>
      </w:hyperlink>
    </w:p>
  </w:footnote>
  <w:footnote w:id="105">
    <w:p w14:paraId="2460F53B" w14:textId="7E2BE323" w:rsidR="006911DA" w:rsidRPr="00784CF1" w:rsidRDefault="006911DA" w:rsidP="006911DA">
      <w:pPr>
        <w:pStyle w:val="FootnoteText"/>
      </w:pPr>
      <w:r w:rsidRPr="00784CF1">
        <w:rPr>
          <w:rStyle w:val="FootnoteReference"/>
        </w:rPr>
        <w:footnoteRef/>
      </w:r>
      <w:r w:rsidRPr="00784CF1">
        <w:t xml:space="preserve"> </w:t>
      </w:r>
      <w:r w:rsidR="002904C7">
        <w:t xml:space="preserve">City of New York. </w:t>
      </w:r>
      <w:hyperlink r:id="rId73" w:history="1">
        <w:r w:rsidR="002904C7" w:rsidRPr="002904C7">
          <w:rPr>
            <w:rStyle w:val="Hyperlink"/>
          </w:rPr>
          <w:t>Link</w:t>
        </w:r>
      </w:hyperlink>
    </w:p>
  </w:footnote>
  <w:footnote w:id="106">
    <w:p w14:paraId="36AC8E4F" w14:textId="74B5BDB5" w:rsidR="006911DA" w:rsidRDefault="006911DA" w:rsidP="006911DA">
      <w:pPr>
        <w:pStyle w:val="FootnoteText"/>
      </w:pPr>
      <w:r>
        <w:rPr>
          <w:rStyle w:val="FootnoteReference"/>
        </w:rPr>
        <w:footnoteRef/>
      </w:r>
      <w:r>
        <w:t xml:space="preserve"> NYC. Office of Special Enforcement. About illegaal short-term rentals. </w:t>
      </w:r>
      <w:hyperlink r:id="rId74" w:history="1">
        <w:r w:rsidRPr="009548F1">
          <w:rPr>
            <w:rStyle w:val="Hyperlink"/>
          </w:rPr>
          <w:t>Link</w:t>
        </w:r>
      </w:hyperlink>
    </w:p>
  </w:footnote>
  <w:footnote w:id="107">
    <w:p w14:paraId="14DC372E" w14:textId="4DD4401D" w:rsidR="006911DA" w:rsidRDefault="006911DA" w:rsidP="006911DA">
      <w:pPr>
        <w:pStyle w:val="FootnoteText"/>
      </w:pPr>
      <w:r>
        <w:rPr>
          <w:rStyle w:val="FootnoteReference"/>
        </w:rPr>
        <w:footnoteRef/>
      </w:r>
      <w:r>
        <w:t xml:space="preserve"> Euro News</w:t>
      </w:r>
      <w:r w:rsidR="00B611C1">
        <w:t xml:space="preserve">, </w:t>
      </w:r>
      <w:r>
        <w:t xml:space="preserve">2024. Italiy bans key boxes on holiday rental accommodation. What does it mean for travellers? </w:t>
      </w:r>
      <w:hyperlink r:id="rId75" w:history="1">
        <w:r w:rsidRPr="00F14350">
          <w:rPr>
            <w:rStyle w:val="Hyperlink"/>
          </w:rPr>
          <w:t>Link</w:t>
        </w:r>
      </w:hyperlink>
    </w:p>
  </w:footnote>
  <w:footnote w:id="108">
    <w:p w14:paraId="6670A15D" w14:textId="4F3936BC" w:rsidR="00B77AD7" w:rsidRDefault="00B77AD7" w:rsidP="00B77AD7">
      <w:pPr>
        <w:pStyle w:val="FootnoteText"/>
      </w:pPr>
      <w:r>
        <w:rPr>
          <w:rStyle w:val="FootnoteReference"/>
        </w:rPr>
        <w:footnoteRef/>
      </w:r>
      <w:r>
        <w:t xml:space="preserve"> Airbtics</w:t>
      </w:r>
      <w:r w:rsidR="00381AF1">
        <w:t xml:space="preserve">, </w:t>
      </w:r>
      <w:r>
        <w:t xml:space="preserve">2024. Amsterdam, Netherlands Airbnb Rules &amp; Regulations. </w:t>
      </w:r>
      <w:hyperlink r:id="rId76" w:history="1">
        <w:r w:rsidRPr="00795BC8">
          <w:rPr>
            <w:rStyle w:val="Hyperlink"/>
          </w:rPr>
          <w:t>Link</w:t>
        </w:r>
      </w:hyperlink>
    </w:p>
  </w:footnote>
  <w:footnote w:id="109">
    <w:p w14:paraId="18286562" w14:textId="60F5B91D" w:rsidR="00646CDC" w:rsidRPr="0064540C" w:rsidRDefault="00646CDC" w:rsidP="00646CDC">
      <w:pPr>
        <w:pStyle w:val="FootnoteText"/>
        <w:rPr>
          <w:lang w:val="en-US"/>
        </w:rPr>
      </w:pPr>
      <w:r>
        <w:rPr>
          <w:rStyle w:val="FootnoteReference"/>
        </w:rPr>
        <w:footnoteRef/>
      </w:r>
      <w:r>
        <w:t xml:space="preserve"> Viimane uuring: </w:t>
      </w:r>
      <w:r w:rsidRPr="0064540C">
        <w:t>Toerisme MRA 2024-2025</w:t>
      </w:r>
      <w:r>
        <w:t xml:space="preserve">. </w:t>
      </w:r>
      <w:hyperlink r:id="rId77" w:history="1">
        <w:r>
          <w:rPr>
            <w:rStyle w:val="Hyperlink"/>
          </w:rPr>
          <w:t>L</w:t>
        </w:r>
        <w:r w:rsidRPr="00A17277">
          <w:rPr>
            <w:rStyle w:val="Hyperlink"/>
          </w:rPr>
          <w:t>ink</w:t>
        </w:r>
      </w:hyperlink>
    </w:p>
  </w:footnote>
  <w:footnote w:id="110">
    <w:p w14:paraId="60C62130" w14:textId="4DCB802D" w:rsidR="00646CDC" w:rsidRPr="000369EB" w:rsidRDefault="00646CDC" w:rsidP="00646CDC">
      <w:pPr>
        <w:pStyle w:val="FootnoteText"/>
        <w:rPr>
          <w:lang w:val="en-US"/>
        </w:rPr>
      </w:pPr>
      <w:r>
        <w:rPr>
          <w:rStyle w:val="FootnoteReference"/>
        </w:rPr>
        <w:footnoteRef/>
      </w:r>
      <w:r>
        <w:t xml:space="preserve"> </w:t>
      </w:r>
      <w:r>
        <w:rPr>
          <w:lang w:val="en-US"/>
        </w:rPr>
        <w:t xml:space="preserve">Viimane selle teemaline andmekogumine: </w:t>
      </w:r>
      <w:r w:rsidRPr="008F65A7">
        <w:rPr>
          <w:lang w:val="en-US"/>
        </w:rPr>
        <w:t>Toeristische draagkracht van wijken in Amsterdam in 2023</w:t>
      </w:r>
      <w:r>
        <w:rPr>
          <w:lang w:val="en-US"/>
        </w:rPr>
        <w:t xml:space="preserve">. </w:t>
      </w:r>
      <w:hyperlink r:id="rId78" w:history="1">
        <w:r>
          <w:rPr>
            <w:rStyle w:val="Hyperlink"/>
            <w:lang w:val="en-US"/>
          </w:rPr>
          <w:t>L</w:t>
        </w:r>
        <w:r w:rsidRPr="008F65A7">
          <w:rPr>
            <w:rStyle w:val="Hyperlink"/>
            <w:lang w:val="en-US"/>
          </w:rPr>
          <w:t>ink</w:t>
        </w:r>
      </w:hyperlink>
    </w:p>
  </w:footnote>
  <w:footnote w:id="111">
    <w:p w14:paraId="2BF41E4F" w14:textId="77777777" w:rsidR="00646CDC" w:rsidRPr="00E812AA" w:rsidRDefault="00646CDC" w:rsidP="00646CDC">
      <w:pPr>
        <w:pStyle w:val="FootnoteText"/>
        <w:rPr>
          <w:lang w:val="en-US"/>
        </w:rPr>
      </w:pPr>
      <w:r>
        <w:rPr>
          <w:rStyle w:val="FootnoteReference"/>
        </w:rPr>
        <w:footnoteRef/>
      </w:r>
      <w:r>
        <w:t xml:space="preserve"> </w:t>
      </w:r>
      <w:r>
        <w:rPr>
          <w:lang w:val="en-US"/>
        </w:rPr>
        <w:t xml:space="preserve">Soome Majandus- ja Tööhõiveministeerium. Tõlge: Majutus ja toitlustusteenuse osutamise määrus 308/2006 koos 1126/2018 muudatustega. </w:t>
      </w:r>
      <w:hyperlink r:id="rId79" w:history="1">
        <w:r w:rsidRPr="00124D65">
          <w:rPr>
            <w:rStyle w:val="Hyperlink"/>
            <w:lang w:val="en-US"/>
          </w:rPr>
          <w:t>Link</w:t>
        </w:r>
      </w:hyperlink>
      <w:r>
        <w:rPr>
          <w:lang w:val="en-US"/>
        </w:rPr>
        <w:t>.</w:t>
      </w:r>
    </w:p>
  </w:footnote>
  <w:footnote w:id="112">
    <w:p w14:paraId="4F3B7771" w14:textId="3BB4F397" w:rsidR="00646CDC" w:rsidRPr="00784CF1" w:rsidRDefault="00646CDC" w:rsidP="00646CDC">
      <w:pPr>
        <w:pStyle w:val="FootnoteText"/>
      </w:pPr>
      <w:r w:rsidRPr="00784CF1">
        <w:rPr>
          <w:rStyle w:val="FootnoteReference"/>
        </w:rPr>
        <w:footnoteRef/>
      </w:r>
      <w:r w:rsidRPr="00784CF1">
        <w:t xml:space="preserve"> Bottino, F.</w:t>
      </w:r>
      <w:r w:rsidR="00B46F93">
        <w:t xml:space="preserve">, </w:t>
      </w:r>
      <w:r w:rsidRPr="00784CF1">
        <w:t>2024. An Analysis of Airbnb Performance in Amsterdam following the Introduction of the 30-Day Policy.</w:t>
      </w:r>
      <w:r w:rsidRPr="00784CF1">
        <w:rPr>
          <w:sz w:val="24"/>
          <w:szCs w:val="22"/>
        </w:rPr>
        <w:t xml:space="preserve"> </w:t>
      </w:r>
      <w:r w:rsidRPr="00784CF1">
        <w:t>Politecnico di Torino</w:t>
      </w:r>
      <w:r w:rsidR="00B46F93">
        <w:t>.</w:t>
      </w:r>
    </w:p>
  </w:footnote>
  <w:footnote w:id="113">
    <w:p w14:paraId="3762137A" w14:textId="616293BF" w:rsidR="00646CDC" w:rsidRPr="00784CF1" w:rsidRDefault="00646CDC" w:rsidP="00646CDC">
      <w:pPr>
        <w:pStyle w:val="FootnoteText"/>
      </w:pPr>
      <w:r w:rsidRPr="00784CF1">
        <w:rPr>
          <w:rStyle w:val="FootnoteReference"/>
        </w:rPr>
        <w:footnoteRef/>
      </w:r>
      <w:r w:rsidRPr="00784CF1">
        <w:t xml:space="preserve"> Evans, A., Graham, E., Rae, A., Robertson, D., Serpa, R.</w:t>
      </w:r>
      <w:r w:rsidR="00B46F93">
        <w:t xml:space="preserve">, </w:t>
      </w:r>
      <w:r w:rsidRPr="00784CF1">
        <w:t>2019. </w:t>
      </w:r>
      <w:r w:rsidRPr="00B54A22">
        <w:t>Research into the impact of short-term lets on communities across Scotland</w:t>
      </w:r>
      <w:r w:rsidRPr="00B46F93">
        <w:t>. Scottish G</w:t>
      </w:r>
      <w:r w:rsidRPr="00784CF1">
        <w:t>overnment Social Research.</w:t>
      </w:r>
    </w:p>
  </w:footnote>
  <w:footnote w:id="114">
    <w:p w14:paraId="4891F89A" w14:textId="0AACFDE3" w:rsidR="00646CDC" w:rsidRDefault="00646CDC" w:rsidP="00646CDC">
      <w:pPr>
        <w:pStyle w:val="FootnoteText"/>
      </w:pPr>
      <w:r>
        <w:rPr>
          <w:rStyle w:val="FootnoteReference"/>
        </w:rPr>
        <w:footnoteRef/>
      </w:r>
      <w:r>
        <w:t xml:space="preserve"> Obligatory registration rental properties Spain</w:t>
      </w:r>
      <w:r w:rsidR="00B46F93">
        <w:t xml:space="preserve">, </w:t>
      </w:r>
      <w:r>
        <w:t xml:space="preserve">2024. </w:t>
      </w:r>
      <w:hyperlink r:id="rId80" w:history="1">
        <w:r w:rsidRPr="00D07F33">
          <w:rPr>
            <w:rStyle w:val="Hyperlink"/>
          </w:rPr>
          <w:t>Link</w:t>
        </w:r>
      </w:hyperlink>
      <w:r>
        <w:t>.</w:t>
      </w:r>
    </w:p>
  </w:footnote>
  <w:footnote w:id="115">
    <w:p w14:paraId="22FAF826" w14:textId="77777777" w:rsidR="00646CDC" w:rsidRDefault="00646CDC" w:rsidP="00646CDC">
      <w:pPr>
        <w:pStyle w:val="FootnoteText"/>
      </w:pPr>
      <w:r>
        <w:rPr>
          <w:rStyle w:val="FootnoteReference"/>
        </w:rPr>
        <w:footnoteRef/>
      </w:r>
      <w:r>
        <w:t xml:space="preserve"> City of Vancouver. Short term rental business licence. </w:t>
      </w:r>
      <w:hyperlink r:id="rId81" w:history="1">
        <w:r w:rsidRPr="00D07F33">
          <w:rPr>
            <w:rStyle w:val="Hyperlink"/>
          </w:rPr>
          <w:t>Link.</w:t>
        </w:r>
      </w:hyperlink>
      <w:r>
        <w:t xml:space="preserve"> </w:t>
      </w:r>
    </w:p>
  </w:footnote>
  <w:footnote w:id="116">
    <w:p w14:paraId="73BDD19F" w14:textId="1927257C" w:rsidR="00546174" w:rsidRPr="00784CF1" w:rsidRDefault="00546174" w:rsidP="00B54A22">
      <w:pPr>
        <w:pStyle w:val="FootnoteText"/>
        <w:jc w:val="both"/>
      </w:pPr>
      <w:r w:rsidRPr="00784CF1">
        <w:rPr>
          <w:rStyle w:val="FootnoteReference"/>
        </w:rPr>
        <w:footnoteRef/>
      </w:r>
      <w:r w:rsidR="00592313">
        <w:t xml:space="preserve"> </w:t>
      </w:r>
      <w:r w:rsidR="005178DE">
        <w:t>Eurobarometer</w:t>
      </w:r>
      <w:r w:rsidR="005F6166">
        <w:t>.</w:t>
      </w:r>
      <w:r w:rsidR="005178DE">
        <w:t xml:space="preserve"> </w:t>
      </w:r>
      <w:r w:rsidR="005178DE" w:rsidRPr="00495C97">
        <w:t>Flash Eurobarometer 495</w:t>
      </w:r>
      <w:r w:rsidR="005178DE">
        <w:t>.</w:t>
      </w:r>
      <w:r w:rsidR="00526D28">
        <w:t xml:space="preserve"> </w:t>
      </w:r>
      <w:r w:rsidR="005F6166">
        <w:t xml:space="preserve">2021, </w:t>
      </w:r>
      <w:r w:rsidR="00526D28">
        <w:t>lk 5</w:t>
      </w:r>
      <w:r w:rsidR="00DC0BF1">
        <w:t xml:space="preserve">. </w:t>
      </w:r>
      <w:hyperlink r:id="rId82" w:history="1">
        <w:r w:rsidR="00DC0BF1" w:rsidRPr="00DC0BF1">
          <w:rPr>
            <w:rStyle w:val="Hyperlink"/>
          </w:rPr>
          <w:t>Link</w:t>
        </w:r>
      </w:hyperlink>
    </w:p>
  </w:footnote>
  <w:footnote w:id="117">
    <w:p w14:paraId="3ABAA3FB" w14:textId="47D5F67E" w:rsidR="00694A9F" w:rsidRPr="00784CF1" w:rsidRDefault="00694A9F" w:rsidP="00B54A22">
      <w:pPr>
        <w:pStyle w:val="FootnoteText"/>
        <w:jc w:val="both"/>
      </w:pPr>
      <w:r w:rsidRPr="00784CF1">
        <w:rPr>
          <w:rStyle w:val="FootnoteReference"/>
        </w:rPr>
        <w:footnoteRef/>
      </w:r>
      <w:r w:rsidRPr="00784CF1">
        <w:t xml:space="preserve"> Paadam, K., Ojamäe, L.</w:t>
      </w:r>
      <w:r w:rsidR="00485799">
        <w:t xml:space="preserve">, </w:t>
      </w:r>
      <w:r w:rsidRPr="00784CF1">
        <w:t>2021. Vanalinna elanike ja kinnisvaraomanike ootuste kaardistus: pärand, elukeskkond, turism. Tallinn: Tallinna Tehnikaülikool.</w:t>
      </w:r>
    </w:p>
  </w:footnote>
  <w:footnote w:id="118">
    <w:p w14:paraId="3919D1DE" w14:textId="05B34A0C" w:rsidR="002A645C" w:rsidRPr="00784CF1" w:rsidRDefault="002A645C" w:rsidP="00B54A22">
      <w:pPr>
        <w:pStyle w:val="FootnoteText"/>
        <w:jc w:val="both"/>
      </w:pPr>
      <w:r w:rsidRPr="00784CF1">
        <w:rPr>
          <w:rStyle w:val="FootnoteReference"/>
        </w:rPr>
        <w:footnoteRef/>
      </w:r>
      <w:r w:rsidRPr="00784CF1">
        <w:t xml:space="preserve"> Talk, T., Kalvo, R., Paadam, K., Ojamaa, L.</w:t>
      </w:r>
      <w:r w:rsidR="00485799">
        <w:t>,</w:t>
      </w:r>
      <w:r w:rsidRPr="00784CF1">
        <w:t xml:space="preserve"> 2023. Vanalinn: pärand, elukeskkond, turism. Uuringu „Tallinna vanalinna jätkusuutlik areng ja eksponeerimine“ lõpparuanne. Eesti Kunstiakadeemia.</w:t>
      </w:r>
    </w:p>
  </w:footnote>
  <w:footnote w:id="119">
    <w:p w14:paraId="2B807B4A" w14:textId="19A37C78" w:rsidR="007F08FB" w:rsidRPr="00784CF1" w:rsidRDefault="007F08FB">
      <w:pPr>
        <w:pStyle w:val="FootnoteText"/>
      </w:pPr>
      <w:r w:rsidRPr="00784CF1">
        <w:rPr>
          <w:rStyle w:val="FootnoteReference"/>
        </w:rPr>
        <w:footnoteRef/>
      </w:r>
      <w:r w:rsidRPr="00784CF1">
        <w:t xml:space="preserve"> Talk, T., Ojamäe, L., Paadam, K., Alatalu, R.</w:t>
      </w:r>
      <w:r w:rsidR="009D0D5F">
        <w:t xml:space="preserve">, </w:t>
      </w:r>
      <w:r w:rsidRPr="00784CF1">
        <w:t xml:space="preserve">2023. The “Venice syndrome” in Tallinn Old Town. </w:t>
      </w:r>
      <w:r w:rsidRPr="00B54A22">
        <w:t>Journal of Cultural Heritage Management and Sustainable Development</w:t>
      </w:r>
      <w:r w:rsidRPr="00485799">
        <w:t>.</w:t>
      </w:r>
      <w:r w:rsidRPr="00784CF1">
        <w:t xml:space="preserve"> </w:t>
      </w:r>
      <w:hyperlink r:id="rId83" w:history="1">
        <w:r w:rsidR="00485799" w:rsidRPr="00485799">
          <w:rPr>
            <w:rStyle w:val="Hyperlink"/>
          </w:rPr>
          <w:t>Link</w:t>
        </w:r>
      </w:hyperlink>
    </w:p>
  </w:footnote>
  <w:footnote w:id="120">
    <w:p w14:paraId="4CB854B9" w14:textId="5D5EF8F5" w:rsidR="00E66BBF" w:rsidRDefault="00E66BBF" w:rsidP="00E66BBF">
      <w:pPr>
        <w:pStyle w:val="FootnoteText"/>
      </w:pPr>
      <w:r>
        <w:rPr>
          <w:rStyle w:val="FootnoteReference"/>
        </w:rPr>
        <w:footnoteRef/>
      </w:r>
      <w:r>
        <w:t xml:space="preserve"> Colliers Baltics</w:t>
      </w:r>
      <w:r w:rsidR="00D47C15">
        <w:t xml:space="preserve">, </w:t>
      </w:r>
      <w:r>
        <w:t xml:space="preserve">2023. Tallinn short-term rental residential market overview. </w:t>
      </w:r>
    </w:p>
  </w:footnote>
  <w:footnote w:id="121">
    <w:p w14:paraId="0C9E1F75" w14:textId="32B1D56D" w:rsidR="00FE3ECB" w:rsidRPr="002A0AD7" w:rsidRDefault="00FE3ECB" w:rsidP="00FE3ECB">
      <w:pPr>
        <w:pStyle w:val="FootnoteText"/>
      </w:pPr>
      <w:r>
        <w:rPr>
          <w:rStyle w:val="FootnoteReference"/>
        </w:rPr>
        <w:footnoteRef/>
      </w:r>
      <w:r>
        <w:t xml:space="preserve"> </w:t>
      </w:r>
      <w:r>
        <w:rPr>
          <w:lang w:val="en-US"/>
        </w:rPr>
        <w:t>Näiteks Portugalis on kodumajutustes t</w:t>
      </w:r>
      <w:r w:rsidRPr="00FE3ECB">
        <w:t xml:space="preserve">urismimaksu kogumine automatiseeritud Airbnb kaudu. Turist </w:t>
      </w:r>
      <w:r w:rsidR="002A0AD7">
        <w:t xml:space="preserve">tasub turismimaksu majutuse </w:t>
      </w:r>
      <w:r w:rsidRPr="00FE3ECB">
        <w:t>broneerimisel, platvorm kannab maksu edasi omavalitsusele ning maju</w:t>
      </w:r>
      <w:r w:rsidR="002A0AD7">
        <w:t xml:space="preserve">tusteenuse pakkuja </w:t>
      </w:r>
      <w:r w:rsidRPr="00FE3ECB">
        <w:t>ei pea täiendavaid toiminguid tegema</w:t>
      </w:r>
      <w:r w:rsidR="002A0AD7">
        <w:t xml:space="preserve">. </w:t>
      </w:r>
      <w:r w:rsidR="0060033A">
        <w:t xml:space="preserve">Allikas: Lissaboni linna veebileht </w:t>
      </w:r>
      <w:r w:rsidR="002513BE">
        <w:t>(</w:t>
      </w:r>
      <w:hyperlink r:id="rId84" w:history="1">
        <w:r w:rsidR="002513BE" w:rsidRPr="002513BE">
          <w:rPr>
            <w:rStyle w:val="Hyperlink"/>
          </w:rPr>
          <w:t>Link)</w:t>
        </w:r>
      </w:hyperlink>
      <w:r w:rsidR="002513BE">
        <w:t xml:space="preserve">, </w:t>
      </w:r>
      <w:r w:rsidR="0024711A">
        <w:t>Porto linna veebileht (</w:t>
      </w:r>
      <w:hyperlink r:id="rId85" w:history="1">
        <w:r w:rsidR="0024711A" w:rsidRPr="0024711A">
          <w:rPr>
            <w:rStyle w:val="Hyperlink"/>
          </w:rPr>
          <w:t>Link</w:t>
        </w:r>
      </w:hyperlink>
      <w:r w:rsidR="0024711A">
        <w:t>), Airbnb veebileht (</w:t>
      </w:r>
      <w:hyperlink r:id="rId86" w:history="1">
        <w:r w:rsidR="0024711A" w:rsidRPr="0024711A">
          <w:rPr>
            <w:rStyle w:val="Hyperlink"/>
          </w:rPr>
          <w:t>Link</w:t>
        </w:r>
      </w:hyperlink>
      <w:r w:rsidR="0024711A">
        <w:t>).</w:t>
      </w:r>
    </w:p>
  </w:footnote>
  <w:footnote w:id="122">
    <w:p w14:paraId="1D83E802" w14:textId="3A2DE839" w:rsidR="00793396" w:rsidRDefault="00793396" w:rsidP="00514229">
      <w:pPr>
        <w:pStyle w:val="FootnoteText"/>
        <w:jc w:val="both"/>
      </w:pPr>
      <w:r>
        <w:rPr>
          <w:rStyle w:val="FootnoteReference"/>
        </w:rPr>
        <w:footnoteRef/>
      </w:r>
      <w:r>
        <w:t xml:space="preserve"> </w:t>
      </w:r>
      <w:r w:rsidR="007B5024">
        <w:t xml:space="preserve">Statistikaamet, 2025. </w:t>
      </w:r>
      <w:r w:rsidR="007B5024" w:rsidRPr="007B5024">
        <w:t>TU131:</w:t>
      </w:r>
      <w:r w:rsidR="007B5024">
        <w:t xml:space="preserve"> Maju</w:t>
      </w:r>
      <w:r w:rsidR="00F67CF0">
        <w:t>tatud ja majutatute ööbimised maakonna ja elukohariigi järgi (kuud).</w:t>
      </w:r>
      <w:r w:rsidR="00E378B0">
        <w:t xml:space="preserve"> </w:t>
      </w:r>
      <w:hyperlink r:id="rId87" w:history="1">
        <w:r w:rsidR="00E378B0" w:rsidRPr="00E378B0">
          <w:rPr>
            <w:rStyle w:val="Hyperlink"/>
          </w:rPr>
          <w:t>Li</w:t>
        </w:r>
        <w:bookmarkStart w:id="129" w:name="_Hlt204588797"/>
        <w:r w:rsidR="00E378B0" w:rsidRPr="00E378B0">
          <w:rPr>
            <w:rStyle w:val="Hyperlink"/>
          </w:rPr>
          <w:t>n</w:t>
        </w:r>
        <w:bookmarkEnd w:id="129"/>
        <w:r w:rsidR="00E378B0" w:rsidRPr="00E378B0">
          <w:rPr>
            <w:rStyle w:val="Hyperlink"/>
          </w:rPr>
          <w:t>k</w:t>
        </w:r>
      </w:hyperlink>
      <w:r w:rsidR="009058F2">
        <w:t xml:space="preserve"> </w:t>
      </w:r>
    </w:p>
  </w:footnote>
  <w:footnote w:id="123">
    <w:p w14:paraId="16805E9A" w14:textId="46E581EC" w:rsidR="009058F2" w:rsidRDefault="009058F2" w:rsidP="00514229">
      <w:pPr>
        <w:pStyle w:val="FootnoteText"/>
        <w:jc w:val="both"/>
      </w:pPr>
      <w:r>
        <w:rPr>
          <w:rStyle w:val="FootnoteReference"/>
        </w:rPr>
        <w:footnoteRef/>
      </w:r>
      <w:r>
        <w:t xml:space="preserve"> Statistikaamet, 2025. </w:t>
      </w:r>
      <w:r w:rsidR="004D4A4A" w:rsidRPr="004D4A4A">
        <w:t>TU122:</w:t>
      </w:r>
      <w:r w:rsidR="004D4A4A">
        <w:t xml:space="preserve"> Majutaine maakonna järgi (kuud).</w:t>
      </w:r>
      <w:r w:rsidR="00E378B0">
        <w:t xml:space="preserve"> </w:t>
      </w:r>
      <w:hyperlink r:id="rId88" w:history="1">
        <w:r w:rsidR="00E378B0" w:rsidRPr="00E378B0">
          <w:rPr>
            <w:rStyle w:val="Hyperlink"/>
          </w:rPr>
          <w:t>Link</w:t>
        </w:r>
      </w:hyperlink>
    </w:p>
  </w:footnote>
  <w:footnote w:id="124">
    <w:p w14:paraId="07E2E621" w14:textId="251AB6E9" w:rsidR="00C11B3D" w:rsidRDefault="00C11B3D" w:rsidP="00514229">
      <w:pPr>
        <w:pStyle w:val="FootnoteText"/>
        <w:jc w:val="both"/>
      </w:pPr>
      <w:r>
        <w:rPr>
          <w:rStyle w:val="FootnoteReference"/>
        </w:rPr>
        <w:footnoteRef/>
      </w:r>
      <w:r>
        <w:t xml:space="preserve"> Eurostat, 2025. </w:t>
      </w:r>
      <w:r w:rsidR="00821349" w:rsidRPr="00821349">
        <w:t>Short-stay accommodation offered via collaborative economy platforms by months and residence of the guest - experimental statistics</w:t>
      </w:r>
      <w:r w:rsidR="00821349">
        <w:t xml:space="preserve">. </w:t>
      </w:r>
      <w:hyperlink r:id="rId89" w:history="1">
        <w:r w:rsidR="009B47EE" w:rsidRPr="00A10412">
          <w:rPr>
            <w:rStyle w:val="Hyperlink"/>
          </w:rPr>
          <w:t>Link</w:t>
        </w:r>
      </w:hyperlink>
    </w:p>
  </w:footnote>
  <w:footnote w:id="125">
    <w:p w14:paraId="53164710" w14:textId="557E4A2D" w:rsidR="002A284E" w:rsidRDefault="002A284E" w:rsidP="00514229">
      <w:pPr>
        <w:pStyle w:val="FootnoteText"/>
        <w:jc w:val="both"/>
      </w:pPr>
      <w:r>
        <w:rPr>
          <w:rStyle w:val="FootnoteReference"/>
        </w:rPr>
        <w:footnoteRef/>
      </w:r>
      <w:r>
        <w:t xml:space="preserve"> </w:t>
      </w:r>
      <w:r w:rsidRPr="002A284E">
        <w:t xml:space="preserve">Tulemuste tõlgendamisel tuleb arvestada, et muutujad on enne </w:t>
      </w:r>
      <w:r>
        <w:t xml:space="preserve">mudelite </w:t>
      </w:r>
      <w:r w:rsidRPr="002A284E">
        <w:t>hindamist log</w:t>
      </w:r>
      <w:r>
        <w:t>aritmi</w:t>
      </w:r>
      <w:r w:rsidRPr="002A284E">
        <w:t>tud, seega väljendavad regressioonikoefitsiendid sisuliselt elastsuseid</w:t>
      </w:r>
      <w:r>
        <w:t xml:space="preserve"> ehk näitavad, mitu protsenti muutub sõltuv muutuja, kui sõltumatu muutuja suureneb 1% võrra.</w:t>
      </w:r>
    </w:p>
  </w:footnote>
  <w:footnote w:id="126">
    <w:p w14:paraId="41C0C4F5" w14:textId="59627C0A" w:rsidR="00751998" w:rsidRDefault="00751998" w:rsidP="00751998">
      <w:pPr>
        <w:pStyle w:val="FootnoteText"/>
      </w:pPr>
      <w:r>
        <w:rPr>
          <w:rStyle w:val="FootnoteReference"/>
        </w:rPr>
        <w:footnoteRef/>
      </w:r>
      <w:r>
        <w:t xml:space="preserve"> Eurostat, 2025.</w:t>
      </w:r>
      <w:r w:rsidRPr="00654D43">
        <w:t xml:space="preserve"> Short-stay accommodation offered via online collaborative economy platforms</w:t>
      </w:r>
      <w:r>
        <w:t>.</w:t>
      </w:r>
      <w:r w:rsidRPr="007E722E">
        <w:t xml:space="preserve"> </w:t>
      </w:r>
      <w:hyperlink r:id="rId90" w:history="1">
        <w:r w:rsidR="001229FB" w:rsidRPr="001229FB">
          <w:rPr>
            <w:rStyle w:val="Hyperlink"/>
          </w:rPr>
          <w:t>Link</w:t>
        </w:r>
      </w:hyperlink>
    </w:p>
  </w:footnote>
  <w:footnote w:id="127">
    <w:p w14:paraId="6B5E3327" w14:textId="76629BB3" w:rsidR="001229FB" w:rsidRDefault="001229FB" w:rsidP="001229FB">
      <w:pPr>
        <w:pStyle w:val="FootnoteText"/>
      </w:pPr>
      <w:r>
        <w:rPr>
          <w:rStyle w:val="FootnoteReference"/>
        </w:rPr>
        <w:footnoteRef/>
      </w:r>
      <w:r>
        <w:t xml:space="preserve"> Statistikaamet, 2025. </w:t>
      </w:r>
      <w:r w:rsidR="00D337ED">
        <w:t xml:space="preserve">TU112: </w:t>
      </w:r>
      <w:r>
        <w:t>Majutatud ja majutatute ööbimised</w:t>
      </w:r>
      <w:r w:rsidR="00D337ED">
        <w:t xml:space="preserve"> maakonna ja elukohariigi järgi</w:t>
      </w:r>
      <w:r>
        <w:t xml:space="preserve">. </w:t>
      </w:r>
      <w:hyperlink r:id="rId91" w:history="1">
        <w:r w:rsidR="000A3749" w:rsidRPr="000A3749">
          <w:rPr>
            <w:rStyle w:val="Hyperlink"/>
          </w:rPr>
          <w:t>Li</w:t>
        </w:r>
        <w:bookmarkStart w:id="133" w:name="_Hlt204605633"/>
        <w:bookmarkStart w:id="134" w:name="_Hlt204605634"/>
        <w:r w:rsidR="000A3749" w:rsidRPr="000A3749">
          <w:rPr>
            <w:rStyle w:val="Hyperlink"/>
          </w:rPr>
          <w:t>n</w:t>
        </w:r>
        <w:bookmarkEnd w:id="133"/>
        <w:bookmarkEnd w:id="134"/>
        <w:r w:rsidR="000A3749" w:rsidRPr="000A3749">
          <w:rPr>
            <w:rStyle w:val="Hyperlink"/>
          </w:rPr>
          <w:t>k</w:t>
        </w:r>
      </w:hyperlink>
    </w:p>
  </w:footnote>
  <w:footnote w:id="128">
    <w:p w14:paraId="059F1881" w14:textId="799B6CE1" w:rsidR="00751998" w:rsidRDefault="00751998" w:rsidP="00751998">
      <w:pPr>
        <w:pStyle w:val="FootnoteText"/>
        <w:jc w:val="both"/>
      </w:pPr>
      <w:r>
        <w:rPr>
          <w:rStyle w:val="FootnoteReference"/>
        </w:rPr>
        <w:footnoteRef/>
      </w:r>
      <w:r>
        <w:t xml:space="preserve"> Farronato, C., Fradkin, A., 2018. The welfare effects of peer entry in the acommodation market: The case of Airbnb. NBER Working Paper 24361.</w:t>
      </w:r>
      <w:r w:rsidR="000A3749">
        <w:t xml:space="preserve"> </w:t>
      </w:r>
      <w:hyperlink r:id="rId92" w:history="1">
        <w:r w:rsidR="000A3749" w:rsidRPr="000A3749">
          <w:rPr>
            <w:rStyle w:val="Hyperlink"/>
          </w:rPr>
          <w:t>Link</w:t>
        </w:r>
      </w:hyperlink>
    </w:p>
  </w:footnote>
  <w:footnote w:id="129">
    <w:p w14:paraId="437BCCA1" w14:textId="1F81AFD0" w:rsidR="00751998" w:rsidRDefault="00751998" w:rsidP="00751998">
      <w:pPr>
        <w:pStyle w:val="FootnoteText"/>
        <w:jc w:val="both"/>
      </w:pPr>
      <w:r>
        <w:rPr>
          <w:rStyle w:val="FootnoteReference"/>
        </w:rPr>
        <w:footnoteRef/>
      </w:r>
      <w:r>
        <w:t xml:space="preserve"> Falk, M.T., Yang, Y., Hotels benefit from stricter regulations on short-term rentals in European cities. Tourism Economics, 27(7), 1-14.</w:t>
      </w:r>
      <w:r w:rsidRPr="00474A49">
        <w:t xml:space="preserve"> </w:t>
      </w:r>
      <w:hyperlink r:id="rId93" w:history="1">
        <w:r w:rsidR="00143826" w:rsidRPr="00143826">
          <w:rPr>
            <w:rStyle w:val="Hyperlink"/>
          </w:rPr>
          <w:t>Link</w:t>
        </w:r>
      </w:hyperlink>
    </w:p>
  </w:footnote>
  <w:footnote w:id="130">
    <w:p w14:paraId="7F660610" w14:textId="3C5F6AAD" w:rsidR="00751998" w:rsidRDefault="00751998" w:rsidP="00751998">
      <w:pPr>
        <w:pStyle w:val="FootnoteText"/>
        <w:jc w:val="both"/>
      </w:pPr>
      <w:r>
        <w:rPr>
          <w:rStyle w:val="FootnoteReference"/>
        </w:rPr>
        <w:footnoteRef/>
      </w:r>
      <w:r w:rsidR="1C92C443">
        <w:t xml:space="preserve"> Statistikaameti müügitulu kontsentratsiooni statistika järgi (</w:t>
      </w:r>
      <w:hyperlink r:id="rId94" w:history="1">
        <w:r w:rsidR="1C92C443" w:rsidRPr="006E1927">
          <w:rPr>
            <w:rStyle w:val="Hyperlink"/>
          </w:rPr>
          <w:t>Link</w:t>
        </w:r>
      </w:hyperlink>
      <w:r w:rsidR="1C92C443">
        <w:t>) moodustas majutuse ja toitlustuse sektoris 4 suurima ettevõtte müügikäive sektori kogukäibest perioodil 2005</w:t>
      </w:r>
      <w:r w:rsidR="1C92C443" w:rsidRPr="009A22BA">
        <w:t>–</w:t>
      </w:r>
      <w:r w:rsidR="1C92C443">
        <w:t>2023 10</w:t>
      </w:r>
      <w:r w:rsidR="1C92C443" w:rsidRPr="009A22BA">
        <w:t>–</w:t>
      </w:r>
      <w:r w:rsidR="1C92C443">
        <w:t>14%, mis on mõnevõrra kõrgem kui ehituses või kinnisvaraalases tegevuses, kuid oluliselt madalam tegevusaladest nagu mäetööstus või info ja side. Kõikide tegevusalade keskmise näitajaga võrreldes (3</w:t>
      </w:r>
      <w:r w:rsidR="00F55029">
        <w:t>–</w:t>
      </w:r>
      <w:r w:rsidR="1C92C443">
        <w:t xml:space="preserve">4%) võib majutust ja toitlustust pidada siiski keskmisest väiksema konkurentsiga tegevusalaks. </w:t>
      </w:r>
    </w:p>
  </w:footnote>
  <w:footnote w:id="131">
    <w:p w14:paraId="0803A241" w14:textId="285A3346" w:rsidR="00751998" w:rsidRDefault="00751998" w:rsidP="00751998">
      <w:pPr>
        <w:pStyle w:val="FootnoteText"/>
        <w:jc w:val="both"/>
      </w:pPr>
      <w:r>
        <w:rPr>
          <w:rStyle w:val="FootnoteReference"/>
        </w:rPr>
        <w:footnoteRef/>
      </w:r>
      <w:r>
        <w:t xml:space="preserve"> </w:t>
      </w:r>
      <w:r w:rsidRPr="00412D2C">
        <w:t>Casado-Díaz</w:t>
      </w:r>
      <w:r>
        <w:t>, A.B.,</w:t>
      </w:r>
      <w:r w:rsidRPr="00412D2C">
        <w:t xml:space="preserve"> Sellers-Rubio</w:t>
      </w:r>
      <w:r>
        <w:t xml:space="preserve">, R., 2021. The effect of short-term rentals on regional hotel efficiency, Current Issues in Tourism, 24(21), 2990-2995, </w:t>
      </w:r>
      <w:hyperlink r:id="rId95" w:history="1">
        <w:r w:rsidR="008B51B4" w:rsidRPr="008B51B4">
          <w:rPr>
            <w:rStyle w:val="Hyperlink"/>
          </w:rPr>
          <w:t>Link</w:t>
        </w:r>
      </w:hyperlink>
    </w:p>
  </w:footnote>
  <w:footnote w:id="132">
    <w:p w14:paraId="202C2F1D" w14:textId="3B5F80F9" w:rsidR="00751998" w:rsidRDefault="00751998" w:rsidP="00B3037B">
      <w:pPr>
        <w:spacing w:after="0" w:line="240" w:lineRule="auto"/>
        <w:jc w:val="both"/>
      </w:pPr>
      <w:r>
        <w:rPr>
          <w:rStyle w:val="FootnoteReference"/>
        </w:rPr>
        <w:footnoteRef/>
      </w:r>
      <w:r>
        <w:t xml:space="preserve"> </w:t>
      </w:r>
      <w:r w:rsidRPr="00B01849">
        <w:rPr>
          <w:sz w:val="20"/>
          <w:szCs w:val="20"/>
        </w:rPr>
        <w:t>Erinevate nõuete täitmata jätmine toob kaasa ka mitmeid ohutuse</w:t>
      </w:r>
      <w:r w:rsidR="00151F91">
        <w:rPr>
          <w:sz w:val="20"/>
          <w:szCs w:val="20"/>
        </w:rPr>
        <w:t xml:space="preserve"> ja julgeoleku</w:t>
      </w:r>
      <w:r w:rsidRPr="00B01849">
        <w:rPr>
          <w:sz w:val="20"/>
          <w:szCs w:val="20"/>
        </w:rPr>
        <w:t xml:space="preserve"> riske, mida lähemalt</w:t>
      </w:r>
      <w:r>
        <w:rPr>
          <w:sz w:val="20"/>
          <w:szCs w:val="20"/>
        </w:rPr>
        <w:t xml:space="preserve"> </w:t>
      </w:r>
      <w:r w:rsidRPr="00B01849">
        <w:rPr>
          <w:sz w:val="20"/>
          <w:szCs w:val="20"/>
        </w:rPr>
        <w:t>analüüsime elukeskkonna ja turvalisuse mõjude alaosas.</w:t>
      </w:r>
    </w:p>
  </w:footnote>
  <w:footnote w:id="133">
    <w:p w14:paraId="5FDB625E" w14:textId="41330531" w:rsidR="008232D7" w:rsidRDefault="008232D7">
      <w:pPr>
        <w:pStyle w:val="FootnoteText"/>
      </w:pPr>
      <w:r>
        <w:rPr>
          <w:rStyle w:val="FootnoteReference"/>
        </w:rPr>
        <w:footnoteRef/>
      </w:r>
      <w:r>
        <w:t xml:space="preserve"> OECD, 2024. </w:t>
      </w:r>
      <w:r w:rsidR="002F2B23">
        <w:t xml:space="preserve">Tax wedge. </w:t>
      </w:r>
      <w:hyperlink r:id="rId96" w:anchor=":~:text=Tax%20wedge%20is%20defined%20as,on%20labour%20income%20discourages%20employment." w:history="1">
        <w:r w:rsidR="002F2B23" w:rsidRPr="002F2B23">
          <w:rPr>
            <w:rStyle w:val="Hyperlink"/>
          </w:rPr>
          <w:t>Link</w:t>
        </w:r>
      </w:hyperlink>
    </w:p>
  </w:footnote>
  <w:footnote w:id="134">
    <w:p w14:paraId="1809899A" w14:textId="581BFE1F" w:rsidR="00192C25" w:rsidRDefault="00192C25" w:rsidP="00B54A22">
      <w:pPr>
        <w:pStyle w:val="FootnoteText"/>
        <w:jc w:val="both"/>
      </w:pPr>
      <w:r>
        <w:rPr>
          <w:rStyle w:val="FootnoteReference"/>
        </w:rPr>
        <w:footnoteRef/>
      </w:r>
      <w:r>
        <w:t xml:space="preserve"> </w:t>
      </w:r>
      <w:r w:rsidR="00710FCF">
        <w:t xml:space="preserve">Tavapäraste meetodite all mõtleme siin Eesti kontekstis levinud tööjõumaksudest hoidumise </w:t>
      </w:r>
      <w:r w:rsidR="00606E90">
        <w:t xml:space="preserve">viise, nt töötasu asemel </w:t>
      </w:r>
      <w:r w:rsidR="00D5776C">
        <w:t xml:space="preserve">dividendide maksmist või </w:t>
      </w:r>
      <w:r w:rsidR="00264738">
        <w:t>isikliku kasu eesmärgil</w:t>
      </w:r>
      <w:r w:rsidR="00B67E7A">
        <w:t xml:space="preserve"> tehtud kulude deklareerimi</w:t>
      </w:r>
      <w:r w:rsidR="009F14B4">
        <w:t>st ettevõtluskuludena</w:t>
      </w:r>
      <w:r w:rsidR="00D747E6">
        <w:t>.</w:t>
      </w:r>
    </w:p>
  </w:footnote>
  <w:footnote w:id="135">
    <w:p w14:paraId="32991537" w14:textId="06681309" w:rsidR="00E037E9" w:rsidRDefault="00E037E9" w:rsidP="00BE179D">
      <w:pPr>
        <w:pStyle w:val="FootnoteText"/>
        <w:jc w:val="both"/>
      </w:pPr>
      <w:r>
        <w:rPr>
          <w:rStyle w:val="FootnoteReference"/>
        </w:rPr>
        <w:footnoteRef/>
      </w:r>
      <w:r>
        <w:t xml:space="preserve"> Statistikaameti statistika järgi on olnud nimetatud perioodil ligikaudu 6 miljonit ööbimist, kuid lahutame sellest maha </w:t>
      </w:r>
      <w:r w:rsidR="00511A84">
        <w:t>lühiajalised ööbimised</w:t>
      </w:r>
      <w:r w:rsidR="004B2C53">
        <w:t>,</w:t>
      </w:r>
      <w:r w:rsidR="00511A84">
        <w:t xml:space="preserve"> mis meie hinnangul samuti selles sisalduvad.</w:t>
      </w:r>
    </w:p>
  </w:footnote>
  <w:footnote w:id="136">
    <w:p w14:paraId="543913E2" w14:textId="59E3AF77" w:rsidR="0096096A" w:rsidRDefault="0096096A" w:rsidP="00BE179D">
      <w:pPr>
        <w:pStyle w:val="FootnoteText"/>
        <w:jc w:val="both"/>
      </w:pPr>
      <w:r>
        <w:rPr>
          <w:rStyle w:val="FootnoteReference"/>
        </w:rPr>
        <w:footnoteRef/>
      </w:r>
      <w:r>
        <w:t xml:space="preserve"> </w:t>
      </w:r>
      <w:r w:rsidR="00ED2C14">
        <w:t xml:space="preserve">See eeldus lähtub loogikast, et kuigi meie analüüs turu kohta näitas, et nt Tallinnas on lühiajalise üüri pinna ja hotellitoa öö maksumus üsna võrreldavad (lühiajalise üüri pind isegi veidi kallim), siis tuleb arvestada lühiajalise üüri pinna suuremat mahutavust (seal võidakse ööbida ka </w:t>
      </w:r>
      <w:r w:rsidR="004F5ED7">
        <w:t xml:space="preserve">nt </w:t>
      </w:r>
      <w:r w:rsidR="004104AA">
        <w:t>4</w:t>
      </w:r>
      <w:r w:rsidR="00CB4463">
        <w:t>–</w:t>
      </w:r>
      <w:r w:rsidR="004104AA">
        <w:t>5-</w:t>
      </w:r>
      <w:r w:rsidR="004F5ED7">
        <w:t>l</w:t>
      </w:r>
      <w:r w:rsidR="00ED2C14">
        <w:t xml:space="preserve">iikmelise </w:t>
      </w:r>
      <w:r w:rsidR="004104AA">
        <w:t>grupiga</w:t>
      </w:r>
      <w:r w:rsidR="00ED2C14">
        <w:t>)</w:t>
      </w:r>
      <w:r w:rsidR="00B57B98">
        <w:t>.</w:t>
      </w:r>
      <w:r w:rsidR="0098169C">
        <w:t xml:space="preserve"> Sisuliselt tähendab meie eeldus 20% hinnaerinevuse kohta seda, et lühiajalisel pinnal ööbib keskmiselt 20</w:t>
      </w:r>
      <w:r w:rsidR="00894D28">
        <w:t>%</w:t>
      </w:r>
      <w:r w:rsidR="0098169C">
        <w:t xml:space="preserve"> rohkem inimesi, mis teeb inimese kohta maksumuse 20% madalamaks.</w:t>
      </w:r>
      <w:r w:rsidR="00892143">
        <w:t xml:space="preserve"> Tegelikult on </w:t>
      </w:r>
      <w:r w:rsidR="00C32B33">
        <w:t>keskmine majutatute arvu erinevus veelgi suure</w:t>
      </w:r>
      <w:r w:rsidR="00342A00">
        <w:t xml:space="preserve">m, kuid </w:t>
      </w:r>
      <w:r w:rsidR="006E6C9B">
        <w:t xml:space="preserve">kuna ka teenuse kvaliteet on </w:t>
      </w:r>
      <w:r w:rsidR="003631D6">
        <w:t xml:space="preserve">keskmisel madalam (nt toateenindus, toitlustusvõimalused), siis </w:t>
      </w:r>
      <w:r w:rsidR="009965FD">
        <w:t>kasutame arvutustes 20%.</w:t>
      </w:r>
      <w:r w:rsidR="00FD0C21">
        <w:t xml:space="preserve"> </w:t>
      </w:r>
    </w:p>
  </w:footnote>
  <w:footnote w:id="137">
    <w:p w14:paraId="5A183018" w14:textId="0ECF4E5C" w:rsidR="00751998" w:rsidRDefault="00751998" w:rsidP="002C0EC7">
      <w:pPr>
        <w:pStyle w:val="FootnoteText"/>
        <w:jc w:val="both"/>
      </w:pPr>
      <w:r>
        <w:rPr>
          <w:rStyle w:val="FootnoteReference"/>
        </w:rPr>
        <w:footnoteRef/>
      </w:r>
      <w:r>
        <w:t xml:space="preserve"> Poole reegel on majandusteaduses avalike poliitikate ühiskondlike kasude hindamisel levinud lähenemine, mis on tuletatud tarbija hinnavaru ja tootja hinnalisa muutuste kujutamise kaudu nõudluse ja pakkumise graafilise</w:t>
      </w:r>
      <w:r w:rsidR="00DC3F74">
        <w:t>s</w:t>
      </w:r>
      <w:r>
        <w:t xml:space="preserve"> mudelis ning väljendub geomeetriliselt kolmnurga pindala arvutamise valemin</w:t>
      </w:r>
      <w:r w:rsidR="00E053B6">
        <w:t>a</w:t>
      </w:r>
      <w:r>
        <w:t>. Eriti sageli kasutatakse seda transpordiprojekti puhul reisijate kasude hindamisel</w:t>
      </w:r>
      <w:r w:rsidR="006D75A3">
        <w:t xml:space="preserve"> (</w:t>
      </w:r>
      <w:r w:rsidR="00903740">
        <w:t xml:space="preserve">vt </w:t>
      </w:r>
      <w:r w:rsidR="002C0EC7">
        <w:t>Winkler, C., 2015. Transport user benefits calculation with the “Rule of a Half” for travel</w:t>
      </w:r>
      <w:r w:rsidR="007C4F57">
        <w:t xml:space="preserve"> </w:t>
      </w:r>
      <w:r w:rsidR="002C0EC7">
        <w:t>demand models with constraints</w:t>
      </w:r>
      <w:r>
        <w:t xml:space="preserve">. </w:t>
      </w:r>
      <w:r w:rsidR="007C4F57">
        <w:t xml:space="preserve">Research in Transportation Economics, </w:t>
      </w:r>
      <w:r w:rsidR="00E66EBD">
        <w:t>49</w:t>
      </w:r>
      <w:r w:rsidR="00D85D21">
        <w:t>,</w:t>
      </w:r>
      <w:r w:rsidR="00E66EBD">
        <w:t xml:space="preserve"> 36-42</w:t>
      </w:r>
      <w:r w:rsidR="006D75A3">
        <w:t xml:space="preserve">. </w:t>
      </w:r>
      <w:hyperlink r:id="rId97" w:history="1">
        <w:r w:rsidR="005A7760" w:rsidRPr="005A7760">
          <w:rPr>
            <w:rStyle w:val="Hyperlink"/>
          </w:rPr>
          <w:t>Link</w:t>
        </w:r>
      </w:hyperlink>
      <w:r w:rsidR="00D84330">
        <w:t xml:space="preserve">). </w:t>
      </w:r>
      <w:r>
        <w:t>Antud analüüsis saame arvutada selle järgmiselt:</w:t>
      </w:r>
      <w:r w:rsidRPr="00C711D6">
        <w:t xml:space="preserve"> 1⁄2</w:t>
      </w:r>
      <w:r>
        <w:rPr>
          <w:rFonts w:cstheme="minorHAnsi"/>
        </w:rPr>
        <w:t>·</w:t>
      </w:r>
      <w:r w:rsidRPr="00C711D6">
        <w:t>(</w:t>
      </w:r>
      <w:r>
        <w:t>0,75</w:t>
      </w:r>
      <w:r w:rsidRPr="00C711D6">
        <w:t>∙10)=</w:t>
      </w:r>
      <w:r>
        <w:t>3</w:t>
      </w:r>
      <w:r w:rsidRPr="00C711D6">
        <w:t>,</w:t>
      </w:r>
      <w:r>
        <w:t>7</w:t>
      </w:r>
      <w:r w:rsidRPr="00C711D6">
        <w:t>5 miljonit eurot</w:t>
      </w:r>
      <w:r>
        <w:t>, kus 0,75 miljonit tähistab moonutatud kulueelisest tingitud lisanduvad lühiajalise üüri teenuse kasutajad ning 10 eurot tähistab kulueelise ulatust, mille ulatuses on eeldatud, et turuhind on allapoole moonutatud</w:t>
      </w:r>
      <w:r w:rsidRPr="00C711D6">
        <w:t>.</w:t>
      </w:r>
    </w:p>
  </w:footnote>
  <w:footnote w:id="138">
    <w:p w14:paraId="6CF9EA46" w14:textId="77777777" w:rsidR="00751998" w:rsidRDefault="00751998" w:rsidP="00751998">
      <w:pPr>
        <w:pStyle w:val="FootnoteText"/>
        <w:jc w:val="both"/>
      </w:pPr>
      <w:r>
        <w:rPr>
          <w:rStyle w:val="FootnoteReference"/>
        </w:rPr>
        <w:footnoteRef/>
      </w:r>
      <w:r>
        <w:t xml:space="preserve"> Loomulikult võib seda vaadelda ka kui negatiivset välismõju, mida põhjustab eluruumi kasutamine majutusteenuse pakkumiseks. Sisuliselt on majanduslikus mõttes tegemist sama probleemiga, mida saab lihtsalt erineval viisil (st läbi teise turutõrke) raamistada.</w:t>
      </w:r>
    </w:p>
  </w:footnote>
  <w:footnote w:id="139">
    <w:p w14:paraId="4A9D6C4D" w14:textId="44E08D13" w:rsidR="00751998" w:rsidRDefault="00751998" w:rsidP="00751998">
      <w:pPr>
        <w:pStyle w:val="FootnoteText"/>
      </w:pPr>
      <w:r>
        <w:rPr>
          <w:rStyle w:val="FootnoteReference"/>
        </w:rPr>
        <w:footnoteRef/>
      </w:r>
      <w:r>
        <w:t xml:space="preserve"> </w:t>
      </w:r>
      <w:r w:rsidRPr="003B045C">
        <w:t xml:space="preserve">Duso, T., Michelsen, C., Schaefer, M., Ducbao Tran, K.. 2024. Airbnb and rental markets: Evidence from Berlin. Regional Science and Urban Economics, 106, pp. 1-31. </w:t>
      </w:r>
      <w:hyperlink r:id="rId98" w:history="1">
        <w:r w:rsidR="00122AA4" w:rsidRPr="00122AA4">
          <w:rPr>
            <w:rStyle w:val="Hyperlink"/>
          </w:rPr>
          <w:t>Link</w:t>
        </w:r>
      </w:hyperlink>
    </w:p>
  </w:footnote>
  <w:footnote w:id="140">
    <w:p w14:paraId="2B3ADAF3" w14:textId="7590F734" w:rsidR="00C945FC" w:rsidRDefault="00C945FC" w:rsidP="00C945FC">
      <w:pPr>
        <w:pStyle w:val="FootnoteText"/>
      </w:pPr>
      <w:r>
        <w:rPr>
          <w:rStyle w:val="FootnoteReference"/>
        </w:rPr>
        <w:footnoteRef/>
      </w:r>
      <w:r>
        <w:t xml:space="preserve"> Statistikaamet, 2025. Eluaseme hinnaindeks, 2010=100 (kvartalid). </w:t>
      </w:r>
      <w:hyperlink r:id="rId99" w:history="1">
        <w:r w:rsidR="00122AA4" w:rsidRPr="00122AA4">
          <w:rPr>
            <w:rStyle w:val="Hyperlink"/>
          </w:rPr>
          <w:t>Link</w:t>
        </w:r>
      </w:hyperlink>
    </w:p>
  </w:footnote>
  <w:footnote w:id="141">
    <w:p w14:paraId="511B172F" w14:textId="42B31252" w:rsidR="00BC2FA6" w:rsidRDefault="00BC2FA6" w:rsidP="00BC2FA6">
      <w:pPr>
        <w:pStyle w:val="FootnoteText"/>
        <w:jc w:val="both"/>
      </w:pPr>
      <w:r>
        <w:rPr>
          <w:rStyle w:val="FootnoteReference"/>
        </w:rPr>
        <w:footnoteRef/>
      </w:r>
      <w:r>
        <w:t xml:space="preserve"> </w:t>
      </w:r>
      <w:r w:rsidR="00C46516" w:rsidRPr="00514229">
        <w:t xml:space="preserve">Trasberg, T., </w:t>
      </w:r>
      <w:r w:rsidR="00BA2595" w:rsidRPr="00514229">
        <w:t>Loopere, P.M.</w:t>
      </w:r>
      <w:r w:rsidRPr="007470F1">
        <w:t>, 2022.</w:t>
      </w:r>
      <w:r w:rsidR="00BA2595" w:rsidRPr="007470F1">
        <w:t xml:space="preserve"> Peaaegu</w:t>
      </w:r>
      <w:r w:rsidR="00BA2595" w:rsidRPr="00BA2595">
        <w:t xml:space="preserve"> veerand Eesti eluruumidest on püsielaniketa</w:t>
      </w:r>
      <w:r w:rsidR="00AE37A0">
        <w:t>.</w:t>
      </w:r>
      <w:r w:rsidR="007470F1">
        <w:t xml:space="preserve"> Statistikaameti blogi.</w:t>
      </w:r>
      <w:r w:rsidR="00AE37A0">
        <w:t xml:space="preserve"> </w:t>
      </w:r>
      <w:hyperlink r:id="rId100" w:history="1">
        <w:r w:rsidR="00AE37A0" w:rsidRPr="007470F1">
          <w:rPr>
            <w:rStyle w:val="Hyperlink"/>
          </w:rPr>
          <w:t>Link</w:t>
        </w:r>
      </w:hyperlink>
    </w:p>
  </w:footnote>
  <w:footnote w:id="142">
    <w:p w14:paraId="3CDADF57" w14:textId="556875E8" w:rsidR="00751998" w:rsidRDefault="00751998" w:rsidP="00751998">
      <w:pPr>
        <w:pStyle w:val="FootnoteText"/>
        <w:jc w:val="both"/>
      </w:pPr>
      <w:r>
        <w:rPr>
          <w:rStyle w:val="FootnoteReference"/>
        </w:rPr>
        <w:footnoteRef/>
      </w:r>
      <w:r>
        <w:t xml:space="preserve"> Nt Calder-Wang, S., 2020. The Distributional Impact of the Sharing Economy on the Housing Market.</w:t>
      </w:r>
      <w:r w:rsidRPr="003325B0">
        <w:t xml:space="preserve"> </w:t>
      </w:r>
      <w:hyperlink r:id="rId101" w:history="1">
        <w:r w:rsidR="003F33C2" w:rsidRPr="003F33C2">
          <w:rPr>
            <w:rStyle w:val="Hyperlink"/>
          </w:rPr>
          <w:t>Link</w:t>
        </w:r>
      </w:hyperlink>
    </w:p>
  </w:footnote>
  <w:footnote w:id="143">
    <w:p w14:paraId="15AA7B00" w14:textId="1DFD8AC6" w:rsidR="00157A9B" w:rsidRDefault="00157A9B">
      <w:pPr>
        <w:pStyle w:val="FootnoteText"/>
      </w:pPr>
      <w:r>
        <w:rPr>
          <w:rStyle w:val="FootnoteReference"/>
        </w:rPr>
        <w:footnoteRef/>
      </w:r>
      <w:r>
        <w:t xml:space="preserve"> Eurostat, 2025. </w:t>
      </w:r>
      <w:r w:rsidRPr="00157A9B">
        <w:t xml:space="preserve">Weber, B.S., 2024. </w:t>
      </w:r>
      <w:r w:rsidR="00257B8D" w:rsidRPr="00257B8D">
        <w:t>Short-stay accommodation offered via collaborative economy platforms by months and residence of the guest - experimental statistics</w:t>
      </w:r>
      <w:r w:rsidR="00257B8D">
        <w:t xml:space="preserve">. </w:t>
      </w:r>
      <w:hyperlink r:id="rId102" w:history="1">
        <w:r w:rsidR="00257B8D" w:rsidRPr="00257B8D">
          <w:rPr>
            <w:rStyle w:val="Hyperlink"/>
          </w:rPr>
          <w:t>Link</w:t>
        </w:r>
      </w:hyperlink>
    </w:p>
  </w:footnote>
  <w:footnote w:id="144">
    <w:p w14:paraId="355D7B46" w14:textId="1724B04B" w:rsidR="00CE7A68" w:rsidRDefault="00CE7A68">
      <w:pPr>
        <w:pStyle w:val="FootnoteText"/>
      </w:pPr>
      <w:r>
        <w:rPr>
          <w:rStyle w:val="FootnoteReference"/>
        </w:rPr>
        <w:footnoteRef/>
      </w:r>
      <w:r>
        <w:t xml:space="preserve"> Eurostat, 2025. </w:t>
      </w:r>
      <w:r w:rsidRPr="00CE7A68">
        <w:t>Population on 1 January</w:t>
      </w:r>
      <w:r>
        <w:t xml:space="preserve">. </w:t>
      </w:r>
      <w:hyperlink r:id="rId103" w:history="1">
        <w:r w:rsidR="00200A12" w:rsidRPr="00200A12">
          <w:rPr>
            <w:rStyle w:val="Hyperlink"/>
          </w:rPr>
          <w:t>Link</w:t>
        </w:r>
      </w:hyperlink>
    </w:p>
  </w:footnote>
  <w:footnote w:id="145">
    <w:p w14:paraId="33B6F309" w14:textId="08671535" w:rsidR="00751998" w:rsidRDefault="00751998" w:rsidP="00751998">
      <w:pPr>
        <w:pStyle w:val="FootnoteText"/>
        <w:jc w:val="both"/>
      </w:pPr>
      <w:r>
        <w:rPr>
          <w:rStyle w:val="FootnoteReference"/>
        </w:rPr>
        <w:footnoteRef/>
      </w:r>
      <w:r>
        <w:t xml:space="preserve"> </w:t>
      </w:r>
      <w:r w:rsidRPr="00926A43">
        <w:t>Hidalgo</w:t>
      </w:r>
      <w:r>
        <w:t>, A.,</w:t>
      </w:r>
      <w:r w:rsidRPr="00926A43">
        <w:t xml:space="preserve"> Riccaboni</w:t>
      </w:r>
      <w:r>
        <w:t>, M.,</w:t>
      </w:r>
      <w:r w:rsidRPr="00926A43">
        <w:t xml:space="preserve"> Velázquez</w:t>
      </w:r>
      <w:r>
        <w:t>, F.J., 2023. The effect of short‐term rentals on local consumption amenities: Evidence from Madrid. Journal of Regional Science,</w:t>
      </w:r>
      <w:r w:rsidRPr="00360DF5">
        <w:rPr>
          <w:sz w:val="22"/>
          <w:szCs w:val="22"/>
        </w:rPr>
        <w:t xml:space="preserve"> </w:t>
      </w:r>
      <w:r w:rsidRPr="00360DF5">
        <w:t>64</w:t>
      </w:r>
      <w:r>
        <w:t xml:space="preserve">, </w:t>
      </w:r>
      <w:r w:rsidRPr="00360DF5">
        <w:t>621–648</w:t>
      </w:r>
      <w:r>
        <w:t xml:space="preserve">, </w:t>
      </w:r>
      <w:hyperlink r:id="rId104" w:history="1">
        <w:r w:rsidR="00D6062A" w:rsidRPr="00D6062A">
          <w:rPr>
            <w:rStyle w:val="Hyperlink"/>
          </w:rPr>
          <w:t>Link</w:t>
        </w:r>
      </w:hyperlink>
    </w:p>
  </w:footnote>
  <w:footnote w:id="146">
    <w:p w14:paraId="0C965F5D" w14:textId="0DE09D0F" w:rsidR="00751998" w:rsidRDefault="00751998" w:rsidP="00751998">
      <w:pPr>
        <w:pStyle w:val="FootnoteText"/>
      </w:pPr>
      <w:r>
        <w:rPr>
          <w:rStyle w:val="FootnoteReference"/>
        </w:rPr>
        <w:footnoteRef/>
      </w:r>
      <w:r>
        <w:t xml:space="preserve"> Eesti Pank, 2025. Statistikateade.</w:t>
      </w:r>
      <w:r w:rsidRPr="009F0499">
        <w:t xml:space="preserve"> Välisturistide arv kasvab tasapisi</w:t>
      </w:r>
      <w:r>
        <w:t xml:space="preserve">. </w:t>
      </w:r>
      <w:hyperlink r:id="rId105" w:history="1">
        <w:r w:rsidR="009E00A8" w:rsidRPr="009E00A8">
          <w:rPr>
            <w:rStyle w:val="Hyperlink"/>
          </w:rPr>
          <w:t>Link</w:t>
        </w:r>
      </w:hyperlink>
    </w:p>
  </w:footnote>
  <w:footnote w:id="147">
    <w:p w14:paraId="7FD52402" w14:textId="44113A35" w:rsidR="00751998" w:rsidRDefault="00751998" w:rsidP="00751998">
      <w:pPr>
        <w:pStyle w:val="FootnoteText"/>
        <w:jc w:val="both"/>
      </w:pPr>
      <w:r>
        <w:rPr>
          <w:rStyle w:val="FootnoteReference"/>
        </w:rPr>
        <w:footnoteRef/>
      </w:r>
      <w:r>
        <w:t xml:space="preserve"> Statistikaamet, 2025.</w:t>
      </w:r>
      <w:r w:rsidRPr="00DA5B96">
        <w:t xml:space="preserve"> Turism, majutus ja toitlustus</w:t>
      </w:r>
      <w:r>
        <w:t xml:space="preserve">. </w:t>
      </w:r>
      <w:hyperlink r:id="rId106" w:history="1">
        <w:r w:rsidR="009E00A8" w:rsidRPr="009E00A8">
          <w:rPr>
            <w:rStyle w:val="Hyperlink"/>
          </w:rPr>
          <w:t>Link</w:t>
        </w:r>
      </w:hyperlink>
    </w:p>
  </w:footnote>
  <w:footnote w:id="148">
    <w:p w14:paraId="2ED36DE5" w14:textId="7C6D742E" w:rsidR="00751998" w:rsidRDefault="00751998" w:rsidP="00751998">
      <w:pPr>
        <w:pStyle w:val="FootnoteText"/>
      </w:pPr>
      <w:r>
        <w:rPr>
          <w:rStyle w:val="FootnoteReference"/>
        </w:rPr>
        <w:footnoteRef/>
      </w:r>
      <w:r>
        <w:t xml:space="preserve"> Autorite arvutused, vt Statistikaameti, 2025. Ettevõtete majandusnäitajad tegevusala ja tööga hõivatute isikute järgi. </w:t>
      </w:r>
      <w:hyperlink r:id="rId107" w:history="1">
        <w:r w:rsidR="009E00A8" w:rsidRPr="009E00A8">
          <w:rPr>
            <w:rStyle w:val="Hyperlink"/>
          </w:rPr>
          <w:t>Link</w:t>
        </w:r>
      </w:hyperlink>
    </w:p>
  </w:footnote>
  <w:footnote w:id="149">
    <w:p w14:paraId="002BA5C3" w14:textId="77777777" w:rsidR="00751998" w:rsidRDefault="00751998" w:rsidP="00751998">
      <w:pPr>
        <w:pStyle w:val="FootnoteText"/>
        <w:jc w:val="both"/>
      </w:pPr>
      <w:r>
        <w:rPr>
          <w:rStyle w:val="FootnoteReference"/>
        </w:rPr>
        <w:footnoteRef/>
      </w:r>
      <w:r>
        <w:t xml:space="preserve"> Soh, J., Seo, K., 2023. </w:t>
      </w:r>
      <w:r w:rsidRPr="003C6352">
        <w:t>An Analysis of The Impact of</w:t>
      </w:r>
      <w:r>
        <w:t xml:space="preserve"> </w:t>
      </w:r>
      <w:r w:rsidRPr="003C6352">
        <w:t>Short-Term Vacation Rentals on</w:t>
      </w:r>
      <w:r>
        <w:t xml:space="preserve"> </w:t>
      </w:r>
      <w:r w:rsidRPr="003C6352">
        <w:t>the Hotel Industry</w:t>
      </w:r>
      <w:r>
        <w:t>. Journal of Hospitality &amp; Tourism Research, 47(4), 760–771.</w:t>
      </w:r>
    </w:p>
  </w:footnote>
  <w:footnote w:id="150">
    <w:p w14:paraId="1D1884FA" w14:textId="77777777" w:rsidR="0000027A" w:rsidRDefault="0000027A" w:rsidP="0000027A">
      <w:pPr>
        <w:pStyle w:val="FootnoteText"/>
      </w:pPr>
      <w:r>
        <w:rPr>
          <w:rStyle w:val="FootnoteReference"/>
        </w:rPr>
        <w:footnoteRef/>
      </w:r>
      <w:r>
        <w:t xml:space="preserve"> Josing, M., Vahi, T., Lepane, L., Pulver, B., Reiman, M., Orro, E., Niklus, I., Randrüt, S., Jõekalda, P., 2012. Eestis toimuvate kultuuri- ja spordisündmuste regionaalse majandusliku mõju hindamine ja analüüs. Tallinn: Eesti Konjunktuuriinstituut. </w:t>
      </w:r>
      <w:hyperlink r:id="rId108" w:history="1">
        <w:r w:rsidRPr="008C2554">
          <w:rPr>
            <w:rStyle w:val="Hyperlink"/>
          </w:rPr>
          <w:t>Link</w:t>
        </w:r>
      </w:hyperlink>
      <w:r>
        <w:t xml:space="preserve"> </w:t>
      </w:r>
    </w:p>
  </w:footnote>
  <w:footnote w:id="151">
    <w:p w14:paraId="0F9E31EE" w14:textId="6FBD25ED" w:rsidR="00EB43A4" w:rsidRDefault="00EB43A4" w:rsidP="006D4898">
      <w:pPr>
        <w:pStyle w:val="FootnoteText"/>
      </w:pPr>
      <w:r>
        <w:rPr>
          <w:rStyle w:val="FootnoteReference"/>
        </w:rPr>
        <w:footnoteRef/>
      </w:r>
      <w:r>
        <w:t xml:space="preserve"> International Labo</w:t>
      </w:r>
      <w:r w:rsidR="0067315D">
        <w:t>u</w:t>
      </w:r>
      <w:r>
        <w:t>r Organization</w:t>
      </w:r>
      <w:r w:rsidR="006D4898">
        <w:t xml:space="preserve">, 2024. ILO Global Estimates on International Migrant Workers. International migrants in the labour force. Fourth edition. </w:t>
      </w:r>
      <w:hyperlink r:id="rId109" w:history="1">
        <w:r w:rsidR="006D4898" w:rsidRPr="006D4898">
          <w:rPr>
            <w:rStyle w:val="Hyperlink"/>
          </w:rPr>
          <w:t>Link</w:t>
        </w:r>
      </w:hyperlink>
    </w:p>
  </w:footnote>
  <w:footnote w:id="152">
    <w:p w14:paraId="0E652C8B" w14:textId="48224B84" w:rsidR="007E7EFE" w:rsidRDefault="007E7EFE">
      <w:pPr>
        <w:pStyle w:val="FootnoteText"/>
      </w:pPr>
      <w:r>
        <w:rPr>
          <w:rStyle w:val="FootnoteReference"/>
        </w:rPr>
        <w:footnoteRef/>
      </w:r>
      <w:r>
        <w:t xml:space="preserve"> </w:t>
      </w:r>
      <w:r w:rsidR="003F5A23" w:rsidRPr="003F5A23">
        <w:t xml:space="preserve">United Nations Office on Drugs and Crime </w:t>
      </w:r>
      <w:r w:rsidR="00DD2AA5">
        <w:t>, 20</w:t>
      </w:r>
      <w:r w:rsidR="003F5A23">
        <w:t xml:space="preserve">10. Globalization of Crime. </w:t>
      </w:r>
      <w:r w:rsidR="00412A9C">
        <w:t xml:space="preserve">A Transnational </w:t>
      </w:r>
      <w:r w:rsidR="00904DA7">
        <w:t xml:space="preserve">Organized Crime Assessment. </w:t>
      </w:r>
      <w:r w:rsidR="008E4F0D">
        <w:t>The Report.</w:t>
      </w:r>
      <w:r w:rsidR="00652018">
        <w:t xml:space="preserve"> Vienna: </w:t>
      </w:r>
      <w:r w:rsidR="004B7047">
        <w:t>U</w:t>
      </w:r>
      <w:r w:rsidR="00652018">
        <w:t>NODC</w:t>
      </w:r>
      <w:r w:rsidR="004B7047">
        <w:t>.</w:t>
      </w:r>
      <w:r w:rsidR="008E4F0D">
        <w:t xml:space="preserve"> </w:t>
      </w:r>
      <w:hyperlink r:id="rId110" w:history="1">
        <w:r w:rsidR="008E4F0D" w:rsidRPr="008E4F0D">
          <w:rPr>
            <w:rStyle w:val="Hyperlink"/>
          </w:rPr>
          <w:t>Link</w:t>
        </w:r>
      </w:hyperlink>
    </w:p>
  </w:footnote>
  <w:footnote w:id="153">
    <w:p w14:paraId="668C61EF" w14:textId="0EB376BD" w:rsidR="00BA17B9" w:rsidRDefault="00BA17B9">
      <w:pPr>
        <w:pStyle w:val="FootnoteText"/>
      </w:pPr>
      <w:r>
        <w:rPr>
          <w:rStyle w:val="FootnoteReference"/>
        </w:rPr>
        <w:footnoteRef/>
      </w:r>
      <w:r>
        <w:t xml:space="preserve"> Noonan, E., </w:t>
      </w:r>
      <w:r w:rsidR="005944DE">
        <w:t xml:space="preserve">Rusu, A., 2022. </w:t>
      </w:r>
      <w:r w:rsidR="005944DE" w:rsidRPr="005944DE">
        <w:t>The future of climate migration</w:t>
      </w:r>
      <w:r w:rsidR="005944DE">
        <w:t xml:space="preserve">. </w:t>
      </w:r>
      <w:r w:rsidR="00833545" w:rsidRPr="00833545">
        <w:t>European Parliamentary Research Service</w:t>
      </w:r>
      <w:r w:rsidR="00833545">
        <w:t xml:space="preserve">. </w:t>
      </w:r>
      <w:hyperlink r:id="rId111" w:history="1">
        <w:r w:rsidR="00833545" w:rsidRPr="00833545">
          <w:rPr>
            <w:rStyle w:val="Hyperlink"/>
          </w:rPr>
          <w:t>Link</w:t>
        </w:r>
      </w:hyperlink>
    </w:p>
  </w:footnote>
  <w:footnote w:id="154">
    <w:p w14:paraId="2AC44355" w14:textId="306FBEBF" w:rsidR="00751998" w:rsidRDefault="00751998" w:rsidP="00751998">
      <w:pPr>
        <w:pStyle w:val="FootnoteText"/>
      </w:pPr>
      <w:r>
        <w:rPr>
          <w:rStyle w:val="FootnoteReference"/>
        </w:rPr>
        <w:footnoteRef/>
      </w:r>
      <w:r>
        <w:t xml:space="preserve"> Päästeamet, 2025. Tulekahjud. </w:t>
      </w:r>
      <w:hyperlink r:id="rId112" w:history="1">
        <w:r w:rsidR="00D42B6E" w:rsidRPr="00D42B6E">
          <w:rPr>
            <w:rStyle w:val="Hyperlink"/>
          </w:rPr>
          <w:t>Link</w:t>
        </w:r>
      </w:hyperlink>
    </w:p>
  </w:footnote>
  <w:footnote w:id="155">
    <w:p w14:paraId="4657CC3A" w14:textId="69385E6D" w:rsidR="00751998" w:rsidRDefault="00751998" w:rsidP="00751998">
      <w:pPr>
        <w:pStyle w:val="FootnoteText"/>
      </w:pPr>
      <w:r>
        <w:rPr>
          <w:rStyle w:val="FootnoteReference"/>
        </w:rPr>
        <w:footnoteRef/>
      </w:r>
      <w:r>
        <w:t xml:space="preserve"> </w:t>
      </w:r>
      <w:r w:rsidRPr="001767DD">
        <w:t xml:space="preserve">Ke, L., O’Brien, D.T., Heydar, B., 2021. Airbnb and neighborhood crime: The incursion of tourists or the erosion of local social dynamics? PLoS ONE 16(7): e0253315. </w:t>
      </w:r>
      <w:hyperlink r:id="rId113" w:history="1">
        <w:r w:rsidR="00371201" w:rsidRPr="00371201">
          <w:rPr>
            <w:rStyle w:val="Hyperlink"/>
          </w:rPr>
          <w:t>Link</w:t>
        </w:r>
      </w:hyperlink>
    </w:p>
  </w:footnote>
  <w:footnote w:id="156">
    <w:p w14:paraId="31429753" w14:textId="77EE45A4" w:rsidR="00751998" w:rsidRDefault="00751998" w:rsidP="00751998">
      <w:pPr>
        <w:pStyle w:val="FootnoteText"/>
      </w:pPr>
      <w:r>
        <w:rPr>
          <w:rStyle w:val="FootnoteReference"/>
        </w:rPr>
        <w:footnoteRef/>
      </w:r>
      <w:r>
        <w:t xml:space="preserve"> Van Holm, Monaghan, J., 2021. </w:t>
      </w:r>
      <w:r w:rsidRPr="005420AF">
        <w:t>The relationship of Airbnb to neighborhood calls for service in three cities</w:t>
      </w:r>
      <w:r>
        <w:t>. Cities, 116,</w:t>
      </w:r>
      <w:r w:rsidRPr="001E2993">
        <w:rPr>
          <w:rFonts w:ascii="Arial" w:hAnsi="Arial" w:cs="Arial"/>
          <w:color w:val="1F1F1F"/>
          <w:sz w:val="21"/>
          <w:szCs w:val="21"/>
        </w:rPr>
        <w:t xml:space="preserve"> </w:t>
      </w:r>
      <w:r w:rsidRPr="001E2993">
        <w:t>103241</w:t>
      </w:r>
      <w:r>
        <w:t>.</w:t>
      </w:r>
      <w:r w:rsidRPr="003D18C9">
        <w:t xml:space="preserve"> </w:t>
      </w:r>
      <w:hyperlink r:id="rId114" w:history="1">
        <w:r w:rsidR="00371201" w:rsidRPr="00371201">
          <w:rPr>
            <w:rStyle w:val="Hyperlink"/>
          </w:rPr>
          <w:t>Link</w:t>
        </w:r>
      </w:hyperlink>
    </w:p>
  </w:footnote>
  <w:footnote w:id="157">
    <w:p w14:paraId="62B42537" w14:textId="2F3920B6" w:rsidR="00751998" w:rsidRDefault="00751998" w:rsidP="00751998">
      <w:pPr>
        <w:pStyle w:val="FootnoteText"/>
      </w:pPr>
      <w:r>
        <w:rPr>
          <w:rStyle w:val="FootnoteReference"/>
        </w:rPr>
        <w:footnoteRef/>
      </w:r>
      <w:r>
        <w:t xml:space="preserve"> </w:t>
      </w:r>
      <w:r w:rsidR="003F6D64">
        <w:t xml:space="preserve">Weber, B.S., 2024. </w:t>
      </w:r>
      <w:r w:rsidR="003F6D64" w:rsidRPr="00C75E49">
        <w:t>The sharing economy and urban crime</w:t>
      </w:r>
      <w:r w:rsidR="003F6D64">
        <w:t xml:space="preserve">. Cities, 154, 1-22. </w:t>
      </w:r>
      <w:hyperlink r:id="rId115" w:history="1">
        <w:r w:rsidR="003F6D64" w:rsidRPr="009F41BC">
          <w:rPr>
            <w:rStyle w:val="Hyperlink"/>
          </w:rPr>
          <w:t>Link</w:t>
        </w:r>
      </w:hyperlink>
    </w:p>
  </w:footnote>
  <w:footnote w:id="158">
    <w:p w14:paraId="3294F88A" w14:textId="332A1F4A" w:rsidR="009F41BC" w:rsidRPr="009F41BC" w:rsidRDefault="009F41BC" w:rsidP="00514229">
      <w:pPr>
        <w:pStyle w:val="FootnoteText"/>
        <w:jc w:val="both"/>
        <w:rPr>
          <w:lang w:val="en-US"/>
        </w:rPr>
      </w:pPr>
      <w:r>
        <w:rPr>
          <w:rStyle w:val="FootnoteReference"/>
        </w:rPr>
        <w:footnoteRef/>
      </w:r>
      <w:r>
        <w:t xml:space="preserve"> </w:t>
      </w:r>
      <w:r w:rsidR="00635D7C" w:rsidRPr="00561F68">
        <w:t xml:space="preserve">Talk, T., Ojamäe, L., Paadam, K., &amp; Alatalu, R. (2023). The “Venice syndrome” in Tallinn Old Town. Journal of Cultural Heritage Management and Sustainable Development. </w:t>
      </w:r>
      <w:hyperlink r:id="rId116" w:history="1">
        <w:r w:rsidR="00635D7C" w:rsidRPr="009F41BC">
          <w:rPr>
            <w:rStyle w:val="Hyperlink"/>
          </w:rPr>
          <w:t>Link</w:t>
        </w:r>
      </w:hyperlink>
    </w:p>
  </w:footnote>
  <w:footnote w:id="159">
    <w:p w14:paraId="2B31E2FB" w14:textId="21336F4C" w:rsidR="00A70D8F" w:rsidRDefault="00A70D8F" w:rsidP="00C634A1">
      <w:pPr>
        <w:pStyle w:val="FootnoteText"/>
        <w:jc w:val="both"/>
      </w:pPr>
      <w:r>
        <w:rPr>
          <w:rStyle w:val="FootnoteReference"/>
        </w:rPr>
        <w:footnoteRef/>
      </w:r>
      <w:r>
        <w:t xml:space="preserve"> See on osaliselt kindlasti seotud ka selle uuringu väga laia vaatenurgaga, kus me eraldi turvatundele ei keskendunud. Edaspidi oleks asjakohane sellel teemal läbi viia </w:t>
      </w:r>
      <w:r w:rsidR="00EF4D44">
        <w:t>eraldi</w:t>
      </w:r>
      <w:r w:rsidR="00A156D6">
        <w:t xml:space="preserve"> </w:t>
      </w:r>
      <w:r>
        <w:t>uuringuid</w:t>
      </w:r>
      <w:r w:rsidR="00A156D6">
        <w:t xml:space="preserve">, et </w:t>
      </w:r>
      <w:r w:rsidR="00C634A1">
        <w:t>lühiajalise üürimise ja kohalike elanike turvatunde vahelisi seoseid lähemalt uurida.</w:t>
      </w:r>
      <w:r w:rsidR="00EF4D44">
        <w:t xml:space="preserve"> Selles uuringus me </w:t>
      </w:r>
      <w:r w:rsidR="00830295">
        <w:t>uuringu laia fookust arvestades kohalike</w:t>
      </w:r>
      <w:r w:rsidR="00AB2C79">
        <w:t xml:space="preserve"> elanike seisukohti, hoiakuid ja arvamusi eraldi ei </w:t>
      </w:r>
      <w:r w:rsidR="0060092E">
        <w:t>uurinud ja tuginesime turvalisu</w:t>
      </w:r>
      <w:r w:rsidR="006C6494">
        <w:t>s</w:t>
      </w:r>
      <w:r w:rsidR="0060092E">
        <w:t xml:space="preserve">e valdkonna </w:t>
      </w:r>
      <w:r w:rsidR="006C6494">
        <w:t>hindamisel peamiselt kirjandusele, ekspertintervjuudele ja sekundaarandetele.</w:t>
      </w:r>
      <w:r w:rsidR="00AB2C79">
        <w:t xml:space="preserve"> </w:t>
      </w:r>
    </w:p>
  </w:footnote>
  <w:footnote w:id="160">
    <w:p w14:paraId="6FD7552B" w14:textId="77777777" w:rsidR="00751998" w:rsidRDefault="00751998" w:rsidP="00FA23DE">
      <w:pPr>
        <w:pStyle w:val="FootnoteText"/>
        <w:jc w:val="both"/>
      </w:pPr>
      <w:r>
        <w:rPr>
          <w:rStyle w:val="FootnoteReference"/>
        </w:rPr>
        <w:footnoteRef/>
      </w:r>
      <w:r>
        <w:t xml:space="preserve"> </w:t>
      </w:r>
      <w:r w:rsidRPr="00A77D30">
        <w:t>Paadam, K., &amp; Ojamäe, L. (2021). Vanalinna elanike ja kinnisvaraomanike ootuste kaardistus: pärand, elukeskkond, turism. Tallinn: Tallinna Tehnikaülikool.</w:t>
      </w:r>
    </w:p>
  </w:footnote>
  <w:footnote w:id="161">
    <w:p w14:paraId="32EB3A2C" w14:textId="633C2296" w:rsidR="00751998" w:rsidRDefault="00751998" w:rsidP="00FA23DE">
      <w:pPr>
        <w:pStyle w:val="FootnoteText"/>
        <w:jc w:val="both"/>
      </w:pPr>
      <w:r>
        <w:rPr>
          <w:rStyle w:val="FootnoteReference"/>
        </w:rPr>
        <w:footnoteRef/>
      </w:r>
      <w:r>
        <w:t xml:space="preserve"> </w:t>
      </w:r>
      <w:r w:rsidRPr="00561F68">
        <w:t xml:space="preserve">Talk, T., Ojamäe, L., Paadam, K., &amp; Alatalu, R. (2023). The “Venice syndrome” in Tallinn Old Town. Journal of Cultural Heritage Management and Sustainable Development. </w:t>
      </w:r>
      <w:hyperlink r:id="rId117" w:history="1">
        <w:r w:rsidR="009F41BC" w:rsidRPr="009F41BC">
          <w:rPr>
            <w:rStyle w:val="Hyperlink"/>
          </w:rPr>
          <w:t>Link</w:t>
        </w:r>
      </w:hyperlink>
      <w:r w:rsidR="00E67348">
        <w:t xml:space="preserve"> </w:t>
      </w:r>
    </w:p>
  </w:footnote>
  <w:footnote w:id="162">
    <w:p w14:paraId="5739D5CC" w14:textId="2A51AAAB" w:rsidR="005B6808" w:rsidRDefault="005B6808" w:rsidP="00FA23DE">
      <w:pPr>
        <w:pStyle w:val="FootnoteText"/>
        <w:jc w:val="both"/>
      </w:pPr>
      <w:r>
        <w:rPr>
          <w:rStyle w:val="FootnoteReference"/>
        </w:rPr>
        <w:footnoteRef/>
      </w:r>
      <w:r>
        <w:t xml:space="preserve"> Terk, E., </w:t>
      </w:r>
      <w:r w:rsidR="008F2358">
        <w:t xml:space="preserve">Sakkeus, J., Lassur, S., Tafel-Viia, K., 2016. Vanalinna püsielanike uuring. </w:t>
      </w:r>
      <w:r w:rsidR="00BD0BC3">
        <w:t xml:space="preserve">Lõpparuanne. Tallinn: Tallinna Ülikool. </w:t>
      </w:r>
      <w:hyperlink r:id="rId118" w:history="1">
        <w:r w:rsidR="00BD0BC3" w:rsidRPr="00BD0BC3">
          <w:rPr>
            <w:rStyle w:val="Hyperlink"/>
          </w:rPr>
          <w:t>Link</w:t>
        </w:r>
      </w:hyperlink>
    </w:p>
  </w:footnote>
  <w:footnote w:id="163">
    <w:p w14:paraId="34C518DD" w14:textId="29BD6B69" w:rsidR="00B4060B" w:rsidRDefault="00B4060B">
      <w:pPr>
        <w:pStyle w:val="FootnoteText"/>
      </w:pPr>
      <w:r>
        <w:rPr>
          <w:rStyle w:val="FootnoteReference"/>
        </w:rPr>
        <w:footnoteRef/>
      </w:r>
      <w:r>
        <w:t xml:space="preserve"> Maksu- ja Tolliamet</w:t>
      </w:r>
      <w:r w:rsidR="00AB7A55">
        <w:t>, 2025. Maksu- ja Tolliameti aastaraamat.</w:t>
      </w:r>
      <w:r w:rsidR="006D25EA">
        <w:t xml:space="preserve"> </w:t>
      </w:r>
      <w:hyperlink r:id="rId119" w:history="1">
        <w:r w:rsidR="006D25EA" w:rsidRPr="006D25EA">
          <w:rPr>
            <w:rStyle w:val="Hyperlink"/>
          </w:rPr>
          <w:t>Link</w:t>
        </w:r>
      </w:hyperlink>
    </w:p>
  </w:footnote>
  <w:footnote w:id="164">
    <w:p w14:paraId="74F8B773" w14:textId="7FBB9025" w:rsidR="00B624A5" w:rsidRDefault="00B624A5" w:rsidP="00B54A22">
      <w:pPr>
        <w:pStyle w:val="FootnoteText"/>
        <w:jc w:val="both"/>
      </w:pPr>
      <w:r>
        <w:rPr>
          <w:rStyle w:val="FootnoteReference"/>
        </w:rPr>
        <w:footnoteRef/>
      </w:r>
      <w:r>
        <w:t xml:space="preserve"> Eeldus</w:t>
      </w:r>
      <w:r w:rsidR="005459F4">
        <w:t>t</w:t>
      </w:r>
      <w:r>
        <w:t xml:space="preserve">, et kolmandik </w:t>
      </w:r>
      <w:r w:rsidR="005459F4">
        <w:t>maksukohustusest jäetakse täitmata, võib pidada juba väga suures ulatuses maksu</w:t>
      </w:r>
      <w:r w:rsidR="005417D5">
        <w:t xml:space="preserve">dest kõrvalehiilimiseks. </w:t>
      </w:r>
      <w:r w:rsidR="005D4F78">
        <w:t xml:space="preserve">Nt Maksu- ja Tolliameti hinnang saamata jäänud tööjõumaksudele </w:t>
      </w:r>
      <w:r w:rsidR="0028128D">
        <w:t>moodustab kõikidest tööjõum</w:t>
      </w:r>
      <w:r w:rsidR="005600A6">
        <w:t>a</w:t>
      </w:r>
      <w:r w:rsidR="0028128D">
        <w:t>ks</w:t>
      </w:r>
      <w:r w:rsidR="005600A6">
        <w:t>u</w:t>
      </w:r>
      <w:r w:rsidR="0028128D">
        <w:t>tuludest selgelt alla 2%.</w:t>
      </w:r>
      <w:r w:rsidR="0045359A">
        <w:t xml:space="preserve"> </w:t>
      </w:r>
      <w:r w:rsidR="004A0A55">
        <w:t>K</w:t>
      </w:r>
      <w:r w:rsidR="0045359A">
        <w:t>õrgema maksuriskiga tegevusaladel on mõistlik eeldada, et see võib jääda 10-</w:t>
      </w:r>
      <w:r w:rsidR="00A103E3">
        <w:t>3</w:t>
      </w:r>
      <w:r w:rsidR="0045359A">
        <w:t>0% vahele</w:t>
      </w:r>
      <w:r w:rsidR="004A0522">
        <w:t>. Ühe näitena võib tuua hiljutise varimajanduse uuringu</w:t>
      </w:r>
      <w:r w:rsidR="00216630">
        <w:t xml:space="preserve"> (</w:t>
      </w:r>
      <w:r w:rsidR="00BD6A04">
        <w:t xml:space="preserve">Achim, M.V., Posteta, M.M., </w:t>
      </w:r>
      <w:r w:rsidR="00EE568A">
        <w:t xml:space="preserve">Noja, G.G., 2024. New estimate of shadow economy based on the total energy consumption. Evidence from the European Union countries. Energy Economics, </w:t>
      </w:r>
      <w:r w:rsidR="001F7471">
        <w:t xml:space="preserve">130, 107335. </w:t>
      </w:r>
      <w:hyperlink r:id="rId120" w:history="1">
        <w:r w:rsidR="001F7471" w:rsidRPr="004E399D">
          <w:rPr>
            <w:rStyle w:val="Hyperlink"/>
          </w:rPr>
          <w:t>Link</w:t>
        </w:r>
      </w:hyperlink>
      <w:r w:rsidR="001F7471">
        <w:t>)</w:t>
      </w:r>
      <w:r w:rsidR="004D6503">
        <w:t>, kus hinnati</w:t>
      </w:r>
      <w:r w:rsidR="000B6A97">
        <w:t>, et</w:t>
      </w:r>
      <w:r w:rsidR="004D6503">
        <w:t xml:space="preserve"> EL-i riikide varimajanduse osakaal</w:t>
      </w:r>
      <w:r w:rsidR="000B6A97">
        <w:t xml:space="preserve"> SKP-st</w:t>
      </w:r>
      <w:r w:rsidR="004D6503">
        <w:t xml:space="preserve"> </w:t>
      </w:r>
      <w:r w:rsidR="000B6A97">
        <w:t>jääb vahemikku 10-40%</w:t>
      </w:r>
      <w:r w:rsidR="00DF71C2">
        <w:t>, kusjuures Eesti</w:t>
      </w:r>
      <w:r w:rsidR="00D829AC">
        <w:t>le hinnati</w:t>
      </w:r>
      <w:r w:rsidR="008D55A6">
        <w:t>gi</w:t>
      </w:r>
      <w:r w:rsidR="00D829AC">
        <w:t xml:space="preserve"> selleks suuruseks ligikaudu 30%.</w:t>
      </w:r>
      <w:r w:rsidR="005459F4">
        <w:t xml:space="preserve"> </w:t>
      </w:r>
      <w:r w:rsidR="008040AA">
        <w:t xml:space="preserve">Samas võib leida ka madalamaid hinnanguid, nt Ernst </w:t>
      </w:r>
      <w:r w:rsidR="009C081D">
        <w:t>&amp;</w:t>
      </w:r>
      <w:r w:rsidR="008040AA">
        <w:t xml:space="preserve"> Youngi hinnang 2023. aasa Eesti varimajanduse suurusele jääb alla 10% SKP-st (</w:t>
      </w:r>
      <w:r w:rsidR="005341F0">
        <w:t xml:space="preserve">Ernst &amp; Young, 2025. </w:t>
      </w:r>
      <w:r w:rsidR="003D52CB">
        <w:t>Shadow economy exposed. Estimates for the world and policy paths</w:t>
      </w:r>
      <w:r w:rsidR="008040AA">
        <w:t>.</w:t>
      </w:r>
      <w:r w:rsidR="005459F4">
        <w:t xml:space="preserve"> </w:t>
      </w:r>
      <w:hyperlink r:id="rId121" w:history="1">
        <w:r w:rsidR="002833AA" w:rsidRPr="002833AA">
          <w:rPr>
            <w:rStyle w:val="Hyperlink"/>
          </w:rPr>
          <w:t>Link</w:t>
        </w:r>
      </w:hyperlink>
      <w:r w:rsidR="002833AA">
        <w:t>).</w:t>
      </w:r>
      <w:r w:rsidR="005459F4">
        <w:t xml:space="preserve"> </w:t>
      </w:r>
    </w:p>
  </w:footnote>
  <w:footnote w:id="165">
    <w:p w14:paraId="679CC219" w14:textId="77777777" w:rsidR="00FF56A6" w:rsidRDefault="00FF56A6" w:rsidP="00FF56A6">
      <w:pPr>
        <w:pStyle w:val="FootnoteText"/>
        <w:jc w:val="both"/>
      </w:pPr>
      <w:r>
        <w:rPr>
          <w:rStyle w:val="FootnoteReference"/>
        </w:rPr>
        <w:footnoteRef/>
      </w:r>
      <w:r>
        <w:t xml:space="preserve"> Bei, G., Celata, F., 2023. Challenges and effects of short-term rentals regulation A counterfactual assessment of European cities.</w:t>
      </w:r>
      <w:r w:rsidRPr="00AF5C3D">
        <w:t xml:space="preserve"> Annals of Tourism Research</w:t>
      </w:r>
      <w:r>
        <w:t>,</w:t>
      </w:r>
      <w:r w:rsidRPr="00AF5C3D">
        <w:t xml:space="preserve"> 101</w:t>
      </w:r>
      <w:r>
        <w:t>,</w:t>
      </w:r>
      <w:r w:rsidRPr="00AF5C3D">
        <w:t xml:space="preserve"> 103605</w:t>
      </w:r>
      <w:r>
        <w:t xml:space="preserve">, </w:t>
      </w:r>
      <w:r w:rsidRPr="008B0E87">
        <w:t>https://doi.org/10.1016/j.annals.2023.103605</w:t>
      </w:r>
      <w:r>
        <w:t>.</w:t>
      </w:r>
    </w:p>
  </w:footnote>
  <w:footnote w:id="166">
    <w:p w14:paraId="03CF23C9" w14:textId="460563C1" w:rsidR="00FF56A6" w:rsidRDefault="00FF56A6" w:rsidP="00654DB3">
      <w:pPr>
        <w:pStyle w:val="FootnoteText"/>
        <w:jc w:val="both"/>
      </w:pPr>
      <w:r>
        <w:rPr>
          <w:rStyle w:val="FootnoteReference"/>
        </w:rPr>
        <w:footnoteRef/>
      </w:r>
      <w:r>
        <w:t xml:space="preserve"> Furukawa, N, Onuki, M.</w:t>
      </w:r>
      <w:r w:rsidR="00F94C78">
        <w:t>, 2022.</w:t>
      </w:r>
      <w:r>
        <w:t xml:space="preserve"> </w:t>
      </w:r>
      <w:r w:rsidR="009E2650" w:rsidRPr="009E2650">
        <w:t>The design and effects of short-term rental regulation</w:t>
      </w:r>
      <w:r w:rsidR="009E2650">
        <w:t xml:space="preserve">. </w:t>
      </w:r>
      <w:r>
        <w:t>Current Issues in Tourism, 25(20),</w:t>
      </w:r>
      <w:r w:rsidRPr="00172B45">
        <w:rPr>
          <w:rFonts w:ascii="Open Sans" w:hAnsi="Open Sans" w:cs="Open Sans"/>
          <w:color w:val="666666"/>
          <w:szCs w:val="18"/>
        </w:rPr>
        <w:t xml:space="preserve"> </w:t>
      </w:r>
      <w:r w:rsidRPr="00172B45">
        <w:t>3245-3260</w:t>
      </w:r>
      <w:r>
        <w:t xml:space="preserve">, </w:t>
      </w:r>
      <w:r w:rsidRPr="00E550D7">
        <w:t>https://doi.org/10.1080/13683500.2019.1638892</w:t>
      </w:r>
      <w:r>
        <w:t>.</w:t>
      </w:r>
    </w:p>
  </w:footnote>
  <w:footnote w:id="167">
    <w:p w14:paraId="3C9C7C4F" w14:textId="77777777" w:rsidR="00FF56A6" w:rsidRDefault="00FF56A6" w:rsidP="00654DB3">
      <w:pPr>
        <w:pStyle w:val="FootnoteText"/>
        <w:jc w:val="both"/>
      </w:pPr>
      <w:r>
        <w:rPr>
          <w:rStyle w:val="FootnoteReference"/>
        </w:rPr>
        <w:footnoteRef/>
      </w:r>
      <w:r>
        <w:t xml:space="preserve"> Nieuwland, S., van Melik, R., 2020. Regulating Airbnb: how cities deal with perceived negative externalities of short-term rentals. Current Issues in Tourism, 23(7), 811-825, DOI: 10.1080/13683500.2018.1504899.</w:t>
      </w:r>
    </w:p>
  </w:footnote>
  <w:footnote w:id="168">
    <w:p w14:paraId="5A59B592" w14:textId="77777777" w:rsidR="00FF56A6" w:rsidRDefault="00FF56A6" w:rsidP="009620F8">
      <w:pPr>
        <w:pStyle w:val="FootnoteText"/>
        <w:jc w:val="both"/>
      </w:pPr>
      <w:r>
        <w:rPr>
          <w:rStyle w:val="FootnoteReference"/>
        </w:rPr>
        <w:footnoteRef/>
      </w:r>
      <w:r>
        <w:t xml:space="preserve"> Lines, G. E., 2015. Hej, not hej då: Regulating Airbnb in the new age of Arizona vacation rentals. Arizona Law Review, 57(4), 1163–1182.</w:t>
      </w:r>
    </w:p>
  </w:footnote>
  <w:footnote w:id="169">
    <w:p w14:paraId="36F59728" w14:textId="49F572F0" w:rsidR="00696ABF" w:rsidRDefault="00696ABF" w:rsidP="00BE179D">
      <w:pPr>
        <w:pStyle w:val="FootnoteText"/>
        <w:jc w:val="both"/>
      </w:pPr>
      <w:r>
        <w:rPr>
          <w:rStyle w:val="FootnoteReference"/>
        </w:rPr>
        <w:footnoteRef/>
      </w:r>
      <w:r w:rsidR="1C92C443">
        <w:t xml:space="preserve"> Kuigi selliseid kortermaju, mis on suures osas hotelliks kujundatud, on Eestis hetkel vähe, siis arvestades lühiajalise üüri turu paindlikkust, võib nende arv üsna kiiresti kasvada. Lisaks, kirjeldatud probleemid majutusteenuse osutajale kehtivate nõuete täitmisega esinevad ka nendes hoonetes, kus on vähe majutuskohti (üle 10 voodikoha).</w:t>
      </w:r>
    </w:p>
  </w:footnote>
  <w:footnote w:id="170">
    <w:p w14:paraId="0C40C403" w14:textId="32866264" w:rsidR="00DA3A17" w:rsidRDefault="00DA3A17" w:rsidP="009620F8">
      <w:pPr>
        <w:pStyle w:val="FootnoteText"/>
        <w:jc w:val="both"/>
      </w:pPr>
      <w:r>
        <w:rPr>
          <w:rStyle w:val="FootnoteReference"/>
        </w:rPr>
        <w:footnoteRef/>
      </w:r>
      <w:r>
        <w:t xml:space="preserve"> </w:t>
      </w:r>
      <w:r w:rsidR="00F219E3" w:rsidRPr="00F219E3">
        <w:t xml:space="preserve">Teiste liikmesriikide </w:t>
      </w:r>
      <w:r w:rsidR="00F219E3">
        <w:t>maksuhaldurid</w:t>
      </w:r>
      <w:r w:rsidR="00F219E3" w:rsidRPr="00F219E3">
        <w:t xml:space="preserve"> koguvad oma jurisdiktsioonis olevatelt platvormihalduritelt teavet ka Eesti maksukohustuslaste kohta ja edastavad selle Maksu- ja Tolliametile.</w:t>
      </w:r>
    </w:p>
  </w:footnote>
  <w:footnote w:id="171">
    <w:p w14:paraId="689B7457" w14:textId="394E8A20" w:rsidR="005F0FBC" w:rsidRDefault="005F0FBC" w:rsidP="009620F8">
      <w:pPr>
        <w:pStyle w:val="FootnoteText"/>
        <w:jc w:val="both"/>
      </w:pPr>
      <w:r>
        <w:rPr>
          <w:rStyle w:val="FootnoteReference"/>
        </w:rPr>
        <w:footnoteRef/>
      </w:r>
      <w:r>
        <w:t xml:space="preserve"> </w:t>
      </w:r>
      <w:r w:rsidR="00BE6CFA">
        <w:t xml:space="preserve">Näidetena võib siin tuua Maksu- ja Tolliameti </w:t>
      </w:r>
      <w:r w:rsidR="00C3654B">
        <w:t xml:space="preserve">2021.a </w:t>
      </w:r>
      <w:r w:rsidR="00BE6CFA">
        <w:t>rakendatud kampaaniat „</w:t>
      </w:r>
      <w:r w:rsidR="00BE6CFA" w:rsidRPr="00BE6CFA">
        <w:t>Makse makstes hoiame Eestit koos</w:t>
      </w:r>
      <w:r w:rsidR="00BE6CFA">
        <w:t>“ (</w:t>
      </w:r>
      <w:hyperlink r:id="rId122" w:history="1">
        <w:r w:rsidR="00BE6CFA" w:rsidRPr="009E0BF1">
          <w:rPr>
            <w:rStyle w:val="Hyperlink"/>
          </w:rPr>
          <w:t>link</w:t>
        </w:r>
      </w:hyperlink>
      <w:r w:rsidR="00BE6CFA">
        <w:t>) või Tervise</w:t>
      </w:r>
      <w:r w:rsidR="00136ECF">
        <w:t xml:space="preserve"> Arengu Instituudi </w:t>
      </w:r>
      <w:r w:rsidR="00D17986">
        <w:t xml:space="preserve">2023.a </w:t>
      </w:r>
      <w:r w:rsidR="00136ECF">
        <w:t>toidulisandite k</w:t>
      </w:r>
      <w:r w:rsidR="00A15E5D">
        <w:t>ampaaniat (</w:t>
      </w:r>
      <w:hyperlink r:id="rId123" w:history="1">
        <w:r w:rsidR="00A15E5D" w:rsidRPr="005F5911">
          <w:rPr>
            <w:rStyle w:val="Hyperlink"/>
          </w:rPr>
          <w:t>link</w:t>
        </w:r>
      </w:hyperlink>
      <w:r w:rsidR="00A15E5D">
        <w:t>), mis mõlemad on suunatud sellele, et suunata inimeste käitumist negatiivsete mõjude ärahoidmiseks</w:t>
      </w:r>
      <w:r w:rsidR="009E0BF1">
        <w:t>, kuid seda on tehtud positiivsel viisil.</w:t>
      </w:r>
    </w:p>
  </w:footnote>
  <w:footnote w:id="172">
    <w:p w14:paraId="2B40C255" w14:textId="3F5A875C" w:rsidR="1EFA1653" w:rsidRDefault="1EFA1653" w:rsidP="00BE179D">
      <w:pPr>
        <w:pStyle w:val="FootnoteText"/>
        <w:jc w:val="both"/>
      </w:pPr>
      <w:r w:rsidRPr="1EFA1653">
        <w:rPr>
          <w:rStyle w:val="FootnoteReference"/>
        </w:rPr>
        <w:footnoteRef/>
      </w:r>
      <w:r>
        <w:t xml:space="preserve"> Tallinna vanalinna kaitsekord ei ole uuringu koostamise ajal veel kinnitatud</w:t>
      </w:r>
      <w:r w:rsidR="0081392A">
        <w:t>.</w:t>
      </w:r>
    </w:p>
  </w:footnote>
  <w:footnote w:id="173">
    <w:p w14:paraId="457ADC48" w14:textId="79F96B82" w:rsidR="00C8038D" w:rsidRDefault="00C8038D" w:rsidP="00B54A22">
      <w:pPr>
        <w:pStyle w:val="FootnoteText"/>
        <w:jc w:val="both"/>
      </w:pPr>
      <w:r>
        <w:rPr>
          <w:rStyle w:val="FootnoteReference"/>
        </w:rPr>
        <w:footnoteRef/>
      </w:r>
      <w:r>
        <w:t xml:space="preserve"> Põhimõtteliselt </w:t>
      </w:r>
      <w:r w:rsidR="000D0589">
        <w:t>ei ole</w:t>
      </w:r>
      <w:r>
        <w:t xml:space="preserve"> </w:t>
      </w:r>
      <w:r w:rsidR="007403B7">
        <w:t xml:space="preserve">küll </w:t>
      </w:r>
      <w:r w:rsidR="000D0589">
        <w:t xml:space="preserve">välistatud, et optimaalne oleks </w:t>
      </w:r>
      <w:r>
        <w:t xml:space="preserve">samaaegselt rakendada </w:t>
      </w:r>
      <w:r w:rsidR="00677556">
        <w:t>suuremate häiringute ennetamiseks kasutusotstarbe muutmise kriteeriume</w:t>
      </w:r>
      <w:r w:rsidR="004005E6">
        <w:t>,</w:t>
      </w:r>
      <w:r w:rsidR="00677556">
        <w:t xml:space="preserve"> </w:t>
      </w:r>
      <w:r w:rsidR="004005E6">
        <w:t xml:space="preserve">turust ülevaate saamiseks </w:t>
      </w:r>
      <w:r>
        <w:t>registreerimis</w:t>
      </w:r>
      <w:r w:rsidR="003A50E0">
        <w:t>e kohustust (vt alapeatükki 4.2.7.</w:t>
      </w:r>
      <w:r w:rsidR="00B50F8D">
        <w:t>)</w:t>
      </w:r>
      <w:r w:rsidR="00101055">
        <w:t xml:space="preserve">, </w:t>
      </w:r>
      <w:r w:rsidR="004005E6">
        <w:t xml:space="preserve">aga lisaks </w:t>
      </w:r>
      <w:r w:rsidR="0022704A">
        <w:t xml:space="preserve">teatud tundlikes piirkondades </w:t>
      </w:r>
      <w:r w:rsidR="00101055">
        <w:t>voodikohtade arvu piira</w:t>
      </w:r>
      <w:r w:rsidR="000D0589">
        <w:t>mist</w:t>
      </w:r>
      <w:r w:rsidR="004005E6">
        <w:t xml:space="preserve"> veel madalamal tasemel</w:t>
      </w:r>
      <w:r w:rsidR="007403B7">
        <w:t xml:space="preserve">, kui seda näevad </w:t>
      </w:r>
      <w:r w:rsidR="00C84C4E">
        <w:t xml:space="preserve">potentsiaalselt </w:t>
      </w:r>
      <w:r w:rsidR="007403B7">
        <w:t xml:space="preserve">ette </w:t>
      </w:r>
      <w:r w:rsidR="00C84C4E">
        <w:t xml:space="preserve">võimalikud </w:t>
      </w:r>
      <w:r w:rsidR="007403B7">
        <w:t>kasutusotstarbe muutmise kriteeriumid.</w:t>
      </w:r>
    </w:p>
  </w:footnote>
  <w:footnote w:id="174">
    <w:p w14:paraId="75F49288" w14:textId="3616114D" w:rsidR="009243A0" w:rsidRDefault="009243A0" w:rsidP="00BE179D">
      <w:pPr>
        <w:pStyle w:val="FootnoteText"/>
        <w:jc w:val="both"/>
      </w:pPr>
      <w:r>
        <w:rPr>
          <w:rStyle w:val="FootnoteReference"/>
        </w:rPr>
        <w:footnoteRef/>
      </w:r>
      <w:r>
        <w:t xml:space="preserve"> Me ei leidnud uuringuga tõendeid, et sellist lähenemist oleks teistes riikides lühiajalise üüri turu reguleerimiseks kasutatud. Kuid teistes valdkondades on tegemist üsna tavapärase sekkumisega. Nt võib ka tulumaksuseaduses tehtavaid mahaarvamisi koolituskulude või </w:t>
      </w:r>
      <w:r w:rsidR="0049566A">
        <w:t>kogumispensioni maksete osas pidada analoogseks turule sekkumiseks. Meie pakutud lahendus on küll rohkem valikuline, jättes selle kasutajale rohkem paindlikust.</w:t>
      </w:r>
    </w:p>
  </w:footnote>
  <w:footnote w:id="175">
    <w:p w14:paraId="2847C819" w14:textId="77777777" w:rsidR="001D56D5" w:rsidRDefault="001D56D5" w:rsidP="001D56D5">
      <w:pPr>
        <w:pStyle w:val="FootnoteText"/>
      </w:pPr>
      <w:r>
        <w:rPr>
          <w:rStyle w:val="FootnoteReference"/>
        </w:rPr>
        <w:footnoteRef/>
      </w:r>
      <w:r>
        <w:t xml:space="preserve"> Tallinna vanalinna arengukava 2035. </w:t>
      </w:r>
      <w:hyperlink r:id="rId124" w:history="1">
        <w:r w:rsidRPr="00C7081D">
          <w:rPr>
            <w:rStyle w:val="Hyperlink"/>
          </w:rPr>
          <w:t>Link</w:t>
        </w:r>
      </w:hyperlink>
    </w:p>
  </w:footnote>
  <w:footnote w:id="176">
    <w:p w14:paraId="01EFC0CC" w14:textId="43E44ABD" w:rsidR="001C0418" w:rsidRDefault="001C0418" w:rsidP="00B54A22">
      <w:pPr>
        <w:pStyle w:val="FootnoteText"/>
        <w:jc w:val="both"/>
      </w:pPr>
      <w:r>
        <w:rPr>
          <w:rStyle w:val="FootnoteReference"/>
        </w:rPr>
        <w:footnoteRef/>
      </w:r>
      <w:r>
        <w:t xml:space="preserve"> Siia alla oleks mõistlik liigitada ka suvila, kuna ka se</w:t>
      </w:r>
      <w:r w:rsidR="0058170A">
        <w:t xml:space="preserve">lle </w:t>
      </w:r>
      <w:r w:rsidR="00E92C53">
        <w:t xml:space="preserve">ajutiselt </w:t>
      </w:r>
      <w:r w:rsidR="0058170A">
        <w:t>kasutada andmi</w:t>
      </w:r>
      <w:r w:rsidR="00E92C53">
        <w:t>st võib lugeda klassikaliseks näiteks jagamismajandusest.</w:t>
      </w:r>
    </w:p>
  </w:footnote>
  <w:footnote w:id="177">
    <w:p w14:paraId="6AEBA102" w14:textId="7CD31341" w:rsidR="00BA3718" w:rsidRDefault="00BA3718" w:rsidP="00B54A22">
      <w:pPr>
        <w:pStyle w:val="FootnoteText"/>
        <w:jc w:val="both"/>
      </w:pPr>
      <w:r>
        <w:rPr>
          <w:rStyle w:val="FootnoteReference"/>
        </w:rPr>
        <w:footnoteRef/>
      </w:r>
      <w:r>
        <w:t xml:space="preserve"> </w:t>
      </w:r>
      <w:r w:rsidR="002A47C3">
        <w:t xml:space="preserve">Talk, T., Kalvo, R., Paadam, K., </w:t>
      </w:r>
      <w:r w:rsidR="000D47B4">
        <w:t xml:space="preserve">Ojamäe, L., 2023. </w:t>
      </w:r>
      <w:r w:rsidR="00E93FE9">
        <w:t>Vanalinn: pärand ,elukeskkond, turism. Uuringu „Tallinna vanalinna jätkusuutlik aren</w:t>
      </w:r>
      <w:r w:rsidR="0072036B">
        <w:t>g</w:t>
      </w:r>
      <w:r w:rsidR="00E93FE9">
        <w:t xml:space="preserve"> ja eksponeerimine“</w:t>
      </w:r>
      <w:r w:rsidR="0072036B">
        <w:t xml:space="preserve"> l</w:t>
      </w:r>
      <w:r w:rsidR="00E93FE9">
        <w:t>õpparuanne.</w:t>
      </w:r>
      <w:r w:rsidR="0072036B">
        <w:t xml:space="preserve"> Eesti Kunstiakadeemia.</w:t>
      </w:r>
      <w:r w:rsidR="000F7390">
        <w:t xml:space="preserve"> </w:t>
      </w:r>
      <w:hyperlink r:id="rId125" w:history="1">
        <w:r w:rsidR="000F7390" w:rsidRPr="000F7390">
          <w:rPr>
            <w:rStyle w:val="Hyperlink"/>
          </w:rPr>
          <w:t>Link</w:t>
        </w:r>
      </w:hyperlink>
    </w:p>
  </w:footnote>
  <w:footnote w:id="178">
    <w:p w14:paraId="3B1E745E" w14:textId="0AA17E31" w:rsidR="002C36C8" w:rsidRDefault="002C36C8" w:rsidP="00B54A22">
      <w:pPr>
        <w:pStyle w:val="FootnoteText"/>
        <w:jc w:val="both"/>
      </w:pPr>
      <w:r>
        <w:rPr>
          <w:rStyle w:val="FootnoteReference"/>
        </w:rPr>
        <w:footnoteRef/>
      </w:r>
      <w:r>
        <w:t xml:space="preserve"> </w:t>
      </w:r>
      <w:r w:rsidR="00D35F27">
        <w:t>Hinnan</w:t>
      </w:r>
      <w:r w:rsidR="00BC3091">
        <w:t xml:space="preserve">gu kulude suurusele saime otsepäringuna Keskkonnaministeeriumi </w:t>
      </w:r>
      <w:r w:rsidR="00913137">
        <w:t>I</w:t>
      </w:r>
      <w:r w:rsidR="00BC3091">
        <w:t>nf</w:t>
      </w:r>
      <w:r w:rsidR="00913137">
        <w:t>o</w:t>
      </w:r>
      <w:r w:rsidR="00BC3091">
        <w:t>tehnoloogiakeskuselt</w:t>
      </w:r>
      <w:r w:rsidR="00CA792D">
        <w:t>, kes tegeleb majandustegevuse registri arendusega,</w:t>
      </w:r>
    </w:p>
  </w:footnote>
  <w:footnote w:id="179">
    <w:p w14:paraId="29C9574D" w14:textId="6C64FFBD" w:rsidR="0066186F" w:rsidRDefault="0066186F" w:rsidP="00B54A22">
      <w:pPr>
        <w:pStyle w:val="FootnoteText"/>
        <w:jc w:val="both"/>
      </w:pPr>
      <w:r>
        <w:rPr>
          <w:rStyle w:val="FootnoteReference"/>
        </w:rPr>
        <w:footnoteRef/>
      </w:r>
      <w:r>
        <w:t xml:space="preserve"> </w:t>
      </w:r>
      <w:r w:rsidR="00582469">
        <w:t xml:space="preserve">Hinnang kuludele kujunes </w:t>
      </w:r>
      <w:r w:rsidR="003948DD">
        <w:t xml:space="preserve">Riigi Infosüsteemi Ameti ja </w:t>
      </w:r>
      <w:r w:rsidR="005D11D3">
        <w:t>M</w:t>
      </w:r>
      <w:r w:rsidR="003948DD">
        <w:t xml:space="preserve">ajandus- ja Kommunikatsiooniministeeriumi ekspertidega konsulteerimise ja </w:t>
      </w:r>
      <w:r w:rsidR="00E6543B">
        <w:t xml:space="preserve">ka </w:t>
      </w:r>
      <w:r w:rsidR="00EB24A8">
        <w:t xml:space="preserve">uuringu teistes osades mainitud </w:t>
      </w:r>
      <w:r w:rsidR="00C455E3">
        <w:t>Tšehhi</w:t>
      </w:r>
      <w:r w:rsidR="00EB24A8">
        <w:t xml:space="preserve"> kogemuse</w:t>
      </w:r>
      <w:r w:rsidR="005D11D3">
        <w:t xml:space="preserve"> põhjal.</w:t>
      </w:r>
    </w:p>
  </w:footnote>
  <w:footnote w:id="180">
    <w:p w14:paraId="1AAD5C45" w14:textId="6BBD1C78" w:rsidR="00DE72A5" w:rsidRDefault="00DE72A5">
      <w:pPr>
        <w:pStyle w:val="FootnoteText"/>
      </w:pPr>
      <w:r>
        <w:rPr>
          <w:rStyle w:val="FootnoteReference"/>
        </w:rPr>
        <w:footnoteRef/>
      </w:r>
      <w:r>
        <w:t xml:space="preserve"> </w:t>
      </w:r>
      <w:r w:rsidR="00675302">
        <w:t xml:space="preserve">Tallinna linnavalitsus, 2022. </w:t>
      </w:r>
      <w:r w:rsidR="00D27AF7" w:rsidRPr="00D27AF7">
        <w:t>Tallinn asub koostama vanalinna arengukava aastani 2035</w:t>
      </w:r>
      <w:r w:rsidR="00D27AF7">
        <w:t xml:space="preserve">. </w:t>
      </w:r>
      <w:hyperlink r:id="rId126" w:history="1">
        <w:r w:rsidR="00D27AF7" w:rsidRPr="00D27AF7">
          <w:rPr>
            <w:rStyle w:val="Hyperlink"/>
          </w:rPr>
          <w:t>Link</w:t>
        </w:r>
      </w:hyperlink>
    </w:p>
  </w:footnote>
  <w:footnote w:id="181">
    <w:p w14:paraId="5A3E9018" w14:textId="18F1221D" w:rsidR="004C6C90" w:rsidRDefault="004C6C90" w:rsidP="00B54A22">
      <w:pPr>
        <w:pStyle w:val="FootnoteText"/>
        <w:jc w:val="both"/>
      </w:pPr>
      <w:r>
        <w:rPr>
          <w:rStyle w:val="FootnoteReference"/>
        </w:rPr>
        <w:footnoteRef/>
      </w:r>
      <w:r>
        <w:t xml:space="preserve"> Selle all ei ole mõeldud rahalist tulu, vaid heaolu üldisemas mõttes</w:t>
      </w:r>
      <w:r w:rsidR="00F561DA">
        <w:t>.</w:t>
      </w:r>
      <w:r>
        <w:t xml:space="preserve"> </w:t>
      </w:r>
      <w:r w:rsidR="00F561DA">
        <w:t xml:space="preserve">Näiteks kui see aitab </w:t>
      </w:r>
      <w:r w:rsidR="000F7B00">
        <w:t>tõhusamalt ära hoida</w:t>
      </w:r>
      <w:r>
        <w:t xml:space="preserve"> häiringuid kortermajades, pingeid püsielanike ja turistide vahel, </w:t>
      </w:r>
      <w:r w:rsidR="000F7B00">
        <w:t xml:space="preserve">muuta </w:t>
      </w:r>
      <w:r>
        <w:t>linnaruumi</w:t>
      </w:r>
      <w:r w:rsidR="004A1CD1">
        <w:t xml:space="preserve"> </w:t>
      </w:r>
      <w:r w:rsidR="000F7B00">
        <w:t>atraktiivsemaks</w:t>
      </w:r>
      <w:r w:rsidR="00533186">
        <w:t xml:space="preserve">, </w:t>
      </w:r>
      <w:r w:rsidR="00BF303E">
        <w:t>või</w:t>
      </w:r>
      <w:r w:rsidR="006A08EA">
        <w:t>b</w:t>
      </w:r>
      <w:r w:rsidR="00BF303E">
        <w:t xml:space="preserve"> </w:t>
      </w:r>
      <w:r w:rsidR="001610CF">
        <w:t>praegus</w:t>
      </w:r>
      <w:r w:rsidR="006A08EA">
        <w:t>te</w:t>
      </w:r>
      <w:r w:rsidR="001610CF">
        <w:t xml:space="preserve"> ja tulevas</w:t>
      </w:r>
      <w:r w:rsidR="006A08EA">
        <w:t>te</w:t>
      </w:r>
      <w:r w:rsidR="001610CF">
        <w:t xml:space="preserve"> kohalik</w:t>
      </w:r>
      <w:r w:rsidR="006A08EA">
        <w:t>e</w:t>
      </w:r>
      <w:r w:rsidR="00533186">
        <w:t xml:space="preserve"> elanik</w:t>
      </w:r>
      <w:r w:rsidR="006A08EA">
        <w:t>e heaolu</w:t>
      </w:r>
      <w:r w:rsidR="00BF303E">
        <w:t xml:space="preserve"> </w:t>
      </w:r>
      <w:r w:rsidR="006A08EA">
        <w:t>oluliselt paraneda.</w:t>
      </w:r>
      <w:r w:rsidR="00730261">
        <w:t xml:space="preserve"> </w:t>
      </w:r>
      <w:r w:rsidR="009C626D">
        <w:t>Ühes hiljutises uuringus</w:t>
      </w:r>
      <w:r w:rsidR="009D2ACC">
        <w:t xml:space="preserve"> (</w:t>
      </w:r>
      <w:r w:rsidR="009E3F62">
        <w:t>Moretti, E., Wheeler, H., 2025.</w:t>
      </w:r>
      <w:r w:rsidR="009E3F62" w:rsidRPr="009E3F62">
        <w:t xml:space="preserve"> </w:t>
      </w:r>
      <w:r w:rsidR="009E3F62">
        <w:t>The Traffic Noise Externality: Costs, Incidence and Policy Implications</w:t>
      </w:r>
      <w:r w:rsidR="00C833D4">
        <w:t>.</w:t>
      </w:r>
      <w:r w:rsidR="00F446BC">
        <w:t xml:space="preserve"> NBER Conference, </w:t>
      </w:r>
      <w:r w:rsidR="00F446BC" w:rsidRPr="00F446BC">
        <w:t>SI 2025 Urban Economics</w:t>
      </w:r>
      <w:r w:rsidR="00F446BC">
        <w:t>.</w:t>
      </w:r>
      <w:r w:rsidR="00C833D4">
        <w:t xml:space="preserve"> </w:t>
      </w:r>
      <w:hyperlink r:id="rId127" w:history="1">
        <w:r w:rsidR="00FC78B4" w:rsidRPr="00FC78B4">
          <w:rPr>
            <w:rStyle w:val="Hyperlink"/>
          </w:rPr>
          <w:t>Link</w:t>
        </w:r>
      </w:hyperlink>
      <w:r w:rsidR="00C833D4">
        <w:t>)</w:t>
      </w:r>
      <w:r w:rsidR="009C626D">
        <w:t xml:space="preserve"> USAs hinnati näiteks, et </w:t>
      </w:r>
      <w:r w:rsidR="000C7A53">
        <w:t>ainuüksi väiksem liiklusmüra võib 100</w:t>
      </w:r>
      <w:r w:rsidR="00C930B9">
        <w:t xml:space="preserve"> </w:t>
      </w:r>
      <w:r w:rsidR="000C7A53">
        <w:t>m</w:t>
      </w:r>
      <w:r w:rsidR="00C930B9">
        <w:t>eetri</w:t>
      </w:r>
      <w:r w:rsidR="000C7A53">
        <w:t xml:space="preserve"> </w:t>
      </w:r>
      <w:r w:rsidR="006204C8">
        <w:t xml:space="preserve">piires </w:t>
      </w:r>
      <w:r w:rsidR="000C7A53">
        <w:t>kinnisvara hinda püsivalt suurendada 6,8%</w:t>
      </w:r>
      <w:r w:rsidR="00C82E3E">
        <w:t xml:space="preserve">, mis ühtlasi väljendab ka </w:t>
      </w:r>
      <w:r w:rsidR="002A1605">
        <w:t>kinnisvara ostjate maksevalmiduse kaudu väiksemat mürast tekkivat heaolukasvu.</w:t>
      </w:r>
      <w:r w:rsidR="006B4E8F">
        <w:t xml:space="preserve"> Isegi kui arvestada, et lühiajalise üürimisega kaasnev müra on vähem püsivama iseloomuga ja </w:t>
      </w:r>
      <w:r w:rsidR="008F2D21">
        <w:t>mitte nii häiriv</w:t>
      </w:r>
      <w:r w:rsidR="001E19E8">
        <w:t xml:space="preserve"> </w:t>
      </w:r>
      <w:r w:rsidR="00BF32A2">
        <w:t xml:space="preserve">kui liiklusega seonduv </w:t>
      </w:r>
      <w:r w:rsidR="001E19E8">
        <w:t>ning</w:t>
      </w:r>
      <w:r w:rsidR="00B74FCC">
        <w:t xml:space="preserve"> iga püsielaniku jaoks suureneks tema vara väärtus poliitika tulemusel</w:t>
      </w:r>
      <w:r w:rsidR="00653666">
        <w:t xml:space="preserve"> </w:t>
      </w:r>
      <w:r w:rsidR="00822B67">
        <w:t xml:space="preserve">vaid </w:t>
      </w:r>
      <w:r w:rsidR="001E19E8">
        <w:t>2-3</w:t>
      </w:r>
      <w:r w:rsidR="00653666">
        <w:t xml:space="preserve">% võrra, oleks see </w:t>
      </w:r>
      <w:r w:rsidR="00DD47CF">
        <w:t>vanalinnas valitsevat hinnataset arvestades</w:t>
      </w:r>
      <w:r w:rsidR="00CF01F6">
        <w:t xml:space="preserve"> (KV.ee järgi </w:t>
      </w:r>
      <w:r w:rsidR="00CF01F6">
        <w:rPr>
          <w:rFonts w:cstheme="minorHAnsi"/>
        </w:rPr>
        <w:t>~</w:t>
      </w:r>
      <w:r w:rsidR="00CF01F6">
        <w:t>3500 eurot/m</w:t>
      </w:r>
      <w:r w:rsidR="00CF01F6" w:rsidRPr="00B54A22">
        <w:rPr>
          <w:vertAlign w:val="superscript"/>
        </w:rPr>
        <w:t>2</w:t>
      </w:r>
      <w:r w:rsidR="00CF01F6">
        <w:t>)</w:t>
      </w:r>
      <w:r w:rsidR="00DD47CF">
        <w:t xml:space="preserve"> </w:t>
      </w:r>
      <w:r w:rsidR="00653666">
        <w:t xml:space="preserve">piisav, et </w:t>
      </w:r>
      <w:r w:rsidR="00822B67">
        <w:t xml:space="preserve">saadav kasu müra vähenemisest </w:t>
      </w:r>
      <w:r w:rsidR="00653666">
        <w:t>ulatu</w:t>
      </w:r>
      <w:r w:rsidR="00822B67">
        <w:t>ks</w:t>
      </w:r>
      <w:r w:rsidR="00653666">
        <w:t xml:space="preserve"> registreerimissüsteemi loomiseks tehtud kulude tasemeni</w:t>
      </w:r>
      <w:r w:rsidR="00DD47CF">
        <w:t xml:space="preserve"> (isegi </w:t>
      </w:r>
      <w:r w:rsidR="00543958">
        <w:t>juhul, kui püsielanike arv</w:t>
      </w:r>
      <w:r w:rsidR="00774741">
        <w:t xml:space="preserve">, </w:t>
      </w:r>
      <w:r w:rsidR="007E1D33">
        <w:t xml:space="preserve">kes sellest kasu saavad, </w:t>
      </w:r>
      <w:r w:rsidR="00EF7C68">
        <w:t>ulatub</w:t>
      </w:r>
      <w:r w:rsidR="007E1D33">
        <w:t xml:space="preserve"> 2000-3000 </w:t>
      </w:r>
      <w:r w:rsidR="00EF7C68">
        <w:t>inimeseni</w:t>
      </w:r>
      <w:r w:rsidR="0066521E">
        <w:t>)</w:t>
      </w:r>
      <w:r w:rsidR="00653666">
        <w:t>.</w:t>
      </w:r>
    </w:p>
  </w:footnote>
  <w:footnote w:id="182">
    <w:p w14:paraId="21B9AE6B" w14:textId="4A4F8A2E" w:rsidR="00B13381" w:rsidRDefault="00B13381" w:rsidP="000C35B6">
      <w:pPr>
        <w:pStyle w:val="FootnoteText"/>
      </w:pPr>
      <w:r>
        <w:rPr>
          <w:rStyle w:val="FootnoteReference"/>
        </w:rPr>
        <w:footnoteRef/>
      </w:r>
      <w:r>
        <w:t xml:space="preserve"> </w:t>
      </w:r>
      <w:r w:rsidR="00376C52">
        <w:t xml:space="preserve">Pazienza, P., 2011. </w:t>
      </w:r>
      <w:r w:rsidR="000C35B6">
        <w:t xml:space="preserve">Should we tax tourism? Theoretical justifications from the economics of non-renewable resource use. Environmental Economics, 2(1), </w:t>
      </w:r>
      <w:r w:rsidR="00C31715">
        <w:t xml:space="preserve">8-16. </w:t>
      </w:r>
      <w:hyperlink r:id="rId128" w:history="1">
        <w:r w:rsidR="00C31715" w:rsidRPr="00746BE3">
          <w:rPr>
            <w:rStyle w:val="Hyperlink"/>
          </w:rPr>
          <w:t>Link</w:t>
        </w:r>
      </w:hyperlink>
      <w:r w:rsidR="00C31715">
        <w:t xml:space="preserve"> </w:t>
      </w:r>
    </w:p>
  </w:footnote>
  <w:footnote w:id="183">
    <w:p w14:paraId="793D2764" w14:textId="77777777" w:rsidR="0079430A" w:rsidRPr="00784CF1" w:rsidRDefault="0079430A" w:rsidP="0079430A">
      <w:pPr>
        <w:pStyle w:val="FootnoteText"/>
      </w:pPr>
      <w:r w:rsidRPr="00784CF1">
        <w:rPr>
          <w:rStyle w:val="FootnoteReference"/>
        </w:rPr>
        <w:footnoteRef/>
      </w:r>
      <w:r w:rsidRPr="00784CF1">
        <w:t xml:space="preserve"> City of Amsterdam. Housing. Holiday rentals. </w:t>
      </w:r>
      <w:hyperlink r:id="rId129" w:history="1">
        <w:r w:rsidRPr="00784CF1">
          <w:rPr>
            <w:rStyle w:val="Hyperlink"/>
          </w:rPr>
          <w:t>Link.</w:t>
        </w:r>
      </w:hyperlink>
      <w:r w:rsidRPr="00784CF1">
        <w:t xml:space="preserve"> </w:t>
      </w:r>
    </w:p>
  </w:footnote>
  <w:footnote w:id="184">
    <w:p w14:paraId="3A1D279B" w14:textId="77777777" w:rsidR="0079430A" w:rsidRPr="00784CF1" w:rsidRDefault="0079430A" w:rsidP="0079430A">
      <w:pPr>
        <w:pStyle w:val="FootnoteText"/>
      </w:pPr>
      <w:r w:rsidRPr="00784CF1">
        <w:rPr>
          <w:rStyle w:val="FootnoteReference"/>
        </w:rPr>
        <w:footnoteRef/>
      </w:r>
      <w:r w:rsidRPr="00784CF1">
        <w:t xml:space="preserve"> Je Maintiendrai. (2020). Staatsblad van het Koninkrijk der Nederlanden. </w:t>
      </w:r>
      <w:hyperlink r:id="rId130" w:history="1">
        <w:r w:rsidRPr="00784CF1">
          <w:rPr>
            <w:rStyle w:val="Hyperlink"/>
          </w:rPr>
          <w:t>Link</w:t>
        </w:r>
      </w:hyperlink>
      <w:r w:rsidRPr="00784CF1">
        <w:t xml:space="preserve">. </w:t>
      </w:r>
    </w:p>
  </w:footnote>
  <w:footnote w:id="185">
    <w:p w14:paraId="0B853DF4" w14:textId="77777777" w:rsidR="0079430A" w:rsidRPr="00784CF1" w:rsidRDefault="0079430A" w:rsidP="0079430A">
      <w:pPr>
        <w:pStyle w:val="FootnoteText"/>
      </w:pPr>
      <w:r w:rsidRPr="00784CF1">
        <w:rPr>
          <w:rStyle w:val="FootnoteReference"/>
        </w:rPr>
        <w:footnoteRef/>
      </w:r>
      <w:r w:rsidRPr="00784CF1">
        <w:t xml:space="preserve"> City of Amsterdam. Holiday rentals. Apply for a permit. </w:t>
      </w:r>
      <w:hyperlink r:id="rId131" w:history="1">
        <w:r w:rsidRPr="00784CF1">
          <w:rPr>
            <w:rStyle w:val="Hyperlink"/>
          </w:rPr>
          <w:t>Link</w:t>
        </w:r>
      </w:hyperlink>
      <w:r w:rsidRPr="00784CF1">
        <w:t xml:space="preserve">. </w:t>
      </w:r>
    </w:p>
  </w:footnote>
  <w:footnote w:id="186">
    <w:p w14:paraId="11A6688D" w14:textId="3AEE8BC1" w:rsidR="0079430A" w:rsidRPr="00784CF1" w:rsidRDefault="0079430A" w:rsidP="0079430A">
      <w:pPr>
        <w:pStyle w:val="FootnoteText"/>
      </w:pPr>
      <w:r w:rsidRPr="00784CF1">
        <w:rPr>
          <w:rStyle w:val="FootnoteReference"/>
        </w:rPr>
        <w:footnoteRef/>
      </w:r>
      <w:r w:rsidRPr="00784CF1">
        <w:t xml:space="preserve"> StatLine. (2024). </w:t>
      </w:r>
      <w:r w:rsidRPr="00A95751">
        <w:rPr>
          <w:i/>
        </w:rPr>
        <w:t>Overnight accommodation</w:t>
      </w:r>
      <w:r w:rsidR="00A95751" w:rsidRPr="00A95751">
        <w:rPr>
          <w:i/>
          <w:iCs/>
        </w:rPr>
        <w:t>:</w:t>
      </w:r>
      <w:r w:rsidRPr="00A95751">
        <w:rPr>
          <w:i/>
        </w:rPr>
        <w:t xml:space="preserve"> capacity, type of accommodation, beds, region</w:t>
      </w:r>
      <w:r w:rsidRPr="00784CF1">
        <w:t xml:space="preserve">. </w:t>
      </w:r>
      <w:hyperlink r:id="rId132" w:anchor="/CBS/en/dataset/82062ENG/table?ts=1736761801175" w:history="1">
        <w:r w:rsidRPr="00784CF1">
          <w:rPr>
            <w:rStyle w:val="Hyperlink"/>
          </w:rPr>
          <w:t>Link</w:t>
        </w:r>
      </w:hyperlink>
      <w:r w:rsidRPr="00784CF1">
        <w:t xml:space="preserve">. </w:t>
      </w:r>
    </w:p>
  </w:footnote>
  <w:footnote w:id="187">
    <w:p w14:paraId="35124AD3" w14:textId="39B4BEE0" w:rsidR="0064540C" w:rsidRPr="0064540C" w:rsidRDefault="0064540C" w:rsidP="00543472">
      <w:pPr>
        <w:pStyle w:val="FootnoteText"/>
        <w:jc w:val="both"/>
        <w:rPr>
          <w:lang w:val="en-US"/>
        </w:rPr>
      </w:pPr>
      <w:r>
        <w:rPr>
          <w:rStyle w:val="FootnoteReference"/>
        </w:rPr>
        <w:footnoteRef/>
      </w:r>
      <w:r>
        <w:t xml:space="preserve"> </w:t>
      </w:r>
      <w:r w:rsidR="00A17277">
        <w:t xml:space="preserve">Viimane uuring </w:t>
      </w:r>
      <w:r w:rsidRPr="0064540C">
        <w:t>Toerisme MRA 2024-2025</w:t>
      </w:r>
      <w:r w:rsidR="00A17277">
        <w:t xml:space="preserve">: </w:t>
      </w:r>
      <w:hyperlink r:id="rId133" w:history="1">
        <w:r w:rsidR="00A17277" w:rsidRPr="00A17277">
          <w:rPr>
            <w:rStyle w:val="Hyperlink"/>
          </w:rPr>
          <w:t>link</w:t>
        </w:r>
      </w:hyperlink>
      <w:r w:rsidR="00A17277">
        <w:t xml:space="preserve">. </w:t>
      </w:r>
      <w:r w:rsidR="00501086">
        <w:t xml:space="preserve">Lisaks </w:t>
      </w:r>
      <w:r w:rsidR="00E32911">
        <w:t xml:space="preserve">WiA regulaarsed monitooringud: </w:t>
      </w:r>
      <w:hyperlink r:id="rId134" w:history="1">
        <w:r w:rsidR="00E32911" w:rsidRPr="00863EBE">
          <w:rPr>
            <w:rStyle w:val="Hyperlink"/>
          </w:rPr>
          <w:t>link</w:t>
        </w:r>
      </w:hyperlink>
      <w:r w:rsidR="00E32911">
        <w:t xml:space="preserve"> </w:t>
      </w:r>
      <w:r w:rsidR="00863EBE">
        <w:t>– milles uuritakse elamute</w:t>
      </w:r>
      <w:r w:rsidR="00C8443B">
        <w:t xml:space="preserve"> kättesaadavusega seotud trende.</w:t>
      </w:r>
    </w:p>
  </w:footnote>
  <w:footnote w:id="188">
    <w:p w14:paraId="33AEF187" w14:textId="154BE469" w:rsidR="000369EB" w:rsidRPr="000369EB" w:rsidRDefault="000369EB">
      <w:pPr>
        <w:pStyle w:val="FootnoteText"/>
        <w:rPr>
          <w:lang w:val="en-US"/>
        </w:rPr>
      </w:pPr>
      <w:r>
        <w:rPr>
          <w:rStyle w:val="FootnoteReference"/>
        </w:rPr>
        <w:footnoteRef/>
      </w:r>
      <w:r>
        <w:t xml:space="preserve"> </w:t>
      </w:r>
      <w:r>
        <w:rPr>
          <w:lang w:val="en-US"/>
        </w:rPr>
        <w:t>Viimane selleteemaline andme</w:t>
      </w:r>
      <w:r w:rsidR="008F65A7">
        <w:rPr>
          <w:lang w:val="en-US"/>
        </w:rPr>
        <w:t xml:space="preserve">kogumine </w:t>
      </w:r>
      <w:r w:rsidR="008F65A7" w:rsidRPr="00A95751">
        <w:rPr>
          <w:i/>
          <w:lang w:val="en-US"/>
        </w:rPr>
        <w:t>Toeristische draagkracht van wijken in Amsterdam in 2023</w:t>
      </w:r>
      <w:r w:rsidR="00E32911">
        <w:rPr>
          <w:lang w:val="en-US"/>
        </w:rPr>
        <w:t>.</w:t>
      </w:r>
      <w:r w:rsidR="008F65A7">
        <w:rPr>
          <w:lang w:val="en-US"/>
        </w:rPr>
        <w:t xml:space="preserve"> </w:t>
      </w:r>
      <w:hyperlink r:id="rId135" w:history="1">
        <w:r w:rsidR="00E32911">
          <w:rPr>
            <w:rStyle w:val="Hyperlink"/>
            <w:lang w:val="en-US"/>
          </w:rPr>
          <w:t>L</w:t>
        </w:r>
        <w:r w:rsidR="008F65A7" w:rsidRPr="008F65A7">
          <w:rPr>
            <w:rStyle w:val="Hyperlink"/>
            <w:lang w:val="en-US"/>
          </w:rPr>
          <w:t>ink</w:t>
        </w:r>
      </w:hyperlink>
      <w:r w:rsidR="008F65A7">
        <w:rPr>
          <w:lang w:val="en-US"/>
        </w:rPr>
        <w:t>.</w:t>
      </w:r>
    </w:p>
  </w:footnote>
  <w:footnote w:id="189">
    <w:p w14:paraId="38059176" w14:textId="77777777" w:rsidR="0079430A" w:rsidRPr="00784CF1" w:rsidRDefault="0079430A" w:rsidP="00543472">
      <w:pPr>
        <w:pStyle w:val="FootnoteText"/>
        <w:jc w:val="both"/>
      </w:pPr>
      <w:r w:rsidRPr="00784CF1">
        <w:rPr>
          <w:rStyle w:val="FootnoteReference"/>
        </w:rPr>
        <w:footnoteRef/>
      </w:r>
      <w:r w:rsidRPr="00784CF1">
        <w:t xml:space="preserve"> Valente, R., Bornioli, A., Vermeulen, S., &amp; Russo, A. P. (2023). Short-term rentals and long-term residence in Amsterdam and Barcelona: A comparative outlook. </w:t>
      </w:r>
      <w:r w:rsidRPr="00784CF1">
        <w:rPr>
          <w:i/>
          <w:iCs/>
        </w:rPr>
        <w:t>Cities</w:t>
      </w:r>
      <w:r w:rsidRPr="00784CF1">
        <w:t>, </w:t>
      </w:r>
      <w:r w:rsidRPr="00784CF1">
        <w:rPr>
          <w:i/>
          <w:iCs/>
        </w:rPr>
        <w:t>136</w:t>
      </w:r>
      <w:r w:rsidRPr="00784CF1">
        <w:t xml:space="preserve">, 104252. </w:t>
      </w:r>
      <w:hyperlink r:id="rId136" w:history="1">
        <w:r w:rsidRPr="00784CF1">
          <w:rPr>
            <w:rStyle w:val="Hyperlink"/>
          </w:rPr>
          <w:t>Link</w:t>
        </w:r>
      </w:hyperlink>
      <w:r w:rsidRPr="00784CF1">
        <w:t xml:space="preserve">. </w:t>
      </w:r>
    </w:p>
  </w:footnote>
  <w:footnote w:id="190">
    <w:p w14:paraId="6C8E9C7A" w14:textId="228A4869" w:rsidR="008D204A" w:rsidRPr="008D204A" w:rsidRDefault="008D204A" w:rsidP="00543472">
      <w:pPr>
        <w:pStyle w:val="FootnoteText"/>
        <w:jc w:val="both"/>
        <w:rPr>
          <w:lang w:val="en-US"/>
        </w:rPr>
      </w:pPr>
      <w:r>
        <w:rPr>
          <w:rStyle w:val="FootnoteReference"/>
        </w:rPr>
        <w:footnoteRef/>
      </w:r>
      <w:r>
        <w:t xml:space="preserve"> </w:t>
      </w:r>
      <w:r w:rsidRPr="00784CF1">
        <w:t xml:space="preserve">StatLine. (2024). Overnight accommodation; capacity, type of accommodation, beds, region. </w:t>
      </w:r>
      <w:hyperlink r:id="rId137" w:anchor="/CBS/en/dataset/82062ENG/table?ts=1736761801175" w:history="1">
        <w:r w:rsidRPr="00784CF1">
          <w:rPr>
            <w:rStyle w:val="Hyperlink"/>
          </w:rPr>
          <w:t>Link</w:t>
        </w:r>
      </w:hyperlink>
      <w:r w:rsidRPr="00784CF1">
        <w:t>.</w:t>
      </w:r>
    </w:p>
  </w:footnote>
  <w:footnote w:id="191">
    <w:p w14:paraId="48AA2419" w14:textId="77777777" w:rsidR="0079430A" w:rsidRPr="00784CF1" w:rsidRDefault="0079430A" w:rsidP="00543472">
      <w:pPr>
        <w:pStyle w:val="FootnoteText"/>
        <w:jc w:val="both"/>
      </w:pPr>
      <w:r w:rsidRPr="00784CF1">
        <w:rPr>
          <w:rStyle w:val="FootnoteReference"/>
        </w:rPr>
        <w:footnoteRef/>
      </w:r>
      <w:r w:rsidRPr="00784CF1">
        <w:t xml:space="preserve"> Bundesministerium der Justiz. Bürgerliches Gesetzbuch (BGB) § 549 Auf Wohnraummietverhältnisse anwendbare Vorschriften. </w:t>
      </w:r>
      <w:hyperlink r:id="rId138" w:anchor="BJNR001950896BJNE054503360" w:history="1">
        <w:r w:rsidRPr="00784CF1">
          <w:rPr>
            <w:rStyle w:val="Hyperlink"/>
          </w:rPr>
          <w:t>Link</w:t>
        </w:r>
      </w:hyperlink>
      <w:r w:rsidRPr="00784CF1">
        <w:t xml:space="preserve">. </w:t>
      </w:r>
    </w:p>
  </w:footnote>
  <w:footnote w:id="192">
    <w:p w14:paraId="4237B0D1" w14:textId="77777777" w:rsidR="0079430A" w:rsidRPr="00784CF1" w:rsidRDefault="0079430A" w:rsidP="00543472">
      <w:pPr>
        <w:pStyle w:val="FootnoteText"/>
        <w:jc w:val="both"/>
      </w:pPr>
      <w:r w:rsidRPr="00784CF1">
        <w:rPr>
          <w:rStyle w:val="FootnoteReference"/>
        </w:rPr>
        <w:footnoteRef/>
      </w:r>
      <w:r w:rsidRPr="00784CF1">
        <w:t xml:space="preserve"> S&amp;KO Legal Group. (2023). Kurzzeitvermietund. </w:t>
      </w:r>
      <w:hyperlink r:id="rId139" w:history="1">
        <w:r w:rsidRPr="00784CF1">
          <w:rPr>
            <w:rStyle w:val="Hyperlink"/>
          </w:rPr>
          <w:t>Link</w:t>
        </w:r>
      </w:hyperlink>
      <w:r w:rsidRPr="00784CF1">
        <w:t xml:space="preserve">. </w:t>
      </w:r>
    </w:p>
  </w:footnote>
  <w:footnote w:id="193">
    <w:p w14:paraId="6D8724AE" w14:textId="77777777" w:rsidR="0079430A" w:rsidRPr="00784CF1" w:rsidRDefault="0079430A" w:rsidP="00543472">
      <w:pPr>
        <w:pStyle w:val="FootnoteText"/>
        <w:jc w:val="both"/>
      </w:pPr>
      <w:r w:rsidRPr="00784CF1">
        <w:rPr>
          <w:rStyle w:val="FootnoteReference"/>
        </w:rPr>
        <w:footnoteRef/>
      </w:r>
      <w:r w:rsidRPr="00784CF1">
        <w:t xml:space="preserve"> Erfolgreicher vermieten.de. (2024). Gesetze für Vermieter 2024 | Rechtlicher Rahmen der Vermietung an Feriengäste. </w:t>
      </w:r>
      <w:hyperlink r:id="rId140" w:history="1">
        <w:r w:rsidRPr="00784CF1">
          <w:rPr>
            <w:rStyle w:val="Hyperlink"/>
          </w:rPr>
          <w:t>Link</w:t>
        </w:r>
      </w:hyperlink>
      <w:r w:rsidRPr="00784CF1">
        <w:t xml:space="preserve">. </w:t>
      </w:r>
    </w:p>
  </w:footnote>
  <w:footnote w:id="194">
    <w:p w14:paraId="7497107B" w14:textId="77777777" w:rsidR="0079430A" w:rsidRPr="00784CF1" w:rsidRDefault="0079430A" w:rsidP="00543472">
      <w:pPr>
        <w:pStyle w:val="FootnoteText"/>
        <w:jc w:val="both"/>
      </w:pPr>
      <w:r w:rsidRPr="00784CF1">
        <w:rPr>
          <w:rStyle w:val="FootnoteReference"/>
        </w:rPr>
        <w:footnoteRef/>
      </w:r>
      <w:r w:rsidRPr="00784CF1">
        <w:t xml:space="preserve"> Wunderflats. (2024). Which regulations on the subject of misuse are important for you as a landlord/-lady of temporary furnished apartments? </w:t>
      </w:r>
      <w:hyperlink r:id="rId141" w:history="1">
        <w:r w:rsidRPr="00784CF1">
          <w:rPr>
            <w:rStyle w:val="Hyperlink"/>
          </w:rPr>
          <w:t>Link</w:t>
        </w:r>
      </w:hyperlink>
      <w:r w:rsidRPr="00784CF1">
        <w:t>.</w:t>
      </w:r>
    </w:p>
  </w:footnote>
  <w:footnote w:id="195">
    <w:p w14:paraId="626046D4" w14:textId="77777777" w:rsidR="0079430A" w:rsidRPr="00784CF1" w:rsidRDefault="0079430A" w:rsidP="00543472">
      <w:pPr>
        <w:pStyle w:val="FootnoteText"/>
        <w:jc w:val="both"/>
      </w:pPr>
      <w:r w:rsidRPr="00784CF1">
        <w:rPr>
          <w:rStyle w:val="FootnoteReference"/>
        </w:rPr>
        <w:footnoteRef/>
      </w:r>
      <w:r w:rsidRPr="00784CF1">
        <w:t xml:space="preserve"> Wunderflats. (2024). Legal conditions which are important for you as a landlord/-lady of furnished temporary rentals in Germany. </w:t>
      </w:r>
      <w:hyperlink r:id="rId142" w:history="1">
        <w:r w:rsidRPr="00784CF1">
          <w:rPr>
            <w:rStyle w:val="Hyperlink"/>
          </w:rPr>
          <w:t>Link</w:t>
        </w:r>
      </w:hyperlink>
      <w:r w:rsidRPr="00784CF1">
        <w:t xml:space="preserve">. </w:t>
      </w:r>
    </w:p>
  </w:footnote>
  <w:footnote w:id="196">
    <w:p w14:paraId="4396C01B" w14:textId="0B61DF11" w:rsidR="00EC1F11" w:rsidRDefault="00EC1F11" w:rsidP="00543472">
      <w:pPr>
        <w:pStyle w:val="FootnoteText"/>
        <w:jc w:val="both"/>
      </w:pPr>
      <w:r>
        <w:rPr>
          <w:rStyle w:val="FootnoteReference"/>
        </w:rPr>
        <w:footnoteRef/>
      </w:r>
      <w:r>
        <w:t xml:space="preserve"> Kholodilin, K. A. (2022). Rent controls effect through the lens of empirical reseach. DIW Roundup 139,16 5. </w:t>
      </w:r>
      <w:hyperlink r:id="rId143" w:history="1">
        <w:r w:rsidRPr="00EC1F11">
          <w:rPr>
            <w:rStyle w:val="Hyperlink"/>
          </w:rPr>
          <w:t>Link</w:t>
        </w:r>
      </w:hyperlink>
      <w:r>
        <w:t xml:space="preserve">. </w:t>
      </w:r>
    </w:p>
  </w:footnote>
  <w:footnote w:id="197">
    <w:p w14:paraId="3FB753B8" w14:textId="77777777" w:rsidR="00EC1F11" w:rsidRPr="00784CF1" w:rsidRDefault="00EC1F11" w:rsidP="00543472">
      <w:pPr>
        <w:pStyle w:val="FootnoteText"/>
        <w:jc w:val="both"/>
      </w:pPr>
      <w:r w:rsidRPr="00784CF1">
        <w:rPr>
          <w:rStyle w:val="FootnoteReference"/>
        </w:rPr>
        <w:footnoteRef/>
      </w:r>
      <w:r w:rsidRPr="00784CF1">
        <w:t xml:space="preserve"> Byrne, M. (2024). Germany’s „rent brake“ and the impact of rent controls. The week in housing. </w:t>
      </w:r>
      <w:hyperlink r:id="rId144" w:history="1">
        <w:r w:rsidRPr="00784CF1">
          <w:rPr>
            <w:rStyle w:val="Hyperlink"/>
          </w:rPr>
          <w:t>Link</w:t>
        </w:r>
      </w:hyperlink>
      <w:r w:rsidRPr="00784CF1">
        <w:t xml:space="preserve">. </w:t>
      </w:r>
    </w:p>
  </w:footnote>
  <w:footnote w:id="198">
    <w:p w14:paraId="71C6C787" w14:textId="77777777" w:rsidR="00B604A2" w:rsidRDefault="00EC1F11" w:rsidP="00543472">
      <w:pPr>
        <w:pStyle w:val="FootnoteText"/>
        <w:jc w:val="both"/>
      </w:pPr>
      <w:r>
        <w:rPr>
          <w:rStyle w:val="FootnoteReference"/>
        </w:rPr>
        <w:footnoteRef/>
      </w:r>
      <w:r>
        <w:t xml:space="preserve"> Hahn, A. M., Kholodilin K. A., Waltl S. R. (2021). Forwars to the past: short-term effects of the rent freeze in Berlin. </w:t>
      </w:r>
      <w:hyperlink r:id="rId145" w:history="1">
        <w:r w:rsidRPr="00EC1F11">
          <w:rPr>
            <w:rStyle w:val="Hyperlink"/>
          </w:rPr>
          <w:t>Link</w:t>
        </w:r>
      </w:hyperlink>
      <w:r w:rsidR="00B604A2">
        <w:t>;</w:t>
      </w:r>
    </w:p>
    <w:p w14:paraId="022298BF" w14:textId="56A4ABC5" w:rsidR="00EC1F11" w:rsidRDefault="002C591B" w:rsidP="00543472">
      <w:pPr>
        <w:pStyle w:val="FootnoteText"/>
        <w:jc w:val="both"/>
      </w:pPr>
      <w:r>
        <w:t xml:space="preserve">Duso, T. Michelsen, C. </w:t>
      </w:r>
      <w:r w:rsidR="00DE0A4A">
        <w:t xml:space="preserve">Schaefer, M. </w:t>
      </w:r>
      <w:r w:rsidR="00F80AB4">
        <w:t>Ducbao Tran, K</w:t>
      </w:r>
      <w:r w:rsidR="00DC0710">
        <w:t xml:space="preserve"> (2024). </w:t>
      </w:r>
      <w:r w:rsidR="00DC0710" w:rsidRPr="00DC0710">
        <w:t>Airbnb and rental markets: Evidence from Berlin</w:t>
      </w:r>
      <w:r w:rsidR="00DC0710">
        <w:t xml:space="preserve">. </w:t>
      </w:r>
      <w:hyperlink r:id="rId146" w:anchor=":~:text=Policy%20changes%20in%20Berlin%20in,and%20higher%20rents%20on%20average." w:history="1">
        <w:r w:rsidR="00DC0710" w:rsidRPr="00DC0710">
          <w:rPr>
            <w:rStyle w:val="Hyperlink"/>
          </w:rPr>
          <w:t>Link</w:t>
        </w:r>
      </w:hyperlink>
      <w:r w:rsidR="00DC0710">
        <w:t>.</w:t>
      </w:r>
    </w:p>
  </w:footnote>
  <w:footnote w:id="199">
    <w:p w14:paraId="255B3C63" w14:textId="77777777" w:rsidR="0079430A" w:rsidRPr="00784CF1" w:rsidRDefault="0079430A" w:rsidP="00543472">
      <w:pPr>
        <w:pStyle w:val="FootnoteText"/>
        <w:jc w:val="both"/>
      </w:pPr>
      <w:r w:rsidRPr="00784CF1">
        <w:rPr>
          <w:rStyle w:val="FootnoteReference"/>
        </w:rPr>
        <w:footnoteRef/>
      </w:r>
      <w:r w:rsidRPr="00784CF1">
        <w:t xml:space="preserve"> Potsdam. Zweckenfremdung. </w:t>
      </w:r>
      <w:hyperlink r:id="rId147" w:history="1">
        <w:r w:rsidRPr="00784CF1">
          <w:rPr>
            <w:rStyle w:val="Hyperlink"/>
          </w:rPr>
          <w:t>Link</w:t>
        </w:r>
      </w:hyperlink>
      <w:r w:rsidRPr="00784CF1">
        <w:t xml:space="preserve">. </w:t>
      </w:r>
    </w:p>
  </w:footnote>
  <w:footnote w:id="200">
    <w:p w14:paraId="6B7D78E6" w14:textId="77777777" w:rsidR="001D224C" w:rsidRDefault="00FA3768" w:rsidP="00543472">
      <w:pPr>
        <w:pStyle w:val="FootnoteText"/>
        <w:jc w:val="both"/>
      </w:pPr>
      <w:r>
        <w:rPr>
          <w:rStyle w:val="FootnoteReference"/>
        </w:rPr>
        <w:footnoteRef/>
      </w:r>
      <w:r>
        <w:t xml:space="preserve"> </w:t>
      </w:r>
      <w:r w:rsidR="001D224C">
        <w:t xml:space="preserve">Hahn, A. M., Kholodilin K. A., Waltl S. R. (2021). Forwars to the past: short-term effects of the rent freeze in Berlin. </w:t>
      </w:r>
      <w:hyperlink r:id="rId148" w:history="1">
        <w:r w:rsidR="001D224C" w:rsidRPr="00EC1F11">
          <w:rPr>
            <w:rStyle w:val="Hyperlink"/>
          </w:rPr>
          <w:t>Link</w:t>
        </w:r>
      </w:hyperlink>
      <w:r w:rsidR="001D224C">
        <w:t>;</w:t>
      </w:r>
    </w:p>
    <w:p w14:paraId="122B98BC" w14:textId="298EB1E3" w:rsidR="00FA3768" w:rsidRPr="00FA3768" w:rsidRDefault="001D224C" w:rsidP="00543472">
      <w:pPr>
        <w:pStyle w:val="FootnoteText"/>
        <w:jc w:val="both"/>
        <w:rPr>
          <w:lang w:val="en-US"/>
        </w:rPr>
      </w:pPr>
      <w:r>
        <w:t xml:space="preserve">Duso, T. Michelsen, C. Schaefer, M. Ducbao Tran, K (2024). </w:t>
      </w:r>
      <w:r w:rsidRPr="00DC0710">
        <w:t>Airbnb and rental markets: Evidence from Berlin</w:t>
      </w:r>
      <w:r>
        <w:t xml:space="preserve">. </w:t>
      </w:r>
      <w:hyperlink r:id="rId149" w:anchor=":~:text=Policy%20changes%20in%20Berlin%20in,and%20higher%20rents%20on%20average.">
        <w:r w:rsidR="075314E9" w:rsidRPr="075314E9">
          <w:rPr>
            <w:rStyle w:val="Hyperlink"/>
          </w:rPr>
          <w:t>Link</w:t>
        </w:r>
      </w:hyperlink>
      <w:r w:rsidR="075314E9">
        <w:t>.</w:t>
      </w:r>
    </w:p>
  </w:footnote>
  <w:footnote w:id="201">
    <w:p w14:paraId="38286D6B" w14:textId="77777777" w:rsidR="0079430A" w:rsidRPr="00784CF1" w:rsidRDefault="0079430A" w:rsidP="00543472">
      <w:pPr>
        <w:pStyle w:val="FootnoteText"/>
        <w:jc w:val="both"/>
      </w:pPr>
      <w:r w:rsidRPr="00784CF1">
        <w:rPr>
          <w:rStyle w:val="FootnoteReference"/>
        </w:rPr>
        <w:footnoteRef/>
      </w:r>
      <w:r w:rsidRPr="00784CF1">
        <w:t xml:space="preserve"> Berlin. ServicePortal. </w:t>
      </w:r>
      <w:hyperlink r:id="rId150" w:history="1">
        <w:r w:rsidRPr="00784CF1">
          <w:rPr>
            <w:rStyle w:val="Hyperlink"/>
          </w:rPr>
          <w:t>Link</w:t>
        </w:r>
      </w:hyperlink>
      <w:r w:rsidRPr="00784CF1">
        <w:t xml:space="preserve">. </w:t>
      </w:r>
    </w:p>
  </w:footnote>
  <w:footnote w:id="202">
    <w:p w14:paraId="01FA7858" w14:textId="77777777" w:rsidR="0079430A" w:rsidRPr="00784CF1" w:rsidRDefault="0079430A" w:rsidP="00543472">
      <w:pPr>
        <w:pStyle w:val="FootnoteText"/>
        <w:jc w:val="both"/>
      </w:pPr>
      <w:r w:rsidRPr="00784CF1">
        <w:rPr>
          <w:rStyle w:val="FootnoteReference"/>
        </w:rPr>
        <w:footnoteRef/>
      </w:r>
      <w:r w:rsidRPr="00784CF1">
        <w:t xml:space="preserve"> Berlin. (2013). über das Verbot der Zweckentfremdung von Wohnraum (Zweckentfremdungsverbot-Gesetz - ZwVbG). </w:t>
      </w:r>
      <w:hyperlink r:id="rId151" w:history="1">
        <w:r w:rsidRPr="00784CF1">
          <w:rPr>
            <w:rStyle w:val="Hyperlink"/>
          </w:rPr>
          <w:t>Link</w:t>
        </w:r>
      </w:hyperlink>
      <w:r w:rsidRPr="00784CF1">
        <w:t xml:space="preserve">. </w:t>
      </w:r>
    </w:p>
  </w:footnote>
  <w:footnote w:id="203">
    <w:p w14:paraId="00E76C9D" w14:textId="77777777" w:rsidR="0079430A" w:rsidRPr="00784CF1" w:rsidRDefault="0079430A" w:rsidP="00543472">
      <w:pPr>
        <w:pStyle w:val="FootnoteText"/>
        <w:jc w:val="both"/>
      </w:pPr>
      <w:r w:rsidRPr="00784CF1">
        <w:rPr>
          <w:rStyle w:val="FootnoteReference"/>
        </w:rPr>
        <w:footnoteRef/>
      </w:r>
      <w:r w:rsidRPr="00784CF1">
        <w:t xml:space="preserve"> Der Ferienhausmarkt in Deutschland – Volumen und wirtschaftliche Bedeutung. (2024). </w:t>
      </w:r>
      <w:hyperlink r:id="rId152" w:history="1">
        <w:r w:rsidRPr="00784CF1">
          <w:rPr>
            <w:rStyle w:val="Hyperlink"/>
          </w:rPr>
          <w:t>Li</w:t>
        </w:r>
        <w:bookmarkStart w:id="175" w:name="_Hlt196469033"/>
        <w:bookmarkStart w:id="176" w:name="_Hlt196469034"/>
        <w:r w:rsidRPr="00784CF1">
          <w:rPr>
            <w:rStyle w:val="Hyperlink"/>
          </w:rPr>
          <w:t>n</w:t>
        </w:r>
        <w:bookmarkEnd w:id="175"/>
        <w:bookmarkEnd w:id="176"/>
        <w:r w:rsidRPr="00784CF1">
          <w:rPr>
            <w:rStyle w:val="Hyperlink"/>
          </w:rPr>
          <w:t>k</w:t>
        </w:r>
      </w:hyperlink>
      <w:r w:rsidRPr="00784CF1">
        <w:t>.</w:t>
      </w:r>
    </w:p>
  </w:footnote>
  <w:footnote w:id="204">
    <w:p w14:paraId="493E6FB2" w14:textId="77777777" w:rsidR="0079430A" w:rsidRPr="00784CF1" w:rsidRDefault="0079430A" w:rsidP="00543472">
      <w:pPr>
        <w:pStyle w:val="FootnoteText"/>
        <w:jc w:val="both"/>
      </w:pPr>
      <w:r w:rsidRPr="00784CF1">
        <w:rPr>
          <w:rStyle w:val="FootnoteReference"/>
        </w:rPr>
        <w:footnoteRef/>
      </w:r>
      <w:r w:rsidRPr="00784CF1">
        <w:t xml:space="preserve"> Knight, B. (2024). Airbnb: Berlin court deals blow to holiday home platform. </w:t>
      </w:r>
      <w:hyperlink r:id="rId153" w:history="1">
        <w:r w:rsidRPr="00784CF1">
          <w:rPr>
            <w:rStyle w:val="Hyperlink"/>
          </w:rPr>
          <w:t>Link.</w:t>
        </w:r>
      </w:hyperlink>
      <w:r w:rsidRPr="00784CF1">
        <w:t xml:space="preserve">; Knight, B (2019). Berlin renters fight to save their homes from new buyers. DW. </w:t>
      </w:r>
      <w:hyperlink r:id="rId154" w:history="1">
        <w:r w:rsidRPr="00784CF1">
          <w:rPr>
            <w:rStyle w:val="Hyperlink"/>
          </w:rPr>
          <w:t>Link</w:t>
        </w:r>
      </w:hyperlink>
      <w:r w:rsidRPr="00784CF1">
        <w:t xml:space="preserve">. </w:t>
      </w:r>
    </w:p>
  </w:footnote>
  <w:footnote w:id="205">
    <w:p w14:paraId="019A0175" w14:textId="38A02BE1" w:rsidR="003C2D30" w:rsidRDefault="003C2D30" w:rsidP="00543472">
      <w:pPr>
        <w:pStyle w:val="FootnoteText"/>
        <w:jc w:val="both"/>
      </w:pPr>
      <w:r>
        <w:rPr>
          <w:rStyle w:val="FootnoteReference"/>
        </w:rPr>
        <w:footnoteRef/>
      </w:r>
      <w:r>
        <w:t xml:space="preserve"> </w:t>
      </w:r>
      <w:r w:rsidR="00D14A1B" w:rsidRPr="00D14A1B">
        <w:t>Deutscher Ferienhausverband, FeWo-direkt &amp; Statista. (2024, jaanuar). Der Ferienhausmarkt in Deutschland – Volumen und wirtschaftliche Bedeutung</w:t>
      </w:r>
      <w:r w:rsidR="00D14A1B">
        <w:t xml:space="preserve">. </w:t>
      </w:r>
      <w:hyperlink r:id="rId155" w:history="1">
        <w:r w:rsidR="00D14A1B" w:rsidRPr="00D14A1B">
          <w:rPr>
            <w:rStyle w:val="Hyperlink"/>
          </w:rPr>
          <w:t>Link</w:t>
        </w:r>
      </w:hyperlink>
      <w:r w:rsidR="00D14A1B">
        <w:t xml:space="preserve">. </w:t>
      </w:r>
    </w:p>
  </w:footnote>
  <w:footnote w:id="206">
    <w:p w14:paraId="7B4FD406" w14:textId="77777777" w:rsidR="0079430A" w:rsidRPr="00784CF1" w:rsidRDefault="0079430A" w:rsidP="00543472">
      <w:pPr>
        <w:pStyle w:val="FootnoteText"/>
        <w:jc w:val="both"/>
      </w:pPr>
      <w:r w:rsidRPr="00784CF1">
        <w:rPr>
          <w:rStyle w:val="FootnoteReference"/>
        </w:rPr>
        <w:footnoteRef/>
      </w:r>
      <w:r w:rsidRPr="00784CF1">
        <w:t xml:space="preserve"> S. Tomaso Duso. C. Michelsen. M. Schäfer. K.D. Tran. Airbnb and Rents: Evidence from Berlin. DIW Berlin. 2020. </w:t>
      </w:r>
      <w:hyperlink r:id="rId156" w:history="1">
        <w:r w:rsidRPr="00784CF1">
          <w:rPr>
            <w:rStyle w:val="Hyperlink"/>
          </w:rPr>
          <w:t>L</w:t>
        </w:r>
        <w:bookmarkStart w:id="178" w:name="_Hlt196469522"/>
        <w:r w:rsidRPr="00784CF1">
          <w:rPr>
            <w:rStyle w:val="Hyperlink"/>
          </w:rPr>
          <w:t>i</w:t>
        </w:r>
        <w:bookmarkEnd w:id="178"/>
        <w:r w:rsidRPr="00784CF1">
          <w:rPr>
            <w:rStyle w:val="Hyperlink"/>
          </w:rPr>
          <w:t>nk</w:t>
        </w:r>
      </w:hyperlink>
      <w:r w:rsidRPr="00784CF1">
        <w:t>.</w:t>
      </w:r>
    </w:p>
  </w:footnote>
  <w:footnote w:id="207">
    <w:p w14:paraId="05C7BF21" w14:textId="77B40AF6" w:rsidR="00EC1F11" w:rsidRDefault="00EC1F11">
      <w:pPr>
        <w:pStyle w:val="FootnoteText"/>
      </w:pPr>
      <w:r>
        <w:rPr>
          <w:rStyle w:val="FootnoteReference"/>
        </w:rPr>
        <w:footnoteRef/>
      </w:r>
      <w:r>
        <w:t xml:space="preserve"> </w:t>
      </w:r>
      <w:r w:rsidRPr="00784CF1">
        <w:t xml:space="preserve">S. Tomaso Duso. C. Michelsen. M. Schäfer. K.D. Tran. Airbnb and Rents: Evidence from Berlin. DIW Berlin. 2020. </w:t>
      </w:r>
      <w:hyperlink r:id="rId157" w:history="1">
        <w:r w:rsidRPr="00784CF1">
          <w:rPr>
            <w:rStyle w:val="Hyperlink"/>
          </w:rPr>
          <w:t>Link</w:t>
        </w:r>
      </w:hyperlink>
      <w:r w:rsidRPr="00784CF1">
        <w:t>.</w:t>
      </w:r>
    </w:p>
  </w:footnote>
  <w:footnote w:id="208">
    <w:p w14:paraId="091C04A7" w14:textId="77777777" w:rsidR="008C73C9" w:rsidRDefault="008C73C9" w:rsidP="008C73C9">
      <w:pPr>
        <w:pStyle w:val="FootnoteText"/>
      </w:pPr>
      <w:r>
        <w:rPr>
          <w:rStyle w:val="FootnoteReference"/>
        </w:rPr>
        <w:footnoteRef/>
      </w:r>
      <w:r>
        <w:t xml:space="preserve"> Hahn, A. M., Kholodilin K. A., Waltl S. R. (2021). Forwars to the past: short-term effects of the rent freeze in Berlin. </w:t>
      </w:r>
      <w:hyperlink r:id="rId158" w:history="1">
        <w:r w:rsidRPr="00EC1F11">
          <w:rPr>
            <w:rStyle w:val="Hyperlink"/>
          </w:rPr>
          <w:t>Link</w:t>
        </w:r>
      </w:hyperlink>
      <w:r>
        <w:t>;</w:t>
      </w:r>
    </w:p>
    <w:p w14:paraId="63657AB1" w14:textId="12EB308B" w:rsidR="008C73C9" w:rsidRPr="00237AA1" w:rsidRDefault="008C73C9" w:rsidP="008C73C9">
      <w:pPr>
        <w:pStyle w:val="FootnoteText"/>
      </w:pPr>
      <w:r>
        <w:t xml:space="preserve">Duso, T. Michelsen, C. Schaefer, M. Ducbao Tran, K (2024). </w:t>
      </w:r>
      <w:r w:rsidRPr="00DC0710">
        <w:t>Airbnb and rental markets: Evidence from Berlin</w:t>
      </w:r>
      <w:r>
        <w:t xml:space="preserve">. </w:t>
      </w:r>
      <w:hyperlink r:id="rId159" w:anchor=":~:text=Policy%20changes%20in%20Berlin%20in,and%20higher%20rents%20on%20average." w:history="1">
        <w:r w:rsidRPr="00DC0710">
          <w:rPr>
            <w:rStyle w:val="Hyperlink"/>
          </w:rPr>
          <w:t>Link</w:t>
        </w:r>
      </w:hyperlink>
      <w:r>
        <w:t>.</w:t>
      </w:r>
    </w:p>
  </w:footnote>
  <w:footnote w:id="209">
    <w:p w14:paraId="03F36A1B" w14:textId="40D70EFB" w:rsidR="001C0740" w:rsidRPr="00452CD3" w:rsidRDefault="001C0740">
      <w:pPr>
        <w:pStyle w:val="FootnoteText"/>
      </w:pPr>
      <w:r>
        <w:rPr>
          <w:rStyle w:val="FootnoteReference"/>
        </w:rPr>
        <w:footnoteRef/>
      </w:r>
      <w:r>
        <w:t xml:space="preserve"> </w:t>
      </w:r>
      <w:r w:rsidRPr="00397A92">
        <w:rPr>
          <w:i/>
        </w:rPr>
        <w:t>Rakennuslaki</w:t>
      </w:r>
      <w:r w:rsidRPr="001C0740">
        <w:t xml:space="preserve"> 21.4.751/2023</w:t>
      </w:r>
    </w:p>
  </w:footnote>
  <w:footnote w:id="210">
    <w:p w14:paraId="4E37E552" w14:textId="03E481B5" w:rsidR="007632B1" w:rsidRPr="00397A92" w:rsidRDefault="007632B1">
      <w:pPr>
        <w:pStyle w:val="FootnoteText"/>
      </w:pPr>
      <w:r>
        <w:rPr>
          <w:rStyle w:val="FootnoteReference"/>
        </w:rPr>
        <w:footnoteRef/>
      </w:r>
      <w:r>
        <w:t xml:space="preserve"> </w:t>
      </w:r>
      <w:r w:rsidR="000C4799" w:rsidRPr="000C4799">
        <w:rPr>
          <w:i/>
          <w:iCs/>
        </w:rPr>
        <w:t>Alueidenkäyttolaki</w:t>
      </w:r>
      <w:r w:rsidR="000C4799" w:rsidRPr="000C4799">
        <w:t xml:space="preserve"> 5.2.132/1999</w:t>
      </w:r>
    </w:p>
  </w:footnote>
  <w:footnote w:id="211">
    <w:p w14:paraId="19ADC0DF" w14:textId="77777777" w:rsidR="0053135B" w:rsidRPr="00784CF1" w:rsidRDefault="0053135B" w:rsidP="002A43E6">
      <w:pPr>
        <w:pStyle w:val="FootnoteText"/>
        <w:jc w:val="both"/>
      </w:pPr>
      <w:r w:rsidRPr="00784CF1">
        <w:rPr>
          <w:rStyle w:val="FootnoteReference"/>
        </w:rPr>
        <w:footnoteRef/>
      </w:r>
      <w:r w:rsidRPr="00784CF1">
        <w:t xml:space="preserve"> Valtioneuvosto. Ympäristöministeriö pyytää lausuntoja lyhytvuokraukseen liittyen asumisen ja majoittumisen määritelmistä sekä asuin-, majoitus- ja työtila-asetuksesta. 04.2024. </w:t>
      </w:r>
      <w:hyperlink r:id="rId160" w:history="1">
        <w:r w:rsidRPr="00784CF1">
          <w:rPr>
            <w:rStyle w:val="Hyperlink"/>
          </w:rPr>
          <w:t>Link</w:t>
        </w:r>
      </w:hyperlink>
      <w:r w:rsidRPr="00784CF1">
        <w:t xml:space="preserve">; Yle. Finnish cities to start requiring permits for 'professional' Airbnb hosts. 05.2023. </w:t>
      </w:r>
      <w:hyperlink r:id="rId161" w:history="1">
        <w:r w:rsidRPr="00784CF1">
          <w:rPr>
            <w:rStyle w:val="Hyperlink"/>
          </w:rPr>
          <w:t>Link</w:t>
        </w:r>
      </w:hyperlink>
      <w:r w:rsidRPr="00784CF1">
        <w:t xml:space="preserve">; STRZ. Finland set to require permits for short-term rental hosts. 06.2024. </w:t>
      </w:r>
      <w:hyperlink r:id="rId162" w:history="1">
        <w:r w:rsidRPr="00784CF1">
          <w:rPr>
            <w:rStyle w:val="Hyperlink"/>
          </w:rPr>
          <w:t>Link</w:t>
        </w:r>
      </w:hyperlink>
      <w:r w:rsidRPr="00784CF1">
        <w:t>.</w:t>
      </w:r>
    </w:p>
  </w:footnote>
  <w:footnote w:id="212">
    <w:p w14:paraId="39CCEA7A" w14:textId="77777777" w:rsidR="0053135B" w:rsidRPr="00784CF1" w:rsidRDefault="0053135B" w:rsidP="002A43E6">
      <w:pPr>
        <w:pStyle w:val="FootnoteText"/>
        <w:jc w:val="both"/>
      </w:pPr>
      <w:r w:rsidRPr="00784CF1">
        <w:rPr>
          <w:rStyle w:val="FootnoteReference"/>
        </w:rPr>
        <w:footnoteRef/>
      </w:r>
      <w:r w:rsidRPr="00784CF1">
        <w:t xml:space="preserve"> Valtioneuvosto. Ympäristöministeriö pyytää lausuntoja lyhytvuokraukseen liittyen asumisen ja majoittumisen määritelmistä sekä asuin-, majoitus- ja työtila-asetuksesta. 04.2024. </w:t>
      </w:r>
      <w:hyperlink r:id="rId163" w:history="1">
        <w:r w:rsidRPr="00784CF1">
          <w:rPr>
            <w:rStyle w:val="Hyperlink"/>
          </w:rPr>
          <w:t>Link</w:t>
        </w:r>
      </w:hyperlink>
      <w:r w:rsidRPr="00784CF1">
        <w:t>.</w:t>
      </w:r>
    </w:p>
  </w:footnote>
  <w:footnote w:id="213">
    <w:p w14:paraId="054C1E65" w14:textId="77777777" w:rsidR="0053135B" w:rsidRPr="00784CF1" w:rsidRDefault="0053135B" w:rsidP="002A43E6">
      <w:pPr>
        <w:pStyle w:val="FootnoteText"/>
        <w:jc w:val="both"/>
      </w:pPr>
      <w:r w:rsidRPr="00784CF1">
        <w:rPr>
          <w:rStyle w:val="FootnoteReference"/>
        </w:rPr>
        <w:footnoteRef/>
      </w:r>
      <w:r w:rsidRPr="00784CF1">
        <w:t xml:space="preserve"> Valtioneuvosto. Ympäristöministeriö pyytää lausuntoja lyhytvuokraukseen liittyen asumisen ja majoittumisen määritelmistä sekä asuin-, majoitus- ja työtila-asetuksesta. 04.2024. </w:t>
      </w:r>
      <w:hyperlink r:id="rId164" w:history="1">
        <w:r w:rsidRPr="00784CF1">
          <w:rPr>
            <w:rStyle w:val="Hyperlink"/>
          </w:rPr>
          <w:t>Link</w:t>
        </w:r>
      </w:hyperlink>
      <w:r w:rsidRPr="00784CF1">
        <w:t xml:space="preserve">; Helsinki Times. Finland could allow municipalities to decide on short-term rental bans. 06.2024. </w:t>
      </w:r>
      <w:hyperlink r:id="rId165" w:history="1">
        <w:r w:rsidRPr="00784CF1">
          <w:rPr>
            <w:rStyle w:val="Hyperlink"/>
          </w:rPr>
          <w:t>Link</w:t>
        </w:r>
      </w:hyperlink>
      <w:r w:rsidRPr="00784CF1">
        <w:t>.</w:t>
      </w:r>
    </w:p>
  </w:footnote>
  <w:footnote w:id="214">
    <w:p w14:paraId="5436B486" w14:textId="77777777" w:rsidR="0053135B" w:rsidRPr="00784CF1" w:rsidRDefault="0053135B" w:rsidP="002A43E6">
      <w:pPr>
        <w:pStyle w:val="FootnoteText"/>
        <w:jc w:val="both"/>
      </w:pPr>
      <w:r w:rsidRPr="00784CF1">
        <w:rPr>
          <w:rStyle w:val="FootnoteReference"/>
        </w:rPr>
        <w:footnoteRef/>
      </w:r>
      <w:r w:rsidRPr="00784CF1">
        <w:t xml:space="preserve"> Yle. Finnish cities to start requiring permits for 'professional' Airbnb hosts. 05.2023. </w:t>
      </w:r>
      <w:hyperlink r:id="rId166" w:history="1">
        <w:r w:rsidRPr="00784CF1">
          <w:rPr>
            <w:rStyle w:val="Hyperlink"/>
          </w:rPr>
          <w:t>Link</w:t>
        </w:r>
      </w:hyperlink>
      <w:r w:rsidRPr="00784CF1">
        <w:t xml:space="preserve">; STRZ. Finland set to require permits for short-term rental hosts. 06.2024. </w:t>
      </w:r>
      <w:hyperlink r:id="rId167" w:history="1">
        <w:r w:rsidRPr="00784CF1">
          <w:rPr>
            <w:rStyle w:val="Hyperlink"/>
          </w:rPr>
          <w:t>Link</w:t>
        </w:r>
      </w:hyperlink>
      <w:r w:rsidRPr="00784CF1">
        <w:t xml:space="preserve">; LIEKE. Short-term rentals and accommodation activities – new directions for legislation. 05.2024. </w:t>
      </w:r>
      <w:hyperlink r:id="rId168" w:history="1">
        <w:r w:rsidRPr="00784CF1">
          <w:rPr>
            <w:rStyle w:val="Hyperlink"/>
          </w:rPr>
          <w:t>Link</w:t>
        </w:r>
      </w:hyperlink>
      <w:r w:rsidRPr="00784CF1">
        <w:t>.</w:t>
      </w:r>
    </w:p>
  </w:footnote>
  <w:footnote w:id="215">
    <w:p w14:paraId="51B85C7C" w14:textId="77777777" w:rsidR="0053135B" w:rsidRPr="00784CF1" w:rsidRDefault="0053135B" w:rsidP="002A43E6">
      <w:pPr>
        <w:pStyle w:val="FootnoteText"/>
        <w:jc w:val="both"/>
      </w:pPr>
      <w:r w:rsidRPr="00784CF1">
        <w:rPr>
          <w:rStyle w:val="FootnoteReference"/>
        </w:rPr>
        <w:footnoteRef/>
      </w:r>
      <w:r w:rsidRPr="00784CF1">
        <w:t xml:space="preserve"> Yle. Finnish cities to start requiring permits for 'professional' Airbnb hosts. 05.2023. </w:t>
      </w:r>
      <w:hyperlink r:id="rId169" w:history="1">
        <w:r w:rsidRPr="00784CF1">
          <w:rPr>
            <w:rStyle w:val="Hyperlink"/>
          </w:rPr>
          <w:t>Link</w:t>
        </w:r>
      </w:hyperlink>
      <w:r w:rsidRPr="00784CF1">
        <w:t xml:space="preserve">; STRZ. Finland set to require permits for short-term rental hosts. 06.2024. </w:t>
      </w:r>
      <w:hyperlink r:id="rId170" w:history="1">
        <w:r w:rsidRPr="00784CF1">
          <w:rPr>
            <w:rStyle w:val="Hyperlink"/>
          </w:rPr>
          <w:t>Link</w:t>
        </w:r>
      </w:hyperlink>
      <w:r w:rsidRPr="00784CF1">
        <w:t xml:space="preserve">; Valtioneuvosto. Ympäristöministeriö pyytää lausuntoja lyhytvuokraukseen liittyen asumisen ja majoittumisen määritelmistä sekä asuin-, majoitus- ja työtila-asetuksesta. 04.2024. </w:t>
      </w:r>
      <w:hyperlink r:id="rId171" w:history="1">
        <w:r w:rsidRPr="00784CF1">
          <w:rPr>
            <w:rStyle w:val="Hyperlink"/>
          </w:rPr>
          <w:t>Link</w:t>
        </w:r>
      </w:hyperlink>
      <w:r w:rsidRPr="00784CF1">
        <w:t>.</w:t>
      </w:r>
    </w:p>
  </w:footnote>
  <w:footnote w:id="216">
    <w:p w14:paraId="28C0D8CA" w14:textId="77777777" w:rsidR="0053135B" w:rsidRPr="00784CF1" w:rsidRDefault="0053135B" w:rsidP="002A43E6">
      <w:pPr>
        <w:pStyle w:val="FootnoteText"/>
        <w:jc w:val="both"/>
      </w:pPr>
      <w:r w:rsidRPr="00784CF1">
        <w:rPr>
          <w:rStyle w:val="FootnoteReference"/>
        </w:rPr>
        <w:footnoteRef/>
      </w:r>
      <w:r w:rsidRPr="00784CF1">
        <w:t xml:space="preserve"> Topten. Asunnoissa tapahtuva majoitustoiminta. 05.2023. </w:t>
      </w:r>
      <w:hyperlink r:id="rId172" w:history="1">
        <w:r w:rsidRPr="00784CF1">
          <w:rPr>
            <w:rStyle w:val="Hyperlink"/>
          </w:rPr>
          <w:t>Link</w:t>
        </w:r>
      </w:hyperlink>
      <w:r w:rsidRPr="00784CF1">
        <w:t xml:space="preserve">; LIEKE. Short-term rentals and accommodation activities – new directions for legislation. 05.2024. </w:t>
      </w:r>
      <w:hyperlink r:id="rId173" w:history="1">
        <w:r w:rsidRPr="00784CF1">
          <w:rPr>
            <w:rStyle w:val="Hyperlink"/>
          </w:rPr>
          <w:t>Link</w:t>
        </w:r>
      </w:hyperlink>
      <w:r w:rsidRPr="00784CF1">
        <w:t>.</w:t>
      </w:r>
    </w:p>
  </w:footnote>
  <w:footnote w:id="217">
    <w:p w14:paraId="09498BC3" w14:textId="77777777" w:rsidR="0053135B" w:rsidRPr="00784CF1" w:rsidRDefault="0053135B" w:rsidP="002A43E6">
      <w:pPr>
        <w:pStyle w:val="FootnoteText"/>
        <w:jc w:val="both"/>
      </w:pPr>
      <w:r w:rsidRPr="00784CF1">
        <w:rPr>
          <w:rStyle w:val="FootnoteReference"/>
        </w:rPr>
        <w:footnoteRef/>
      </w:r>
      <w:r w:rsidRPr="00784CF1">
        <w:t xml:space="preserve"> Helsinki. Instructions for providing accommodation in a flat. </w:t>
      </w:r>
      <w:hyperlink r:id="rId174" w:history="1">
        <w:r w:rsidRPr="00784CF1">
          <w:rPr>
            <w:rStyle w:val="Hyperlink"/>
          </w:rPr>
          <w:t>Link</w:t>
        </w:r>
      </w:hyperlink>
      <w:r w:rsidRPr="00784CF1">
        <w:t>.</w:t>
      </w:r>
    </w:p>
  </w:footnote>
  <w:footnote w:id="218">
    <w:p w14:paraId="65836B2A" w14:textId="77777777" w:rsidR="0053135B" w:rsidRPr="00784CF1" w:rsidRDefault="0053135B" w:rsidP="002A43E6">
      <w:pPr>
        <w:pStyle w:val="FootnoteText"/>
        <w:jc w:val="both"/>
      </w:pPr>
      <w:r w:rsidRPr="00784CF1">
        <w:rPr>
          <w:rStyle w:val="FootnoteReference"/>
        </w:rPr>
        <w:footnoteRef/>
      </w:r>
      <w:r w:rsidRPr="00784CF1">
        <w:t xml:space="preserve"> FINLEX. KHO:2024:75 15.5.2024/1382. Nr 1766/2023. 05.2024. </w:t>
      </w:r>
      <w:hyperlink r:id="rId175" w:history="1">
        <w:r w:rsidRPr="00784CF1">
          <w:rPr>
            <w:rStyle w:val="Hyperlink"/>
          </w:rPr>
          <w:t>Link</w:t>
        </w:r>
      </w:hyperlink>
      <w:r w:rsidRPr="00784CF1">
        <w:t>.</w:t>
      </w:r>
    </w:p>
  </w:footnote>
  <w:footnote w:id="219">
    <w:p w14:paraId="7DB3145A" w14:textId="77777777" w:rsidR="0053135B" w:rsidRPr="00784CF1" w:rsidRDefault="0053135B" w:rsidP="002A43E6">
      <w:pPr>
        <w:pStyle w:val="FootnoteText"/>
        <w:jc w:val="both"/>
      </w:pPr>
      <w:r w:rsidRPr="00784CF1">
        <w:rPr>
          <w:rStyle w:val="FootnoteReference"/>
        </w:rPr>
        <w:footnoteRef/>
      </w:r>
      <w:r w:rsidRPr="00784CF1">
        <w:t xml:space="preserve"> FINLEX. KHO:2014:143 26.9.2014/2865. Nr 3468/1/13,3468/1/13. 09.2014. </w:t>
      </w:r>
      <w:hyperlink r:id="rId176" w:history="1">
        <w:r w:rsidRPr="00784CF1">
          <w:rPr>
            <w:rStyle w:val="Hyperlink"/>
          </w:rPr>
          <w:t>Link</w:t>
        </w:r>
      </w:hyperlink>
      <w:r w:rsidRPr="00784CF1">
        <w:t>.</w:t>
      </w:r>
    </w:p>
  </w:footnote>
  <w:footnote w:id="220">
    <w:p w14:paraId="5A20C8B0" w14:textId="77777777" w:rsidR="0053135B" w:rsidRPr="00784CF1" w:rsidRDefault="0053135B" w:rsidP="002A43E6">
      <w:pPr>
        <w:pStyle w:val="FootnoteText"/>
        <w:jc w:val="both"/>
      </w:pPr>
      <w:r w:rsidRPr="00784CF1">
        <w:rPr>
          <w:rStyle w:val="FootnoteReference"/>
        </w:rPr>
        <w:footnoteRef/>
      </w:r>
      <w:r w:rsidRPr="00784CF1">
        <w:t xml:space="preserve"> FINLEX. KHO:2024:75 15.5.2024/1382. Nr 1766/2023. 05.2024. </w:t>
      </w:r>
      <w:hyperlink r:id="rId177" w:history="1">
        <w:r w:rsidRPr="00784CF1">
          <w:rPr>
            <w:rStyle w:val="Hyperlink"/>
          </w:rPr>
          <w:t>Link</w:t>
        </w:r>
      </w:hyperlink>
      <w:r w:rsidRPr="00784CF1">
        <w:t>.</w:t>
      </w:r>
    </w:p>
  </w:footnote>
  <w:footnote w:id="221">
    <w:p w14:paraId="36BFFBDA" w14:textId="77777777" w:rsidR="0053135B" w:rsidRPr="00784CF1" w:rsidRDefault="0053135B" w:rsidP="002A43E6">
      <w:pPr>
        <w:pStyle w:val="FootnoteText"/>
        <w:jc w:val="both"/>
      </w:pPr>
      <w:r w:rsidRPr="00784CF1">
        <w:rPr>
          <w:rStyle w:val="FootnoteReference"/>
        </w:rPr>
        <w:footnoteRef/>
      </w:r>
      <w:r w:rsidRPr="00784CF1">
        <w:t xml:space="preserve"> Helsinki. Instructions for providing accommodation in a flat. </w:t>
      </w:r>
      <w:hyperlink r:id="rId178" w:history="1">
        <w:r w:rsidRPr="00784CF1">
          <w:rPr>
            <w:rStyle w:val="Hyperlink"/>
          </w:rPr>
          <w:t>Link</w:t>
        </w:r>
      </w:hyperlink>
      <w:r w:rsidRPr="00784CF1">
        <w:t>.</w:t>
      </w:r>
    </w:p>
  </w:footnote>
  <w:footnote w:id="222">
    <w:p w14:paraId="7E2DB3F5" w14:textId="77777777" w:rsidR="0053135B" w:rsidRPr="00784CF1" w:rsidRDefault="0053135B" w:rsidP="0053135B">
      <w:pPr>
        <w:pStyle w:val="FootnoteText"/>
      </w:pPr>
      <w:r w:rsidRPr="00784CF1">
        <w:rPr>
          <w:rStyle w:val="FootnoteReference"/>
        </w:rPr>
        <w:footnoteRef/>
      </w:r>
      <w:r w:rsidRPr="00784CF1">
        <w:t xml:space="preserve"> Verohallinto. Short term and occasional rentals. </w:t>
      </w:r>
      <w:hyperlink r:id="rId179" w:history="1">
        <w:r w:rsidRPr="00784CF1">
          <w:rPr>
            <w:rStyle w:val="Hyperlink"/>
          </w:rPr>
          <w:t>Link</w:t>
        </w:r>
      </w:hyperlink>
      <w:r w:rsidRPr="00784CF1">
        <w:t>.</w:t>
      </w:r>
    </w:p>
  </w:footnote>
  <w:footnote w:id="223">
    <w:p w14:paraId="3A5DAF12" w14:textId="77777777" w:rsidR="0053135B" w:rsidRPr="00784CF1" w:rsidRDefault="0053135B" w:rsidP="0053135B">
      <w:pPr>
        <w:pStyle w:val="FootnoteText"/>
      </w:pPr>
      <w:r w:rsidRPr="00784CF1">
        <w:rPr>
          <w:rStyle w:val="FootnoteReference"/>
        </w:rPr>
        <w:footnoteRef/>
      </w:r>
      <w:r w:rsidRPr="00784CF1">
        <w:t xml:space="preserve"> Helsinki. Instructions for providing accommodation in a flat. </w:t>
      </w:r>
      <w:hyperlink r:id="rId180" w:history="1">
        <w:r w:rsidRPr="00784CF1">
          <w:rPr>
            <w:rStyle w:val="Hyperlink"/>
          </w:rPr>
          <w:t>Link</w:t>
        </w:r>
      </w:hyperlink>
      <w:r w:rsidRPr="00784CF1">
        <w:t>.</w:t>
      </w:r>
    </w:p>
  </w:footnote>
  <w:footnote w:id="224">
    <w:p w14:paraId="37122320" w14:textId="77777777" w:rsidR="0053135B" w:rsidRPr="00784CF1" w:rsidRDefault="0053135B" w:rsidP="0053135B">
      <w:pPr>
        <w:pStyle w:val="FootnoteText"/>
      </w:pPr>
      <w:r w:rsidRPr="00784CF1">
        <w:rPr>
          <w:rStyle w:val="FootnoteReference"/>
        </w:rPr>
        <w:footnoteRef/>
      </w:r>
      <w:r w:rsidRPr="00784CF1">
        <w:t xml:space="preserve"> Helsinki. Instructions for providing accommodation in a flat. </w:t>
      </w:r>
      <w:hyperlink r:id="rId181" w:history="1">
        <w:r w:rsidRPr="00784CF1">
          <w:rPr>
            <w:rStyle w:val="Hyperlink"/>
          </w:rPr>
          <w:t>Link</w:t>
        </w:r>
      </w:hyperlink>
      <w:r w:rsidRPr="00784CF1">
        <w:t>.</w:t>
      </w:r>
    </w:p>
  </w:footnote>
  <w:footnote w:id="225">
    <w:p w14:paraId="4DDA5771" w14:textId="77777777" w:rsidR="0053135B" w:rsidRPr="00784CF1" w:rsidRDefault="0053135B" w:rsidP="002A43E6">
      <w:pPr>
        <w:pStyle w:val="FootnoteText"/>
        <w:jc w:val="both"/>
      </w:pPr>
      <w:r w:rsidRPr="00784CF1">
        <w:rPr>
          <w:rStyle w:val="FootnoteReference"/>
        </w:rPr>
        <w:footnoteRef/>
      </w:r>
      <w:r w:rsidRPr="00784CF1">
        <w:t xml:space="preserve"> Helsinki. Instructions for providing accommodation in a flat. </w:t>
      </w:r>
      <w:hyperlink r:id="rId182" w:history="1">
        <w:r w:rsidRPr="00784CF1">
          <w:rPr>
            <w:rStyle w:val="Hyperlink"/>
          </w:rPr>
          <w:t>Link</w:t>
        </w:r>
      </w:hyperlink>
      <w:r w:rsidRPr="00784CF1">
        <w:t>.</w:t>
      </w:r>
    </w:p>
  </w:footnote>
  <w:footnote w:id="226">
    <w:p w14:paraId="6E7493EF" w14:textId="38452DAB" w:rsidR="003F4199" w:rsidRPr="003F4199" w:rsidRDefault="003F4199" w:rsidP="002A43E6">
      <w:pPr>
        <w:pStyle w:val="FootnoteText"/>
        <w:jc w:val="both"/>
        <w:rPr>
          <w:lang w:val="en-US"/>
        </w:rPr>
      </w:pPr>
      <w:r>
        <w:rPr>
          <w:rStyle w:val="FootnoteReference"/>
        </w:rPr>
        <w:footnoteRef/>
      </w:r>
      <w:r>
        <w:t xml:space="preserve"> </w:t>
      </w:r>
      <w:r>
        <w:rPr>
          <w:lang w:val="en-US"/>
        </w:rPr>
        <w:t xml:space="preserve">Soome Majandus- ja Tööhõiveministeerium. Tõlge: Majutus ja toitlustusteenuse osutamise määrus 308/2006 koos 1126/2018 muudatustega. </w:t>
      </w:r>
      <w:hyperlink r:id="rId183" w:history="1">
        <w:r w:rsidRPr="00124D65">
          <w:rPr>
            <w:rStyle w:val="Hyperlink"/>
            <w:lang w:val="en-US"/>
          </w:rPr>
          <w:t>Link</w:t>
        </w:r>
      </w:hyperlink>
      <w:r>
        <w:rPr>
          <w:lang w:val="en-US"/>
        </w:rPr>
        <w:t>.</w:t>
      </w:r>
    </w:p>
  </w:footnote>
  <w:footnote w:id="227">
    <w:p w14:paraId="4C597B91" w14:textId="77777777" w:rsidR="0053135B" w:rsidRPr="00784CF1" w:rsidRDefault="0053135B" w:rsidP="002A43E6">
      <w:pPr>
        <w:pStyle w:val="FootnoteText"/>
        <w:jc w:val="both"/>
      </w:pPr>
      <w:r w:rsidRPr="00784CF1">
        <w:rPr>
          <w:rStyle w:val="FootnoteReference"/>
        </w:rPr>
        <w:footnoteRef/>
      </w:r>
      <w:r w:rsidRPr="00784CF1">
        <w:t xml:space="preserve"> Helsinki. Instructions for providing accommodation in a flat. </w:t>
      </w:r>
      <w:hyperlink r:id="rId184" w:history="1">
        <w:r w:rsidRPr="00784CF1">
          <w:rPr>
            <w:rStyle w:val="Hyperlink"/>
          </w:rPr>
          <w:t>Link</w:t>
        </w:r>
      </w:hyperlink>
      <w:r w:rsidRPr="00784CF1">
        <w:t>.</w:t>
      </w:r>
    </w:p>
  </w:footnote>
  <w:footnote w:id="228">
    <w:p w14:paraId="1FE64AA3" w14:textId="77777777" w:rsidR="0053135B" w:rsidRPr="00784CF1" w:rsidRDefault="0053135B" w:rsidP="002A43E6">
      <w:pPr>
        <w:pStyle w:val="FootnoteText"/>
        <w:jc w:val="both"/>
      </w:pPr>
      <w:r w:rsidRPr="00784CF1">
        <w:rPr>
          <w:rStyle w:val="FootnoteReference"/>
        </w:rPr>
        <w:footnoteRef/>
      </w:r>
      <w:r w:rsidRPr="00784CF1">
        <w:t xml:space="preserve"> LIEKE. Short-term rentals and accommodation activities – new directions for legislation. 05.2024. </w:t>
      </w:r>
      <w:hyperlink r:id="rId185" w:history="1">
        <w:r w:rsidRPr="00784CF1">
          <w:rPr>
            <w:rStyle w:val="Hyperlink"/>
          </w:rPr>
          <w:t>Link</w:t>
        </w:r>
      </w:hyperlink>
      <w:r w:rsidRPr="00784CF1">
        <w:t>.</w:t>
      </w:r>
    </w:p>
  </w:footnote>
  <w:footnote w:id="229">
    <w:p w14:paraId="60CA0456" w14:textId="77777777" w:rsidR="0053135B" w:rsidRPr="00784CF1" w:rsidRDefault="0053135B" w:rsidP="002A43E6">
      <w:pPr>
        <w:pStyle w:val="FootnoteText"/>
        <w:jc w:val="both"/>
      </w:pPr>
      <w:r w:rsidRPr="00784CF1">
        <w:rPr>
          <w:rStyle w:val="FootnoteReference"/>
        </w:rPr>
        <w:footnoteRef/>
      </w:r>
      <w:r w:rsidRPr="00784CF1">
        <w:t xml:space="preserve"> Valtioneuvosto. Ympäristöministeriö pyytää lausuntoja lyhytvuokraukseen liittyen asumisen ja majoittumisen määritelmistä sekä asuin-, majoitus- ja työtila-asetuksesta. 04.2024. </w:t>
      </w:r>
      <w:hyperlink r:id="rId186" w:history="1">
        <w:r w:rsidRPr="00784CF1">
          <w:rPr>
            <w:rStyle w:val="Hyperlink"/>
          </w:rPr>
          <w:t>Link</w:t>
        </w:r>
      </w:hyperlink>
      <w:r w:rsidRPr="00784CF1">
        <w:t xml:space="preserve">; Yle. Finnish cities to start requiring permits for 'professional' Airbnb hosts. 05.2023. </w:t>
      </w:r>
      <w:hyperlink r:id="rId187" w:history="1">
        <w:r w:rsidRPr="00784CF1">
          <w:rPr>
            <w:rStyle w:val="Hyperlink"/>
          </w:rPr>
          <w:t>Link</w:t>
        </w:r>
      </w:hyperlink>
      <w:r w:rsidRPr="00784CF1">
        <w:t>.</w:t>
      </w:r>
    </w:p>
  </w:footnote>
  <w:footnote w:id="230">
    <w:p w14:paraId="05FDC012" w14:textId="77777777" w:rsidR="00BB2DC4" w:rsidRPr="00784CF1" w:rsidRDefault="00BB2DC4" w:rsidP="002A43E6">
      <w:pPr>
        <w:pStyle w:val="FootnoteText"/>
        <w:jc w:val="both"/>
      </w:pPr>
      <w:r w:rsidRPr="00784CF1">
        <w:rPr>
          <w:rStyle w:val="FootnoteReference"/>
        </w:rPr>
        <w:footnoteRef/>
      </w:r>
      <w:r w:rsidRPr="00784CF1">
        <w:t xml:space="preserve"> Do, Anh. Nguyen, Linh. Customers’ experiences between airbnb and hotels in Southern Finland. LAB University of Applied Sciences. 2024. </w:t>
      </w:r>
      <w:hyperlink r:id="rId188" w:history="1">
        <w:r w:rsidRPr="00784CF1">
          <w:rPr>
            <w:rStyle w:val="Hyperlink"/>
          </w:rPr>
          <w:t>Link</w:t>
        </w:r>
      </w:hyperlink>
      <w:r w:rsidRPr="00784CF1">
        <w:t xml:space="preserve">; Savolainen, Javier. Hotel industry competitive responses against Airbnb: A case study of hotels vs. Airbnb in Helsinki. Aalto University. 2018. </w:t>
      </w:r>
      <w:hyperlink r:id="rId189" w:history="1">
        <w:r w:rsidRPr="00784CF1">
          <w:rPr>
            <w:rStyle w:val="Hyperlink"/>
          </w:rPr>
          <w:t>Link</w:t>
        </w:r>
      </w:hyperlink>
      <w:r w:rsidRPr="00784CF1">
        <w:t>.</w:t>
      </w:r>
    </w:p>
  </w:footnote>
  <w:footnote w:id="231">
    <w:p w14:paraId="69897070" w14:textId="77777777" w:rsidR="0053135B" w:rsidRPr="00784CF1" w:rsidRDefault="0053135B" w:rsidP="002A43E6">
      <w:pPr>
        <w:pStyle w:val="FootnoteText"/>
        <w:jc w:val="both"/>
      </w:pPr>
      <w:r w:rsidRPr="00784CF1">
        <w:rPr>
          <w:rStyle w:val="FootnoteReference"/>
        </w:rPr>
        <w:footnoteRef/>
      </w:r>
      <w:r w:rsidRPr="00784CF1">
        <w:t xml:space="preserve"> Jokela, Salla. Minoia, Paola. Nordic home-sharing utopia: a critical analysis of Airbnb in Helsinki. 10.2019. </w:t>
      </w:r>
      <w:hyperlink r:id="rId190" w:history="1">
        <w:r w:rsidRPr="00784CF1">
          <w:rPr>
            <w:rStyle w:val="Hyperlink"/>
          </w:rPr>
          <w:t>Link</w:t>
        </w:r>
      </w:hyperlink>
      <w:r w:rsidRPr="00784CF1">
        <w:t>.</w:t>
      </w:r>
    </w:p>
  </w:footnote>
  <w:footnote w:id="232">
    <w:p w14:paraId="58AB7584" w14:textId="77777777" w:rsidR="0053135B" w:rsidRPr="00784CF1" w:rsidRDefault="0053135B" w:rsidP="002A43E6">
      <w:pPr>
        <w:pStyle w:val="FootnoteText"/>
        <w:jc w:val="both"/>
      </w:pPr>
      <w:r w:rsidRPr="00784CF1">
        <w:rPr>
          <w:rStyle w:val="FootnoteReference"/>
        </w:rPr>
        <w:footnoteRef/>
      </w:r>
      <w:r w:rsidRPr="00784CF1">
        <w:t xml:space="preserve"> Airbnb. Finland – tax considerations on short-term lettings. 12.2018. </w:t>
      </w:r>
      <w:hyperlink r:id="rId191" w:history="1">
        <w:r w:rsidRPr="00784CF1">
          <w:rPr>
            <w:rStyle w:val="Hyperlink"/>
          </w:rPr>
          <w:t>Link</w:t>
        </w:r>
      </w:hyperlink>
      <w:r w:rsidRPr="00784CF1">
        <w:t>.</w:t>
      </w:r>
    </w:p>
  </w:footnote>
  <w:footnote w:id="233">
    <w:p w14:paraId="44C83A52" w14:textId="77777777" w:rsidR="0053135B" w:rsidRPr="00784CF1" w:rsidRDefault="0053135B" w:rsidP="002A43E6">
      <w:pPr>
        <w:pStyle w:val="FootnoteText"/>
        <w:jc w:val="both"/>
      </w:pPr>
      <w:r w:rsidRPr="00784CF1">
        <w:rPr>
          <w:rStyle w:val="FootnoteReference"/>
        </w:rPr>
        <w:footnoteRef/>
      </w:r>
      <w:r w:rsidRPr="00784CF1">
        <w:t xml:space="preserve"> Jokela, Salla. Minoia, Paola. Nordic home-sharing utopia: a critical analysis of Airbnb in Helsinki. 10.2019. </w:t>
      </w:r>
      <w:hyperlink r:id="rId192" w:history="1">
        <w:r w:rsidRPr="00784CF1">
          <w:rPr>
            <w:rStyle w:val="Hyperlink"/>
          </w:rPr>
          <w:t>Link</w:t>
        </w:r>
      </w:hyperlink>
      <w:r w:rsidRPr="00784CF1">
        <w:t xml:space="preserve">; Javier. Hotel industry competitive responses against Airbnb: A case study of hotels vs. Airbnb in Helsinki. Aalto University. 2018. </w:t>
      </w:r>
      <w:hyperlink r:id="rId193" w:history="1">
        <w:r w:rsidRPr="00784CF1">
          <w:rPr>
            <w:rStyle w:val="Hyperlink"/>
          </w:rPr>
          <w:t>Link</w:t>
        </w:r>
      </w:hyperlink>
      <w:r w:rsidRPr="00784CF1">
        <w:t>.</w:t>
      </w:r>
    </w:p>
  </w:footnote>
  <w:footnote w:id="234">
    <w:p w14:paraId="50722ECF" w14:textId="77777777" w:rsidR="0053135B" w:rsidRPr="00784CF1" w:rsidRDefault="0053135B" w:rsidP="002A43E6">
      <w:pPr>
        <w:pStyle w:val="FootnoteText"/>
        <w:jc w:val="both"/>
      </w:pPr>
      <w:r w:rsidRPr="00784CF1">
        <w:rPr>
          <w:rStyle w:val="FootnoteReference"/>
        </w:rPr>
        <w:footnoteRef/>
      </w:r>
      <w:r w:rsidRPr="00784CF1">
        <w:t xml:space="preserve"> LIEKE. Short-term rentals and accommodation activities – new directions for legislation. 05.2024. </w:t>
      </w:r>
      <w:hyperlink r:id="rId194" w:history="1">
        <w:r w:rsidRPr="00784CF1">
          <w:rPr>
            <w:rStyle w:val="Hyperlink"/>
          </w:rPr>
          <w:t>Link</w:t>
        </w:r>
      </w:hyperlink>
      <w:r w:rsidRPr="00784CF1">
        <w:t>.</w:t>
      </w:r>
    </w:p>
  </w:footnote>
  <w:footnote w:id="235">
    <w:p w14:paraId="477A9EEE" w14:textId="77777777" w:rsidR="0053135B" w:rsidRPr="00784CF1" w:rsidRDefault="0053135B" w:rsidP="002A43E6">
      <w:pPr>
        <w:pStyle w:val="FootnoteText"/>
        <w:jc w:val="both"/>
      </w:pPr>
      <w:r w:rsidRPr="00784CF1">
        <w:rPr>
          <w:rStyle w:val="FootnoteReference"/>
        </w:rPr>
        <w:footnoteRef/>
      </w:r>
      <w:r w:rsidRPr="00784CF1">
        <w:t xml:space="preserve"> Do, Anh. Nguyen, Linh. Customers’ experiences between airbnb and hotels in Southern Finland. LAB University of Applied Sciences. 2024. </w:t>
      </w:r>
      <w:hyperlink r:id="rId195" w:history="1">
        <w:r w:rsidRPr="00784CF1">
          <w:rPr>
            <w:rStyle w:val="Hyperlink"/>
          </w:rPr>
          <w:t>Link</w:t>
        </w:r>
      </w:hyperlink>
    </w:p>
  </w:footnote>
  <w:footnote w:id="236">
    <w:p w14:paraId="462FE13C" w14:textId="77777777" w:rsidR="0053135B" w:rsidRPr="00784CF1" w:rsidRDefault="0053135B" w:rsidP="002A43E6">
      <w:pPr>
        <w:pStyle w:val="FootnoteText"/>
        <w:jc w:val="both"/>
      </w:pPr>
      <w:r w:rsidRPr="00784CF1">
        <w:rPr>
          <w:rStyle w:val="FootnoteReference"/>
        </w:rPr>
        <w:footnoteRef/>
      </w:r>
      <w:r w:rsidRPr="00784CF1">
        <w:t xml:space="preserve"> Sýkora, Jan. Airbnb in Prague: Analysis of the Status and Development of Short-term Private Rentals 2018–2023. Office for City Analysis. 04.2024, lk 8.</w:t>
      </w:r>
    </w:p>
  </w:footnote>
  <w:footnote w:id="237">
    <w:p w14:paraId="73CC6B66" w14:textId="5BD08278" w:rsidR="00725837" w:rsidRDefault="00725837" w:rsidP="002A43E6">
      <w:pPr>
        <w:pStyle w:val="FootnoteText"/>
        <w:jc w:val="both"/>
      </w:pPr>
      <w:r>
        <w:rPr>
          <w:rStyle w:val="FootnoteReference"/>
        </w:rPr>
        <w:footnoteRef/>
      </w:r>
      <w:r>
        <w:t xml:space="preserve"> Ecovis. Je</w:t>
      </w:r>
      <w:r w:rsidR="003923EC" w:rsidRPr="003923EC">
        <w:t>žek advokátní kancelář</w:t>
      </w:r>
      <w:r w:rsidR="003923EC">
        <w:t xml:space="preserve">. </w:t>
      </w:r>
      <w:r w:rsidR="008D49D3">
        <w:t xml:space="preserve">Airbnb – the issue of the legal framework of „short-term rentals“ and possible defences agains their operators. </w:t>
      </w:r>
      <w:hyperlink r:id="rId196" w:history="1">
        <w:r w:rsidR="008D49D3" w:rsidRPr="008D49D3">
          <w:rPr>
            <w:rStyle w:val="Hyperlink"/>
          </w:rPr>
          <w:t>Link.</w:t>
        </w:r>
      </w:hyperlink>
      <w:r w:rsidR="008D49D3">
        <w:t xml:space="preserve"> </w:t>
      </w:r>
    </w:p>
  </w:footnote>
  <w:footnote w:id="238">
    <w:p w14:paraId="35E08D4B" w14:textId="77777777" w:rsidR="0053135B" w:rsidRPr="00784CF1" w:rsidRDefault="0053135B" w:rsidP="002A43E6">
      <w:pPr>
        <w:pStyle w:val="FootnoteText"/>
        <w:jc w:val="both"/>
      </w:pPr>
      <w:r w:rsidRPr="00784CF1">
        <w:rPr>
          <w:rStyle w:val="FootnoteReference"/>
        </w:rPr>
        <w:footnoteRef/>
      </w:r>
      <w:r w:rsidRPr="00784CF1">
        <w:t xml:space="preserve"> Colomb, Claire. Moreira de Souza, Tatiana. Illegal short-term rentals, regulatory enforcement and informal practices in the age of digital platforms. </w:t>
      </w:r>
      <w:hyperlink r:id="rId197" w:history="1">
        <w:r w:rsidRPr="00784CF1">
          <w:rPr>
            <w:rStyle w:val="Hyperlink"/>
          </w:rPr>
          <w:t>Link</w:t>
        </w:r>
      </w:hyperlink>
      <w:r w:rsidRPr="00784CF1">
        <w:t>; Sýkora, Jan. Airbnb in Prague: Analysis of the Status and Development of Short-term Private Rentals 2018–2023. Office for City Analysis. 04.2024, lk 5.</w:t>
      </w:r>
    </w:p>
  </w:footnote>
  <w:footnote w:id="239">
    <w:p w14:paraId="02994F91" w14:textId="77777777" w:rsidR="0053135B" w:rsidRPr="00784CF1" w:rsidRDefault="0053135B" w:rsidP="002A43E6">
      <w:pPr>
        <w:pStyle w:val="FootnoteText"/>
        <w:jc w:val="both"/>
      </w:pPr>
      <w:r w:rsidRPr="00784CF1">
        <w:rPr>
          <w:rStyle w:val="FootnoteReference"/>
        </w:rPr>
        <w:footnoteRef/>
      </w:r>
      <w:r w:rsidRPr="00784CF1">
        <w:t xml:space="preserve"> Prague Morning. Airbnb Faces New Regulations in Czechia: What Hosts Need to Know. 08.2024. </w:t>
      </w:r>
      <w:hyperlink r:id="rId198" w:history="1">
        <w:r w:rsidRPr="00784CF1">
          <w:rPr>
            <w:rStyle w:val="Hyperlink"/>
          </w:rPr>
          <w:t>Link</w:t>
        </w:r>
      </w:hyperlink>
      <w:r w:rsidRPr="00784CF1">
        <w:t xml:space="preserve">; Short Term Rentalz. More details emerge on Czech legislation set for 2025 introduction. 09.2024. </w:t>
      </w:r>
      <w:hyperlink r:id="rId199" w:history="1">
        <w:r w:rsidRPr="00784CF1">
          <w:rPr>
            <w:rStyle w:val="Hyperlink"/>
          </w:rPr>
          <w:t>Link</w:t>
        </w:r>
      </w:hyperlink>
      <w:r w:rsidRPr="00784CF1">
        <w:t xml:space="preserve">; Grant Thorton. (Finally) there is regulation of short-term rentals. 11.2024. </w:t>
      </w:r>
      <w:hyperlink r:id="rId200" w:history="1">
        <w:r w:rsidRPr="00784CF1">
          <w:rPr>
            <w:rStyle w:val="Hyperlink"/>
          </w:rPr>
          <w:t>Link</w:t>
        </w:r>
      </w:hyperlink>
      <w:r w:rsidRPr="00784CF1">
        <w:t>.</w:t>
      </w:r>
    </w:p>
  </w:footnote>
  <w:footnote w:id="240">
    <w:p w14:paraId="4E8E0E92" w14:textId="77777777" w:rsidR="0053135B" w:rsidRPr="00784CF1" w:rsidRDefault="0053135B" w:rsidP="002A43E6">
      <w:pPr>
        <w:pStyle w:val="FootnoteText"/>
        <w:jc w:val="both"/>
      </w:pPr>
      <w:r w:rsidRPr="00784CF1">
        <w:rPr>
          <w:rStyle w:val="FootnoteReference"/>
        </w:rPr>
        <w:footnoteRef/>
      </w:r>
      <w:r w:rsidRPr="00784CF1">
        <w:t xml:space="preserve"> Ministerstvo pro místní rozvoj. e-Turista – online registr ubytovaných hostů v ČR. </w:t>
      </w:r>
      <w:hyperlink r:id="rId201" w:history="1">
        <w:r w:rsidRPr="00784CF1">
          <w:rPr>
            <w:rStyle w:val="Hyperlink"/>
          </w:rPr>
          <w:t>Link</w:t>
        </w:r>
      </w:hyperlink>
      <w:r w:rsidRPr="00784CF1">
        <w:t>.</w:t>
      </w:r>
    </w:p>
  </w:footnote>
  <w:footnote w:id="241">
    <w:p w14:paraId="3AD1C6EA" w14:textId="77777777" w:rsidR="0053135B" w:rsidRPr="00784CF1" w:rsidRDefault="0053135B" w:rsidP="002A43E6">
      <w:pPr>
        <w:pStyle w:val="FootnoteText"/>
        <w:jc w:val="both"/>
      </w:pPr>
      <w:r w:rsidRPr="00784CF1">
        <w:rPr>
          <w:rStyle w:val="FootnoteReference"/>
        </w:rPr>
        <w:footnoteRef/>
      </w:r>
      <w:r w:rsidRPr="00784CF1">
        <w:t xml:space="preserve"> Short Term Rentalz. STR legislation amendment expected in Czechia in 2025. </w:t>
      </w:r>
      <w:hyperlink r:id="rId202" w:history="1">
        <w:r w:rsidRPr="00784CF1">
          <w:rPr>
            <w:rStyle w:val="Hyperlink"/>
          </w:rPr>
          <w:t>Link</w:t>
        </w:r>
      </w:hyperlink>
      <w:r w:rsidRPr="00784CF1">
        <w:t>.</w:t>
      </w:r>
    </w:p>
  </w:footnote>
  <w:footnote w:id="242">
    <w:p w14:paraId="1CC8E19E" w14:textId="77777777" w:rsidR="0053135B" w:rsidRPr="00784CF1" w:rsidRDefault="0053135B" w:rsidP="002A43E6">
      <w:pPr>
        <w:pStyle w:val="FootnoteText"/>
        <w:jc w:val="both"/>
      </w:pPr>
      <w:r w:rsidRPr="00784CF1">
        <w:rPr>
          <w:rStyle w:val="FootnoteReference"/>
        </w:rPr>
        <w:footnoteRef/>
      </w:r>
      <w:r w:rsidRPr="00784CF1">
        <w:t xml:space="preserve"> Prague Morning. Airbnb Faces New Regulations in Czechia: What Hosts Need to Know. 08.2024. </w:t>
      </w:r>
      <w:hyperlink r:id="rId203" w:history="1">
        <w:r w:rsidRPr="00784CF1">
          <w:rPr>
            <w:rStyle w:val="Hyperlink"/>
          </w:rPr>
          <w:t>Link</w:t>
        </w:r>
      </w:hyperlink>
      <w:r w:rsidRPr="00784CF1">
        <w:t>.</w:t>
      </w:r>
    </w:p>
  </w:footnote>
  <w:footnote w:id="243">
    <w:p w14:paraId="61841F5F" w14:textId="77777777" w:rsidR="0053135B" w:rsidRPr="00784CF1" w:rsidRDefault="0053135B" w:rsidP="002A43E6">
      <w:pPr>
        <w:pStyle w:val="FootnoteText"/>
        <w:jc w:val="both"/>
      </w:pPr>
      <w:r w:rsidRPr="00784CF1">
        <w:rPr>
          <w:rStyle w:val="FootnoteReference"/>
        </w:rPr>
        <w:footnoteRef/>
      </w:r>
      <w:r w:rsidRPr="00784CF1">
        <w:t xml:space="preserve"> Short Term Rentalz. More details emerge on Czech legislation set for 2025 introduction. 09.2024. </w:t>
      </w:r>
      <w:hyperlink r:id="rId204" w:history="1">
        <w:r w:rsidRPr="00784CF1">
          <w:rPr>
            <w:rStyle w:val="Hyperlink"/>
          </w:rPr>
          <w:t>Link</w:t>
        </w:r>
      </w:hyperlink>
    </w:p>
  </w:footnote>
  <w:footnote w:id="244">
    <w:p w14:paraId="24B46976" w14:textId="77777777" w:rsidR="0053135B" w:rsidRPr="00784CF1" w:rsidRDefault="0053135B" w:rsidP="002A43E6">
      <w:pPr>
        <w:pStyle w:val="FootnoteText"/>
        <w:jc w:val="both"/>
      </w:pPr>
      <w:r w:rsidRPr="00784CF1">
        <w:rPr>
          <w:rStyle w:val="FootnoteReference"/>
        </w:rPr>
        <w:footnoteRef/>
      </w:r>
      <w:r w:rsidRPr="00784CF1">
        <w:t xml:space="preserve"> Czech Statistical Office. Online accommodation platforms data. 2024. </w:t>
      </w:r>
      <w:hyperlink r:id="rId205" w:history="1">
        <w:r w:rsidRPr="00784CF1">
          <w:rPr>
            <w:rStyle w:val="Hyperlink"/>
          </w:rPr>
          <w:t>Link</w:t>
        </w:r>
      </w:hyperlink>
      <w:r w:rsidRPr="00784CF1">
        <w:t>; Sýkora, Jan. Airbnb in Prague: Analysis of the Status and Development of Short-term Private Rentals 2018–2023. Office for City Analysis. 04.2024, lk 10.</w:t>
      </w:r>
    </w:p>
  </w:footnote>
  <w:footnote w:id="245">
    <w:p w14:paraId="383EA790" w14:textId="77777777" w:rsidR="0053135B" w:rsidRPr="00784CF1" w:rsidRDefault="0053135B" w:rsidP="00D6134C">
      <w:pPr>
        <w:pStyle w:val="FootnoteText"/>
        <w:jc w:val="both"/>
      </w:pPr>
      <w:r w:rsidRPr="00784CF1">
        <w:rPr>
          <w:rStyle w:val="FootnoteReference"/>
        </w:rPr>
        <w:footnoteRef/>
      </w:r>
      <w:r w:rsidRPr="00784CF1">
        <w:t xml:space="preserve"> Airbnb. Czech Republic – tax considerations on short-term lettings for individuals. 12.2022. </w:t>
      </w:r>
      <w:hyperlink r:id="rId206" w:history="1">
        <w:r w:rsidRPr="00784CF1">
          <w:rPr>
            <w:rStyle w:val="Hyperlink"/>
          </w:rPr>
          <w:t>Link</w:t>
        </w:r>
      </w:hyperlink>
      <w:r w:rsidRPr="00784CF1">
        <w:t>.</w:t>
      </w:r>
    </w:p>
  </w:footnote>
  <w:footnote w:id="246">
    <w:p w14:paraId="56AF1508" w14:textId="77777777" w:rsidR="0053135B" w:rsidRPr="00784CF1" w:rsidRDefault="0053135B" w:rsidP="00D6134C">
      <w:pPr>
        <w:pStyle w:val="FootnoteText"/>
        <w:jc w:val="both"/>
      </w:pPr>
      <w:r w:rsidRPr="00784CF1">
        <w:rPr>
          <w:rStyle w:val="FootnoteReference"/>
        </w:rPr>
        <w:footnoteRef/>
      </w:r>
      <w:r w:rsidRPr="00784CF1">
        <w:t xml:space="preserve">TVP World. (2024). Half of Praegu residents want restrictions on short-term Airbnb rentals, survey shows. </w:t>
      </w:r>
      <w:hyperlink r:id="rId207" w:history="1">
        <w:r w:rsidRPr="00784CF1">
          <w:rPr>
            <w:rStyle w:val="Hyperlink"/>
          </w:rPr>
          <w:t>Link</w:t>
        </w:r>
      </w:hyperlink>
      <w:r w:rsidRPr="00784CF1">
        <w:t xml:space="preserve">. </w:t>
      </w:r>
    </w:p>
  </w:footnote>
  <w:footnote w:id="247">
    <w:p w14:paraId="15C6A5F5" w14:textId="77777777" w:rsidR="0053135B" w:rsidRPr="00784CF1" w:rsidRDefault="0053135B" w:rsidP="00D6134C">
      <w:pPr>
        <w:pStyle w:val="FootnoteText"/>
        <w:jc w:val="both"/>
      </w:pPr>
      <w:r w:rsidRPr="00784CF1">
        <w:rPr>
          <w:rStyle w:val="FootnoteReference"/>
        </w:rPr>
        <w:footnoteRef/>
      </w:r>
      <w:r w:rsidRPr="00784CF1">
        <w:t xml:space="preserve"> Gavrinev, V. (2022). Problém pro Airbnb. Krátkodobé pronájmy dostaly několik direktů od úřadů. Seznam Zpravy. </w:t>
      </w:r>
      <w:hyperlink r:id="rId208" w:history="1">
        <w:r w:rsidRPr="00784CF1">
          <w:rPr>
            <w:rStyle w:val="Hyperlink"/>
          </w:rPr>
          <w:t>Link</w:t>
        </w:r>
      </w:hyperlink>
      <w:r w:rsidRPr="00784CF1">
        <w:t xml:space="preserve">. </w:t>
      </w:r>
    </w:p>
  </w:footnote>
  <w:footnote w:id="248">
    <w:p w14:paraId="55D12210" w14:textId="7708CC8B" w:rsidR="007D29E9" w:rsidRPr="00237AA1" w:rsidRDefault="007D29E9" w:rsidP="00D6134C">
      <w:pPr>
        <w:pStyle w:val="FootnoteText"/>
        <w:jc w:val="both"/>
      </w:pPr>
      <w:r>
        <w:rPr>
          <w:rStyle w:val="FootnoteReference"/>
        </w:rPr>
        <w:footnoteRef/>
      </w:r>
      <w:r>
        <w:t xml:space="preserve"> </w:t>
      </w:r>
      <w:r w:rsidRPr="00784CF1">
        <w:t xml:space="preserve">Oxford Economics. (2019). </w:t>
      </w:r>
      <w:r w:rsidRPr="00D272F4">
        <w:rPr>
          <w:rStyle w:val="Emphasis"/>
          <w:color w:val="auto"/>
          <w:sz w:val="18"/>
          <w:szCs w:val="18"/>
        </w:rPr>
        <w:t>Oxford Economics study highlights Airbnb's contribution to Czech economy</w:t>
      </w:r>
      <w:r w:rsidRPr="00784CF1">
        <w:t xml:space="preserve">. Airbnb Newsroom. </w:t>
      </w:r>
      <w:hyperlink r:id="rId209" w:history="1">
        <w:r w:rsidRPr="00784CF1">
          <w:rPr>
            <w:rStyle w:val="Hyperlink"/>
          </w:rPr>
          <w:t>Li</w:t>
        </w:r>
        <w:bookmarkStart w:id="192" w:name="_Hlt196399895"/>
        <w:bookmarkStart w:id="193" w:name="_Hlt196399896"/>
        <w:r w:rsidRPr="00784CF1">
          <w:rPr>
            <w:rStyle w:val="Hyperlink"/>
          </w:rPr>
          <w:t>n</w:t>
        </w:r>
        <w:bookmarkEnd w:id="192"/>
        <w:bookmarkEnd w:id="193"/>
        <w:r w:rsidRPr="00784CF1">
          <w:rPr>
            <w:rStyle w:val="Hyperlink"/>
          </w:rPr>
          <w:t>k.</w:t>
        </w:r>
      </w:hyperlink>
    </w:p>
  </w:footnote>
  <w:footnote w:id="249">
    <w:p w14:paraId="00D95783" w14:textId="77777777" w:rsidR="0053135B" w:rsidRPr="00784CF1" w:rsidRDefault="0053135B" w:rsidP="00D6134C">
      <w:pPr>
        <w:pStyle w:val="FootnoteText"/>
        <w:jc w:val="both"/>
      </w:pPr>
      <w:r w:rsidRPr="00784CF1">
        <w:rPr>
          <w:rStyle w:val="FootnoteReference"/>
        </w:rPr>
        <w:footnoteRef/>
      </w:r>
      <w:r w:rsidRPr="00784CF1">
        <w:t xml:space="preserve"> Airbnb-ga seotud turismikulutuste alla kuuluvad sihtkohta jõudmise kulud, sihtkohas ringi liikumise kulud, toidu ja joogiga seotud kulutused, meelelahutuse, sisseostude ja muude turismitegevustega kaasnevad kulud. Eelmainitud kulutuste hulka ei kuulu lennutranspordile tehtud kulutused. </w:t>
      </w:r>
    </w:p>
  </w:footnote>
  <w:footnote w:id="250">
    <w:p w14:paraId="2CFEF636" w14:textId="77777777" w:rsidR="0053135B" w:rsidRPr="00784CF1" w:rsidRDefault="0053135B" w:rsidP="00D6134C">
      <w:pPr>
        <w:pStyle w:val="FootnoteText"/>
        <w:jc w:val="both"/>
      </w:pPr>
      <w:r w:rsidRPr="00784CF1">
        <w:rPr>
          <w:rStyle w:val="FootnoteReference"/>
        </w:rPr>
        <w:footnoteRef/>
      </w:r>
      <w:r w:rsidRPr="00784CF1">
        <w:t xml:space="preserve"> Oxford Economics. (2019). </w:t>
      </w:r>
      <w:r w:rsidRPr="00D272F4">
        <w:rPr>
          <w:rStyle w:val="Emphasis"/>
          <w:color w:val="auto"/>
          <w:sz w:val="18"/>
          <w:szCs w:val="18"/>
        </w:rPr>
        <w:t>Oxford Economics study highlights Airbnb's contribution to Czech economy</w:t>
      </w:r>
      <w:r w:rsidRPr="00784CF1">
        <w:t xml:space="preserve">. Airbnb Newsroom. </w:t>
      </w:r>
      <w:hyperlink r:id="rId210" w:history="1">
        <w:r w:rsidRPr="00784CF1">
          <w:rPr>
            <w:rStyle w:val="Hyperlink"/>
          </w:rPr>
          <w:t>Li</w:t>
        </w:r>
        <w:bookmarkStart w:id="195" w:name="_Hlt196399851"/>
        <w:bookmarkStart w:id="196" w:name="_Hlt196399852"/>
        <w:r w:rsidRPr="00784CF1">
          <w:rPr>
            <w:rStyle w:val="Hyperlink"/>
          </w:rPr>
          <w:t>n</w:t>
        </w:r>
        <w:bookmarkEnd w:id="195"/>
        <w:bookmarkEnd w:id="196"/>
        <w:r w:rsidRPr="00784CF1">
          <w:rPr>
            <w:rStyle w:val="Hyperlink"/>
          </w:rPr>
          <w:t>k.</w:t>
        </w:r>
      </w:hyperlink>
      <w:r w:rsidRPr="00784CF1">
        <w:t xml:space="preserve"> </w:t>
      </w:r>
    </w:p>
  </w:footnote>
  <w:footnote w:id="251">
    <w:p w14:paraId="42C6E54F" w14:textId="3A53CCE7" w:rsidR="00B059B9" w:rsidRPr="00B059B9" w:rsidRDefault="00B059B9" w:rsidP="00D6134C">
      <w:pPr>
        <w:pStyle w:val="FootnoteText"/>
        <w:jc w:val="both"/>
        <w:rPr>
          <w:lang w:val="en-US"/>
        </w:rPr>
      </w:pPr>
      <w:r>
        <w:rPr>
          <w:rStyle w:val="FootnoteReference"/>
        </w:rPr>
        <w:footnoteRef/>
      </w:r>
      <w:r>
        <w:t xml:space="preserve"> </w:t>
      </w:r>
      <w:r w:rsidR="00D272F4" w:rsidRPr="00784CF1">
        <w:t xml:space="preserve">Oxford Economics. (2019). </w:t>
      </w:r>
      <w:r w:rsidR="00D272F4" w:rsidRPr="00D272F4">
        <w:rPr>
          <w:rStyle w:val="Emphasis"/>
          <w:color w:val="auto"/>
          <w:sz w:val="18"/>
          <w:szCs w:val="18"/>
        </w:rPr>
        <w:t>Oxford Economics study highlights Airbnb's contribution to Czech economy</w:t>
      </w:r>
      <w:r w:rsidR="00D272F4" w:rsidRPr="00D272F4">
        <w:rPr>
          <w:szCs w:val="18"/>
        </w:rPr>
        <w:t>.</w:t>
      </w:r>
      <w:r w:rsidR="00D272F4" w:rsidRPr="00784CF1">
        <w:t xml:space="preserve"> Airbnb Newsroom. </w:t>
      </w:r>
      <w:hyperlink r:id="rId211" w:history="1">
        <w:r w:rsidR="00D272F4" w:rsidRPr="00784CF1">
          <w:rPr>
            <w:rStyle w:val="Hyperlink"/>
          </w:rPr>
          <w:t>Link.</w:t>
        </w:r>
      </w:hyperlink>
    </w:p>
  </w:footnote>
  <w:footnote w:id="252">
    <w:p w14:paraId="547A0907" w14:textId="66FF4C3E" w:rsidR="00B2303A" w:rsidRPr="00B2303A" w:rsidRDefault="00B2303A" w:rsidP="00D6134C">
      <w:pPr>
        <w:pStyle w:val="FootnoteText"/>
        <w:jc w:val="both"/>
        <w:rPr>
          <w:lang w:val="en-US"/>
        </w:rPr>
      </w:pPr>
      <w:r>
        <w:rPr>
          <w:rStyle w:val="FootnoteReference"/>
        </w:rPr>
        <w:footnoteRef/>
      </w:r>
      <w:r>
        <w:t xml:space="preserve"> </w:t>
      </w:r>
      <w:r w:rsidRPr="00784CF1">
        <w:t xml:space="preserve">Oxford Economics. (2019). </w:t>
      </w:r>
      <w:r w:rsidRPr="00D272F4">
        <w:rPr>
          <w:rStyle w:val="Emphasis"/>
          <w:color w:val="auto"/>
          <w:sz w:val="18"/>
          <w:szCs w:val="18"/>
        </w:rPr>
        <w:t>Oxford Economics study highlights Airbnb's contribution to Czech economy</w:t>
      </w:r>
      <w:r w:rsidRPr="00D272F4">
        <w:rPr>
          <w:szCs w:val="18"/>
        </w:rPr>
        <w:t>.</w:t>
      </w:r>
      <w:r w:rsidRPr="00784CF1">
        <w:t xml:space="preserve"> Airbnb Newsroom. </w:t>
      </w:r>
      <w:hyperlink r:id="rId212" w:history="1">
        <w:r w:rsidRPr="00784CF1">
          <w:rPr>
            <w:rStyle w:val="Hyperlink"/>
          </w:rPr>
          <w:t>Link.</w:t>
        </w:r>
      </w:hyperlink>
    </w:p>
  </w:footnote>
  <w:footnote w:id="253">
    <w:p w14:paraId="4C38433E" w14:textId="77777777" w:rsidR="0053135B" w:rsidRPr="00784CF1" w:rsidRDefault="0053135B" w:rsidP="00D6134C">
      <w:pPr>
        <w:pStyle w:val="FootnoteText"/>
        <w:jc w:val="both"/>
      </w:pPr>
      <w:r w:rsidRPr="00784CF1">
        <w:rPr>
          <w:rStyle w:val="FootnoteReference"/>
        </w:rPr>
        <w:footnoteRef/>
      </w:r>
      <w:r w:rsidRPr="00784CF1">
        <w:t xml:space="preserve"> OECD. (2021). Houring affordability in citiev in the Czech Republic. OECD Urban Studies. </w:t>
      </w:r>
      <w:hyperlink r:id="rId213" w:history="1">
        <w:r w:rsidRPr="00784CF1">
          <w:rPr>
            <w:rStyle w:val="Hyperlink"/>
          </w:rPr>
          <w:t>Link</w:t>
        </w:r>
      </w:hyperlink>
      <w:r w:rsidRPr="00784CF1">
        <w:t xml:space="preserve">. </w:t>
      </w:r>
    </w:p>
  </w:footnote>
  <w:footnote w:id="254">
    <w:p w14:paraId="25788DC2" w14:textId="77777777" w:rsidR="0053135B" w:rsidRPr="00784CF1" w:rsidRDefault="0053135B" w:rsidP="00D6134C">
      <w:pPr>
        <w:pStyle w:val="FootnoteText"/>
        <w:jc w:val="both"/>
      </w:pPr>
      <w:r w:rsidRPr="00784CF1">
        <w:rPr>
          <w:rStyle w:val="FootnoteReference"/>
        </w:rPr>
        <w:footnoteRef/>
      </w:r>
      <w:r w:rsidRPr="00784CF1">
        <w:t xml:space="preserve"> Ondruska, D. (2021). The effect of Airbnb on Praegue housing market. Master’s thesis. Charles University. Faculty of social sciences. Institute of Economic Studies. </w:t>
      </w:r>
    </w:p>
  </w:footnote>
  <w:footnote w:id="255">
    <w:p w14:paraId="1CE320BF" w14:textId="77777777" w:rsidR="0053135B" w:rsidRPr="00784CF1" w:rsidRDefault="0053135B" w:rsidP="00D6134C">
      <w:pPr>
        <w:pStyle w:val="FootnoteText"/>
        <w:jc w:val="both"/>
      </w:pPr>
      <w:r w:rsidRPr="00784CF1">
        <w:rPr>
          <w:rStyle w:val="FootnoteReference"/>
        </w:rPr>
        <w:footnoteRef/>
      </w:r>
      <w:r w:rsidRPr="00784CF1">
        <w:t xml:space="preserve"> Ključnikov, A., Krajcik, V., Vincúrová, Z. (2018). International sharing economy: The case of airbnb in the Czech Republic. Economics and Sociology. </w:t>
      </w:r>
      <w:hyperlink r:id="rId214" w:history="1">
        <w:r w:rsidRPr="00784CF1">
          <w:rPr>
            <w:rStyle w:val="Hyperlink"/>
          </w:rPr>
          <w:t>Link</w:t>
        </w:r>
      </w:hyperlink>
      <w:r w:rsidRPr="00784CF1">
        <w:t xml:space="preserve">. </w:t>
      </w:r>
    </w:p>
  </w:footnote>
  <w:footnote w:id="256">
    <w:p w14:paraId="5773464A" w14:textId="25F6A2E0" w:rsidR="00DF5AF9" w:rsidRPr="00DF5AF9" w:rsidRDefault="00DF5AF9" w:rsidP="00D6134C">
      <w:pPr>
        <w:pStyle w:val="FootnoteText"/>
        <w:jc w:val="both"/>
      </w:pPr>
      <w:r>
        <w:rPr>
          <w:rStyle w:val="FootnoteReference"/>
        </w:rPr>
        <w:footnoteRef/>
      </w:r>
      <w:r>
        <w:t xml:space="preserve"> </w:t>
      </w:r>
      <w:r w:rsidRPr="00784CF1">
        <w:t xml:space="preserve">TVP World. (2024). Half of Praegu residents want restrictions on short-term Airbnb rentals, survey shows. </w:t>
      </w:r>
      <w:hyperlink r:id="rId215" w:history="1">
        <w:r w:rsidRPr="00784CF1">
          <w:rPr>
            <w:rStyle w:val="Hyperlink"/>
          </w:rPr>
          <w:t>Link</w:t>
        </w:r>
      </w:hyperlink>
      <w:r w:rsidRPr="00784CF1">
        <w:t>.</w:t>
      </w:r>
    </w:p>
  </w:footnote>
  <w:footnote w:id="257">
    <w:p w14:paraId="6E3DFC54" w14:textId="77777777" w:rsidR="0053135B" w:rsidRPr="00784CF1" w:rsidRDefault="0053135B" w:rsidP="00D6134C">
      <w:pPr>
        <w:pStyle w:val="FootnoteText"/>
        <w:jc w:val="both"/>
      </w:pPr>
      <w:r w:rsidRPr="00784CF1">
        <w:rPr>
          <w:rStyle w:val="FootnoteReference"/>
        </w:rPr>
        <w:footnoteRef/>
      </w:r>
      <w:r w:rsidRPr="00784CF1">
        <w:t xml:space="preserve"> Šveitisi Föderaalne elamumajandusamet (BWO). (2024). Lühiajaline rentimine ja broneerimisplatvormid. </w:t>
      </w:r>
      <w:hyperlink r:id="rId216" w:history="1">
        <w:r w:rsidRPr="00784CF1">
          <w:rPr>
            <w:rStyle w:val="Hyperlink"/>
          </w:rPr>
          <w:t>Link</w:t>
        </w:r>
      </w:hyperlink>
      <w:r w:rsidRPr="00784CF1">
        <w:t xml:space="preserve">. </w:t>
      </w:r>
    </w:p>
  </w:footnote>
  <w:footnote w:id="258">
    <w:p w14:paraId="5B06080B" w14:textId="77777777" w:rsidR="0053135B" w:rsidRPr="00784CF1" w:rsidRDefault="0053135B" w:rsidP="00D6134C">
      <w:pPr>
        <w:pStyle w:val="FootnoteText"/>
        <w:jc w:val="both"/>
      </w:pPr>
      <w:r w:rsidRPr="00784CF1">
        <w:rPr>
          <w:rStyle w:val="FootnoteReference"/>
        </w:rPr>
        <w:footnoteRef/>
      </w:r>
      <w:r w:rsidRPr="00784CF1">
        <w:t xml:space="preserve"> D. Dreier. (2023). Earning income with Airbnb rentals and home sharing in Switzerland. </w:t>
      </w:r>
      <w:hyperlink r:id="rId217" w:history="1">
        <w:r w:rsidRPr="00784CF1">
          <w:rPr>
            <w:rStyle w:val="Hyperlink"/>
          </w:rPr>
          <w:t>Link</w:t>
        </w:r>
      </w:hyperlink>
      <w:r w:rsidRPr="00784CF1">
        <w:t xml:space="preserve">. </w:t>
      </w:r>
    </w:p>
  </w:footnote>
  <w:footnote w:id="259">
    <w:p w14:paraId="116F6CA2" w14:textId="77777777" w:rsidR="0053135B" w:rsidRPr="00784CF1" w:rsidRDefault="0053135B" w:rsidP="00D6134C">
      <w:pPr>
        <w:pStyle w:val="FootnoteText"/>
        <w:jc w:val="both"/>
      </w:pPr>
      <w:r w:rsidRPr="00784CF1">
        <w:rPr>
          <w:rStyle w:val="FootnoteReference"/>
        </w:rPr>
        <w:footnoteRef/>
      </w:r>
      <w:r w:rsidRPr="00784CF1">
        <w:t xml:space="preserve"> Airbnb. (2023). Switzerland – Tax considerations for short term lets. </w:t>
      </w:r>
      <w:hyperlink r:id="rId218" w:history="1">
        <w:r w:rsidRPr="00784CF1">
          <w:rPr>
            <w:rStyle w:val="Hyperlink"/>
          </w:rPr>
          <w:t>Link</w:t>
        </w:r>
      </w:hyperlink>
      <w:r w:rsidRPr="00784CF1">
        <w:t xml:space="preserve">. </w:t>
      </w:r>
    </w:p>
  </w:footnote>
  <w:footnote w:id="260">
    <w:p w14:paraId="7F78627A" w14:textId="719328D3" w:rsidR="00A40FCD" w:rsidRPr="00A40FCD" w:rsidRDefault="00A40FCD" w:rsidP="00D6134C">
      <w:pPr>
        <w:pStyle w:val="FootnoteText"/>
        <w:jc w:val="both"/>
        <w:rPr>
          <w:lang w:val="en-US"/>
        </w:rPr>
      </w:pPr>
      <w:r>
        <w:rPr>
          <w:rStyle w:val="FootnoteReference"/>
        </w:rPr>
        <w:footnoteRef/>
      </w:r>
      <w:r>
        <w:t xml:space="preserve"> </w:t>
      </w:r>
      <w:r w:rsidR="004D7266" w:rsidRPr="00784CF1">
        <w:t xml:space="preserve">Šveitisi Föderaalne elamumajandusamet (BWO). (2024). Lühiajaline rentimine ja broneerimisplatvormid. </w:t>
      </w:r>
      <w:hyperlink r:id="rId219" w:history="1">
        <w:r w:rsidR="004D7266" w:rsidRPr="00784CF1">
          <w:rPr>
            <w:rStyle w:val="Hyperlink"/>
          </w:rPr>
          <w:t>Link</w:t>
        </w:r>
      </w:hyperlink>
    </w:p>
  </w:footnote>
  <w:footnote w:id="261">
    <w:p w14:paraId="5E94F196" w14:textId="60A393C4" w:rsidR="00F9424F" w:rsidRDefault="00F9424F" w:rsidP="00D6134C">
      <w:pPr>
        <w:pStyle w:val="FootnoteText"/>
        <w:jc w:val="both"/>
      </w:pPr>
      <w:r>
        <w:rPr>
          <w:rStyle w:val="FootnoteReference"/>
        </w:rPr>
        <w:footnoteRef/>
      </w:r>
      <w:r>
        <w:t xml:space="preserve"> D., Dreier. (2023). Earing income with Airbnb rentals and home sharing in Switzerland. </w:t>
      </w:r>
      <w:hyperlink r:id="rId220" w:history="1">
        <w:r w:rsidRPr="00F9424F">
          <w:rPr>
            <w:rStyle w:val="Hyperlink"/>
          </w:rPr>
          <w:t>Link</w:t>
        </w:r>
      </w:hyperlink>
      <w:r>
        <w:t xml:space="preserve">. </w:t>
      </w:r>
    </w:p>
  </w:footnote>
  <w:footnote w:id="262">
    <w:p w14:paraId="7AA74622" w14:textId="77777777" w:rsidR="0053135B" w:rsidRPr="00784CF1" w:rsidRDefault="0053135B" w:rsidP="0053135B">
      <w:pPr>
        <w:pStyle w:val="FootnoteText"/>
      </w:pPr>
      <w:r w:rsidRPr="00784CF1">
        <w:rPr>
          <w:rStyle w:val="FootnoteReference"/>
        </w:rPr>
        <w:footnoteRef/>
      </w:r>
      <w:r w:rsidRPr="00784CF1">
        <w:t xml:space="preserve"> Ge.ch. (2023). Rent my accommodation via a hosting platform (type airbnb).</w:t>
      </w:r>
      <w:hyperlink r:id="rId221" w:history="1">
        <w:r w:rsidRPr="00784CF1">
          <w:rPr>
            <w:rStyle w:val="Hyperlink"/>
          </w:rPr>
          <w:t xml:space="preserve"> Link</w:t>
        </w:r>
      </w:hyperlink>
      <w:r w:rsidRPr="00784CF1">
        <w:t xml:space="preserve">. </w:t>
      </w:r>
    </w:p>
  </w:footnote>
  <w:footnote w:id="263">
    <w:p w14:paraId="7E3A8AE5" w14:textId="77777777" w:rsidR="0053135B" w:rsidRPr="00784CF1" w:rsidRDefault="0053135B" w:rsidP="0053135B">
      <w:pPr>
        <w:pStyle w:val="FootnoteText"/>
      </w:pPr>
      <w:r w:rsidRPr="00784CF1">
        <w:rPr>
          <w:rStyle w:val="FootnoteReference"/>
        </w:rPr>
        <w:footnoteRef/>
      </w:r>
      <w:r w:rsidRPr="00784CF1">
        <w:t xml:space="preserve"> SwissStats. Statistical data on Switzerland 2021: Tourism. </w:t>
      </w:r>
      <w:hyperlink r:id="rId222" w:history="1">
        <w:r w:rsidRPr="00784CF1">
          <w:rPr>
            <w:rStyle w:val="Hyperlink"/>
          </w:rPr>
          <w:t>Link</w:t>
        </w:r>
      </w:hyperlink>
      <w:r w:rsidRPr="00784CF1">
        <w:t xml:space="preserve">. </w:t>
      </w:r>
    </w:p>
  </w:footnote>
  <w:footnote w:id="264">
    <w:p w14:paraId="26EF7FD5" w14:textId="77777777" w:rsidR="0053135B" w:rsidRPr="00784CF1" w:rsidRDefault="0053135B" w:rsidP="0053135B">
      <w:pPr>
        <w:pStyle w:val="FootnoteText"/>
      </w:pPr>
      <w:r w:rsidRPr="00784CF1">
        <w:rPr>
          <w:rStyle w:val="FootnoteReference"/>
        </w:rPr>
        <w:footnoteRef/>
      </w:r>
      <w:r w:rsidRPr="00784CF1">
        <w:t xml:space="preserve"> Airbtics. (2024). Top13 largest Airbnb markets in Switzerland. </w:t>
      </w:r>
      <w:hyperlink r:id="rId223" w:history="1">
        <w:r w:rsidRPr="00784CF1">
          <w:rPr>
            <w:rStyle w:val="Hyperlink"/>
          </w:rPr>
          <w:t>Link</w:t>
        </w:r>
      </w:hyperlink>
      <w:r w:rsidRPr="00784CF1">
        <w:t xml:space="preserve">. </w:t>
      </w:r>
    </w:p>
  </w:footnote>
  <w:footnote w:id="265">
    <w:p w14:paraId="4D07E5F8" w14:textId="77777777" w:rsidR="0053135B" w:rsidRPr="00784CF1" w:rsidRDefault="0053135B" w:rsidP="0053135B">
      <w:pPr>
        <w:pStyle w:val="FootnoteText"/>
      </w:pPr>
      <w:r w:rsidRPr="00784CF1">
        <w:rPr>
          <w:rStyle w:val="FootnoteReference"/>
        </w:rPr>
        <w:footnoteRef/>
      </w:r>
      <w:r w:rsidRPr="00784CF1">
        <w:t xml:space="preserve"> Ambühl V., Egger, T. (2024). Aktuelle Ansätze zur Regulierung von Airbnb in der Schweiz. </w:t>
      </w:r>
      <w:hyperlink r:id="rId224" w:history="1">
        <w:r w:rsidRPr="00784CF1">
          <w:rPr>
            <w:rStyle w:val="Hyperlink"/>
          </w:rPr>
          <w:t>Link</w:t>
        </w:r>
      </w:hyperlink>
      <w:r w:rsidRPr="00784CF1">
        <w:t>.</w:t>
      </w:r>
    </w:p>
  </w:footnote>
  <w:footnote w:id="266">
    <w:p w14:paraId="430E41E5" w14:textId="77777777" w:rsidR="0053135B" w:rsidRPr="00784CF1" w:rsidRDefault="0053135B" w:rsidP="0053135B">
      <w:pPr>
        <w:pStyle w:val="FootnoteText"/>
      </w:pPr>
      <w:r w:rsidRPr="00784CF1">
        <w:rPr>
          <w:rStyle w:val="FootnoteReference"/>
        </w:rPr>
        <w:footnoteRef/>
      </w:r>
      <w:r w:rsidRPr="00784CF1">
        <w:t xml:space="preserve"> Šveitisi Föderaalne elamumajandusamet (BWO). (2024). Lühiajaline rentimine ja broneerimisplatvormid. </w:t>
      </w:r>
      <w:hyperlink r:id="rId225" w:history="1">
        <w:r w:rsidRPr="00784CF1">
          <w:rPr>
            <w:rStyle w:val="Hyperlink"/>
          </w:rPr>
          <w:t>Link</w:t>
        </w:r>
      </w:hyperlink>
      <w:r w:rsidRPr="00784CF1">
        <w:t>.</w:t>
      </w:r>
    </w:p>
  </w:footnote>
  <w:footnote w:id="267">
    <w:p w14:paraId="1502D020" w14:textId="77777777" w:rsidR="0053135B" w:rsidRPr="00AC3AF3" w:rsidRDefault="0053135B" w:rsidP="0053135B">
      <w:pPr>
        <w:pStyle w:val="FootnoteText"/>
        <w:tabs>
          <w:tab w:val="left" w:pos="4142"/>
        </w:tabs>
      </w:pPr>
      <w:r w:rsidRPr="00784CF1">
        <w:rPr>
          <w:rStyle w:val="FootnoteReference"/>
        </w:rPr>
        <w:footnoteRef/>
      </w:r>
      <w:r w:rsidRPr="00784CF1">
        <w:t xml:space="preserve"> Aregger, A., Meyer, M., Zindel S. (2023). Airbnb wird in der Schweiz zum Milliardengeschäf. Bazoline. </w:t>
      </w:r>
      <w:hyperlink r:id="rId226" w:history="1">
        <w:r w:rsidRPr="00784CF1">
          <w:rPr>
            <w:rStyle w:val="Hyperlink"/>
          </w:rPr>
          <w:t>L</w:t>
        </w:r>
        <w:bookmarkStart w:id="212" w:name="_Hlt196470072"/>
        <w:r w:rsidRPr="00784CF1">
          <w:rPr>
            <w:rStyle w:val="Hyperlink"/>
          </w:rPr>
          <w:t>i</w:t>
        </w:r>
        <w:bookmarkStart w:id="213" w:name="_Hlt196403340"/>
        <w:bookmarkEnd w:id="212"/>
        <w:r w:rsidRPr="00784CF1">
          <w:rPr>
            <w:rStyle w:val="Hyperlink"/>
          </w:rPr>
          <w:t>n</w:t>
        </w:r>
        <w:bookmarkEnd w:id="213"/>
        <w:r w:rsidRPr="00784CF1">
          <w:rPr>
            <w:rStyle w:val="Hyperlink"/>
          </w:rPr>
          <w:t>k</w:t>
        </w:r>
      </w:hyperlink>
      <w:r w:rsidRPr="00784CF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C68C" w14:textId="77777777" w:rsidR="00E237E0" w:rsidRPr="00784CF1" w:rsidRDefault="00E237E0">
    <w:pPr>
      <w:pStyle w:val="Header"/>
    </w:pPr>
    <w:r w:rsidRPr="00784CF1">
      <w:rPr>
        <w:noProof/>
      </w:rPr>
      <w:drawing>
        <wp:anchor distT="0" distB="0" distL="114300" distR="114300" simplePos="0" relativeHeight="251658245" behindDoc="1" locked="1" layoutInCell="1" allowOverlap="1" wp14:anchorId="0A811E0D" wp14:editId="317C60A9">
          <wp:simplePos x="0" y="0"/>
          <wp:positionH relativeFrom="page">
            <wp:posOffset>0</wp:posOffset>
          </wp:positionH>
          <wp:positionV relativeFrom="page">
            <wp:posOffset>0</wp:posOffset>
          </wp:positionV>
          <wp:extent cx="7557135" cy="10685145"/>
          <wp:effectExtent l="0" t="0" r="0" b="0"/>
          <wp:wrapNone/>
          <wp:docPr id="1754994038" name="Picture 175499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17946" name="Picture 1259417946"/>
                  <pic:cNvPicPr/>
                </pic:nvPicPr>
                <pic:blipFill>
                  <a:blip r:embed="rId1"/>
                  <a:stretch>
                    <a:fillRect/>
                  </a:stretch>
                </pic:blipFill>
                <pic:spPr>
                  <a:xfrm>
                    <a:off x="0" y="0"/>
                    <a:ext cx="7557135" cy="1068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DEC7" w14:textId="77777777" w:rsidR="00E237E0" w:rsidRPr="00784CF1" w:rsidRDefault="00DC6A03">
    <w:pPr>
      <w:pStyle w:val="Header"/>
    </w:pPr>
    <w:r w:rsidRPr="00784CF1">
      <w:rPr>
        <w:noProof/>
      </w:rPr>
      <mc:AlternateContent>
        <mc:Choice Requires="wps">
          <w:drawing>
            <wp:anchor distT="0" distB="0" distL="114300" distR="114300" simplePos="0" relativeHeight="251658241" behindDoc="0" locked="0" layoutInCell="1" allowOverlap="1" wp14:anchorId="752F0FF5" wp14:editId="565A05A3">
              <wp:simplePos x="0" y="0"/>
              <wp:positionH relativeFrom="rightMargin">
                <wp:posOffset>-306070</wp:posOffset>
              </wp:positionH>
              <wp:positionV relativeFrom="margin">
                <wp:posOffset>-431800</wp:posOffset>
              </wp:positionV>
              <wp:extent cx="291600" cy="306000"/>
              <wp:effectExtent l="0" t="0" r="13335" b="0"/>
              <wp:wrapNone/>
              <wp:docPr id="996963876" name="Text Box 9"/>
              <wp:cNvGraphicFramePr/>
              <a:graphic xmlns:a="http://schemas.openxmlformats.org/drawingml/2006/main">
                <a:graphicData uri="http://schemas.microsoft.com/office/word/2010/wordprocessingShape">
                  <wps:wsp>
                    <wps:cNvSpPr txBox="1"/>
                    <wps:spPr>
                      <a:xfrm>
                        <a:off x="0" y="0"/>
                        <a:ext cx="291600" cy="306000"/>
                      </a:xfrm>
                      <a:prstGeom prst="rect">
                        <a:avLst/>
                      </a:prstGeom>
                      <a:noFill/>
                      <a:ln w="6350">
                        <a:noFill/>
                      </a:ln>
                    </wps:spPr>
                    <wps:txbx>
                      <w:txbxContent>
                        <w:p w14:paraId="3EBE5302" w14:textId="77777777" w:rsidR="00E7686F" w:rsidRPr="00784CF1" w:rsidRDefault="00E7686F" w:rsidP="00DC6A03">
                          <w:pPr>
                            <w:pStyle w:val="Header"/>
                            <w:jc w:val="left"/>
                          </w:pPr>
                          <w:r w:rsidRPr="00784CF1">
                            <w:fldChar w:fldCharType="begin"/>
                          </w:r>
                          <w:r w:rsidRPr="00784CF1">
                            <w:instrText xml:space="preserve"> PAGE   \* MERGEFORMAT </w:instrText>
                          </w:r>
                          <w:r w:rsidRPr="00784CF1">
                            <w:fldChar w:fldCharType="separate"/>
                          </w:r>
                          <w:r w:rsidRPr="00784CF1">
                            <w:t>1</w:t>
                          </w:r>
                          <w:r w:rsidRPr="00784CF1">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F0FF5" id="_x0000_t202" coordsize="21600,21600" o:spt="202" path="m,l,21600r21600,l21600,xe">
              <v:stroke joinstyle="miter"/>
              <v:path gradientshapeok="t" o:connecttype="rect"/>
            </v:shapetype>
            <v:shape id="Text Box 9" o:spid="_x0000_s1029" type="#_x0000_t202" style="position:absolute;left:0;text-align:left;margin-left:-24.1pt;margin-top:-34pt;width:22.95pt;height:24.1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" filled="f" stroked="f" strokeweight=".5pt">
              <v:textbox inset="0,0,0,0">
                <w:txbxContent>
                  <w:p w14:paraId="3EBE5302" w14:textId="77777777" w:rsidR="00E7686F" w:rsidRPr="00784CF1" w:rsidRDefault="00E7686F" w:rsidP="00DC6A03">
                    <w:pPr>
                      <w:pStyle w:val="Header"/>
                      <w:jc w:val="left"/>
                    </w:pPr>
                    <w:r w:rsidRPr="00784CF1">
                      <w:fldChar w:fldCharType="begin"/>
                    </w:r>
                    <w:r w:rsidRPr="00784CF1">
                      <w:instrText xml:space="preserve"> PAGE   \* MERGEFORMAT </w:instrText>
                    </w:r>
                    <w:r w:rsidRPr="00784CF1">
                      <w:fldChar w:fldCharType="separate"/>
                    </w:r>
                    <w:r w:rsidRPr="00784CF1">
                      <w:t>1</w:t>
                    </w:r>
                    <w:r w:rsidRPr="00784CF1">
                      <w:fldChar w:fldCharType="end"/>
                    </w:r>
                  </w:p>
                </w:txbxContent>
              </v:textbox>
              <w10:wrap anchorx="margin" anchory="margin"/>
            </v:shape>
          </w:pict>
        </mc:Fallback>
      </mc:AlternateContent>
    </w:r>
    <w:r w:rsidR="00E31014" w:rsidRPr="00784CF1">
      <w:rPr>
        <w:noProof/>
      </w:rPr>
      <mc:AlternateContent>
        <mc:Choice Requires="wps">
          <w:drawing>
            <wp:anchor distT="0" distB="0" distL="114300" distR="114300" simplePos="0" relativeHeight="251658240" behindDoc="0" locked="0" layoutInCell="1" allowOverlap="1" wp14:anchorId="4DB5EC0A" wp14:editId="68A67EC4">
              <wp:simplePos x="0" y="0"/>
              <wp:positionH relativeFrom="rightMargin">
                <wp:posOffset>-4860925</wp:posOffset>
              </wp:positionH>
              <wp:positionV relativeFrom="margin">
                <wp:posOffset>-485775</wp:posOffset>
              </wp:positionV>
              <wp:extent cx="4381200" cy="378000"/>
              <wp:effectExtent l="0" t="0" r="635" b="3175"/>
              <wp:wrapNone/>
              <wp:docPr id="789347514" name="Text Box 9"/>
              <wp:cNvGraphicFramePr/>
              <a:graphic xmlns:a="http://schemas.openxmlformats.org/drawingml/2006/main">
                <a:graphicData uri="http://schemas.microsoft.com/office/word/2010/wordprocessingShape">
                  <wps:wsp>
                    <wps:cNvSpPr txBox="1"/>
                    <wps:spPr>
                      <a:xfrm>
                        <a:off x="0" y="0"/>
                        <a:ext cx="4381200" cy="378000"/>
                      </a:xfrm>
                      <a:prstGeom prst="rect">
                        <a:avLst/>
                      </a:prstGeom>
                      <a:noFill/>
                      <a:ln w="6350">
                        <a:noFill/>
                      </a:ln>
                    </wps:spPr>
                    <wps:txbx>
                      <w:txbxContent>
                        <w:p w14:paraId="134CA77E" w14:textId="0B9DAEEC" w:rsidR="00867450" w:rsidRPr="00784CF1" w:rsidRDefault="00000000" w:rsidP="0096234A">
                          <w:pPr>
                            <w:pStyle w:val="Header"/>
                          </w:pPr>
                          <w:sdt>
                            <w:sdtPr>
                              <w:alias w:val="Title"/>
                              <w:tag w:val=""/>
                              <w:id w:val="1311601582"/>
                              <w:dataBinding w:prefixMappings="xmlns:ns0='http://purl.org/dc/elements/1.1/' xmlns:ns1='http://schemas.openxmlformats.org/package/2006/metadata/core-properties' " w:xpath="/ns1:coreProperties[1]/ns0:title[1]" w:storeItemID="{6C3C8BC8-F283-45AE-878A-BAB7291924A1}"/>
                              <w:text/>
                            </w:sdtPr>
                            <w:sdtContent>
                              <w:r w:rsidR="005A4D39" w:rsidRPr="00784CF1">
                                <w:t>Rakendusuuring „Lühiajalise üüri turg Eestis“</w:t>
                              </w:r>
                            </w:sdtContent>
                          </w:sdt>
                        </w:p>
                        <w:p w14:paraId="7EC24D95" w14:textId="718EC20E" w:rsidR="00E733C4" w:rsidRPr="00784CF1" w:rsidRDefault="00E733C4" w:rsidP="0096234A">
                          <w:pPr>
                            <w:pStyle w:val="Header"/>
                            <w:rPr>
                              <w:rStyle w:val="Emphasis"/>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5EC0A" id="_x0000_s1030" type="#_x0000_t202" style="position:absolute;left:0;text-align:left;margin-left:-382.75pt;margin-top:-38.25pt;width:345pt;height:29.75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" filled="f" stroked="f" strokeweight=".5pt">
              <v:textbox inset="0,0,0,0">
                <w:txbxContent>
                  <w:p w14:paraId="134CA77E" w14:textId="0B9DAEEC" w:rsidR="00867450" w:rsidRPr="00784CF1" w:rsidRDefault="00000000" w:rsidP="0096234A">
                    <w:pPr>
                      <w:pStyle w:val="Header"/>
                    </w:pPr>
                    <w:sdt>
                      <w:sdtPr>
                        <w:alias w:val="Title"/>
                        <w:tag w:val=""/>
                        <w:id w:val="1311601582"/>
                        <w:dataBinding w:prefixMappings="xmlns:ns0='http://purl.org/dc/elements/1.1/' xmlns:ns1='http://schemas.openxmlformats.org/package/2006/metadata/core-properties' " w:xpath="/ns1:coreProperties[1]/ns0:title[1]" w:storeItemID="{6C3C8BC8-F283-45AE-878A-BAB7291924A1}"/>
                        <w:text/>
                      </w:sdtPr>
                      <w:sdtContent>
                        <w:r w:rsidR="005A4D39" w:rsidRPr="00784CF1">
                          <w:t>Rakendusuuring „Lühiajalise üüri turg Eestis“</w:t>
                        </w:r>
                      </w:sdtContent>
                    </w:sdt>
                  </w:p>
                  <w:p w14:paraId="7EC24D95" w14:textId="718EC20E" w:rsidR="00E733C4" w:rsidRPr="00784CF1" w:rsidRDefault="00E733C4" w:rsidP="0096234A">
                    <w:pPr>
                      <w:pStyle w:val="Header"/>
                      <w:rPr>
                        <w:rStyle w:val="Emphasis"/>
                      </w:rPr>
                    </w:pPr>
                  </w:p>
                </w:txbxContent>
              </v:textbox>
              <w10:wrap anchorx="margin" anchory="margin"/>
            </v:shape>
          </w:pict>
        </mc:Fallback>
      </mc:AlternateContent>
    </w:r>
    <w:r w:rsidR="00892D67" w:rsidRPr="00784CF1">
      <w:rPr>
        <w:noProof/>
      </w:rPr>
      <mc:AlternateContent>
        <mc:Choice Requires="wps">
          <w:drawing>
            <wp:anchor distT="0" distB="0" distL="114300" distR="114300" simplePos="0" relativeHeight="251658242" behindDoc="0" locked="0" layoutInCell="1" allowOverlap="1" wp14:anchorId="77053B7B" wp14:editId="56970F49">
              <wp:simplePos x="0" y="0"/>
              <wp:positionH relativeFrom="rightMargin">
                <wp:posOffset>-377825</wp:posOffset>
              </wp:positionH>
              <wp:positionV relativeFrom="margin">
                <wp:posOffset>-424815</wp:posOffset>
              </wp:positionV>
              <wp:extent cx="0" cy="295200"/>
              <wp:effectExtent l="0" t="0" r="38100" b="29210"/>
              <wp:wrapNone/>
              <wp:docPr id="1754334393" name="Straight Connector 10"/>
              <wp:cNvGraphicFramePr/>
              <a:graphic xmlns:a="http://schemas.openxmlformats.org/drawingml/2006/main">
                <a:graphicData uri="http://schemas.microsoft.com/office/word/2010/wordprocessingShape">
                  <wps:wsp>
                    <wps:cNvCnPr/>
                    <wps:spPr>
                      <a:xfrm>
                        <a:off x="0" y="0"/>
                        <a:ext cx="0" cy="295200"/>
                      </a:xfrm>
                      <a:prstGeom prst="line">
                        <a:avLst/>
                      </a:prstGeom>
                      <a:ln w="1270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w14:anchorId="5952F0D3">
            <v:line id="Straight Connector 10" style="position:absolute;z-index:2516495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 o:spid="_x0000_s1026" strokecolor="#e6e6e6 [3206]" strokeweight="1pt" from="-29.75pt,-33.45pt" to="-29.75pt,-10.2pt" w14:anchorId="05871D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">
              <v:stroke joinstyle="miter"/>
              <w10:wrap anchorx="margin" anchory="margin"/>
            </v:line>
          </w:pict>
        </mc:Fallback>
      </mc:AlternateContent>
    </w:r>
    <w:r w:rsidR="00710008" w:rsidRPr="00784CF1">
      <w:rPr>
        <w:noProof/>
      </w:rPr>
      <w:drawing>
        <wp:anchor distT="0" distB="0" distL="114300" distR="114300" simplePos="0" relativeHeight="251658244" behindDoc="1" locked="1" layoutInCell="1" allowOverlap="1" wp14:anchorId="72C39437" wp14:editId="7C3251E3">
          <wp:simplePos x="520065" y="472440"/>
          <wp:positionH relativeFrom="page">
            <wp:align>right</wp:align>
          </wp:positionH>
          <wp:positionV relativeFrom="page">
            <wp:align>bottom</wp:align>
          </wp:positionV>
          <wp:extent cx="7563600" cy="1882800"/>
          <wp:effectExtent l="0" t="0" r="0" b="3175"/>
          <wp:wrapNone/>
          <wp:docPr id="759090259"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26841" name="Picture 2" descr="A black background with a black square&#10;&#10;Description automatically generated with medium confidence"/>
                  <pic:cNvPicPr/>
                </pic:nvPicPr>
                <pic:blipFill>
                  <a:blip r:embed="rId1"/>
                  <a:stretch>
                    <a:fillRect/>
                  </a:stretch>
                </pic:blipFill>
                <pic:spPr>
                  <a:xfrm>
                    <a:off x="0" y="0"/>
                    <a:ext cx="7563600" cy="1882800"/>
                  </a:xfrm>
                  <a:prstGeom prst="rect">
                    <a:avLst/>
                  </a:prstGeom>
                </pic:spPr>
              </pic:pic>
            </a:graphicData>
          </a:graphic>
          <wp14:sizeRelH relativeFrom="margin">
            <wp14:pctWidth>0</wp14:pctWidth>
          </wp14:sizeRelH>
          <wp14:sizeRelV relativeFrom="margin">
            <wp14:pctHeight>0</wp14:pctHeight>
          </wp14:sizeRelV>
        </wp:anchor>
      </w:drawing>
    </w:r>
    <w:r w:rsidR="00710008" w:rsidRPr="00784CF1">
      <w:rPr>
        <w:noProof/>
      </w:rPr>
      <w:drawing>
        <wp:anchor distT="0" distB="0" distL="114300" distR="114300" simplePos="0" relativeHeight="251658243" behindDoc="1" locked="1" layoutInCell="1" allowOverlap="1" wp14:anchorId="01EFD823" wp14:editId="6943689D">
          <wp:simplePos x="520065" y="472440"/>
          <wp:positionH relativeFrom="page">
            <wp:align>left</wp:align>
          </wp:positionH>
          <wp:positionV relativeFrom="page">
            <wp:align>bottom</wp:align>
          </wp:positionV>
          <wp:extent cx="11030400" cy="939600"/>
          <wp:effectExtent l="0" t="0" r="0" b="0"/>
          <wp:wrapNone/>
          <wp:docPr id="285022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29950" name="Picture 787529950"/>
                  <pic:cNvPicPr/>
                </pic:nvPicPr>
                <pic:blipFill>
                  <a:blip r:embed="rId2"/>
                  <a:stretch>
                    <a:fillRect/>
                  </a:stretch>
                </pic:blipFill>
                <pic:spPr>
                  <a:xfrm>
                    <a:off x="0" y="0"/>
                    <a:ext cx="11030400" cy="93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9B69D" w14:textId="28558AC1" w:rsidR="006209AD" w:rsidRPr="00784CF1" w:rsidRDefault="006209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21DC" w14:textId="77777777" w:rsidR="0053135B" w:rsidRPr="00784CF1" w:rsidRDefault="0053135B">
    <w:pPr>
      <w:pStyle w:val="Header"/>
    </w:pPr>
    <w:r w:rsidRPr="00784CF1">
      <w:rPr>
        <w:noProof/>
      </w:rPr>
      <mc:AlternateContent>
        <mc:Choice Requires="wps">
          <w:drawing>
            <wp:anchor distT="0" distB="0" distL="114300" distR="114300" simplePos="0" relativeHeight="251658247" behindDoc="0" locked="0" layoutInCell="1" allowOverlap="1" wp14:anchorId="14C35118" wp14:editId="0B94FC27">
              <wp:simplePos x="0" y="0"/>
              <wp:positionH relativeFrom="rightMargin">
                <wp:posOffset>-306070</wp:posOffset>
              </wp:positionH>
              <wp:positionV relativeFrom="margin">
                <wp:posOffset>-431800</wp:posOffset>
              </wp:positionV>
              <wp:extent cx="291600" cy="306000"/>
              <wp:effectExtent l="0" t="0" r="13335" b="0"/>
              <wp:wrapNone/>
              <wp:docPr id="2023490423" name="Text Box 9"/>
              <wp:cNvGraphicFramePr/>
              <a:graphic xmlns:a="http://schemas.openxmlformats.org/drawingml/2006/main">
                <a:graphicData uri="http://schemas.microsoft.com/office/word/2010/wordprocessingShape">
                  <wps:wsp>
                    <wps:cNvSpPr txBox="1"/>
                    <wps:spPr>
                      <a:xfrm>
                        <a:off x="0" y="0"/>
                        <a:ext cx="291600" cy="306000"/>
                      </a:xfrm>
                      <a:prstGeom prst="rect">
                        <a:avLst/>
                      </a:prstGeom>
                      <a:noFill/>
                      <a:ln w="6350">
                        <a:noFill/>
                      </a:ln>
                    </wps:spPr>
                    <wps:txbx>
                      <w:txbxContent>
                        <w:p w14:paraId="27F71E9D" w14:textId="77777777" w:rsidR="0053135B" w:rsidRPr="00784CF1" w:rsidRDefault="0053135B" w:rsidP="00DC6A03">
                          <w:pPr>
                            <w:pStyle w:val="Header"/>
                            <w:jc w:val="left"/>
                          </w:pPr>
                          <w:r w:rsidRPr="00784CF1">
                            <w:fldChar w:fldCharType="begin"/>
                          </w:r>
                          <w:r w:rsidRPr="00784CF1">
                            <w:instrText xml:space="preserve"> PAGE   \* MERGEFORMAT </w:instrText>
                          </w:r>
                          <w:r w:rsidRPr="00784CF1">
                            <w:fldChar w:fldCharType="separate"/>
                          </w:r>
                          <w:r w:rsidRPr="00784CF1">
                            <w:t>1</w:t>
                          </w:r>
                          <w:r w:rsidRPr="00784CF1">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C35118" id="_x0000_t202" coordsize="21600,21600" o:spt="202" path="m,l,21600r21600,l21600,xe">
              <v:stroke joinstyle="miter"/>
              <v:path gradientshapeok="t" o:connecttype="rect"/>
            </v:shapetype>
            <v:shape id="_x0000_s1031" type="#_x0000_t202" style="position:absolute;left:0;text-align:left;margin-left:-24.1pt;margin-top:-34pt;width:22.95pt;height:24.1pt;z-index:251658247;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" filled="f" stroked="f" strokeweight=".5pt">
              <v:textbox inset="0,0,0,0">
                <w:txbxContent>
                  <w:p w14:paraId="27F71E9D" w14:textId="77777777" w:rsidR="0053135B" w:rsidRPr="00784CF1" w:rsidRDefault="0053135B" w:rsidP="00DC6A03">
                    <w:pPr>
                      <w:pStyle w:val="Header"/>
                      <w:jc w:val="left"/>
                    </w:pPr>
                    <w:r w:rsidRPr="00784CF1">
                      <w:fldChar w:fldCharType="begin"/>
                    </w:r>
                    <w:r w:rsidRPr="00784CF1">
                      <w:instrText xml:space="preserve"> PAGE   \* MERGEFORMAT </w:instrText>
                    </w:r>
                    <w:r w:rsidRPr="00784CF1">
                      <w:fldChar w:fldCharType="separate"/>
                    </w:r>
                    <w:r w:rsidRPr="00784CF1">
                      <w:t>1</w:t>
                    </w:r>
                    <w:r w:rsidRPr="00784CF1">
                      <w:fldChar w:fldCharType="end"/>
                    </w:r>
                  </w:p>
                </w:txbxContent>
              </v:textbox>
              <w10:wrap anchorx="margin" anchory="margin"/>
            </v:shape>
          </w:pict>
        </mc:Fallback>
      </mc:AlternateContent>
    </w:r>
    <w:r w:rsidRPr="00784CF1">
      <w:rPr>
        <w:noProof/>
      </w:rPr>
      <mc:AlternateContent>
        <mc:Choice Requires="wps">
          <w:drawing>
            <wp:anchor distT="0" distB="0" distL="114300" distR="114300" simplePos="0" relativeHeight="251658249" behindDoc="0" locked="0" layoutInCell="1" allowOverlap="1" wp14:anchorId="4D8BC103" wp14:editId="057872D9">
              <wp:simplePos x="0" y="0"/>
              <wp:positionH relativeFrom="rightMargin">
                <wp:posOffset>-377825</wp:posOffset>
              </wp:positionH>
              <wp:positionV relativeFrom="margin">
                <wp:posOffset>-424815</wp:posOffset>
              </wp:positionV>
              <wp:extent cx="0" cy="295200"/>
              <wp:effectExtent l="0" t="0" r="38100" b="29210"/>
              <wp:wrapNone/>
              <wp:docPr id="747135681" name="Straight Connector 10"/>
              <wp:cNvGraphicFramePr/>
              <a:graphic xmlns:a="http://schemas.openxmlformats.org/drawingml/2006/main">
                <a:graphicData uri="http://schemas.microsoft.com/office/word/2010/wordprocessingShape">
                  <wps:wsp>
                    <wps:cNvCnPr/>
                    <wps:spPr>
                      <a:xfrm>
                        <a:off x="0" y="0"/>
                        <a:ext cx="0" cy="295200"/>
                      </a:xfrm>
                      <a:prstGeom prst="line">
                        <a:avLst/>
                      </a:prstGeom>
                      <a:ln w="1270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w14:anchorId="76207B2F">
            <v:line id="Straight Connector 10" style="position:absolute;z-index:251661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 o:spid="_x0000_s1026" strokecolor="#e6e6e6 [3206]" strokeweight="1pt" from="-29.75pt,-33.45pt" to="-29.75pt,-10.2pt" w14:anchorId="3B966E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">
              <v:stroke joinstyle="miter"/>
              <w10:wrap anchorx="margin" anchory="margin"/>
            </v:line>
          </w:pict>
        </mc:Fallback>
      </mc:AlternateContent>
    </w:r>
    <w:r w:rsidRPr="00784CF1">
      <w:rPr>
        <w:noProof/>
      </w:rPr>
      <w:drawing>
        <wp:anchor distT="0" distB="0" distL="114300" distR="114300" simplePos="0" relativeHeight="251658253" behindDoc="1" locked="1" layoutInCell="1" allowOverlap="1" wp14:anchorId="78DAB1BD" wp14:editId="7D1F4017">
          <wp:simplePos x="520065" y="472440"/>
          <wp:positionH relativeFrom="page">
            <wp:align>right</wp:align>
          </wp:positionH>
          <wp:positionV relativeFrom="page">
            <wp:align>bottom</wp:align>
          </wp:positionV>
          <wp:extent cx="7563600" cy="1882800"/>
          <wp:effectExtent l="0" t="0" r="0" b="3175"/>
          <wp:wrapNone/>
          <wp:docPr id="1754664951"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26841" name="Picture 2" descr="A black background with a black square&#10;&#10;Description automatically generated with medium confidence"/>
                  <pic:cNvPicPr/>
                </pic:nvPicPr>
                <pic:blipFill>
                  <a:blip r:embed="rId1"/>
                  <a:stretch>
                    <a:fillRect/>
                  </a:stretch>
                </pic:blipFill>
                <pic:spPr>
                  <a:xfrm>
                    <a:off x="0" y="0"/>
                    <a:ext cx="7563600" cy="1882800"/>
                  </a:xfrm>
                  <a:prstGeom prst="rect">
                    <a:avLst/>
                  </a:prstGeom>
                </pic:spPr>
              </pic:pic>
            </a:graphicData>
          </a:graphic>
          <wp14:sizeRelH relativeFrom="margin">
            <wp14:pctWidth>0</wp14:pctWidth>
          </wp14:sizeRelH>
          <wp14:sizeRelV relativeFrom="margin">
            <wp14:pctHeight>0</wp14:pctHeight>
          </wp14:sizeRelV>
        </wp:anchor>
      </w:drawing>
    </w:r>
    <w:r w:rsidRPr="00784CF1">
      <w:rPr>
        <w:noProof/>
      </w:rPr>
      <w:drawing>
        <wp:anchor distT="0" distB="0" distL="114300" distR="114300" simplePos="0" relativeHeight="251658252" behindDoc="1" locked="1" layoutInCell="1" allowOverlap="1" wp14:anchorId="03EC8562" wp14:editId="3A0C18C6">
          <wp:simplePos x="520065" y="472440"/>
          <wp:positionH relativeFrom="page">
            <wp:align>left</wp:align>
          </wp:positionH>
          <wp:positionV relativeFrom="page">
            <wp:align>bottom</wp:align>
          </wp:positionV>
          <wp:extent cx="11030400" cy="939600"/>
          <wp:effectExtent l="0" t="0" r="0" b="0"/>
          <wp:wrapNone/>
          <wp:docPr id="280427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29950" name="Picture 787529950"/>
                  <pic:cNvPicPr/>
                </pic:nvPicPr>
                <pic:blipFill>
                  <a:blip r:embed="rId2"/>
                  <a:stretch>
                    <a:fillRect/>
                  </a:stretch>
                </pic:blipFill>
                <pic:spPr>
                  <a:xfrm>
                    <a:off x="0" y="0"/>
                    <a:ext cx="11030400" cy="93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1768" w14:textId="20ED2EBF" w:rsidR="0053135B" w:rsidRPr="00784CF1" w:rsidRDefault="0053135B" w:rsidP="00D9750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9948D60E"/>
    <w:lvl w:ilvl="0">
      <w:start w:val="1"/>
      <w:numFmt w:val="bullet"/>
      <w:pStyle w:val="ListBullet5"/>
      <w:lvlText w:val="–"/>
      <w:lvlJc w:val="left"/>
      <w:pPr>
        <w:ind w:left="1721" w:hanging="360"/>
      </w:pPr>
      <w:rPr>
        <w:rFonts w:ascii="Arial Black" w:hAnsi="Arial Black" w:hint="default"/>
        <w:color w:val="auto"/>
      </w:rPr>
    </w:lvl>
  </w:abstractNum>
  <w:abstractNum w:abstractNumId="1" w15:restartNumberingAfterBreak="0">
    <w:nsid w:val="FFFFFF81"/>
    <w:multiLevelType w:val="singleLevel"/>
    <w:tmpl w:val="8EF4C65C"/>
    <w:lvl w:ilvl="0">
      <w:start w:val="1"/>
      <w:numFmt w:val="bullet"/>
      <w:pStyle w:val="ListBullet4"/>
      <w:lvlText w:val="–"/>
      <w:lvlJc w:val="left"/>
      <w:pPr>
        <w:ind w:left="1381" w:hanging="360"/>
      </w:pPr>
      <w:rPr>
        <w:rFonts w:ascii="Arial Black" w:hAnsi="Arial Black" w:hint="default"/>
        <w:color w:val="auto"/>
      </w:rPr>
    </w:lvl>
  </w:abstractNum>
  <w:abstractNum w:abstractNumId="2" w15:restartNumberingAfterBreak="0">
    <w:nsid w:val="FFFFFF82"/>
    <w:multiLevelType w:val="singleLevel"/>
    <w:tmpl w:val="394CA79A"/>
    <w:lvl w:ilvl="0">
      <w:start w:val="1"/>
      <w:numFmt w:val="bullet"/>
      <w:pStyle w:val="ListBullet3"/>
      <w:lvlText w:val="–"/>
      <w:lvlJc w:val="left"/>
      <w:pPr>
        <w:ind w:left="1040" w:hanging="360"/>
      </w:pPr>
      <w:rPr>
        <w:rFonts w:ascii="Arial Black" w:hAnsi="Arial Black" w:hint="default"/>
        <w:color w:val="auto"/>
      </w:rPr>
    </w:lvl>
  </w:abstractNum>
  <w:abstractNum w:abstractNumId="3" w15:restartNumberingAfterBreak="0">
    <w:nsid w:val="FFFFFF83"/>
    <w:multiLevelType w:val="singleLevel"/>
    <w:tmpl w:val="9F4E0FCA"/>
    <w:lvl w:ilvl="0">
      <w:start w:val="1"/>
      <w:numFmt w:val="bullet"/>
      <w:pStyle w:val="ListBullet2"/>
      <w:lvlText w:val="⁄"/>
      <w:lvlJc w:val="left"/>
      <w:pPr>
        <w:ind w:left="700" w:hanging="360"/>
      </w:pPr>
      <w:rPr>
        <w:color w:val="auto"/>
        <w:sz w:val="20"/>
      </w:rPr>
    </w:lvl>
  </w:abstractNum>
  <w:abstractNum w:abstractNumId="4" w15:restartNumberingAfterBreak="0">
    <w:nsid w:val="FFFFFF89"/>
    <w:multiLevelType w:val="singleLevel"/>
    <w:tmpl w:val="87B24632"/>
    <w:lvl w:ilvl="0">
      <w:start w:val="1"/>
      <w:numFmt w:val="bullet"/>
      <w:pStyle w:val="ListBullet"/>
      <w:lvlText w:val="¡"/>
      <w:lvlJc w:val="left"/>
      <w:pPr>
        <w:ind w:left="360" w:hanging="360"/>
      </w:pPr>
      <w:rPr>
        <w:rFonts w:ascii="Wingdings 2" w:hAnsi="Wingdings 2" w:hint="default"/>
        <w:color w:val="auto"/>
        <w:sz w:val="20"/>
      </w:rPr>
    </w:lvl>
  </w:abstractNum>
  <w:abstractNum w:abstractNumId="5" w15:restartNumberingAfterBreak="0">
    <w:nsid w:val="035158A0"/>
    <w:multiLevelType w:val="hybridMultilevel"/>
    <w:tmpl w:val="5FF0CE9A"/>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60802B9"/>
    <w:multiLevelType w:val="hybridMultilevel"/>
    <w:tmpl w:val="02605782"/>
    <w:lvl w:ilvl="0" w:tplc="FFFFFFFF">
      <w:start w:val="1"/>
      <w:numFmt w:val="bullet"/>
      <w:lvlText w:val="▪"/>
      <w:lvlJc w:val="left"/>
      <w:pPr>
        <w:ind w:left="720" w:hanging="360"/>
      </w:pPr>
      <w:rPr>
        <w:rFonts w:ascii="Noto Sans Symbols" w:hAnsi="Noto Sans Symbols" w:hint="default"/>
      </w:rPr>
    </w:lvl>
    <w:lvl w:ilvl="1" w:tplc="04250005">
      <w:start w:val="1"/>
      <w:numFmt w:val="bullet"/>
      <w:lvlText w:val=""/>
      <w:lvlJc w:val="left"/>
      <w:pPr>
        <w:ind w:left="288"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7A2093D"/>
    <w:multiLevelType w:val="hybridMultilevel"/>
    <w:tmpl w:val="B63213C0"/>
    <w:lvl w:ilvl="0" w:tplc="04250005">
      <w:start w:val="1"/>
      <w:numFmt w:val="bullet"/>
      <w:lvlText w:val=""/>
      <w:lvlJc w:val="left"/>
      <w:pPr>
        <w:ind w:left="720" w:hanging="360"/>
      </w:pPr>
      <w:rPr>
        <w:rFonts w:ascii="Wingdings" w:hAnsi="Wingdings" w:hint="default"/>
      </w:rPr>
    </w:lvl>
    <w:lvl w:ilvl="1" w:tplc="1C902910">
      <w:start w:val="1"/>
      <w:numFmt w:val="bullet"/>
      <w:lvlText w:val="/"/>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A1040DB"/>
    <w:multiLevelType w:val="hybridMultilevel"/>
    <w:tmpl w:val="C4F6B0B8"/>
    <w:lvl w:ilvl="0" w:tplc="2F60CFA0">
      <w:start w:val="1"/>
      <w:numFmt w:val="bullet"/>
      <w:lvlText w:val=""/>
      <w:lvlJc w:val="left"/>
      <w:pPr>
        <w:tabs>
          <w:tab w:val="num" w:pos="720"/>
        </w:tabs>
        <w:ind w:left="720" w:hanging="360"/>
      </w:pPr>
      <w:rPr>
        <w:rFonts w:ascii="Wingdings" w:hAnsi="Wingdings" w:hint="default"/>
      </w:rPr>
    </w:lvl>
    <w:lvl w:ilvl="1" w:tplc="E578EFF2" w:tentative="1">
      <w:start w:val="1"/>
      <w:numFmt w:val="bullet"/>
      <w:lvlText w:val=""/>
      <w:lvlJc w:val="left"/>
      <w:pPr>
        <w:tabs>
          <w:tab w:val="num" w:pos="1440"/>
        </w:tabs>
        <w:ind w:left="1440" w:hanging="360"/>
      </w:pPr>
      <w:rPr>
        <w:rFonts w:ascii="Wingdings" w:hAnsi="Wingdings" w:hint="default"/>
      </w:rPr>
    </w:lvl>
    <w:lvl w:ilvl="2" w:tplc="B5EA4BE0" w:tentative="1">
      <w:start w:val="1"/>
      <w:numFmt w:val="bullet"/>
      <w:lvlText w:val=""/>
      <w:lvlJc w:val="left"/>
      <w:pPr>
        <w:tabs>
          <w:tab w:val="num" w:pos="2160"/>
        </w:tabs>
        <w:ind w:left="2160" w:hanging="360"/>
      </w:pPr>
      <w:rPr>
        <w:rFonts w:ascii="Wingdings" w:hAnsi="Wingdings" w:hint="default"/>
      </w:rPr>
    </w:lvl>
    <w:lvl w:ilvl="3" w:tplc="384E9B26" w:tentative="1">
      <w:start w:val="1"/>
      <w:numFmt w:val="bullet"/>
      <w:lvlText w:val=""/>
      <w:lvlJc w:val="left"/>
      <w:pPr>
        <w:tabs>
          <w:tab w:val="num" w:pos="2880"/>
        </w:tabs>
        <w:ind w:left="2880" w:hanging="360"/>
      </w:pPr>
      <w:rPr>
        <w:rFonts w:ascii="Wingdings" w:hAnsi="Wingdings" w:hint="default"/>
      </w:rPr>
    </w:lvl>
    <w:lvl w:ilvl="4" w:tplc="70C22C5C" w:tentative="1">
      <w:start w:val="1"/>
      <w:numFmt w:val="bullet"/>
      <w:lvlText w:val=""/>
      <w:lvlJc w:val="left"/>
      <w:pPr>
        <w:tabs>
          <w:tab w:val="num" w:pos="3600"/>
        </w:tabs>
        <w:ind w:left="3600" w:hanging="360"/>
      </w:pPr>
      <w:rPr>
        <w:rFonts w:ascii="Wingdings" w:hAnsi="Wingdings" w:hint="default"/>
      </w:rPr>
    </w:lvl>
    <w:lvl w:ilvl="5" w:tplc="3B047AF8" w:tentative="1">
      <w:start w:val="1"/>
      <w:numFmt w:val="bullet"/>
      <w:lvlText w:val=""/>
      <w:lvlJc w:val="left"/>
      <w:pPr>
        <w:tabs>
          <w:tab w:val="num" w:pos="4320"/>
        </w:tabs>
        <w:ind w:left="4320" w:hanging="360"/>
      </w:pPr>
      <w:rPr>
        <w:rFonts w:ascii="Wingdings" w:hAnsi="Wingdings" w:hint="default"/>
      </w:rPr>
    </w:lvl>
    <w:lvl w:ilvl="6" w:tplc="0F64D6E0" w:tentative="1">
      <w:start w:val="1"/>
      <w:numFmt w:val="bullet"/>
      <w:lvlText w:val=""/>
      <w:lvlJc w:val="left"/>
      <w:pPr>
        <w:tabs>
          <w:tab w:val="num" w:pos="5040"/>
        </w:tabs>
        <w:ind w:left="5040" w:hanging="360"/>
      </w:pPr>
      <w:rPr>
        <w:rFonts w:ascii="Wingdings" w:hAnsi="Wingdings" w:hint="default"/>
      </w:rPr>
    </w:lvl>
    <w:lvl w:ilvl="7" w:tplc="D0747CC4" w:tentative="1">
      <w:start w:val="1"/>
      <w:numFmt w:val="bullet"/>
      <w:lvlText w:val=""/>
      <w:lvlJc w:val="left"/>
      <w:pPr>
        <w:tabs>
          <w:tab w:val="num" w:pos="5760"/>
        </w:tabs>
        <w:ind w:left="5760" w:hanging="360"/>
      </w:pPr>
      <w:rPr>
        <w:rFonts w:ascii="Wingdings" w:hAnsi="Wingdings" w:hint="default"/>
      </w:rPr>
    </w:lvl>
    <w:lvl w:ilvl="8" w:tplc="EAF0C20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F9628D"/>
    <w:multiLevelType w:val="hybridMultilevel"/>
    <w:tmpl w:val="008070C6"/>
    <w:lvl w:ilvl="0" w:tplc="06347012">
      <w:start w:val="1"/>
      <w:numFmt w:val="bullet"/>
      <w:lvlText w:val="▪"/>
      <w:lvlJc w:val="left"/>
      <w:pPr>
        <w:ind w:left="720" w:hanging="360"/>
      </w:pPr>
      <w:rPr>
        <w:rFonts w:ascii="Noto Sans Symbols" w:hAnsi="Noto Sans Symbols" w:hint="default"/>
      </w:rPr>
    </w:lvl>
    <w:lvl w:ilvl="1" w:tplc="EEE6AB98" w:tentative="1">
      <w:start w:val="1"/>
      <w:numFmt w:val="bullet"/>
      <w:lvlText w:val="o"/>
      <w:lvlJc w:val="left"/>
      <w:pPr>
        <w:ind w:left="1440" w:hanging="360"/>
      </w:pPr>
      <w:rPr>
        <w:rFonts w:ascii="Courier New" w:hAnsi="Courier New" w:hint="default"/>
      </w:rPr>
    </w:lvl>
    <w:lvl w:ilvl="2" w:tplc="73480794" w:tentative="1">
      <w:start w:val="1"/>
      <w:numFmt w:val="bullet"/>
      <w:lvlText w:val=""/>
      <w:lvlJc w:val="left"/>
      <w:pPr>
        <w:ind w:left="2160" w:hanging="360"/>
      </w:pPr>
      <w:rPr>
        <w:rFonts w:ascii="Wingdings" w:hAnsi="Wingdings" w:hint="default"/>
      </w:rPr>
    </w:lvl>
    <w:lvl w:ilvl="3" w:tplc="F774E6EE" w:tentative="1">
      <w:start w:val="1"/>
      <w:numFmt w:val="bullet"/>
      <w:lvlText w:val=""/>
      <w:lvlJc w:val="left"/>
      <w:pPr>
        <w:ind w:left="2880" w:hanging="360"/>
      </w:pPr>
      <w:rPr>
        <w:rFonts w:ascii="Symbol" w:hAnsi="Symbol" w:hint="default"/>
      </w:rPr>
    </w:lvl>
    <w:lvl w:ilvl="4" w:tplc="C8702D16" w:tentative="1">
      <w:start w:val="1"/>
      <w:numFmt w:val="bullet"/>
      <w:lvlText w:val="o"/>
      <w:lvlJc w:val="left"/>
      <w:pPr>
        <w:ind w:left="3600" w:hanging="360"/>
      </w:pPr>
      <w:rPr>
        <w:rFonts w:ascii="Courier New" w:hAnsi="Courier New" w:hint="default"/>
      </w:rPr>
    </w:lvl>
    <w:lvl w:ilvl="5" w:tplc="EDA695E4" w:tentative="1">
      <w:start w:val="1"/>
      <w:numFmt w:val="bullet"/>
      <w:lvlText w:val=""/>
      <w:lvlJc w:val="left"/>
      <w:pPr>
        <w:ind w:left="4320" w:hanging="360"/>
      </w:pPr>
      <w:rPr>
        <w:rFonts w:ascii="Wingdings" w:hAnsi="Wingdings" w:hint="default"/>
      </w:rPr>
    </w:lvl>
    <w:lvl w:ilvl="6" w:tplc="B720F462" w:tentative="1">
      <w:start w:val="1"/>
      <w:numFmt w:val="bullet"/>
      <w:lvlText w:val=""/>
      <w:lvlJc w:val="left"/>
      <w:pPr>
        <w:ind w:left="5040" w:hanging="360"/>
      </w:pPr>
      <w:rPr>
        <w:rFonts w:ascii="Symbol" w:hAnsi="Symbol" w:hint="default"/>
      </w:rPr>
    </w:lvl>
    <w:lvl w:ilvl="7" w:tplc="191490CE" w:tentative="1">
      <w:start w:val="1"/>
      <w:numFmt w:val="bullet"/>
      <w:lvlText w:val="o"/>
      <w:lvlJc w:val="left"/>
      <w:pPr>
        <w:ind w:left="5760" w:hanging="360"/>
      </w:pPr>
      <w:rPr>
        <w:rFonts w:ascii="Courier New" w:hAnsi="Courier New" w:hint="default"/>
      </w:rPr>
    </w:lvl>
    <w:lvl w:ilvl="8" w:tplc="DCCC4194" w:tentative="1">
      <w:start w:val="1"/>
      <w:numFmt w:val="bullet"/>
      <w:lvlText w:val=""/>
      <w:lvlJc w:val="left"/>
      <w:pPr>
        <w:ind w:left="6480" w:hanging="360"/>
      </w:pPr>
      <w:rPr>
        <w:rFonts w:ascii="Wingdings" w:hAnsi="Wingdings" w:hint="default"/>
      </w:rPr>
    </w:lvl>
  </w:abstractNum>
  <w:abstractNum w:abstractNumId="10" w15:restartNumberingAfterBreak="0">
    <w:nsid w:val="0D1E57A6"/>
    <w:multiLevelType w:val="hybridMultilevel"/>
    <w:tmpl w:val="236EABD6"/>
    <w:lvl w:ilvl="0" w:tplc="042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DF2D53"/>
    <w:multiLevelType w:val="hybridMultilevel"/>
    <w:tmpl w:val="593823CC"/>
    <w:lvl w:ilvl="0" w:tplc="D37837A4">
      <w:start w:val="1"/>
      <w:numFmt w:val="bullet"/>
      <w:lvlText w:val=""/>
      <w:lvlJc w:val="left"/>
      <w:pPr>
        <w:ind w:left="360" w:hanging="360"/>
      </w:pPr>
      <w:rPr>
        <w:rFonts w:ascii="Wingdings" w:hAnsi="Wingdings" w:hint="default"/>
      </w:rPr>
    </w:lvl>
    <w:lvl w:ilvl="1" w:tplc="FD74F944" w:tentative="1">
      <w:start w:val="1"/>
      <w:numFmt w:val="bullet"/>
      <w:lvlText w:val="o"/>
      <w:lvlJc w:val="left"/>
      <w:pPr>
        <w:ind w:left="1080" w:hanging="360"/>
      </w:pPr>
      <w:rPr>
        <w:rFonts w:ascii="Courier New" w:hAnsi="Courier New" w:hint="default"/>
      </w:rPr>
    </w:lvl>
    <w:lvl w:ilvl="2" w:tplc="26FA9DE8" w:tentative="1">
      <w:start w:val="1"/>
      <w:numFmt w:val="bullet"/>
      <w:lvlText w:val=""/>
      <w:lvlJc w:val="left"/>
      <w:pPr>
        <w:ind w:left="1800" w:hanging="360"/>
      </w:pPr>
      <w:rPr>
        <w:rFonts w:ascii="Wingdings" w:hAnsi="Wingdings" w:hint="default"/>
      </w:rPr>
    </w:lvl>
    <w:lvl w:ilvl="3" w:tplc="40B03426" w:tentative="1">
      <w:start w:val="1"/>
      <w:numFmt w:val="bullet"/>
      <w:lvlText w:val=""/>
      <w:lvlJc w:val="left"/>
      <w:pPr>
        <w:ind w:left="2520" w:hanging="360"/>
      </w:pPr>
      <w:rPr>
        <w:rFonts w:ascii="Symbol" w:hAnsi="Symbol" w:hint="default"/>
      </w:rPr>
    </w:lvl>
    <w:lvl w:ilvl="4" w:tplc="DDF8253C" w:tentative="1">
      <w:start w:val="1"/>
      <w:numFmt w:val="bullet"/>
      <w:lvlText w:val="o"/>
      <w:lvlJc w:val="left"/>
      <w:pPr>
        <w:ind w:left="3240" w:hanging="360"/>
      </w:pPr>
      <w:rPr>
        <w:rFonts w:ascii="Courier New" w:hAnsi="Courier New" w:hint="default"/>
      </w:rPr>
    </w:lvl>
    <w:lvl w:ilvl="5" w:tplc="DA50C7A6" w:tentative="1">
      <w:start w:val="1"/>
      <w:numFmt w:val="bullet"/>
      <w:lvlText w:val=""/>
      <w:lvlJc w:val="left"/>
      <w:pPr>
        <w:ind w:left="3960" w:hanging="360"/>
      </w:pPr>
      <w:rPr>
        <w:rFonts w:ascii="Wingdings" w:hAnsi="Wingdings" w:hint="default"/>
      </w:rPr>
    </w:lvl>
    <w:lvl w:ilvl="6" w:tplc="E8FCA4BA" w:tentative="1">
      <w:start w:val="1"/>
      <w:numFmt w:val="bullet"/>
      <w:lvlText w:val=""/>
      <w:lvlJc w:val="left"/>
      <w:pPr>
        <w:ind w:left="4680" w:hanging="360"/>
      </w:pPr>
      <w:rPr>
        <w:rFonts w:ascii="Symbol" w:hAnsi="Symbol" w:hint="default"/>
      </w:rPr>
    </w:lvl>
    <w:lvl w:ilvl="7" w:tplc="F36AACDA" w:tentative="1">
      <w:start w:val="1"/>
      <w:numFmt w:val="bullet"/>
      <w:lvlText w:val="o"/>
      <w:lvlJc w:val="left"/>
      <w:pPr>
        <w:ind w:left="5400" w:hanging="360"/>
      </w:pPr>
      <w:rPr>
        <w:rFonts w:ascii="Courier New" w:hAnsi="Courier New" w:hint="default"/>
      </w:rPr>
    </w:lvl>
    <w:lvl w:ilvl="8" w:tplc="B9C429A0" w:tentative="1">
      <w:start w:val="1"/>
      <w:numFmt w:val="bullet"/>
      <w:lvlText w:val=""/>
      <w:lvlJc w:val="left"/>
      <w:pPr>
        <w:ind w:left="6120" w:hanging="360"/>
      </w:pPr>
      <w:rPr>
        <w:rFonts w:ascii="Wingdings" w:hAnsi="Wingdings" w:hint="default"/>
      </w:rPr>
    </w:lvl>
  </w:abstractNum>
  <w:abstractNum w:abstractNumId="12" w15:restartNumberingAfterBreak="0">
    <w:nsid w:val="10FC4FF3"/>
    <w:multiLevelType w:val="hybridMultilevel"/>
    <w:tmpl w:val="A14ED924"/>
    <w:lvl w:ilvl="0" w:tplc="042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13720FC"/>
    <w:multiLevelType w:val="hybridMultilevel"/>
    <w:tmpl w:val="28E65CF0"/>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1188538B"/>
    <w:multiLevelType w:val="hybridMultilevel"/>
    <w:tmpl w:val="83DAAB20"/>
    <w:lvl w:ilvl="0" w:tplc="F7EA7D2E">
      <w:start w:val="1"/>
      <w:numFmt w:val="bullet"/>
      <w:lvlText w:val="▪"/>
      <w:lvlJc w:val="left"/>
      <w:pPr>
        <w:ind w:left="720" w:hanging="360"/>
      </w:pPr>
      <w:rPr>
        <w:rFonts w:ascii="Noto Sans Symbols" w:hAnsi="Noto Sans Symbols" w:hint="default"/>
      </w:rPr>
    </w:lvl>
    <w:lvl w:ilvl="1" w:tplc="B29CBA16" w:tentative="1">
      <w:start w:val="1"/>
      <w:numFmt w:val="bullet"/>
      <w:lvlText w:val="o"/>
      <w:lvlJc w:val="left"/>
      <w:pPr>
        <w:ind w:left="1440" w:hanging="360"/>
      </w:pPr>
      <w:rPr>
        <w:rFonts w:ascii="Courier New" w:hAnsi="Courier New" w:hint="default"/>
      </w:rPr>
    </w:lvl>
    <w:lvl w:ilvl="2" w:tplc="945AA49E" w:tentative="1">
      <w:start w:val="1"/>
      <w:numFmt w:val="bullet"/>
      <w:lvlText w:val=""/>
      <w:lvlJc w:val="left"/>
      <w:pPr>
        <w:ind w:left="2160" w:hanging="360"/>
      </w:pPr>
      <w:rPr>
        <w:rFonts w:ascii="Wingdings" w:hAnsi="Wingdings" w:hint="default"/>
      </w:rPr>
    </w:lvl>
    <w:lvl w:ilvl="3" w:tplc="D1043084" w:tentative="1">
      <w:start w:val="1"/>
      <w:numFmt w:val="bullet"/>
      <w:lvlText w:val=""/>
      <w:lvlJc w:val="left"/>
      <w:pPr>
        <w:ind w:left="2880" w:hanging="360"/>
      </w:pPr>
      <w:rPr>
        <w:rFonts w:ascii="Symbol" w:hAnsi="Symbol" w:hint="default"/>
      </w:rPr>
    </w:lvl>
    <w:lvl w:ilvl="4" w:tplc="983CD2BA" w:tentative="1">
      <w:start w:val="1"/>
      <w:numFmt w:val="bullet"/>
      <w:lvlText w:val="o"/>
      <w:lvlJc w:val="left"/>
      <w:pPr>
        <w:ind w:left="3600" w:hanging="360"/>
      </w:pPr>
      <w:rPr>
        <w:rFonts w:ascii="Courier New" w:hAnsi="Courier New" w:hint="default"/>
      </w:rPr>
    </w:lvl>
    <w:lvl w:ilvl="5" w:tplc="CB24A86A" w:tentative="1">
      <w:start w:val="1"/>
      <w:numFmt w:val="bullet"/>
      <w:lvlText w:val=""/>
      <w:lvlJc w:val="left"/>
      <w:pPr>
        <w:ind w:left="4320" w:hanging="360"/>
      </w:pPr>
      <w:rPr>
        <w:rFonts w:ascii="Wingdings" w:hAnsi="Wingdings" w:hint="default"/>
      </w:rPr>
    </w:lvl>
    <w:lvl w:ilvl="6" w:tplc="986264C4" w:tentative="1">
      <w:start w:val="1"/>
      <w:numFmt w:val="bullet"/>
      <w:lvlText w:val=""/>
      <w:lvlJc w:val="left"/>
      <w:pPr>
        <w:ind w:left="5040" w:hanging="360"/>
      </w:pPr>
      <w:rPr>
        <w:rFonts w:ascii="Symbol" w:hAnsi="Symbol" w:hint="default"/>
      </w:rPr>
    </w:lvl>
    <w:lvl w:ilvl="7" w:tplc="385228F8" w:tentative="1">
      <w:start w:val="1"/>
      <w:numFmt w:val="bullet"/>
      <w:lvlText w:val="o"/>
      <w:lvlJc w:val="left"/>
      <w:pPr>
        <w:ind w:left="5760" w:hanging="360"/>
      </w:pPr>
      <w:rPr>
        <w:rFonts w:ascii="Courier New" w:hAnsi="Courier New" w:hint="default"/>
      </w:rPr>
    </w:lvl>
    <w:lvl w:ilvl="8" w:tplc="3A74F790" w:tentative="1">
      <w:start w:val="1"/>
      <w:numFmt w:val="bullet"/>
      <w:lvlText w:val=""/>
      <w:lvlJc w:val="left"/>
      <w:pPr>
        <w:ind w:left="6480" w:hanging="360"/>
      </w:pPr>
      <w:rPr>
        <w:rFonts w:ascii="Wingdings" w:hAnsi="Wingdings" w:hint="default"/>
      </w:rPr>
    </w:lvl>
  </w:abstractNum>
  <w:abstractNum w:abstractNumId="15" w15:restartNumberingAfterBreak="0">
    <w:nsid w:val="15005330"/>
    <w:multiLevelType w:val="hybridMultilevel"/>
    <w:tmpl w:val="5F8278C2"/>
    <w:lvl w:ilvl="0" w:tplc="FFFFFFFF">
      <w:start w:val="1"/>
      <w:numFmt w:val="lowerLetter"/>
      <w:lvlText w:val="%1)"/>
      <w:lvlJc w:val="left"/>
      <w:pPr>
        <w:ind w:left="720" w:hanging="360"/>
      </w:pPr>
    </w:lvl>
    <w:lvl w:ilvl="1" w:tplc="04250005">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BA673F7"/>
    <w:multiLevelType w:val="hybridMultilevel"/>
    <w:tmpl w:val="6AC6C2C4"/>
    <w:lvl w:ilvl="0" w:tplc="042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C8A0807"/>
    <w:multiLevelType w:val="hybridMultilevel"/>
    <w:tmpl w:val="280CE20E"/>
    <w:lvl w:ilvl="0" w:tplc="042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D6A16E8"/>
    <w:multiLevelType w:val="hybridMultilevel"/>
    <w:tmpl w:val="1494F864"/>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1E416471"/>
    <w:multiLevelType w:val="hybridMultilevel"/>
    <w:tmpl w:val="3D868EDC"/>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1EAD017D"/>
    <w:multiLevelType w:val="hybridMultilevel"/>
    <w:tmpl w:val="B4245630"/>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1F083E09"/>
    <w:multiLevelType w:val="hybridMultilevel"/>
    <w:tmpl w:val="F4AE6B6C"/>
    <w:lvl w:ilvl="0" w:tplc="0425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21323E78"/>
    <w:multiLevelType w:val="hybridMultilevel"/>
    <w:tmpl w:val="6E3C8CDC"/>
    <w:lvl w:ilvl="0" w:tplc="04250001">
      <w:start w:val="1"/>
      <w:numFmt w:val="bullet"/>
      <w:lvlText w:val=""/>
      <w:lvlJc w:val="left"/>
      <w:pPr>
        <w:ind w:left="786" w:hanging="360"/>
      </w:pPr>
      <w:rPr>
        <w:rFonts w:ascii="Symbol" w:hAnsi="Symbol" w:hint="default"/>
      </w:rPr>
    </w:lvl>
    <w:lvl w:ilvl="1" w:tplc="04250003" w:tentative="1">
      <w:start w:val="1"/>
      <w:numFmt w:val="bullet"/>
      <w:lvlText w:val="o"/>
      <w:lvlJc w:val="left"/>
      <w:pPr>
        <w:ind w:left="1506" w:hanging="360"/>
      </w:pPr>
      <w:rPr>
        <w:rFonts w:ascii="Courier New" w:hAnsi="Courier New" w:cs="Courier New" w:hint="default"/>
      </w:rPr>
    </w:lvl>
    <w:lvl w:ilvl="2" w:tplc="04250005" w:tentative="1">
      <w:start w:val="1"/>
      <w:numFmt w:val="bullet"/>
      <w:lvlText w:val=""/>
      <w:lvlJc w:val="left"/>
      <w:pPr>
        <w:ind w:left="2226" w:hanging="360"/>
      </w:pPr>
      <w:rPr>
        <w:rFonts w:ascii="Wingdings" w:hAnsi="Wingdings" w:hint="default"/>
      </w:rPr>
    </w:lvl>
    <w:lvl w:ilvl="3" w:tplc="04250001" w:tentative="1">
      <w:start w:val="1"/>
      <w:numFmt w:val="bullet"/>
      <w:lvlText w:val=""/>
      <w:lvlJc w:val="left"/>
      <w:pPr>
        <w:ind w:left="2946" w:hanging="360"/>
      </w:pPr>
      <w:rPr>
        <w:rFonts w:ascii="Symbol" w:hAnsi="Symbol" w:hint="default"/>
      </w:rPr>
    </w:lvl>
    <w:lvl w:ilvl="4" w:tplc="04250003" w:tentative="1">
      <w:start w:val="1"/>
      <w:numFmt w:val="bullet"/>
      <w:lvlText w:val="o"/>
      <w:lvlJc w:val="left"/>
      <w:pPr>
        <w:ind w:left="3666" w:hanging="360"/>
      </w:pPr>
      <w:rPr>
        <w:rFonts w:ascii="Courier New" w:hAnsi="Courier New" w:cs="Courier New" w:hint="default"/>
      </w:rPr>
    </w:lvl>
    <w:lvl w:ilvl="5" w:tplc="04250005" w:tentative="1">
      <w:start w:val="1"/>
      <w:numFmt w:val="bullet"/>
      <w:lvlText w:val=""/>
      <w:lvlJc w:val="left"/>
      <w:pPr>
        <w:ind w:left="4386" w:hanging="360"/>
      </w:pPr>
      <w:rPr>
        <w:rFonts w:ascii="Wingdings" w:hAnsi="Wingdings" w:hint="default"/>
      </w:rPr>
    </w:lvl>
    <w:lvl w:ilvl="6" w:tplc="04250001" w:tentative="1">
      <w:start w:val="1"/>
      <w:numFmt w:val="bullet"/>
      <w:lvlText w:val=""/>
      <w:lvlJc w:val="left"/>
      <w:pPr>
        <w:ind w:left="5106" w:hanging="360"/>
      </w:pPr>
      <w:rPr>
        <w:rFonts w:ascii="Symbol" w:hAnsi="Symbol" w:hint="default"/>
      </w:rPr>
    </w:lvl>
    <w:lvl w:ilvl="7" w:tplc="04250003" w:tentative="1">
      <w:start w:val="1"/>
      <w:numFmt w:val="bullet"/>
      <w:lvlText w:val="o"/>
      <w:lvlJc w:val="left"/>
      <w:pPr>
        <w:ind w:left="5826" w:hanging="360"/>
      </w:pPr>
      <w:rPr>
        <w:rFonts w:ascii="Courier New" w:hAnsi="Courier New" w:cs="Courier New" w:hint="default"/>
      </w:rPr>
    </w:lvl>
    <w:lvl w:ilvl="8" w:tplc="04250005" w:tentative="1">
      <w:start w:val="1"/>
      <w:numFmt w:val="bullet"/>
      <w:lvlText w:val=""/>
      <w:lvlJc w:val="left"/>
      <w:pPr>
        <w:ind w:left="6546" w:hanging="360"/>
      </w:pPr>
      <w:rPr>
        <w:rFonts w:ascii="Wingdings" w:hAnsi="Wingdings" w:hint="default"/>
      </w:rPr>
    </w:lvl>
  </w:abstractNum>
  <w:abstractNum w:abstractNumId="23" w15:restartNumberingAfterBreak="0">
    <w:nsid w:val="254E5119"/>
    <w:multiLevelType w:val="hybridMultilevel"/>
    <w:tmpl w:val="523E8E5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25C07E6D"/>
    <w:multiLevelType w:val="hybridMultilevel"/>
    <w:tmpl w:val="ED1E3E88"/>
    <w:lvl w:ilvl="0" w:tplc="04250005">
      <w:start w:val="1"/>
      <w:numFmt w:val="bullet"/>
      <w:lvlText w:val=""/>
      <w:lvlJc w:val="left"/>
      <w:pPr>
        <w:ind w:left="1080" w:hanging="360"/>
      </w:pPr>
      <w:rPr>
        <w:rFonts w:ascii="Wingdings" w:hAnsi="Wingdings"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25" w15:restartNumberingAfterBreak="0">
    <w:nsid w:val="27DF482E"/>
    <w:multiLevelType w:val="hybridMultilevel"/>
    <w:tmpl w:val="AA4EF58E"/>
    <w:lvl w:ilvl="0" w:tplc="04250005">
      <w:start w:val="1"/>
      <w:numFmt w:val="bullet"/>
      <w:lvlText w:val=""/>
      <w:lvlJc w:val="left"/>
      <w:pPr>
        <w:ind w:left="648" w:hanging="360"/>
      </w:pPr>
      <w:rPr>
        <w:rFonts w:ascii="Wingdings" w:hAnsi="Wingdings" w:hint="default"/>
      </w:rPr>
    </w:lvl>
    <w:lvl w:ilvl="1" w:tplc="04250003" w:tentative="1">
      <w:start w:val="1"/>
      <w:numFmt w:val="bullet"/>
      <w:lvlText w:val="o"/>
      <w:lvlJc w:val="left"/>
      <w:pPr>
        <w:ind w:left="1368" w:hanging="360"/>
      </w:pPr>
      <w:rPr>
        <w:rFonts w:ascii="Courier New" w:hAnsi="Courier New" w:cs="Courier New" w:hint="default"/>
      </w:rPr>
    </w:lvl>
    <w:lvl w:ilvl="2" w:tplc="04250005" w:tentative="1">
      <w:start w:val="1"/>
      <w:numFmt w:val="bullet"/>
      <w:lvlText w:val=""/>
      <w:lvlJc w:val="left"/>
      <w:pPr>
        <w:ind w:left="2088" w:hanging="360"/>
      </w:pPr>
      <w:rPr>
        <w:rFonts w:ascii="Wingdings" w:hAnsi="Wingdings" w:hint="default"/>
      </w:rPr>
    </w:lvl>
    <w:lvl w:ilvl="3" w:tplc="04250001" w:tentative="1">
      <w:start w:val="1"/>
      <w:numFmt w:val="bullet"/>
      <w:lvlText w:val=""/>
      <w:lvlJc w:val="left"/>
      <w:pPr>
        <w:ind w:left="2808" w:hanging="360"/>
      </w:pPr>
      <w:rPr>
        <w:rFonts w:ascii="Symbol" w:hAnsi="Symbol" w:hint="default"/>
      </w:rPr>
    </w:lvl>
    <w:lvl w:ilvl="4" w:tplc="04250003" w:tentative="1">
      <w:start w:val="1"/>
      <w:numFmt w:val="bullet"/>
      <w:lvlText w:val="o"/>
      <w:lvlJc w:val="left"/>
      <w:pPr>
        <w:ind w:left="3528" w:hanging="360"/>
      </w:pPr>
      <w:rPr>
        <w:rFonts w:ascii="Courier New" w:hAnsi="Courier New" w:cs="Courier New" w:hint="default"/>
      </w:rPr>
    </w:lvl>
    <w:lvl w:ilvl="5" w:tplc="04250005" w:tentative="1">
      <w:start w:val="1"/>
      <w:numFmt w:val="bullet"/>
      <w:lvlText w:val=""/>
      <w:lvlJc w:val="left"/>
      <w:pPr>
        <w:ind w:left="4248" w:hanging="360"/>
      </w:pPr>
      <w:rPr>
        <w:rFonts w:ascii="Wingdings" w:hAnsi="Wingdings" w:hint="default"/>
      </w:rPr>
    </w:lvl>
    <w:lvl w:ilvl="6" w:tplc="04250001" w:tentative="1">
      <w:start w:val="1"/>
      <w:numFmt w:val="bullet"/>
      <w:lvlText w:val=""/>
      <w:lvlJc w:val="left"/>
      <w:pPr>
        <w:ind w:left="4968" w:hanging="360"/>
      </w:pPr>
      <w:rPr>
        <w:rFonts w:ascii="Symbol" w:hAnsi="Symbol" w:hint="default"/>
      </w:rPr>
    </w:lvl>
    <w:lvl w:ilvl="7" w:tplc="04250003" w:tentative="1">
      <w:start w:val="1"/>
      <w:numFmt w:val="bullet"/>
      <w:lvlText w:val="o"/>
      <w:lvlJc w:val="left"/>
      <w:pPr>
        <w:ind w:left="5688" w:hanging="360"/>
      </w:pPr>
      <w:rPr>
        <w:rFonts w:ascii="Courier New" w:hAnsi="Courier New" w:cs="Courier New" w:hint="default"/>
      </w:rPr>
    </w:lvl>
    <w:lvl w:ilvl="8" w:tplc="04250005" w:tentative="1">
      <w:start w:val="1"/>
      <w:numFmt w:val="bullet"/>
      <w:lvlText w:val=""/>
      <w:lvlJc w:val="left"/>
      <w:pPr>
        <w:ind w:left="6408" w:hanging="360"/>
      </w:pPr>
      <w:rPr>
        <w:rFonts w:ascii="Wingdings" w:hAnsi="Wingdings" w:hint="default"/>
      </w:rPr>
    </w:lvl>
  </w:abstractNum>
  <w:abstractNum w:abstractNumId="26" w15:restartNumberingAfterBreak="0">
    <w:nsid w:val="289A5CAA"/>
    <w:multiLevelType w:val="hybridMultilevel"/>
    <w:tmpl w:val="5C3CF08E"/>
    <w:lvl w:ilvl="0" w:tplc="3556A2C4">
      <w:start w:val="1"/>
      <w:numFmt w:val="bullet"/>
      <w:lvlText w:val=""/>
      <w:lvlJc w:val="left"/>
      <w:pPr>
        <w:ind w:left="360" w:hanging="360"/>
      </w:pPr>
      <w:rPr>
        <w:rFonts w:ascii="Wingdings" w:hAnsi="Wingdings" w:hint="default"/>
      </w:rPr>
    </w:lvl>
    <w:lvl w:ilvl="1" w:tplc="A2BC7DEE" w:tentative="1">
      <w:start w:val="1"/>
      <w:numFmt w:val="bullet"/>
      <w:lvlText w:val="o"/>
      <w:lvlJc w:val="left"/>
      <w:pPr>
        <w:ind w:left="1080" w:hanging="360"/>
      </w:pPr>
      <w:rPr>
        <w:rFonts w:ascii="Courier New" w:hAnsi="Courier New" w:hint="default"/>
      </w:rPr>
    </w:lvl>
    <w:lvl w:ilvl="2" w:tplc="B5D687AE" w:tentative="1">
      <w:start w:val="1"/>
      <w:numFmt w:val="bullet"/>
      <w:lvlText w:val=""/>
      <w:lvlJc w:val="left"/>
      <w:pPr>
        <w:ind w:left="1800" w:hanging="360"/>
      </w:pPr>
      <w:rPr>
        <w:rFonts w:ascii="Wingdings" w:hAnsi="Wingdings" w:hint="default"/>
      </w:rPr>
    </w:lvl>
    <w:lvl w:ilvl="3" w:tplc="C2D04C4A" w:tentative="1">
      <w:start w:val="1"/>
      <w:numFmt w:val="bullet"/>
      <w:lvlText w:val=""/>
      <w:lvlJc w:val="left"/>
      <w:pPr>
        <w:ind w:left="2520" w:hanging="360"/>
      </w:pPr>
      <w:rPr>
        <w:rFonts w:ascii="Symbol" w:hAnsi="Symbol" w:hint="default"/>
      </w:rPr>
    </w:lvl>
    <w:lvl w:ilvl="4" w:tplc="1722BCB8" w:tentative="1">
      <w:start w:val="1"/>
      <w:numFmt w:val="bullet"/>
      <w:lvlText w:val="o"/>
      <w:lvlJc w:val="left"/>
      <w:pPr>
        <w:ind w:left="3240" w:hanging="360"/>
      </w:pPr>
      <w:rPr>
        <w:rFonts w:ascii="Courier New" w:hAnsi="Courier New" w:hint="default"/>
      </w:rPr>
    </w:lvl>
    <w:lvl w:ilvl="5" w:tplc="861A20D6" w:tentative="1">
      <w:start w:val="1"/>
      <w:numFmt w:val="bullet"/>
      <w:lvlText w:val=""/>
      <w:lvlJc w:val="left"/>
      <w:pPr>
        <w:ind w:left="3960" w:hanging="360"/>
      </w:pPr>
      <w:rPr>
        <w:rFonts w:ascii="Wingdings" w:hAnsi="Wingdings" w:hint="default"/>
      </w:rPr>
    </w:lvl>
    <w:lvl w:ilvl="6" w:tplc="27C060BC" w:tentative="1">
      <w:start w:val="1"/>
      <w:numFmt w:val="bullet"/>
      <w:lvlText w:val=""/>
      <w:lvlJc w:val="left"/>
      <w:pPr>
        <w:ind w:left="4680" w:hanging="360"/>
      </w:pPr>
      <w:rPr>
        <w:rFonts w:ascii="Symbol" w:hAnsi="Symbol" w:hint="default"/>
      </w:rPr>
    </w:lvl>
    <w:lvl w:ilvl="7" w:tplc="88E66292" w:tentative="1">
      <w:start w:val="1"/>
      <w:numFmt w:val="bullet"/>
      <w:lvlText w:val="o"/>
      <w:lvlJc w:val="left"/>
      <w:pPr>
        <w:ind w:left="5400" w:hanging="360"/>
      </w:pPr>
      <w:rPr>
        <w:rFonts w:ascii="Courier New" w:hAnsi="Courier New" w:hint="default"/>
      </w:rPr>
    </w:lvl>
    <w:lvl w:ilvl="8" w:tplc="D7902E44" w:tentative="1">
      <w:start w:val="1"/>
      <w:numFmt w:val="bullet"/>
      <w:lvlText w:val=""/>
      <w:lvlJc w:val="left"/>
      <w:pPr>
        <w:ind w:left="6120" w:hanging="360"/>
      </w:pPr>
      <w:rPr>
        <w:rFonts w:ascii="Wingdings" w:hAnsi="Wingdings" w:hint="default"/>
      </w:rPr>
    </w:lvl>
  </w:abstractNum>
  <w:abstractNum w:abstractNumId="27" w15:restartNumberingAfterBreak="0">
    <w:nsid w:val="2A721EDD"/>
    <w:multiLevelType w:val="hybridMultilevel"/>
    <w:tmpl w:val="79D8B90C"/>
    <w:lvl w:ilvl="0" w:tplc="04250005">
      <w:start w:val="1"/>
      <w:numFmt w:val="bullet"/>
      <w:lvlText w:val=""/>
      <w:lvlJc w:val="left"/>
      <w:pPr>
        <w:ind w:left="1080" w:hanging="360"/>
      </w:pPr>
      <w:rPr>
        <w:rFonts w:ascii="Wingdings" w:hAnsi="Wingdings"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28" w15:restartNumberingAfterBreak="0">
    <w:nsid w:val="2C2C4D45"/>
    <w:multiLevelType w:val="hybridMultilevel"/>
    <w:tmpl w:val="06E83D44"/>
    <w:lvl w:ilvl="0" w:tplc="042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DAE1C00"/>
    <w:multiLevelType w:val="hybridMultilevel"/>
    <w:tmpl w:val="E18C782A"/>
    <w:lvl w:ilvl="0" w:tplc="04250005">
      <w:start w:val="1"/>
      <w:numFmt w:val="bullet"/>
      <w:lvlText w:val=""/>
      <w:lvlJc w:val="left"/>
      <w:pPr>
        <w:ind w:left="1170" w:hanging="360"/>
      </w:pPr>
      <w:rPr>
        <w:rFonts w:ascii="Wingdings" w:hAnsi="Wingdings" w:hint="default"/>
      </w:rPr>
    </w:lvl>
    <w:lvl w:ilvl="1" w:tplc="04250003" w:tentative="1">
      <w:start w:val="1"/>
      <w:numFmt w:val="bullet"/>
      <w:lvlText w:val="o"/>
      <w:lvlJc w:val="left"/>
      <w:pPr>
        <w:ind w:left="1890" w:hanging="360"/>
      </w:pPr>
      <w:rPr>
        <w:rFonts w:ascii="Courier New" w:hAnsi="Courier New" w:cs="Courier New" w:hint="default"/>
      </w:rPr>
    </w:lvl>
    <w:lvl w:ilvl="2" w:tplc="04250005" w:tentative="1">
      <w:start w:val="1"/>
      <w:numFmt w:val="bullet"/>
      <w:lvlText w:val=""/>
      <w:lvlJc w:val="left"/>
      <w:pPr>
        <w:ind w:left="2610" w:hanging="360"/>
      </w:pPr>
      <w:rPr>
        <w:rFonts w:ascii="Wingdings" w:hAnsi="Wingdings" w:hint="default"/>
      </w:rPr>
    </w:lvl>
    <w:lvl w:ilvl="3" w:tplc="04250001" w:tentative="1">
      <w:start w:val="1"/>
      <w:numFmt w:val="bullet"/>
      <w:lvlText w:val=""/>
      <w:lvlJc w:val="left"/>
      <w:pPr>
        <w:ind w:left="3330" w:hanging="360"/>
      </w:pPr>
      <w:rPr>
        <w:rFonts w:ascii="Symbol" w:hAnsi="Symbol" w:hint="default"/>
      </w:rPr>
    </w:lvl>
    <w:lvl w:ilvl="4" w:tplc="04250003" w:tentative="1">
      <w:start w:val="1"/>
      <w:numFmt w:val="bullet"/>
      <w:lvlText w:val="o"/>
      <w:lvlJc w:val="left"/>
      <w:pPr>
        <w:ind w:left="4050" w:hanging="360"/>
      </w:pPr>
      <w:rPr>
        <w:rFonts w:ascii="Courier New" w:hAnsi="Courier New" w:cs="Courier New" w:hint="default"/>
      </w:rPr>
    </w:lvl>
    <w:lvl w:ilvl="5" w:tplc="04250005" w:tentative="1">
      <w:start w:val="1"/>
      <w:numFmt w:val="bullet"/>
      <w:lvlText w:val=""/>
      <w:lvlJc w:val="left"/>
      <w:pPr>
        <w:ind w:left="4770" w:hanging="360"/>
      </w:pPr>
      <w:rPr>
        <w:rFonts w:ascii="Wingdings" w:hAnsi="Wingdings" w:hint="default"/>
      </w:rPr>
    </w:lvl>
    <w:lvl w:ilvl="6" w:tplc="04250001" w:tentative="1">
      <w:start w:val="1"/>
      <w:numFmt w:val="bullet"/>
      <w:lvlText w:val=""/>
      <w:lvlJc w:val="left"/>
      <w:pPr>
        <w:ind w:left="5490" w:hanging="360"/>
      </w:pPr>
      <w:rPr>
        <w:rFonts w:ascii="Symbol" w:hAnsi="Symbol" w:hint="default"/>
      </w:rPr>
    </w:lvl>
    <w:lvl w:ilvl="7" w:tplc="04250003" w:tentative="1">
      <w:start w:val="1"/>
      <w:numFmt w:val="bullet"/>
      <w:lvlText w:val="o"/>
      <w:lvlJc w:val="left"/>
      <w:pPr>
        <w:ind w:left="6210" w:hanging="360"/>
      </w:pPr>
      <w:rPr>
        <w:rFonts w:ascii="Courier New" w:hAnsi="Courier New" w:cs="Courier New" w:hint="default"/>
      </w:rPr>
    </w:lvl>
    <w:lvl w:ilvl="8" w:tplc="04250005" w:tentative="1">
      <w:start w:val="1"/>
      <w:numFmt w:val="bullet"/>
      <w:lvlText w:val=""/>
      <w:lvlJc w:val="left"/>
      <w:pPr>
        <w:ind w:left="6930" w:hanging="360"/>
      </w:pPr>
      <w:rPr>
        <w:rFonts w:ascii="Wingdings" w:hAnsi="Wingdings" w:hint="default"/>
      </w:rPr>
    </w:lvl>
  </w:abstractNum>
  <w:abstractNum w:abstractNumId="30" w15:restartNumberingAfterBreak="0">
    <w:nsid w:val="316118A3"/>
    <w:multiLevelType w:val="multilevel"/>
    <w:tmpl w:val="D84EA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8E5A23"/>
    <w:multiLevelType w:val="hybridMultilevel"/>
    <w:tmpl w:val="622C8CE2"/>
    <w:lvl w:ilvl="0" w:tplc="04250005">
      <w:start w:val="1"/>
      <w:numFmt w:val="bullet"/>
      <w:lvlText w:val=""/>
      <w:lvlJc w:val="left"/>
      <w:pPr>
        <w:ind w:left="648" w:hanging="360"/>
      </w:pPr>
      <w:rPr>
        <w:rFonts w:ascii="Wingdings" w:hAnsi="Wingdings" w:hint="default"/>
      </w:rPr>
    </w:lvl>
    <w:lvl w:ilvl="1" w:tplc="04250003" w:tentative="1">
      <w:start w:val="1"/>
      <w:numFmt w:val="bullet"/>
      <w:lvlText w:val="o"/>
      <w:lvlJc w:val="left"/>
      <w:pPr>
        <w:ind w:left="1368" w:hanging="360"/>
      </w:pPr>
      <w:rPr>
        <w:rFonts w:ascii="Courier New" w:hAnsi="Courier New" w:cs="Courier New" w:hint="default"/>
      </w:rPr>
    </w:lvl>
    <w:lvl w:ilvl="2" w:tplc="04250005" w:tentative="1">
      <w:start w:val="1"/>
      <w:numFmt w:val="bullet"/>
      <w:lvlText w:val=""/>
      <w:lvlJc w:val="left"/>
      <w:pPr>
        <w:ind w:left="2088" w:hanging="360"/>
      </w:pPr>
      <w:rPr>
        <w:rFonts w:ascii="Wingdings" w:hAnsi="Wingdings" w:hint="default"/>
      </w:rPr>
    </w:lvl>
    <w:lvl w:ilvl="3" w:tplc="04250001" w:tentative="1">
      <w:start w:val="1"/>
      <w:numFmt w:val="bullet"/>
      <w:lvlText w:val=""/>
      <w:lvlJc w:val="left"/>
      <w:pPr>
        <w:ind w:left="2808" w:hanging="360"/>
      </w:pPr>
      <w:rPr>
        <w:rFonts w:ascii="Symbol" w:hAnsi="Symbol" w:hint="default"/>
      </w:rPr>
    </w:lvl>
    <w:lvl w:ilvl="4" w:tplc="04250003" w:tentative="1">
      <w:start w:val="1"/>
      <w:numFmt w:val="bullet"/>
      <w:lvlText w:val="o"/>
      <w:lvlJc w:val="left"/>
      <w:pPr>
        <w:ind w:left="3528" w:hanging="360"/>
      </w:pPr>
      <w:rPr>
        <w:rFonts w:ascii="Courier New" w:hAnsi="Courier New" w:cs="Courier New" w:hint="default"/>
      </w:rPr>
    </w:lvl>
    <w:lvl w:ilvl="5" w:tplc="04250005" w:tentative="1">
      <w:start w:val="1"/>
      <w:numFmt w:val="bullet"/>
      <w:lvlText w:val=""/>
      <w:lvlJc w:val="left"/>
      <w:pPr>
        <w:ind w:left="4248" w:hanging="360"/>
      </w:pPr>
      <w:rPr>
        <w:rFonts w:ascii="Wingdings" w:hAnsi="Wingdings" w:hint="default"/>
      </w:rPr>
    </w:lvl>
    <w:lvl w:ilvl="6" w:tplc="04250001" w:tentative="1">
      <w:start w:val="1"/>
      <w:numFmt w:val="bullet"/>
      <w:lvlText w:val=""/>
      <w:lvlJc w:val="left"/>
      <w:pPr>
        <w:ind w:left="4968" w:hanging="360"/>
      </w:pPr>
      <w:rPr>
        <w:rFonts w:ascii="Symbol" w:hAnsi="Symbol" w:hint="default"/>
      </w:rPr>
    </w:lvl>
    <w:lvl w:ilvl="7" w:tplc="04250003" w:tentative="1">
      <w:start w:val="1"/>
      <w:numFmt w:val="bullet"/>
      <w:lvlText w:val="o"/>
      <w:lvlJc w:val="left"/>
      <w:pPr>
        <w:ind w:left="5688" w:hanging="360"/>
      </w:pPr>
      <w:rPr>
        <w:rFonts w:ascii="Courier New" w:hAnsi="Courier New" w:cs="Courier New" w:hint="default"/>
      </w:rPr>
    </w:lvl>
    <w:lvl w:ilvl="8" w:tplc="04250005" w:tentative="1">
      <w:start w:val="1"/>
      <w:numFmt w:val="bullet"/>
      <w:lvlText w:val=""/>
      <w:lvlJc w:val="left"/>
      <w:pPr>
        <w:ind w:left="6408" w:hanging="360"/>
      </w:pPr>
      <w:rPr>
        <w:rFonts w:ascii="Wingdings" w:hAnsi="Wingdings" w:hint="default"/>
      </w:rPr>
    </w:lvl>
  </w:abstractNum>
  <w:abstractNum w:abstractNumId="32" w15:restartNumberingAfterBreak="0">
    <w:nsid w:val="38746F73"/>
    <w:multiLevelType w:val="hybridMultilevel"/>
    <w:tmpl w:val="DB28141E"/>
    <w:lvl w:ilvl="0" w:tplc="818A0596">
      <w:start w:val="1"/>
      <w:numFmt w:val="bullet"/>
      <w:lvlText w:val=""/>
      <w:lvlJc w:val="left"/>
      <w:pPr>
        <w:ind w:left="360" w:hanging="360"/>
      </w:pPr>
      <w:rPr>
        <w:rFonts w:ascii="Wingdings" w:hAnsi="Wingdings" w:hint="default"/>
      </w:rPr>
    </w:lvl>
    <w:lvl w:ilvl="1" w:tplc="C9B26506" w:tentative="1">
      <w:start w:val="1"/>
      <w:numFmt w:val="bullet"/>
      <w:lvlText w:val="o"/>
      <w:lvlJc w:val="left"/>
      <w:pPr>
        <w:ind w:left="1080" w:hanging="360"/>
      </w:pPr>
      <w:rPr>
        <w:rFonts w:ascii="Courier New" w:hAnsi="Courier New" w:hint="default"/>
      </w:rPr>
    </w:lvl>
    <w:lvl w:ilvl="2" w:tplc="2076D754" w:tentative="1">
      <w:start w:val="1"/>
      <w:numFmt w:val="bullet"/>
      <w:lvlText w:val=""/>
      <w:lvlJc w:val="left"/>
      <w:pPr>
        <w:ind w:left="1800" w:hanging="360"/>
      </w:pPr>
      <w:rPr>
        <w:rFonts w:ascii="Wingdings" w:hAnsi="Wingdings" w:hint="default"/>
      </w:rPr>
    </w:lvl>
    <w:lvl w:ilvl="3" w:tplc="317E0BE0" w:tentative="1">
      <w:start w:val="1"/>
      <w:numFmt w:val="bullet"/>
      <w:lvlText w:val=""/>
      <w:lvlJc w:val="left"/>
      <w:pPr>
        <w:ind w:left="2520" w:hanging="360"/>
      </w:pPr>
      <w:rPr>
        <w:rFonts w:ascii="Symbol" w:hAnsi="Symbol" w:hint="default"/>
      </w:rPr>
    </w:lvl>
    <w:lvl w:ilvl="4" w:tplc="E146D76E" w:tentative="1">
      <w:start w:val="1"/>
      <w:numFmt w:val="bullet"/>
      <w:lvlText w:val="o"/>
      <w:lvlJc w:val="left"/>
      <w:pPr>
        <w:ind w:left="3240" w:hanging="360"/>
      </w:pPr>
      <w:rPr>
        <w:rFonts w:ascii="Courier New" w:hAnsi="Courier New" w:hint="default"/>
      </w:rPr>
    </w:lvl>
    <w:lvl w:ilvl="5" w:tplc="2DA8EA9C" w:tentative="1">
      <w:start w:val="1"/>
      <w:numFmt w:val="bullet"/>
      <w:lvlText w:val=""/>
      <w:lvlJc w:val="left"/>
      <w:pPr>
        <w:ind w:left="3960" w:hanging="360"/>
      </w:pPr>
      <w:rPr>
        <w:rFonts w:ascii="Wingdings" w:hAnsi="Wingdings" w:hint="default"/>
      </w:rPr>
    </w:lvl>
    <w:lvl w:ilvl="6" w:tplc="EE0A7856" w:tentative="1">
      <w:start w:val="1"/>
      <w:numFmt w:val="bullet"/>
      <w:lvlText w:val=""/>
      <w:lvlJc w:val="left"/>
      <w:pPr>
        <w:ind w:left="4680" w:hanging="360"/>
      </w:pPr>
      <w:rPr>
        <w:rFonts w:ascii="Symbol" w:hAnsi="Symbol" w:hint="default"/>
      </w:rPr>
    </w:lvl>
    <w:lvl w:ilvl="7" w:tplc="1160CB40" w:tentative="1">
      <w:start w:val="1"/>
      <w:numFmt w:val="bullet"/>
      <w:lvlText w:val="o"/>
      <w:lvlJc w:val="left"/>
      <w:pPr>
        <w:ind w:left="5400" w:hanging="360"/>
      </w:pPr>
      <w:rPr>
        <w:rFonts w:ascii="Courier New" w:hAnsi="Courier New" w:hint="default"/>
      </w:rPr>
    </w:lvl>
    <w:lvl w:ilvl="8" w:tplc="DDA4A18C" w:tentative="1">
      <w:start w:val="1"/>
      <w:numFmt w:val="bullet"/>
      <w:lvlText w:val=""/>
      <w:lvlJc w:val="left"/>
      <w:pPr>
        <w:ind w:left="6120" w:hanging="360"/>
      </w:pPr>
      <w:rPr>
        <w:rFonts w:ascii="Wingdings" w:hAnsi="Wingdings" w:hint="default"/>
      </w:rPr>
    </w:lvl>
  </w:abstractNum>
  <w:abstractNum w:abstractNumId="33" w15:restartNumberingAfterBreak="0">
    <w:nsid w:val="389B55FB"/>
    <w:multiLevelType w:val="hybridMultilevel"/>
    <w:tmpl w:val="AA3C6C4A"/>
    <w:lvl w:ilvl="0" w:tplc="EDF6A7D8">
      <w:start w:val="1"/>
      <w:numFmt w:val="decimal"/>
      <w:lvlText w:val="%1)"/>
      <w:lvlJc w:val="left"/>
      <w:pPr>
        <w:ind w:left="1020" w:hanging="360"/>
      </w:pPr>
    </w:lvl>
    <w:lvl w:ilvl="1" w:tplc="8A36AA7A">
      <w:start w:val="1"/>
      <w:numFmt w:val="decimal"/>
      <w:lvlText w:val="%2)"/>
      <w:lvlJc w:val="left"/>
      <w:pPr>
        <w:ind w:left="1020" w:hanging="360"/>
      </w:pPr>
    </w:lvl>
    <w:lvl w:ilvl="2" w:tplc="AA6C6BCE">
      <w:start w:val="1"/>
      <w:numFmt w:val="decimal"/>
      <w:lvlText w:val="%3)"/>
      <w:lvlJc w:val="left"/>
      <w:pPr>
        <w:ind w:left="1020" w:hanging="360"/>
      </w:pPr>
    </w:lvl>
    <w:lvl w:ilvl="3" w:tplc="2EDE46F0">
      <w:start w:val="1"/>
      <w:numFmt w:val="decimal"/>
      <w:lvlText w:val="%4)"/>
      <w:lvlJc w:val="left"/>
      <w:pPr>
        <w:ind w:left="1020" w:hanging="360"/>
      </w:pPr>
    </w:lvl>
    <w:lvl w:ilvl="4" w:tplc="CF881624">
      <w:start w:val="1"/>
      <w:numFmt w:val="decimal"/>
      <w:lvlText w:val="%5)"/>
      <w:lvlJc w:val="left"/>
      <w:pPr>
        <w:ind w:left="1020" w:hanging="360"/>
      </w:pPr>
    </w:lvl>
    <w:lvl w:ilvl="5" w:tplc="CD665466">
      <w:start w:val="1"/>
      <w:numFmt w:val="decimal"/>
      <w:lvlText w:val="%6)"/>
      <w:lvlJc w:val="left"/>
      <w:pPr>
        <w:ind w:left="1020" w:hanging="360"/>
      </w:pPr>
    </w:lvl>
    <w:lvl w:ilvl="6" w:tplc="61E86004">
      <w:start w:val="1"/>
      <w:numFmt w:val="decimal"/>
      <w:lvlText w:val="%7)"/>
      <w:lvlJc w:val="left"/>
      <w:pPr>
        <w:ind w:left="1020" w:hanging="360"/>
      </w:pPr>
    </w:lvl>
    <w:lvl w:ilvl="7" w:tplc="EF08CE64">
      <w:start w:val="1"/>
      <w:numFmt w:val="decimal"/>
      <w:lvlText w:val="%8)"/>
      <w:lvlJc w:val="left"/>
      <w:pPr>
        <w:ind w:left="1020" w:hanging="360"/>
      </w:pPr>
    </w:lvl>
    <w:lvl w:ilvl="8" w:tplc="709A2D76">
      <w:start w:val="1"/>
      <w:numFmt w:val="decimal"/>
      <w:lvlText w:val="%9)"/>
      <w:lvlJc w:val="left"/>
      <w:pPr>
        <w:ind w:left="1020" w:hanging="360"/>
      </w:pPr>
    </w:lvl>
  </w:abstractNum>
  <w:abstractNum w:abstractNumId="34" w15:restartNumberingAfterBreak="0">
    <w:nsid w:val="398DA8C1"/>
    <w:multiLevelType w:val="hybridMultilevel"/>
    <w:tmpl w:val="F53EFC9E"/>
    <w:lvl w:ilvl="0" w:tplc="C25838B2">
      <w:start w:val="1"/>
      <w:numFmt w:val="bullet"/>
      <w:lvlText w:val=""/>
      <w:lvlJc w:val="left"/>
      <w:pPr>
        <w:ind w:left="720" w:hanging="360"/>
      </w:pPr>
      <w:rPr>
        <w:rFonts w:ascii="Wingdings" w:hAnsi="Wingdings" w:hint="default"/>
      </w:rPr>
    </w:lvl>
    <w:lvl w:ilvl="1" w:tplc="5A9C9214">
      <w:start w:val="1"/>
      <w:numFmt w:val="bullet"/>
      <w:lvlText w:val="o"/>
      <w:lvlJc w:val="left"/>
      <w:pPr>
        <w:ind w:left="1440" w:hanging="360"/>
      </w:pPr>
      <w:rPr>
        <w:rFonts w:ascii="Courier New" w:hAnsi="Courier New" w:hint="default"/>
      </w:rPr>
    </w:lvl>
    <w:lvl w:ilvl="2" w:tplc="9A08AC44">
      <w:start w:val="1"/>
      <w:numFmt w:val="bullet"/>
      <w:lvlText w:val=""/>
      <w:lvlJc w:val="left"/>
      <w:pPr>
        <w:ind w:left="2160" w:hanging="360"/>
      </w:pPr>
      <w:rPr>
        <w:rFonts w:ascii="Wingdings" w:hAnsi="Wingdings" w:hint="default"/>
      </w:rPr>
    </w:lvl>
    <w:lvl w:ilvl="3" w:tplc="1B224538">
      <w:start w:val="1"/>
      <w:numFmt w:val="bullet"/>
      <w:lvlText w:val=""/>
      <w:lvlJc w:val="left"/>
      <w:pPr>
        <w:ind w:left="2880" w:hanging="360"/>
      </w:pPr>
      <w:rPr>
        <w:rFonts w:ascii="Symbol" w:hAnsi="Symbol" w:hint="default"/>
      </w:rPr>
    </w:lvl>
    <w:lvl w:ilvl="4" w:tplc="04FA369A">
      <w:start w:val="1"/>
      <w:numFmt w:val="bullet"/>
      <w:lvlText w:val="o"/>
      <w:lvlJc w:val="left"/>
      <w:pPr>
        <w:ind w:left="3600" w:hanging="360"/>
      </w:pPr>
      <w:rPr>
        <w:rFonts w:ascii="Courier New" w:hAnsi="Courier New" w:hint="default"/>
      </w:rPr>
    </w:lvl>
    <w:lvl w:ilvl="5" w:tplc="28C8CB70">
      <w:start w:val="1"/>
      <w:numFmt w:val="bullet"/>
      <w:lvlText w:val=""/>
      <w:lvlJc w:val="left"/>
      <w:pPr>
        <w:ind w:left="4320" w:hanging="360"/>
      </w:pPr>
      <w:rPr>
        <w:rFonts w:ascii="Wingdings" w:hAnsi="Wingdings" w:hint="default"/>
      </w:rPr>
    </w:lvl>
    <w:lvl w:ilvl="6" w:tplc="0BAE5D7C">
      <w:start w:val="1"/>
      <w:numFmt w:val="bullet"/>
      <w:lvlText w:val=""/>
      <w:lvlJc w:val="left"/>
      <w:pPr>
        <w:ind w:left="5040" w:hanging="360"/>
      </w:pPr>
      <w:rPr>
        <w:rFonts w:ascii="Symbol" w:hAnsi="Symbol" w:hint="default"/>
      </w:rPr>
    </w:lvl>
    <w:lvl w:ilvl="7" w:tplc="F1387014">
      <w:start w:val="1"/>
      <w:numFmt w:val="bullet"/>
      <w:lvlText w:val="o"/>
      <w:lvlJc w:val="left"/>
      <w:pPr>
        <w:ind w:left="5760" w:hanging="360"/>
      </w:pPr>
      <w:rPr>
        <w:rFonts w:ascii="Courier New" w:hAnsi="Courier New" w:hint="default"/>
      </w:rPr>
    </w:lvl>
    <w:lvl w:ilvl="8" w:tplc="412C98B6">
      <w:start w:val="1"/>
      <w:numFmt w:val="bullet"/>
      <w:lvlText w:val=""/>
      <w:lvlJc w:val="left"/>
      <w:pPr>
        <w:ind w:left="6480" w:hanging="360"/>
      </w:pPr>
      <w:rPr>
        <w:rFonts w:ascii="Wingdings" w:hAnsi="Wingdings" w:hint="default"/>
      </w:rPr>
    </w:lvl>
  </w:abstractNum>
  <w:abstractNum w:abstractNumId="35" w15:restartNumberingAfterBreak="0">
    <w:nsid w:val="3B915C4E"/>
    <w:multiLevelType w:val="hybridMultilevel"/>
    <w:tmpl w:val="D728BC00"/>
    <w:lvl w:ilvl="0" w:tplc="042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E1610CB"/>
    <w:multiLevelType w:val="hybridMultilevel"/>
    <w:tmpl w:val="F5347A42"/>
    <w:lvl w:ilvl="0" w:tplc="F00EEAA2">
      <w:start w:val="1"/>
      <w:numFmt w:val="bullet"/>
      <w:lvlText w:val=""/>
      <w:lvlJc w:val="left"/>
      <w:pPr>
        <w:ind w:left="360" w:hanging="360"/>
      </w:pPr>
      <w:rPr>
        <w:rFonts w:ascii="Wingdings" w:hAnsi="Wingdings" w:hint="default"/>
      </w:rPr>
    </w:lvl>
    <w:lvl w:ilvl="1" w:tplc="F1525D9A" w:tentative="1">
      <w:start w:val="1"/>
      <w:numFmt w:val="bullet"/>
      <w:lvlText w:val="o"/>
      <w:lvlJc w:val="left"/>
      <w:pPr>
        <w:ind w:left="1080" w:hanging="360"/>
      </w:pPr>
      <w:rPr>
        <w:rFonts w:ascii="Courier New" w:hAnsi="Courier New" w:hint="default"/>
      </w:rPr>
    </w:lvl>
    <w:lvl w:ilvl="2" w:tplc="35BA82CE" w:tentative="1">
      <w:start w:val="1"/>
      <w:numFmt w:val="bullet"/>
      <w:lvlText w:val=""/>
      <w:lvlJc w:val="left"/>
      <w:pPr>
        <w:ind w:left="1800" w:hanging="360"/>
      </w:pPr>
      <w:rPr>
        <w:rFonts w:ascii="Wingdings" w:hAnsi="Wingdings" w:hint="default"/>
      </w:rPr>
    </w:lvl>
    <w:lvl w:ilvl="3" w:tplc="BC64D4F6" w:tentative="1">
      <w:start w:val="1"/>
      <w:numFmt w:val="bullet"/>
      <w:lvlText w:val=""/>
      <w:lvlJc w:val="left"/>
      <w:pPr>
        <w:ind w:left="2520" w:hanging="360"/>
      </w:pPr>
      <w:rPr>
        <w:rFonts w:ascii="Symbol" w:hAnsi="Symbol" w:hint="default"/>
      </w:rPr>
    </w:lvl>
    <w:lvl w:ilvl="4" w:tplc="9B8E3780" w:tentative="1">
      <w:start w:val="1"/>
      <w:numFmt w:val="bullet"/>
      <w:lvlText w:val="o"/>
      <w:lvlJc w:val="left"/>
      <w:pPr>
        <w:ind w:left="3240" w:hanging="360"/>
      </w:pPr>
      <w:rPr>
        <w:rFonts w:ascii="Courier New" w:hAnsi="Courier New" w:hint="default"/>
      </w:rPr>
    </w:lvl>
    <w:lvl w:ilvl="5" w:tplc="9D86A352" w:tentative="1">
      <w:start w:val="1"/>
      <w:numFmt w:val="bullet"/>
      <w:lvlText w:val=""/>
      <w:lvlJc w:val="left"/>
      <w:pPr>
        <w:ind w:left="3960" w:hanging="360"/>
      </w:pPr>
      <w:rPr>
        <w:rFonts w:ascii="Wingdings" w:hAnsi="Wingdings" w:hint="default"/>
      </w:rPr>
    </w:lvl>
    <w:lvl w:ilvl="6" w:tplc="1D48A248" w:tentative="1">
      <w:start w:val="1"/>
      <w:numFmt w:val="bullet"/>
      <w:lvlText w:val=""/>
      <w:lvlJc w:val="left"/>
      <w:pPr>
        <w:ind w:left="4680" w:hanging="360"/>
      </w:pPr>
      <w:rPr>
        <w:rFonts w:ascii="Symbol" w:hAnsi="Symbol" w:hint="default"/>
      </w:rPr>
    </w:lvl>
    <w:lvl w:ilvl="7" w:tplc="0C880638" w:tentative="1">
      <w:start w:val="1"/>
      <w:numFmt w:val="bullet"/>
      <w:lvlText w:val="o"/>
      <w:lvlJc w:val="left"/>
      <w:pPr>
        <w:ind w:left="5400" w:hanging="360"/>
      </w:pPr>
      <w:rPr>
        <w:rFonts w:ascii="Courier New" w:hAnsi="Courier New" w:hint="default"/>
      </w:rPr>
    </w:lvl>
    <w:lvl w:ilvl="8" w:tplc="FB3A8FE4" w:tentative="1">
      <w:start w:val="1"/>
      <w:numFmt w:val="bullet"/>
      <w:lvlText w:val=""/>
      <w:lvlJc w:val="left"/>
      <w:pPr>
        <w:ind w:left="6120" w:hanging="360"/>
      </w:pPr>
      <w:rPr>
        <w:rFonts w:ascii="Wingdings" w:hAnsi="Wingdings" w:hint="default"/>
      </w:rPr>
    </w:lvl>
  </w:abstractNum>
  <w:abstractNum w:abstractNumId="37" w15:restartNumberingAfterBreak="0">
    <w:nsid w:val="43C22CBD"/>
    <w:multiLevelType w:val="hybridMultilevel"/>
    <w:tmpl w:val="201AE14A"/>
    <w:lvl w:ilvl="0" w:tplc="F7F62270">
      <w:start w:val="1"/>
      <w:numFmt w:val="bullet"/>
      <w:lvlText w:val="▪"/>
      <w:lvlJc w:val="left"/>
      <w:pPr>
        <w:ind w:left="720" w:hanging="360"/>
      </w:pPr>
      <w:rPr>
        <w:rFonts w:ascii="Noto Sans Symbols" w:hAnsi="Noto Sans Symbols" w:hint="default"/>
      </w:rPr>
    </w:lvl>
    <w:lvl w:ilvl="1" w:tplc="9EFCAF26" w:tentative="1">
      <w:start w:val="1"/>
      <w:numFmt w:val="bullet"/>
      <w:lvlText w:val="o"/>
      <w:lvlJc w:val="left"/>
      <w:pPr>
        <w:ind w:left="1440" w:hanging="360"/>
      </w:pPr>
      <w:rPr>
        <w:rFonts w:ascii="Courier New" w:hAnsi="Courier New" w:hint="default"/>
      </w:rPr>
    </w:lvl>
    <w:lvl w:ilvl="2" w:tplc="DB4A693C" w:tentative="1">
      <w:start w:val="1"/>
      <w:numFmt w:val="bullet"/>
      <w:lvlText w:val=""/>
      <w:lvlJc w:val="left"/>
      <w:pPr>
        <w:ind w:left="2160" w:hanging="360"/>
      </w:pPr>
      <w:rPr>
        <w:rFonts w:ascii="Wingdings" w:hAnsi="Wingdings" w:hint="default"/>
      </w:rPr>
    </w:lvl>
    <w:lvl w:ilvl="3" w:tplc="ABD496EC" w:tentative="1">
      <w:start w:val="1"/>
      <w:numFmt w:val="bullet"/>
      <w:lvlText w:val=""/>
      <w:lvlJc w:val="left"/>
      <w:pPr>
        <w:ind w:left="2880" w:hanging="360"/>
      </w:pPr>
      <w:rPr>
        <w:rFonts w:ascii="Symbol" w:hAnsi="Symbol" w:hint="default"/>
      </w:rPr>
    </w:lvl>
    <w:lvl w:ilvl="4" w:tplc="7A8CD7E4" w:tentative="1">
      <w:start w:val="1"/>
      <w:numFmt w:val="bullet"/>
      <w:lvlText w:val="o"/>
      <w:lvlJc w:val="left"/>
      <w:pPr>
        <w:ind w:left="3600" w:hanging="360"/>
      </w:pPr>
      <w:rPr>
        <w:rFonts w:ascii="Courier New" w:hAnsi="Courier New" w:hint="default"/>
      </w:rPr>
    </w:lvl>
    <w:lvl w:ilvl="5" w:tplc="C3D08B2E" w:tentative="1">
      <w:start w:val="1"/>
      <w:numFmt w:val="bullet"/>
      <w:lvlText w:val=""/>
      <w:lvlJc w:val="left"/>
      <w:pPr>
        <w:ind w:left="4320" w:hanging="360"/>
      </w:pPr>
      <w:rPr>
        <w:rFonts w:ascii="Wingdings" w:hAnsi="Wingdings" w:hint="default"/>
      </w:rPr>
    </w:lvl>
    <w:lvl w:ilvl="6" w:tplc="0338C6DA" w:tentative="1">
      <w:start w:val="1"/>
      <w:numFmt w:val="bullet"/>
      <w:lvlText w:val=""/>
      <w:lvlJc w:val="left"/>
      <w:pPr>
        <w:ind w:left="5040" w:hanging="360"/>
      </w:pPr>
      <w:rPr>
        <w:rFonts w:ascii="Symbol" w:hAnsi="Symbol" w:hint="default"/>
      </w:rPr>
    </w:lvl>
    <w:lvl w:ilvl="7" w:tplc="4C269CFE" w:tentative="1">
      <w:start w:val="1"/>
      <w:numFmt w:val="bullet"/>
      <w:lvlText w:val="o"/>
      <w:lvlJc w:val="left"/>
      <w:pPr>
        <w:ind w:left="5760" w:hanging="360"/>
      </w:pPr>
      <w:rPr>
        <w:rFonts w:ascii="Courier New" w:hAnsi="Courier New" w:hint="default"/>
      </w:rPr>
    </w:lvl>
    <w:lvl w:ilvl="8" w:tplc="58F4E5D0" w:tentative="1">
      <w:start w:val="1"/>
      <w:numFmt w:val="bullet"/>
      <w:lvlText w:val=""/>
      <w:lvlJc w:val="left"/>
      <w:pPr>
        <w:ind w:left="6480" w:hanging="360"/>
      </w:pPr>
      <w:rPr>
        <w:rFonts w:ascii="Wingdings" w:hAnsi="Wingdings" w:hint="default"/>
      </w:rPr>
    </w:lvl>
  </w:abstractNum>
  <w:abstractNum w:abstractNumId="38" w15:restartNumberingAfterBreak="0">
    <w:nsid w:val="4624B285"/>
    <w:multiLevelType w:val="hybridMultilevel"/>
    <w:tmpl w:val="3556779A"/>
    <w:lvl w:ilvl="0" w:tplc="EDE6156A">
      <w:start w:val="1"/>
      <w:numFmt w:val="bullet"/>
      <w:lvlText w:val=""/>
      <w:lvlJc w:val="left"/>
      <w:pPr>
        <w:ind w:left="720" w:hanging="360"/>
      </w:pPr>
      <w:rPr>
        <w:rFonts w:ascii="Wingdings" w:hAnsi="Wingdings" w:hint="default"/>
      </w:rPr>
    </w:lvl>
    <w:lvl w:ilvl="1" w:tplc="06F080D6">
      <w:start w:val="1"/>
      <w:numFmt w:val="bullet"/>
      <w:lvlText w:val="o"/>
      <w:lvlJc w:val="left"/>
      <w:pPr>
        <w:ind w:left="1440" w:hanging="360"/>
      </w:pPr>
      <w:rPr>
        <w:rFonts w:ascii="Courier New" w:hAnsi="Courier New" w:hint="default"/>
      </w:rPr>
    </w:lvl>
    <w:lvl w:ilvl="2" w:tplc="30AECC2E">
      <w:start w:val="1"/>
      <w:numFmt w:val="bullet"/>
      <w:lvlText w:val=""/>
      <w:lvlJc w:val="left"/>
      <w:pPr>
        <w:ind w:left="2160" w:hanging="360"/>
      </w:pPr>
      <w:rPr>
        <w:rFonts w:ascii="Wingdings" w:hAnsi="Wingdings" w:hint="default"/>
      </w:rPr>
    </w:lvl>
    <w:lvl w:ilvl="3" w:tplc="9B1866F2">
      <w:start w:val="1"/>
      <w:numFmt w:val="bullet"/>
      <w:lvlText w:val=""/>
      <w:lvlJc w:val="left"/>
      <w:pPr>
        <w:ind w:left="2880" w:hanging="360"/>
      </w:pPr>
      <w:rPr>
        <w:rFonts w:ascii="Symbol" w:hAnsi="Symbol" w:hint="default"/>
      </w:rPr>
    </w:lvl>
    <w:lvl w:ilvl="4" w:tplc="DBC80D56">
      <w:start w:val="1"/>
      <w:numFmt w:val="bullet"/>
      <w:lvlText w:val="o"/>
      <w:lvlJc w:val="left"/>
      <w:pPr>
        <w:ind w:left="3600" w:hanging="360"/>
      </w:pPr>
      <w:rPr>
        <w:rFonts w:ascii="Courier New" w:hAnsi="Courier New" w:hint="default"/>
      </w:rPr>
    </w:lvl>
    <w:lvl w:ilvl="5" w:tplc="F4EEE244">
      <w:start w:val="1"/>
      <w:numFmt w:val="bullet"/>
      <w:lvlText w:val=""/>
      <w:lvlJc w:val="left"/>
      <w:pPr>
        <w:ind w:left="4320" w:hanging="360"/>
      </w:pPr>
      <w:rPr>
        <w:rFonts w:ascii="Wingdings" w:hAnsi="Wingdings" w:hint="default"/>
      </w:rPr>
    </w:lvl>
    <w:lvl w:ilvl="6" w:tplc="CF5469CC">
      <w:start w:val="1"/>
      <w:numFmt w:val="bullet"/>
      <w:lvlText w:val=""/>
      <w:lvlJc w:val="left"/>
      <w:pPr>
        <w:ind w:left="5040" w:hanging="360"/>
      </w:pPr>
      <w:rPr>
        <w:rFonts w:ascii="Symbol" w:hAnsi="Symbol" w:hint="default"/>
      </w:rPr>
    </w:lvl>
    <w:lvl w:ilvl="7" w:tplc="4CC47B04">
      <w:start w:val="1"/>
      <w:numFmt w:val="bullet"/>
      <w:lvlText w:val="o"/>
      <w:lvlJc w:val="left"/>
      <w:pPr>
        <w:ind w:left="5760" w:hanging="360"/>
      </w:pPr>
      <w:rPr>
        <w:rFonts w:ascii="Courier New" w:hAnsi="Courier New" w:hint="default"/>
      </w:rPr>
    </w:lvl>
    <w:lvl w:ilvl="8" w:tplc="EC52B8C2">
      <w:start w:val="1"/>
      <w:numFmt w:val="bullet"/>
      <w:lvlText w:val=""/>
      <w:lvlJc w:val="left"/>
      <w:pPr>
        <w:ind w:left="6480" w:hanging="360"/>
      </w:pPr>
      <w:rPr>
        <w:rFonts w:ascii="Wingdings" w:hAnsi="Wingdings" w:hint="default"/>
      </w:rPr>
    </w:lvl>
  </w:abstractNum>
  <w:abstractNum w:abstractNumId="39" w15:restartNumberingAfterBreak="0">
    <w:nsid w:val="46380F6F"/>
    <w:multiLevelType w:val="hybridMultilevel"/>
    <w:tmpl w:val="3FCCC3A6"/>
    <w:lvl w:ilvl="0" w:tplc="FFFFFFFF">
      <w:start w:val="1"/>
      <w:numFmt w:val="decimal"/>
      <w:lvlText w:val="▪"/>
      <w:lvlJc w:val="left"/>
      <w:pPr>
        <w:ind w:left="288" w:hanging="360"/>
      </w:pPr>
    </w:lvl>
    <w:lvl w:ilvl="1" w:tplc="FFFFFFFF" w:tentative="1">
      <w:start w:val="1"/>
      <w:numFmt w:val="bullet"/>
      <w:lvlText w:val="o"/>
      <w:lvlJc w:val="left"/>
      <w:pPr>
        <w:ind w:left="1008" w:hanging="360"/>
      </w:pPr>
      <w:rPr>
        <w:rFonts w:ascii="Courier New" w:hAnsi="Courier New" w:cs="Courier New" w:hint="default"/>
      </w:rPr>
    </w:lvl>
    <w:lvl w:ilvl="2" w:tplc="FFFFFFFF" w:tentative="1">
      <w:start w:val="1"/>
      <w:numFmt w:val="bullet"/>
      <w:lvlText w:val=""/>
      <w:lvlJc w:val="left"/>
      <w:pPr>
        <w:ind w:left="1728" w:hanging="360"/>
      </w:pPr>
      <w:rPr>
        <w:rFonts w:ascii="Wingdings" w:hAnsi="Wingdings" w:hint="default"/>
      </w:rPr>
    </w:lvl>
    <w:lvl w:ilvl="3" w:tplc="FFFFFFFF" w:tentative="1">
      <w:start w:val="1"/>
      <w:numFmt w:val="bullet"/>
      <w:lvlText w:val=""/>
      <w:lvlJc w:val="left"/>
      <w:pPr>
        <w:ind w:left="2448" w:hanging="360"/>
      </w:pPr>
      <w:rPr>
        <w:rFonts w:ascii="Symbol" w:hAnsi="Symbol" w:hint="default"/>
      </w:rPr>
    </w:lvl>
    <w:lvl w:ilvl="4" w:tplc="FFFFFFFF" w:tentative="1">
      <w:start w:val="1"/>
      <w:numFmt w:val="bullet"/>
      <w:lvlText w:val="o"/>
      <w:lvlJc w:val="left"/>
      <w:pPr>
        <w:ind w:left="3168" w:hanging="360"/>
      </w:pPr>
      <w:rPr>
        <w:rFonts w:ascii="Courier New" w:hAnsi="Courier New" w:cs="Courier New" w:hint="default"/>
      </w:rPr>
    </w:lvl>
    <w:lvl w:ilvl="5" w:tplc="FFFFFFFF" w:tentative="1">
      <w:start w:val="1"/>
      <w:numFmt w:val="bullet"/>
      <w:lvlText w:val=""/>
      <w:lvlJc w:val="left"/>
      <w:pPr>
        <w:ind w:left="3888" w:hanging="360"/>
      </w:pPr>
      <w:rPr>
        <w:rFonts w:ascii="Wingdings" w:hAnsi="Wingdings" w:hint="default"/>
      </w:rPr>
    </w:lvl>
    <w:lvl w:ilvl="6" w:tplc="FFFFFFFF" w:tentative="1">
      <w:start w:val="1"/>
      <w:numFmt w:val="bullet"/>
      <w:lvlText w:val=""/>
      <w:lvlJc w:val="left"/>
      <w:pPr>
        <w:ind w:left="4608" w:hanging="360"/>
      </w:pPr>
      <w:rPr>
        <w:rFonts w:ascii="Symbol" w:hAnsi="Symbol" w:hint="default"/>
      </w:rPr>
    </w:lvl>
    <w:lvl w:ilvl="7" w:tplc="FFFFFFFF" w:tentative="1">
      <w:start w:val="1"/>
      <w:numFmt w:val="bullet"/>
      <w:lvlText w:val="o"/>
      <w:lvlJc w:val="left"/>
      <w:pPr>
        <w:ind w:left="5328" w:hanging="360"/>
      </w:pPr>
      <w:rPr>
        <w:rFonts w:ascii="Courier New" w:hAnsi="Courier New" w:cs="Courier New" w:hint="default"/>
      </w:rPr>
    </w:lvl>
    <w:lvl w:ilvl="8" w:tplc="FFFFFFFF" w:tentative="1">
      <w:start w:val="1"/>
      <w:numFmt w:val="bullet"/>
      <w:lvlText w:val=""/>
      <w:lvlJc w:val="left"/>
      <w:pPr>
        <w:ind w:left="6048" w:hanging="360"/>
      </w:pPr>
      <w:rPr>
        <w:rFonts w:ascii="Wingdings" w:hAnsi="Wingdings" w:hint="default"/>
      </w:rPr>
    </w:lvl>
  </w:abstractNum>
  <w:abstractNum w:abstractNumId="40" w15:restartNumberingAfterBreak="0">
    <w:nsid w:val="48467BAA"/>
    <w:multiLevelType w:val="multilevel"/>
    <w:tmpl w:val="32A8A3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91615B3"/>
    <w:multiLevelType w:val="multilevel"/>
    <w:tmpl w:val="ED6E47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94B76CA"/>
    <w:multiLevelType w:val="hybridMultilevel"/>
    <w:tmpl w:val="F5324028"/>
    <w:lvl w:ilvl="0" w:tplc="C7C0B9D0">
      <w:start w:val="1"/>
      <w:numFmt w:val="decimal"/>
      <w:lvlText w:val="%1)"/>
      <w:lvlJc w:val="left"/>
      <w:pPr>
        <w:ind w:left="1020" w:hanging="360"/>
      </w:pPr>
    </w:lvl>
    <w:lvl w:ilvl="1" w:tplc="EFD8C470">
      <w:start w:val="1"/>
      <w:numFmt w:val="decimal"/>
      <w:lvlText w:val="%2)"/>
      <w:lvlJc w:val="left"/>
      <w:pPr>
        <w:ind w:left="1020" w:hanging="360"/>
      </w:pPr>
    </w:lvl>
    <w:lvl w:ilvl="2" w:tplc="825A4FE4">
      <w:start w:val="1"/>
      <w:numFmt w:val="decimal"/>
      <w:lvlText w:val="%3)"/>
      <w:lvlJc w:val="left"/>
      <w:pPr>
        <w:ind w:left="1020" w:hanging="360"/>
      </w:pPr>
    </w:lvl>
    <w:lvl w:ilvl="3" w:tplc="2E9448F4">
      <w:start w:val="1"/>
      <w:numFmt w:val="decimal"/>
      <w:lvlText w:val="%4)"/>
      <w:lvlJc w:val="left"/>
      <w:pPr>
        <w:ind w:left="1020" w:hanging="360"/>
      </w:pPr>
    </w:lvl>
    <w:lvl w:ilvl="4" w:tplc="10025F8A">
      <w:start w:val="1"/>
      <w:numFmt w:val="decimal"/>
      <w:lvlText w:val="%5)"/>
      <w:lvlJc w:val="left"/>
      <w:pPr>
        <w:ind w:left="1020" w:hanging="360"/>
      </w:pPr>
    </w:lvl>
    <w:lvl w:ilvl="5" w:tplc="B6EC11CA">
      <w:start w:val="1"/>
      <w:numFmt w:val="decimal"/>
      <w:lvlText w:val="%6)"/>
      <w:lvlJc w:val="left"/>
      <w:pPr>
        <w:ind w:left="1020" w:hanging="360"/>
      </w:pPr>
    </w:lvl>
    <w:lvl w:ilvl="6" w:tplc="F9304F72">
      <w:start w:val="1"/>
      <w:numFmt w:val="decimal"/>
      <w:lvlText w:val="%7)"/>
      <w:lvlJc w:val="left"/>
      <w:pPr>
        <w:ind w:left="1020" w:hanging="360"/>
      </w:pPr>
    </w:lvl>
    <w:lvl w:ilvl="7" w:tplc="4AF2AEDC">
      <w:start w:val="1"/>
      <w:numFmt w:val="decimal"/>
      <w:lvlText w:val="%8)"/>
      <w:lvlJc w:val="left"/>
      <w:pPr>
        <w:ind w:left="1020" w:hanging="360"/>
      </w:pPr>
    </w:lvl>
    <w:lvl w:ilvl="8" w:tplc="CA9683D8">
      <w:start w:val="1"/>
      <w:numFmt w:val="decimal"/>
      <w:lvlText w:val="%9)"/>
      <w:lvlJc w:val="left"/>
      <w:pPr>
        <w:ind w:left="1020" w:hanging="360"/>
      </w:pPr>
    </w:lvl>
  </w:abstractNum>
  <w:abstractNum w:abstractNumId="43" w15:restartNumberingAfterBreak="0">
    <w:nsid w:val="4C243B63"/>
    <w:multiLevelType w:val="hybridMultilevel"/>
    <w:tmpl w:val="E578E77E"/>
    <w:lvl w:ilvl="0" w:tplc="5B8CA1CA">
      <w:start w:val="1"/>
      <w:numFmt w:val="decimal"/>
      <w:lvlText w:val="%1)"/>
      <w:lvlJc w:val="left"/>
      <w:pPr>
        <w:ind w:left="1020" w:hanging="360"/>
      </w:pPr>
    </w:lvl>
    <w:lvl w:ilvl="1" w:tplc="613EFE48">
      <w:start w:val="1"/>
      <w:numFmt w:val="decimal"/>
      <w:lvlText w:val="%2)"/>
      <w:lvlJc w:val="left"/>
      <w:pPr>
        <w:ind w:left="1020" w:hanging="360"/>
      </w:pPr>
    </w:lvl>
    <w:lvl w:ilvl="2" w:tplc="B296AE1C">
      <w:start w:val="1"/>
      <w:numFmt w:val="decimal"/>
      <w:lvlText w:val="%3)"/>
      <w:lvlJc w:val="left"/>
      <w:pPr>
        <w:ind w:left="1020" w:hanging="360"/>
      </w:pPr>
    </w:lvl>
    <w:lvl w:ilvl="3" w:tplc="E7C4D25C">
      <w:start w:val="1"/>
      <w:numFmt w:val="decimal"/>
      <w:lvlText w:val="%4)"/>
      <w:lvlJc w:val="left"/>
      <w:pPr>
        <w:ind w:left="1020" w:hanging="360"/>
      </w:pPr>
    </w:lvl>
    <w:lvl w:ilvl="4" w:tplc="92B6B352">
      <w:start w:val="1"/>
      <w:numFmt w:val="decimal"/>
      <w:lvlText w:val="%5)"/>
      <w:lvlJc w:val="left"/>
      <w:pPr>
        <w:ind w:left="1020" w:hanging="360"/>
      </w:pPr>
    </w:lvl>
    <w:lvl w:ilvl="5" w:tplc="BE7056AA">
      <w:start w:val="1"/>
      <w:numFmt w:val="decimal"/>
      <w:lvlText w:val="%6)"/>
      <w:lvlJc w:val="left"/>
      <w:pPr>
        <w:ind w:left="1020" w:hanging="360"/>
      </w:pPr>
    </w:lvl>
    <w:lvl w:ilvl="6" w:tplc="364C9208">
      <w:start w:val="1"/>
      <w:numFmt w:val="decimal"/>
      <w:lvlText w:val="%7)"/>
      <w:lvlJc w:val="left"/>
      <w:pPr>
        <w:ind w:left="1020" w:hanging="360"/>
      </w:pPr>
    </w:lvl>
    <w:lvl w:ilvl="7" w:tplc="B83C67DA">
      <w:start w:val="1"/>
      <w:numFmt w:val="decimal"/>
      <w:lvlText w:val="%8)"/>
      <w:lvlJc w:val="left"/>
      <w:pPr>
        <w:ind w:left="1020" w:hanging="360"/>
      </w:pPr>
    </w:lvl>
    <w:lvl w:ilvl="8" w:tplc="98FECEBE">
      <w:start w:val="1"/>
      <w:numFmt w:val="decimal"/>
      <w:lvlText w:val="%9)"/>
      <w:lvlJc w:val="left"/>
      <w:pPr>
        <w:ind w:left="1020" w:hanging="360"/>
      </w:pPr>
    </w:lvl>
  </w:abstractNum>
  <w:abstractNum w:abstractNumId="44" w15:restartNumberingAfterBreak="0">
    <w:nsid w:val="4CE35630"/>
    <w:multiLevelType w:val="multilevel"/>
    <w:tmpl w:val="F76EE8E0"/>
    <w:lvl w:ilvl="0">
      <w:start w:val="1"/>
      <w:numFmt w:val="bullet"/>
      <w:lvlText w:val=""/>
      <w:lvlJc w:val="left"/>
      <w:pPr>
        <w:tabs>
          <w:tab w:val="num" w:pos="720"/>
        </w:tabs>
        <w:ind w:left="720" w:hanging="360"/>
      </w:pPr>
      <w:rPr>
        <w:rFonts w:ascii="Wingdings" w:hAnsi="Wingdings" w:hint="default"/>
        <w:color w:val="auto"/>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3F2B10"/>
    <w:multiLevelType w:val="hybridMultilevel"/>
    <w:tmpl w:val="73F03F02"/>
    <w:lvl w:ilvl="0" w:tplc="04250005">
      <w:start w:val="1"/>
      <w:numFmt w:val="bullet"/>
      <w:lvlText w:val=""/>
      <w:lvlJc w:val="left"/>
      <w:pPr>
        <w:ind w:left="720" w:hanging="360"/>
      </w:pPr>
      <w:rPr>
        <w:rFonts w:ascii="Wingdings" w:hAnsi="Wingdings"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6" w15:restartNumberingAfterBreak="0">
    <w:nsid w:val="500E5E7C"/>
    <w:multiLevelType w:val="multilevel"/>
    <w:tmpl w:val="4356BE1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lvl>
    <w:lvl w:ilvl="2">
      <w:start w:val="1"/>
      <w:numFmt w:val="decimal"/>
      <w:pStyle w:val="Heading3"/>
      <w:lvlText w:val="%1.%2.%3."/>
      <w:lvlJc w:val="left"/>
      <w:pPr>
        <w:ind w:left="504" w:hanging="504"/>
      </w:pPr>
    </w:lvl>
    <w:lvl w:ilvl="3">
      <w:start w:val="1"/>
      <w:numFmt w:val="decimal"/>
      <w:pStyle w:val="Heading4"/>
      <w:lvlText w:val="%1.%2.%3.%4."/>
      <w:lvlJc w:val="left"/>
      <w:pPr>
        <w:ind w:left="1728" w:hanging="648"/>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6"/>
      </w:pPr>
    </w:lvl>
    <w:lvl w:ilvl="6">
      <w:start w:val="1"/>
      <w:numFmt w:val="decimal"/>
      <w:pStyle w:val="Heading7"/>
      <w:lvlText w:val="%1.%2.%3.%4.%5.%6.%7."/>
      <w:lvlJc w:val="left"/>
      <w:pPr>
        <w:ind w:left="3240" w:hanging="1080"/>
      </w:pPr>
      <w:rPr>
        <w:color w:val="ACAEAC" w:themeColor="accent2"/>
      </w:rPr>
    </w:lvl>
    <w:lvl w:ilvl="7">
      <w:start w:val="1"/>
      <w:numFmt w:val="decimal"/>
      <w:pStyle w:val="Heading8"/>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0CA165B"/>
    <w:multiLevelType w:val="hybridMultilevel"/>
    <w:tmpl w:val="D8246772"/>
    <w:lvl w:ilvl="0" w:tplc="E1A6347C">
      <w:start w:val="2"/>
      <w:numFmt w:val="bullet"/>
      <w:lvlText w:val="-"/>
      <w:lvlJc w:val="left"/>
      <w:pPr>
        <w:ind w:left="288" w:hanging="360"/>
      </w:pPr>
      <w:rPr>
        <w:rFonts w:ascii="Arial" w:eastAsiaTheme="minorHAnsi" w:hAnsi="Arial" w:cs="Arial" w:hint="default"/>
      </w:rPr>
    </w:lvl>
    <w:lvl w:ilvl="1" w:tplc="04250003" w:tentative="1">
      <w:start w:val="1"/>
      <w:numFmt w:val="bullet"/>
      <w:lvlText w:val="o"/>
      <w:lvlJc w:val="left"/>
      <w:pPr>
        <w:ind w:left="1008" w:hanging="360"/>
      </w:pPr>
      <w:rPr>
        <w:rFonts w:ascii="Courier New" w:hAnsi="Courier New" w:cs="Courier New" w:hint="default"/>
      </w:rPr>
    </w:lvl>
    <w:lvl w:ilvl="2" w:tplc="04250005" w:tentative="1">
      <w:start w:val="1"/>
      <w:numFmt w:val="bullet"/>
      <w:lvlText w:val=""/>
      <w:lvlJc w:val="left"/>
      <w:pPr>
        <w:ind w:left="1728" w:hanging="360"/>
      </w:pPr>
      <w:rPr>
        <w:rFonts w:ascii="Wingdings" w:hAnsi="Wingdings" w:hint="default"/>
      </w:rPr>
    </w:lvl>
    <w:lvl w:ilvl="3" w:tplc="04250001" w:tentative="1">
      <w:start w:val="1"/>
      <w:numFmt w:val="bullet"/>
      <w:lvlText w:val=""/>
      <w:lvlJc w:val="left"/>
      <w:pPr>
        <w:ind w:left="2448" w:hanging="360"/>
      </w:pPr>
      <w:rPr>
        <w:rFonts w:ascii="Symbol" w:hAnsi="Symbol" w:hint="default"/>
      </w:rPr>
    </w:lvl>
    <w:lvl w:ilvl="4" w:tplc="04250003" w:tentative="1">
      <w:start w:val="1"/>
      <w:numFmt w:val="bullet"/>
      <w:lvlText w:val="o"/>
      <w:lvlJc w:val="left"/>
      <w:pPr>
        <w:ind w:left="3168" w:hanging="360"/>
      </w:pPr>
      <w:rPr>
        <w:rFonts w:ascii="Courier New" w:hAnsi="Courier New" w:cs="Courier New" w:hint="default"/>
      </w:rPr>
    </w:lvl>
    <w:lvl w:ilvl="5" w:tplc="04250005" w:tentative="1">
      <w:start w:val="1"/>
      <w:numFmt w:val="bullet"/>
      <w:lvlText w:val=""/>
      <w:lvlJc w:val="left"/>
      <w:pPr>
        <w:ind w:left="3888" w:hanging="360"/>
      </w:pPr>
      <w:rPr>
        <w:rFonts w:ascii="Wingdings" w:hAnsi="Wingdings" w:hint="default"/>
      </w:rPr>
    </w:lvl>
    <w:lvl w:ilvl="6" w:tplc="04250001" w:tentative="1">
      <w:start w:val="1"/>
      <w:numFmt w:val="bullet"/>
      <w:lvlText w:val=""/>
      <w:lvlJc w:val="left"/>
      <w:pPr>
        <w:ind w:left="4608" w:hanging="360"/>
      </w:pPr>
      <w:rPr>
        <w:rFonts w:ascii="Symbol" w:hAnsi="Symbol" w:hint="default"/>
      </w:rPr>
    </w:lvl>
    <w:lvl w:ilvl="7" w:tplc="04250003" w:tentative="1">
      <w:start w:val="1"/>
      <w:numFmt w:val="bullet"/>
      <w:lvlText w:val="o"/>
      <w:lvlJc w:val="left"/>
      <w:pPr>
        <w:ind w:left="5328" w:hanging="360"/>
      </w:pPr>
      <w:rPr>
        <w:rFonts w:ascii="Courier New" w:hAnsi="Courier New" w:cs="Courier New" w:hint="default"/>
      </w:rPr>
    </w:lvl>
    <w:lvl w:ilvl="8" w:tplc="04250005" w:tentative="1">
      <w:start w:val="1"/>
      <w:numFmt w:val="bullet"/>
      <w:lvlText w:val=""/>
      <w:lvlJc w:val="left"/>
      <w:pPr>
        <w:ind w:left="6048" w:hanging="360"/>
      </w:pPr>
      <w:rPr>
        <w:rFonts w:ascii="Wingdings" w:hAnsi="Wingdings" w:hint="default"/>
      </w:rPr>
    </w:lvl>
  </w:abstractNum>
  <w:abstractNum w:abstractNumId="48" w15:restartNumberingAfterBreak="0">
    <w:nsid w:val="5368FFDB"/>
    <w:multiLevelType w:val="hybridMultilevel"/>
    <w:tmpl w:val="A5F08538"/>
    <w:lvl w:ilvl="0" w:tplc="31200CA4">
      <w:start w:val="1"/>
      <w:numFmt w:val="bullet"/>
      <w:lvlText w:val="·"/>
      <w:lvlJc w:val="left"/>
      <w:pPr>
        <w:ind w:left="720" w:hanging="360"/>
      </w:pPr>
      <w:rPr>
        <w:rFonts w:ascii="Symbol" w:hAnsi="Symbol" w:hint="default"/>
      </w:rPr>
    </w:lvl>
    <w:lvl w:ilvl="1" w:tplc="47A62186">
      <w:start w:val="1"/>
      <w:numFmt w:val="bullet"/>
      <w:lvlText w:val="o"/>
      <w:lvlJc w:val="left"/>
      <w:pPr>
        <w:ind w:left="1440" w:hanging="360"/>
      </w:pPr>
      <w:rPr>
        <w:rFonts w:ascii="Courier New" w:hAnsi="Courier New" w:hint="default"/>
      </w:rPr>
    </w:lvl>
    <w:lvl w:ilvl="2" w:tplc="7B02A25A">
      <w:start w:val="1"/>
      <w:numFmt w:val="bullet"/>
      <w:lvlText w:val=""/>
      <w:lvlJc w:val="left"/>
      <w:pPr>
        <w:ind w:left="2160" w:hanging="360"/>
      </w:pPr>
      <w:rPr>
        <w:rFonts w:ascii="Wingdings" w:hAnsi="Wingdings" w:hint="default"/>
      </w:rPr>
    </w:lvl>
    <w:lvl w:ilvl="3" w:tplc="07F21E7C">
      <w:start w:val="1"/>
      <w:numFmt w:val="bullet"/>
      <w:lvlText w:val=""/>
      <w:lvlJc w:val="left"/>
      <w:pPr>
        <w:ind w:left="2880" w:hanging="360"/>
      </w:pPr>
      <w:rPr>
        <w:rFonts w:ascii="Symbol" w:hAnsi="Symbol" w:hint="default"/>
      </w:rPr>
    </w:lvl>
    <w:lvl w:ilvl="4" w:tplc="EE92EBFC">
      <w:start w:val="1"/>
      <w:numFmt w:val="bullet"/>
      <w:lvlText w:val="o"/>
      <w:lvlJc w:val="left"/>
      <w:pPr>
        <w:ind w:left="3600" w:hanging="360"/>
      </w:pPr>
      <w:rPr>
        <w:rFonts w:ascii="Courier New" w:hAnsi="Courier New" w:hint="default"/>
      </w:rPr>
    </w:lvl>
    <w:lvl w:ilvl="5" w:tplc="AB6C044A">
      <w:start w:val="1"/>
      <w:numFmt w:val="bullet"/>
      <w:lvlText w:val=""/>
      <w:lvlJc w:val="left"/>
      <w:pPr>
        <w:ind w:left="4320" w:hanging="360"/>
      </w:pPr>
      <w:rPr>
        <w:rFonts w:ascii="Wingdings" w:hAnsi="Wingdings" w:hint="default"/>
      </w:rPr>
    </w:lvl>
    <w:lvl w:ilvl="6" w:tplc="FF74A348">
      <w:start w:val="1"/>
      <w:numFmt w:val="bullet"/>
      <w:lvlText w:val=""/>
      <w:lvlJc w:val="left"/>
      <w:pPr>
        <w:ind w:left="5040" w:hanging="360"/>
      </w:pPr>
      <w:rPr>
        <w:rFonts w:ascii="Symbol" w:hAnsi="Symbol" w:hint="default"/>
      </w:rPr>
    </w:lvl>
    <w:lvl w:ilvl="7" w:tplc="9DF69458">
      <w:start w:val="1"/>
      <w:numFmt w:val="bullet"/>
      <w:lvlText w:val="o"/>
      <w:lvlJc w:val="left"/>
      <w:pPr>
        <w:ind w:left="5760" w:hanging="360"/>
      </w:pPr>
      <w:rPr>
        <w:rFonts w:ascii="Courier New" w:hAnsi="Courier New" w:hint="default"/>
      </w:rPr>
    </w:lvl>
    <w:lvl w:ilvl="8" w:tplc="9BBC2524">
      <w:start w:val="1"/>
      <w:numFmt w:val="bullet"/>
      <w:lvlText w:val=""/>
      <w:lvlJc w:val="left"/>
      <w:pPr>
        <w:ind w:left="6480" w:hanging="360"/>
      </w:pPr>
      <w:rPr>
        <w:rFonts w:ascii="Wingdings" w:hAnsi="Wingdings" w:hint="default"/>
      </w:rPr>
    </w:lvl>
  </w:abstractNum>
  <w:abstractNum w:abstractNumId="49" w15:restartNumberingAfterBreak="0">
    <w:nsid w:val="537B4FCC"/>
    <w:multiLevelType w:val="hybridMultilevel"/>
    <w:tmpl w:val="3016010E"/>
    <w:lvl w:ilvl="0" w:tplc="042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39A1022"/>
    <w:multiLevelType w:val="hybridMultilevel"/>
    <w:tmpl w:val="4402835E"/>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1" w15:restartNumberingAfterBreak="0">
    <w:nsid w:val="53F17C33"/>
    <w:multiLevelType w:val="hybridMultilevel"/>
    <w:tmpl w:val="F1C6C08C"/>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2" w15:restartNumberingAfterBreak="0">
    <w:nsid w:val="557F21CC"/>
    <w:multiLevelType w:val="hybridMultilevel"/>
    <w:tmpl w:val="C0F0463C"/>
    <w:lvl w:ilvl="0" w:tplc="28AE10CA">
      <w:start w:val="1"/>
      <w:numFmt w:val="bullet"/>
      <w:lvlText w:val=""/>
      <w:lvlJc w:val="left"/>
      <w:pPr>
        <w:ind w:left="360" w:hanging="360"/>
      </w:pPr>
      <w:rPr>
        <w:rFonts w:ascii="Wingdings" w:hAnsi="Wingdings" w:hint="default"/>
      </w:rPr>
    </w:lvl>
    <w:lvl w:ilvl="1" w:tplc="57E451FC">
      <w:start w:val="1"/>
      <w:numFmt w:val="bullet"/>
      <w:lvlText w:val="/"/>
      <w:lvlJc w:val="left"/>
      <w:pPr>
        <w:ind w:left="1080" w:hanging="360"/>
      </w:pPr>
      <w:rPr>
        <w:rFonts w:ascii="Courier New" w:hAnsi="Courier New" w:hint="default"/>
      </w:rPr>
    </w:lvl>
    <w:lvl w:ilvl="2" w:tplc="AD5413A8" w:tentative="1">
      <w:start w:val="1"/>
      <w:numFmt w:val="bullet"/>
      <w:lvlText w:val=""/>
      <w:lvlJc w:val="left"/>
      <w:pPr>
        <w:ind w:left="1800" w:hanging="360"/>
      </w:pPr>
      <w:rPr>
        <w:rFonts w:ascii="Wingdings" w:hAnsi="Wingdings" w:hint="default"/>
      </w:rPr>
    </w:lvl>
    <w:lvl w:ilvl="3" w:tplc="91B0AB4C" w:tentative="1">
      <w:start w:val="1"/>
      <w:numFmt w:val="bullet"/>
      <w:lvlText w:val=""/>
      <w:lvlJc w:val="left"/>
      <w:pPr>
        <w:ind w:left="2520" w:hanging="360"/>
      </w:pPr>
      <w:rPr>
        <w:rFonts w:ascii="Symbol" w:hAnsi="Symbol" w:hint="default"/>
      </w:rPr>
    </w:lvl>
    <w:lvl w:ilvl="4" w:tplc="2BE41BE0" w:tentative="1">
      <w:start w:val="1"/>
      <w:numFmt w:val="bullet"/>
      <w:lvlText w:val="o"/>
      <w:lvlJc w:val="left"/>
      <w:pPr>
        <w:ind w:left="3240" w:hanging="360"/>
      </w:pPr>
      <w:rPr>
        <w:rFonts w:ascii="Courier New" w:hAnsi="Courier New" w:hint="default"/>
      </w:rPr>
    </w:lvl>
    <w:lvl w:ilvl="5" w:tplc="E3F84910" w:tentative="1">
      <w:start w:val="1"/>
      <w:numFmt w:val="bullet"/>
      <w:lvlText w:val=""/>
      <w:lvlJc w:val="left"/>
      <w:pPr>
        <w:ind w:left="3960" w:hanging="360"/>
      </w:pPr>
      <w:rPr>
        <w:rFonts w:ascii="Wingdings" w:hAnsi="Wingdings" w:hint="default"/>
      </w:rPr>
    </w:lvl>
    <w:lvl w:ilvl="6" w:tplc="6FD6D100" w:tentative="1">
      <w:start w:val="1"/>
      <w:numFmt w:val="bullet"/>
      <w:lvlText w:val=""/>
      <w:lvlJc w:val="left"/>
      <w:pPr>
        <w:ind w:left="4680" w:hanging="360"/>
      </w:pPr>
      <w:rPr>
        <w:rFonts w:ascii="Symbol" w:hAnsi="Symbol" w:hint="default"/>
      </w:rPr>
    </w:lvl>
    <w:lvl w:ilvl="7" w:tplc="7A8AA344" w:tentative="1">
      <w:start w:val="1"/>
      <w:numFmt w:val="bullet"/>
      <w:lvlText w:val="o"/>
      <w:lvlJc w:val="left"/>
      <w:pPr>
        <w:ind w:left="5400" w:hanging="360"/>
      </w:pPr>
      <w:rPr>
        <w:rFonts w:ascii="Courier New" w:hAnsi="Courier New" w:hint="default"/>
      </w:rPr>
    </w:lvl>
    <w:lvl w:ilvl="8" w:tplc="031CA332" w:tentative="1">
      <w:start w:val="1"/>
      <w:numFmt w:val="bullet"/>
      <w:lvlText w:val=""/>
      <w:lvlJc w:val="left"/>
      <w:pPr>
        <w:ind w:left="6120" w:hanging="360"/>
      </w:pPr>
      <w:rPr>
        <w:rFonts w:ascii="Wingdings" w:hAnsi="Wingdings" w:hint="default"/>
      </w:rPr>
    </w:lvl>
  </w:abstractNum>
  <w:abstractNum w:abstractNumId="53" w15:restartNumberingAfterBreak="0">
    <w:nsid w:val="55F14988"/>
    <w:multiLevelType w:val="hybridMultilevel"/>
    <w:tmpl w:val="6E0AD15A"/>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4" w15:restartNumberingAfterBreak="0">
    <w:nsid w:val="561B1A06"/>
    <w:multiLevelType w:val="hybridMultilevel"/>
    <w:tmpl w:val="19C8975A"/>
    <w:lvl w:ilvl="0" w:tplc="4902515E">
      <w:start w:val="1"/>
      <w:numFmt w:val="bullet"/>
      <w:lvlText w:val="▪"/>
      <w:lvlJc w:val="left"/>
      <w:pPr>
        <w:ind w:left="720" w:hanging="360"/>
      </w:pPr>
      <w:rPr>
        <w:rFonts w:ascii="Noto Sans Symbols" w:hAnsi="Noto Sans Symbols" w:hint="default"/>
      </w:rPr>
    </w:lvl>
    <w:lvl w:ilvl="1" w:tplc="07244810">
      <w:start w:val="1"/>
      <w:numFmt w:val="bullet"/>
      <w:lvlText w:val=""/>
      <w:lvlJc w:val="left"/>
      <w:pPr>
        <w:ind w:left="1530" w:hanging="360"/>
      </w:pPr>
      <w:rPr>
        <w:rFonts w:ascii="Wingdings" w:hAnsi="Wingdings" w:hint="default"/>
      </w:rPr>
    </w:lvl>
    <w:lvl w:ilvl="2" w:tplc="1E3A1ED6" w:tentative="1">
      <w:start w:val="1"/>
      <w:numFmt w:val="bullet"/>
      <w:lvlText w:val=""/>
      <w:lvlJc w:val="left"/>
      <w:pPr>
        <w:ind w:left="2160" w:hanging="360"/>
      </w:pPr>
      <w:rPr>
        <w:rFonts w:ascii="Wingdings" w:hAnsi="Wingdings" w:hint="default"/>
      </w:rPr>
    </w:lvl>
    <w:lvl w:ilvl="3" w:tplc="55BA3118" w:tentative="1">
      <w:start w:val="1"/>
      <w:numFmt w:val="bullet"/>
      <w:lvlText w:val=""/>
      <w:lvlJc w:val="left"/>
      <w:pPr>
        <w:ind w:left="2880" w:hanging="360"/>
      </w:pPr>
      <w:rPr>
        <w:rFonts w:ascii="Symbol" w:hAnsi="Symbol" w:hint="default"/>
      </w:rPr>
    </w:lvl>
    <w:lvl w:ilvl="4" w:tplc="EFA06B86" w:tentative="1">
      <w:start w:val="1"/>
      <w:numFmt w:val="bullet"/>
      <w:lvlText w:val="o"/>
      <w:lvlJc w:val="left"/>
      <w:pPr>
        <w:ind w:left="3600" w:hanging="360"/>
      </w:pPr>
      <w:rPr>
        <w:rFonts w:ascii="Courier New" w:hAnsi="Courier New" w:hint="default"/>
      </w:rPr>
    </w:lvl>
    <w:lvl w:ilvl="5" w:tplc="8AD0BE8C" w:tentative="1">
      <w:start w:val="1"/>
      <w:numFmt w:val="bullet"/>
      <w:lvlText w:val=""/>
      <w:lvlJc w:val="left"/>
      <w:pPr>
        <w:ind w:left="4320" w:hanging="360"/>
      </w:pPr>
      <w:rPr>
        <w:rFonts w:ascii="Wingdings" w:hAnsi="Wingdings" w:hint="default"/>
      </w:rPr>
    </w:lvl>
    <w:lvl w:ilvl="6" w:tplc="7E0646F8" w:tentative="1">
      <w:start w:val="1"/>
      <w:numFmt w:val="bullet"/>
      <w:lvlText w:val=""/>
      <w:lvlJc w:val="left"/>
      <w:pPr>
        <w:ind w:left="5040" w:hanging="360"/>
      </w:pPr>
      <w:rPr>
        <w:rFonts w:ascii="Symbol" w:hAnsi="Symbol" w:hint="default"/>
      </w:rPr>
    </w:lvl>
    <w:lvl w:ilvl="7" w:tplc="16A62614" w:tentative="1">
      <w:start w:val="1"/>
      <w:numFmt w:val="bullet"/>
      <w:lvlText w:val="o"/>
      <w:lvlJc w:val="left"/>
      <w:pPr>
        <w:ind w:left="5760" w:hanging="360"/>
      </w:pPr>
      <w:rPr>
        <w:rFonts w:ascii="Courier New" w:hAnsi="Courier New" w:hint="default"/>
      </w:rPr>
    </w:lvl>
    <w:lvl w:ilvl="8" w:tplc="1D0CAEA6" w:tentative="1">
      <w:start w:val="1"/>
      <w:numFmt w:val="bullet"/>
      <w:lvlText w:val=""/>
      <w:lvlJc w:val="left"/>
      <w:pPr>
        <w:ind w:left="6480" w:hanging="360"/>
      </w:pPr>
      <w:rPr>
        <w:rFonts w:ascii="Wingdings" w:hAnsi="Wingdings" w:hint="default"/>
      </w:rPr>
    </w:lvl>
  </w:abstractNum>
  <w:abstractNum w:abstractNumId="55" w15:restartNumberingAfterBreak="0">
    <w:nsid w:val="5A4E2FCF"/>
    <w:multiLevelType w:val="hybridMultilevel"/>
    <w:tmpl w:val="408E10C0"/>
    <w:lvl w:ilvl="0" w:tplc="19B4542A">
      <w:start w:val="1"/>
      <w:numFmt w:val="decimal"/>
      <w:pStyle w:val="SectionHead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5DBB18FD"/>
    <w:multiLevelType w:val="hybridMultilevel"/>
    <w:tmpl w:val="A476D92E"/>
    <w:lvl w:ilvl="0" w:tplc="EDBE2030">
      <w:start w:val="1"/>
      <w:numFmt w:val="bullet"/>
      <w:lvlText w:val="▪"/>
      <w:lvlJc w:val="left"/>
      <w:pPr>
        <w:ind w:left="720" w:hanging="360"/>
      </w:pPr>
      <w:rPr>
        <w:rFonts w:ascii="Noto Sans Symbols" w:hAnsi="Noto Sans Symbols" w:hint="default"/>
      </w:rPr>
    </w:lvl>
    <w:lvl w:ilvl="1" w:tplc="1396AE6C">
      <w:start w:val="1"/>
      <w:numFmt w:val="bullet"/>
      <w:lvlText w:val="o"/>
      <w:lvlJc w:val="left"/>
      <w:pPr>
        <w:ind w:left="1440" w:hanging="360"/>
      </w:pPr>
      <w:rPr>
        <w:rFonts w:ascii="Courier New" w:hAnsi="Courier New" w:hint="default"/>
      </w:rPr>
    </w:lvl>
    <w:lvl w:ilvl="2" w:tplc="F0D49AD6" w:tentative="1">
      <w:start w:val="1"/>
      <w:numFmt w:val="bullet"/>
      <w:lvlText w:val=""/>
      <w:lvlJc w:val="left"/>
      <w:pPr>
        <w:ind w:left="2160" w:hanging="360"/>
      </w:pPr>
      <w:rPr>
        <w:rFonts w:ascii="Wingdings" w:hAnsi="Wingdings" w:hint="default"/>
      </w:rPr>
    </w:lvl>
    <w:lvl w:ilvl="3" w:tplc="75E69A58" w:tentative="1">
      <w:start w:val="1"/>
      <w:numFmt w:val="bullet"/>
      <w:lvlText w:val=""/>
      <w:lvlJc w:val="left"/>
      <w:pPr>
        <w:ind w:left="2880" w:hanging="360"/>
      </w:pPr>
      <w:rPr>
        <w:rFonts w:ascii="Symbol" w:hAnsi="Symbol" w:hint="default"/>
      </w:rPr>
    </w:lvl>
    <w:lvl w:ilvl="4" w:tplc="C866A13E" w:tentative="1">
      <w:start w:val="1"/>
      <w:numFmt w:val="bullet"/>
      <w:lvlText w:val="o"/>
      <w:lvlJc w:val="left"/>
      <w:pPr>
        <w:ind w:left="3600" w:hanging="360"/>
      </w:pPr>
      <w:rPr>
        <w:rFonts w:ascii="Courier New" w:hAnsi="Courier New" w:hint="default"/>
      </w:rPr>
    </w:lvl>
    <w:lvl w:ilvl="5" w:tplc="5DF6118C" w:tentative="1">
      <w:start w:val="1"/>
      <w:numFmt w:val="bullet"/>
      <w:lvlText w:val=""/>
      <w:lvlJc w:val="left"/>
      <w:pPr>
        <w:ind w:left="4320" w:hanging="360"/>
      </w:pPr>
      <w:rPr>
        <w:rFonts w:ascii="Wingdings" w:hAnsi="Wingdings" w:hint="default"/>
      </w:rPr>
    </w:lvl>
    <w:lvl w:ilvl="6" w:tplc="916685CC" w:tentative="1">
      <w:start w:val="1"/>
      <w:numFmt w:val="bullet"/>
      <w:lvlText w:val=""/>
      <w:lvlJc w:val="left"/>
      <w:pPr>
        <w:ind w:left="5040" w:hanging="360"/>
      </w:pPr>
      <w:rPr>
        <w:rFonts w:ascii="Symbol" w:hAnsi="Symbol" w:hint="default"/>
      </w:rPr>
    </w:lvl>
    <w:lvl w:ilvl="7" w:tplc="5DBA21E4" w:tentative="1">
      <w:start w:val="1"/>
      <w:numFmt w:val="bullet"/>
      <w:lvlText w:val="o"/>
      <w:lvlJc w:val="left"/>
      <w:pPr>
        <w:ind w:left="5760" w:hanging="360"/>
      </w:pPr>
      <w:rPr>
        <w:rFonts w:ascii="Courier New" w:hAnsi="Courier New" w:hint="default"/>
      </w:rPr>
    </w:lvl>
    <w:lvl w:ilvl="8" w:tplc="B3FC40F4" w:tentative="1">
      <w:start w:val="1"/>
      <w:numFmt w:val="bullet"/>
      <w:lvlText w:val=""/>
      <w:lvlJc w:val="left"/>
      <w:pPr>
        <w:ind w:left="6480" w:hanging="360"/>
      </w:pPr>
      <w:rPr>
        <w:rFonts w:ascii="Wingdings" w:hAnsi="Wingdings" w:hint="default"/>
      </w:rPr>
    </w:lvl>
  </w:abstractNum>
  <w:abstractNum w:abstractNumId="57" w15:restartNumberingAfterBreak="0">
    <w:nsid w:val="5DD99EC1"/>
    <w:multiLevelType w:val="hybridMultilevel"/>
    <w:tmpl w:val="FFFFFFFF"/>
    <w:lvl w:ilvl="0" w:tplc="FFFFFFFF">
      <w:start w:val="1"/>
      <w:numFmt w:val="bullet"/>
      <w:lvlText w:val="·"/>
      <w:lvlJc w:val="left"/>
      <w:pPr>
        <w:ind w:left="720" w:hanging="360"/>
      </w:pPr>
      <w:rPr>
        <w:rFonts w:ascii="Symbol" w:hAnsi="Symbol" w:hint="default"/>
      </w:rPr>
    </w:lvl>
    <w:lvl w:ilvl="1" w:tplc="BB040178">
      <w:start w:val="1"/>
      <w:numFmt w:val="bullet"/>
      <w:lvlText w:val="o"/>
      <w:lvlJc w:val="left"/>
      <w:pPr>
        <w:ind w:left="1440" w:hanging="360"/>
      </w:pPr>
      <w:rPr>
        <w:rFonts w:ascii="Courier New" w:hAnsi="Courier New" w:hint="default"/>
      </w:rPr>
    </w:lvl>
    <w:lvl w:ilvl="2" w:tplc="C7127C1E">
      <w:start w:val="1"/>
      <w:numFmt w:val="bullet"/>
      <w:lvlText w:val=""/>
      <w:lvlJc w:val="left"/>
      <w:pPr>
        <w:ind w:left="2160" w:hanging="360"/>
      </w:pPr>
      <w:rPr>
        <w:rFonts w:ascii="Wingdings" w:hAnsi="Wingdings" w:hint="default"/>
      </w:rPr>
    </w:lvl>
    <w:lvl w:ilvl="3" w:tplc="ED206F9A">
      <w:start w:val="1"/>
      <w:numFmt w:val="bullet"/>
      <w:lvlText w:val=""/>
      <w:lvlJc w:val="left"/>
      <w:pPr>
        <w:ind w:left="2880" w:hanging="360"/>
      </w:pPr>
      <w:rPr>
        <w:rFonts w:ascii="Symbol" w:hAnsi="Symbol" w:hint="default"/>
      </w:rPr>
    </w:lvl>
    <w:lvl w:ilvl="4" w:tplc="FF6213CC">
      <w:start w:val="1"/>
      <w:numFmt w:val="bullet"/>
      <w:lvlText w:val="o"/>
      <w:lvlJc w:val="left"/>
      <w:pPr>
        <w:ind w:left="3600" w:hanging="360"/>
      </w:pPr>
      <w:rPr>
        <w:rFonts w:ascii="Courier New" w:hAnsi="Courier New" w:hint="default"/>
      </w:rPr>
    </w:lvl>
    <w:lvl w:ilvl="5" w:tplc="F2C6469E">
      <w:start w:val="1"/>
      <w:numFmt w:val="bullet"/>
      <w:lvlText w:val=""/>
      <w:lvlJc w:val="left"/>
      <w:pPr>
        <w:ind w:left="4320" w:hanging="360"/>
      </w:pPr>
      <w:rPr>
        <w:rFonts w:ascii="Wingdings" w:hAnsi="Wingdings" w:hint="default"/>
      </w:rPr>
    </w:lvl>
    <w:lvl w:ilvl="6" w:tplc="73D89E90">
      <w:start w:val="1"/>
      <w:numFmt w:val="bullet"/>
      <w:lvlText w:val=""/>
      <w:lvlJc w:val="left"/>
      <w:pPr>
        <w:ind w:left="5040" w:hanging="360"/>
      </w:pPr>
      <w:rPr>
        <w:rFonts w:ascii="Symbol" w:hAnsi="Symbol" w:hint="default"/>
      </w:rPr>
    </w:lvl>
    <w:lvl w:ilvl="7" w:tplc="87207664">
      <w:start w:val="1"/>
      <w:numFmt w:val="bullet"/>
      <w:lvlText w:val="o"/>
      <w:lvlJc w:val="left"/>
      <w:pPr>
        <w:ind w:left="5760" w:hanging="360"/>
      </w:pPr>
      <w:rPr>
        <w:rFonts w:ascii="Courier New" w:hAnsi="Courier New" w:hint="default"/>
      </w:rPr>
    </w:lvl>
    <w:lvl w:ilvl="8" w:tplc="435A6A1E">
      <w:start w:val="1"/>
      <w:numFmt w:val="bullet"/>
      <w:lvlText w:val=""/>
      <w:lvlJc w:val="left"/>
      <w:pPr>
        <w:ind w:left="6480" w:hanging="360"/>
      </w:pPr>
      <w:rPr>
        <w:rFonts w:ascii="Wingdings" w:hAnsi="Wingdings" w:hint="default"/>
      </w:rPr>
    </w:lvl>
  </w:abstractNum>
  <w:abstractNum w:abstractNumId="58" w15:restartNumberingAfterBreak="0">
    <w:nsid w:val="5E5F3A88"/>
    <w:multiLevelType w:val="hybridMultilevel"/>
    <w:tmpl w:val="C81EE2AC"/>
    <w:lvl w:ilvl="0" w:tplc="0425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603D519F"/>
    <w:multiLevelType w:val="hybridMultilevel"/>
    <w:tmpl w:val="27462CB6"/>
    <w:lvl w:ilvl="0" w:tplc="84147848">
      <w:start w:val="1"/>
      <w:numFmt w:val="bullet"/>
      <w:lvlText w:val=""/>
      <w:lvlJc w:val="left"/>
      <w:pPr>
        <w:ind w:left="360" w:hanging="360"/>
      </w:pPr>
      <w:rPr>
        <w:rFonts w:ascii="Wingdings" w:hAnsi="Wingdings" w:hint="default"/>
      </w:rPr>
    </w:lvl>
    <w:lvl w:ilvl="1" w:tplc="BF6C4AFC">
      <w:start w:val="1"/>
      <w:numFmt w:val="bullet"/>
      <w:lvlText w:val="/"/>
      <w:lvlJc w:val="left"/>
      <w:pPr>
        <w:ind w:left="1080" w:hanging="360"/>
      </w:pPr>
      <w:rPr>
        <w:rFonts w:ascii="Courier New" w:hAnsi="Courier New" w:hint="default"/>
      </w:rPr>
    </w:lvl>
    <w:lvl w:ilvl="2" w:tplc="32AA19F8">
      <w:start w:val="1"/>
      <w:numFmt w:val="bullet"/>
      <w:lvlText w:val="-"/>
      <w:lvlJc w:val="left"/>
      <w:pPr>
        <w:ind w:left="1800" w:hanging="360"/>
      </w:pPr>
      <w:rPr>
        <w:rFonts w:ascii="Courier New" w:hAnsi="Courier New" w:hint="default"/>
      </w:rPr>
    </w:lvl>
    <w:lvl w:ilvl="3" w:tplc="A7D042DE" w:tentative="1">
      <w:start w:val="1"/>
      <w:numFmt w:val="bullet"/>
      <w:lvlText w:val=""/>
      <w:lvlJc w:val="left"/>
      <w:pPr>
        <w:ind w:left="2520" w:hanging="360"/>
      </w:pPr>
      <w:rPr>
        <w:rFonts w:ascii="Symbol" w:hAnsi="Symbol" w:hint="default"/>
      </w:rPr>
    </w:lvl>
    <w:lvl w:ilvl="4" w:tplc="C4E6498E" w:tentative="1">
      <w:start w:val="1"/>
      <w:numFmt w:val="bullet"/>
      <w:lvlText w:val="o"/>
      <w:lvlJc w:val="left"/>
      <w:pPr>
        <w:ind w:left="3240" w:hanging="360"/>
      </w:pPr>
      <w:rPr>
        <w:rFonts w:ascii="Courier New" w:hAnsi="Courier New" w:hint="default"/>
      </w:rPr>
    </w:lvl>
    <w:lvl w:ilvl="5" w:tplc="2280C8FE" w:tentative="1">
      <w:start w:val="1"/>
      <w:numFmt w:val="bullet"/>
      <w:lvlText w:val=""/>
      <w:lvlJc w:val="left"/>
      <w:pPr>
        <w:ind w:left="3960" w:hanging="360"/>
      </w:pPr>
      <w:rPr>
        <w:rFonts w:ascii="Wingdings" w:hAnsi="Wingdings" w:hint="default"/>
      </w:rPr>
    </w:lvl>
    <w:lvl w:ilvl="6" w:tplc="3B2EA1B0" w:tentative="1">
      <w:start w:val="1"/>
      <w:numFmt w:val="bullet"/>
      <w:lvlText w:val=""/>
      <w:lvlJc w:val="left"/>
      <w:pPr>
        <w:ind w:left="4680" w:hanging="360"/>
      </w:pPr>
      <w:rPr>
        <w:rFonts w:ascii="Symbol" w:hAnsi="Symbol" w:hint="default"/>
      </w:rPr>
    </w:lvl>
    <w:lvl w:ilvl="7" w:tplc="81900626" w:tentative="1">
      <w:start w:val="1"/>
      <w:numFmt w:val="bullet"/>
      <w:lvlText w:val="o"/>
      <w:lvlJc w:val="left"/>
      <w:pPr>
        <w:ind w:left="5400" w:hanging="360"/>
      </w:pPr>
      <w:rPr>
        <w:rFonts w:ascii="Courier New" w:hAnsi="Courier New" w:hint="default"/>
      </w:rPr>
    </w:lvl>
    <w:lvl w:ilvl="8" w:tplc="25545836" w:tentative="1">
      <w:start w:val="1"/>
      <w:numFmt w:val="bullet"/>
      <w:lvlText w:val=""/>
      <w:lvlJc w:val="left"/>
      <w:pPr>
        <w:ind w:left="6120" w:hanging="360"/>
      </w:pPr>
      <w:rPr>
        <w:rFonts w:ascii="Wingdings" w:hAnsi="Wingdings" w:hint="default"/>
      </w:rPr>
    </w:lvl>
  </w:abstractNum>
  <w:abstractNum w:abstractNumId="60" w15:restartNumberingAfterBreak="0">
    <w:nsid w:val="60462F56"/>
    <w:multiLevelType w:val="hybridMultilevel"/>
    <w:tmpl w:val="45868F88"/>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1" w15:restartNumberingAfterBreak="0">
    <w:nsid w:val="62D24D9A"/>
    <w:multiLevelType w:val="hybridMultilevel"/>
    <w:tmpl w:val="4E70AC28"/>
    <w:lvl w:ilvl="0" w:tplc="0094A760">
      <w:start w:val="1"/>
      <w:numFmt w:val="bullet"/>
      <w:lvlText w:val="▪"/>
      <w:lvlJc w:val="left"/>
      <w:pPr>
        <w:ind w:left="720" w:hanging="360"/>
      </w:pPr>
      <w:rPr>
        <w:rFonts w:ascii="Noto Sans Symbols" w:hAnsi="Noto Sans Symbol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38B227F"/>
    <w:multiLevelType w:val="hybridMultilevel"/>
    <w:tmpl w:val="5B12417A"/>
    <w:lvl w:ilvl="0" w:tplc="2C007182">
      <w:start w:val="1"/>
      <w:numFmt w:val="bullet"/>
      <w:lvlText w:val="▪"/>
      <w:lvlJc w:val="left"/>
      <w:pPr>
        <w:ind w:left="720" w:hanging="360"/>
      </w:pPr>
      <w:rPr>
        <w:rFonts w:ascii="Noto Sans Symbols" w:hAnsi="Noto Sans Symbols" w:hint="default"/>
      </w:rPr>
    </w:lvl>
    <w:lvl w:ilvl="1" w:tplc="FACC1C98" w:tentative="1">
      <w:start w:val="1"/>
      <w:numFmt w:val="bullet"/>
      <w:lvlText w:val="o"/>
      <w:lvlJc w:val="left"/>
      <w:pPr>
        <w:ind w:left="1440" w:hanging="360"/>
      </w:pPr>
      <w:rPr>
        <w:rFonts w:ascii="Courier New" w:hAnsi="Courier New" w:hint="default"/>
      </w:rPr>
    </w:lvl>
    <w:lvl w:ilvl="2" w:tplc="3AAAE548" w:tentative="1">
      <w:start w:val="1"/>
      <w:numFmt w:val="bullet"/>
      <w:lvlText w:val=""/>
      <w:lvlJc w:val="left"/>
      <w:pPr>
        <w:ind w:left="2160" w:hanging="360"/>
      </w:pPr>
      <w:rPr>
        <w:rFonts w:ascii="Wingdings" w:hAnsi="Wingdings" w:hint="default"/>
      </w:rPr>
    </w:lvl>
    <w:lvl w:ilvl="3" w:tplc="AC7CAB1A" w:tentative="1">
      <w:start w:val="1"/>
      <w:numFmt w:val="bullet"/>
      <w:lvlText w:val=""/>
      <w:lvlJc w:val="left"/>
      <w:pPr>
        <w:ind w:left="2880" w:hanging="360"/>
      </w:pPr>
      <w:rPr>
        <w:rFonts w:ascii="Symbol" w:hAnsi="Symbol" w:hint="default"/>
      </w:rPr>
    </w:lvl>
    <w:lvl w:ilvl="4" w:tplc="ACE2FC1C" w:tentative="1">
      <w:start w:val="1"/>
      <w:numFmt w:val="bullet"/>
      <w:lvlText w:val="o"/>
      <w:lvlJc w:val="left"/>
      <w:pPr>
        <w:ind w:left="3600" w:hanging="360"/>
      </w:pPr>
      <w:rPr>
        <w:rFonts w:ascii="Courier New" w:hAnsi="Courier New" w:hint="default"/>
      </w:rPr>
    </w:lvl>
    <w:lvl w:ilvl="5" w:tplc="70782490" w:tentative="1">
      <w:start w:val="1"/>
      <w:numFmt w:val="bullet"/>
      <w:lvlText w:val=""/>
      <w:lvlJc w:val="left"/>
      <w:pPr>
        <w:ind w:left="4320" w:hanging="360"/>
      </w:pPr>
      <w:rPr>
        <w:rFonts w:ascii="Wingdings" w:hAnsi="Wingdings" w:hint="default"/>
      </w:rPr>
    </w:lvl>
    <w:lvl w:ilvl="6" w:tplc="31C6F76C" w:tentative="1">
      <w:start w:val="1"/>
      <w:numFmt w:val="bullet"/>
      <w:lvlText w:val=""/>
      <w:lvlJc w:val="left"/>
      <w:pPr>
        <w:ind w:left="5040" w:hanging="360"/>
      </w:pPr>
      <w:rPr>
        <w:rFonts w:ascii="Symbol" w:hAnsi="Symbol" w:hint="default"/>
      </w:rPr>
    </w:lvl>
    <w:lvl w:ilvl="7" w:tplc="7F68473A" w:tentative="1">
      <w:start w:val="1"/>
      <w:numFmt w:val="bullet"/>
      <w:lvlText w:val="o"/>
      <w:lvlJc w:val="left"/>
      <w:pPr>
        <w:ind w:left="5760" w:hanging="360"/>
      </w:pPr>
      <w:rPr>
        <w:rFonts w:ascii="Courier New" w:hAnsi="Courier New" w:hint="default"/>
      </w:rPr>
    </w:lvl>
    <w:lvl w:ilvl="8" w:tplc="CE0E6C92" w:tentative="1">
      <w:start w:val="1"/>
      <w:numFmt w:val="bullet"/>
      <w:lvlText w:val=""/>
      <w:lvlJc w:val="left"/>
      <w:pPr>
        <w:ind w:left="6480" w:hanging="360"/>
      </w:pPr>
      <w:rPr>
        <w:rFonts w:ascii="Wingdings" w:hAnsi="Wingdings" w:hint="default"/>
      </w:rPr>
    </w:lvl>
  </w:abstractNum>
  <w:abstractNum w:abstractNumId="63" w15:restartNumberingAfterBreak="0">
    <w:nsid w:val="64612AE3"/>
    <w:multiLevelType w:val="hybridMultilevel"/>
    <w:tmpl w:val="049C3686"/>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4" w15:restartNumberingAfterBreak="0">
    <w:nsid w:val="64850C9F"/>
    <w:multiLevelType w:val="hybridMultilevel"/>
    <w:tmpl w:val="F5DC7C56"/>
    <w:lvl w:ilvl="0" w:tplc="BDBA2724">
      <w:start w:val="1"/>
      <w:numFmt w:val="bullet"/>
      <w:lvlText w:val=""/>
      <w:lvlJc w:val="left"/>
      <w:pPr>
        <w:ind w:left="1080" w:hanging="360"/>
      </w:pPr>
      <w:rPr>
        <w:rFonts w:ascii="Wingdings" w:hAnsi="Wingdings" w:hint="default"/>
      </w:rPr>
    </w:lvl>
    <w:lvl w:ilvl="1" w:tplc="1C902910">
      <w:start w:val="1"/>
      <w:numFmt w:val="bullet"/>
      <w:lvlText w:val="/"/>
      <w:lvlJc w:val="left"/>
      <w:pPr>
        <w:ind w:left="1800" w:hanging="360"/>
      </w:pPr>
      <w:rPr>
        <w:rFonts w:ascii="Courier New" w:hAnsi="Courier New" w:hint="default"/>
      </w:rPr>
    </w:lvl>
    <w:lvl w:ilvl="2" w:tplc="BBD8EFB2">
      <w:start w:val="1"/>
      <w:numFmt w:val="bullet"/>
      <w:lvlText w:val=""/>
      <w:lvlJc w:val="left"/>
      <w:pPr>
        <w:ind w:left="2520" w:hanging="360"/>
      </w:pPr>
      <w:rPr>
        <w:rFonts w:ascii="Wingdings" w:hAnsi="Wingdings" w:hint="default"/>
      </w:rPr>
    </w:lvl>
    <w:lvl w:ilvl="3" w:tplc="1F14C2AA" w:tentative="1">
      <w:start w:val="1"/>
      <w:numFmt w:val="bullet"/>
      <w:lvlText w:val=""/>
      <w:lvlJc w:val="left"/>
      <w:pPr>
        <w:ind w:left="3240" w:hanging="360"/>
      </w:pPr>
      <w:rPr>
        <w:rFonts w:ascii="Symbol" w:hAnsi="Symbol" w:hint="default"/>
      </w:rPr>
    </w:lvl>
    <w:lvl w:ilvl="4" w:tplc="A872CA66" w:tentative="1">
      <w:start w:val="1"/>
      <w:numFmt w:val="bullet"/>
      <w:lvlText w:val="o"/>
      <w:lvlJc w:val="left"/>
      <w:pPr>
        <w:ind w:left="3960" w:hanging="360"/>
      </w:pPr>
      <w:rPr>
        <w:rFonts w:ascii="Courier New" w:hAnsi="Courier New" w:hint="default"/>
      </w:rPr>
    </w:lvl>
    <w:lvl w:ilvl="5" w:tplc="41EC67B6" w:tentative="1">
      <w:start w:val="1"/>
      <w:numFmt w:val="bullet"/>
      <w:lvlText w:val=""/>
      <w:lvlJc w:val="left"/>
      <w:pPr>
        <w:ind w:left="4680" w:hanging="360"/>
      </w:pPr>
      <w:rPr>
        <w:rFonts w:ascii="Wingdings" w:hAnsi="Wingdings" w:hint="default"/>
      </w:rPr>
    </w:lvl>
    <w:lvl w:ilvl="6" w:tplc="135C1E6E" w:tentative="1">
      <w:start w:val="1"/>
      <w:numFmt w:val="bullet"/>
      <w:lvlText w:val=""/>
      <w:lvlJc w:val="left"/>
      <w:pPr>
        <w:ind w:left="5400" w:hanging="360"/>
      </w:pPr>
      <w:rPr>
        <w:rFonts w:ascii="Symbol" w:hAnsi="Symbol" w:hint="default"/>
      </w:rPr>
    </w:lvl>
    <w:lvl w:ilvl="7" w:tplc="C6986592" w:tentative="1">
      <w:start w:val="1"/>
      <w:numFmt w:val="bullet"/>
      <w:lvlText w:val="o"/>
      <w:lvlJc w:val="left"/>
      <w:pPr>
        <w:ind w:left="6120" w:hanging="360"/>
      </w:pPr>
      <w:rPr>
        <w:rFonts w:ascii="Courier New" w:hAnsi="Courier New" w:hint="default"/>
      </w:rPr>
    </w:lvl>
    <w:lvl w:ilvl="8" w:tplc="FE94F79C" w:tentative="1">
      <w:start w:val="1"/>
      <w:numFmt w:val="bullet"/>
      <w:lvlText w:val=""/>
      <w:lvlJc w:val="left"/>
      <w:pPr>
        <w:ind w:left="6840" w:hanging="360"/>
      </w:pPr>
      <w:rPr>
        <w:rFonts w:ascii="Wingdings" w:hAnsi="Wingdings" w:hint="default"/>
      </w:rPr>
    </w:lvl>
  </w:abstractNum>
  <w:abstractNum w:abstractNumId="65" w15:restartNumberingAfterBreak="0">
    <w:nsid w:val="672F3E63"/>
    <w:multiLevelType w:val="hybridMultilevel"/>
    <w:tmpl w:val="61D49056"/>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6" w15:restartNumberingAfterBreak="0">
    <w:nsid w:val="69925C05"/>
    <w:multiLevelType w:val="hybridMultilevel"/>
    <w:tmpl w:val="E9E805D2"/>
    <w:lvl w:ilvl="0" w:tplc="0425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69E83C3C"/>
    <w:multiLevelType w:val="hybridMultilevel"/>
    <w:tmpl w:val="2B56E440"/>
    <w:lvl w:ilvl="0" w:tplc="F878A48E">
      <w:start w:val="1"/>
      <w:numFmt w:val="decimal"/>
      <w:lvlText w:val="%1)"/>
      <w:lvlJc w:val="left"/>
      <w:pPr>
        <w:ind w:left="1020" w:hanging="360"/>
      </w:pPr>
    </w:lvl>
    <w:lvl w:ilvl="1" w:tplc="4ADEBCBC">
      <w:start w:val="1"/>
      <w:numFmt w:val="decimal"/>
      <w:lvlText w:val="%2)"/>
      <w:lvlJc w:val="left"/>
      <w:pPr>
        <w:ind w:left="1020" w:hanging="360"/>
      </w:pPr>
    </w:lvl>
    <w:lvl w:ilvl="2" w:tplc="2C82D93E">
      <w:start w:val="1"/>
      <w:numFmt w:val="decimal"/>
      <w:lvlText w:val="%3)"/>
      <w:lvlJc w:val="left"/>
      <w:pPr>
        <w:ind w:left="1020" w:hanging="360"/>
      </w:pPr>
    </w:lvl>
    <w:lvl w:ilvl="3" w:tplc="AAAABEF6">
      <w:start w:val="1"/>
      <w:numFmt w:val="decimal"/>
      <w:lvlText w:val="%4)"/>
      <w:lvlJc w:val="left"/>
      <w:pPr>
        <w:ind w:left="1020" w:hanging="360"/>
      </w:pPr>
    </w:lvl>
    <w:lvl w:ilvl="4" w:tplc="998E434C">
      <w:start w:val="1"/>
      <w:numFmt w:val="decimal"/>
      <w:lvlText w:val="%5)"/>
      <w:lvlJc w:val="left"/>
      <w:pPr>
        <w:ind w:left="1020" w:hanging="360"/>
      </w:pPr>
    </w:lvl>
    <w:lvl w:ilvl="5" w:tplc="4CDAC220">
      <w:start w:val="1"/>
      <w:numFmt w:val="decimal"/>
      <w:lvlText w:val="%6)"/>
      <w:lvlJc w:val="left"/>
      <w:pPr>
        <w:ind w:left="1020" w:hanging="360"/>
      </w:pPr>
    </w:lvl>
    <w:lvl w:ilvl="6" w:tplc="B9268D16">
      <w:start w:val="1"/>
      <w:numFmt w:val="decimal"/>
      <w:lvlText w:val="%7)"/>
      <w:lvlJc w:val="left"/>
      <w:pPr>
        <w:ind w:left="1020" w:hanging="360"/>
      </w:pPr>
    </w:lvl>
    <w:lvl w:ilvl="7" w:tplc="16507D6C">
      <w:start w:val="1"/>
      <w:numFmt w:val="decimal"/>
      <w:lvlText w:val="%8)"/>
      <w:lvlJc w:val="left"/>
      <w:pPr>
        <w:ind w:left="1020" w:hanging="360"/>
      </w:pPr>
    </w:lvl>
    <w:lvl w:ilvl="8" w:tplc="0BCAA3EA">
      <w:start w:val="1"/>
      <w:numFmt w:val="decimal"/>
      <w:lvlText w:val="%9)"/>
      <w:lvlJc w:val="left"/>
      <w:pPr>
        <w:ind w:left="1020" w:hanging="360"/>
      </w:pPr>
    </w:lvl>
  </w:abstractNum>
  <w:abstractNum w:abstractNumId="68" w15:restartNumberingAfterBreak="0">
    <w:nsid w:val="6C9F5115"/>
    <w:multiLevelType w:val="hybridMultilevel"/>
    <w:tmpl w:val="5154706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9" w15:restartNumberingAfterBreak="0">
    <w:nsid w:val="6EB97FAD"/>
    <w:multiLevelType w:val="hybridMultilevel"/>
    <w:tmpl w:val="A62C7F8A"/>
    <w:lvl w:ilvl="0" w:tplc="0094A760">
      <w:start w:val="1"/>
      <w:numFmt w:val="bullet"/>
      <w:lvlText w:val="▪"/>
      <w:lvlJc w:val="left"/>
      <w:pPr>
        <w:ind w:left="720" w:hanging="360"/>
      </w:pPr>
      <w:rPr>
        <w:rFonts w:ascii="Noto Sans Symbols" w:hAnsi="Noto Sans Symbol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72003443"/>
    <w:multiLevelType w:val="hybridMultilevel"/>
    <w:tmpl w:val="E970046C"/>
    <w:lvl w:ilvl="0" w:tplc="0425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1" w15:restartNumberingAfterBreak="0">
    <w:nsid w:val="73BEAFA1"/>
    <w:multiLevelType w:val="hybridMultilevel"/>
    <w:tmpl w:val="41444A1E"/>
    <w:lvl w:ilvl="0" w:tplc="B2E0AD26">
      <w:start w:val="1"/>
      <w:numFmt w:val="bullet"/>
      <w:lvlText w:val=""/>
      <w:lvlJc w:val="left"/>
      <w:pPr>
        <w:ind w:left="720" w:hanging="360"/>
      </w:pPr>
      <w:rPr>
        <w:rFonts w:ascii="Wingdings" w:hAnsi="Wingdings" w:hint="default"/>
      </w:rPr>
    </w:lvl>
    <w:lvl w:ilvl="1" w:tplc="2430B352">
      <w:start w:val="1"/>
      <w:numFmt w:val="bullet"/>
      <w:lvlText w:val="o"/>
      <w:lvlJc w:val="left"/>
      <w:pPr>
        <w:ind w:left="1440" w:hanging="360"/>
      </w:pPr>
      <w:rPr>
        <w:rFonts w:ascii="Courier New" w:hAnsi="Courier New" w:hint="default"/>
      </w:rPr>
    </w:lvl>
    <w:lvl w:ilvl="2" w:tplc="FC9A516C">
      <w:start w:val="1"/>
      <w:numFmt w:val="bullet"/>
      <w:lvlText w:val=""/>
      <w:lvlJc w:val="left"/>
      <w:pPr>
        <w:ind w:left="2160" w:hanging="360"/>
      </w:pPr>
      <w:rPr>
        <w:rFonts w:ascii="Wingdings" w:hAnsi="Wingdings" w:hint="default"/>
      </w:rPr>
    </w:lvl>
    <w:lvl w:ilvl="3" w:tplc="29DE9772">
      <w:start w:val="1"/>
      <w:numFmt w:val="bullet"/>
      <w:lvlText w:val=""/>
      <w:lvlJc w:val="left"/>
      <w:pPr>
        <w:ind w:left="2880" w:hanging="360"/>
      </w:pPr>
      <w:rPr>
        <w:rFonts w:ascii="Symbol" w:hAnsi="Symbol" w:hint="default"/>
      </w:rPr>
    </w:lvl>
    <w:lvl w:ilvl="4" w:tplc="648822E8">
      <w:start w:val="1"/>
      <w:numFmt w:val="bullet"/>
      <w:lvlText w:val="o"/>
      <w:lvlJc w:val="left"/>
      <w:pPr>
        <w:ind w:left="3600" w:hanging="360"/>
      </w:pPr>
      <w:rPr>
        <w:rFonts w:ascii="Courier New" w:hAnsi="Courier New" w:hint="default"/>
      </w:rPr>
    </w:lvl>
    <w:lvl w:ilvl="5" w:tplc="87740772">
      <w:start w:val="1"/>
      <w:numFmt w:val="bullet"/>
      <w:lvlText w:val=""/>
      <w:lvlJc w:val="left"/>
      <w:pPr>
        <w:ind w:left="4320" w:hanging="360"/>
      </w:pPr>
      <w:rPr>
        <w:rFonts w:ascii="Wingdings" w:hAnsi="Wingdings" w:hint="default"/>
      </w:rPr>
    </w:lvl>
    <w:lvl w:ilvl="6" w:tplc="FEF6DCCE">
      <w:start w:val="1"/>
      <w:numFmt w:val="bullet"/>
      <w:lvlText w:val=""/>
      <w:lvlJc w:val="left"/>
      <w:pPr>
        <w:ind w:left="5040" w:hanging="360"/>
      </w:pPr>
      <w:rPr>
        <w:rFonts w:ascii="Symbol" w:hAnsi="Symbol" w:hint="default"/>
      </w:rPr>
    </w:lvl>
    <w:lvl w:ilvl="7" w:tplc="4854285E">
      <w:start w:val="1"/>
      <w:numFmt w:val="bullet"/>
      <w:lvlText w:val="o"/>
      <w:lvlJc w:val="left"/>
      <w:pPr>
        <w:ind w:left="5760" w:hanging="360"/>
      </w:pPr>
      <w:rPr>
        <w:rFonts w:ascii="Courier New" w:hAnsi="Courier New" w:hint="default"/>
      </w:rPr>
    </w:lvl>
    <w:lvl w:ilvl="8" w:tplc="11EA85F6">
      <w:start w:val="1"/>
      <w:numFmt w:val="bullet"/>
      <w:lvlText w:val=""/>
      <w:lvlJc w:val="left"/>
      <w:pPr>
        <w:ind w:left="6480" w:hanging="360"/>
      </w:pPr>
      <w:rPr>
        <w:rFonts w:ascii="Wingdings" w:hAnsi="Wingdings" w:hint="default"/>
      </w:rPr>
    </w:lvl>
  </w:abstractNum>
  <w:abstractNum w:abstractNumId="72" w15:restartNumberingAfterBreak="0">
    <w:nsid w:val="756F7569"/>
    <w:multiLevelType w:val="hybridMultilevel"/>
    <w:tmpl w:val="0BBA4572"/>
    <w:lvl w:ilvl="0" w:tplc="8ADECA8C">
      <w:start w:val="1"/>
      <w:numFmt w:val="bullet"/>
      <w:lvlText w:val=""/>
      <w:lvlJc w:val="left"/>
      <w:pPr>
        <w:ind w:left="360" w:hanging="360"/>
      </w:pPr>
      <w:rPr>
        <w:rFonts w:ascii="Wingdings" w:hAnsi="Wingdings" w:hint="default"/>
      </w:rPr>
    </w:lvl>
    <w:lvl w:ilvl="1" w:tplc="0B728D18" w:tentative="1">
      <w:start w:val="1"/>
      <w:numFmt w:val="bullet"/>
      <w:lvlText w:val="o"/>
      <w:lvlJc w:val="left"/>
      <w:pPr>
        <w:ind w:left="1080" w:hanging="360"/>
      </w:pPr>
      <w:rPr>
        <w:rFonts w:ascii="Courier New" w:hAnsi="Courier New" w:hint="default"/>
      </w:rPr>
    </w:lvl>
    <w:lvl w:ilvl="2" w:tplc="63229BE0" w:tentative="1">
      <w:start w:val="1"/>
      <w:numFmt w:val="bullet"/>
      <w:lvlText w:val=""/>
      <w:lvlJc w:val="left"/>
      <w:pPr>
        <w:ind w:left="1800" w:hanging="360"/>
      </w:pPr>
      <w:rPr>
        <w:rFonts w:ascii="Wingdings" w:hAnsi="Wingdings" w:hint="default"/>
      </w:rPr>
    </w:lvl>
    <w:lvl w:ilvl="3" w:tplc="7ED88522" w:tentative="1">
      <w:start w:val="1"/>
      <w:numFmt w:val="bullet"/>
      <w:lvlText w:val=""/>
      <w:lvlJc w:val="left"/>
      <w:pPr>
        <w:ind w:left="2520" w:hanging="360"/>
      </w:pPr>
      <w:rPr>
        <w:rFonts w:ascii="Symbol" w:hAnsi="Symbol" w:hint="default"/>
      </w:rPr>
    </w:lvl>
    <w:lvl w:ilvl="4" w:tplc="E902ACFA" w:tentative="1">
      <w:start w:val="1"/>
      <w:numFmt w:val="bullet"/>
      <w:lvlText w:val="o"/>
      <w:lvlJc w:val="left"/>
      <w:pPr>
        <w:ind w:left="3240" w:hanging="360"/>
      </w:pPr>
      <w:rPr>
        <w:rFonts w:ascii="Courier New" w:hAnsi="Courier New" w:hint="default"/>
      </w:rPr>
    </w:lvl>
    <w:lvl w:ilvl="5" w:tplc="75628D70" w:tentative="1">
      <w:start w:val="1"/>
      <w:numFmt w:val="bullet"/>
      <w:lvlText w:val=""/>
      <w:lvlJc w:val="left"/>
      <w:pPr>
        <w:ind w:left="3960" w:hanging="360"/>
      </w:pPr>
      <w:rPr>
        <w:rFonts w:ascii="Wingdings" w:hAnsi="Wingdings" w:hint="default"/>
      </w:rPr>
    </w:lvl>
    <w:lvl w:ilvl="6" w:tplc="6B981C94" w:tentative="1">
      <w:start w:val="1"/>
      <w:numFmt w:val="bullet"/>
      <w:lvlText w:val=""/>
      <w:lvlJc w:val="left"/>
      <w:pPr>
        <w:ind w:left="4680" w:hanging="360"/>
      </w:pPr>
      <w:rPr>
        <w:rFonts w:ascii="Symbol" w:hAnsi="Symbol" w:hint="default"/>
      </w:rPr>
    </w:lvl>
    <w:lvl w:ilvl="7" w:tplc="E3AA76BE" w:tentative="1">
      <w:start w:val="1"/>
      <w:numFmt w:val="bullet"/>
      <w:lvlText w:val="o"/>
      <w:lvlJc w:val="left"/>
      <w:pPr>
        <w:ind w:left="5400" w:hanging="360"/>
      </w:pPr>
      <w:rPr>
        <w:rFonts w:ascii="Courier New" w:hAnsi="Courier New" w:hint="default"/>
      </w:rPr>
    </w:lvl>
    <w:lvl w:ilvl="8" w:tplc="B68ED582" w:tentative="1">
      <w:start w:val="1"/>
      <w:numFmt w:val="bullet"/>
      <w:lvlText w:val=""/>
      <w:lvlJc w:val="left"/>
      <w:pPr>
        <w:ind w:left="6120" w:hanging="360"/>
      </w:pPr>
      <w:rPr>
        <w:rFonts w:ascii="Wingdings" w:hAnsi="Wingdings" w:hint="default"/>
      </w:rPr>
    </w:lvl>
  </w:abstractNum>
  <w:abstractNum w:abstractNumId="73" w15:restartNumberingAfterBreak="0">
    <w:nsid w:val="77070685"/>
    <w:multiLevelType w:val="hybridMultilevel"/>
    <w:tmpl w:val="74D0EA24"/>
    <w:lvl w:ilvl="0" w:tplc="3556A2C4">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4" w15:restartNumberingAfterBreak="0">
    <w:nsid w:val="78022984"/>
    <w:multiLevelType w:val="hybridMultilevel"/>
    <w:tmpl w:val="B2200AE2"/>
    <w:lvl w:ilvl="0" w:tplc="042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8C45B0B"/>
    <w:multiLevelType w:val="hybridMultilevel"/>
    <w:tmpl w:val="F120FF5C"/>
    <w:lvl w:ilvl="0" w:tplc="F3803142">
      <w:start w:val="1"/>
      <w:numFmt w:val="lowerLetter"/>
      <w:lvlText w:val="%1)"/>
      <w:lvlJc w:val="left"/>
      <w:pPr>
        <w:tabs>
          <w:tab w:val="num" w:pos="720"/>
        </w:tabs>
        <w:ind w:left="720" w:hanging="360"/>
      </w:pPr>
    </w:lvl>
    <w:lvl w:ilvl="1" w:tplc="4074ED50">
      <w:start w:val="1"/>
      <w:numFmt w:val="lowerLetter"/>
      <w:lvlText w:val="%2)"/>
      <w:lvlJc w:val="left"/>
      <w:pPr>
        <w:tabs>
          <w:tab w:val="num" w:pos="1440"/>
        </w:tabs>
        <w:ind w:left="1440" w:hanging="360"/>
      </w:pPr>
    </w:lvl>
    <w:lvl w:ilvl="2" w:tplc="AC3C2822" w:tentative="1">
      <w:start w:val="1"/>
      <w:numFmt w:val="lowerLetter"/>
      <w:lvlText w:val="%3)"/>
      <w:lvlJc w:val="left"/>
      <w:pPr>
        <w:tabs>
          <w:tab w:val="num" w:pos="2160"/>
        </w:tabs>
        <w:ind w:left="2160" w:hanging="360"/>
      </w:pPr>
    </w:lvl>
    <w:lvl w:ilvl="3" w:tplc="0406A4FA" w:tentative="1">
      <w:start w:val="1"/>
      <w:numFmt w:val="lowerLetter"/>
      <w:lvlText w:val="%4)"/>
      <w:lvlJc w:val="left"/>
      <w:pPr>
        <w:tabs>
          <w:tab w:val="num" w:pos="2880"/>
        </w:tabs>
        <w:ind w:left="2880" w:hanging="360"/>
      </w:pPr>
    </w:lvl>
    <w:lvl w:ilvl="4" w:tplc="7DA6AC4A" w:tentative="1">
      <w:start w:val="1"/>
      <w:numFmt w:val="lowerLetter"/>
      <w:lvlText w:val="%5)"/>
      <w:lvlJc w:val="left"/>
      <w:pPr>
        <w:tabs>
          <w:tab w:val="num" w:pos="3600"/>
        </w:tabs>
        <w:ind w:left="3600" w:hanging="360"/>
      </w:pPr>
    </w:lvl>
    <w:lvl w:ilvl="5" w:tplc="480EB380" w:tentative="1">
      <w:start w:val="1"/>
      <w:numFmt w:val="lowerLetter"/>
      <w:lvlText w:val="%6)"/>
      <w:lvlJc w:val="left"/>
      <w:pPr>
        <w:tabs>
          <w:tab w:val="num" w:pos="4320"/>
        </w:tabs>
        <w:ind w:left="4320" w:hanging="360"/>
      </w:pPr>
    </w:lvl>
    <w:lvl w:ilvl="6" w:tplc="B3E26264" w:tentative="1">
      <w:start w:val="1"/>
      <w:numFmt w:val="lowerLetter"/>
      <w:lvlText w:val="%7)"/>
      <w:lvlJc w:val="left"/>
      <w:pPr>
        <w:tabs>
          <w:tab w:val="num" w:pos="5040"/>
        </w:tabs>
        <w:ind w:left="5040" w:hanging="360"/>
      </w:pPr>
    </w:lvl>
    <w:lvl w:ilvl="7" w:tplc="0DDAAD3A" w:tentative="1">
      <w:start w:val="1"/>
      <w:numFmt w:val="lowerLetter"/>
      <w:lvlText w:val="%8)"/>
      <w:lvlJc w:val="left"/>
      <w:pPr>
        <w:tabs>
          <w:tab w:val="num" w:pos="5760"/>
        </w:tabs>
        <w:ind w:left="5760" w:hanging="360"/>
      </w:pPr>
    </w:lvl>
    <w:lvl w:ilvl="8" w:tplc="1C66D760" w:tentative="1">
      <w:start w:val="1"/>
      <w:numFmt w:val="lowerLetter"/>
      <w:lvlText w:val="%9)"/>
      <w:lvlJc w:val="left"/>
      <w:pPr>
        <w:tabs>
          <w:tab w:val="num" w:pos="6480"/>
        </w:tabs>
        <w:ind w:left="6480" w:hanging="360"/>
      </w:pPr>
    </w:lvl>
  </w:abstractNum>
  <w:abstractNum w:abstractNumId="76" w15:restartNumberingAfterBreak="0">
    <w:nsid w:val="791036D9"/>
    <w:multiLevelType w:val="hybridMultilevel"/>
    <w:tmpl w:val="E20EC1B6"/>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7" w15:restartNumberingAfterBreak="0">
    <w:nsid w:val="7C964EF5"/>
    <w:multiLevelType w:val="multilevel"/>
    <w:tmpl w:val="9A80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CA0621C"/>
    <w:multiLevelType w:val="hybridMultilevel"/>
    <w:tmpl w:val="179631C6"/>
    <w:lvl w:ilvl="0" w:tplc="2C007182">
      <w:start w:val="1"/>
      <w:numFmt w:val="bullet"/>
      <w:lvlText w:val="▪"/>
      <w:lvlJc w:val="left"/>
      <w:pPr>
        <w:ind w:left="720" w:hanging="360"/>
      </w:pPr>
      <w:rPr>
        <w:rFonts w:ascii="Noto Sans Symbols" w:hAnsi="Noto Sans Symbol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9" w15:restartNumberingAfterBreak="0">
    <w:nsid w:val="7D724865"/>
    <w:multiLevelType w:val="hybridMultilevel"/>
    <w:tmpl w:val="347260F0"/>
    <w:lvl w:ilvl="0" w:tplc="47222FB8">
      <w:start w:val="1"/>
      <w:numFmt w:val="bullet"/>
      <w:lvlText w:val=""/>
      <w:lvlJc w:val="left"/>
      <w:pPr>
        <w:tabs>
          <w:tab w:val="num" w:pos="720"/>
        </w:tabs>
        <w:ind w:left="720" w:hanging="360"/>
      </w:pPr>
      <w:rPr>
        <w:rFonts w:ascii="Wingdings 2" w:hAnsi="Wingdings 2" w:hint="default"/>
      </w:rPr>
    </w:lvl>
    <w:lvl w:ilvl="1" w:tplc="09685446" w:tentative="1">
      <w:start w:val="1"/>
      <w:numFmt w:val="bullet"/>
      <w:lvlText w:val=""/>
      <w:lvlJc w:val="left"/>
      <w:pPr>
        <w:tabs>
          <w:tab w:val="num" w:pos="1440"/>
        </w:tabs>
        <w:ind w:left="1440" w:hanging="360"/>
      </w:pPr>
      <w:rPr>
        <w:rFonts w:ascii="Wingdings 2" w:hAnsi="Wingdings 2" w:hint="default"/>
      </w:rPr>
    </w:lvl>
    <w:lvl w:ilvl="2" w:tplc="868C53EE" w:tentative="1">
      <w:start w:val="1"/>
      <w:numFmt w:val="bullet"/>
      <w:lvlText w:val=""/>
      <w:lvlJc w:val="left"/>
      <w:pPr>
        <w:tabs>
          <w:tab w:val="num" w:pos="2160"/>
        </w:tabs>
        <w:ind w:left="2160" w:hanging="360"/>
      </w:pPr>
      <w:rPr>
        <w:rFonts w:ascii="Wingdings 2" w:hAnsi="Wingdings 2" w:hint="default"/>
      </w:rPr>
    </w:lvl>
    <w:lvl w:ilvl="3" w:tplc="2F10FB6C" w:tentative="1">
      <w:start w:val="1"/>
      <w:numFmt w:val="bullet"/>
      <w:lvlText w:val=""/>
      <w:lvlJc w:val="left"/>
      <w:pPr>
        <w:tabs>
          <w:tab w:val="num" w:pos="2880"/>
        </w:tabs>
        <w:ind w:left="2880" w:hanging="360"/>
      </w:pPr>
      <w:rPr>
        <w:rFonts w:ascii="Wingdings 2" w:hAnsi="Wingdings 2" w:hint="default"/>
      </w:rPr>
    </w:lvl>
    <w:lvl w:ilvl="4" w:tplc="F4F288D4" w:tentative="1">
      <w:start w:val="1"/>
      <w:numFmt w:val="bullet"/>
      <w:lvlText w:val=""/>
      <w:lvlJc w:val="left"/>
      <w:pPr>
        <w:tabs>
          <w:tab w:val="num" w:pos="3600"/>
        </w:tabs>
        <w:ind w:left="3600" w:hanging="360"/>
      </w:pPr>
      <w:rPr>
        <w:rFonts w:ascii="Wingdings 2" w:hAnsi="Wingdings 2" w:hint="default"/>
      </w:rPr>
    </w:lvl>
    <w:lvl w:ilvl="5" w:tplc="C7045888" w:tentative="1">
      <w:start w:val="1"/>
      <w:numFmt w:val="bullet"/>
      <w:lvlText w:val=""/>
      <w:lvlJc w:val="left"/>
      <w:pPr>
        <w:tabs>
          <w:tab w:val="num" w:pos="4320"/>
        </w:tabs>
        <w:ind w:left="4320" w:hanging="360"/>
      </w:pPr>
      <w:rPr>
        <w:rFonts w:ascii="Wingdings 2" w:hAnsi="Wingdings 2" w:hint="default"/>
      </w:rPr>
    </w:lvl>
    <w:lvl w:ilvl="6" w:tplc="C2A26B52" w:tentative="1">
      <w:start w:val="1"/>
      <w:numFmt w:val="bullet"/>
      <w:lvlText w:val=""/>
      <w:lvlJc w:val="left"/>
      <w:pPr>
        <w:tabs>
          <w:tab w:val="num" w:pos="5040"/>
        </w:tabs>
        <w:ind w:left="5040" w:hanging="360"/>
      </w:pPr>
      <w:rPr>
        <w:rFonts w:ascii="Wingdings 2" w:hAnsi="Wingdings 2" w:hint="default"/>
      </w:rPr>
    </w:lvl>
    <w:lvl w:ilvl="7" w:tplc="8B84CC5A" w:tentative="1">
      <w:start w:val="1"/>
      <w:numFmt w:val="bullet"/>
      <w:lvlText w:val=""/>
      <w:lvlJc w:val="left"/>
      <w:pPr>
        <w:tabs>
          <w:tab w:val="num" w:pos="5760"/>
        </w:tabs>
        <w:ind w:left="5760" w:hanging="360"/>
      </w:pPr>
      <w:rPr>
        <w:rFonts w:ascii="Wingdings 2" w:hAnsi="Wingdings 2" w:hint="default"/>
      </w:rPr>
    </w:lvl>
    <w:lvl w:ilvl="8" w:tplc="2A60071C" w:tentative="1">
      <w:start w:val="1"/>
      <w:numFmt w:val="bullet"/>
      <w:lvlText w:val=""/>
      <w:lvlJc w:val="left"/>
      <w:pPr>
        <w:tabs>
          <w:tab w:val="num" w:pos="6480"/>
        </w:tabs>
        <w:ind w:left="6480" w:hanging="360"/>
      </w:pPr>
      <w:rPr>
        <w:rFonts w:ascii="Wingdings 2" w:hAnsi="Wingdings 2" w:hint="default"/>
      </w:rPr>
    </w:lvl>
  </w:abstractNum>
  <w:abstractNum w:abstractNumId="80" w15:restartNumberingAfterBreak="0">
    <w:nsid w:val="7EF67983"/>
    <w:multiLevelType w:val="hybridMultilevel"/>
    <w:tmpl w:val="DDACCC0A"/>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1" w15:restartNumberingAfterBreak="0">
    <w:nsid w:val="7F96623D"/>
    <w:multiLevelType w:val="hybridMultilevel"/>
    <w:tmpl w:val="FCC80AA0"/>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874853941">
    <w:abstractNumId w:val="34"/>
  </w:num>
  <w:num w:numId="2" w16cid:durableId="1885948782">
    <w:abstractNumId w:val="38"/>
  </w:num>
  <w:num w:numId="3" w16cid:durableId="1091703254">
    <w:abstractNumId w:val="71"/>
  </w:num>
  <w:num w:numId="4" w16cid:durableId="460392203">
    <w:abstractNumId w:val="4"/>
  </w:num>
  <w:num w:numId="5" w16cid:durableId="1955668203">
    <w:abstractNumId w:val="3"/>
  </w:num>
  <w:num w:numId="6" w16cid:durableId="1646155475">
    <w:abstractNumId w:val="2"/>
  </w:num>
  <w:num w:numId="7" w16cid:durableId="1964313312">
    <w:abstractNumId w:val="1"/>
  </w:num>
  <w:num w:numId="8" w16cid:durableId="1769620172">
    <w:abstractNumId w:val="0"/>
  </w:num>
  <w:num w:numId="9" w16cid:durableId="586350913">
    <w:abstractNumId w:val="46"/>
  </w:num>
  <w:num w:numId="10" w16cid:durableId="911548293">
    <w:abstractNumId w:val="55"/>
  </w:num>
  <w:num w:numId="11" w16cid:durableId="1199708635">
    <w:abstractNumId w:val="11"/>
  </w:num>
  <w:num w:numId="12" w16cid:durableId="222061792">
    <w:abstractNumId w:val="26"/>
  </w:num>
  <w:num w:numId="13" w16cid:durableId="1276668325">
    <w:abstractNumId w:val="32"/>
  </w:num>
  <w:num w:numId="14" w16cid:durableId="979306854">
    <w:abstractNumId w:val="36"/>
  </w:num>
  <w:num w:numId="15" w16cid:durableId="110319510">
    <w:abstractNumId w:val="64"/>
  </w:num>
  <w:num w:numId="16" w16cid:durableId="150102251">
    <w:abstractNumId w:val="52"/>
  </w:num>
  <w:num w:numId="17" w16cid:durableId="199172063">
    <w:abstractNumId w:val="59"/>
  </w:num>
  <w:num w:numId="18" w16cid:durableId="1840927949">
    <w:abstractNumId w:val="72"/>
  </w:num>
  <w:num w:numId="19" w16cid:durableId="521626849">
    <w:abstractNumId w:val="62"/>
  </w:num>
  <w:num w:numId="20" w16cid:durableId="316880829">
    <w:abstractNumId w:val="14"/>
  </w:num>
  <w:num w:numId="21" w16cid:durableId="986206589">
    <w:abstractNumId w:val="56"/>
  </w:num>
  <w:num w:numId="22" w16cid:durableId="63063891">
    <w:abstractNumId w:val="54"/>
  </w:num>
  <w:num w:numId="23" w16cid:durableId="1404059592">
    <w:abstractNumId w:val="61"/>
  </w:num>
  <w:num w:numId="24" w16cid:durableId="1719865007">
    <w:abstractNumId w:val="9"/>
  </w:num>
  <w:num w:numId="25" w16cid:durableId="825972746">
    <w:abstractNumId w:val="37"/>
  </w:num>
  <w:num w:numId="26" w16cid:durableId="1976906443">
    <w:abstractNumId w:val="69"/>
  </w:num>
  <w:num w:numId="27" w16cid:durableId="916403834">
    <w:abstractNumId w:val="57"/>
  </w:num>
  <w:num w:numId="28" w16cid:durableId="1086456505">
    <w:abstractNumId w:val="39"/>
  </w:num>
  <w:num w:numId="29" w16cid:durableId="1490711093">
    <w:abstractNumId w:val="24"/>
  </w:num>
  <w:num w:numId="30" w16cid:durableId="1748111908">
    <w:abstractNumId w:val="13"/>
  </w:num>
  <w:num w:numId="31" w16cid:durableId="561989643">
    <w:abstractNumId w:val="30"/>
  </w:num>
  <w:num w:numId="32" w16cid:durableId="884875999">
    <w:abstractNumId w:val="44"/>
  </w:num>
  <w:num w:numId="33" w16cid:durableId="696471069">
    <w:abstractNumId w:val="41"/>
  </w:num>
  <w:num w:numId="34" w16cid:durableId="1682003724">
    <w:abstractNumId w:val="77"/>
  </w:num>
  <w:num w:numId="35" w16cid:durableId="1451238672">
    <w:abstractNumId w:val="7"/>
  </w:num>
  <w:num w:numId="36" w16cid:durableId="348020472">
    <w:abstractNumId w:val="17"/>
  </w:num>
  <w:num w:numId="37" w16cid:durableId="1776291118">
    <w:abstractNumId w:val="53"/>
  </w:num>
  <w:num w:numId="38" w16cid:durableId="1370648215">
    <w:abstractNumId w:val="60"/>
  </w:num>
  <w:num w:numId="39" w16cid:durableId="962924502">
    <w:abstractNumId w:val="46"/>
  </w:num>
  <w:num w:numId="40" w16cid:durableId="1959414669">
    <w:abstractNumId w:val="40"/>
  </w:num>
  <w:num w:numId="41" w16cid:durableId="1879274501">
    <w:abstractNumId w:val="65"/>
  </w:num>
  <w:num w:numId="42" w16cid:durableId="719283516">
    <w:abstractNumId w:val="81"/>
  </w:num>
  <w:num w:numId="43" w16cid:durableId="827407586">
    <w:abstractNumId w:val="63"/>
  </w:num>
  <w:num w:numId="44" w16cid:durableId="474181575">
    <w:abstractNumId w:val="5"/>
  </w:num>
  <w:num w:numId="45" w16cid:durableId="1452477036">
    <w:abstractNumId w:val="76"/>
  </w:num>
  <w:num w:numId="46" w16cid:durableId="301009516">
    <w:abstractNumId w:val="80"/>
  </w:num>
  <w:num w:numId="47" w16cid:durableId="1179197405">
    <w:abstractNumId w:val="20"/>
  </w:num>
  <w:num w:numId="48" w16cid:durableId="757481479">
    <w:abstractNumId w:val="19"/>
  </w:num>
  <w:num w:numId="49" w16cid:durableId="1949971438">
    <w:abstractNumId w:val="35"/>
  </w:num>
  <w:num w:numId="50" w16cid:durableId="1538087018">
    <w:abstractNumId w:val="18"/>
  </w:num>
  <w:num w:numId="51" w16cid:durableId="1646087777">
    <w:abstractNumId w:val="25"/>
  </w:num>
  <w:num w:numId="52" w16cid:durableId="411240321">
    <w:abstractNumId w:val="28"/>
  </w:num>
  <w:num w:numId="53" w16cid:durableId="2007436060">
    <w:abstractNumId w:val="74"/>
  </w:num>
  <w:num w:numId="54" w16cid:durableId="930966355">
    <w:abstractNumId w:val="27"/>
  </w:num>
  <w:num w:numId="55" w16cid:durableId="2040812206">
    <w:abstractNumId w:val="49"/>
  </w:num>
  <w:num w:numId="56" w16cid:durableId="692418972">
    <w:abstractNumId w:val="16"/>
  </w:num>
  <w:num w:numId="57" w16cid:durableId="459760367">
    <w:abstractNumId w:val="15"/>
  </w:num>
  <w:num w:numId="58" w16cid:durableId="601453561">
    <w:abstractNumId w:val="21"/>
  </w:num>
  <w:num w:numId="59" w16cid:durableId="1167328975">
    <w:abstractNumId w:val="58"/>
  </w:num>
  <w:num w:numId="60" w16cid:durableId="2000916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01664159">
    <w:abstractNumId w:val="6"/>
  </w:num>
  <w:num w:numId="62" w16cid:durableId="2101176449">
    <w:abstractNumId w:val="66"/>
  </w:num>
  <w:num w:numId="63" w16cid:durableId="74477373">
    <w:abstractNumId w:val="45"/>
  </w:num>
  <w:num w:numId="64" w16cid:durableId="1980112625">
    <w:abstractNumId w:val="29"/>
  </w:num>
  <w:num w:numId="65" w16cid:durableId="568539532">
    <w:abstractNumId w:val="70"/>
  </w:num>
  <w:num w:numId="66" w16cid:durableId="1486581362">
    <w:abstractNumId w:val="12"/>
  </w:num>
  <w:num w:numId="67" w16cid:durableId="1421369173">
    <w:abstractNumId w:val="10"/>
  </w:num>
  <w:num w:numId="68" w16cid:durableId="325934608">
    <w:abstractNumId w:val="50"/>
  </w:num>
  <w:num w:numId="69" w16cid:durableId="1365132853">
    <w:abstractNumId w:val="31"/>
  </w:num>
  <w:num w:numId="70" w16cid:durableId="1495805727">
    <w:abstractNumId w:val="47"/>
  </w:num>
  <w:num w:numId="71" w16cid:durableId="216934921">
    <w:abstractNumId w:val="79"/>
  </w:num>
  <w:num w:numId="72" w16cid:durableId="460610973">
    <w:abstractNumId w:val="23"/>
  </w:num>
  <w:num w:numId="73" w16cid:durableId="111247335">
    <w:abstractNumId w:val="68"/>
  </w:num>
  <w:num w:numId="74" w16cid:durableId="847409428">
    <w:abstractNumId w:val="51"/>
  </w:num>
  <w:num w:numId="75" w16cid:durableId="612371402">
    <w:abstractNumId w:val="78"/>
  </w:num>
  <w:num w:numId="76" w16cid:durableId="429131737">
    <w:abstractNumId w:val="4"/>
  </w:num>
  <w:num w:numId="77" w16cid:durableId="525749633">
    <w:abstractNumId w:val="48"/>
  </w:num>
  <w:num w:numId="78" w16cid:durableId="2043094361">
    <w:abstractNumId w:val="73"/>
  </w:num>
  <w:num w:numId="79" w16cid:durableId="1733041761">
    <w:abstractNumId w:val="22"/>
  </w:num>
  <w:num w:numId="80" w16cid:durableId="80138479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33773807">
    <w:abstractNumId w:val="43"/>
  </w:num>
  <w:num w:numId="82" w16cid:durableId="1943762954">
    <w:abstractNumId w:val="67"/>
  </w:num>
  <w:num w:numId="83" w16cid:durableId="975992772">
    <w:abstractNumId w:val="42"/>
  </w:num>
  <w:num w:numId="84" w16cid:durableId="181510190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43936831">
    <w:abstractNumId w:val="46"/>
    <w:lvlOverride w:ilvl="0">
      <w:startOverride w:val="3"/>
    </w:lvlOverride>
    <w:lvlOverride w:ilvl="1">
      <w:startOverride w:val="2"/>
    </w:lvlOverride>
    <w:lvlOverride w:ilvl="2">
      <w:startOverride w:val="1"/>
    </w:lvlOverride>
  </w:num>
  <w:num w:numId="86" w16cid:durableId="863906743">
    <w:abstractNumId w:val="33"/>
  </w:num>
  <w:num w:numId="87" w16cid:durableId="1214466627">
    <w:abstractNumId w:val="46"/>
    <w:lvlOverride w:ilvl="0">
      <w:startOverride w:val="3"/>
    </w:lvlOverride>
    <w:lvlOverride w:ilvl="1">
      <w:startOverride w:val="3"/>
    </w:lvlOverride>
  </w:num>
  <w:num w:numId="88" w16cid:durableId="323319533">
    <w:abstractNumId w:val="75"/>
  </w:num>
  <w:num w:numId="89" w16cid:durableId="1642884310">
    <w:abstractNumId w:val="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22"/>
    <w:rsid w:val="0000001D"/>
    <w:rsid w:val="0000007A"/>
    <w:rsid w:val="000001CA"/>
    <w:rsid w:val="0000023D"/>
    <w:rsid w:val="0000027A"/>
    <w:rsid w:val="000002EF"/>
    <w:rsid w:val="0000054A"/>
    <w:rsid w:val="0000066A"/>
    <w:rsid w:val="00000731"/>
    <w:rsid w:val="00000813"/>
    <w:rsid w:val="0000081B"/>
    <w:rsid w:val="00000A35"/>
    <w:rsid w:val="00000CB3"/>
    <w:rsid w:val="00000DC1"/>
    <w:rsid w:val="00000DF4"/>
    <w:rsid w:val="00000E5A"/>
    <w:rsid w:val="00000FC3"/>
    <w:rsid w:val="00001222"/>
    <w:rsid w:val="00001262"/>
    <w:rsid w:val="00001505"/>
    <w:rsid w:val="0000158B"/>
    <w:rsid w:val="0000160F"/>
    <w:rsid w:val="00001789"/>
    <w:rsid w:val="0000178C"/>
    <w:rsid w:val="000017F4"/>
    <w:rsid w:val="00001A71"/>
    <w:rsid w:val="00001B0D"/>
    <w:rsid w:val="00001B11"/>
    <w:rsid w:val="00001C72"/>
    <w:rsid w:val="00001CE4"/>
    <w:rsid w:val="00001CFA"/>
    <w:rsid w:val="00001DC3"/>
    <w:rsid w:val="00001DE1"/>
    <w:rsid w:val="00001E4E"/>
    <w:rsid w:val="00001E5A"/>
    <w:rsid w:val="00001E5C"/>
    <w:rsid w:val="00001E63"/>
    <w:rsid w:val="00001F6F"/>
    <w:rsid w:val="00002088"/>
    <w:rsid w:val="00002089"/>
    <w:rsid w:val="00002116"/>
    <w:rsid w:val="00002184"/>
    <w:rsid w:val="00002187"/>
    <w:rsid w:val="000023BE"/>
    <w:rsid w:val="0000243F"/>
    <w:rsid w:val="00002558"/>
    <w:rsid w:val="000025C3"/>
    <w:rsid w:val="0000261B"/>
    <w:rsid w:val="0000266A"/>
    <w:rsid w:val="00002685"/>
    <w:rsid w:val="000027B7"/>
    <w:rsid w:val="000027FB"/>
    <w:rsid w:val="00002888"/>
    <w:rsid w:val="0000289A"/>
    <w:rsid w:val="0000296A"/>
    <w:rsid w:val="00002976"/>
    <w:rsid w:val="00002989"/>
    <w:rsid w:val="000029DC"/>
    <w:rsid w:val="00002A08"/>
    <w:rsid w:val="00002AE7"/>
    <w:rsid w:val="00002B26"/>
    <w:rsid w:val="00002D8B"/>
    <w:rsid w:val="00002E8D"/>
    <w:rsid w:val="00002F5A"/>
    <w:rsid w:val="00002FB4"/>
    <w:rsid w:val="00002FF8"/>
    <w:rsid w:val="00003071"/>
    <w:rsid w:val="00003192"/>
    <w:rsid w:val="00003230"/>
    <w:rsid w:val="00003235"/>
    <w:rsid w:val="00003249"/>
    <w:rsid w:val="0000330C"/>
    <w:rsid w:val="0000353F"/>
    <w:rsid w:val="00003602"/>
    <w:rsid w:val="000036E5"/>
    <w:rsid w:val="000037DF"/>
    <w:rsid w:val="000039DC"/>
    <w:rsid w:val="00003B16"/>
    <w:rsid w:val="00003B4C"/>
    <w:rsid w:val="00003BCF"/>
    <w:rsid w:val="00003C0B"/>
    <w:rsid w:val="00003C71"/>
    <w:rsid w:val="00003CBD"/>
    <w:rsid w:val="00003CC2"/>
    <w:rsid w:val="00003D14"/>
    <w:rsid w:val="00003D9C"/>
    <w:rsid w:val="00003DA0"/>
    <w:rsid w:val="00003DD0"/>
    <w:rsid w:val="00003F31"/>
    <w:rsid w:val="00003FC4"/>
    <w:rsid w:val="0000412C"/>
    <w:rsid w:val="000042AD"/>
    <w:rsid w:val="00004329"/>
    <w:rsid w:val="00004369"/>
    <w:rsid w:val="000044D5"/>
    <w:rsid w:val="00004589"/>
    <w:rsid w:val="000045E6"/>
    <w:rsid w:val="00004754"/>
    <w:rsid w:val="00004947"/>
    <w:rsid w:val="00004959"/>
    <w:rsid w:val="0000499D"/>
    <w:rsid w:val="00004A28"/>
    <w:rsid w:val="00004AB1"/>
    <w:rsid w:val="00004BBA"/>
    <w:rsid w:val="00004BE4"/>
    <w:rsid w:val="00004CE5"/>
    <w:rsid w:val="00004D41"/>
    <w:rsid w:val="00004D72"/>
    <w:rsid w:val="00004DA8"/>
    <w:rsid w:val="00004DF3"/>
    <w:rsid w:val="00004F8D"/>
    <w:rsid w:val="00004FF9"/>
    <w:rsid w:val="000051FB"/>
    <w:rsid w:val="0000535B"/>
    <w:rsid w:val="00005377"/>
    <w:rsid w:val="00005655"/>
    <w:rsid w:val="000056C4"/>
    <w:rsid w:val="000056D6"/>
    <w:rsid w:val="00005712"/>
    <w:rsid w:val="0000571D"/>
    <w:rsid w:val="0000576F"/>
    <w:rsid w:val="000057BC"/>
    <w:rsid w:val="000058AF"/>
    <w:rsid w:val="000058B6"/>
    <w:rsid w:val="00005906"/>
    <w:rsid w:val="00005996"/>
    <w:rsid w:val="00005AAA"/>
    <w:rsid w:val="00005B35"/>
    <w:rsid w:val="00005CED"/>
    <w:rsid w:val="00005D57"/>
    <w:rsid w:val="0000609C"/>
    <w:rsid w:val="0000613F"/>
    <w:rsid w:val="0000629B"/>
    <w:rsid w:val="0000656B"/>
    <w:rsid w:val="000066C7"/>
    <w:rsid w:val="000067D0"/>
    <w:rsid w:val="00006957"/>
    <w:rsid w:val="00006A89"/>
    <w:rsid w:val="00006ACD"/>
    <w:rsid w:val="00006AEA"/>
    <w:rsid w:val="00006CF4"/>
    <w:rsid w:val="00006CF6"/>
    <w:rsid w:val="00006D3C"/>
    <w:rsid w:val="00006DA2"/>
    <w:rsid w:val="00006DC2"/>
    <w:rsid w:val="00006E13"/>
    <w:rsid w:val="00006E33"/>
    <w:rsid w:val="00006E57"/>
    <w:rsid w:val="00006E8F"/>
    <w:rsid w:val="00006F39"/>
    <w:rsid w:val="00007095"/>
    <w:rsid w:val="00007378"/>
    <w:rsid w:val="0000745C"/>
    <w:rsid w:val="0000759C"/>
    <w:rsid w:val="00007639"/>
    <w:rsid w:val="0000771A"/>
    <w:rsid w:val="000078DC"/>
    <w:rsid w:val="00007B51"/>
    <w:rsid w:val="00007B81"/>
    <w:rsid w:val="00007B95"/>
    <w:rsid w:val="00007BE9"/>
    <w:rsid w:val="00007C67"/>
    <w:rsid w:val="00007CB2"/>
    <w:rsid w:val="00007D00"/>
    <w:rsid w:val="00007E3B"/>
    <w:rsid w:val="0001010F"/>
    <w:rsid w:val="0001021F"/>
    <w:rsid w:val="0001027E"/>
    <w:rsid w:val="00010398"/>
    <w:rsid w:val="000103B3"/>
    <w:rsid w:val="0001055A"/>
    <w:rsid w:val="00010561"/>
    <w:rsid w:val="000105B4"/>
    <w:rsid w:val="00010701"/>
    <w:rsid w:val="00010765"/>
    <w:rsid w:val="00010832"/>
    <w:rsid w:val="000108D4"/>
    <w:rsid w:val="00010A31"/>
    <w:rsid w:val="00010A6A"/>
    <w:rsid w:val="00010AA2"/>
    <w:rsid w:val="00010AFD"/>
    <w:rsid w:val="00010B7B"/>
    <w:rsid w:val="00010C7F"/>
    <w:rsid w:val="00010C84"/>
    <w:rsid w:val="00010CC6"/>
    <w:rsid w:val="00010D2C"/>
    <w:rsid w:val="00010D6C"/>
    <w:rsid w:val="00010DD4"/>
    <w:rsid w:val="00010F00"/>
    <w:rsid w:val="00010F70"/>
    <w:rsid w:val="000110C3"/>
    <w:rsid w:val="000110E1"/>
    <w:rsid w:val="00011215"/>
    <w:rsid w:val="0001121F"/>
    <w:rsid w:val="0001122B"/>
    <w:rsid w:val="00011439"/>
    <w:rsid w:val="00011493"/>
    <w:rsid w:val="000114E8"/>
    <w:rsid w:val="0001150D"/>
    <w:rsid w:val="00011532"/>
    <w:rsid w:val="0001167D"/>
    <w:rsid w:val="000116C2"/>
    <w:rsid w:val="000117CF"/>
    <w:rsid w:val="00011946"/>
    <w:rsid w:val="000119C2"/>
    <w:rsid w:val="00011AFD"/>
    <w:rsid w:val="00011B42"/>
    <w:rsid w:val="00011D2B"/>
    <w:rsid w:val="00011D45"/>
    <w:rsid w:val="00011D55"/>
    <w:rsid w:val="00011D94"/>
    <w:rsid w:val="00012021"/>
    <w:rsid w:val="00012067"/>
    <w:rsid w:val="00012216"/>
    <w:rsid w:val="000123ED"/>
    <w:rsid w:val="00012559"/>
    <w:rsid w:val="000125ED"/>
    <w:rsid w:val="000125FE"/>
    <w:rsid w:val="000127E5"/>
    <w:rsid w:val="00012812"/>
    <w:rsid w:val="000128A4"/>
    <w:rsid w:val="00012968"/>
    <w:rsid w:val="000129CB"/>
    <w:rsid w:val="00012B01"/>
    <w:rsid w:val="00012B28"/>
    <w:rsid w:val="00012B8E"/>
    <w:rsid w:val="00012DF4"/>
    <w:rsid w:val="00012F6D"/>
    <w:rsid w:val="000131BA"/>
    <w:rsid w:val="00013338"/>
    <w:rsid w:val="00013396"/>
    <w:rsid w:val="000136A0"/>
    <w:rsid w:val="0001376E"/>
    <w:rsid w:val="000138A1"/>
    <w:rsid w:val="000138FD"/>
    <w:rsid w:val="00013937"/>
    <w:rsid w:val="000139C0"/>
    <w:rsid w:val="000139EF"/>
    <w:rsid w:val="00013A4B"/>
    <w:rsid w:val="00013A8B"/>
    <w:rsid w:val="00013C6E"/>
    <w:rsid w:val="00013CBF"/>
    <w:rsid w:val="00013E5B"/>
    <w:rsid w:val="00013E75"/>
    <w:rsid w:val="00013FD5"/>
    <w:rsid w:val="00014049"/>
    <w:rsid w:val="00014246"/>
    <w:rsid w:val="000145D0"/>
    <w:rsid w:val="000145D7"/>
    <w:rsid w:val="000145E6"/>
    <w:rsid w:val="000146C5"/>
    <w:rsid w:val="000146F3"/>
    <w:rsid w:val="0001470A"/>
    <w:rsid w:val="0001473B"/>
    <w:rsid w:val="00014895"/>
    <w:rsid w:val="00014940"/>
    <w:rsid w:val="000149AB"/>
    <w:rsid w:val="000149E4"/>
    <w:rsid w:val="00014B01"/>
    <w:rsid w:val="00014B18"/>
    <w:rsid w:val="00014C42"/>
    <w:rsid w:val="00014C55"/>
    <w:rsid w:val="00014CF4"/>
    <w:rsid w:val="00014E44"/>
    <w:rsid w:val="00014ED0"/>
    <w:rsid w:val="00014EF6"/>
    <w:rsid w:val="000151AC"/>
    <w:rsid w:val="000151B7"/>
    <w:rsid w:val="000152CC"/>
    <w:rsid w:val="00015321"/>
    <w:rsid w:val="0001536D"/>
    <w:rsid w:val="0001537F"/>
    <w:rsid w:val="00015476"/>
    <w:rsid w:val="00015525"/>
    <w:rsid w:val="000155CA"/>
    <w:rsid w:val="000156B2"/>
    <w:rsid w:val="000156DE"/>
    <w:rsid w:val="0001580D"/>
    <w:rsid w:val="000159E4"/>
    <w:rsid w:val="00015A53"/>
    <w:rsid w:val="00015A57"/>
    <w:rsid w:val="00015AF7"/>
    <w:rsid w:val="00015CCA"/>
    <w:rsid w:val="00015E44"/>
    <w:rsid w:val="00015E5B"/>
    <w:rsid w:val="00015E92"/>
    <w:rsid w:val="00015F5F"/>
    <w:rsid w:val="0001620E"/>
    <w:rsid w:val="000162D7"/>
    <w:rsid w:val="000163CC"/>
    <w:rsid w:val="00016475"/>
    <w:rsid w:val="000165B9"/>
    <w:rsid w:val="00016628"/>
    <w:rsid w:val="00016641"/>
    <w:rsid w:val="00016695"/>
    <w:rsid w:val="00016791"/>
    <w:rsid w:val="00016826"/>
    <w:rsid w:val="0001689D"/>
    <w:rsid w:val="000168B3"/>
    <w:rsid w:val="00016991"/>
    <w:rsid w:val="000169AB"/>
    <w:rsid w:val="00016A33"/>
    <w:rsid w:val="00016AC7"/>
    <w:rsid w:val="00016B28"/>
    <w:rsid w:val="00016B9D"/>
    <w:rsid w:val="00016CBF"/>
    <w:rsid w:val="00016CFB"/>
    <w:rsid w:val="00016E72"/>
    <w:rsid w:val="00016EB6"/>
    <w:rsid w:val="00016F26"/>
    <w:rsid w:val="000170F4"/>
    <w:rsid w:val="00017139"/>
    <w:rsid w:val="000171CE"/>
    <w:rsid w:val="000171FF"/>
    <w:rsid w:val="000172AF"/>
    <w:rsid w:val="00017387"/>
    <w:rsid w:val="000173DC"/>
    <w:rsid w:val="00017415"/>
    <w:rsid w:val="000174A9"/>
    <w:rsid w:val="000175BD"/>
    <w:rsid w:val="00017763"/>
    <w:rsid w:val="00017808"/>
    <w:rsid w:val="00017854"/>
    <w:rsid w:val="00017857"/>
    <w:rsid w:val="00017888"/>
    <w:rsid w:val="00017893"/>
    <w:rsid w:val="0001789D"/>
    <w:rsid w:val="000178EA"/>
    <w:rsid w:val="00017919"/>
    <w:rsid w:val="00017A4C"/>
    <w:rsid w:val="00017B67"/>
    <w:rsid w:val="00017B85"/>
    <w:rsid w:val="00017DAB"/>
    <w:rsid w:val="00017E89"/>
    <w:rsid w:val="00017EF1"/>
    <w:rsid w:val="00017EF7"/>
    <w:rsid w:val="00017F7B"/>
    <w:rsid w:val="00017F90"/>
    <w:rsid w:val="00020006"/>
    <w:rsid w:val="0002000B"/>
    <w:rsid w:val="0002016A"/>
    <w:rsid w:val="00020358"/>
    <w:rsid w:val="0002037D"/>
    <w:rsid w:val="000204C6"/>
    <w:rsid w:val="000205D8"/>
    <w:rsid w:val="00020635"/>
    <w:rsid w:val="00020757"/>
    <w:rsid w:val="0002075F"/>
    <w:rsid w:val="000208C5"/>
    <w:rsid w:val="00020BA9"/>
    <w:rsid w:val="00020CDD"/>
    <w:rsid w:val="00020D0C"/>
    <w:rsid w:val="00020D18"/>
    <w:rsid w:val="00020EC8"/>
    <w:rsid w:val="00020F88"/>
    <w:rsid w:val="0002108D"/>
    <w:rsid w:val="00021152"/>
    <w:rsid w:val="000211AB"/>
    <w:rsid w:val="000212B9"/>
    <w:rsid w:val="00021463"/>
    <w:rsid w:val="000215FA"/>
    <w:rsid w:val="000216F5"/>
    <w:rsid w:val="000217A4"/>
    <w:rsid w:val="000217EA"/>
    <w:rsid w:val="000217FF"/>
    <w:rsid w:val="00021937"/>
    <w:rsid w:val="000219F0"/>
    <w:rsid w:val="00021AEE"/>
    <w:rsid w:val="00021B27"/>
    <w:rsid w:val="00021BC5"/>
    <w:rsid w:val="00021CB2"/>
    <w:rsid w:val="000221BF"/>
    <w:rsid w:val="000221CB"/>
    <w:rsid w:val="00022212"/>
    <w:rsid w:val="000222B1"/>
    <w:rsid w:val="00022329"/>
    <w:rsid w:val="0002238A"/>
    <w:rsid w:val="0002242F"/>
    <w:rsid w:val="000225C4"/>
    <w:rsid w:val="00022634"/>
    <w:rsid w:val="00022644"/>
    <w:rsid w:val="00022698"/>
    <w:rsid w:val="000226B1"/>
    <w:rsid w:val="000226EA"/>
    <w:rsid w:val="0002273D"/>
    <w:rsid w:val="0002275E"/>
    <w:rsid w:val="0002287F"/>
    <w:rsid w:val="0002289C"/>
    <w:rsid w:val="00022BF9"/>
    <w:rsid w:val="00022C14"/>
    <w:rsid w:val="00022C9D"/>
    <w:rsid w:val="00022CC3"/>
    <w:rsid w:val="00022E7D"/>
    <w:rsid w:val="00022EA2"/>
    <w:rsid w:val="00023147"/>
    <w:rsid w:val="00023222"/>
    <w:rsid w:val="000232D9"/>
    <w:rsid w:val="000234EE"/>
    <w:rsid w:val="00023613"/>
    <w:rsid w:val="00023649"/>
    <w:rsid w:val="000237FA"/>
    <w:rsid w:val="00023831"/>
    <w:rsid w:val="000238E3"/>
    <w:rsid w:val="00023936"/>
    <w:rsid w:val="00023A00"/>
    <w:rsid w:val="00023A7B"/>
    <w:rsid w:val="00023BB4"/>
    <w:rsid w:val="00023CD7"/>
    <w:rsid w:val="00023D1F"/>
    <w:rsid w:val="00023D37"/>
    <w:rsid w:val="00023D68"/>
    <w:rsid w:val="00023DF8"/>
    <w:rsid w:val="00023DFC"/>
    <w:rsid w:val="00023EA5"/>
    <w:rsid w:val="00023F20"/>
    <w:rsid w:val="00024239"/>
    <w:rsid w:val="00024244"/>
    <w:rsid w:val="0002424F"/>
    <w:rsid w:val="0002425D"/>
    <w:rsid w:val="00024422"/>
    <w:rsid w:val="00024473"/>
    <w:rsid w:val="00024475"/>
    <w:rsid w:val="000244FE"/>
    <w:rsid w:val="00024519"/>
    <w:rsid w:val="0002470D"/>
    <w:rsid w:val="0002484C"/>
    <w:rsid w:val="000249B4"/>
    <w:rsid w:val="00024CF1"/>
    <w:rsid w:val="00024D2D"/>
    <w:rsid w:val="00024D3B"/>
    <w:rsid w:val="00024D6C"/>
    <w:rsid w:val="00024E71"/>
    <w:rsid w:val="00024EEA"/>
    <w:rsid w:val="00024F2E"/>
    <w:rsid w:val="00025051"/>
    <w:rsid w:val="00025094"/>
    <w:rsid w:val="00025099"/>
    <w:rsid w:val="000250C1"/>
    <w:rsid w:val="0002512D"/>
    <w:rsid w:val="00025145"/>
    <w:rsid w:val="000251B4"/>
    <w:rsid w:val="0002522C"/>
    <w:rsid w:val="00025230"/>
    <w:rsid w:val="000253AE"/>
    <w:rsid w:val="0002542E"/>
    <w:rsid w:val="0002571A"/>
    <w:rsid w:val="000258EE"/>
    <w:rsid w:val="000259F4"/>
    <w:rsid w:val="00025A7B"/>
    <w:rsid w:val="00025A85"/>
    <w:rsid w:val="00025B3E"/>
    <w:rsid w:val="00025BAB"/>
    <w:rsid w:val="00025C1B"/>
    <w:rsid w:val="00025C5E"/>
    <w:rsid w:val="00025C7E"/>
    <w:rsid w:val="00025CD0"/>
    <w:rsid w:val="00025D8D"/>
    <w:rsid w:val="00025F6D"/>
    <w:rsid w:val="0002605A"/>
    <w:rsid w:val="0002609D"/>
    <w:rsid w:val="00026186"/>
    <w:rsid w:val="0002620E"/>
    <w:rsid w:val="00026249"/>
    <w:rsid w:val="00026304"/>
    <w:rsid w:val="0002634E"/>
    <w:rsid w:val="00026451"/>
    <w:rsid w:val="00026538"/>
    <w:rsid w:val="0002657E"/>
    <w:rsid w:val="0002659E"/>
    <w:rsid w:val="0002686C"/>
    <w:rsid w:val="0002690E"/>
    <w:rsid w:val="0002693B"/>
    <w:rsid w:val="00026991"/>
    <w:rsid w:val="00026CAA"/>
    <w:rsid w:val="00026E01"/>
    <w:rsid w:val="00026E83"/>
    <w:rsid w:val="00026EC6"/>
    <w:rsid w:val="00026EDE"/>
    <w:rsid w:val="000270C9"/>
    <w:rsid w:val="00027114"/>
    <w:rsid w:val="0002715F"/>
    <w:rsid w:val="00027310"/>
    <w:rsid w:val="0002735A"/>
    <w:rsid w:val="00027366"/>
    <w:rsid w:val="000273A2"/>
    <w:rsid w:val="000274BE"/>
    <w:rsid w:val="0002759B"/>
    <w:rsid w:val="000275F7"/>
    <w:rsid w:val="0002774B"/>
    <w:rsid w:val="000279DE"/>
    <w:rsid w:val="000279EA"/>
    <w:rsid w:val="00027CE5"/>
    <w:rsid w:val="00027D33"/>
    <w:rsid w:val="00027DB5"/>
    <w:rsid w:val="00027E1E"/>
    <w:rsid w:val="00027E8B"/>
    <w:rsid w:val="00027E8F"/>
    <w:rsid w:val="00027FE9"/>
    <w:rsid w:val="00030073"/>
    <w:rsid w:val="000301C9"/>
    <w:rsid w:val="000303A2"/>
    <w:rsid w:val="00030554"/>
    <w:rsid w:val="0003062A"/>
    <w:rsid w:val="000306A3"/>
    <w:rsid w:val="000306A5"/>
    <w:rsid w:val="000306AC"/>
    <w:rsid w:val="0003072D"/>
    <w:rsid w:val="00030776"/>
    <w:rsid w:val="0003080B"/>
    <w:rsid w:val="00030986"/>
    <w:rsid w:val="00030A92"/>
    <w:rsid w:val="00030B06"/>
    <w:rsid w:val="00030C02"/>
    <w:rsid w:val="00030C1F"/>
    <w:rsid w:val="00030C49"/>
    <w:rsid w:val="00030D8F"/>
    <w:rsid w:val="00030E66"/>
    <w:rsid w:val="00030E7D"/>
    <w:rsid w:val="0003103A"/>
    <w:rsid w:val="00031223"/>
    <w:rsid w:val="00031236"/>
    <w:rsid w:val="000312AD"/>
    <w:rsid w:val="00031360"/>
    <w:rsid w:val="00031436"/>
    <w:rsid w:val="00031454"/>
    <w:rsid w:val="00031606"/>
    <w:rsid w:val="0003163A"/>
    <w:rsid w:val="0003171C"/>
    <w:rsid w:val="00031751"/>
    <w:rsid w:val="0003184B"/>
    <w:rsid w:val="0003185C"/>
    <w:rsid w:val="0003190F"/>
    <w:rsid w:val="00031A23"/>
    <w:rsid w:val="00031BE0"/>
    <w:rsid w:val="00031CB0"/>
    <w:rsid w:val="00031F09"/>
    <w:rsid w:val="00031F1D"/>
    <w:rsid w:val="00031F3A"/>
    <w:rsid w:val="00032162"/>
    <w:rsid w:val="00032291"/>
    <w:rsid w:val="00032309"/>
    <w:rsid w:val="000324A9"/>
    <w:rsid w:val="0003267B"/>
    <w:rsid w:val="000327B5"/>
    <w:rsid w:val="000327D6"/>
    <w:rsid w:val="00032804"/>
    <w:rsid w:val="000328C0"/>
    <w:rsid w:val="00032917"/>
    <w:rsid w:val="000329C4"/>
    <w:rsid w:val="00032EC0"/>
    <w:rsid w:val="0003325C"/>
    <w:rsid w:val="000332B7"/>
    <w:rsid w:val="0003331D"/>
    <w:rsid w:val="000335A5"/>
    <w:rsid w:val="000336BB"/>
    <w:rsid w:val="0003381A"/>
    <w:rsid w:val="00033837"/>
    <w:rsid w:val="000339A7"/>
    <w:rsid w:val="00033B17"/>
    <w:rsid w:val="00033C95"/>
    <w:rsid w:val="00033EB1"/>
    <w:rsid w:val="00033F5E"/>
    <w:rsid w:val="00033FC9"/>
    <w:rsid w:val="0003401B"/>
    <w:rsid w:val="00034027"/>
    <w:rsid w:val="00034231"/>
    <w:rsid w:val="00034247"/>
    <w:rsid w:val="00034452"/>
    <w:rsid w:val="000344BA"/>
    <w:rsid w:val="00034582"/>
    <w:rsid w:val="00034635"/>
    <w:rsid w:val="000346B3"/>
    <w:rsid w:val="000347F5"/>
    <w:rsid w:val="00034986"/>
    <w:rsid w:val="00034988"/>
    <w:rsid w:val="00034DA2"/>
    <w:rsid w:val="00034DC5"/>
    <w:rsid w:val="00034E8B"/>
    <w:rsid w:val="00034F8F"/>
    <w:rsid w:val="000350E2"/>
    <w:rsid w:val="00035214"/>
    <w:rsid w:val="00035452"/>
    <w:rsid w:val="00035469"/>
    <w:rsid w:val="0003547F"/>
    <w:rsid w:val="0003551F"/>
    <w:rsid w:val="000355BC"/>
    <w:rsid w:val="00035696"/>
    <w:rsid w:val="000356FC"/>
    <w:rsid w:val="00035716"/>
    <w:rsid w:val="0003589F"/>
    <w:rsid w:val="000358B7"/>
    <w:rsid w:val="00035964"/>
    <w:rsid w:val="00035A02"/>
    <w:rsid w:val="00035A03"/>
    <w:rsid w:val="00035B38"/>
    <w:rsid w:val="00035BB9"/>
    <w:rsid w:val="00035D14"/>
    <w:rsid w:val="00035D5F"/>
    <w:rsid w:val="00035DB1"/>
    <w:rsid w:val="00035DDD"/>
    <w:rsid w:val="00036040"/>
    <w:rsid w:val="000360CC"/>
    <w:rsid w:val="000362B8"/>
    <w:rsid w:val="000362CF"/>
    <w:rsid w:val="0003637A"/>
    <w:rsid w:val="000363F5"/>
    <w:rsid w:val="00036402"/>
    <w:rsid w:val="000364D3"/>
    <w:rsid w:val="00036614"/>
    <w:rsid w:val="00036616"/>
    <w:rsid w:val="000366A6"/>
    <w:rsid w:val="00036701"/>
    <w:rsid w:val="00036711"/>
    <w:rsid w:val="00036796"/>
    <w:rsid w:val="000367C8"/>
    <w:rsid w:val="000367F1"/>
    <w:rsid w:val="000369EB"/>
    <w:rsid w:val="00036B36"/>
    <w:rsid w:val="00036C22"/>
    <w:rsid w:val="00036C40"/>
    <w:rsid w:val="00036CD7"/>
    <w:rsid w:val="00036E1D"/>
    <w:rsid w:val="00036E35"/>
    <w:rsid w:val="00036EA7"/>
    <w:rsid w:val="00037099"/>
    <w:rsid w:val="0003722F"/>
    <w:rsid w:val="000372B4"/>
    <w:rsid w:val="00037302"/>
    <w:rsid w:val="00037340"/>
    <w:rsid w:val="0003739D"/>
    <w:rsid w:val="000373EA"/>
    <w:rsid w:val="00037412"/>
    <w:rsid w:val="000375B3"/>
    <w:rsid w:val="00037611"/>
    <w:rsid w:val="00037669"/>
    <w:rsid w:val="000376EE"/>
    <w:rsid w:val="000377CB"/>
    <w:rsid w:val="00037844"/>
    <w:rsid w:val="000379C2"/>
    <w:rsid w:val="00037ABA"/>
    <w:rsid w:val="00037B6D"/>
    <w:rsid w:val="00037B9E"/>
    <w:rsid w:val="00037C4E"/>
    <w:rsid w:val="00037C74"/>
    <w:rsid w:val="00037C7D"/>
    <w:rsid w:val="00037D45"/>
    <w:rsid w:val="00037E3F"/>
    <w:rsid w:val="00037E66"/>
    <w:rsid w:val="00037FCD"/>
    <w:rsid w:val="000402B9"/>
    <w:rsid w:val="000402E0"/>
    <w:rsid w:val="00040320"/>
    <w:rsid w:val="00040330"/>
    <w:rsid w:val="000403F3"/>
    <w:rsid w:val="000404C4"/>
    <w:rsid w:val="0004050A"/>
    <w:rsid w:val="00040533"/>
    <w:rsid w:val="000407C3"/>
    <w:rsid w:val="000407DD"/>
    <w:rsid w:val="000408A5"/>
    <w:rsid w:val="00040929"/>
    <w:rsid w:val="00040946"/>
    <w:rsid w:val="00040972"/>
    <w:rsid w:val="000409C4"/>
    <w:rsid w:val="00040AC0"/>
    <w:rsid w:val="00040ACE"/>
    <w:rsid w:val="00040C92"/>
    <w:rsid w:val="00040CB9"/>
    <w:rsid w:val="00040CE0"/>
    <w:rsid w:val="00040D07"/>
    <w:rsid w:val="00040D8F"/>
    <w:rsid w:val="00040DD1"/>
    <w:rsid w:val="00040F04"/>
    <w:rsid w:val="00041243"/>
    <w:rsid w:val="00041255"/>
    <w:rsid w:val="00041267"/>
    <w:rsid w:val="00041282"/>
    <w:rsid w:val="000413F6"/>
    <w:rsid w:val="000414EC"/>
    <w:rsid w:val="00041658"/>
    <w:rsid w:val="0004169F"/>
    <w:rsid w:val="00041704"/>
    <w:rsid w:val="00041711"/>
    <w:rsid w:val="00041716"/>
    <w:rsid w:val="000417D0"/>
    <w:rsid w:val="0004183A"/>
    <w:rsid w:val="00041852"/>
    <w:rsid w:val="00041853"/>
    <w:rsid w:val="0004189D"/>
    <w:rsid w:val="00041A6C"/>
    <w:rsid w:val="00041B33"/>
    <w:rsid w:val="00041C89"/>
    <w:rsid w:val="00041D89"/>
    <w:rsid w:val="00041F03"/>
    <w:rsid w:val="00042034"/>
    <w:rsid w:val="00042161"/>
    <w:rsid w:val="000421AB"/>
    <w:rsid w:val="000422A0"/>
    <w:rsid w:val="000423A3"/>
    <w:rsid w:val="0004243F"/>
    <w:rsid w:val="0004246D"/>
    <w:rsid w:val="00042536"/>
    <w:rsid w:val="00042545"/>
    <w:rsid w:val="00042554"/>
    <w:rsid w:val="000425C3"/>
    <w:rsid w:val="000426B3"/>
    <w:rsid w:val="000428AB"/>
    <w:rsid w:val="000429C8"/>
    <w:rsid w:val="00042AAE"/>
    <w:rsid w:val="00042B2E"/>
    <w:rsid w:val="00042C1F"/>
    <w:rsid w:val="00042C7D"/>
    <w:rsid w:val="00042E57"/>
    <w:rsid w:val="00042EC4"/>
    <w:rsid w:val="00042EDB"/>
    <w:rsid w:val="00042F28"/>
    <w:rsid w:val="00042F6B"/>
    <w:rsid w:val="000430B6"/>
    <w:rsid w:val="00043204"/>
    <w:rsid w:val="00043236"/>
    <w:rsid w:val="0004334F"/>
    <w:rsid w:val="000433A0"/>
    <w:rsid w:val="00043447"/>
    <w:rsid w:val="0004366B"/>
    <w:rsid w:val="00043676"/>
    <w:rsid w:val="000437FA"/>
    <w:rsid w:val="0004388E"/>
    <w:rsid w:val="000438AC"/>
    <w:rsid w:val="000438F0"/>
    <w:rsid w:val="00043A47"/>
    <w:rsid w:val="00043D9C"/>
    <w:rsid w:val="00043E05"/>
    <w:rsid w:val="00043E5D"/>
    <w:rsid w:val="00043E78"/>
    <w:rsid w:val="00043FA6"/>
    <w:rsid w:val="0004409F"/>
    <w:rsid w:val="0004418B"/>
    <w:rsid w:val="000441C2"/>
    <w:rsid w:val="000442EE"/>
    <w:rsid w:val="00044356"/>
    <w:rsid w:val="000445B4"/>
    <w:rsid w:val="0004466C"/>
    <w:rsid w:val="00044785"/>
    <w:rsid w:val="000447F8"/>
    <w:rsid w:val="0004494A"/>
    <w:rsid w:val="000449A3"/>
    <w:rsid w:val="00044A29"/>
    <w:rsid w:val="00044AD4"/>
    <w:rsid w:val="00044D01"/>
    <w:rsid w:val="00044E6E"/>
    <w:rsid w:val="00044FCD"/>
    <w:rsid w:val="00045076"/>
    <w:rsid w:val="00045247"/>
    <w:rsid w:val="00045348"/>
    <w:rsid w:val="0004536E"/>
    <w:rsid w:val="00045521"/>
    <w:rsid w:val="00045532"/>
    <w:rsid w:val="00045553"/>
    <w:rsid w:val="0004559D"/>
    <w:rsid w:val="000455FE"/>
    <w:rsid w:val="00045676"/>
    <w:rsid w:val="000456EA"/>
    <w:rsid w:val="000457A3"/>
    <w:rsid w:val="0004580B"/>
    <w:rsid w:val="0004582B"/>
    <w:rsid w:val="00045ADB"/>
    <w:rsid w:val="00045CDA"/>
    <w:rsid w:val="00045DEF"/>
    <w:rsid w:val="00045E9C"/>
    <w:rsid w:val="00045EC6"/>
    <w:rsid w:val="00045FED"/>
    <w:rsid w:val="00045FF6"/>
    <w:rsid w:val="000460CE"/>
    <w:rsid w:val="000462E1"/>
    <w:rsid w:val="0004637E"/>
    <w:rsid w:val="00046461"/>
    <w:rsid w:val="00046496"/>
    <w:rsid w:val="0004657F"/>
    <w:rsid w:val="0004674B"/>
    <w:rsid w:val="000468A7"/>
    <w:rsid w:val="000468BF"/>
    <w:rsid w:val="00046A14"/>
    <w:rsid w:val="00046B85"/>
    <w:rsid w:val="00046C4E"/>
    <w:rsid w:val="00046CEC"/>
    <w:rsid w:val="00046EFA"/>
    <w:rsid w:val="0004700C"/>
    <w:rsid w:val="000470B2"/>
    <w:rsid w:val="000470BB"/>
    <w:rsid w:val="00047131"/>
    <w:rsid w:val="00047354"/>
    <w:rsid w:val="000473DE"/>
    <w:rsid w:val="000476B7"/>
    <w:rsid w:val="00047759"/>
    <w:rsid w:val="00047847"/>
    <w:rsid w:val="000478B8"/>
    <w:rsid w:val="000478D8"/>
    <w:rsid w:val="000479F0"/>
    <w:rsid w:val="00047A89"/>
    <w:rsid w:val="00047B3A"/>
    <w:rsid w:val="00047C13"/>
    <w:rsid w:val="00047CE7"/>
    <w:rsid w:val="00047D21"/>
    <w:rsid w:val="00047DD7"/>
    <w:rsid w:val="00047EAE"/>
    <w:rsid w:val="0004DBEC"/>
    <w:rsid w:val="00050008"/>
    <w:rsid w:val="0005007D"/>
    <w:rsid w:val="00050130"/>
    <w:rsid w:val="00050142"/>
    <w:rsid w:val="000501C3"/>
    <w:rsid w:val="000502D9"/>
    <w:rsid w:val="0005036E"/>
    <w:rsid w:val="000503BF"/>
    <w:rsid w:val="000503D8"/>
    <w:rsid w:val="0005049F"/>
    <w:rsid w:val="0005053E"/>
    <w:rsid w:val="000505B6"/>
    <w:rsid w:val="00050682"/>
    <w:rsid w:val="0005072E"/>
    <w:rsid w:val="0005086A"/>
    <w:rsid w:val="0005099A"/>
    <w:rsid w:val="00050B17"/>
    <w:rsid w:val="00050C0E"/>
    <w:rsid w:val="00050CDA"/>
    <w:rsid w:val="00050D66"/>
    <w:rsid w:val="00050ED8"/>
    <w:rsid w:val="00050F19"/>
    <w:rsid w:val="00050F71"/>
    <w:rsid w:val="00050F7B"/>
    <w:rsid w:val="000510E2"/>
    <w:rsid w:val="00051215"/>
    <w:rsid w:val="0005142D"/>
    <w:rsid w:val="00051462"/>
    <w:rsid w:val="000514FD"/>
    <w:rsid w:val="000515FE"/>
    <w:rsid w:val="0005173C"/>
    <w:rsid w:val="000517E4"/>
    <w:rsid w:val="0005196F"/>
    <w:rsid w:val="00051A45"/>
    <w:rsid w:val="00051B35"/>
    <w:rsid w:val="00051B75"/>
    <w:rsid w:val="00051BAF"/>
    <w:rsid w:val="00051E6C"/>
    <w:rsid w:val="00051E81"/>
    <w:rsid w:val="00051ED1"/>
    <w:rsid w:val="00051EFF"/>
    <w:rsid w:val="00051F3D"/>
    <w:rsid w:val="00051F41"/>
    <w:rsid w:val="00051F87"/>
    <w:rsid w:val="00051F92"/>
    <w:rsid w:val="00051FC8"/>
    <w:rsid w:val="00051FF4"/>
    <w:rsid w:val="00052010"/>
    <w:rsid w:val="0005204C"/>
    <w:rsid w:val="0005209D"/>
    <w:rsid w:val="00052174"/>
    <w:rsid w:val="000521CC"/>
    <w:rsid w:val="00052275"/>
    <w:rsid w:val="00052394"/>
    <w:rsid w:val="000523EA"/>
    <w:rsid w:val="000525EE"/>
    <w:rsid w:val="000527F9"/>
    <w:rsid w:val="000528C7"/>
    <w:rsid w:val="00052940"/>
    <w:rsid w:val="000529EF"/>
    <w:rsid w:val="000529F4"/>
    <w:rsid w:val="00052A72"/>
    <w:rsid w:val="00052ACB"/>
    <w:rsid w:val="00052B1C"/>
    <w:rsid w:val="00052C4F"/>
    <w:rsid w:val="00052CAE"/>
    <w:rsid w:val="00052CD7"/>
    <w:rsid w:val="00052E61"/>
    <w:rsid w:val="00052F46"/>
    <w:rsid w:val="00053089"/>
    <w:rsid w:val="00053117"/>
    <w:rsid w:val="000531CC"/>
    <w:rsid w:val="000532B6"/>
    <w:rsid w:val="000532BA"/>
    <w:rsid w:val="00053371"/>
    <w:rsid w:val="000534AC"/>
    <w:rsid w:val="000535DB"/>
    <w:rsid w:val="0005379C"/>
    <w:rsid w:val="00053816"/>
    <w:rsid w:val="000538F7"/>
    <w:rsid w:val="00053921"/>
    <w:rsid w:val="00053958"/>
    <w:rsid w:val="000539D8"/>
    <w:rsid w:val="000539E5"/>
    <w:rsid w:val="00053A30"/>
    <w:rsid w:val="00053AB5"/>
    <w:rsid w:val="00053B56"/>
    <w:rsid w:val="00053C8A"/>
    <w:rsid w:val="00053CCC"/>
    <w:rsid w:val="00053ECA"/>
    <w:rsid w:val="00053F32"/>
    <w:rsid w:val="00053FB5"/>
    <w:rsid w:val="0005408F"/>
    <w:rsid w:val="000540D7"/>
    <w:rsid w:val="0005410F"/>
    <w:rsid w:val="00054150"/>
    <w:rsid w:val="00054161"/>
    <w:rsid w:val="0005418E"/>
    <w:rsid w:val="000541C4"/>
    <w:rsid w:val="00054228"/>
    <w:rsid w:val="0005423C"/>
    <w:rsid w:val="00054383"/>
    <w:rsid w:val="00054465"/>
    <w:rsid w:val="000545A9"/>
    <w:rsid w:val="00054605"/>
    <w:rsid w:val="00054635"/>
    <w:rsid w:val="00054715"/>
    <w:rsid w:val="000547D6"/>
    <w:rsid w:val="00054844"/>
    <w:rsid w:val="0005495A"/>
    <w:rsid w:val="000549F1"/>
    <w:rsid w:val="00054A62"/>
    <w:rsid w:val="00054B4A"/>
    <w:rsid w:val="00054DD8"/>
    <w:rsid w:val="00054E1B"/>
    <w:rsid w:val="00054FC1"/>
    <w:rsid w:val="00055013"/>
    <w:rsid w:val="0005503A"/>
    <w:rsid w:val="0005517A"/>
    <w:rsid w:val="0005524F"/>
    <w:rsid w:val="0005527B"/>
    <w:rsid w:val="0005531D"/>
    <w:rsid w:val="00055355"/>
    <w:rsid w:val="000553F1"/>
    <w:rsid w:val="000554F5"/>
    <w:rsid w:val="00055622"/>
    <w:rsid w:val="00055637"/>
    <w:rsid w:val="00055698"/>
    <w:rsid w:val="000556EB"/>
    <w:rsid w:val="0005570A"/>
    <w:rsid w:val="0005586C"/>
    <w:rsid w:val="00055923"/>
    <w:rsid w:val="00055A93"/>
    <w:rsid w:val="00055B9E"/>
    <w:rsid w:val="00055BB7"/>
    <w:rsid w:val="00055F3A"/>
    <w:rsid w:val="00055F71"/>
    <w:rsid w:val="00055FC0"/>
    <w:rsid w:val="00055FF5"/>
    <w:rsid w:val="00055FFF"/>
    <w:rsid w:val="00056047"/>
    <w:rsid w:val="000560DB"/>
    <w:rsid w:val="000561CF"/>
    <w:rsid w:val="0005629D"/>
    <w:rsid w:val="000562C5"/>
    <w:rsid w:val="000564B9"/>
    <w:rsid w:val="0005678C"/>
    <w:rsid w:val="00056824"/>
    <w:rsid w:val="00056841"/>
    <w:rsid w:val="0005689F"/>
    <w:rsid w:val="00056918"/>
    <w:rsid w:val="00056986"/>
    <w:rsid w:val="000569BC"/>
    <w:rsid w:val="00056B55"/>
    <w:rsid w:val="00056BE0"/>
    <w:rsid w:val="00056C9C"/>
    <w:rsid w:val="00056F41"/>
    <w:rsid w:val="00056F57"/>
    <w:rsid w:val="000570AF"/>
    <w:rsid w:val="00057144"/>
    <w:rsid w:val="00057347"/>
    <w:rsid w:val="00057366"/>
    <w:rsid w:val="000574E2"/>
    <w:rsid w:val="000574E3"/>
    <w:rsid w:val="00057564"/>
    <w:rsid w:val="000575F0"/>
    <w:rsid w:val="000576C7"/>
    <w:rsid w:val="000576E6"/>
    <w:rsid w:val="0005775A"/>
    <w:rsid w:val="000577D4"/>
    <w:rsid w:val="000579B9"/>
    <w:rsid w:val="00057A85"/>
    <w:rsid w:val="00057C19"/>
    <w:rsid w:val="00057C8E"/>
    <w:rsid w:val="00057D17"/>
    <w:rsid w:val="00057E37"/>
    <w:rsid w:val="00057F81"/>
    <w:rsid w:val="00057FE1"/>
    <w:rsid w:val="00060151"/>
    <w:rsid w:val="0006017E"/>
    <w:rsid w:val="0006018C"/>
    <w:rsid w:val="000601C3"/>
    <w:rsid w:val="000601E9"/>
    <w:rsid w:val="00060343"/>
    <w:rsid w:val="00060393"/>
    <w:rsid w:val="000605DD"/>
    <w:rsid w:val="00060626"/>
    <w:rsid w:val="00060647"/>
    <w:rsid w:val="00060657"/>
    <w:rsid w:val="00060693"/>
    <w:rsid w:val="0006082F"/>
    <w:rsid w:val="00060900"/>
    <w:rsid w:val="000609D3"/>
    <w:rsid w:val="000609F4"/>
    <w:rsid w:val="00060A40"/>
    <w:rsid w:val="00060BC9"/>
    <w:rsid w:val="00060D06"/>
    <w:rsid w:val="00060E98"/>
    <w:rsid w:val="00060F04"/>
    <w:rsid w:val="00060FED"/>
    <w:rsid w:val="00061089"/>
    <w:rsid w:val="00061100"/>
    <w:rsid w:val="0006123B"/>
    <w:rsid w:val="000612DF"/>
    <w:rsid w:val="0006136E"/>
    <w:rsid w:val="0006140E"/>
    <w:rsid w:val="0006149D"/>
    <w:rsid w:val="00061504"/>
    <w:rsid w:val="0006160B"/>
    <w:rsid w:val="00061694"/>
    <w:rsid w:val="00061703"/>
    <w:rsid w:val="00061718"/>
    <w:rsid w:val="00061720"/>
    <w:rsid w:val="000618CC"/>
    <w:rsid w:val="000618ED"/>
    <w:rsid w:val="00061A46"/>
    <w:rsid w:val="00061AFB"/>
    <w:rsid w:val="00061B5E"/>
    <w:rsid w:val="00061B7E"/>
    <w:rsid w:val="00061BC4"/>
    <w:rsid w:val="00061E39"/>
    <w:rsid w:val="00061E9B"/>
    <w:rsid w:val="000620A1"/>
    <w:rsid w:val="000622FC"/>
    <w:rsid w:val="00062349"/>
    <w:rsid w:val="00062430"/>
    <w:rsid w:val="0006244A"/>
    <w:rsid w:val="000625B8"/>
    <w:rsid w:val="000626E4"/>
    <w:rsid w:val="000627C3"/>
    <w:rsid w:val="000627F9"/>
    <w:rsid w:val="000628CE"/>
    <w:rsid w:val="00062914"/>
    <w:rsid w:val="00062953"/>
    <w:rsid w:val="00062ACD"/>
    <w:rsid w:val="00062C77"/>
    <w:rsid w:val="00062CEC"/>
    <w:rsid w:val="00062D2B"/>
    <w:rsid w:val="00062E19"/>
    <w:rsid w:val="00062E45"/>
    <w:rsid w:val="00062EC4"/>
    <w:rsid w:val="00062EC7"/>
    <w:rsid w:val="00062FBC"/>
    <w:rsid w:val="00063050"/>
    <w:rsid w:val="0006305A"/>
    <w:rsid w:val="0006306B"/>
    <w:rsid w:val="000630EB"/>
    <w:rsid w:val="000630F9"/>
    <w:rsid w:val="00063143"/>
    <w:rsid w:val="000631D9"/>
    <w:rsid w:val="00063325"/>
    <w:rsid w:val="000635FB"/>
    <w:rsid w:val="000637A8"/>
    <w:rsid w:val="00063824"/>
    <w:rsid w:val="000638B2"/>
    <w:rsid w:val="000638EE"/>
    <w:rsid w:val="000638FE"/>
    <w:rsid w:val="0006399E"/>
    <w:rsid w:val="00063A3E"/>
    <w:rsid w:val="00063A81"/>
    <w:rsid w:val="00063CB9"/>
    <w:rsid w:val="00063EB6"/>
    <w:rsid w:val="000640D8"/>
    <w:rsid w:val="0006424F"/>
    <w:rsid w:val="00064329"/>
    <w:rsid w:val="000643AC"/>
    <w:rsid w:val="00064481"/>
    <w:rsid w:val="00064A9E"/>
    <w:rsid w:val="00064B0C"/>
    <w:rsid w:val="00064BAA"/>
    <w:rsid w:val="00064C62"/>
    <w:rsid w:val="00064D34"/>
    <w:rsid w:val="00064D48"/>
    <w:rsid w:val="00064D5D"/>
    <w:rsid w:val="00064D9B"/>
    <w:rsid w:val="00064F5A"/>
    <w:rsid w:val="00064F7B"/>
    <w:rsid w:val="00064FBA"/>
    <w:rsid w:val="00064FCE"/>
    <w:rsid w:val="0006516A"/>
    <w:rsid w:val="000651AC"/>
    <w:rsid w:val="0006525A"/>
    <w:rsid w:val="0006538C"/>
    <w:rsid w:val="000653BE"/>
    <w:rsid w:val="000654C0"/>
    <w:rsid w:val="00065632"/>
    <w:rsid w:val="00065742"/>
    <w:rsid w:val="0006576B"/>
    <w:rsid w:val="00065775"/>
    <w:rsid w:val="0006599B"/>
    <w:rsid w:val="000659E6"/>
    <w:rsid w:val="00065B20"/>
    <w:rsid w:val="00065EDD"/>
    <w:rsid w:val="00065F2F"/>
    <w:rsid w:val="00065FD4"/>
    <w:rsid w:val="0006604A"/>
    <w:rsid w:val="000660B2"/>
    <w:rsid w:val="0006623E"/>
    <w:rsid w:val="000663FA"/>
    <w:rsid w:val="0006644B"/>
    <w:rsid w:val="00066461"/>
    <w:rsid w:val="00066571"/>
    <w:rsid w:val="0006663A"/>
    <w:rsid w:val="00066658"/>
    <w:rsid w:val="00066698"/>
    <w:rsid w:val="000666C5"/>
    <w:rsid w:val="000667A8"/>
    <w:rsid w:val="0006688B"/>
    <w:rsid w:val="00066B5F"/>
    <w:rsid w:val="00066B61"/>
    <w:rsid w:val="00066E31"/>
    <w:rsid w:val="00066E8B"/>
    <w:rsid w:val="00066F72"/>
    <w:rsid w:val="00066FD1"/>
    <w:rsid w:val="00066FD9"/>
    <w:rsid w:val="00067035"/>
    <w:rsid w:val="0006715D"/>
    <w:rsid w:val="00067162"/>
    <w:rsid w:val="00067177"/>
    <w:rsid w:val="0006717B"/>
    <w:rsid w:val="0006724A"/>
    <w:rsid w:val="000672F9"/>
    <w:rsid w:val="00067329"/>
    <w:rsid w:val="000673BE"/>
    <w:rsid w:val="000675CB"/>
    <w:rsid w:val="00067658"/>
    <w:rsid w:val="000676D4"/>
    <w:rsid w:val="000676E0"/>
    <w:rsid w:val="000676FB"/>
    <w:rsid w:val="00067786"/>
    <w:rsid w:val="000678B1"/>
    <w:rsid w:val="0006794E"/>
    <w:rsid w:val="00067BC3"/>
    <w:rsid w:val="00067E3C"/>
    <w:rsid w:val="000700EA"/>
    <w:rsid w:val="000701CA"/>
    <w:rsid w:val="000701E9"/>
    <w:rsid w:val="00070255"/>
    <w:rsid w:val="000702AE"/>
    <w:rsid w:val="00070348"/>
    <w:rsid w:val="000705AA"/>
    <w:rsid w:val="0007061A"/>
    <w:rsid w:val="00070662"/>
    <w:rsid w:val="0007069D"/>
    <w:rsid w:val="000706F2"/>
    <w:rsid w:val="0007080C"/>
    <w:rsid w:val="0007087F"/>
    <w:rsid w:val="000708E8"/>
    <w:rsid w:val="00070981"/>
    <w:rsid w:val="00070B32"/>
    <w:rsid w:val="00070B58"/>
    <w:rsid w:val="00070BCA"/>
    <w:rsid w:val="00070CAD"/>
    <w:rsid w:val="00070CC7"/>
    <w:rsid w:val="00070D92"/>
    <w:rsid w:val="00070EF2"/>
    <w:rsid w:val="00070FE7"/>
    <w:rsid w:val="00070FFF"/>
    <w:rsid w:val="0007111D"/>
    <w:rsid w:val="000711E7"/>
    <w:rsid w:val="000711EA"/>
    <w:rsid w:val="0007133F"/>
    <w:rsid w:val="00071417"/>
    <w:rsid w:val="0007171D"/>
    <w:rsid w:val="000717BF"/>
    <w:rsid w:val="000718EC"/>
    <w:rsid w:val="00071A20"/>
    <w:rsid w:val="00071A84"/>
    <w:rsid w:val="00071AC1"/>
    <w:rsid w:val="00071B33"/>
    <w:rsid w:val="00071BBD"/>
    <w:rsid w:val="00071CF2"/>
    <w:rsid w:val="00071E6B"/>
    <w:rsid w:val="00071FBF"/>
    <w:rsid w:val="00071FC7"/>
    <w:rsid w:val="000720A5"/>
    <w:rsid w:val="00072173"/>
    <w:rsid w:val="000721E4"/>
    <w:rsid w:val="0007222A"/>
    <w:rsid w:val="0007223F"/>
    <w:rsid w:val="00072264"/>
    <w:rsid w:val="000722B0"/>
    <w:rsid w:val="00072308"/>
    <w:rsid w:val="0007234B"/>
    <w:rsid w:val="00072501"/>
    <w:rsid w:val="000725B4"/>
    <w:rsid w:val="0007276F"/>
    <w:rsid w:val="00072853"/>
    <w:rsid w:val="00072905"/>
    <w:rsid w:val="000729C9"/>
    <w:rsid w:val="00072A17"/>
    <w:rsid w:val="00072A63"/>
    <w:rsid w:val="00072AA2"/>
    <w:rsid w:val="00072C31"/>
    <w:rsid w:val="00072D31"/>
    <w:rsid w:val="00072DDB"/>
    <w:rsid w:val="00072F09"/>
    <w:rsid w:val="0007313C"/>
    <w:rsid w:val="000731C0"/>
    <w:rsid w:val="00073370"/>
    <w:rsid w:val="000733DE"/>
    <w:rsid w:val="0007349A"/>
    <w:rsid w:val="000735A2"/>
    <w:rsid w:val="000736B9"/>
    <w:rsid w:val="000736F1"/>
    <w:rsid w:val="0007374F"/>
    <w:rsid w:val="000737CE"/>
    <w:rsid w:val="0007386E"/>
    <w:rsid w:val="000738DE"/>
    <w:rsid w:val="00073A29"/>
    <w:rsid w:val="00073B85"/>
    <w:rsid w:val="00073CDF"/>
    <w:rsid w:val="00073D3D"/>
    <w:rsid w:val="00073EEC"/>
    <w:rsid w:val="00073F9F"/>
    <w:rsid w:val="00074051"/>
    <w:rsid w:val="000741BF"/>
    <w:rsid w:val="0007432C"/>
    <w:rsid w:val="000745C6"/>
    <w:rsid w:val="00074900"/>
    <w:rsid w:val="00074B84"/>
    <w:rsid w:val="00074C34"/>
    <w:rsid w:val="00074C7B"/>
    <w:rsid w:val="00074E44"/>
    <w:rsid w:val="00074E8D"/>
    <w:rsid w:val="00074EC0"/>
    <w:rsid w:val="00074FA6"/>
    <w:rsid w:val="00074FD3"/>
    <w:rsid w:val="00075146"/>
    <w:rsid w:val="0007516A"/>
    <w:rsid w:val="00075292"/>
    <w:rsid w:val="0007537B"/>
    <w:rsid w:val="0007537E"/>
    <w:rsid w:val="00075452"/>
    <w:rsid w:val="0007545A"/>
    <w:rsid w:val="00075630"/>
    <w:rsid w:val="00075643"/>
    <w:rsid w:val="000756C1"/>
    <w:rsid w:val="000758E8"/>
    <w:rsid w:val="0007594A"/>
    <w:rsid w:val="00075AB3"/>
    <w:rsid w:val="00075B91"/>
    <w:rsid w:val="00075C43"/>
    <w:rsid w:val="00075D2E"/>
    <w:rsid w:val="00075D43"/>
    <w:rsid w:val="00075E78"/>
    <w:rsid w:val="00075EAA"/>
    <w:rsid w:val="00075F6A"/>
    <w:rsid w:val="00075F9B"/>
    <w:rsid w:val="000760BE"/>
    <w:rsid w:val="00076109"/>
    <w:rsid w:val="00076145"/>
    <w:rsid w:val="00076416"/>
    <w:rsid w:val="0007647D"/>
    <w:rsid w:val="0007653F"/>
    <w:rsid w:val="000766AB"/>
    <w:rsid w:val="000766E1"/>
    <w:rsid w:val="00076714"/>
    <w:rsid w:val="0007678E"/>
    <w:rsid w:val="000767E1"/>
    <w:rsid w:val="0007680C"/>
    <w:rsid w:val="000768C3"/>
    <w:rsid w:val="000769F4"/>
    <w:rsid w:val="00076A9C"/>
    <w:rsid w:val="00076B73"/>
    <w:rsid w:val="00076B8B"/>
    <w:rsid w:val="00076CB3"/>
    <w:rsid w:val="00076D73"/>
    <w:rsid w:val="00076E68"/>
    <w:rsid w:val="00076EA8"/>
    <w:rsid w:val="00076ECB"/>
    <w:rsid w:val="00077131"/>
    <w:rsid w:val="00077206"/>
    <w:rsid w:val="00077243"/>
    <w:rsid w:val="000774F0"/>
    <w:rsid w:val="0007751A"/>
    <w:rsid w:val="00077638"/>
    <w:rsid w:val="00077716"/>
    <w:rsid w:val="0007776B"/>
    <w:rsid w:val="00077968"/>
    <w:rsid w:val="0007799E"/>
    <w:rsid w:val="00077ACB"/>
    <w:rsid w:val="00077C25"/>
    <w:rsid w:val="00077EEA"/>
    <w:rsid w:val="00077FB5"/>
    <w:rsid w:val="0007A75C"/>
    <w:rsid w:val="00080233"/>
    <w:rsid w:val="000802CD"/>
    <w:rsid w:val="000803C9"/>
    <w:rsid w:val="000803F1"/>
    <w:rsid w:val="000804A8"/>
    <w:rsid w:val="000804F8"/>
    <w:rsid w:val="000805BC"/>
    <w:rsid w:val="000805F7"/>
    <w:rsid w:val="00080661"/>
    <w:rsid w:val="000806E5"/>
    <w:rsid w:val="0008086B"/>
    <w:rsid w:val="00080960"/>
    <w:rsid w:val="000809A4"/>
    <w:rsid w:val="000809F9"/>
    <w:rsid w:val="00080A8B"/>
    <w:rsid w:val="00080ABB"/>
    <w:rsid w:val="00080BB7"/>
    <w:rsid w:val="00080BCE"/>
    <w:rsid w:val="00080BF3"/>
    <w:rsid w:val="00080C12"/>
    <w:rsid w:val="00080C84"/>
    <w:rsid w:val="00080D29"/>
    <w:rsid w:val="0008100A"/>
    <w:rsid w:val="00081010"/>
    <w:rsid w:val="0008103D"/>
    <w:rsid w:val="0008110E"/>
    <w:rsid w:val="00081257"/>
    <w:rsid w:val="000812C6"/>
    <w:rsid w:val="000812D5"/>
    <w:rsid w:val="0008137B"/>
    <w:rsid w:val="000813F1"/>
    <w:rsid w:val="00081415"/>
    <w:rsid w:val="00081424"/>
    <w:rsid w:val="0008146B"/>
    <w:rsid w:val="00081543"/>
    <w:rsid w:val="00081559"/>
    <w:rsid w:val="00081589"/>
    <w:rsid w:val="000815BF"/>
    <w:rsid w:val="00081624"/>
    <w:rsid w:val="00081699"/>
    <w:rsid w:val="00081749"/>
    <w:rsid w:val="00081754"/>
    <w:rsid w:val="00081807"/>
    <w:rsid w:val="00081968"/>
    <w:rsid w:val="00081A6A"/>
    <w:rsid w:val="00081B99"/>
    <w:rsid w:val="00081BD2"/>
    <w:rsid w:val="00081D9B"/>
    <w:rsid w:val="00081EB7"/>
    <w:rsid w:val="00081F59"/>
    <w:rsid w:val="00081F81"/>
    <w:rsid w:val="00081FBE"/>
    <w:rsid w:val="0008213C"/>
    <w:rsid w:val="00082144"/>
    <w:rsid w:val="000821AB"/>
    <w:rsid w:val="00082291"/>
    <w:rsid w:val="000822C6"/>
    <w:rsid w:val="000823D5"/>
    <w:rsid w:val="000825B6"/>
    <w:rsid w:val="00082688"/>
    <w:rsid w:val="000826AE"/>
    <w:rsid w:val="000827AB"/>
    <w:rsid w:val="00082978"/>
    <w:rsid w:val="0008298C"/>
    <w:rsid w:val="00082999"/>
    <w:rsid w:val="00082AC5"/>
    <w:rsid w:val="00082AE5"/>
    <w:rsid w:val="00082D29"/>
    <w:rsid w:val="00082DAB"/>
    <w:rsid w:val="00082DBD"/>
    <w:rsid w:val="00082E70"/>
    <w:rsid w:val="00082E76"/>
    <w:rsid w:val="00082E8E"/>
    <w:rsid w:val="00082EC8"/>
    <w:rsid w:val="00082EFA"/>
    <w:rsid w:val="00082F25"/>
    <w:rsid w:val="000830DB"/>
    <w:rsid w:val="00083239"/>
    <w:rsid w:val="00083393"/>
    <w:rsid w:val="00083412"/>
    <w:rsid w:val="000834F7"/>
    <w:rsid w:val="00083563"/>
    <w:rsid w:val="000835E5"/>
    <w:rsid w:val="0008360A"/>
    <w:rsid w:val="00083869"/>
    <w:rsid w:val="00083A03"/>
    <w:rsid w:val="00083A4A"/>
    <w:rsid w:val="00083C13"/>
    <w:rsid w:val="00083D2A"/>
    <w:rsid w:val="00083EA3"/>
    <w:rsid w:val="00084071"/>
    <w:rsid w:val="000840CF"/>
    <w:rsid w:val="00084163"/>
    <w:rsid w:val="000841A1"/>
    <w:rsid w:val="000841C8"/>
    <w:rsid w:val="00084287"/>
    <w:rsid w:val="00084581"/>
    <w:rsid w:val="00084642"/>
    <w:rsid w:val="0008467E"/>
    <w:rsid w:val="000849AE"/>
    <w:rsid w:val="000849B7"/>
    <w:rsid w:val="00084A01"/>
    <w:rsid w:val="00084A08"/>
    <w:rsid w:val="00084A5F"/>
    <w:rsid w:val="00084AB4"/>
    <w:rsid w:val="00084AD4"/>
    <w:rsid w:val="00084BF3"/>
    <w:rsid w:val="00084D18"/>
    <w:rsid w:val="00084D1A"/>
    <w:rsid w:val="00084D45"/>
    <w:rsid w:val="00084EA0"/>
    <w:rsid w:val="00084EAF"/>
    <w:rsid w:val="00084F8F"/>
    <w:rsid w:val="00085080"/>
    <w:rsid w:val="000850ED"/>
    <w:rsid w:val="0008534F"/>
    <w:rsid w:val="00085450"/>
    <w:rsid w:val="00085529"/>
    <w:rsid w:val="000855C2"/>
    <w:rsid w:val="00085665"/>
    <w:rsid w:val="00085667"/>
    <w:rsid w:val="0008566C"/>
    <w:rsid w:val="00085750"/>
    <w:rsid w:val="00085810"/>
    <w:rsid w:val="00085842"/>
    <w:rsid w:val="0008588C"/>
    <w:rsid w:val="00085934"/>
    <w:rsid w:val="0008599F"/>
    <w:rsid w:val="00085AC5"/>
    <w:rsid w:val="00085AE5"/>
    <w:rsid w:val="00085B49"/>
    <w:rsid w:val="00085B71"/>
    <w:rsid w:val="00085BD4"/>
    <w:rsid w:val="00085C4A"/>
    <w:rsid w:val="00085CA9"/>
    <w:rsid w:val="00085CB8"/>
    <w:rsid w:val="00085D87"/>
    <w:rsid w:val="00085E76"/>
    <w:rsid w:val="00085E9F"/>
    <w:rsid w:val="00085FCF"/>
    <w:rsid w:val="00085FD5"/>
    <w:rsid w:val="00085FDC"/>
    <w:rsid w:val="0008611C"/>
    <w:rsid w:val="0008643B"/>
    <w:rsid w:val="00086479"/>
    <w:rsid w:val="000866F9"/>
    <w:rsid w:val="0008683F"/>
    <w:rsid w:val="000868AC"/>
    <w:rsid w:val="00086977"/>
    <w:rsid w:val="00086983"/>
    <w:rsid w:val="000869D0"/>
    <w:rsid w:val="00086A01"/>
    <w:rsid w:val="00086A44"/>
    <w:rsid w:val="00086AAB"/>
    <w:rsid w:val="00086ACE"/>
    <w:rsid w:val="00086AD1"/>
    <w:rsid w:val="00086BC6"/>
    <w:rsid w:val="00086D07"/>
    <w:rsid w:val="00086F81"/>
    <w:rsid w:val="00087006"/>
    <w:rsid w:val="0008704C"/>
    <w:rsid w:val="00087092"/>
    <w:rsid w:val="00087117"/>
    <w:rsid w:val="00087201"/>
    <w:rsid w:val="0008721A"/>
    <w:rsid w:val="0008729C"/>
    <w:rsid w:val="000872DE"/>
    <w:rsid w:val="00087566"/>
    <w:rsid w:val="0008758B"/>
    <w:rsid w:val="000876A9"/>
    <w:rsid w:val="000877E6"/>
    <w:rsid w:val="00087821"/>
    <w:rsid w:val="00087A98"/>
    <w:rsid w:val="00087B39"/>
    <w:rsid w:val="00087B6B"/>
    <w:rsid w:val="00087B7F"/>
    <w:rsid w:val="00087CD3"/>
    <w:rsid w:val="00087CE5"/>
    <w:rsid w:val="000900A1"/>
    <w:rsid w:val="00090283"/>
    <w:rsid w:val="00090444"/>
    <w:rsid w:val="00090461"/>
    <w:rsid w:val="000904B3"/>
    <w:rsid w:val="0009052F"/>
    <w:rsid w:val="0009061B"/>
    <w:rsid w:val="000908B3"/>
    <w:rsid w:val="000909B7"/>
    <w:rsid w:val="000909BE"/>
    <w:rsid w:val="00090A53"/>
    <w:rsid w:val="00090A71"/>
    <w:rsid w:val="00090C1C"/>
    <w:rsid w:val="00090D56"/>
    <w:rsid w:val="00090F37"/>
    <w:rsid w:val="00090F6D"/>
    <w:rsid w:val="0009109B"/>
    <w:rsid w:val="00091100"/>
    <w:rsid w:val="00091101"/>
    <w:rsid w:val="00091167"/>
    <w:rsid w:val="00091183"/>
    <w:rsid w:val="000911F9"/>
    <w:rsid w:val="0009125F"/>
    <w:rsid w:val="0009131F"/>
    <w:rsid w:val="00091461"/>
    <w:rsid w:val="0009151C"/>
    <w:rsid w:val="00091566"/>
    <w:rsid w:val="000915A2"/>
    <w:rsid w:val="0009190B"/>
    <w:rsid w:val="00091935"/>
    <w:rsid w:val="00091B46"/>
    <w:rsid w:val="00091BC0"/>
    <w:rsid w:val="00091DCF"/>
    <w:rsid w:val="00091DD3"/>
    <w:rsid w:val="00091E2E"/>
    <w:rsid w:val="00091F04"/>
    <w:rsid w:val="00091FFB"/>
    <w:rsid w:val="0009204D"/>
    <w:rsid w:val="0009225C"/>
    <w:rsid w:val="0009235A"/>
    <w:rsid w:val="0009253E"/>
    <w:rsid w:val="00092693"/>
    <w:rsid w:val="00092830"/>
    <w:rsid w:val="00092A32"/>
    <w:rsid w:val="00092A36"/>
    <w:rsid w:val="00092A57"/>
    <w:rsid w:val="00092A6B"/>
    <w:rsid w:val="00092AB3"/>
    <w:rsid w:val="00092B06"/>
    <w:rsid w:val="00092B85"/>
    <w:rsid w:val="00092CD5"/>
    <w:rsid w:val="00092D13"/>
    <w:rsid w:val="00092D15"/>
    <w:rsid w:val="00092D5F"/>
    <w:rsid w:val="00092D9D"/>
    <w:rsid w:val="00092DAE"/>
    <w:rsid w:val="00092E28"/>
    <w:rsid w:val="00092EFE"/>
    <w:rsid w:val="00092F01"/>
    <w:rsid w:val="00092F44"/>
    <w:rsid w:val="0009300A"/>
    <w:rsid w:val="0009302D"/>
    <w:rsid w:val="00093160"/>
    <w:rsid w:val="000931BA"/>
    <w:rsid w:val="00093329"/>
    <w:rsid w:val="0009346E"/>
    <w:rsid w:val="00093537"/>
    <w:rsid w:val="00093701"/>
    <w:rsid w:val="00093753"/>
    <w:rsid w:val="00093754"/>
    <w:rsid w:val="000937B2"/>
    <w:rsid w:val="0009382B"/>
    <w:rsid w:val="00093B5A"/>
    <w:rsid w:val="00093D5B"/>
    <w:rsid w:val="00093EAE"/>
    <w:rsid w:val="00093FCF"/>
    <w:rsid w:val="0009407E"/>
    <w:rsid w:val="0009417A"/>
    <w:rsid w:val="00094550"/>
    <w:rsid w:val="00094576"/>
    <w:rsid w:val="000945C0"/>
    <w:rsid w:val="00094635"/>
    <w:rsid w:val="000946D6"/>
    <w:rsid w:val="0009471B"/>
    <w:rsid w:val="0009473E"/>
    <w:rsid w:val="00094785"/>
    <w:rsid w:val="00094AC4"/>
    <w:rsid w:val="00094B42"/>
    <w:rsid w:val="00094B8A"/>
    <w:rsid w:val="00094C00"/>
    <w:rsid w:val="00094D8F"/>
    <w:rsid w:val="00094EA8"/>
    <w:rsid w:val="00094EBD"/>
    <w:rsid w:val="00094F9D"/>
    <w:rsid w:val="00094FD3"/>
    <w:rsid w:val="0009509F"/>
    <w:rsid w:val="000950CD"/>
    <w:rsid w:val="0009510C"/>
    <w:rsid w:val="0009515E"/>
    <w:rsid w:val="000951E5"/>
    <w:rsid w:val="0009524B"/>
    <w:rsid w:val="00095256"/>
    <w:rsid w:val="000953C1"/>
    <w:rsid w:val="00095453"/>
    <w:rsid w:val="0009552C"/>
    <w:rsid w:val="000955AD"/>
    <w:rsid w:val="000955D7"/>
    <w:rsid w:val="00095665"/>
    <w:rsid w:val="00095785"/>
    <w:rsid w:val="00095895"/>
    <w:rsid w:val="000958AF"/>
    <w:rsid w:val="000958B6"/>
    <w:rsid w:val="000959A4"/>
    <w:rsid w:val="00095A82"/>
    <w:rsid w:val="00095BDB"/>
    <w:rsid w:val="00095D17"/>
    <w:rsid w:val="00095D8F"/>
    <w:rsid w:val="00095D98"/>
    <w:rsid w:val="00095E23"/>
    <w:rsid w:val="00095ED8"/>
    <w:rsid w:val="00095FFF"/>
    <w:rsid w:val="00096052"/>
    <w:rsid w:val="00096101"/>
    <w:rsid w:val="00096230"/>
    <w:rsid w:val="00096277"/>
    <w:rsid w:val="000962B0"/>
    <w:rsid w:val="000962FA"/>
    <w:rsid w:val="000965E6"/>
    <w:rsid w:val="000966A5"/>
    <w:rsid w:val="00096794"/>
    <w:rsid w:val="0009682E"/>
    <w:rsid w:val="0009685C"/>
    <w:rsid w:val="000968DF"/>
    <w:rsid w:val="00096A8B"/>
    <w:rsid w:val="00096AF3"/>
    <w:rsid w:val="00096BE4"/>
    <w:rsid w:val="00096CA1"/>
    <w:rsid w:val="00096CE1"/>
    <w:rsid w:val="00096E20"/>
    <w:rsid w:val="00096FBB"/>
    <w:rsid w:val="00096FD0"/>
    <w:rsid w:val="00096FEA"/>
    <w:rsid w:val="00097015"/>
    <w:rsid w:val="00097016"/>
    <w:rsid w:val="00097230"/>
    <w:rsid w:val="00097397"/>
    <w:rsid w:val="00097484"/>
    <w:rsid w:val="000974B9"/>
    <w:rsid w:val="0009757B"/>
    <w:rsid w:val="00097620"/>
    <w:rsid w:val="000976C1"/>
    <w:rsid w:val="00097866"/>
    <w:rsid w:val="000978B6"/>
    <w:rsid w:val="000978F4"/>
    <w:rsid w:val="00097989"/>
    <w:rsid w:val="000979C3"/>
    <w:rsid w:val="00097B02"/>
    <w:rsid w:val="00097BC1"/>
    <w:rsid w:val="00097CCB"/>
    <w:rsid w:val="00097CCD"/>
    <w:rsid w:val="00097D3B"/>
    <w:rsid w:val="00097F6C"/>
    <w:rsid w:val="00097FD7"/>
    <w:rsid w:val="00097FFC"/>
    <w:rsid w:val="0009A98B"/>
    <w:rsid w:val="000A0055"/>
    <w:rsid w:val="000A00B3"/>
    <w:rsid w:val="000A01E6"/>
    <w:rsid w:val="000A027E"/>
    <w:rsid w:val="000A0312"/>
    <w:rsid w:val="000A04A5"/>
    <w:rsid w:val="000A04D7"/>
    <w:rsid w:val="000A0545"/>
    <w:rsid w:val="000A0549"/>
    <w:rsid w:val="000A0686"/>
    <w:rsid w:val="000A0874"/>
    <w:rsid w:val="000A08EF"/>
    <w:rsid w:val="000A09D4"/>
    <w:rsid w:val="000A0A78"/>
    <w:rsid w:val="000A0A87"/>
    <w:rsid w:val="000A0BC2"/>
    <w:rsid w:val="000A0ED7"/>
    <w:rsid w:val="000A0EFB"/>
    <w:rsid w:val="000A0F6C"/>
    <w:rsid w:val="000A0FAD"/>
    <w:rsid w:val="000A0FB1"/>
    <w:rsid w:val="000A0FE6"/>
    <w:rsid w:val="000A1028"/>
    <w:rsid w:val="000A1157"/>
    <w:rsid w:val="000A12AB"/>
    <w:rsid w:val="000A12D6"/>
    <w:rsid w:val="000A135D"/>
    <w:rsid w:val="000A153A"/>
    <w:rsid w:val="000A1548"/>
    <w:rsid w:val="000A1575"/>
    <w:rsid w:val="000A16BB"/>
    <w:rsid w:val="000A16FC"/>
    <w:rsid w:val="000A1772"/>
    <w:rsid w:val="000A17EF"/>
    <w:rsid w:val="000A19A0"/>
    <w:rsid w:val="000A1A1A"/>
    <w:rsid w:val="000A1BFE"/>
    <w:rsid w:val="000A1DBF"/>
    <w:rsid w:val="000A2010"/>
    <w:rsid w:val="000A21A7"/>
    <w:rsid w:val="000A2240"/>
    <w:rsid w:val="000A2289"/>
    <w:rsid w:val="000A22F2"/>
    <w:rsid w:val="000A233F"/>
    <w:rsid w:val="000A2598"/>
    <w:rsid w:val="000A2686"/>
    <w:rsid w:val="000A270D"/>
    <w:rsid w:val="000A278F"/>
    <w:rsid w:val="000A27C5"/>
    <w:rsid w:val="000A27EA"/>
    <w:rsid w:val="000A28DF"/>
    <w:rsid w:val="000A2ABB"/>
    <w:rsid w:val="000A2AFE"/>
    <w:rsid w:val="000A2B4C"/>
    <w:rsid w:val="000A2B6E"/>
    <w:rsid w:val="000A2C77"/>
    <w:rsid w:val="000A2CA5"/>
    <w:rsid w:val="000A2DB1"/>
    <w:rsid w:val="000A2E09"/>
    <w:rsid w:val="000A2EE5"/>
    <w:rsid w:val="000A2F1E"/>
    <w:rsid w:val="000A309D"/>
    <w:rsid w:val="000A30E7"/>
    <w:rsid w:val="000A3182"/>
    <w:rsid w:val="000A34C1"/>
    <w:rsid w:val="000A3681"/>
    <w:rsid w:val="000A3749"/>
    <w:rsid w:val="000A37CA"/>
    <w:rsid w:val="000A37FC"/>
    <w:rsid w:val="000A3A6F"/>
    <w:rsid w:val="000A3AA9"/>
    <w:rsid w:val="000A3B45"/>
    <w:rsid w:val="000A3B7F"/>
    <w:rsid w:val="000A3BBE"/>
    <w:rsid w:val="000A3C09"/>
    <w:rsid w:val="000A3C32"/>
    <w:rsid w:val="000A3C52"/>
    <w:rsid w:val="000A3DE4"/>
    <w:rsid w:val="000A3E25"/>
    <w:rsid w:val="000A3EEF"/>
    <w:rsid w:val="000A3F76"/>
    <w:rsid w:val="000A3FCC"/>
    <w:rsid w:val="000A409E"/>
    <w:rsid w:val="000A40B9"/>
    <w:rsid w:val="000A40F3"/>
    <w:rsid w:val="000A4190"/>
    <w:rsid w:val="000A41E0"/>
    <w:rsid w:val="000A4333"/>
    <w:rsid w:val="000A4343"/>
    <w:rsid w:val="000A4451"/>
    <w:rsid w:val="000A44A1"/>
    <w:rsid w:val="000A450B"/>
    <w:rsid w:val="000A4522"/>
    <w:rsid w:val="000A45EA"/>
    <w:rsid w:val="000A4660"/>
    <w:rsid w:val="000A4678"/>
    <w:rsid w:val="000A4681"/>
    <w:rsid w:val="000A46B4"/>
    <w:rsid w:val="000A493B"/>
    <w:rsid w:val="000A4ACD"/>
    <w:rsid w:val="000A4B33"/>
    <w:rsid w:val="000A4BBC"/>
    <w:rsid w:val="000A4BFD"/>
    <w:rsid w:val="000A4C01"/>
    <w:rsid w:val="000A4CE5"/>
    <w:rsid w:val="000A4D9D"/>
    <w:rsid w:val="000A4EB2"/>
    <w:rsid w:val="000A4EFC"/>
    <w:rsid w:val="000A4F52"/>
    <w:rsid w:val="000A5063"/>
    <w:rsid w:val="000A5157"/>
    <w:rsid w:val="000A5192"/>
    <w:rsid w:val="000A5197"/>
    <w:rsid w:val="000A52F3"/>
    <w:rsid w:val="000A5321"/>
    <w:rsid w:val="000A5332"/>
    <w:rsid w:val="000A541D"/>
    <w:rsid w:val="000A5642"/>
    <w:rsid w:val="000A56CD"/>
    <w:rsid w:val="000A5702"/>
    <w:rsid w:val="000A57C3"/>
    <w:rsid w:val="000A58AD"/>
    <w:rsid w:val="000A59AB"/>
    <w:rsid w:val="000A59AE"/>
    <w:rsid w:val="000A5BE4"/>
    <w:rsid w:val="000A5D04"/>
    <w:rsid w:val="000A5DC3"/>
    <w:rsid w:val="000A5F5E"/>
    <w:rsid w:val="000A6011"/>
    <w:rsid w:val="000A6093"/>
    <w:rsid w:val="000A631A"/>
    <w:rsid w:val="000A6383"/>
    <w:rsid w:val="000A646B"/>
    <w:rsid w:val="000A661B"/>
    <w:rsid w:val="000A66C3"/>
    <w:rsid w:val="000A66C5"/>
    <w:rsid w:val="000A66E5"/>
    <w:rsid w:val="000A6701"/>
    <w:rsid w:val="000A6718"/>
    <w:rsid w:val="000A67FE"/>
    <w:rsid w:val="000A6850"/>
    <w:rsid w:val="000A6875"/>
    <w:rsid w:val="000A688D"/>
    <w:rsid w:val="000A6AEF"/>
    <w:rsid w:val="000A6BE0"/>
    <w:rsid w:val="000A6C0E"/>
    <w:rsid w:val="000A6CAF"/>
    <w:rsid w:val="000A6D23"/>
    <w:rsid w:val="000A6D29"/>
    <w:rsid w:val="000A6E65"/>
    <w:rsid w:val="000A6E93"/>
    <w:rsid w:val="000A6ED2"/>
    <w:rsid w:val="000A7017"/>
    <w:rsid w:val="000A716F"/>
    <w:rsid w:val="000A71DD"/>
    <w:rsid w:val="000A7290"/>
    <w:rsid w:val="000A7346"/>
    <w:rsid w:val="000A7370"/>
    <w:rsid w:val="000A73D7"/>
    <w:rsid w:val="000A7459"/>
    <w:rsid w:val="000A757B"/>
    <w:rsid w:val="000A7764"/>
    <w:rsid w:val="000A779F"/>
    <w:rsid w:val="000A79A6"/>
    <w:rsid w:val="000A79B7"/>
    <w:rsid w:val="000A7AC5"/>
    <w:rsid w:val="000A7BA9"/>
    <w:rsid w:val="000A7C6E"/>
    <w:rsid w:val="000A7C8B"/>
    <w:rsid w:val="000A7D02"/>
    <w:rsid w:val="000A7F0D"/>
    <w:rsid w:val="000A7F17"/>
    <w:rsid w:val="000A7F41"/>
    <w:rsid w:val="000B00B9"/>
    <w:rsid w:val="000B0164"/>
    <w:rsid w:val="000B01DC"/>
    <w:rsid w:val="000B0216"/>
    <w:rsid w:val="000B02A6"/>
    <w:rsid w:val="000B02C2"/>
    <w:rsid w:val="000B02DC"/>
    <w:rsid w:val="000B0360"/>
    <w:rsid w:val="000B0366"/>
    <w:rsid w:val="000B039A"/>
    <w:rsid w:val="000B04F8"/>
    <w:rsid w:val="000B055F"/>
    <w:rsid w:val="000B08A9"/>
    <w:rsid w:val="000B0AC0"/>
    <w:rsid w:val="000B0B30"/>
    <w:rsid w:val="000B0B7B"/>
    <w:rsid w:val="000B0BC5"/>
    <w:rsid w:val="000B0C29"/>
    <w:rsid w:val="000B0C87"/>
    <w:rsid w:val="000B0D1C"/>
    <w:rsid w:val="000B0D42"/>
    <w:rsid w:val="000B0D5B"/>
    <w:rsid w:val="000B0DC6"/>
    <w:rsid w:val="000B0E38"/>
    <w:rsid w:val="000B0E57"/>
    <w:rsid w:val="000B109A"/>
    <w:rsid w:val="000B10A6"/>
    <w:rsid w:val="000B11F2"/>
    <w:rsid w:val="000B1347"/>
    <w:rsid w:val="000B136B"/>
    <w:rsid w:val="000B14DA"/>
    <w:rsid w:val="000B1584"/>
    <w:rsid w:val="000B1602"/>
    <w:rsid w:val="000B16AC"/>
    <w:rsid w:val="000B17FC"/>
    <w:rsid w:val="000B1837"/>
    <w:rsid w:val="000B183D"/>
    <w:rsid w:val="000B18F1"/>
    <w:rsid w:val="000B198C"/>
    <w:rsid w:val="000B19CA"/>
    <w:rsid w:val="000B19DD"/>
    <w:rsid w:val="000B1A0C"/>
    <w:rsid w:val="000B1A77"/>
    <w:rsid w:val="000B1AD2"/>
    <w:rsid w:val="000B1D19"/>
    <w:rsid w:val="000B1E18"/>
    <w:rsid w:val="000B1E27"/>
    <w:rsid w:val="000B1E55"/>
    <w:rsid w:val="000B1E72"/>
    <w:rsid w:val="000B1F0D"/>
    <w:rsid w:val="000B1FA2"/>
    <w:rsid w:val="000B1FDD"/>
    <w:rsid w:val="000B20CD"/>
    <w:rsid w:val="000B21BF"/>
    <w:rsid w:val="000B2243"/>
    <w:rsid w:val="000B22E5"/>
    <w:rsid w:val="000B2402"/>
    <w:rsid w:val="000B2418"/>
    <w:rsid w:val="000B248D"/>
    <w:rsid w:val="000B24C3"/>
    <w:rsid w:val="000B24C4"/>
    <w:rsid w:val="000B2619"/>
    <w:rsid w:val="000B29A7"/>
    <w:rsid w:val="000B29CB"/>
    <w:rsid w:val="000B2A85"/>
    <w:rsid w:val="000B2BFA"/>
    <w:rsid w:val="000B2C32"/>
    <w:rsid w:val="000B2C6A"/>
    <w:rsid w:val="000B2F50"/>
    <w:rsid w:val="000B3062"/>
    <w:rsid w:val="000B3124"/>
    <w:rsid w:val="000B3168"/>
    <w:rsid w:val="000B3206"/>
    <w:rsid w:val="000B32D7"/>
    <w:rsid w:val="000B33FD"/>
    <w:rsid w:val="000B3427"/>
    <w:rsid w:val="000B35F0"/>
    <w:rsid w:val="000B3697"/>
    <w:rsid w:val="000B37B2"/>
    <w:rsid w:val="000B3829"/>
    <w:rsid w:val="000B3859"/>
    <w:rsid w:val="000B38D1"/>
    <w:rsid w:val="000B38E3"/>
    <w:rsid w:val="000B39BA"/>
    <w:rsid w:val="000B3A0E"/>
    <w:rsid w:val="000B3A55"/>
    <w:rsid w:val="000B3B16"/>
    <w:rsid w:val="000B3B2C"/>
    <w:rsid w:val="000B3BAA"/>
    <w:rsid w:val="000B3BDC"/>
    <w:rsid w:val="000B3C53"/>
    <w:rsid w:val="000B3C68"/>
    <w:rsid w:val="000B3CC4"/>
    <w:rsid w:val="000B3D72"/>
    <w:rsid w:val="000B3E1E"/>
    <w:rsid w:val="000B3F0E"/>
    <w:rsid w:val="000B3F16"/>
    <w:rsid w:val="000B3F8C"/>
    <w:rsid w:val="000B3FBF"/>
    <w:rsid w:val="000B4097"/>
    <w:rsid w:val="000B40D4"/>
    <w:rsid w:val="000B4182"/>
    <w:rsid w:val="000B41AE"/>
    <w:rsid w:val="000B4469"/>
    <w:rsid w:val="000B4527"/>
    <w:rsid w:val="000B45A1"/>
    <w:rsid w:val="000B46C4"/>
    <w:rsid w:val="000B47D9"/>
    <w:rsid w:val="000B47FA"/>
    <w:rsid w:val="000B47FE"/>
    <w:rsid w:val="000B485B"/>
    <w:rsid w:val="000B4925"/>
    <w:rsid w:val="000B496A"/>
    <w:rsid w:val="000B49C0"/>
    <w:rsid w:val="000B4A47"/>
    <w:rsid w:val="000B4A4E"/>
    <w:rsid w:val="000B4A66"/>
    <w:rsid w:val="000B4AB8"/>
    <w:rsid w:val="000B4B6C"/>
    <w:rsid w:val="000B4BE6"/>
    <w:rsid w:val="000B4C43"/>
    <w:rsid w:val="000B4C7C"/>
    <w:rsid w:val="000B4C8C"/>
    <w:rsid w:val="000B4CE6"/>
    <w:rsid w:val="000B4D6F"/>
    <w:rsid w:val="000B4D78"/>
    <w:rsid w:val="000B4DDD"/>
    <w:rsid w:val="000B4EB4"/>
    <w:rsid w:val="000B4EF9"/>
    <w:rsid w:val="000B5038"/>
    <w:rsid w:val="000B5062"/>
    <w:rsid w:val="000B50C9"/>
    <w:rsid w:val="000B50F9"/>
    <w:rsid w:val="000B5153"/>
    <w:rsid w:val="000B523F"/>
    <w:rsid w:val="000B52BD"/>
    <w:rsid w:val="000B5449"/>
    <w:rsid w:val="000B54D9"/>
    <w:rsid w:val="000B5570"/>
    <w:rsid w:val="000B5588"/>
    <w:rsid w:val="000B5606"/>
    <w:rsid w:val="000B56CF"/>
    <w:rsid w:val="000B5716"/>
    <w:rsid w:val="000B58F9"/>
    <w:rsid w:val="000B5922"/>
    <w:rsid w:val="000B5932"/>
    <w:rsid w:val="000B5D8C"/>
    <w:rsid w:val="000B5DF7"/>
    <w:rsid w:val="000B5EB2"/>
    <w:rsid w:val="000B5FE1"/>
    <w:rsid w:val="000B60DE"/>
    <w:rsid w:val="000B60EF"/>
    <w:rsid w:val="000B614A"/>
    <w:rsid w:val="000B627B"/>
    <w:rsid w:val="000B62F1"/>
    <w:rsid w:val="000B6365"/>
    <w:rsid w:val="000B643F"/>
    <w:rsid w:val="000B69BC"/>
    <w:rsid w:val="000B6A3A"/>
    <w:rsid w:val="000B6A64"/>
    <w:rsid w:val="000B6A97"/>
    <w:rsid w:val="000B6AF8"/>
    <w:rsid w:val="000B6CA9"/>
    <w:rsid w:val="000B6D0D"/>
    <w:rsid w:val="000B6D80"/>
    <w:rsid w:val="000B6DE4"/>
    <w:rsid w:val="000B6E97"/>
    <w:rsid w:val="000B6EB6"/>
    <w:rsid w:val="000B7025"/>
    <w:rsid w:val="000B70A0"/>
    <w:rsid w:val="000B7105"/>
    <w:rsid w:val="000B7254"/>
    <w:rsid w:val="000B72B1"/>
    <w:rsid w:val="000B7328"/>
    <w:rsid w:val="000B73B1"/>
    <w:rsid w:val="000B74C7"/>
    <w:rsid w:val="000B750D"/>
    <w:rsid w:val="000B7588"/>
    <w:rsid w:val="000B759A"/>
    <w:rsid w:val="000B7790"/>
    <w:rsid w:val="000B7822"/>
    <w:rsid w:val="000B786F"/>
    <w:rsid w:val="000B79C5"/>
    <w:rsid w:val="000B7AE2"/>
    <w:rsid w:val="000B7AF6"/>
    <w:rsid w:val="000B7DE0"/>
    <w:rsid w:val="000B7FBD"/>
    <w:rsid w:val="000B7FEA"/>
    <w:rsid w:val="000C005C"/>
    <w:rsid w:val="000C00B2"/>
    <w:rsid w:val="000C0214"/>
    <w:rsid w:val="000C042E"/>
    <w:rsid w:val="000C0557"/>
    <w:rsid w:val="000C05F1"/>
    <w:rsid w:val="000C067E"/>
    <w:rsid w:val="000C06EB"/>
    <w:rsid w:val="000C0713"/>
    <w:rsid w:val="000C0771"/>
    <w:rsid w:val="000C097D"/>
    <w:rsid w:val="000C0A20"/>
    <w:rsid w:val="000C0B32"/>
    <w:rsid w:val="000C0BA3"/>
    <w:rsid w:val="000C0BB0"/>
    <w:rsid w:val="000C0BBA"/>
    <w:rsid w:val="000C0C01"/>
    <w:rsid w:val="000C0C3E"/>
    <w:rsid w:val="000C0E38"/>
    <w:rsid w:val="000C0F5F"/>
    <w:rsid w:val="000C10CB"/>
    <w:rsid w:val="000C10F2"/>
    <w:rsid w:val="000C11EC"/>
    <w:rsid w:val="000C124A"/>
    <w:rsid w:val="000C12AD"/>
    <w:rsid w:val="000C12CB"/>
    <w:rsid w:val="000C13AF"/>
    <w:rsid w:val="000C1417"/>
    <w:rsid w:val="000C181F"/>
    <w:rsid w:val="000C18BE"/>
    <w:rsid w:val="000C18CF"/>
    <w:rsid w:val="000C194A"/>
    <w:rsid w:val="000C19AA"/>
    <w:rsid w:val="000C19D0"/>
    <w:rsid w:val="000C1AD9"/>
    <w:rsid w:val="000C1C5C"/>
    <w:rsid w:val="000C1E83"/>
    <w:rsid w:val="000C1F59"/>
    <w:rsid w:val="000C1FF7"/>
    <w:rsid w:val="000C2016"/>
    <w:rsid w:val="000C207F"/>
    <w:rsid w:val="000C2102"/>
    <w:rsid w:val="000C211D"/>
    <w:rsid w:val="000C212B"/>
    <w:rsid w:val="000C2485"/>
    <w:rsid w:val="000C251D"/>
    <w:rsid w:val="000C2575"/>
    <w:rsid w:val="000C25AE"/>
    <w:rsid w:val="000C27A7"/>
    <w:rsid w:val="000C285A"/>
    <w:rsid w:val="000C2860"/>
    <w:rsid w:val="000C28A9"/>
    <w:rsid w:val="000C29B8"/>
    <w:rsid w:val="000C2A81"/>
    <w:rsid w:val="000C2AB5"/>
    <w:rsid w:val="000C2B0C"/>
    <w:rsid w:val="000C2B1A"/>
    <w:rsid w:val="000C2BCF"/>
    <w:rsid w:val="000C2D44"/>
    <w:rsid w:val="000C2EA3"/>
    <w:rsid w:val="000C2EF8"/>
    <w:rsid w:val="000C2F17"/>
    <w:rsid w:val="000C3009"/>
    <w:rsid w:val="000C312B"/>
    <w:rsid w:val="000C3166"/>
    <w:rsid w:val="000C317E"/>
    <w:rsid w:val="000C318C"/>
    <w:rsid w:val="000C323B"/>
    <w:rsid w:val="000C3300"/>
    <w:rsid w:val="000C3312"/>
    <w:rsid w:val="000C3387"/>
    <w:rsid w:val="000C33D1"/>
    <w:rsid w:val="000C33EC"/>
    <w:rsid w:val="000C343D"/>
    <w:rsid w:val="000C347F"/>
    <w:rsid w:val="000C34C1"/>
    <w:rsid w:val="000C34EF"/>
    <w:rsid w:val="000C35B6"/>
    <w:rsid w:val="000C3602"/>
    <w:rsid w:val="000C37C6"/>
    <w:rsid w:val="000C37D9"/>
    <w:rsid w:val="000C37EA"/>
    <w:rsid w:val="000C3827"/>
    <w:rsid w:val="000C39A4"/>
    <w:rsid w:val="000C3A69"/>
    <w:rsid w:val="000C3AA7"/>
    <w:rsid w:val="000C3AAB"/>
    <w:rsid w:val="000C3ADE"/>
    <w:rsid w:val="000C3AE2"/>
    <w:rsid w:val="000C3B0C"/>
    <w:rsid w:val="000C3B29"/>
    <w:rsid w:val="000C3CD4"/>
    <w:rsid w:val="000C3DB6"/>
    <w:rsid w:val="000C3E21"/>
    <w:rsid w:val="000C3F51"/>
    <w:rsid w:val="000C406E"/>
    <w:rsid w:val="000C419C"/>
    <w:rsid w:val="000C419E"/>
    <w:rsid w:val="000C4232"/>
    <w:rsid w:val="000C4302"/>
    <w:rsid w:val="000C433C"/>
    <w:rsid w:val="000C43C7"/>
    <w:rsid w:val="000C451C"/>
    <w:rsid w:val="000C459C"/>
    <w:rsid w:val="000C45E7"/>
    <w:rsid w:val="000C4659"/>
    <w:rsid w:val="000C4719"/>
    <w:rsid w:val="000C4799"/>
    <w:rsid w:val="000C491E"/>
    <w:rsid w:val="000C49AB"/>
    <w:rsid w:val="000C4A59"/>
    <w:rsid w:val="000C4B3C"/>
    <w:rsid w:val="000C4B3E"/>
    <w:rsid w:val="000C4B5F"/>
    <w:rsid w:val="000C4B89"/>
    <w:rsid w:val="000C4C07"/>
    <w:rsid w:val="000C4C66"/>
    <w:rsid w:val="000C4C74"/>
    <w:rsid w:val="000C4CFC"/>
    <w:rsid w:val="000C4F47"/>
    <w:rsid w:val="000C501B"/>
    <w:rsid w:val="000C50AB"/>
    <w:rsid w:val="000C50F0"/>
    <w:rsid w:val="000C5109"/>
    <w:rsid w:val="000C510C"/>
    <w:rsid w:val="000C5135"/>
    <w:rsid w:val="000C513B"/>
    <w:rsid w:val="000C544C"/>
    <w:rsid w:val="000C552F"/>
    <w:rsid w:val="000C55F0"/>
    <w:rsid w:val="000C5601"/>
    <w:rsid w:val="000C5613"/>
    <w:rsid w:val="000C5623"/>
    <w:rsid w:val="000C57D0"/>
    <w:rsid w:val="000C57EE"/>
    <w:rsid w:val="000C57F0"/>
    <w:rsid w:val="000C5921"/>
    <w:rsid w:val="000C5930"/>
    <w:rsid w:val="000C59CC"/>
    <w:rsid w:val="000C5A23"/>
    <w:rsid w:val="000C5BA5"/>
    <w:rsid w:val="000C5EA2"/>
    <w:rsid w:val="000C5F5E"/>
    <w:rsid w:val="000C5F79"/>
    <w:rsid w:val="000C6152"/>
    <w:rsid w:val="000C6267"/>
    <w:rsid w:val="000C62E6"/>
    <w:rsid w:val="000C6332"/>
    <w:rsid w:val="000C63B2"/>
    <w:rsid w:val="000C6409"/>
    <w:rsid w:val="000C64AA"/>
    <w:rsid w:val="000C655A"/>
    <w:rsid w:val="000C65B4"/>
    <w:rsid w:val="000C662B"/>
    <w:rsid w:val="000C6659"/>
    <w:rsid w:val="000C6668"/>
    <w:rsid w:val="000C66A5"/>
    <w:rsid w:val="000C6710"/>
    <w:rsid w:val="000C677A"/>
    <w:rsid w:val="000C6816"/>
    <w:rsid w:val="000C685C"/>
    <w:rsid w:val="000C6959"/>
    <w:rsid w:val="000C6AFB"/>
    <w:rsid w:val="000C6C1F"/>
    <w:rsid w:val="000C6C2E"/>
    <w:rsid w:val="000C6CC4"/>
    <w:rsid w:val="000C6D36"/>
    <w:rsid w:val="000C6D6B"/>
    <w:rsid w:val="000C6EA0"/>
    <w:rsid w:val="000C6FC3"/>
    <w:rsid w:val="000C7075"/>
    <w:rsid w:val="000C70C0"/>
    <w:rsid w:val="000C710D"/>
    <w:rsid w:val="000C7112"/>
    <w:rsid w:val="000C717D"/>
    <w:rsid w:val="000C7310"/>
    <w:rsid w:val="000C7362"/>
    <w:rsid w:val="000C739B"/>
    <w:rsid w:val="000C7616"/>
    <w:rsid w:val="000C776C"/>
    <w:rsid w:val="000C7818"/>
    <w:rsid w:val="000C79AC"/>
    <w:rsid w:val="000C7A53"/>
    <w:rsid w:val="000C7A90"/>
    <w:rsid w:val="000C7A96"/>
    <w:rsid w:val="000C7AB3"/>
    <w:rsid w:val="000C7CEF"/>
    <w:rsid w:val="000C7E67"/>
    <w:rsid w:val="000C7EA9"/>
    <w:rsid w:val="000D00AC"/>
    <w:rsid w:val="000D0234"/>
    <w:rsid w:val="000D024C"/>
    <w:rsid w:val="000D0278"/>
    <w:rsid w:val="000D041C"/>
    <w:rsid w:val="000D0454"/>
    <w:rsid w:val="000D0589"/>
    <w:rsid w:val="000D0614"/>
    <w:rsid w:val="000D0702"/>
    <w:rsid w:val="000D0767"/>
    <w:rsid w:val="000D07A6"/>
    <w:rsid w:val="000D0869"/>
    <w:rsid w:val="000D08AB"/>
    <w:rsid w:val="000D08D1"/>
    <w:rsid w:val="000D08E0"/>
    <w:rsid w:val="000D0904"/>
    <w:rsid w:val="000D090E"/>
    <w:rsid w:val="000D0B25"/>
    <w:rsid w:val="000D0C17"/>
    <w:rsid w:val="000D0D30"/>
    <w:rsid w:val="000D0D38"/>
    <w:rsid w:val="000D0D3B"/>
    <w:rsid w:val="000D0D3C"/>
    <w:rsid w:val="000D0DAD"/>
    <w:rsid w:val="000D0E7A"/>
    <w:rsid w:val="000D1151"/>
    <w:rsid w:val="000D1194"/>
    <w:rsid w:val="000D13F5"/>
    <w:rsid w:val="000D1458"/>
    <w:rsid w:val="000D1782"/>
    <w:rsid w:val="000D1828"/>
    <w:rsid w:val="000D1834"/>
    <w:rsid w:val="000D183C"/>
    <w:rsid w:val="000D18AC"/>
    <w:rsid w:val="000D1A10"/>
    <w:rsid w:val="000D1A4E"/>
    <w:rsid w:val="000D1A50"/>
    <w:rsid w:val="000D1A88"/>
    <w:rsid w:val="000D1B4A"/>
    <w:rsid w:val="000D1B69"/>
    <w:rsid w:val="000D1B7B"/>
    <w:rsid w:val="000D1C31"/>
    <w:rsid w:val="000D1C54"/>
    <w:rsid w:val="000D1C82"/>
    <w:rsid w:val="000D1CF4"/>
    <w:rsid w:val="000D1D3F"/>
    <w:rsid w:val="000D1DDB"/>
    <w:rsid w:val="000D1E76"/>
    <w:rsid w:val="000D1F40"/>
    <w:rsid w:val="000D1FEE"/>
    <w:rsid w:val="000D2025"/>
    <w:rsid w:val="000D2132"/>
    <w:rsid w:val="000D2169"/>
    <w:rsid w:val="000D222C"/>
    <w:rsid w:val="000D22DB"/>
    <w:rsid w:val="000D230C"/>
    <w:rsid w:val="000D238A"/>
    <w:rsid w:val="000D2483"/>
    <w:rsid w:val="000D248E"/>
    <w:rsid w:val="000D24BB"/>
    <w:rsid w:val="000D2513"/>
    <w:rsid w:val="000D2558"/>
    <w:rsid w:val="000D269A"/>
    <w:rsid w:val="000D275E"/>
    <w:rsid w:val="000D2799"/>
    <w:rsid w:val="000D27B2"/>
    <w:rsid w:val="000D2871"/>
    <w:rsid w:val="000D2A1F"/>
    <w:rsid w:val="000D2AC0"/>
    <w:rsid w:val="000D2BC0"/>
    <w:rsid w:val="000D2C52"/>
    <w:rsid w:val="000D2F81"/>
    <w:rsid w:val="000D2F9C"/>
    <w:rsid w:val="000D2FEA"/>
    <w:rsid w:val="000D3081"/>
    <w:rsid w:val="000D3294"/>
    <w:rsid w:val="000D32EF"/>
    <w:rsid w:val="000D32FC"/>
    <w:rsid w:val="000D338D"/>
    <w:rsid w:val="000D3519"/>
    <w:rsid w:val="000D35EB"/>
    <w:rsid w:val="000D36AA"/>
    <w:rsid w:val="000D36B4"/>
    <w:rsid w:val="000D3811"/>
    <w:rsid w:val="000D384D"/>
    <w:rsid w:val="000D3A26"/>
    <w:rsid w:val="000D3A72"/>
    <w:rsid w:val="000D3BD6"/>
    <w:rsid w:val="000D3C0F"/>
    <w:rsid w:val="000D3E58"/>
    <w:rsid w:val="000D3ED7"/>
    <w:rsid w:val="000D3EF8"/>
    <w:rsid w:val="000D3F0F"/>
    <w:rsid w:val="000D404D"/>
    <w:rsid w:val="000D4071"/>
    <w:rsid w:val="000D41CA"/>
    <w:rsid w:val="000D41F5"/>
    <w:rsid w:val="000D42FD"/>
    <w:rsid w:val="000D437A"/>
    <w:rsid w:val="000D44D0"/>
    <w:rsid w:val="000D464C"/>
    <w:rsid w:val="000D47B4"/>
    <w:rsid w:val="000D487D"/>
    <w:rsid w:val="000D4A12"/>
    <w:rsid w:val="000D4A17"/>
    <w:rsid w:val="000D4A19"/>
    <w:rsid w:val="000D4A1B"/>
    <w:rsid w:val="000D4A7E"/>
    <w:rsid w:val="000D4B5D"/>
    <w:rsid w:val="000D4CB3"/>
    <w:rsid w:val="000D4D3D"/>
    <w:rsid w:val="000D4E9C"/>
    <w:rsid w:val="000D4F8F"/>
    <w:rsid w:val="000D4F97"/>
    <w:rsid w:val="000D4FA2"/>
    <w:rsid w:val="000D5138"/>
    <w:rsid w:val="000D5143"/>
    <w:rsid w:val="000D51A2"/>
    <w:rsid w:val="000D52E0"/>
    <w:rsid w:val="000D54C6"/>
    <w:rsid w:val="000D5767"/>
    <w:rsid w:val="000D57A7"/>
    <w:rsid w:val="000D5835"/>
    <w:rsid w:val="000D58F3"/>
    <w:rsid w:val="000D5A46"/>
    <w:rsid w:val="000D5A72"/>
    <w:rsid w:val="000D5AFD"/>
    <w:rsid w:val="000D5B2F"/>
    <w:rsid w:val="000D5C5A"/>
    <w:rsid w:val="000D5CD4"/>
    <w:rsid w:val="000D5CEF"/>
    <w:rsid w:val="000D5EC6"/>
    <w:rsid w:val="000D5F40"/>
    <w:rsid w:val="000D5FE8"/>
    <w:rsid w:val="000D6099"/>
    <w:rsid w:val="000D6164"/>
    <w:rsid w:val="000D627A"/>
    <w:rsid w:val="000D62BA"/>
    <w:rsid w:val="000D62C7"/>
    <w:rsid w:val="000D6353"/>
    <w:rsid w:val="000D6418"/>
    <w:rsid w:val="000D657C"/>
    <w:rsid w:val="000D65C3"/>
    <w:rsid w:val="000D65F3"/>
    <w:rsid w:val="000D6629"/>
    <w:rsid w:val="000D6795"/>
    <w:rsid w:val="000D6834"/>
    <w:rsid w:val="000D6851"/>
    <w:rsid w:val="000D68A0"/>
    <w:rsid w:val="000D6CC7"/>
    <w:rsid w:val="000D6F38"/>
    <w:rsid w:val="000D7066"/>
    <w:rsid w:val="000D713C"/>
    <w:rsid w:val="000D723B"/>
    <w:rsid w:val="000D7276"/>
    <w:rsid w:val="000D7298"/>
    <w:rsid w:val="000D72E4"/>
    <w:rsid w:val="000D741F"/>
    <w:rsid w:val="000D74F2"/>
    <w:rsid w:val="000D7580"/>
    <w:rsid w:val="000D7673"/>
    <w:rsid w:val="000D7684"/>
    <w:rsid w:val="000D76D6"/>
    <w:rsid w:val="000D7741"/>
    <w:rsid w:val="000D7768"/>
    <w:rsid w:val="000D78CD"/>
    <w:rsid w:val="000D7A96"/>
    <w:rsid w:val="000D7AD2"/>
    <w:rsid w:val="000D7B25"/>
    <w:rsid w:val="000D7C0B"/>
    <w:rsid w:val="000D7C3F"/>
    <w:rsid w:val="000D7C6F"/>
    <w:rsid w:val="000D7C89"/>
    <w:rsid w:val="000D7C90"/>
    <w:rsid w:val="000D7CB0"/>
    <w:rsid w:val="000D7DB3"/>
    <w:rsid w:val="000D7F2D"/>
    <w:rsid w:val="000D7F46"/>
    <w:rsid w:val="000D7F7F"/>
    <w:rsid w:val="000E0224"/>
    <w:rsid w:val="000E02F9"/>
    <w:rsid w:val="000E0435"/>
    <w:rsid w:val="000E043F"/>
    <w:rsid w:val="000E052A"/>
    <w:rsid w:val="000E0555"/>
    <w:rsid w:val="000E0699"/>
    <w:rsid w:val="000E06CF"/>
    <w:rsid w:val="000E0A81"/>
    <w:rsid w:val="000E0AD5"/>
    <w:rsid w:val="000E0B18"/>
    <w:rsid w:val="000E0C38"/>
    <w:rsid w:val="000E0CE6"/>
    <w:rsid w:val="000E0D4C"/>
    <w:rsid w:val="000E0DA1"/>
    <w:rsid w:val="000E0DAF"/>
    <w:rsid w:val="000E102D"/>
    <w:rsid w:val="000E1198"/>
    <w:rsid w:val="000E1318"/>
    <w:rsid w:val="000E1362"/>
    <w:rsid w:val="000E1363"/>
    <w:rsid w:val="000E1376"/>
    <w:rsid w:val="000E1444"/>
    <w:rsid w:val="000E15A9"/>
    <w:rsid w:val="000E1698"/>
    <w:rsid w:val="000E17F8"/>
    <w:rsid w:val="000E17FB"/>
    <w:rsid w:val="000E1892"/>
    <w:rsid w:val="000E19F1"/>
    <w:rsid w:val="000E1A7F"/>
    <w:rsid w:val="000E1BA7"/>
    <w:rsid w:val="000E1C33"/>
    <w:rsid w:val="000E1CC7"/>
    <w:rsid w:val="000E1CF2"/>
    <w:rsid w:val="000E1D29"/>
    <w:rsid w:val="000E1E07"/>
    <w:rsid w:val="000E1FA5"/>
    <w:rsid w:val="000E1FDB"/>
    <w:rsid w:val="000E20BC"/>
    <w:rsid w:val="000E216D"/>
    <w:rsid w:val="000E21ED"/>
    <w:rsid w:val="000E2344"/>
    <w:rsid w:val="000E262E"/>
    <w:rsid w:val="000E265B"/>
    <w:rsid w:val="000E2685"/>
    <w:rsid w:val="000E26BD"/>
    <w:rsid w:val="000E2706"/>
    <w:rsid w:val="000E2791"/>
    <w:rsid w:val="000E2968"/>
    <w:rsid w:val="000E2AEB"/>
    <w:rsid w:val="000E2B5C"/>
    <w:rsid w:val="000E2B66"/>
    <w:rsid w:val="000E2C14"/>
    <w:rsid w:val="000E2C86"/>
    <w:rsid w:val="000E2D38"/>
    <w:rsid w:val="000E2D6B"/>
    <w:rsid w:val="000E2E5D"/>
    <w:rsid w:val="000E2F8E"/>
    <w:rsid w:val="000E2F93"/>
    <w:rsid w:val="000E306F"/>
    <w:rsid w:val="000E3093"/>
    <w:rsid w:val="000E30B1"/>
    <w:rsid w:val="000E30EE"/>
    <w:rsid w:val="000E3133"/>
    <w:rsid w:val="000E31AE"/>
    <w:rsid w:val="000E31BE"/>
    <w:rsid w:val="000E3290"/>
    <w:rsid w:val="000E33CA"/>
    <w:rsid w:val="000E33CE"/>
    <w:rsid w:val="000E343E"/>
    <w:rsid w:val="000E3525"/>
    <w:rsid w:val="000E3534"/>
    <w:rsid w:val="000E3657"/>
    <w:rsid w:val="000E369B"/>
    <w:rsid w:val="000E36AA"/>
    <w:rsid w:val="000E36B4"/>
    <w:rsid w:val="000E38E6"/>
    <w:rsid w:val="000E3907"/>
    <w:rsid w:val="000E393D"/>
    <w:rsid w:val="000E3A28"/>
    <w:rsid w:val="000E3AA6"/>
    <w:rsid w:val="000E3AAA"/>
    <w:rsid w:val="000E3D60"/>
    <w:rsid w:val="000E3EF1"/>
    <w:rsid w:val="000E3F59"/>
    <w:rsid w:val="000E3F66"/>
    <w:rsid w:val="000E3F74"/>
    <w:rsid w:val="000E421B"/>
    <w:rsid w:val="000E424A"/>
    <w:rsid w:val="000E4291"/>
    <w:rsid w:val="000E42B4"/>
    <w:rsid w:val="000E4318"/>
    <w:rsid w:val="000E435D"/>
    <w:rsid w:val="000E43A7"/>
    <w:rsid w:val="000E444C"/>
    <w:rsid w:val="000E4455"/>
    <w:rsid w:val="000E45D8"/>
    <w:rsid w:val="000E4624"/>
    <w:rsid w:val="000E47C6"/>
    <w:rsid w:val="000E47F3"/>
    <w:rsid w:val="000E4931"/>
    <w:rsid w:val="000E4A3F"/>
    <w:rsid w:val="000E4C46"/>
    <w:rsid w:val="000E4C4E"/>
    <w:rsid w:val="000E4C6D"/>
    <w:rsid w:val="000E4EB6"/>
    <w:rsid w:val="000E4EC5"/>
    <w:rsid w:val="000E4ED6"/>
    <w:rsid w:val="000E50BC"/>
    <w:rsid w:val="000E515F"/>
    <w:rsid w:val="000E5239"/>
    <w:rsid w:val="000E52E7"/>
    <w:rsid w:val="000E5407"/>
    <w:rsid w:val="000E549F"/>
    <w:rsid w:val="000E5511"/>
    <w:rsid w:val="000E5693"/>
    <w:rsid w:val="000E572E"/>
    <w:rsid w:val="000E574B"/>
    <w:rsid w:val="000E579D"/>
    <w:rsid w:val="000E57C5"/>
    <w:rsid w:val="000E58FF"/>
    <w:rsid w:val="000E5AA1"/>
    <w:rsid w:val="000E5BBA"/>
    <w:rsid w:val="000E5E41"/>
    <w:rsid w:val="000E5EF5"/>
    <w:rsid w:val="000E5F18"/>
    <w:rsid w:val="000E6050"/>
    <w:rsid w:val="000E608A"/>
    <w:rsid w:val="000E6125"/>
    <w:rsid w:val="000E61CC"/>
    <w:rsid w:val="000E61D9"/>
    <w:rsid w:val="000E61F6"/>
    <w:rsid w:val="000E6291"/>
    <w:rsid w:val="000E6314"/>
    <w:rsid w:val="000E6408"/>
    <w:rsid w:val="000E652A"/>
    <w:rsid w:val="000E6537"/>
    <w:rsid w:val="000E658F"/>
    <w:rsid w:val="000E665C"/>
    <w:rsid w:val="000E6784"/>
    <w:rsid w:val="000E6889"/>
    <w:rsid w:val="000E68CF"/>
    <w:rsid w:val="000E69FD"/>
    <w:rsid w:val="000E6A93"/>
    <w:rsid w:val="000E6A96"/>
    <w:rsid w:val="000E6AAA"/>
    <w:rsid w:val="000E6BF9"/>
    <w:rsid w:val="000E6C3A"/>
    <w:rsid w:val="000E6C64"/>
    <w:rsid w:val="000E6C9C"/>
    <w:rsid w:val="000E6D31"/>
    <w:rsid w:val="000E6DCD"/>
    <w:rsid w:val="000E6E7B"/>
    <w:rsid w:val="000E6F27"/>
    <w:rsid w:val="000E6F4C"/>
    <w:rsid w:val="000E6F5F"/>
    <w:rsid w:val="000E6FE7"/>
    <w:rsid w:val="000E73CF"/>
    <w:rsid w:val="000E74E0"/>
    <w:rsid w:val="000E7600"/>
    <w:rsid w:val="000E762F"/>
    <w:rsid w:val="000E767D"/>
    <w:rsid w:val="000E7730"/>
    <w:rsid w:val="000E784B"/>
    <w:rsid w:val="000E788C"/>
    <w:rsid w:val="000E78E5"/>
    <w:rsid w:val="000E7908"/>
    <w:rsid w:val="000E79B5"/>
    <w:rsid w:val="000E7A12"/>
    <w:rsid w:val="000E7AA2"/>
    <w:rsid w:val="000E7B92"/>
    <w:rsid w:val="000E7BBF"/>
    <w:rsid w:val="000E7CA3"/>
    <w:rsid w:val="000E7CD2"/>
    <w:rsid w:val="000E7D2A"/>
    <w:rsid w:val="000E7E3B"/>
    <w:rsid w:val="000E7FA9"/>
    <w:rsid w:val="000F0070"/>
    <w:rsid w:val="000F00B0"/>
    <w:rsid w:val="000F00D3"/>
    <w:rsid w:val="000F028C"/>
    <w:rsid w:val="000F0395"/>
    <w:rsid w:val="000F041A"/>
    <w:rsid w:val="000F0514"/>
    <w:rsid w:val="000F0518"/>
    <w:rsid w:val="000F0657"/>
    <w:rsid w:val="000F06F0"/>
    <w:rsid w:val="000F080C"/>
    <w:rsid w:val="000F091A"/>
    <w:rsid w:val="000F0921"/>
    <w:rsid w:val="000F0AF1"/>
    <w:rsid w:val="000F0B26"/>
    <w:rsid w:val="000F0D1B"/>
    <w:rsid w:val="000F0D56"/>
    <w:rsid w:val="000F0D76"/>
    <w:rsid w:val="000F0E03"/>
    <w:rsid w:val="000F0E12"/>
    <w:rsid w:val="000F0E50"/>
    <w:rsid w:val="000F0E99"/>
    <w:rsid w:val="000F105C"/>
    <w:rsid w:val="000F1260"/>
    <w:rsid w:val="000F12C3"/>
    <w:rsid w:val="000F130A"/>
    <w:rsid w:val="000F1336"/>
    <w:rsid w:val="000F136B"/>
    <w:rsid w:val="000F139C"/>
    <w:rsid w:val="000F13AC"/>
    <w:rsid w:val="000F1490"/>
    <w:rsid w:val="000F1702"/>
    <w:rsid w:val="000F1750"/>
    <w:rsid w:val="000F1781"/>
    <w:rsid w:val="000F17BA"/>
    <w:rsid w:val="000F1810"/>
    <w:rsid w:val="000F1876"/>
    <w:rsid w:val="000F18DF"/>
    <w:rsid w:val="000F1905"/>
    <w:rsid w:val="000F195A"/>
    <w:rsid w:val="000F1B9E"/>
    <w:rsid w:val="000F1BDE"/>
    <w:rsid w:val="000F1CC0"/>
    <w:rsid w:val="000F1D83"/>
    <w:rsid w:val="000F2053"/>
    <w:rsid w:val="000F20DD"/>
    <w:rsid w:val="000F21C6"/>
    <w:rsid w:val="000F2334"/>
    <w:rsid w:val="000F2446"/>
    <w:rsid w:val="000F249D"/>
    <w:rsid w:val="000F2535"/>
    <w:rsid w:val="000F25C7"/>
    <w:rsid w:val="000F25E3"/>
    <w:rsid w:val="000F25EA"/>
    <w:rsid w:val="000F26A9"/>
    <w:rsid w:val="000F26C6"/>
    <w:rsid w:val="000F276F"/>
    <w:rsid w:val="000F27CF"/>
    <w:rsid w:val="000F292E"/>
    <w:rsid w:val="000F29D8"/>
    <w:rsid w:val="000F29DA"/>
    <w:rsid w:val="000F2A46"/>
    <w:rsid w:val="000F2AF6"/>
    <w:rsid w:val="000F2B13"/>
    <w:rsid w:val="000F2B40"/>
    <w:rsid w:val="000F2CA4"/>
    <w:rsid w:val="000F2F9D"/>
    <w:rsid w:val="000F2FAB"/>
    <w:rsid w:val="000F30D6"/>
    <w:rsid w:val="000F320E"/>
    <w:rsid w:val="000F3394"/>
    <w:rsid w:val="000F33B0"/>
    <w:rsid w:val="000F33CB"/>
    <w:rsid w:val="000F3442"/>
    <w:rsid w:val="000F3603"/>
    <w:rsid w:val="000F36A2"/>
    <w:rsid w:val="000F36FC"/>
    <w:rsid w:val="000F373F"/>
    <w:rsid w:val="000F375B"/>
    <w:rsid w:val="000F38E6"/>
    <w:rsid w:val="000F393F"/>
    <w:rsid w:val="000F3A45"/>
    <w:rsid w:val="000F3A50"/>
    <w:rsid w:val="000F3DDF"/>
    <w:rsid w:val="000F3DFB"/>
    <w:rsid w:val="000F3EC3"/>
    <w:rsid w:val="000F3F39"/>
    <w:rsid w:val="000F4048"/>
    <w:rsid w:val="000F413F"/>
    <w:rsid w:val="000F41A1"/>
    <w:rsid w:val="000F41E1"/>
    <w:rsid w:val="000F42F2"/>
    <w:rsid w:val="000F43B5"/>
    <w:rsid w:val="000F4434"/>
    <w:rsid w:val="000F448D"/>
    <w:rsid w:val="000F45D5"/>
    <w:rsid w:val="000F461B"/>
    <w:rsid w:val="000F4622"/>
    <w:rsid w:val="000F4695"/>
    <w:rsid w:val="000F4779"/>
    <w:rsid w:val="000F4A95"/>
    <w:rsid w:val="000F4ABE"/>
    <w:rsid w:val="000F4AC8"/>
    <w:rsid w:val="000F4C89"/>
    <w:rsid w:val="000F4CA9"/>
    <w:rsid w:val="000F4D3E"/>
    <w:rsid w:val="000F4DDC"/>
    <w:rsid w:val="000F4FD0"/>
    <w:rsid w:val="000F50D8"/>
    <w:rsid w:val="000F5385"/>
    <w:rsid w:val="000F551F"/>
    <w:rsid w:val="000F55DC"/>
    <w:rsid w:val="000F563D"/>
    <w:rsid w:val="000F5662"/>
    <w:rsid w:val="000F570F"/>
    <w:rsid w:val="000F594D"/>
    <w:rsid w:val="000F5B0F"/>
    <w:rsid w:val="000F5B21"/>
    <w:rsid w:val="000F5B5B"/>
    <w:rsid w:val="000F5B67"/>
    <w:rsid w:val="000F5C90"/>
    <w:rsid w:val="000F5E7E"/>
    <w:rsid w:val="000F5E93"/>
    <w:rsid w:val="000F5EFB"/>
    <w:rsid w:val="000F5F81"/>
    <w:rsid w:val="000F6022"/>
    <w:rsid w:val="000F60B8"/>
    <w:rsid w:val="000F60E3"/>
    <w:rsid w:val="000F61A1"/>
    <w:rsid w:val="000F6258"/>
    <w:rsid w:val="000F63B1"/>
    <w:rsid w:val="000F649F"/>
    <w:rsid w:val="000F64E8"/>
    <w:rsid w:val="000F6787"/>
    <w:rsid w:val="000F6890"/>
    <w:rsid w:val="000F69FF"/>
    <w:rsid w:val="000F6A5F"/>
    <w:rsid w:val="000F6A8C"/>
    <w:rsid w:val="000F6B78"/>
    <w:rsid w:val="000F6BBC"/>
    <w:rsid w:val="000F6D3C"/>
    <w:rsid w:val="000F6DB8"/>
    <w:rsid w:val="000F6E67"/>
    <w:rsid w:val="000F710F"/>
    <w:rsid w:val="000F71B4"/>
    <w:rsid w:val="000F7205"/>
    <w:rsid w:val="000F7247"/>
    <w:rsid w:val="000F728F"/>
    <w:rsid w:val="000F7390"/>
    <w:rsid w:val="000F73AA"/>
    <w:rsid w:val="000F73F1"/>
    <w:rsid w:val="000F7475"/>
    <w:rsid w:val="000F74DA"/>
    <w:rsid w:val="000F751A"/>
    <w:rsid w:val="000F751E"/>
    <w:rsid w:val="000F7587"/>
    <w:rsid w:val="000F7597"/>
    <w:rsid w:val="000F75C1"/>
    <w:rsid w:val="000F75EA"/>
    <w:rsid w:val="000F762C"/>
    <w:rsid w:val="000F76CE"/>
    <w:rsid w:val="000F771F"/>
    <w:rsid w:val="000F7813"/>
    <w:rsid w:val="000F792A"/>
    <w:rsid w:val="000F7A0F"/>
    <w:rsid w:val="000F7AFB"/>
    <w:rsid w:val="000F7B00"/>
    <w:rsid w:val="000F7B34"/>
    <w:rsid w:val="000F7C5F"/>
    <w:rsid w:val="000F7D59"/>
    <w:rsid w:val="000F7DB7"/>
    <w:rsid w:val="000F7F4F"/>
    <w:rsid w:val="001000F3"/>
    <w:rsid w:val="00100151"/>
    <w:rsid w:val="001001DC"/>
    <w:rsid w:val="001001DD"/>
    <w:rsid w:val="00100259"/>
    <w:rsid w:val="001002A7"/>
    <w:rsid w:val="001003A9"/>
    <w:rsid w:val="00100515"/>
    <w:rsid w:val="00100573"/>
    <w:rsid w:val="00100582"/>
    <w:rsid w:val="001005DB"/>
    <w:rsid w:val="0010065A"/>
    <w:rsid w:val="00100668"/>
    <w:rsid w:val="001006AB"/>
    <w:rsid w:val="001006D4"/>
    <w:rsid w:val="00100745"/>
    <w:rsid w:val="00100781"/>
    <w:rsid w:val="0010078C"/>
    <w:rsid w:val="00100847"/>
    <w:rsid w:val="001008BB"/>
    <w:rsid w:val="001008FD"/>
    <w:rsid w:val="00100959"/>
    <w:rsid w:val="00100B3A"/>
    <w:rsid w:val="00100C3A"/>
    <w:rsid w:val="00100C44"/>
    <w:rsid w:val="00100C78"/>
    <w:rsid w:val="00100DD1"/>
    <w:rsid w:val="00100E70"/>
    <w:rsid w:val="00100F0E"/>
    <w:rsid w:val="00100FA0"/>
    <w:rsid w:val="00101004"/>
    <w:rsid w:val="00101055"/>
    <w:rsid w:val="00101056"/>
    <w:rsid w:val="001011C0"/>
    <w:rsid w:val="00101245"/>
    <w:rsid w:val="0010126E"/>
    <w:rsid w:val="001012A8"/>
    <w:rsid w:val="0010142A"/>
    <w:rsid w:val="00101524"/>
    <w:rsid w:val="0010154B"/>
    <w:rsid w:val="00101567"/>
    <w:rsid w:val="00101617"/>
    <w:rsid w:val="00101761"/>
    <w:rsid w:val="00101767"/>
    <w:rsid w:val="00101891"/>
    <w:rsid w:val="001018E1"/>
    <w:rsid w:val="00101B14"/>
    <w:rsid w:val="00101B6C"/>
    <w:rsid w:val="00101BBD"/>
    <w:rsid w:val="00101FE2"/>
    <w:rsid w:val="001020CD"/>
    <w:rsid w:val="00102180"/>
    <w:rsid w:val="00102207"/>
    <w:rsid w:val="0010220B"/>
    <w:rsid w:val="00102282"/>
    <w:rsid w:val="001022A4"/>
    <w:rsid w:val="00102390"/>
    <w:rsid w:val="00102441"/>
    <w:rsid w:val="0010258A"/>
    <w:rsid w:val="001027EF"/>
    <w:rsid w:val="00102965"/>
    <w:rsid w:val="00102B13"/>
    <w:rsid w:val="00102B8B"/>
    <w:rsid w:val="00102BC5"/>
    <w:rsid w:val="00102C5F"/>
    <w:rsid w:val="00102CD7"/>
    <w:rsid w:val="00102D5A"/>
    <w:rsid w:val="00102D8C"/>
    <w:rsid w:val="00102E25"/>
    <w:rsid w:val="00102E2F"/>
    <w:rsid w:val="00102E79"/>
    <w:rsid w:val="00102EFD"/>
    <w:rsid w:val="00102F68"/>
    <w:rsid w:val="00102FAC"/>
    <w:rsid w:val="001031BA"/>
    <w:rsid w:val="00103256"/>
    <w:rsid w:val="001032BE"/>
    <w:rsid w:val="00103318"/>
    <w:rsid w:val="00103347"/>
    <w:rsid w:val="00103401"/>
    <w:rsid w:val="00103603"/>
    <w:rsid w:val="001036BE"/>
    <w:rsid w:val="001036D2"/>
    <w:rsid w:val="00103853"/>
    <w:rsid w:val="0010392D"/>
    <w:rsid w:val="00103958"/>
    <w:rsid w:val="00103A37"/>
    <w:rsid w:val="00103A3D"/>
    <w:rsid w:val="00103AE8"/>
    <w:rsid w:val="00103BD8"/>
    <w:rsid w:val="00103DBF"/>
    <w:rsid w:val="00103DC0"/>
    <w:rsid w:val="00103E0E"/>
    <w:rsid w:val="00103E88"/>
    <w:rsid w:val="00103F38"/>
    <w:rsid w:val="00104124"/>
    <w:rsid w:val="00104145"/>
    <w:rsid w:val="00104238"/>
    <w:rsid w:val="001042B1"/>
    <w:rsid w:val="001042F6"/>
    <w:rsid w:val="00104376"/>
    <w:rsid w:val="001043E2"/>
    <w:rsid w:val="00104A4A"/>
    <w:rsid w:val="00104AFF"/>
    <w:rsid w:val="00104C16"/>
    <w:rsid w:val="00104C3B"/>
    <w:rsid w:val="00104D67"/>
    <w:rsid w:val="00104E82"/>
    <w:rsid w:val="00104FBC"/>
    <w:rsid w:val="0010509B"/>
    <w:rsid w:val="001050C7"/>
    <w:rsid w:val="001051A2"/>
    <w:rsid w:val="00105204"/>
    <w:rsid w:val="00105261"/>
    <w:rsid w:val="00105341"/>
    <w:rsid w:val="00105705"/>
    <w:rsid w:val="00105730"/>
    <w:rsid w:val="00105803"/>
    <w:rsid w:val="00105863"/>
    <w:rsid w:val="001059BB"/>
    <w:rsid w:val="00105B4F"/>
    <w:rsid w:val="00105C01"/>
    <w:rsid w:val="00105C2C"/>
    <w:rsid w:val="00105C5E"/>
    <w:rsid w:val="00105C97"/>
    <w:rsid w:val="00105E8D"/>
    <w:rsid w:val="00105F6E"/>
    <w:rsid w:val="00106073"/>
    <w:rsid w:val="00106117"/>
    <w:rsid w:val="00106261"/>
    <w:rsid w:val="00106315"/>
    <w:rsid w:val="00106381"/>
    <w:rsid w:val="001063C3"/>
    <w:rsid w:val="00106426"/>
    <w:rsid w:val="001064D3"/>
    <w:rsid w:val="00106578"/>
    <w:rsid w:val="00106634"/>
    <w:rsid w:val="001067ED"/>
    <w:rsid w:val="0010685E"/>
    <w:rsid w:val="0010686D"/>
    <w:rsid w:val="00106990"/>
    <w:rsid w:val="00106B21"/>
    <w:rsid w:val="00106B45"/>
    <w:rsid w:val="00106CA1"/>
    <w:rsid w:val="00106CEE"/>
    <w:rsid w:val="00106DA5"/>
    <w:rsid w:val="00106DBC"/>
    <w:rsid w:val="00106E11"/>
    <w:rsid w:val="00106EB7"/>
    <w:rsid w:val="00106FBD"/>
    <w:rsid w:val="00106FEC"/>
    <w:rsid w:val="00107003"/>
    <w:rsid w:val="001070B9"/>
    <w:rsid w:val="001070EA"/>
    <w:rsid w:val="0010718F"/>
    <w:rsid w:val="00107207"/>
    <w:rsid w:val="00107412"/>
    <w:rsid w:val="001075A4"/>
    <w:rsid w:val="001076B7"/>
    <w:rsid w:val="001076BE"/>
    <w:rsid w:val="001079A6"/>
    <w:rsid w:val="001079A8"/>
    <w:rsid w:val="001079B3"/>
    <w:rsid w:val="001079E4"/>
    <w:rsid w:val="00107A3C"/>
    <w:rsid w:val="00107A45"/>
    <w:rsid w:val="00107A83"/>
    <w:rsid w:val="00107A8F"/>
    <w:rsid w:val="00107B0C"/>
    <w:rsid w:val="00107B18"/>
    <w:rsid w:val="00107B8C"/>
    <w:rsid w:val="00107CCA"/>
    <w:rsid w:val="00107E17"/>
    <w:rsid w:val="00107E29"/>
    <w:rsid w:val="00107E79"/>
    <w:rsid w:val="00107EF1"/>
    <w:rsid w:val="00107FAB"/>
    <w:rsid w:val="00107FE8"/>
    <w:rsid w:val="00110090"/>
    <w:rsid w:val="001100FB"/>
    <w:rsid w:val="0011013F"/>
    <w:rsid w:val="001101A8"/>
    <w:rsid w:val="0011025A"/>
    <w:rsid w:val="001102B3"/>
    <w:rsid w:val="001103BE"/>
    <w:rsid w:val="00110531"/>
    <w:rsid w:val="001105CC"/>
    <w:rsid w:val="001105FE"/>
    <w:rsid w:val="0011061B"/>
    <w:rsid w:val="001106C0"/>
    <w:rsid w:val="001106FA"/>
    <w:rsid w:val="00110724"/>
    <w:rsid w:val="00110843"/>
    <w:rsid w:val="001109E8"/>
    <w:rsid w:val="00110A3B"/>
    <w:rsid w:val="00110BB2"/>
    <w:rsid w:val="00110C2E"/>
    <w:rsid w:val="00110D49"/>
    <w:rsid w:val="00110DBD"/>
    <w:rsid w:val="00110EAC"/>
    <w:rsid w:val="00110ED6"/>
    <w:rsid w:val="00111087"/>
    <w:rsid w:val="00111231"/>
    <w:rsid w:val="00111275"/>
    <w:rsid w:val="0011139F"/>
    <w:rsid w:val="00111495"/>
    <w:rsid w:val="0011162A"/>
    <w:rsid w:val="00111668"/>
    <w:rsid w:val="00111716"/>
    <w:rsid w:val="00111801"/>
    <w:rsid w:val="0011184B"/>
    <w:rsid w:val="001118C4"/>
    <w:rsid w:val="001118E2"/>
    <w:rsid w:val="00111CAE"/>
    <w:rsid w:val="00111D7C"/>
    <w:rsid w:val="00111EA5"/>
    <w:rsid w:val="00111FA8"/>
    <w:rsid w:val="00111FCA"/>
    <w:rsid w:val="00111FE0"/>
    <w:rsid w:val="00112009"/>
    <w:rsid w:val="001120D8"/>
    <w:rsid w:val="001121C1"/>
    <w:rsid w:val="0011220A"/>
    <w:rsid w:val="0011253F"/>
    <w:rsid w:val="00112557"/>
    <w:rsid w:val="00112567"/>
    <w:rsid w:val="0011256C"/>
    <w:rsid w:val="001126F6"/>
    <w:rsid w:val="00112803"/>
    <w:rsid w:val="00112A35"/>
    <w:rsid w:val="00112BDC"/>
    <w:rsid w:val="00112DDE"/>
    <w:rsid w:val="00112E1C"/>
    <w:rsid w:val="00112E1F"/>
    <w:rsid w:val="00112E77"/>
    <w:rsid w:val="00112F07"/>
    <w:rsid w:val="00113014"/>
    <w:rsid w:val="0011303C"/>
    <w:rsid w:val="0011312D"/>
    <w:rsid w:val="00113194"/>
    <w:rsid w:val="001133AA"/>
    <w:rsid w:val="0011347E"/>
    <w:rsid w:val="001134C2"/>
    <w:rsid w:val="001134E6"/>
    <w:rsid w:val="001135B3"/>
    <w:rsid w:val="00113630"/>
    <w:rsid w:val="00113635"/>
    <w:rsid w:val="0011365F"/>
    <w:rsid w:val="0011371C"/>
    <w:rsid w:val="00113739"/>
    <w:rsid w:val="0011384C"/>
    <w:rsid w:val="00113876"/>
    <w:rsid w:val="00113973"/>
    <w:rsid w:val="001139B1"/>
    <w:rsid w:val="00113C8B"/>
    <w:rsid w:val="00113DA2"/>
    <w:rsid w:val="00113DE2"/>
    <w:rsid w:val="00113EE9"/>
    <w:rsid w:val="00113FA5"/>
    <w:rsid w:val="00113FEB"/>
    <w:rsid w:val="001141E3"/>
    <w:rsid w:val="00114461"/>
    <w:rsid w:val="0011452E"/>
    <w:rsid w:val="00114585"/>
    <w:rsid w:val="001145E6"/>
    <w:rsid w:val="001146C6"/>
    <w:rsid w:val="00114705"/>
    <w:rsid w:val="001147E5"/>
    <w:rsid w:val="001148BE"/>
    <w:rsid w:val="001148E4"/>
    <w:rsid w:val="0011492B"/>
    <w:rsid w:val="0011498E"/>
    <w:rsid w:val="00114DE9"/>
    <w:rsid w:val="001152F6"/>
    <w:rsid w:val="0011531A"/>
    <w:rsid w:val="0011538D"/>
    <w:rsid w:val="001153EA"/>
    <w:rsid w:val="0011544E"/>
    <w:rsid w:val="00115519"/>
    <w:rsid w:val="00115542"/>
    <w:rsid w:val="00115572"/>
    <w:rsid w:val="00115689"/>
    <w:rsid w:val="001156E8"/>
    <w:rsid w:val="001159E9"/>
    <w:rsid w:val="001159F1"/>
    <w:rsid w:val="00115AC3"/>
    <w:rsid w:val="00115BB6"/>
    <w:rsid w:val="00115C49"/>
    <w:rsid w:val="00115DF3"/>
    <w:rsid w:val="00115E83"/>
    <w:rsid w:val="0011604F"/>
    <w:rsid w:val="00116102"/>
    <w:rsid w:val="001161F8"/>
    <w:rsid w:val="0011622A"/>
    <w:rsid w:val="00116307"/>
    <w:rsid w:val="00116387"/>
    <w:rsid w:val="001164EA"/>
    <w:rsid w:val="0011656D"/>
    <w:rsid w:val="00116635"/>
    <w:rsid w:val="00116662"/>
    <w:rsid w:val="00116937"/>
    <w:rsid w:val="00116BFA"/>
    <w:rsid w:val="00116C22"/>
    <w:rsid w:val="00116C2D"/>
    <w:rsid w:val="00116C6A"/>
    <w:rsid w:val="00116CAD"/>
    <w:rsid w:val="00116DF6"/>
    <w:rsid w:val="00116E6B"/>
    <w:rsid w:val="00116F90"/>
    <w:rsid w:val="00117010"/>
    <w:rsid w:val="0011721C"/>
    <w:rsid w:val="00117221"/>
    <w:rsid w:val="001172B3"/>
    <w:rsid w:val="0011731B"/>
    <w:rsid w:val="0011744C"/>
    <w:rsid w:val="001175D4"/>
    <w:rsid w:val="0011776F"/>
    <w:rsid w:val="001177D6"/>
    <w:rsid w:val="00117939"/>
    <w:rsid w:val="00117965"/>
    <w:rsid w:val="00117AAD"/>
    <w:rsid w:val="00117ADC"/>
    <w:rsid w:val="00117B70"/>
    <w:rsid w:val="00117BCB"/>
    <w:rsid w:val="00117CCB"/>
    <w:rsid w:val="00117CF5"/>
    <w:rsid w:val="00117E83"/>
    <w:rsid w:val="00117F89"/>
    <w:rsid w:val="0012022F"/>
    <w:rsid w:val="00120258"/>
    <w:rsid w:val="001202A8"/>
    <w:rsid w:val="00120302"/>
    <w:rsid w:val="00120377"/>
    <w:rsid w:val="001203E1"/>
    <w:rsid w:val="001203FE"/>
    <w:rsid w:val="00120458"/>
    <w:rsid w:val="00120679"/>
    <w:rsid w:val="00120777"/>
    <w:rsid w:val="001207E6"/>
    <w:rsid w:val="00120836"/>
    <w:rsid w:val="001208F1"/>
    <w:rsid w:val="001209B6"/>
    <w:rsid w:val="00120A48"/>
    <w:rsid w:val="00120A90"/>
    <w:rsid w:val="00120AFF"/>
    <w:rsid w:val="00120B03"/>
    <w:rsid w:val="00120C33"/>
    <w:rsid w:val="00120E1D"/>
    <w:rsid w:val="00120EE9"/>
    <w:rsid w:val="001210F0"/>
    <w:rsid w:val="0012112D"/>
    <w:rsid w:val="0012114E"/>
    <w:rsid w:val="00121255"/>
    <w:rsid w:val="001212C0"/>
    <w:rsid w:val="001212D4"/>
    <w:rsid w:val="001213A3"/>
    <w:rsid w:val="001213F6"/>
    <w:rsid w:val="001214DC"/>
    <w:rsid w:val="001216F4"/>
    <w:rsid w:val="00121839"/>
    <w:rsid w:val="001218B3"/>
    <w:rsid w:val="001218ED"/>
    <w:rsid w:val="00121A23"/>
    <w:rsid w:val="00121A5F"/>
    <w:rsid w:val="00121A7C"/>
    <w:rsid w:val="00121A81"/>
    <w:rsid w:val="00121AFF"/>
    <w:rsid w:val="00121CFC"/>
    <w:rsid w:val="00121EEB"/>
    <w:rsid w:val="0012217F"/>
    <w:rsid w:val="00122225"/>
    <w:rsid w:val="001222D1"/>
    <w:rsid w:val="0012242B"/>
    <w:rsid w:val="00122444"/>
    <w:rsid w:val="0012249F"/>
    <w:rsid w:val="0012251B"/>
    <w:rsid w:val="00122679"/>
    <w:rsid w:val="001226CE"/>
    <w:rsid w:val="001226F4"/>
    <w:rsid w:val="00122721"/>
    <w:rsid w:val="00122825"/>
    <w:rsid w:val="0012283C"/>
    <w:rsid w:val="001228A5"/>
    <w:rsid w:val="00122959"/>
    <w:rsid w:val="001229FB"/>
    <w:rsid w:val="00122AA4"/>
    <w:rsid w:val="00122AC5"/>
    <w:rsid w:val="00122BBB"/>
    <w:rsid w:val="00122BCB"/>
    <w:rsid w:val="00122C00"/>
    <w:rsid w:val="00122D83"/>
    <w:rsid w:val="00122EAF"/>
    <w:rsid w:val="00122EF1"/>
    <w:rsid w:val="00122F43"/>
    <w:rsid w:val="00122F49"/>
    <w:rsid w:val="00122F92"/>
    <w:rsid w:val="001230A4"/>
    <w:rsid w:val="001230C8"/>
    <w:rsid w:val="0012318E"/>
    <w:rsid w:val="00123231"/>
    <w:rsid w:val="001232E5"/>
    <w:rsid w:val="001234FC"/>
    <w:rsid w:val="0012352A"/>
    <w:rsid w:val="001235C7"/>
    <w:rsid w:val="00123747"/>
    <w:rsid w:val="00123C72"/>
    <w:rsid w:val="00123CB2"/>
    <w:rsid w:val="00123DC8"/>
    <w:rsid w:val="00123EB1"/>
    <w:rsid w:val="00124176"/>
    <w:rsid w:val="0012418A"/>
    <w:rsid w:val="00124289"/>
    <w:rsid w:val="001242F7"/>
    <w:rsid w:val="001243E4"/>
    <w:rsid w:val="001244B5"/>
    <w:rsid w:val="00124522"/>
    <w:rsid w:val="00124744"/>
    <w:rsid w:val="00124819"/>
    <w:rsid w:val="00124971"/>
    <w:rsid w:val="00124A04"/>
    <w:rsid w:val="00124A3F"/>
    <w:rsid w:val="00124D4B"/>
    <w:rsid w:val="00124D65"/>
    <w:rsid w:val="00124E69"/>
    <w:rsid w:val="0012516C"/>
    <w:rsid w:val="001251C7"/>
    <w:rsid w:val="0012531C"/>
    <w:rsid w:val="00125346"/>
    <w:rsid w:val="0012540E"/>
    <w:rsid w:val="0012546F"/>
    <w:rsid w:val="00125504"/>
    <w:rsid w:val="001257CC"/>
    <w:rsid w:val="00125845"/>
    <w:rsid w:val="001258D2"/>
    <w:rsid w:val="00125938"/>
    <w:rsid w:val="00125C5F"/>
    <w:rsid w:val="00125EF5"/>
    <w:rsid w:val="00125EFF"/>
    <w:rsid w:val="00125F96"/>
    <w:rsid w:val="00125FFE"/>
    <w:rsid w:val="001260FA"/>
    <w:rsid w:val="0012610C"/>
    <w:rsid w:val="00126112"/>
    <w:rsid w:val="001262AE"/>
    <w:rsid w:val="001263A4"/>
    <w:rsid w:val="00126642"/>
    <w:rsid w:val="0012665D"/>
    <w:rsid w:val="001267F6"/>
    <w:rsid w:val="0012692B"/>
    <w:rsid w:val="00126A56"/>
    <w:rsid w:val="00126AC1"/>
    <w:rsid w:val="00126B5D"/>
    <w:rsid w:val="00126CB9"/>
    <w:rsid w:val="00126D96"/>
    <w:rsid w:val="00126DA8"/>
    <w:rsid w:val="00126F1E"/>
    <w:rsid w:val="00126F49"/>
    <w:rsid w:val="00126FE2"/>
    <w:rsid w:val="00127225"/>
    <w:rsid w:val="001272DD"/>
    <w:rsid w:val="001273E1"/>
    <w:rsid w:val="001275CA"/>
    <w:rsid w:val="0012762B"/>
    <w:rsid w:val="00127664"/>
    <w:rsid w:val="001276ED"/>
    <w:rsid w:val="00127717"/>
    <w:rsid w:val="0012794A"/>
    <w:rsid w:val="00127B0E"/>
    <w:rsid w:val="00127D93"/>
    <w:rsid w:val="00127DFE"/>
    <w:rsid w:val="00127EE4"/>
    <w:rsid w:val="0013013D"/>
    <w:rsid w:val="00130195"/>
    <w:rsid w:val="00130226"/>
    <w:rsid w:val="0013025A"/>
    <w:rsid w:val="0013025D"/>
    <w:rsid w:val="001302B0"/>
    <w:rsid w:val="00130380"/>
    <w:rsid w:val="0013048C"/>
    <w:rsid w:val="0013063F"/>
    <w:rsid w:val="00130684"/>
    <w:rsid w:val="00130718"/>
    <w:rsid w:val="0013072D"/>
    <w:rsid w:val="0013075E"/>
    <w:rsid w:val="0013076D"/>
    <w:rsid w:val="001307C0"/>
    <w:rsid w:val="00130873"/>
    <w:rsid w:val="00130B09"/>
    <w:rsid w:val="00130BC2"/>
    <w:rsid w:val="00130C2A"/>
    <w:rsid w:val="00130CAD"/>
    <w:rsid w:val="00130E29"/>
    <w:rsid w:val="00130EE1"/>
    <w:rsid w:val="00130F5E"/>
    <w:rsid w:val="00131166"/>
    <w:rsid w:val="00131220"/>
    <w:rsid w:val="001312B7"/>
    <w:rsid w:val="001312E5"/>
    <w:rsid w:val="001312E7"/>
    <w:rsid w:val="00131471"/>
    <w:rsid w:val="00131765"/>
    <w:rsid w:val="00131839"/>
    <w:rsid w:val="001319A9"/>
    <w:rsid w:val="00131B21"/>
    <w:rsid w:val="00131B79"/>
    <w:rsid w:val="00131BAA"/>
    <w:rsid w:val="00131C05"/>
    <w:rsid w:val="00131D97"/>
    <w:rsid w:val="00131E26"/>
    <w:rsid w:val="00131E73"/>
    <w:rsid w:val="00131F5B"/>
    <w:rsid w:val="00131F85"/>
    <w:rsid w:val="001320FB"/>
    <w:rsid w:val="00132327"/>
    <w:rsid w:val="00132429"/>
    <w:rsid w:val="00132633"/>
    <w:rsid w:val="001326B3"/>
    <w:rsid w:val="001327BE"/>
    <w:rsid w:val="0013280C"/>
    <w:rsid w:val="00132951"/>
    <w:rsid w:val="00132D87"/>
    <w:rsid w:val="00132EF1"/>
    <w:rsid w:val="00132FC3"/>
    <w:rsid w:val="00133090"/>
    <w:rsid w:val="001332CB"/>
    <w:rsid w:val="001334DF"/>
    <w:rsid w:val="001334F7"/>
    <w:rsid w:val="00133516"/>
    <w:rsid w:val="00133646"/>
    <w:rsid w:val="001336E4"/>
    <w:rsid w:val="001336F5"/>
    <w:rsid w:val="0013375A"/>
    <w:rsid w:val="001337C1"/>
    <w:rsid w:val="00133A32"/>
    <w:rsid w:val="00133A5F"/>
    <w:rsid w:val="00133B5B"/>
    <w:rsid w:val="00133C90"/>
    <w:rsid w:val="00133CBF"/>
    <w:rsid w:val="00133D54"/>
    <w:rsid w:val="00133D5F"/>
    <w:rsid w:val="00133D6F"/>
    <w:rsid w:val="00133E71"/>
    <w:rsid w:val="00133EE4"/>
    <w:rsid w:val="001341DB"/>
    <w:rsid w:val="001342DF"/>
    <w:rsid w:val="00134321"/>
    <w:rsid w:val="00134326"/>
    <w:rsid w:val="00134347"/>
    <w:rsid w:val="00134495"/>
    <w:rsid w:val="001346D9"/>
    <w:rsid w:val="0013478C"/>
    <w:rsid w:val="001348DB"/>
    <w:rsid w:val="0013494A"/>
    <w:rsid w:val="001349BF"/>
    <w:rsid w:val="00134A2C"/>
    <w:rsid w:val="00134C04"/>
    <w:rsid w:val="00134DFC"/>
    <w:rsid w:val="00135029"/>
    <w:rsid w:val="00135064"/>
    <w:rsid w:val="001351DE"/>
    <w:rsid w:val="001352C2"/>
    <w:rsid w:val="001352E0"/>
    <w:rsid w:val="00135314"/>
    <w:rsid w:val="0013538F"/>
    <w:rsid w:val="001354BF"/>
    <w:rsid w:val="001354DF"/>
    <w:rsid w:val="0013559F"/>
    <w:rsid w:val="001355A0"/>
    <w:rsid w:val="00135605"/>
    <w:rsid w:val="0013569D"/>
    <w:rsid w:val="001358D0"/>
    <w:rsid w:val="001358FD"/>
    <w:rsid w:val="00135950"/>
    <w:rsid w:val="001359B2"/>
    <w:rsid w:val="00135AA4"/>
    <w:rsid w:val="00135D9C"/>
    <w:rsid w:val="00135DB0"/>
    <w:rsid w:val="00135FA3"/>
    <w:rsid w:val="00135FF3"/>
    <w:rsid w:val="00136013"/>
    <w:rsid w:val="00136096"/>
    <w:rsid w:val="001361A4"/>
    <w:rsid w:val="00136373"/>
    <w:rsid w:val="001363DA"/>
    <w:rsid w:val="001364BD"/>
    <w:rsid w:val="00136524"/>
    <w:rsid w:val="00136600"/>
    <w:rsid w:val="001366A7"/>
    <w:rsid w:val="0013682C"/>
    <w:rsid w:val="00136884"/>
    <w:rsid w:val="0013693E"/>
    <w:rsid w:val="00136A4A"/>
    <w:rsid w:val="00136BFC"/>
    <w:rsid w:val="00136C0A"/>
    <w:rsid w:val="00136D0A"/>
    <w:rsid w:val="00136D27"/>
    <w:rsid w:val="00136D56"/>
    <w:rsid w:val="00136ECF"/>
    <w:rsid w:val="00137016"/>
    <w:rsid w:val="00137095"/>
    <w:rsid w:val="001370B9"/>
    <w:rsid w:val="001371AE"/>
    <w:rsid w:val="0013725D"/>
    <w:rsid w:val="0013731F"/>
    <w:rsid w:val="001374C1"/>
    <w:rsid w:val="001374F7"/>
    <w:rsid w:val="0013755D"/>
    <w:rsid w:val="001375AD"/>
    <w:rsid w:val="001375D7"/>
    <w:rsid w:val="0013778C"/>
    <w:rsid w:val="001377F8"/>
    <w:rsid w:val="0013790C"/>
    <w:rsid w:val="00137927"/>
    <w:rsid w:val="001379E2"/>
    <w:rsid w:val="00137B53"/>
    <w:rsid w:val="00137BC7"/>
    <w:rsid w:val="00137E64"/>
    <w:rsid w:val="00137E8D"/>
    <w:rsid w:val="00137F2F"/>
    <w:rsid w:val="00137F6A"/>
    <w:rsid w:val="00137FB7"/>
    <w:rsid w:val="00140013"/>
    <w:rsid w:val="0014007D"/>
    <w:rsid w:val="00140281"/>
    <w:rsid w:val="001402D2"/>
    <w:rsid w:val="0014031A"/>
    <w:rsid w:val="0014035B"/>
    <w:rsid w:val="001403BD"/>
    <w:rsid w:val="00140493"/>
    <w:rsid w:val="0014056A"/>
    <w:rsid w:val="001405EC"/>
    <w:rsid w:val="00140663"/>
    <w:rsid w:val="0014091E"/>
    <w:rsid w:val="00140989"/>
    <w:rsid w:val="00140A10"/>
    <w:rsid w:val="00140ADD"/>
    <w:rsid w:val="00140C22"/>
    <w:rsid w:val="00140C3E"/>
    <w:rsid w:val="00140D0A"/>
    <w:rsid w:val="00140D6E"/>
    <w:rsid w:val="00140ECB"/>
    <w:rsid w:val="00140F16"/>
    <w:rsid w:val="00140F3C"/>
    <w:rsid w:val="00140FF0"/>
    <w:rsid w:val="00141014"/>
    <w:rsid w:val="001410FA"/>
    <w:rsid w:val="001412F1"/>
    <w:rsid w:val="00141302"/>
    <w:rsid w:val="00141347"/>
    <w:rsid w:val="00141364"/>
    <w:rsid w:val="001413E5"/>
    <w:rsid w:val="0014143E"/>
    <w:rsid w:val="0014145F"/>
    <w:rsid w:val="001414EE"/>
    <w:rsid w:val="001415A2"/>
    <w:rsid w:val="00141650"/>
    <w:rsid w:val="0014165F"/>
    <w:rsid w:val="0014173B"/>
    <w:rsid w:val="00141840"/>
    <w:rsid w:val="001419B5"/>
    <w:rsid w:val="00141B2A"/>
    <w:rsid w:val="00141B3C"/>
    <w:rsid w:val="001420B4"/>
    <w:rsid w:val="00142103"/>
    <w:rsid w:val="00142126"/>
    <w:rsid w:val="001421AF"/>
    <w:rsid w:val="00142204"/>
    <w:rsid w:val="00142228"/>
    <w:rsid w:val="0014225F"/>
    <w:rsid w:val="001422D3"/>
    <w:rsid w:val="00142396"/>
    <w:rsid w:val="0014240C"/>
    <w:rsid w:val="00142552"/>
    <w:rsid w:val="00142564"/>
    <w:rsid w:val="00142579"/>
    <w:rsid w:val="001425ED"/>
    <w:rsid w:val="001427D8"/>
    <w:rsid w:val="0014283D"/>
    <w:rsid w:val="00142B13"/>
    <w:rsid w:val="00142B4E"/>
    <w:rsid w:val="00142CF4"/>
    <w:rsid w:val="00142DF4"/>
    <w:rsid w:val="00142E0C"/>
    <w:rsid w:val="00142F37"/>
    <w:rsid w:val="00142F64"/>
    <w:rsid w:val="00142F84"/>
    <w:rsid w:val="001431A2"/>
    <w:rsid w:val="00143219"/>
    <w:rsid w:val="0014321C"/>
    <w:rsid w:val="00143233"/>
    <w:rsid w:val="00143270"/>
    <w:rsid w:val="001432C1"/>
    <w:rsid w:val="001432C2"/>
    <w:rsid w:val="00143363"/>
    <w:rsid w:val="001433E0"/>
    <w:rsid w:val="00143405"/>
    <w:rsid w:val="0014350A"/>
    <w:rsid w:val="001435FF"/>
    <w:rsid w:val="0014368B"/>
    <w:rsid w:val="0014374A"/>
    <w:rsid w:val="00143785"/>
    <w:rsid w:val="00143826"/>
    <w:rsid w:val="00143847"/>
    <w:rsid w:val="001438E5"/>
    <w:rsid w:val="00143B14"/>
    <w:rsid w:val="00143B4D"/>
    <w:rsid w:val="00143B98"/>
    <w:rsid w:val="00143C19"/>
    <w:rsid w:val="00143DD3"/>
    <w:rsid w:val="00143E2F"/>
    <w:rsid w:val="00143F23"/>
    <w:rsid w:val="00143F38"/>
    <w:rsid w:val="00143F91"/>
    <w:rsid w:val="00143FC7"/>
    <w:rsid w:val="00144031"/>
    <w:rsid w:val="001440C5"/>
    <w:rsid w:val="0014410F"/>
    <w:rsid w:val="00144119"/>
    <w:rsid w:val="001441B6"/>
    <w:rsid w:val="0014421B"/>
    <w:rsid w:val="00144292"/>
    <w:rsid w:val="001442B2"/>
    <w:rsid w:val="001442C7"/>
    <w:rsid w:val="0014443D"/>
    <w:rsid w:val="00144498"/>
    <w:rsid w:val="00144521"/>
    <w:rsid w:val="0014454B"/>
    <w:rsid w:val="001446B9"/>
    <w:rsid w:val="001446CB"/>
    <w:rsid w:val="001447B8"/>
    <w:rsid w:val="001447D8"/>
    <w:rsid w:val="00144A72"/>
    <w:rsid w:val="00144A9D"/>
    <w:rsid w:val="00144AB0"/>
    <w:rsid w:val="00144AFD"/>
    <w:rsid w:val="00144BCE"/>
    <w:rsid w:val="00144C34"/>
    <w:rsid w:val="00144C48"/>
    <w:rsid w:val="00144E04"/>
    <w:rsid w:val="00144E26"/>
    <w:rsid w:val="00144ED8"/>
    <w:rsid w:val="00144F93"/>
    <w:rsid w:val="00144FC7"/>
    <w:rsid w:val="0014504C"/>
    <w:rsid w:val="0014506D"/>
    <w:rsid w:val="0014510E"/>
    <w:rsid w:val="00145196"/>
    <w:rsid w:val="00145228"/>
    <w:rsid w:val="001454A6"/>
    <w:rsid w:val="00145506"/>
    <w:rsid w:val="001457E2"/>
    <w:rsid w:val="001458CE"/>
    <w:rsid w:val="001459CD"/>
    <w:rsid w:val="00145BEE"/>
    <w:rsid w:val="00145C7E"/>
    <w:rsid w:val="00145E08"/>
    <w:rsid w:val="00145EC0"/>
    <w:rsid w:val="001461CA"/>
    <w:rsid w:val="001464A1"/>
    <w:rsid w:val="001464B3"/>
    <w:rsid w:val="0014656B"/>
    <w:rsid w:val="0014658F"/>
    <w:rsid w:val="00146785"/>
    <w:rsid w:val="0014678D"/>
    <w:rsid w:val="00146985"/>
    <w:rsid w:val="001469E6"/>
    <w:rsid w:val="00146A00"/>
    <w:rsid w:val="00146A71"/>
    <w:rsid w:val="00146AC8"/>
    <w:rsid w:val="00146B4A"/>
    <w:rsid w:val="00146D48"/>
    <w:rsid w:val="00146DC9"/>
    <w:rsid w:val="00146DE2"/>
    <w:rsid w:val="00146E48"/>
    <w:rsid w:val="00146E95"/>
    <w:rsid w:val="00146F8D"/>
    <w:rsid w:val="00147014"/>
    <w:rsid w:val="00147232"/>
    <w:rsid w:val="00147258"/>
    <w:rsid w:val="00147305"/>
    <w:rsid w:val="0014739C"/>
    <w:rsid w:val="001475F7"/>
    <w:rsid w:val="001476E2"/>
    <w:rsid w:val="00147BCE"/>
    <w:rsid w:val="00147C15"/>
    <w:rsid w:val="00147D6C"/>
    <w:rsid w:val="00147DFC"/>
    <w:rsid w:val="00147F3C"/>
    <w:rsid w:val="00147F44"/>
    <w:rsid w:val="00147FE5"/>
    <w:rsid w:val="001503A1"/>
    <w:rsid w:val="00150641"/>
    <w:rsid w:val="00150762"/>
    <w:rsid w:val="00150873"/>
    <w:rsid w:val="00150960"/>
    <w:rsid w:val="001509D4"/>
    <w:rsid w:val="00150A2E"/>
    <w:rsid w:val="00150A31"/>
    <w:rsid w:val="00150A82"/>
    <w:rsid w:val="00150BC3"/>
    <w:rsid w:val="00150BED"/>
    <w:rsid w:val="00150CA9"/>
    <w:rsid w:val="00150DCB"/>
    <w:rsid w:val="00150E0B"/>
    <w:rsid w:val="00150E2D"/>
    <w:rsid w:val="00150E5B"/>
    <w:rsid w:val="00150FE1"/>
    <w:rsid w:val="00150FE3"/>
    <w:rsid w:val="00151099"/>
    <w:rsid w:val="001512CE"/>
    <w:rsid w:val="001512E8"/>
    <w:rsid w:val="00151302"/>
    <w:rsid w:val="001513C0"/>
    <w:rsid w:val="00151566"/>
    <w:rsid w:val="00151621"/>
    <w:rsid w:val="0015187A"/>
    <w:rsid w:val="00151894"/>
    <w:rsid w:val="00151C76"/>
    <w:rsid w:val="00151D39"/>
    <w:rsid w:val="00151D99"/>
    <w:rsid w:val="00151E50"/>
    <w:rsid w:val="00151F91"/>
    <w:rsid w:val="00151FE9"/>
    <w:rsid w:val="001520A5"/>
    <w:rsid w:val="001521A4"/>
    <w:rsid w:val="001521AD"/>
    <w:rsid w:val="001522D1"/>
    <w:rsid w:val="0015249F"/>
    <w:rsid w:val="001526C2"/>
    <w:rsid w:val="001526E2"/>
    <w:rsid w:val="001527A5"/>
    <w:rsid w:val="00152863"/>
    <w:rsid w:val="00152946"/>
    <w:rsid w:val="001529ED"/>
    <w:rsid w:val="00152AA7"/>
    <w:rsid w:val="00152B76"/>
    <w:rsid w:val="00152C87"/>
    <w:rsid w:val="00152D01"/>
    <w:rsid w:val="00152D18"/>
    <w:rsid w:val="00152FF3"/>
    <w:rsid w:val="00153073"/>
    <w:rsid w:val="0015307B"/>
    <w:rsid w:val="0015328B"/>
    <w:rsid w:val="001532EF"/>
    <w:rsid w:val="0015333B"/>
    <w:rsid w:val="00153350"/>
    <w:rsid w:val="00153518"/>
    <w:rsid w:val="0015351D"/>
    <w:rsid w:val="001535CC"/>
    <w:rsid w:val="00153799"/>
    <w:rsid w:val="0015393C"/>
    <w:rsid w:val="00153B62"/>
    <w:rsid w:val="00153CED"/>
    <w:rsid w:val="00153D27"/>
    <w:rsid w:val="00153DA0"/>
    <w:rsid w:val="00153DFF"/>
    <w:rsid w:val="00153EDF"/>
    <w:rsid w:val="00153F25"/>
    <w:rsid w:val="00153F2A"/>
    <w:rsid w:val="00153F4D"/>
    <w:rsid w:val="00153FCE"/>
    <w:rsid w:val="00153FE4"/>
    <w:rsid w:val="0015436E"/>
    <w:rsid w:val="00154400"/>
    <w:rsid w:val="001546DC"/>
    <w:rsid w:val="00154761"/>
    <w:rsid w:val="001547B4"/>
    <w:rsid w:val="001548C4"/>
    <w:rsid w:val="001548E8"/>
    <w:rsid w:val="00154916"/>
    <w:rsid w:val="001549F1"/>
    <w:rsid w:val="001549F8"/>
    <w:rsid w:val="00154AAF"/>
    <w:rsid w:val="00154ABA"/>
    <w:rsid w:val="00154AEE"/>
    <w:rsid w:val="00154C38"/>
    <w:rsid w:val="00154C5E"/>
    <w:rsid w:val="00154C96"/>
    <w:rsid w:val="00154D3D"/>
    <w:rsid w:val="00154D9C"/>
    <w:rsid w:val="00154F85"/>
    <w:rsid w:val="00155027"/>
    <w:rsid w:val="00155044"/>
    <w:rsid w:val="0015508F"/>
    <w:rsid w:val="00155105"/>
    <w:rsid w:val="00155191"/>
    <w:rsid w:val="001551EA"/>
    <w:rsid w:val="00155237"/>
    <w:rsid w:val="00155361"/>
    <w:rsid w:val="001554AA"/>
    <w:rsid w:val="001555D2"/>
    <w:rsid w:val="00155610"/>
    <w:rsid w:val="0015564D"/>
    <w:rsid w:val="001556D6"/>
    <w:rsid w:val="00155725"/>
    <w:rsid w:val="0015584F"/>
    <w:rsid w:val="00155897"/>
    <w:rsid w:val="001559CC"/>
    <w:rsid w:val="001559FA"/>
    <w:rsid w:val="00155A38"/>
    <w:rsid w:val="00155A9C"/>
    <w:rsid w:val="00155B1C"/>
    <w:rsid w:val="00155BE2"/>
    <w:rsid w:val="00155C4B"/>
    <w:rsid w:val="00155C85"/>
    <w:rsid w:val="00155E0A"/>
    <w:rsid w:val="0015604A"/>
    <w:rsid w:val="0015613C"/>
    <w:rsid w:val="0015645E"/>
    <w:rsid w:val="0015661F"/>
    <w:rsid w:val="00156700"/>
    <w:rsid w:val="0015686C"/>
    <w:rsid w:val="00156AD7"/>
    <w:rsid w:val="00156AFD"/>
    <w:rsid w:val="00156D8A"/>
    <w:rsid w:val="00156DAE"/>
    <w:rsid w:val="00156E82"/>
    <w:rsid w:val="0015701A"/>
    <w:rsid w:val="0015712F"/>
    <w:rsid w:val="00157294"/>
    <w:rsid w:val="001573EA"/>
    <w:rsid w:val="00157533"/>
    <w:rsid w:val="0015764F"/>
    <w:rsid w:val="001576E0"/>
    <w:rsid w:val="001576E9"/>
    <w:rsid w:val="00157759"/>
    <w:rsid w:val="0015784B"/>
    <w:rsid w:val="00157852"/>
    <w:rsid w:val="001578C2"/>
    <w:rsid w:val="001579C0"/>
    <w:rsid w:val="00157A6D"/>
    <w:rsid w:val="00157A9B"/>
    <w:rsid w:val="00157B87"/>
    <w:rsid w:val="00157BA9"/>
    <w:rsid w:val="00157C38"/>
    <w:rsid w:val="00157CDA"/>
    <w:rsid w:val="00157FE3"/>
    <w:rsid w:val="001600B5"/>
    <w:rsid w:val="001600C8"/>
    <w:rsid w:val="00160415"/>
    <w:rsid w:val="00160639"/>
    <w:rsid w:val="001606D4"/>
    <w:rsid w:val="0016080F"/>
    <w:rsid w:val="00160951"/>
    <w:rsid w:val="00160B09"/>
    <w:rsid w:val="00160CA8"/>
    <w:rsid w:val="00160DAE"/>
    <w:rsid w:val="00160E84"/>
    <w:rsid w:val="00160FC8"/>
    <w:rsid w:val="001610CF"/>
    <w:rsid w:val="0016124A"/>
    <w:rsid w:val="001612F7"/>
    <w:rsid w:val="0016132D"/>
    <w:rsid w:val="00161363"/>
    <w:rsid w:val="00161367"/>
    <w:rsid w:val="0016137B"/>
    <w:rsid w:val="00161612"/>
    <w:rsid w:val="001616DD"/>
    <w:rsid w:val="001617F6"/>
    <w:rsid w:val="0016182F"/>
    <w:rsid w:val="001618A7"/>
    <w:rsid w:val="001619B2"/>
    <w:rsid w:val="00161ABF"/>
    <w:rsid w:val="00161B65"/>
    <w:rsid w:val="00161B6B"/>
    <w:rsid w:val="00161C58"/>
    <w:rsid w:val="00161CDD"/>
    <w:rsid w:val="00161E77"/>
    <w:rsid w:val="00161EB4"/>
    <w:rsid w:val="00161F1C"/>
    <w:rsid w:val="0016217F"/>
    <w:rsid w:val="001621DF"/>
    <w:rsid w:val="00162262"/>
    <w:rsid w:val="001623EE"/>
    <w:rsid w:val="0016256A"/>
    <w:rsid w:val="0016265A"/>
    <w:rsid w:val="00162672"/>
    <w:rsid w:val="00162840"/>
    <w:rsid w:val="00162882"/>
    <w:rsid w:val="00162939"/>
    <w:rsid w:val="00162BDB"/>
    <w:rsid w:val="00162CB2"/>
    <w:rsid w:val="00162D39"/>
    <w:rsid w:val="00162E2F"/>
    <w:rsid w:val="00162E99"/>
    <w:rsid w:val="00162FBD"/>
    <w:rsid w:val="00162FD9"/>
    <w:rsid w:val="001631F8"/>
    <w:rsid w:val="001632F8"/>
    <w:rsid w:val="0016345A"/>
    <w:rsid w:val="001634BC"/>
    <w:rsid w:val="0016355D"/>
    <w:rsid w:val="00163627"/>
    <w:rsid w:val="00163730"/>
    <w:rsid w:val="001637F9"/>
    <w:rsid w:val="00163823"/>
    <w:rsid w:val="00163960"/>
    <w:rsid w:val="001639E1"/>
    <w:rsid w:val="001639EC"/>
    <w:rsid w:val="00163AB1"/>
    <w:rsid w:val="00163D96"/>
    <w:rsid w:val="00163DC9"/>
    <w:rsid w:val="00163E43"/>
    <w:rsid w:val="00163FCE"/>
    <w:rsid w:val="0016408B"/>
    <w:rsid w:val="0016418F"/>
    <w:rsid w:val="00164232"/>
    <w:rsid w:val="001642A9"/>
    <w:rsid w:val="0016441F"/>
    <w:rsid w:val="00164463"/>
    <w:rsid w:val="00164479"/>
    <w:rsid w:val="00164518"/>
    <w:rsid w:val="001646CE"/>
    <w:rsid w:val="001647A5"/>
    <w:rsid w:val="0016489C"/>
    <w:rsid w:val="0016493C"/>
    <w:rsid w:val="001649CA"/>
    <w:rsid w:val="001649DC"/>
    <w:rsid w:val="00164B3E"/>
    <w:rsid w:val="00164B52"/>
    <w:rsid w:val="00164BC5"/>
    <w:rsid w:val="00164BCC"/>
    <w:rsid w:val="00164C52"/>
    <w:rsid w:val="00164D32"/>
    <w:rsid w:val="00164DBC"/>
    <w:rsid w:val="00164DC1"/>
    <w:rsid w:val="00164DD6"/>
    <w:rsid w:val="00164E08"/>
    <w:rsid w:val="00164F38"/>
    <w:rsid w:val="00165198"/>
    <w:rsid w:val="001652A2"/>
    <w:rsid w:val="00165335"/>
    <w:rsid w:val="00165338"/>
    <w:rsid w:val="00165366"/>
    <w:rsid w:val="001654A3"/>
    <w:rsid w:val="001654F6"/>
    <w:rsid w:val="001656CF"/>
    <w:rsid w:val="0016570F"/>
    <w:rsid w:val="00165813"/>
    <w:rsid w:val="00165A83"/>
    <w:rsid w:val="00165A9D"/>
    <w:rsid w:val="00165E25"/>
    <w:rsid w:val="00165EDB"/>
    <w:rsid w:val="00165F19"/>
    <w:rsid w:val="00165F34"/>
    <w:rsid w:val="00165F4C"/>
    <w:rsid w:val="00166060"/>
    <w:rsid w:val="0016634A"/>
    <w:rsid w:val="001663E4"/>
    <w:rsid w:val="001663FE"/>
    <w:rsid w:val="0016647B"/>
    <w:rsid w:val="001664AB"/>
    <w:rsid w:val="00166737"/>
    <w:rsid w:val="0016680B"/>
    <w:rsid w:val="001668F0"/>
    <w:rsid w:val="00166AB5"/>
    <w:rsid w:val="00166BE4"/>
    <w:rsid w:val="00166E01"/>
    <w:rsid w:val="00166F69"/>
    <w:rsid w:val="00167009"/>
    <w:rsid w:val="001671BE"/>
    <w:rsid w:val="001673E9"/>
    <w:rsid w:val="00167552"/>
    <w:rsid w:val="0016769F"/>
    <w:rsid w:val="00167781"/>
    <w:rsid w:val="001677D1"/>
    <w:rsid w:val="00167831"/>
    <w:rsid w:val="0016795B"/>
    <w:rsid w:val="00167A98"/>
    <w:rsid w:val="00167AF7"/>
    <w:rsid w:val="00167B05"/>
    <w:rsid w:val="00167B19"/>
    <w:rsid w:val="00167B6C"/>
    <w:rsid w:val="00167B91"/>
    <w:rsid w:val="00167BA0"/>
    <w:rsid w:val="00167C29"/>
    <w:rsid w:val="00167C82"/>
    <w:rsid w:val="00167EC5"/>
    <w:rsid w:val="00167F93"/>
    <w:rsid w:val="00170027"/>
    <w:rsid w:val="001701DD"/>
    <w:rsid w:val="001702CC"/>
    <w:rsid w:val="0017067E"/>
    <w:rsid w:val="001706EE"/>
    <w:rsid w:val="00170792"/>
    <w:rsid w:val="00170813"/>
    <w:rsid w:val="00170857"/>
    <w:rsid w:val="001708CF"/>
    <w:rsid w:val="001709F6"/>
    <w:rsid w:val="00170AB8"/>
    <w:rsid w:val="00170B61"/>
    <w:rsid w:val="00170E1C"/>
    <w:rsid w:val="00170E3A"/>
    <w:rsid w:val="00170EBD"/>
    <w:rsid w:val="00170F85"/>
    <w:rsid w:val="00171053"/>
    <w:rsid w:val="001710D8"/>
    <w:rsid w:val="001711A3"/>
    <w:rsid w:val="0017140B"/>
    <w:rsid w:val="00171412"/>
    <w:rsid w:val="001714C3"/>
    <w:rsid w:val="0017167D"/>
    <w:rsid w:val="001718E6"/>
    <w:rsid w:val="001719D0"/>
    <w:rsid w:val="00171A1F"/>
    <w:rsid w:val="00171AAE"/>
    <w:rsid w:val="00171C71"/>
    <w:rsid w:val="00171D04"/>
    <w:rsid w:val="00171D5A"/>
    <w:rsid w:val="00171DB2"/>
    <w:rsid w:val="00171E77"/>
    <w:rsid w:val="00171F0F"/>
    <w:rsid w:val="001720DB"/>
    <w:rsid w:val="00172105"/>
    <w:rsid w:val="00172169"/>
    <w:rsid w:val="00172249"/>
    <w:rsid w:val="00172268"/>
    <w:rsid w:val="00172326"/>
    <w:rsid w:val="0017232A"/>
    <w:rsid w:val="00172360"/>
    <w:rsid w:val="001724EF"/>
    <w:rsid w:val="0017252E"/>
    <w:rsid w:val="001725C4"/>
    <w:rsid w:val="001725E5"/>
    <w:rsid w:val="00172615"/>
    <w:rsid w:val="0017268C"/>
    <w:rsid w:val="001726E4"/>
    <w:rsid w:val="00172726"/>
    <w:rsid w:val="00172736"/>
    <w:rsid w:val="001728B3"/>
    <w:rsid w:val="00172901"/>
    <w:rsid w:val="001729C3"/>
    <w:rsid w:val="00172B11"/>
    <w:rsid w:val="00172BD0"/>
    <w:rsid w:val="00172C55"/>
    <w:rsid w:val="00172CAB"/>
    <w:rsid w:val="00172DF2"/>
    <w:rsid w:val="00172F1C"/>
    <w:rsid w:val="00172F9B"/>
    <w:rsid w:val="00173084"/>
    <w:rsid w:val="0017315A"/>
    <w:rsid w:val="00173172"/>
    <w:rsid w:val="00173176"/>
    <w:rsid w:val="0017317A"/>
    <w:rsid w:val="001733A7"/>
    <w:rsid w:val="001733AD"/>
    <w:rsid w:val="001735AB"/>
    <w:rsid w:val="001735E9"/>
    <w:rsid w:val="0017364A"/>
    <w:rsid w:val="00173659"/>
    <w:rsid w:val="00173970"/>
    <w:rsid w:val="00173A37"/>
    <w:rsid w:val="00173B00"/>
    <w:rsid w:val="00173BA0"/>
    <w:rsid w:val="00173CE6"/>
    <w:rsid w:val="00173E7F"/>
    <w:rsid w:val="00173ECE"/>
    <w:rsid w:val="00173F25"/>
    <w:rsid w:val="00173F6D"/>
    <w:rsid w:val="00174017"/>
    <w:rsid w:val="0017407B"/>
    <w:rsid w:val="001740AC"/>
    <w:rsid w:val="001740F3"/>
    <w:rsid w:val="001744E2"/>
    <w:rsid w:val="001745A7"/>
    <w:rsid w:val="0017463F"/>
    <w:rsid w:val="001746C3"/>
    <w:rsid w:val="0017483A"/>
    <w:rsid w:val="00174876"/>
    <w:rsid w:val="001749A2"/>
    <w:rsid w:val="001749CA"/>
    <w:rsid w:val="00174B09"/>
    <w:rsid w:val="00174E38"/>
    <w:rsid w:val="00174E3E"/>
    <w:rsid w:val="00174F93"/>
    <w:rsid w:val="00175004"/>
    <w:rsid w:val="001751A5"/>
    <w:rsid w:val="001753D2"/>
    <w:rsid w:val="001753D8"/>
    <w:rsid w:val="00175467"/>
    <w:rsid w:val="001754EB"/>
    <w:rsid w:val="0017560E"/>
    <w:rsid w:val="001756DB"/>
    <w:rsid w:val="00175953"/>
    <w:rsid w:val="0017595F"/>
    <w:rsid w:val="00175BB0"/>
    <w:rsid w:val="00175D3A"/>
    <w:rsid w:val="00175D96"/>
    <w:rsid w:val="00175DAE"/>
    <w:rsid w:val="00175EEB"/>
    <w:rsid w:val="00175F68"/>
    <w:rsid w:val="001761C2"/>
    <w:rsid w:val="00176312"/>
    <w:rsid w:val="00176394"/>
    <w:rsid w:val="0017641E"/>
    <w:rsid w:val="0017642D"/>
    <w:rsid w:val="001765D4"/>
    <w:rsid w:val="0017666E"/>
    <w:rsid w:val="001767D5"/>
    <w:rsid w:val="00176852"/>
    <w:rsid w:val="0017685C"/>
    <w:rsid w:val="001768E8"/>
    <w:rsid w:val="001769B5"/>
    <w:rsid w:val="00176AAE"/>
    <w:rsid w:val="00176ACB"/>
    <w:rsid w:val="00176B5F"/>
    <w:rsid w:val="00176BCC"/>
    <w:rsid w:val="00176C7C"/>
    <w:rsid w:val="00176D6C"/>
    <w:rsid w:val="00176DAE"/>
    <w:rsid w:val="00176F0B"/>
    <w:rsid w:val="00177060"/>
    <w:rsid w:val="00177101"/>
    <w:rsid w:val="001772ED"/>
    <w:rsid w:val="0017732E"/>
    <w:rsid w:val="001773F2"/>
    <w:rsid w:val="001774FA"/>
    <w:rsid w:val="00177504"/>
    <w:rsid w:val="00177526"/>
    <w:rsid w:val="0017761C"/>
    <w:rsid w:val="00177739"/>
    <w:rsid w:val="00177769"/>
    <w:rsid w:val="001778E3"/>
    <w:rsid w:val="0017796C"/>
    <w:rsid w:val="00177B12"/>
    <w:rsid w:val="00177B32"/>
    <w:rsid w:val="00177C00"/>
    <w:rsid w:val="00177D84"/>
    <w:rsid w:val="00177DA3"/>
    <w:rsid w:val="00177E5F"/>
    <w:rsid w:val="00177EBB"/>
    <w:rsid w:val="00180062"/>
    <w:rsid w:val="0018006E"/>
    <w:rsid w:val="001800E0"/>
    <w:rsid w:val="001801A2"/>
    <w:rsid w:val="00180305"/>
    <w:rsid w:val="001803FA"/>
    <w:rsid w:val="00180751"/>
    <w:rsid w:val="001807DB"/>
    <w:rsid w:val="001807FF"/>
    <w:rsid w:val="0018081A"/>
    <w:rsid w:val="00180858"/>
    <w:rsid w:val="0018092F"/>
    <w:rsid w:val="00180963"/>
    <w:rsid w:val="001809C3"/>
    <w:rsid w:val="00180A3D"/>
    <w:rsid w:val="00180BD0"/>
    <w:rsid w:val="00180C7E"/>
    <w:rsid w:val="00180E25"/>
    <w:rsid w:val="00180F60"/>
    <w:rsid w:val="00180FB4"/>
    <w:rsid w:val="0018107F"/>
    <w:rsid w:val="0018119A"/>
    <w:rsid w:val="001811C4"/>
    <w:rsid w:val="001811E0"/>
    <w:rsid w:val="001811F2"/>
    <w:rsid w:val="00181238"/>
    <w:rsid w:val="00181252"/>
    <w:rsid w:val="00181280"/>
    <w:rsid w:val="00181656"/>
    <w:rsid w:val="001816EA"/>
    <w:rsid w:val="0018170D"/>
    <w:rsid w:val="001817F8"/>
    <w:rsid w:val="001818E9"/>
    <w:rsid w:val="00181B37"/>
    <w:rsid w:val="00181B8E"/>
    <w:rsid w:val="00181DB1"/>
    <w:rsid w:val="00181DCA"/>
    <w:rsid w:val="00181DF5"/>
    <w:rsid w:val="00181E15"/>
    <w:rsid w:val="00181E4E"/>
    <w:rsid w:val="00181EB6"/>
    <w:rsid w:val="00181EFA"/>
    <w:rsid w:val="00181F77"/>
    <w:rsid w:val="001820C5"/>
    <w:rsid w:val="001820CC"/>
    <w:rsid w:val="00182159"/>
    <w:rsid w:val="001821A3"/>
    <w:rsid w:val="00182267"/>
    <w:rsid w:val="0018226C"/>
    <w:rsid w:val="00182291"/>
    <w:rsid w:val="00182549"/>
    <w:rsid w:val="001825D4"/>
    <w:rsid w:val="00182617"/>
    <w:rsid w:val="0018269C"/>
    <w:rsid w:val="001826A1"/>
    <w:rsid w:val="00182993"/>
    <w:rsid w:val="001829B8"/>
    <w:rsid w:val="00182C36"/>
    <w:rsid w:val="00182C7F"/>
    <w:rsid w:val="00182E05"/>
    <w:rsid w:val="001831D7"/>
    <w:rsid w:val="0018326A"/>
    <w:rsid w:val="00183342"/>
    <w:rsid w:val="001834C3"/>
    <w:rsid w:val="001834E6"/>
    <w:rsid w:val="0018350F"/>
    <w:rsid w:val="001836D6"/>
    <w:rsid w:val="00183709"/>
    <w:rsid w:val="00183776"/>
    <w:rsid w:val="001837B6"/>
    <w:rsid w:val="0018384B"/>
    <w:rsid w:val="0018395E"/>
    <w:rsid w:val="00183987"/>
    <w:rsid w:val="00183A06"/>
    <w:rsid w:val="00183A46"/>
    <w:rsid w:val="00183A85"/>
    <w:rsid w:val="00183AC1"/>
    <w:rsid w:val="00183C65"/>
    <w:rsid w:val="00183D97"/>
    <w:rsid w:val="00183DC3"/>
    <w:rsid w:val="00183E67"/>
    <w:rsid w:val="00184079"/>
    <w:rsid w:val="001840D2"/>
    <w:rsid w:val="0018414B"/>
    <w:rsid w:val="0018444E"/>
    <w:rsid w:val="001846D2"/>
    <w:rsid w:val="00184708"/>
    <w:rsid w:val="0018475A"/>
    <w:rsid w:val="0018482F"/>
    <w:rsid w:val="0018486E"/>
    <w:rsid w:val="00184A00"/>
    <w:rsid w:val="00184A0C"/>
    <w:rsid w:val="00184A24"/>
    <w:rsid w:val="00184B93"/>
    <w:rsid w:val="00184C30"/>
    <w:rsid w:val="00184CB4"/>
    <w:rsid w:val="00184E62"/>
    <w:rsid w:val="00184EA1"/>
    <w:rsid w:val="00184F27"/>
    <w:rsid w:val="00184FBE"/>
    <w:rsid w:val="001850A9"/>
    <w:rsid w:val="00185150"/>
    <w:rsid w:val="00185176"/>
    <w:rsid w:val="0018522C"/>
    <w:rsid w:val="00185255"/>
    <w:rsid w:val="00185268"/>
    <w:rsid w:val="0018533C"/>
    <w:rsid w:val="001853A4"/>
    <w:rsid w:val="0018544C"/>
    <w:rsid w:val="001854A9"/>
    <w:rsid w:val="00185563"/>
    <w:rsid w:val="00185787"/>
    <w:rsid w:val="0018579E"/>
    <w:rsid w:val="001858DA"/>
    <w:rsid w:val="00185AC0"/>
    <w:rsid w:val="00185AF8"/>
    <w:rsid w:val="00185B14"/>
    <w:rsid w:val="00185C6B"/>
    <w:rsid w:val="00185C73"/>
    <w:rsid w:val="00185DD4"/>
    <w:rsid w:val="00185E11"/>
    <w:rsid w:val="00185F23"/>
    <w:rsid w:val="00185F49"/>
    <w:rsid w:val="00185FA4"/>
    <w:rsid w:val="00185FB7"/>
    <w:rsid w:val="00186057"/>
    <w:rsid w:val="00186219"/>
    <w:rsid w:val="0018629F"/>
    <w:rsid w:val="00186329"/>
    <w:rsid w:val="0018652E"/>
    <w:rsid w:val="00186557"/>
    <w:rsid w:val="0018655A"/>
    <w:rsid w:val="00186586"/>
    <w:rsid w:val="0018660B"/>
    <w:rsid w:val="001868DE"/>
    <w:rsid w:val="00186953"/>
    <w:rsid w:val="001869B8"/>
    <w:rsid w:val="001869C8"/>
    <w:rsid w:val="001869D0"/>
    <w:rsid w:val="001869D9"/>
    <w:rsid w:val="00186A9C"/>
    <w:rsid w:val="00186AA8"/>
    <w:rsid w:val="00186B10"/>
    <w:rsid w:val="00186B5C"/>
    <w:rsid w:val="00186C14"/>
    <w:rsid w:val="00186C40"/>
    <w:rsid w:val="00186D68"/>
    <w:rsid w:val="00186EC8"/>
    <w:rsid w:val="00186F20"/>
    <w:rsid w:val="00186F57"/>
    <w:rsid w:val="001870FC"/>
    <w:rsid w:val="00187191"/>
    <w:rsid w:val="001872F7"/>
    <w:rsid w:val="00187374"/>
    <w:rsid w:val="001873C2"/>
    <w:rsid w:val="0018740E"/>
    <w:rsid w:val="0018759E"/>
    <w:rsid w:val="00187806"/>
    <w:rsid w:val="00187858"/>
    <w:rsid w:val="001878E7"/>
    <w:rsid w:val="00187964"/>
    <w:rsid w:val="0018799B"/>
    <w:rsid w:val="00187A1A"/>
    <w:rsid w:val="00187A53"/>
    <w:rsid w:val="00187AA4"/>
    <w:rsid w:val="00187AEA"/>
    <w:rsid w:val="00187B29"/>
    <w:rsid w:val="00187B8A"/>
    <w:rsid w:val="00187C87"/>
    <w:rsid w:val="00187D38"/>
    <w:rsid w:val="00187D78"/>
    <w:rsid w:val="00187FB8"/>
    <w:rsid w:val="001900C9"/>
    <w:rsid w:val="0019021B"/>
    <w:rsid w:val="00190264"/>
    <w:rsid w:val="001902B8"/>
    <w:rsid w:val="001902E4"/>
    <w:rsid w:val="001902EB"/>
    <w:rsid w:val="001902F1"/>
    <w:rsid w:val="0019047C"/>
    <w:rsid w:val="0019055B"/>
    <w:rsid w:val="00190700"/>
    <w:rsid w:val="00190752"/>
    <w:rsid w:val="0019088C"/>
    <w:rsid w:val="00190999"/>
    <w:rsid w:val="00190A67"/>
    <w:rsid w:val="00190A9A"/>
    <w:rsid w:val="00190AA1"/>
    <w:rsid w:val="00190B93"/>
    <w:rsid w:val="00190CC7"/>
    <w:rsid w:val="00190D5E"/>
    <w:rsid w:val="00190DC7"/>
    <w:rsid w:val="00190E8E"/>
    <w:rsid w:val="00190E8F"/>
    <w:rsid w:val="00190F66"/>
    <w:rsid w:val="0019104A"/>
    <w:rsid w:val="00191074"/>
    <w:rsid w:val="0019113C"/>
    <w:rsid w:val="00191197"/>
    <w:rsid w:val="001915B3"/>
    <w:rsid w:val="001915B4"/>
    <w:rsid w:val="00191727"/>
    <w:rsid w:val="001917C7"/>
    <w:rsid w:val="00191877"/>
    <w:rsid w:val="0019188E"/>
    <w:rsid w:val="00191900"/>
    <w:rsid w:val="0019199B"/>
    <w:rsid w:val="00191A53"/>
    <w:rsid w:val="00191B7E"/>
    <w:rsid w:val="00191C27"/>
    <w:rsid w:val="00191CCA"/>
    <w:rsid w:val="00191D93"/>
    <w:rsid w:val="00191EFD"/>
    <w:rsid w:val="00191FE3"/>
    <w:rsid w:val="00192040"/>
    <w:rsid w:val="0019204F"/>
    <w:rsid w:val="00192054"/>
    <w:rsid w:val="001920D8"/>
    <w:rsid w:val="001921AC"/>
    <w:rsid w:val="0019226C"/>
    <w:rsid w:val="001922A4"/>
    <w:rsid w:val="00192776"/>
    <w:rsid w:val="001927B2"/>
    <w:rsid w:val="001929B0"/>
    <w:rsid w:val="00192A02"/>
    <w:rsid w:val="00192B54"/>
    <w:rsid w:val="00192C25"/>
    <w:rsid w:val="00192C97"/>
    <w:rsid w:val="00192DB8"/>
    <w:rsid w:val="00192DCB"/>
    <w:rsid w:val="00192E3A"/>
    <w:rsid w:val="00192EF6"/>
    <w:rsid w:val="00192F30"/>
    <w:rsid w:val="001930D5"/>
    <w:rsid w:val="00193106"/>
    <w:rsid w:val="001932D8"/>
    <w:rsid w:val="001932FC"/>
    <w:rsid w:val="001933D3"/>
    <w:rsid w:val="00193420"/>
    <w:rsid w:val="00193462"/>
    <w:rsid w:val="00193491"/>
    <w:rsid w:val="001935AD"/>
    <w:rsid w:val="00193767"/>
    <w:rsid w:val="00193873"/>
    <w:rsid w:val="00193AE0"/>
    <w:rsid w:val="00193C35"/>
    <w:rsid w:val="00193E54"/>
    <w:rsid w:val="00193F7D"/>
    <w:rsid w:val="001941B9"/>
    <w:rsid w:val="0019423E"/>
    <w:rsid w:val="001942A4"/>
    <w:rsid w:val="001942CF"/>
    <w:rsid w:val="001943E6"/>
    <w:rsid w:val="00194682"/>
    <w:rsid w:val="00194831"/>
    <w:rsid w:val="00194879"/>
    <w:rsid w:val="001948FB"/>
    <w:rsid w:val="00194957"/>
    <w:rsid w:val="001949E3"/>
    <w:rsid w:val="00194A13"/>
    <w:rsid w:val="00194A53"/>
    <w:rsid w:val="00194B13"/>
    <w:rsid w:val="00194B25"/>
    <w:rsid w:val="00194E0D"/>
    <w:rsid w:val="00194F51"/>
    <w:rsid w:val="00195059"/>
    <w:rsid w:val="00195061"/>
    <w:rsid w:val="001950F7"/>
    <w:rsid w:val="00195246"/>
    <w:rsid w:val="00195300"/>
    <w:rsid w:val="00195320"/>
    <w:rsid w:val="00195331"/>
    <w:rsid w:val="001953BE"/>
    <w:rsid w:val="00195718"/>
    <w:rsid w:val="001958A9"/>
    <w:rsid w:val="0019599A"/>
    <w:rsid w:val="00195B1E"/>
    <w:rsid w:val="00195C78"/>
    <w:rsid w:val="00195CA9"/>
    <w:rsid w:val="00195E78"/>
    <w:rsid w:val="00195EF7"/>
    <w:rsid w:val="00196150"/>
    <w:rsid w:val="00196200"/>
    <w:rsid w:val="00196358"/>
    <w:rsid w:val="0019648F"/>
    <w:rsid w:val="0019649E"/>
    <w:rsid w:val="001964F4"/>
    <w:rsid w:val="00196576"/>
    <w:rsid w:val="0019659B"/>
    <w:rsid w:val="001965AC"/>
    <w:rsid w:val="001966F3"/>
    <w:rsid w:val="00196740"/>
    <w:rsid w:val="00196795"/>
    <w:rsid w:val="0019685A"/>
    <w:rsid w:val="00196888"/>
    <w:rsid w:val="0019688D"/>
    <w:rsid w:val="00196908"/>
    <w:rsid w:val="00196A3E"/>
    <w:rsid w:val="00196AB2"/>
    <w:rsid w:val="00196F2B"/>
    <w:rsid w:val="00196FA7"/>
    <w:rsid w:val="00196FC3"/>
    <w:rsid w:val="00196FF1"/>
    <w:rsid w:val="0019713E"/>
    <w:rsid w:val="001971D9"/>
    <w:rsid w:val="001971F0"/>
    <w:rsid w:val="00197214"/>
    <w:rsid w:val="0019746E"/>
    <w:rsid w:val="001974F0"/>
    <w:rsid w:val="001974F3"/>
    <w:rsid w:val="00197753"/>
    <w:rsid w:val="00197785"/>
    <w:rsid w:val="00197862"/>
    <w:rsid w:val="001978DB"/>
    <w:rsid w:val="001978FC"/>
    <w:rsid w:val="00197949"/>
    <w:rsid w:val="00197965"/>
    <w:rsid w:val="00197B04"/>
    <w:rsid w:val="00197B28"/>
    <w:rsid w:val="00197BE7"/>
    <w:rsid w:val="00197C15"/>
    <w:rsid w:val="00197D03"/>
    <w:rsid w:val="00197D09"/>
    <w:rsid w:val="00197D60"/>
    <w:rsid w:val="00197E62"/>
    <w:rsid w:val="00197EE3"/>
    <w:rsid w:val="001A00CD"/>
    <w:rsid w:val="001A01B9"/>
    <w:rsid w:val="001A024A"/>
    <w:rsid w:val="001A02E7"/>
    <w:rsid w:val="001A0320"/>
    <w:rsid w:val="001A0367"/>
    <w:rsid w:val="001A03A3"/>
    <w:rsid w:val="001A03B7"/>
    <w:rsid w:val="001A04A7"/>
    <w:rsid w:val="001A04B1"/>
    <w:rsid w:val="001A0507"/>
    <w:rsid w:val="001A051F"/>
    <w:rsid w:val="001A055C"/>
    <w:rsid w:val="001A071C"/>
    <w:rsid w:val="001A079D"/>
    <w:rsid w:val="001A07C6"/>
    <w:rsid w:val="001A0860"/>
    <w:rsid w:val="001A08A9"/>
    <w:rsid w:val="001A0957"/>
    <w:rsid w:val="001A09CA"/>
    <w:rsid w:val="001A09CE"/>
    <w:rsid w:val="001A0A73"/>
    <w:rsid w:val="001A0B6D"/>
    <w:rsid w:val="001A0C54"/>
    <w:rsid w:val="001A0CEE"/>
    <w:rsid w:val="001A0CF4"/>
    <w:rsid w:val="001A0DA9"/>
    <w:rsid w:val="001A0E3E"/>
    <w:rsid w:val="001A0FA5"/>
    <w:rsid w:val="001A106D"/>
    <w:rsid w:val="001A1160"/>
    <w:rsid w:val="001A11AC"/>
    <w:rsid w:val="001A12CA"/>
    <w:rsid w:val="001A1308"/>
    <w:rsid w:val="001A1414"/>
    <w:rsid w:val="001A14D7"/>
    <w:rsid w:val="001A162B"/>
    <w:rsid w:val="001A1754"/>
    <w:rsid w:val="001A1936"/>
    <w:rsid w:val="001A1A56"/>
    <w:rsid w:val="001A1B03"/>
    <w:rsid w:val="001A1B13"/>
    <w:rsid w:val="001A1B68"/>
    <w:rsid w:val="001A1D21"/>
    <w:rsid w:val="001A1D60"/>
    <w:rsid w:val="001A1D7F"/>
    <w:rsid w:val="001A1DBF"/>
    <w:rsid w:val="001A203E"/>
    <w:rsid w:val="001A237F"/>
    <w:rsid w:val="001A24F3"/>
    <w:rsid w:val="001A265F"/>
    <w:rsid w:val="001A2661"/>
    <w:rsid w:val="001A274C"/>
    <w:rsid w:val="001A2909"/>
    <w:rsid w:val="001A2946"/>
    <w:rsid w:val="001A2958"/>
    <w:rsid w:val="001A2A9C"/>
    <w:rsid w:val="001A2AE8"/>
    <w:rsid w:val="001A2C1C"/>
    <w:rsid w:val="001A2CFA"/>
    <w:rsid w:val="001A2D20"/>
    <w:rsid w:val="001A2DB7"/>
    <w:rsid w:val="001A2DD4"/>
    <w:rsid w:val="001A2E70"/>
    <w:rsid w:val="001A2ECE"/>
    <w:rsid w:val="001A2F1C"/>
    <w:rsid w:val="001A307B"/>
    <w:rsid w:val="001A309B"/>
    <w:rsid w:val="001A3299"/>
    <w:rsid w:val="001A34EC"/>
    <w:rsid w:val="001A35B0"/>
    <w:rsid w:val="001A3610"/>
    <w:rsid w:val="001A36E8"/>
    <w:rsid w:val="001A3735"/>
    <w:rsid w:val="001A39BD"/>
    <w:rsid w:val="001A3A0E"/>
    <w:rsid w:val="001A3B2D"/>
    <w:rsid w:val="001A3BBF"/>
    <w:rsid w:val="001A3BE9"/>
    <w:rsid w:val="001A3CA2"/>
    <w:rsid w:val="001A40BD"/>
    <w:rsid w:val="001A4248"/>
    <w:rsid w:val="001A42F7"/>
    <w:rsid w:val="001A4325"/>
    <w:rsid w:val="001A450F"/>
    <w:rsid w:val="001A4541"/>
    <w:rsid w:val="001A45AF"/>
    <w:rsid w:val="001A45EC"/>
    <w:rsid w:val="001A46E8"/>
    <w:rsid w:val="001A4739"/>
    <w:rsid w:val="001A4792"/>
    <w:rsid w:val="001A47C4"/>
    <w:rsid w:val="001A4880"/>
    <w:rsid w:val="001A48D1"/>
    <w:rsid w:val="001A49BD"/>
    <w:rsid w:val="001A4A64"/>
    <w:rsid w:val="001A4A6A"/>
    <w:rsid w:val="001A4AEE"/>
    <w:rsid w:val="001A4BFC"/>
    <w:rsid w:val="001A4C11"/>
    <w:rsid w:val="001A4DED"/>
    <w:rsid w:val="001A4E0C"/>
    <w:rsid w:val="001A4E95"/>
    <w:rsid w:val="001A4F82"/>
    <w:rsid w:val="001A52D1"/>
    <w:rsid w:val="001A5368"/>
    <w:rsid w:val="001A5401"/>
    <w:rsid w:val="001A552D"/>
    <w:rsid w:val="001A55F1"/>
    <w:rsid w:val="001A5645"/>
    <w:rsid w:val="001A580F"/>
    <w:rsid w:val="001A5823"/>
    <w:rsid w:val="001A58E0"/>
    <w:rsid w:val="001A5919"/>
    <w:rsid w:val="001A5AB3"/>
    <w:rsid w:val="001A5B1F"/>
    <w:rsid w:val="001A5B6E"/>
    <w:rsid w:val="001A5C12"/>
    <w:rsid w:val="001A5C31"/>
    <w:rsid w:val="001A5C5C"/>
    <w:rsid w:val="001A5CB1"/>
    <w:rsid w:val="001A5D48"/>
    <w:rsid w:val="001A5F17"/>
    <w:rsid w:val="001A5FC9"/>
    <w:rsid w:val="001A5FF5"/>
    <w:rsid w:val="001A603D"/>
    <w:rsid w:val="001A609B"/>
    <w:rsid w:val="001A62E7"/>
    <w:rsid w:val="001A636A"/>
    <w:rsid w:val="001A636C"/>
    <w:rsid w:val="001A6559"/>
    <w:rsid w:val="001A6678"/>
    <w:rsid w:val="001A67FC"/>
    <w:rsid w:val="001A6ACE"/>
    <w:rsid w:val="001A6B59"/>
    <w:rsid w:val="001A6C81"/>
    <w:rsid w:val="001A6CB0"/>
    <w:rsid w:val="001A706E"/>
    <w:rsid w:val="001A7113"/>
    <w:rsid w:val="001A72D1"/>
    <w:rsid w:val="001A7368"/>
    <w:rsid w:val="001A7505"/>
    <w:rsid w:val="001A7636"/>
    <w:rsid w:val="001A770F"/>
    <w:rsid w:val="001A7729"/>
    <w:rsid w:val="001A7859"/>
    <w:rsid w:val="001A78F0"/>
    <w:rsid w:val="001A79F8"/>
    <w:rsid w:val="001A7A30"/>
    <w:rsid w:val="001A7A31"/>
    <w:rsid w:val="001A7ACF"/>
    <w:rsid w:val="001A7AE7"/>
    <w:rsid w:val="001A7B30"/>
    <w:rsid w:val="001A7B51"/>
    <w:rsid w:val="001A7BA3"/>
    <w:rsid w:val="001A7BD5"/>
    <w:rsid w:val="001A7C02"/>
    <w:rsid w:val="001A7C5D"/>
    <w:rsid w:val="001A7D91"/>
    <w:rsid w:val="001B0038"/>
    <w:rsid w:val="001B0188"/>
    <w:rsid w:val="001B01A8"/>
    <w:rsid w:val="001B0244"/>
    <w:rsid w:val="001B031C"/>
    <w:rsid w:val="001B037A"/>
    <w:rsid w:val="001B0418"/>
    <w:rsid w:val="001B0524"/>
    <w:rsid w:val="001B054F"/>
    <w:rsid w:val="001B059C"/>
    <w:rsid w:val="001B05AA"/>
    <w:rsid w:val="001B063A"/>
    <w:rsid w:val="001B0722"/>
    <w:rsid w:val="001B0731"/>
    <w:rsid w:val="001B07C5"/>
    <w:rsid w:val="001B07EE"/>
    <w:rsid w:val="001B07EF"/>
    <w:rsid w:val="001B0815"/>
    <w:rsid w:val="001B0902"/>
    <w:rsid w:val="001B0903"/>
    <w:rsid w:val="001B0A01"/>
    <w:rsid w:val="001B0CD3"/>
    <w:rsid w:val="001B0D94"/>
    <w:rsid w:val="001B0EEC"/>
    <w:rsid w:val="001B0EF9"/>
    <w:rsid w:val="001B0F4A"/>
    <w:rsid w:val="001B1025"/>
    <w:rsid w:val="001B1184"/>
    <w:rsid w:val="001B11C3"/>
    <w:rsid w:val="001B122D"/>
    <w:rsid w:val="001B124F"/>
    <w:rsid w:val="001B125B"/>
    <w:rsid w:val="001B137A"/>
    <w:rsid w:val="001B13C2"/>
    <w:rsid w:val="001B13DF"/>
    <w:rsid w:val="001B1449"/>
    <w:rsid w:val="001B158A"/>
    <w:rsid w:val="001B15BD"/>
    <w:rsid w:val="001B15F1"/>
    <w:rsid w:val="001B1601"/>
    <w:rsid w:val="001B165F"/>
    <w:rsid w:val="001B1825"/>
    <w:rsid w:val="001B182A"/>
    <w:rsid w:val="001B1831"/>
    <w:rsid w:val="001B190E"/>
    <w:rsid w:val="001B1A8F"/>
    <w:rsid w:val="001B1B72"/>
    <w:rsid w:val="001B1C86"/>
    <w:rsid w:val="001B1E34"/>
    <w:rsid w:val="001B1ED9"/>
    <w:rsid w:val="001B1EE0"/>
    <w:rsid w:val="001B219C"/>
    <w:rsid w:val="001B21B3"/>
    <w:rsid w:val="001B2201"/>
    <w:rsid w:val="001B2291"/>
    <w:rsid w:val="001B2510"/>
    <w:rsid w:val="001B258A"/>
    <w:rsid w:val="001B2683"/>
    <w:rsid w:val="001B2790"/>
    <w:rsid w:val="001B285B"/>
    <w:rsid w:val="001B2975"/>
    <w:rsid w:val="001B2BA2"/>
    <w:rsid w:val="001B2BE4"/>
    <w:rsid w:val="001B2BEA"/>
    <w:rsid w:val="001B2DC1"/>
    <w:rsid w:val="001B2DCE"/>
    <w:rsid w:val="001B2E11"/>
    <w:rsid w:val="001B2EEE"/>
    <w:rsid w:val="001B30C9"/>
    <w:rsid w:val="001B30EF"/>
    <w:rsid w:val="001B3110"/>
    <w:rsid w:val="001B33AD"/>
    <w:rsid w:val="001B3474"/>
    <w:rsid w:val="001B3579"/>
    <w:rsid w:val="001B369A"/>
    <w:rsid w:val="001B36F7"/>
    <w:rsid w:val="001B398D"/>
    <w:rsid w:val="001B3A28"/>
    <w:rsid w:val="001B3D83"/>
    <w:rsid w:val="001B3EB9"/>
    <w:rsid w:val="001B3ED2"/>
    <w:rsid w:val="001B3F8D"/>
    <w:rsid w:val="001B401B"/>
    <w:rsid w:val="001B40D8"/>
    <w:rsid w:val="001B40DC"/>
    <w:rsid w:val="001B40F0"/>
    <w:rsid w:val="001B4104"/>
    <w:rsid w:val="001B418D"/>
    <w:rsid w:val="001B424E"/>
    <w:rsid w:val="001B4332"/>
    <w:rsid w:val="001B44F0"/>
    <w:rsid w:val="001B4595"/>
    <w:rsid w:val="001B4706"/>
    <w:rsid w:val="001B4C1A"/>
    <w:rsid w:val="001B4CEF"/>
    <w:rsid w:val="001B4D33"/>
    <w:rsid w:val="001B4E50"/>
    <w:rsid w:val="001B4FAF"/>
    <w:rsid w:val="001B5093"/>
    <w:rsid w:val="001B5098"/>
    <w:rsid w:val="001B5143"/>
    <w:rsid w:val="001B5220"/>
    <w:rsid w:val="001B5364"/>
    <w:rsid w:val="001B5374"/>
    <w:rsid w:val="001B53FC"/>
    <w:rsid w:val="001B54DE"/>
    <w:rsid w:val="001B5581"/>
    <w:rsid w:val="001B56BA"/>
    <w:rsid w:val="001B57A0"/>
    <w:rsid w:val="001B57DC"/>
    <w:rsid w:val="001B5CD7"/>
    <w:rsid w:val="001B5D1C"/>
    <w:rsid w:val="001B5D26"/>
    <w:rsid w:val="001B5DC9"/>
    <w:rsid w:val="001B5FB9"/>
    <w:rsid w:val="001B6009"/>
    <w:rsid w:val="001B617C"/>
    <w:rsid w:val="001B6192"/>
    <w:rsid w:val="001B61B4"/>
    <w:rsid w:val="001B6283"/>
    <w:rsid w:val="001B62A4"/>
    <w:rsid w:val="001B63BF"/>
    <w:rsid w:val="001B6543"/>
    <w:rsid w:val="001B657D"/>
    <w:rsid w:val="001B65CE"/>
    <w:rsid w:val="001B65D2"/>
    <w:rsid w:val="001B66EC"/>
    <w:rsid w:val="001B6772"/>
    <w:rsid w:val="001B67D9"/>
    <w:rsid w:val="001B6824"/>
    <w:rsid w:val="001B6910"/>
    <w:rsid w:val="001B6943"/>
    <w:rsid w:val="001B6BB7"/>
    <w:rsid w:val="001B6C92"/>
    <w:rsid w:val="001B6D78"/>
    <w:rsid w:val="001B6E58"/>
    <w:rsid w:val="001B6E72"/>
    <w:rsid w:val="001B7042"/>
    <w:rsid w:val="001B71A5"/>
    <w:rsid w:val="001B71B7"/>
    <w:rsid w:val="001B722D"/>
    <w:rsid w:val="001B7235"/>
    <w:rsid w:val="001B728B"/>
    <w:rsid w:val="001B7296"/>
    <w:rsid w:val="001B733C"/>
    <w:rsid w:val="001B75B1"/>
    <w:rsid w:val="001B75ED"/>
    <w:rsid w:val="001B768D"/>
    <w:rsid w:val="001B76E0"/>
    <w:rsid w:val="001B7759"/>
    <w:rsid w:val="001B78F7"/>
    <w:rsid w:val="001B79F9"/>
    <w:rsid w:val="001B7A10"/>
    <w:rsid w:val="001B7B15"/>
    <w:rsid w:val="001B7C1B"/>
    <w:rsid w:val="001B7E37"/>
    <w:rsid w:val="001B7F0C"/>
    <w:rsid w:val="001B7F7F"/>
    <w:rsid w:val="001B7FA1"/>
    <w:rsid w:val="001B7FAE"/>
    <w:rsid w:val="001B9072"/>
    <w:rsid w:val="001C005F"/>
    <w:rsid w:val="001C0073"/>
    <w:rsid w:val="001C017D"/>
    <w:rsid w:val="001C01B5"/>
    <w:rsid w:val="001C02B0"/>
    <w:rsid w:val="001C03BB"/>
    <w:rsid w:val="001C03CC"/>
    <w:rsid w:val="001C0418"/>
    <w:rsid w:val="001C05AC"/>
    <w:rsid w:val="001C0620"/>
    <w:rsid w:val="001C0740"/>
    <w:rsid w:val="001C07FD"/>
    <w:rsid w:val="001C08C1"/>
    <w:rsid w:val="001C08DC"/>
    <w:rsid w:val="001C0954"/>
    <w:rsid w:val="001C0A83"/>
    <w:rsid w:val="001C0AD3"/>
    <w:rsid w:val="001C0BEF"/>
    <w:rsid w:val="001C0FA9"/>
    <w:rsid w:val="001C0FD8"/>
    <w:rsid w:val="001C0FED"/>
    <w:rsid w:val="001C1279"/>
    <w:rsid w:val="001C12CD"/>
    <w:rsid w:val="001C17C2"/>
    <w:rsid w:val="001C1977"/>
    <w:rsid w:val="001C1A0F"/>
    <w:rsid w:val="001C1A12"/>
    <w:rsid w:val="001C1A15"/>
    <w:rsid w:val="001C1A34"/>
    <w:rsid w:val="001C1AF7"/>
    <w:rsid w:val="001C1C87"/>
    <w:rsid w:val="001C1D4F"/>
    <w:rsid w:val="001C1DD3"/>
    <w:rsid w:val="001C237A"/>
    <w:rsid w:val="001C23EA"/>
    <w:rsid w:val="001C2608"/>
    <w:rsid w:val="001C2713"/>
    <w:rsid w:val="001C2783"/>
    <w:rsid w:val="001C2916"/>
    <w:rsid w:val="001C29A0"/>
    <w:rsid w:val="001C2A12"/>
    <w:rsid w:val="001C2AD7"/>
    <w:rsid w:val="001C2B1F"/>
    <w:rsid w:val="001C2BB2"/>
    <w:rsid w:val="001C2C07"/>
    <w:rsid w:val="001C2D20"/>
    <w:rsid w:val="001C2E80"/>
    <w:rsid w:val="001C2EE5"/>
    <w:rsid w:val="001C2F42"/>
    <w:rsid w:val="001C2F44"/>
    <w:rsid w:val="001C2F94"/>
    <w:rsid w:val="001C316C"/>
    <w:rsid w:val="001C3284"/>
    <w:rsid w:val="001C32A6"/>
    <w:rsid w:val="001C3393"/>
    <w:rsid w:val="001C33BB"/>
    <w:rsid w:val="001C3411"/>
    <w:rsid w:val="001C346C"/>
    <w:rsid w:val="001C3482"/>
    <w:rsid w:val="001C34EF"/>
    <w:rsid w:val="001C36C1"/>
    <w:rsid w:val="001C3748"/>
    <w:rsid w:val="001C3749"/>
    <w:rsid w:val="001C37EC"/>
    <w:rsid w:val="001C3919"/>
    <w:rsid w:val="001C3932"/>
    <w:rsid w:val="001C3AA8"/>
    <w:rsid w:val="001C3B2A"/>
    <w:rsid w:val="001C3CC0"/>
    <w:rsid w:val="001C3E35"/>
    <w:rsid w:val="001C3FC7"/>
    <w:rsid w:val="001C3FF9"/>
    <w:rsid w:val="001C4092"/>
    <w:rsid w:val="001C40D1"/>
    <w:rsid w:val="001C40FF"/>
    <w:rsid w:val="001C4126"/>
    <w:rsid w:val="001C4149"/>
    <w:rsid w:val="001C4315"/>
    <w:rsid w:val="001C43FA"/>
    <w:rsid w:val="001C463F"/>
    <w:rsid w:val="001C465C"/>
    <w:rsid w:val="001C4811"/>
    <w:rsid w:val="001C48BB"/>
    <w:rsid w:val="001C49E2"/>
    <w:rsid w:val="001C4AA2"/>
    <w:rsid w:val="001C4B77"/>
    <w:rsid w:val="001C4BAF"/>
    <w:rsid w:val="001C4C03"/>
    <w:rsid w:val="001C4D50"/>
    <w:rsid w:val="001C4EE5"/>
    <w:rsid w:val="001C4F86"/>
    <w:rsid w:val="001C503A"/>
    <w:rsid w:val="001C5083"/>
    <w:rsid w:val="001C5192"/>
    <w:rsid w:val="001C52C3"/>
    <w:rsid w:val="001C5610"/>
    <w:rsid w:val="001C5625"/>
    <w:rsid w:val="001C57E8"/>
    <w:rsid w:val="001C585D"/>
    <w:rsid w:val="001C586D"/>
    <w:rsid w:val="001C5951"/>
    <w:rsid w:val="001C59C7"/>
    <w:rsid w:val="001C5A68"/>
    <w:rsid w:val="001C5B40"/>
    <w:rsid w:val="001C5D91"/>
    <w:rsid w:val="001C5E2C"/>
    <w:rsid w:val="001C5E87"/>
    <w:rsid w:val="001C6017"/>
    <w:rsid w:val="001C6067"/>
    <w:rsid w:val="001C608F"/>
    <w:rsid w:val="001C6192"/>
    <w:rsid w:val="001C6248"/>
    <w:rsid w:val="001C6370"/>
    <w:rsid w:val="001C6474"/>
    <w:rsid w:val="001C648A"/>
    <w:rsid w:val="001C64C1"/>
    <w:rsid w:val="001C64D1"/>
    <w:rsid w:val="001C6616"/>
    <w:rsid w:val="001C6658"/>
    <w:rsid w:val="001C6803"/>
    <w:rsid w:val="001C681C"/>
    <w:rsid w:val="001C6844"/>
    <w:rsid w:val="001C687E"/>
    <w:rsid w:val="001C69E6"/>
    <w:rsid w:val="001C69EC"/>
    <w:rsid w:val="001C6C14"/>
    <w:rsid w:val="001C6D7B"/>
    <w:rsid w:val="001C6DAE"/>
    <w:rsid w:val="001C6DD9"/>
    <w:rsid w:val="001C6DE5"/>
    <w:rsid w:val="001C6E53"/>
    <w:rsid w:val="001C7027"/>
    <w:rsid w:val="001C71F9"/>
    <w:rsid w:val="001C72D3"/>
    <w:rsid w:val="001C730A"/>
    <w:rsid w:val="001C73DE"/>
    <w:rsid w:val="001C743A"/>
    <w:rsid w:val="001C7445"/>
    <w:rsid w:val="001C7466"/>
    <w:rsid w:val="001C779D"/>
    <w:rsid w:val="001C7869"/>
    <w:rsid w:val="001C78B0"/>
    <w:rsid w:val="001C794F"/>
    <w:rsid w:val="001C7B80"/>
    <w:rsid w:val="001C7B86"/>
    <w:rsid w:val="001C7CC4"/>
    <w:rsid w:val="001C7EAD"/>
    <w:rsid w:val="001C94C3"/>
    <w:rsid w:val="001D018B"/>
    <w:rsid w:val="001D01FF"/>
    <w:rsid w:val="001D02D2"/>
    <w:rsid w:val="001D030B"/>
    <w:rsid w:val="001D0513"/>
    <w:rsid w:val="001D072C"/>
    <w:rsid w:val="001D0752"/>
    <w:rsid w:val="001D089D"/>
    <w:rsid w:val="001D0AC0"/>
    <w:rsid w:val="001D0CAA"/>
    <w:rsid w:val="001D0CB6"/>
    <w:rsid w:val="001D0D33"/>
    <w:rsid w:val="001D0EE0"/>
    <w:rsid w:val="001D1256"/>
    <w:rsid w:val="001D133A"/>
    <w:rsid w:val="001D13DE"/>
    <w:rsid w:val="001D1414"/>
    <w:rsid w:val="001D160C"/>
    <w:rsid w:val="001D174D"/>
    <w:rsid w:val="001D17A0"/>
    <w:rsid w:val="001D17D1"/>
    <w:rsid w:val="001D1853"/>
    <w:rsid w:val="001D18AD"/>
    <w:rsid w:val="001D1977"/>
    <w:rsid w:val="001D1A18"/>
    <w:rsid w:val="001D1B34"/>
    <w:rsid w:val="001D1BAE"/>
    <w:rsid w:val="001D1BC0"/>
    <w:rsid w:val="001D1CD4"/>
    <w:rsid w:val="001D1CF3"/>
    <w:rsid w:val="001D1F9E"/>
    <w:rsid w:val="001D2105"/>
    <w:rsid w:val="001D2126"/>
    <w:rsid w:val="001D21B3"/>
    <w:rsid w:val="001D21E6"/>
    <w:rsid w:val="001D2235"/>
    <w:rsid w:val="001D224C"/>
    <w:rsid w:val="001D228A"/>
    <w:rsid w:val="001D22E7"/>
    <w:rsid w:val="001D2422"/>
    <w:rsid w:val="001D2450"/>
    <w:rsid w:val="001D2482"/>
    <w:rsid w:val="001D24DA"/>
    <w:rsid w:val="001D25B7"/>
    <w:rsid w:val="001D275D"/>
    <w:rsid w:val="001D2862"/>
    <w:rsid w:val="001D2895"/>
    <w:rsid w:val="001D295B"/>
    <w:rsid w:val="001D2AE6"/>
    <w:rsid w:val="001D2B39"/>
    <w:rsid w:val="001D2BAB"/>
    <w:rsid w:val="001D2C89"/>
    <w:rsid w:val="001D2CD6"/>
    <w:rsid w:val="001D2EBE"/>
    <w:rsid w:val="001D2ED2"/>
    <w:rsid w:val="001D2FF2"/>
    <w:rsid w:val="001D30F3"/>
    <w:rsid w:val="001D31E9"/>
    <w:rsid w:val="001D31EF"/>
    <w:rsid w:val="001D31F6"/>
    <w:rsid w:val="001D332D"/>
    <w:rsid w:val="001D337F"/>
    <w:rsid w:val="001D341E"/>
    <w:rsid w:val="001D34C3"/>
    <w:rsid w:val="001D36A1"/>
    <w:rsid w:val="001D390E"/>
    <w:rsid w:val="001D3A1F"/>
    <w:rsid w:val="001D3AAD"/>
    <w:rsid w:val="001D3B50"/>
    <w:rsid w:val="001D3B5C"/>
    <w:rsid w:val="001D3D74"/>
    <w:rsid w:val="001D3DB4"/>
    <w:rsid w:val="001D3E71"/>
    <w:rsid w:val="001D3EFB"/>
    <w:rsid w:val="001D3F3F"/>
    <w:rsid w:val="001D3F49"/>
    <w:rsid w:val="001D3F4F"/>
    <w:rsid w:val="001D3F87"/>
    <w:rsid w:val="001D3FFE"/>
    <w:rsid w:val="001D4018"/>
    <w:rsid w:val="001D40D2"/>
    <w:rsid w:val="001D4121"/>
    <w:rsid w:val="001D41DE"/>
    <w:rsid w:val="001D420F"/>
    <w:rsid w:val="001D4257"/>
    <w:rsid w:val="001D42A8"/>
    <w:rsid w:val="001D42C7"/>
    <w:rsid w:val="001D42FA"/>
    <w:rsid w:val="001D445B"/>
    <w:rsid w:val="001D461D"/>
    <w:rsid w:val="001D463E"/>
    <w:rsid w:val="001D468F"/>
    <w:rsid w:val="001D4902"/>
    <w:rsid w:val="001D4993"/>
    <w:rsid w:val="001D49B8"/>
    <w:rsid w:val="001D4A1A"/>
    <w:rsid w:val="001D4C02"/>
    <w:rsid w:val="001D4EDB"/>
    <w:rsid w:val="001D4FC7"/>
    <w:rsid w:val="001D500B"/>
    <w:rsid w:val="001D50D3"/>
    <w:rsid w:val="001D517B"/>
    <w:rsid w:val="001D5420"/>
    <w:rsid w:val="001D5500"/>
    <w:rsid w:val="001D553E"/>
    <w:rsid w:val="001D55D2"/>
    <w:rsid w:val="001D5612"/>
    <w:rsid w:val="001D56D5"/>
    <w:rsid w:val="001D570B"/>
    <w:rsid w:val="001D581A"/>
    <w:rsid w:val="001D5955"/>
    <w:rsid w:val="001D5B46"/>
    <w:rsid w:val="001D5B9D"/>
    <w:rsid w:val="001D5C72"/>
    <w:rsid w:val="001D5CCB"/>
    <w:rsid w:val="001D5D1B"/>
    <w:rsid w:val="001D5D61"/>
    <w:rsid w:val="001D5DCD"/>
    <w:rsid w:val="001D5EDC"/>
    <w:rsid w:val="001D5F0D"/>
    <w:rsid w:val="001D5F0F"/>
    <w:rsid w:val="001D5FFC"/>
    <w:rsid w:val="001D6055"/>
    <w:rsid w:val="001D6085"/>
    <w:rsid w:val="001D6236"/>
    <w:rsid w:val="001D635B"/>
    <w:rsid w:val="001D64CF"/>
    <w:rsid w:val="001D65FF"/>
    <w:rsid w:val="001D661C"/>
    <w:rsid w:val="001D670A"/>
    <w:rsid w:val="001D68BA"/>
    <w:rsid w:val="001D68C2"/>
    <w:rsid w:val="001D694B"/>
    <w:rsid w:val="001D6A06"/>
    <w:rsid w:val="001D6B77"/>
    <w:rsid w:val="001D6CB4"/>
    <w:rsid w:val="001D6DB4"/>
    <w:rsid w:val="001D6DC9"/>
    <w:rsid w:val="001D6E29"/>
    <w:rsid w:val="001D6F4E"/>
    <w:rsid w:val="001D6F68"/>
    <w:rsid w:val="001D70A3"/>
    <w:rsid w:val="001D7109"/>
    <w:rsid w:val="001D7112"/>
    <w:rsid w:val="001D7169"/>
    <w:rsid w:val="001D732D"/>
    <w:rsid w:val="001D732E"/>
    <w:rsid w:val="001D73DF"/>
    <w:rsid w:val="001D74A9"/>
    <w:rsid w:val="001D76F2"/>
    <w:rsid w:val="001D772B"/>
    <w:rsid w:val="001D7835"/>
    <w:rsid w:val="001D784B"/>
    <w:rsid w:val="001D78CC"/>
    <w:rsid w:val="001D7974"/>
    <w:rsid w:val="001D79FD"/>
    <w:rsid w:val="001D7A6F"/>
    <w:rsid w:val="001D7A8D"/>
    <w:rsid w:val="001D7D12"/>
    <w:rsid w:val="001D7E47"/>
    <w:rsid w:val="001D7ED5"/>
    <w:rsid w:val="001D7EED"/>
    <w:rsid w:val="001E00C4"/>
    <w:rsid w:val="001E037F"/>
    <w:rsid w:val="001E0419"/>
    <w:rsid w:val="001E0425"/>
    <w:rsid w:val="001E0456"/>
    <w:rsid w:val="001E045B"/>
    <w:rsid w:val="001E052D"/>
    <w:rsid w:val="001E0541"/>
    <w:rsid w:val="001E06A7"/>
    <w:rsid w:val="001E06DF"/>
    <w:rsid w:val="001E072F"/>
    <w:rsid w:val="001E08AD"/>
    <w:rsid w:val="001E08D0"/>
    <w:rsid w:val="001E0919"/>
    <w:rsid w:val="001E096D"/>
    <w:rsid w:val="001E0990"/>
    <w:rsid w:val="001E0AC1"/>
    <w:rsid w:val="001E0C08"/>
    <w:rsid w:val="001E0CF3"/>
    <w:rsid w:val="001E0F6B"/>
    <w:rsid w:val="001E0FC3"/>
    <w:rsid w:val="001E1005"/>
    <w:rsid w:val="001E1049"/>
    <w:rsid w:val="001E1274"/>
    <w:rsid w:val="001E1332"/>
    <w:rsid w:val="001E1587"/>
    <w:rsid w:val="001E1589"/>
    <w:rsid w:val="001E159C"/>
    <w:rsid w:val="001E15F4"/>
    <w:rsid w:val="001E16F0"/>
    <w:rsid w:val="001E1821"/>
    <w:rsid w:val="001E18BD"/>
    <w:rsid w:val="001E19B3"/>
    <w:rsid w:val="001E19E8"/>
    <w:rsid w:val="001E1A73"/>
    <w:rsid w:val="001E1AFF"/>
    <w:rsid w:val="001E1CCE"/>
    <w:rsid w:val="001E1D77"/>
    <w:rsid w:val="001E1DC1"/>
    <w:rsid w:val="001E1DFE"/>
    <w:rsid w:val="001E1EAF"/>
    <w:rsid w:val="001E1EC5"/>
    <w:rsid w:val="001E1F91"/>
    <w:rsid w:val="001E1FE9"/>
    <w:rsid w:val="001E20F4"/>
    <w:rsid w:val="001E219B"/>
    <w:rsid w:val="001E2322"/>
    <w:rsid w:val="001E2392"/>
    <w:rsid w:val="001E24B9"/>
    <w:rsid w:val="001E26E1"/>
    <w:rsid w:val="001E28AE"/>
    <w:rsid w:val="001E28D7"/>
    <w:rsid w:val="001E28E3"/>
    <w:rsid w:val="001E2A2D"/>
    <w:rsid w:val="001E2A6A"/>
    <w:rsid w:val="001E2CBA"/>
    <w:rsid w:val="001E2CF1"/>
    <w:rsid w:val="001E2F24"/>
    <w:rsid w:val="001E2FB3"/>
    <w:rsid w:val="001E2FC0"/>
    <w:rsid w:val="001E304C"/>
    <w:rsid w:val="001E306C"/>
    <w:rsid w:val="001E313F"/>
    <w:rsid w:val="001E31CC"/>
    <w:rsid w:val="001E3437"/>
    <w:rsid w:val="001E3458"/>
    <w:rsid w:val="001E3575"/>
    <w:rsid w:val="001E35C9"/>
    <w:rsid w:val="001E3655"/>
    <w:rsid w:val="001E368F"/>
    <w:rsid w:val="001E36AD"/>
    <w:rsid w:val="001E374A"/>
    <w:rsid w:val="001E3822"/>
    <w:rsid w:val="001E38C3"/>
    <w:rsid w:val="001E38FE"/>
    <w:rsid w:val="001E390C"/>
    <w:rsid w:val="001E39E3"/>
    <w:rsid w:val="001E3ABF"/>
    <w:rsid w:val="001E3AC4"/>
    <w:rsid w:val="001E3B53"/>
    <w:rsid w:val="001E3B6F"/>
    <w:rsid w:val="001E3D23"/>
    <w:rsid w:val="001E400E"/>
    <w:rsid w:val="001E4133"/>
    <w:rsid w:val="001E4281"/>
    <w:rsid w:val="001E42D8"/>
    <w:rsid w:val="001E443A"/>
    <w:rsid w:val="001E44AD"/>
    <w:rsid w:val="001E4535"/>
    <w:rsid w:val="001E45C5"/>
    <w:rsid w:val="001E47DB"/>
    <w:rsid w:val="001E4826"/>
    <w:rsid w:val="001E48C0"/>
    <w:rsid w:val="001E4B00"/>
    <w:rsid w:val="001E4B49"/>
    <w:rsid w:val="001E4BC0"/>
    <w:rsid w:val="001E4CAD"/>
    <w:rsid w:val="001E4DEB"/>
    <w:rsid w:val="001E4DED"/>
    <w:rsid w:val="001E4E6B"/>
    <w:rsid w:val="001E4F11"/>
    <w:rsid w:val="001E4FE7"/>
    <w:rsid w:val="001E5033"/>
    <w:rsid w:val="001E5053"/>
    <w:rsid w:val="001E5107"/>
    <w:rsid w:val="001E5113"/>
    <w:rsid w:val="001E529A"/>
    <w:rsid w:val="001E52E0"/>
    <w:rsid w:val="001E539A"/>
    <w:rsid w:val="001E5413"/>
    <w:rsid w:val="001E54A4"/>
    <w:rsid w:val="001E5508"/>
    <w:rsid w:val="001E555C"/>
    <w:rsid w:val="001E55FD"/>
    <w:rsid w:val="001E564B"/>
    <w:rsid w:val="001E571E"/>
    <w:rsid w:val="001E57E1"/>
    <w:rsid w:val="001E58DB"/>
    <w:rsid w:val="001E594E"/>
    <w:rsid w:val="001E59D4"/>
    <w:rsid w:val="001E59F1"/>
    <w:rsid w:val="001E5ADD"/>
    <w:rsid w:val="001E5B0D"/>
    <w:rsid w:val="001E5B97"/>
    <w:rsid w:val="001E5C41"/>
    <w:rsid w:val="001E5CBF"/>
    <w:rsid w:val="001E5CF5"/>
    <w:rsid w:val="001E5CFD"/>
    <w:rsid w:val="001E5D81"/>
    <w:rsid w:val="001E5E32"/>
    <w:rsid w:val="001E5E3F"/>
    <w:rsid w:val="001E5E85"/>
    <w:rsid w:val="001E6197"/>
    <w:rsid w:val="001E624E"/>
    <w:rsid w:val="001E62BD"/>
    <w:rsid w:val="001E6318"/>
    <w:rsid w:val="001E633A"/>
    <w:rsid w:val="001E650D"/>
    <w:rsid w:val="001E656D"/>
    <w:rsid w:val="001E65BF"/>
    <w:rsid w:val="001E65F2"/>
    <w:rsid w:val="001E67B0"/>
    <w:rsid w:val="001E68D3"/>
    <w:rsid w:val="001E69B8"/>
    <w:rsid w:val="001E6A95"/>
    <w:rsid w:val="001E6B58"/>
    <w:rsid w:val="001E6C15"/>
    <w:rsid w:val="001E6C42"/>
    <w:rsid w:val="001E6D67"/>
    <w:rsid w:val="001E6D6F"/>
    <w:rsid w:val="001E6E5C"/>
    <w:rsid w:val="001E6EA3"/>
    <w:rsid w:val="001E6EF6"/>
    <w:rsid w:val="001E6FC0"/>
    <w:rsid w:val="001E6FFC"/>
    <w:rsid w:val="001E7093"/>
    <w:rsid w:val="001E71FF"/>
    <w:rsid w:val="001E72BD"/>
    <w:rsid w:val="001E7408"/>
    <w:rsid w:val="001E7429"/>
    <w:rsid w:val="001E75C2"/>
    <w:rsid w:val="001E75E8"/>
    <w:rsid w:val="001E775C"/>
    <w:rsid w:val="001E776E"/>
    <w:rsid w:val="001E7842"/>
    <w:rsid w:val="001E78AD"/>
    <w:rsid w:val="001E78AF"/>
    <w:rsid w:val="001E7BBD"/>
    <w:rsid w:val="001E7BD1"/>
    <w:rsid w:val="001E7CA0"/>
    <w:rsid w:val="001E7DE0"/>
    <w:rsid w:val="001E7E21"/>
    <w:rsid w:val="001E7E72"/>
    <w:rsid w:val="001E7E8C"/>
    <w:rsid w:val="001E7E9B"/>
    <w:rsid w:val="001E7EAC"/>
    <w:rsid w:val="001E7EFE"/>
    <w:rsid w:val="001F003D"/>
    <w:rsid w:val="001F004D"/>
    <w:rsid w:val="001F005E"/>
    <w:rsid w:val="001F00F0"/>
    <w:rsid w:val="001F0203"/>
    <w:rsid w:val="001F0293"/>
    <w:rsid w:val="001F029B"/>
    <w:rsid w:val="001F0347"/>
    <w:rsid w:val="001F0408"/>
    <w:rsid w:val="001F0478"/>
    <w:rsid w:val="001F0562"/>
    <w:rsid w:val="001F056D"/>
    <w:rsid w:val="001F060E"/>
    <w:rsid w:val="001F06E3"/>
    <w:rsid w:val="001F08C8"/>
    <w:rsid w:val="001F0A2E"/>
    <w:rsid w:val="001F0A55"/>
    <w:rsid w:val="001F0ABE"/>
    <w:rsid w:val="001F0ADC"/>
    <w:rsid w:val="001F0B03"/>
    <w:rsid w:val="001F0B2B"/>
    <w:rsid w:val="001F0B54"/>
    <w:rsid w:val="001F0D44"/>
    <w:rsid w:val="001F0E10"/>
    <w:rsid w:val="001F0E84"/>
    <w:rsid w:val="001F0F03"/>
    <w:rsid w:val="001F0F41"/>
    <w:rsid w:val="001F0F5F"/>
    <w:rsid w:val="001F0F9D"/>
    <w:rsid w:val="001F0FD2"/>
    <w:rsid w:val="001F10A0"/>
    <w:rsid w:val="001F116D"/>
    <w:rsid w:val="001F12EA"/>
    <w:rsid w:val="001F1384"/>
    <w:rsid w:val="001F140A"/>
    <w:rsid w:val="001F1474"/>
    <w:rsid w:val="001F1490"/>
    <w:rsid w:val="001F14D9"/>
    <w:rsid w:val="001F15B6"/>
    <w:rsid w:val="001F15C2"/>
    <w:rsid w:val="001F1735"/>
    <w:rsid w:val="001F18F0"/>
    <w:rsid w:val="001F18F7"/>
    <w:rsid w:val="001F1949"/>
    <w:rsid w:val="001F1A5C"/>
    <w:rsid w:val="001F1AB6"/>
    <w:rsid w:val="001F1C55"/>
    <w:rsid w:val="001F1C64"/>
    <w:rsid w:val="001F1CAC"/>
    <w:rsid w:val="001F1D08"/>
    <w:rsid w:val="001F1D8E"/>
    <w:rsid w:val="001F1DDA"/>
    <w:rsid w:val="001F1E1E"/>
    <w:rsid w:val="001F1E8C"/>
    <w:rsid w:val="001F1F8B"/>
    <w:rsid w:val="001F1F94"/>
    <w:rsid w:val="001F2081"/>
    <w:rsid w:val="001F216C"/>
    <w:rsid w:val="001F223E"/>
    <w:rsid w:val="001F2282"/>
    <w:rsid w:val="001F22C4"/>
    <w:rsid w:val="001F2432"/>
    <w:rsid w:val="001F24D7"/>
    <w:rsid w:val="001F25E2"/>
    <w:rsid w:val="001F26C4"/>
    <w:rsid w:val="001F2A0E"/>
    <w:rsid w:val="001F2B63"/>
    <w:rsid w:val="001F2D43"/>
    <w:rsid w:val="001F2D8E"/>
    <w:rsid w:val="001F2DCA"/>
    <w:rsid w:val="001F2E50"/>
    <w:rsid w:val="001F2F36"/>
    <w:rsid w:val="001F30A8"/>
    <w:rsid w:val="001F30AD"/>
    <w:rsid w:val="001F30F7"/>
    <w:rsid w:val="001F31F7"/>
    <w:rsid w:val="001F3252"/>
    <w:rsid w:val="001F33C2"/>
    <w:rsid w:val="001F34B7"/>
    <w:rsid w:val="001F354C"/>
    <w:rsid w:val="001F3673"/>
    <w:rsid w:val="001F36AB"/>
    <w:rsid w:val="001F36F4"/>
    <w:rsid w:val="001F3724"/>
    <w:rsid w:val="001F3766"/>
    <w:rsid w:val="001F380A"/>
    <w:rsid w:val="001F392C"/>
    <w:rsid w:val="001F3A01"/>
    <w:rsid w:val="001F3A86"/>
    <w:rsid w:val="001F3A98"/>
    <w:rsid w:val="001F3B4D"/>
    <w:rsid w:val="001F3C18"/>
    <w:rsid w:val="001F3C27"/>
    <w:rsid w:val="001F3CD1"/>
    <w:rsid w:val="001F3D54"/>
    <w:rsid w:val="001F3E0E"/>
    <w:rsid w:val="001F3E46"/>
    <w:rsid w:val="001F3F0A"/>
    <w:rsid w:val="001F3F21"/>
    <w:rsid w:val="001F3F4F"/>
    <w:rsid w:val="001F4031"/>
    <w:rsid w:val="001F432A"/>
    <w:rsid w:val="001F4335"/>
    <w:rsid w:val="001F4450"/>
    <w:rsid w:val="001F4579"/>
    <w:rsid w:val="001F45B2"/>
    <w:rsid w:val="001F4640"/>
    <w:rsid w:val="001F48B8"/>
    <w:rsid w:val="001F4A02"/>
    <w:rsid w:val="001F4A7D"/>
    <w:rsid w:val="001F4A87"/>
    <w:rsid w:val="001F4B36"/>
    <w:rsid w:val="001F4C4B"/>
    <w:rsid w:val="001F4C98"/>
    <w:rsid w:val="001F4D71"/>
    <w:rsid w:val="001F4E0B"/>
    <w:rsid w:val="001F4E1D"/>
    <w:rsid w:val="001F4EAD"/>
    <w:rsid w:val="001F4FEC"/>
    <w:rsid w:val="001F5200"/>
    <w:rsid w:val="001F5284"/>
    <w:rsid w:val="001F52F3"/>
    <w:rsid w:val="001F5313"/>
    <w:rsid w:val="001F53E5"/>
    <w:rsid w:val="001F5416"/>
    <w:rsid w:val="001F55B3"/>
    <w:rsid w:val="001F575A"/>
    <w:rsid w:val="001F585A"/>
    <w:rsid w:val="001F5B42"/>
    <w:rsid w:val="001F5B6B"/>
    <w:rsid w:val="001F5CD7"/>
    <w:rsid w:val="001F5E39"/>
    <w:rsid w:val="001F5E5D"/>
    <w:rsid w:val="001F5E6E"/>
    <w:rsid w:val="001F5EA8"/>
    <w:rsid w:val="001F5FAB"/>
    <w:rsid w:val="001F60F0"/>
    <w:rsid w:val="001F6219"/>
    <w:rsid w:val="001F6227"/>
    <w:rsid w:val="001F62A4"/>
    <w:rsid w:val="001F62AC"/>
    <w:rsid w:val="001F6347"/>
    <w:rsid w:val="001F64DB"/>
    <w:rsid w:val="001F64E2"/>
    <w:rsid w:val="001F669D"/>
    <w:rsid w:val="001F678F"/>
    <w:rsid w:val="001F6BCF"/>
    <w:rsid w:val="001F6D83"/>
    <w:rsid w:val="001F6F5C"/>
    <w:rsid w:val="001F70AA"/>
    <w:rsid w:val="001F71ED"/>
    <w:rsid w:val="001F7203"/>
    <w:rsid w:val="001F733D"/>
    <w:rsid w:val="001F734B"/>
    <w:rsid w:val="001F7350"/>
    <w:rsid w:val="001F73CD"/>
    <w:rsid w:val="001F7425"/>
    <w:rsid w:val="001F7461"/>
    <w:rsid w:val="001F746B"/>
    <w:rsid w:val="001F7471"/>
    <w:rsid w:val="001F74AC"/>
    <w:rsid w:val="001F764B"/>
    <w:rsid w:val="001F7659"/>
    <w:rsid w:val="001F770B"/>
    <w:rsid w:val="001F7841"/>
    <w:rsid w:val="001F784F"/>
    <w:rsid w:val="001F7949"/>
    <w:rsid w:val="001F799C"/>
    <w:rsid w:val="001F79DC"/>
    <w:rsid w:val="001F7C15"/>
    <w:rsid w:val="001F7CC9"/>
    <w:rsid w:val="001F7E80"/>
    <w:rsid w:val="001F7E9E"/>
    <w:rsid w:val="001F7EFB"/>
    <w:rsid w:val="001F7F14"/>
    <w:rsid w:val="001F7FBE"/>
    <w:rsid w:val="00200020"/>
    <w:rsid w:val="002000CB"/>
    <w:rsid w:val="0020018D"/>
    <w:rsid w:val="002001AD"/>
    <w:rsid w:val="0020029B"/>
    <w:rsid w:val="00200515"/>
    <w:rsid w:val="002005EA"/>
    <w:rsid w:val="0020067D"/>
    <w:rsid w:val="0020067F"/>
    <w:rsid w:val="002006B0"/>
    <w:rsid w:val="002006FB"/>
    <w:rsid w:val="0020074E"/>
    <w:rsid w:val="002007A6"/>
    <w:rsid w:val="00200863"/>
    <w:rsid w:val="002008C2"/>
    <w:rsid w:val="00200A00"/>
    <w:rsid w:val="00200A12"/>
    <w:rsid w:val="00200A14"/>
    <w:rsid w:val="00200DB9"/>
    <w:rsid w:val="00200DC1"/>
    <w:rsid w:val="00200EF8"/>
    <w:rsid w:val="00200F83"/>
    <w:rsid w:val="00200FFD"/>
    <w:rsid w:val="00201174"/>
    <w:rsid w:val="002011B1"/>
    <w:rsid w:val="002011B3"/>
    <w:rsid w:val="002011ED"/>
    <w:rsid w:val="002012C3"/>
    <w:rsid w:val="00201338"/>
    <w:rsid w:val="002013D0"/>
    <w:rsid w:val="00201439"/>
    <w:rsid w:val="002014E0"/>
    <w:rsid w:val="00201558"/>
    <w:rsid w:val="0020171A"/>
    <w:rsid w:val="00201943"/>
    <w:rsid w:val="00201A34"/>
    <w:rsid w:val="00201D68"/>
    <w:rsid w:val="00201D87"/>
    <w:rsid w:val="00201E5A"/>
    <w:rsid w:val="00201EC0"/>
    <w:rsid w:val="00202108"/>
    <w:rsid w:val="00202187"/>
    <w:rsid w:val="002022AC"/>
    <w:rsid w:val="00202355"/>
    <w:rsid w:val="0020239C"/>
    <w:rsid w:val="00202409"/>
    <w:rsid w:val="00202417"/>
    <w:rsid w:val="00202453"/>
    <w:rsid w:val="0020253E"/>
    <w:rsid w:val="002027A1"/>
    <w:rsid w:val="002027C3"/>
    <w:rsid w:val="0020285F"/>
    <w:rsid w:val="00202929"/>
    <w:rsid w:val="00202AAF"/>
    <w:rsid w:val="00202C02"/>
    <w:rsid w:val="00202D04"/>
    <w:rsid w:val="00202E74"/>
    <w:rsid w:val="00202E93"/>
    <w:rsid w:val="00202F00"/>
    <w:rsid w:val="00202F8E"/>
    <w:rsid w:val="0020313C"/>
    <w:rsid w:val="00203146"/>
    <w:rsid w:val="00203238"/>
    <w:rsid w:val="0020331A"/>
    <w:rsid w:val="002033CA"/>
    <w:rsid w:val="00203495"/>
    <w:rsid w:val="00203498"/>
    <w:rsid w:val="00203680"/>
    <w:rsid w:val="002036BF"/>
    <w:rsid w:val="00203722"/>
    <w:rsid w:val="00203740"/>
    <w:rsid w:val="0020382F"/>
    <w:rsid w:val="0020383D"/>
    <w:rsid w:val="00203880"/>
    <w:rsid w:val="002039DE"/>
    <w:rsid w:val="00203A10"/>
    <w:rsid w:val="00203A45"/>
    <w:rsid w:val="00203BB9"/>
    <w:rsid w:val="00203CA3"/>
    <w:rsid w:val="00203D03"/>
    <w:rsid w:val="00203D9A"/>
    <w:rsid w:val="00203E6C"/>
    <w:rsid w:val="00203EB9"/>
    <w:rsid w:val="00203EF0"/>
    <w:rsid w:val="00203FFF"/>
    <w:rsid w:val="00204017"/>
    <w:rsid w:val="002040CF"/>
    <w:rsid w:val="00204141"/>
    <w:rsid w:val="00204433"/>
    <w:rsid w:val="00204502"/>
    <w:rsid w:val="00204724"/>
    <w:rsid w:val="00204791"/>
    <w:rsid w:val="002049DE"/>
    <w:rsid w:val="00204A88"/>
    <w:rsid w:val="00204B37"/>
    <w:rsid w:val="00204B67"/>
    <w:rsid w:val="00204BC1"/>
    <w:rsid w:val="00204DF3"/>
    <w:rsid w:val="00204E27"/>
    <w:rsid w:val="00204FF6"/>
    <w:rsid w:val="00205074"/>
    <w:rsid w:val="0020510E"/>
    <w:rsid w:val="002051E0"/>
    <w:rsid w:val="002052C9"/>
    <w:rsid w:val="002053E8"/>
    <w:rsid w:val="00205865"/>
    <w:rsid w:val="00205998"/>
    <w:rsid w:val="002059ED"/>
    <w:rsid w:val="00205BCC"/>
    <w:rsid w:val="00205FCA"/>
    <w:rsid w:val="002060AB"/>
    <w:rsid w:val="0020623A"/>
    <w:rsid w:val="002063FF"/>
    <w:rsid w:val="002064B8"/>
    <w:rsid w:val="00206519"/>
    <w:rsid w:val="00206809"/>
    <w:rsid w:val="00206832"/>
    <w:rsid w:val="00206849"/>
    <w:rsid w:val="002068E6"/>
    <w:rsid w:val="002069E3"/>
    <w:rsid w:val="00206A61"/>
    <w:rsid w:val="00206B4E"/>
    <w:rsid w:val="00206B74"/>
    <w:rsid w:val="00206BD4"/>
    <w:rsid w:val="00206D3E"/>
    <w:rsid w:val="00206D56"/>
    <w:rsid w:val="00206D7F"/>
    <w:rsid w:val="00206DEB"/>
    <w:rsid w:val="00206DF0"/>
    <w:rsid w:val="00206E7D"/>
    <w:rsid w:val="00206E7E"/>
    <w:rsid w:val="00206F15"/>
    <w:rsid w:val="00206F75"/>
    <w:rsid w:val="00206F80"/>
    <w:rsid w:val="00206FD9"/>
    <w:rsid w:val="0020710D"/>
    <w:rsid w:val="002073AB"/>
    <w:rsid w:val="002073D8"/>
    <w:rsid w:val="0020745A"/>
    <w:rsid w:val="0020747B"/>
    <w:rsid w:val="002074A7"/>
    <w:rsid w:val="0020752B"/>
    <w:rsid w:val="002076A1"/>
    <w:rsid w:val="0020776A"/>
    <w:rsid w:val="0020782E"/>
    <w:rsid w:val="0020791E"/>
    <w:rsid w:val="00207966"/>
    <w:rsid w:val="00207A2A"/>
    <w:rsid w:val="00207A3A"/>
    <w:rsid w:val="00207A41"/>
    <w:rsid w:val="00207AE2"/>
    <w:rsid w:val="00207AFA"/>
    <w:rsid w:val="00207AFE"/>
    <w:rsid w:val="00207DFD"/>
    <w:rsid w:val="00207E0D"/>
    <w:rsid w:val="00207F64"/>
    <w:rsid w:val="00210061"/>
    <w:rsid w:val="00210096"/>
    <w:rsid w:val="00210172"/>
    <w:rsid w:val="002101B3"/>
    <w:rsid w:val="002101FA"/>
    <w:rsid w:val="002102F8"/>
    <w:rsid w:val="0021034C"/>
    <w:rsid w:val="00210357"/>
    <w:rsid w:val="002103B3"/>
    <w:rsid w:val="00210440"/>
    <w:rsid w:val="002105A4"/>
    <w:rsid w:val="00210606"/>
    <w:rsid w:val="00210795"/>
    <w:rsid w:val="002107FD"/>
    <w:rsid w:val="002108A8"/>
    <w:rsid w:val="0021091F"/>
    <w:rsid w:val="002109C0"/>
    <w:rsid w:val="00210A35"/>
    <w:rsid w:val="00210A44"/>
    <w:rsid w:val="00210C44"/>
    <w:rsid w:val="00210C48"/>
    <w:rsid w:val="00210C5C"/>
    <w:rsid w:val="00210C7D"/>
    <w:rsid w:val="00210C7E"/>
    <w:rsid w:val="00210D14"/>
    <w:rsid w:val="00210DDA"/>
    <w:rsid w:val="00210DF0"/>
    <w:rsid w:val="00210F2B"/>
    <w:rsid w:val="002112C4"/>
    <w:rsid w:val="002112DD"/>
    <w:rsid w:val="0021132F"/>
    <w:rsid w:val="00211335"/>
    <w:rsid w:val="002114CD"/>
    <w:rsid w:val="002115A1"/>
    <w:rsid w:val="00211605"/>
    <w:rsid w:val="0021181D"/>
    <w:rsid w:val="002118AD"/>
    <w:rsid w:val="002118B0"/>
    <w:rsid w:val="00211924"/>
    <w:rsid w:val="00211936"/>
    <w:rsid w:val="0021196F"/>
    <w:rsid w:val="00211A9B"/>
    <w:rsid w:val="00211D3D"/>
    <w:rsid w:val="00211D6E"/>
    <w:rsid w:val="00211F10"/>
    <w:rsid w:val="00211F61"/>
    <w:rsid w:val="00211F6F"/>
    <w:rsid w:val="00211F9D"/>
    <w:rsid w:val="0021205E"/>
    <w:rsid w:val="002120DB"/>
    <w:rsid w:val="00212131"/>
    <w:rsid w:val="00212174"/>
    <w:rsid w:val="00212184"/>
    <w:rsid w:val="002121A7"/>
    <w:rsid w:val="002121DB"/>
    <w:rsid w:val="002121FA"/>
    <w:rsid w:val="0021242F"/>
    <w:rsid w:val="00212434"/>
    <w:rsid w:val="0021244B"/>
    <w:rsid w:val="00212484"/>
    <w:rsid w:val="002124CC"/>
    <w:rsid w:val="0021253E"/>
    <w:rsid w:val="002125EF"/>
    <w:rsid w:val="002125FC"/>
    <w:rsid w:val="00212606"/>
    <w:rsid w:val="00212667"/>
    <w:rsid w:val="00212735"/>
    <w:rsid w:val="002127FB"/>
    <w:rsid w:val="002128C1"/>
    <w:rsid w:val="0021290A"/>
    <w:rsid w:val="002129D5"/>
    <w:rsid w:val="00212A89"/>
    <w:rsid w:val="00212C35"/>
    <w:rsid w:val="00212C5D"/>
    <w:rsid w:val="00212DEA"/>
    <w:rsid w:val="00213104"/>
    <w:rsid w:val="0021324B"/>
    <w:rsid w:val="002132CC"/>
    <w:rsid w:val="002132D2"/>
    <w:rsid w:val="0021336E"/>
    <w:rsid w:val="002133AB"/>
    <w:rsid w:val="002133C0"/>
    <w:rsid w:val="00213581"/>
    <w:rsid w:val="002135F6"/>
    <w:rsid w:val="002138C7"/>
    <w:rsid w:val="002138DC"/>
    <w:rsid w:val="00213982"/>
    <w:rsid w:val="00213A0E"/>
    <w:rsid w:val="00213A68"/>
    <w:rsid w:val="00213AEB"/>
    <w:rsid w:val="00213AF6"/>
    <w:rsid w:val="00213B57"/>
    <w:rsid w:val="00213B85"/>
    <w:rsid w:val="00213B96"/>
    <w:rsid w:val="00213BA8"/>
    <w:rsid w:val="00213C10"/>
    <w:rsid w:val="00213E12"/>
    <w:rsid w:val="00213E45"/>
    <w:rsid w:val="00213E54"/>
    <w:rsid w:val="00213EAA"/>
    <w:rsid w:val="00213F40"/>
    <w:rsid w:val="0021403D"/>
    <w:rsid w:val="0021404F"/>
    <w:rsid w:val="002140CA"/>
    <w:rsid w:val="002141E7"/>
    <w:rsid w:val="00214303"/>
    <w:rsid w:val="00214315"/>
    <w:rsid w:val="0021431E"/>
    <w:rsid w:val="00214401"/>
    <w:rsid w:val="0021440E"/>
    <w:rsid w:val="002144C2"/>
    <w:rsid w:val="002144FD"/>
    <w:rsid w:val="002146C0"/>
    <w:rsid w:val="002147BF"/>
    <w:rsid w:val="002148A4"/>
    <w:rsid w:val="00214902"/>
    <w:rsid w:val="002149A5"/>
    <w:rsid w:val="00214B00"/>
    <w:rsid w:val="00214B36"/>
    <w:rsid w:val="00214D55"/>
    <w:rsid w:val="00214DD9"/>
    <w:rsid w:val="00214E27"/>
    <w:rsid w:val="00214FAC"/>
    <w:rsid w:val="002151E6"/>
    <w:rsid w:val="002151FC"/>
    <w:rsid w:val="00215206"/>
    <w:rsid w:val="00215391"/>
    <w:rsid w:val="002153C8"/>
    <w:rsid w:val="0021541D"/>
    <w:rsid w:val="0021548E"/>
    <w:rsid w:val="002154E4"/>
    <w:rsid w:val="002155A0"/>
    <w:rsid w:val="00215618"/>
    <w:rsid w:val="002157F7"/>
    <w:rsid w:val="00215888"/>
    <w:rsid w:val="00215C7C"/>
    <w:rsid w:val="00215CEB"/>
    <w:rsid w:val="00215D2C"/>
    <w:rsid w:val="00215EC1"/>
    <w:rsid w:val="00215FC5"/>
    <w:rsid w:val="002160D6"/>
    <w:rsid w:val="00216123"/>
    <w:rsid w:val="00216184"/>
    <w:rsid w:val="002162B2"/>
    <w:rsid w:val="00216409"/>
    <w:rsid w:val="0021640D"/>
    <w:rsid w:val="0021641D"/>
    <w:rsid w:val="00216448"/>
    <w:rsid w:val="00216524"/>
    <w:rsid w:val="002165D6"/>
    <w:rsid w:val="00216630"/>
    <w:rsid w:val="00216639"/>
    <w:rsid w:val="0021669E"/>
    <w:rsid w:val="00216778"/>
    <w:rsid w:val="00216796"/>
    <w:rsid w:val="0021679A"/>
    <w:rsid w:val="00216885"/>
    <w:rsid w:val="002168D2"/>
    <w:rsid w:val="002168E5"/>
    <w:rsid w:val="00216901"/>
    <w:rsid w:val="002169CE"/>
    <w:rsid w:val="00216A3F"/>
    <w:rsid w:val="00216B4D"/>
    <w:rsid w:val="00216C81"/>
    <w:rsid w:val="00216D1F"/>
    <w:rsid w:val="00216DB0"/>
    <w:rsid w:val="00216E45"/>
    <w:rsid w:val="00216EE3"/>
    <w:rsid w:val="00216FAC"/>
    <w:rsid w:val="002170EA"/>
    <w:rsid w:val="00217138"/>
    <w:rsid w:val="00217232"/>
    <w:rsid w:val="00217297"/>
    <w:rsid w:val="00217430"/>
    <w:rsid w:val="00217528"/>
    <w:rsid w:val="00217539"/>
    <w:rsid w:val="0021754E"/>
    <w:rsid w:val="002175C9"/>
    <w:rsid w:val="00217616"/>
    <w:rsid w:val="0021761C"/>
    <w:rsid w:val="00217708"/>
    <w:rsid w:val="00217857"/>
    <w:rsid w:val="0021787B"/>
    <w:rsid w:val="0021789A"/>
    <w:rsid w:val="002178BB"/>
    <w:rsid w:val="00217915"/>
    <w:rsid w:val="0021791A"/>
    <w:rsid w:val="00217A08"/>
    <w:rsid w:val="00217A5D"/>
    <w:rsid w:val="00217A8B"/>
    <w:rsid w:val="00217B55"/>
    <w:rsid w:val="00217C41"/>
    <w:rsid w:val="00217D26"/>
    <w:rsid w:val="00217D45"/>
    <w:rsid w:val="00217F46"/>
    <w:rsid w:val="00217F65"/>
    <w:rsid w:val="002200F5"/>
    <w:rsid w:val="0022019D"/>
    <w:rsid w:val="00220232"/>
    <w:rsid w:val="002202E8"/>
    <w:rsid w:val="00220304"/>
    <w:rsid w:val="002204DF"/>
    <w:rsid w:val="0022058C"/>
    <w:rsid w:val="0022058E"/>
    <w:rsid w:val="002205D0"/>
    <w:rsid w:val="00220646"/>
    <w:rsid w:val="002208C2"/>
    <w:rsid w:val="002209EE"/>
    <w:rsid w:val="00220A81"/>
    <w:rsid w:val="00220AF8"/>
    <w:rsid w:val="00220BEA"/>
    <w:rsid w:val="00220CF8"/>
    <w:rsid w:val="00220E1B"/>
    <w:rsid w:val="00220E23"/>
    <w:rsid w:val="00220E49"/>
    <w:rsid w:val="00220EB2"/>
    <w:rsid w:val="00220EEE"/>
    <w:rsid w:val="0022110E"/>
    <w:rsid w:val="00221131"/>
    <w:rsid w:val="0022115B"/>
    <w:rsid w:val="002211CC"/>
    <w:rsid w:val="002211FC"/>
    <w:rsid w:val="002213FE"/>
    <w:rsid w:val="0022148C"/>
    <w:rsid w:val="002214EE"/>
    <w:rsid w:val="0022158B"/>
    <w:rsid w:val="0022158C"/>
    <w:rsid w:val="002215A3"/>
    <w:rsid w:val="00221763"/>
    <w:rsid w:val="00221869"/>
    <w:rsid w:val="00221950"/>
    <w:rsid w:val="0022197C"/>
    <w:rsid w:val="00221A4F"/>
    <w:rsid w:val="00221A79"/>
    <w:rsid w:val="00221B62"/>
    <w:rsid w:val="00221B8A"/>
    <w:rsid w:val="00221C3B"/>
    <w:rsid w:val="00221CE7"/>
    <w:rsid w:val="00221D04"/>
    <w:rsid w:val="00221D4C"/>
    <w:rsid w:val="00221EA9"/>
    <w:rsid w:val="00221EF8"/>
    <w:rsid w:val="00221FC9"/>
    <w:rsid w:val="0022205C"/>
    <w:rsid w:val="00222147"/>
    <w:rsid w:val="00222289"/>
    <w:rsid w:val="00222366"/>
    <w:rsid w:val="002223AF"/>
    <w:rsid w:val="002224FA"/>
    <w:rsid w:val="002225C1"/>
    <w:rsid w:val="002225E7"/>
    <w:rsid w:val="0022260B"/>
    <w:rsid w:val="0022268A"/>
    <w:rsid w:val="00222716"/>
    <w:rsid w:val="0022271F"/>
    <w:rsid w:val="0022272A"/>
    <w:rsid w:val="002229C0"/>
    <w:rsid w:val="002229E6"/>
    <w:rsid w:val="00222A12"/>
    <w:rsid w:val="00222A22"/>
    <w:rsid w:val="00222A3C"/>
    <w:rsid w:val="00222ABA"/>
    <w:rsid w:val="00222B53"/>
    <w:rsid w:val="00222E60"/>
    <w:rsid w:val="00222FFC"/>
    <w:rsid w:val="002230C5"/>
    <w:rsid w:val="00223184"/>
    <w:rsid w:val="002231B0"/>
    <w:rsid w:val="00223208"/>
    <w:rsid w:val="00223251"/>
    <w:rsid w:val="002234D2"/>
    <w:rsid w:val="0022356F"/>
    <w:rsid w:val="002235B7"/>
    <w:rsid w:val="0022362D"/>
    <w:rsid w:val="0022368B"/>
    <w:rsid w:val="00223695"/>
    <w:rsid w:val="00223731"/>
    <w:rsid w:val="002238E3"/>
    <w:rsid w:val="00223901"/>
    <w:rsid w:val="00223937"/>
    <w:rsid w:val="002239E1"/>
    <w:rsid w:val="00223ABC"/>
    <w:rsid w:val="00223AD5"/>
    <w:rsid w:val="00223BFC"/>
    <w:rsid w:val="00223C4D"/>
    <w:rsid w:val="00223C99"/>
    <w:rsid w:val="00223CB2"/>
    <w:rsid w:val="00223D96"/>
    <w:rsid w:val="00223DC7"/>
    <w:rsid w:val="00223F1E"/>
    <w:rsid w:val="00224047"/>
    <w:rsid w:val="0022405A"/>
    <w:rsid w:val="002240F2"/>
    <w:rsid w:val="00224362"/>
    <w:rsid w:val="00224395"/>
    <w:rsid w:val="002243B6"/>
    <w:rsid w:val="002243EF"/>
    <w:rsid w:val="002243F2"/>
    <w:rsid w:val="00224550"/>
    <w:rsid w:val="00224623"/>
    <w:rsid w:val="002246B6"/>
    <w:rsid w:val="00224998"/>
    <w:rsid w:val="00224A2A"/>
    <w:rsid w:val="00224A35"/>
    <w:rsid w:val="00224CA2"/>
    <w:rsid w:val="00224EAA"/>
    <w:rsid w:val="00224EC4"/>
    <w:rsid w:val="00224FC1"/>
    <w:rsid w:val="002250B2"/>
    <w:rsid w:val="002250B4"/>
    <w:rsid w:val="0022522F"/>
    <w:rsid w:val="00225253"/>
    <w:rsid w:val="002252BC"/>
    <w:rsid w:val="0022563F"/>
    <w:rsid w:val="0022569F"/>
    <w:rsid w:val="0022576B"/>
    <w:rsid w:val="002257B4"/>
    <w:rsid w:val="00225888"/>
    <w:rsid w:val="0022590E"/>
    <w:rsid w:val="002259CA"/>
    <w:rsid w:val="00225A78"/>
    <w:rsid w:val="00225A97"/>
    <w:rsid w:val="00225AE0"/>
    <w:rsid w:val="00225B9B"/>
    <w:rsid w:val="00225CB2"/>
    <w:rsid w:val="00225F5C"/>
    <w:rsid w:val="00225F6C"/>
    <w:rsid w:val="00225FA6"/>
    <w:rsid w:val="00226088"/>
    <w:rsid w:val="0022609B"/>
    <w:rsid w:val="0022616A"/>
    <w:rsid w:val="002261E6"/>
    <w:rsid w:val="0022630C"/>
    <w:rsid w:val="0022632E"/>
    <w:rsid w:val="002264C5"/>
    <w:rsid w:val="00226500"/>
    <w:rsid w:val="002265F4"/>
    <w:rsid w:val="0022676A"/>
    <w:rsid w:val="002269BB"/>
    <w:rsid w:val="00226B81"/>
    <w:rsid w:val="00226C35"/>
    <w:rsid w:val="00226FAD"/>
    <w:rsid w:val="00227018"/>
    <w:rsid w:val="0022704A"/>
    <w:rsid w:val="002270A5"/>
    <w:rsid w:val="0022722C"/>
    <w:rsid w:val="002273B7"/>
    <w:rsid w:val="00227454"/>
    <w:rsid w:val="0022745D"/>
    <w:rsid w:val="00227531"/>
    <w:rsid w:val="0022757F"/>
    <w:rsid w:val="002275F5"/>
    <w:rsid w:val="00227650"/>
    <w:rsid w:val="002276ED"/>
    <w:rsid w:val="002277CA"/>
    <w:rsid w:val="002278FE"/>
    <w:rsid w:val="00227A7D"/>
    <w:rsid w:val="00227B5A"/>
    <w:rsid w:val="00227CCB"/>
    <w:rsid w:val="00227CD8"/>
    <w:rsid w:val="00227D55"/>
    <w:rsid w:val="00227DA9"/>
    <w:rsid w:val="00227E56"/>
    <w:rsid w:val="00227F05"/>
    <w:rsid w:val="00230042"/>
    <w:rsid w:val="00230098"/>
    <w:rsid w:val="0023013C"/>
    <w:rsid w:val="00230174"/>
    <w:rsid w:val="0023019F"/>
    <w:rsid w:val="002302EE"/>
    <w:rsid w:val="002303E3"/>
    <w:rsid w:val="002303FB"/>
    <w:rsid w:val="00230586"/>
    <w:rsid w:val="00230668"/>
    <w:rsid w:val="002306E2"/>
    <w:rsid w:val="00230757"/>
    <w:rsid w:val="00230801"/>
    <w:rsid w:val="0023096E"/>
    <w:rsid w:val="00230A08"/>
    <w:rsid w:val="00230AB5"/>
    <w:rsid w:val="00230AC1"/>
    <w:rsid w:val="00230B97"/>
    <w:rsid w:val="00230C93"/>
    <w:rsid w:val="00230CC2"/>
    <w:rsid w:val="00230D27"/>
    <w:rsid w:val="00230D7C"/>
    <w:rsid w:val="00230E16"/>
    <w:rsid w:val="00230E5C"/>
    <w:rsid w:val="00230E5D"/>
    <w:rsid w:val="00230FA6"/>
    <w:rsid w:val="00230FF8"/>
    <w:rsid w:val="0023103A"/>
    <w:rsid w:val="00231150"/>
    <w:rsid w:val="00231173"/>
    <w:rsid w:val="002311B4"/>
    <w:rsid w:val="002311D3"/>
    <w:rsid w:val="002311FA"/>
    <w:rsid w:val="002312C2"/>
    <w:rsid w:val="002312CA"/>
    <w:rsid w:val="002312E6"/>
    <w:rsid w:val="0023136E"/>
    <w:rsid w:val="00231466"/>
    <w:rsid w:val="002315D4"/>
    <w:rsid w:val="00231676"/>
    <w:rsid w:val="00231836"/>
    <w:rsid w:val="00231A46"/>
    <w:rsid w:val="00231BE8"/>
    <w:rsid w:val="00231CC1"/>
    <w:rsid w:val="00231D1D"/>
    <w:rsid w:val="00231D25"/>
    <w:rsid w:val="00231D2F"/>
    <w:rsid w:val="00231DA2"/>
    <w:rsid w:val="00231DAF"/>
    <w:rsid w:val="00231DCE"/>
    <w:rsid w:val="00231FB9"/>
    <w:rsid w:val="002320FC"/>
    <w:rsid w:val="002321C3"/>
    <w:rsid w:val="00232223"/>
    <w:rsid w:val="0023224D"/>
    <w:rsid w:val="002322A2"/>
    <w:rsid w:val="0023239B"/>
    <w:rsid w:val="0023244C"/>
    <w:rsid w:val="00232628"/>
    <w:rsid w:val="00232665"/>
    <w:rsid w:val="0023286F"/>
    <w:rsid w:val="002329B1"/>
    <w:rsid w:val="00232A6F"/>
    <w:rsid w:val="00232AE4"/>
    <w:rsid w:val="00232E14"/>
    <w:rsid w:val="00232E5C"/>
    <w:rsid w:val="00232E69"/>
    <w:rsid w:val="00232F51"/>
    <w:rsid w:val="00232F74"/>
    <w:rsid w:val="00232FEB"/>
    <w:rsid w:val="002330E0"/>
    <w:rsid w:val="00233109"/>
    <w:rsid w:val="0023311A"/>
    <w:rsid w:val="002331D8"/>
    <w:rsid w:val="00233206"/>
    <w:rsid w:val="0023321A"/>
    <w:rsid w:val="002332CE"/>
    <w:rsid w:val="0023334A"/>
    <w:rsid w:val="002333A9"/>
    <w:rsid w:val="002334DB"/>
    <w:rsid w:val="00233517"/>
    <w:rsid w:val="0023351F"/>
    <w:rsid w:val="0023353B"/>
    <w:rsid w:val="0023353E"/>
    <w:rsid w:val="00233562"/>
    <w:rsid w:val="00233643"/>
    <w:rsid w:val="00233730"/>
    <w:rsid w:val="00233767"/>
    <w:rsid w:val="002337CE"/>
    <w:rsid w:val="0023381B"/>
    <w:rsid w:val="002338AF"/>
    <w:rsid w:val="00233940"/>
    <w:rsid w:val="00233988"/>
    <w:rsid w:val="002339BF"/>
    <w:rsid w:val="00233BB6"/>
    <w:rsid w:val="00233C3B"/>
    <w:rsid w:val="00233E97"/>
    <w:rsid w:val="00233EB9"/>
    <w:rsid w:val="00233F2D"/>
    <w:rsid w:val="00234074"/>
    <w:rsid w:val="002340DF"/>
    <w:rsid w:val="00234465"/>
    <w:rsid w:val="0023451B"/>
    <w:rsid w:val="002345B5"/>
    <w:rsid w:val="002346DD"/>
    <w:rsid w:val="00234709"/>
    <w:rsid w:val="0023492E"/>
    <w:rsid w:val="002349CE"/>
    <w:rsid w:val="00234B2F"/>
    <w:rsid w:val="00234C1F"/>
    <w:rsid w:val="00234F40"/>
    <w:rsid w:val="00234FA2"/>
    <w:rsid w:val="00235092"/>
    <w:rsid w:val="002352DF"/>
    <w:rsid w:val="0023534D"/>
    <w:rsid w:val="00235456"/>
    <w:rsid w:val="00235541"/>
    <w:rsid w:val="0023569E"/>
    <w:rsid w:val="002357CE"/>
    <w:rsid w:val="00235821"/>
    <w:rsid w:val="00235888"/>
    <w:rsid w:val="00235914"/>
    <w:rsid w:val="002359B1"/>
    <w:rsid w:val="00235B58"/>
    <w:rsid w:val="00235BE5"/>
    <w:rsid w:val="00235D05"/>
    <w:rsid w:val="00235D8B"/>
    <w:rsid w:val="00235DE2"/>
    <w:rsid w:val="00235FA7"/>
    <w:rsid w:val="0023603E"/>
    <w:rsid w:val="0023620A"/>
    <w:rsid w:val="00236448"/>
    <w:rsid w:val="0023645F"/>
    <w:rsid w:val="0023653B"/>
    <w:rsid w:val="002365A1"/>
    <w:rsid w:val="0023664A"/>
    <w:rsid w:val="0023673B"/>
    <w:rsid w:val="00236764"/>
    <w:rsid w:val="00236770"/>
    <w:rsid w:val="002367D7"/>
    <w:rsid w:val="002367F8"/>
    <w:rsid w:val="0023680A"/>
    <w:rsid w:val="0023682F"/>
    <w:rsid w:val="00236989"/>
    <w:rsid w:val="0023698D"/>
    <w:rsid w:val="00236A7D"/>
    <w:rsid w:val="00236B12"/>
    <w:rsid w:val="00236B29"/>
    <w:rsid w:val="00236CA4"/>
    <w:rsid w:val="00236D38"/>
    <w:rsid w:val="00236E40"/>
    <w:rsid w:val="00236E5F"/>
    <w:rsid w:val="00236ED8"/>
    <w:rsid w:val="00236F71"/>
    <w:rsid w:val="00237065"/>
    <w:rsid w:val="0023707A"/>
    <w:rsid w:val="00237095"/>
    <w:rsid w:val="002373FA"/>
    <w:rsid w:val="0023749A"/>
    <w:rsid w:val="0023760E"/>
    <w:rsid w:val="00237711"/>
    <w:rsid w:val="00237724"/>
    <w:rsid w:val="00237760"/>
    <w:rsid w:val="00237803"/>
    <w:rsid w:val="0023791B"/>
    <w:rsid w:val="00237957"/>
    <w:rsid w:val="00237AA1"/>
    <w:rsid w:val="00237B68"/>
    <w:rsid w:val="00237C2E"/>
    <w:rsid w:val="00237CAD"/>
    <w:rsid w:val="00237D28"/>
    <w:rsid w:val="00237DD3"/>
    <w:rsid w:val="00237E7B"/>
    <w:rsid w:val="00237EE2"/>
    <w:rsid w:val="00240010"/>
    <w:rsid w:val="00240090"/>
    <w:rsid w:val="0024015D"/>
    <w:rsid w:val="00240205"/>
    <w:rsid w:val="0024042E"/>
    <w:rsid w:val="00240524"/>
    <w:rsid w:val="002405C4"/>
    <w:rsid w:val="002405FD"/>
    <w:rsid w:val="002406E4"/>
    <w:rsid w:val="00240914"/>
    <w:rsid w:val="00240985"/>
    <w:rsid w:val="00240A08"/>
    <w:rsid w:val="00240AAD"/>
    <w:rsid w:val="00240B16"/>
    <w:rsid w:val="00240BAC"/>
    <w:rsid w:val="00240BD2"/>
    <w:rsid w:val="00240E86"/>
    <w:rsid w:val="00240E90"/>
    <w:rsid w:val="00240F1E"/>
    <w:rsid w:val="002410F4"/>
    <w:rsid w:val="0024114D"/>
    <w:rsid w:val="00241168"/>
    <w:rsid w:val="0024124C"/>
    <w:rsid w:val="002412C3"/>
    <w:rsid w:val="0024134C"/>
    <w:rsid w:val="00241443"/>
    <w:rsid w:val="002414EC"/>
    <w:rsid w:val="00241587"/>
    <w:rsid w:val="002415F6"/>
    <w:rsid w:val="002416D5"/>
    <w:rsid w:val="00241863"/>
    <w:rsid w:val="002418AA"/>
    <w:rsid w:val="0024196C"/>
    <w:rsid w:val="00241D90"/>
    <w:rsid w:val="00241E2C"/>
    <w:rsid w:val="00242196"/>
    <w:rsid w:val="0024221F"/>
    <w:rsid w:val="0024222A"/>
    <w:rsid w:val="0024235F"/>
    <w:rsid w:val="00242433"/>
    <w:rsid w:val="0024247C"/>
    <w:rsid w:val="00242499"/>
    <w:rsid w:val="002424DC"/>
    <w:rsid w:val="00242687"/>
    <w:rsid w:val="0024270D"/>
    <w:rsid w:val="00242776"/>
    <w:rsid w:val="002427AD"/>
    <w:rsid w:val="002427E9"/>
    <w:rsid w:val="002428E0"/>
    <w:rsid w:val="002429F7"/>
    <w:rsid w:val="00242A5E"/>
    <w:rsid w:val="00242A80"/>
    <w:rsid w:val="00242CE9"/>
    <w:rsid w:val="00242E38"/>
    <w:rsid w:val="00242EB1"/>
    <w:rsid w:val="00242ED5"/>
    <w:rsid w:val="00243146"/>
    <w:rsid w:val="002431A8"/>
    <w:rsid w:val="002431B0"/>
    <w:rsid w:val="002431FD"/>
    <w:rsid w:val="00243202"/>
    <w:rsid w:val="00243213"/>
    <w:rsid w:val="0024324E"/>
    <w:rsid w:val="002432D5"/>
    <w:rsid w:val="002432EB"/>
    <w:rsid w:val="002432F3"/>
    <w:rsid w:val="00243376"/>
    <w:rsid w:val="00243492"/>
    <w:rsid w:val="00243549"/>
    <w:rsid w:val="00243639"/>
    <w:rsid w:val="002436F7"/>
    <w:rsid w:val="0024372A"/>
    <w:rsid w:val="00243760"/>
    <w:rsid w:val="002438FC"/>
    <w:rsid w:val="002439B0"/>
    <w:rsid w:val="00243B1F"/>
    <w:rsid w:val="00243BA0"/>
    <w:rsid w:val="00243BA5"/>
    <w:rsid w:val="00243CE8"/>
    <w:rsid w:val="00243D4F"/>
    <w:rsid w:val="00243E1C"/>
    <w:rsid w:val="002440FF"/>
    <w:rsid w:val="00244109"/>
    <w:rsid w:val="002441C7"/>
    <w:rsid w:val="0024425A"/>
    <w:rsid w:val="00244358"/>
    <w:rsid w:val="002443C9"/>
    <w:rsid w:val="002444E5"/>
    <w:rsid w:val="00244556"/>
    <w:rsid w:val="002445BD"/>
    <w:rsid w:val="002447A6"/>
    <w:rsid w:val="002448EC"/>
    <w:rsid w:val="00244929"/>
    <w:rsid w:val="0024499D"/>
    <w:rsid w:val="002449DD"/>
    <w:rsid w:val="00244A50"/>
    <w:rsid w:val="00244A55"/>
    <w:rsid w:val="00244D9D"/>
    <w:rsid w:val="00244E26"/>
    <w:rsid w:val="00244E6A"/>
    <w:rsid w:val="00244F75"/>
    <w:rsid w:val="00244FDA"/>
    <w:rsid w:val="0024521A"/>
    <w:rsid w:val="0024531E"/>
    <w:rsid w:val="002453B1"/>
    <w:rsid w:val="00245424"/>
    <w:rsid w:val="002454FB"/>
    <w:rsid w:val="0024554B"/>
    <w:rsid w:val="0024569D"/>
    <w:rsid w:val="002456B3"/>
    <w:rsid w:val="0024576E"/>
    <w:rsid w:val="002457DB"/>
    <w:rsid w:val="002457FB"/>
    <w:rsid w:val="0024587F"/>
    <w:rsid w:val="002458D6"/>
    <w:rsid w:val="00245A25"/>
    <w:rsid w:val="00245B62"/>
    <w:rsid w:val="00245C95"/>
    <w:rsid w:val="00245CB8"/>
    <w:rsid w:val="00245D67"/>
    <w:rsid w:val="00245DDF"/>
    <w:rsid w:val="00245E16"/>
    <w:rsid w:val="00245F56"/>
    <w:rsid w:val="00245F6F"/>
    <w:rsid w:val="0024603F"/>
    <w:rsid w:val="0024613D"/>
    <w:rsid w:val="00246164"/>
    <w:rsid w:val="0024619B"/>
    <w:rsid w:val="002461FF"/>
    <w:rsid w:val="00246230"/>
    <w:rsid w:val="0024626F"/>
    <w:rsid w:val="00246345"/>
    <w:rsid w:val="0024639A"/>
    <w:rsid w:val="002463E1"/>
    <w:rsid w:val="002464DB"/>
    <w:rsid w:val="002466FF"/>
    <w:rsid w:val="00246727"/>
    <w:rsid w:val="002469FD"/>
    <w:rsid w:val="00246A38"/>
    <w:rsid w:val="00246A56"/>
    <w:rsid w:val="00246A7A"/>
    <w:rsid w:val="00246B53"/>
    <w:rsid w:val="00246B7D"/>
    <w:rsid w:val="00246BF7"/>
    <w:rsid w:val="00246D5F"/>
    <w:rsid w:val="00246DA2"/>
    <w:rsid w:val="00246E49"/>
    <w:rsid w:val="00246FF9"/>
    <w:rsid w:val="00246FFB"/>
    <w:rsid w:val="0024706F"/>
    <w:rsid w:val="002470E7"/>
    <w:rsid w:val="0024711A"/>
    <w:rsid w:val="0024724A"/>
    <w:rsid w:val="00247344"/>
    <w:rsid w:val="0024735B"/>
    <w:rsid w:val="002473AD"/>
    <w:rsid w:val="00247428"/>
    <w:rsid w:val="00247494"/>
    <w:rsid w:val="002474C2"/>
    <w:rsid w:val="00247576"/>
    <w:rsid w:val="00247627"/>
    <w:rsid w:val="0024788D"/>
    <w:rsid w:val="00247A0A"/>
    <w:rsid w:val="00247ABE"/>
    <w:rsid w:val="00247B29"/>
    <w:rsid w:val="00247BD2"/>
    <w:rsid w:val="00247C06"/>
    <w:rsid w:val="00247C24"/>
    <w:rsid w:val="00247DAE"/>
    <w:rsid w:val="00247EBF"/>
    <w:rsid w:val="00247F68"/>
    <w:rsid w:val="0025000F"/>
    <w:rsid w:val="00250128"/>
    <w:rsid w:val="0025012A"/>
    <w:rsid w:val="00250132"/>
    <w:rsid w:val="002501A9"/>
    <w:rsid w:val="0025045C"/>
    <w:rsid w:val="002504B7"/>
    <w:rsid w:val="002504D3"/>
    <w:rsid w:val="00250526"/>
    <w:rsid w:val="00250531"/>
    <w:rsid w:val="00250555"/>
    <w:rsid w:val="00250688"/>
    <w:rsid w:val="002506C9"/>
    <w:rsid w:val="002507F0"/>
    <w:rsid w:val="002509AE"/>
    <w:rsid w:val="00250BC0"/>
    <w:rsid w:val="00250C5F"/>
    <w:rsid w:val="00250CE2"/>
    <w:rsid w:val="00250DA0"/>
    <w:rsid w:val="00250DAF"/>
    <w:rsid w:val="00251033"/>
    <w:rsid w:val="002510B7"/>
    <w:rsid w:val="002511F4"/>
    <w:rsid w:val="002512F5"/>
    <w:rsid w:val="00251314"/>
    <w:rsid w:val="002513BE"/>
    <w:rsid w:val="002513DB"/>
    <w:rsid w:val="002513E1"/>
    <w:rsid w:val="002513F7"/>
    <w:rsid w:val="0025144C"/>
    <w:rsid w:val="0025146F"/>
    <w:rsid w:val="00251471"/>
    <w:rsid w:val="00251612"/>
    <w:rsid w:val="00251680"/>
    <w:rsid w:val="00251757"/>
    <w:rsid w:val="002517EB"/>
    <w:rsid w:val="002518EF"/>
    <w:rsid w:val="00251911"/>
    <w:rsid w:val="00251983"/>
    <w:rsid w:val="00251AD2"/>
    <w:rsid w:val="00251B6A"/>
    <w:rsid w:val="00251CE1"/>
    <w:rsid w:val="00251D39"/>
    <w:rsid w:val="00251DA6"/>
    <w:rsid w:val="00251E65"/>
    <w:rsid w:val="0025205D"/>
    <w:rsid w:val="0025217B"/>
    <w:rsid w:val="0025218B"/>
    <w:rsid w:val="00252234"/>
    <w:rsid w:val="00252336"/>
    <w:rsid w:val="00252362"/>
    <w:rsid w:val="002523D1"/>
    <w:rsid w:val="0025240F"/>
    <w:rsid w:val="00252471"/>
    <w:rsid w:val="00252488"/>
    <w:rsid w:val="002524E1"/>
    <w:rsid w:val="0025253A"/>
    <w:rsid w:val="00252658"/>
    <w:rsid w:val="00252782"/>
    <w:rsid w:val="002527A6"/>
    <w:rsid w:val="002527D3"/>
    <w:rsid w:val="002528EB"/>
    <w:rsid w:val="00252987"/>
    <w:rsid w:val="00252996"/>
    <w:rsid w:val="00252A26"/>
    <w:rsid w:val="00252AB4"/>
    <w:rsid w:val="00252AD7"/>
    <w:rsid w:val="00252B21"/>
    <w:rsid w:val="00252B48"/>
    <w:rsid w:val="00252B65"/>
    <w:rsid w:val="00252B8A"/>
    <w:rsid w:val="00252BCF"/>
    <w:rsid w:val="00252D46"/>
    <w:rsid w:val="00252DAD"/>
    <w:rsid w:val="00252E0B"/>
    <w:rsid w:val="00252E63"/>
    <w:rsid w:val="00252F30"/>
    <w:rsid w:val="00252F36"/>
    <w:rsid w:val="00252F81"/>
    <w:rsid w:val="00252FF6"/>
    <w:rsid w:val="00252FFE"/>
    <w:rsid w:val="00253008"/>
    <w:rsid w:val="00253318"/>
    <w:rsid w:val="0025339A"/>
    <w:rsid w:val="002533E7"/>
    <w:rsid w:val="002534EC"/>
    <w:rsid w:val="0025351A"/>
    <w:rsid w:val="00253565"/>
    <w:rsid w:val="00253741"/>
    <w:rsid w:val="00253969"/>
    <w:rsid w:val="002539D4"/>
    <w:rsid w:val="00253B22"/>
    <w:rsid w:val="00253BB8"/>
    <w:rsid w:val="00253BE0"/>
    <w:rsid w:val="00253BF0"/>
    <w:rsid w:val="00253D30"/>
    <w:rsid w:val="00253DB4"/>
    <w:rsid w:val="00253E40"/>
    <w:rsid w:val="00253E97"/>
    <w:rsid w:val="00253ED8"/>
    <w:rsid w:val="00253F41"/>
    <w:rsid w:val="00253FE2"/>
    <w:rsid w:val="002540AF"/>
    <w:rsid w:val="0025412B"/>
    <w:rsid w:val="002541B6"/>
    <w:rsid w:val="0025428E"/>
    <w:rsid w:val="00254353"/>
    <w:rsid w:val="0025435A"/>
    <w:rsid w:val="002544EC"/>
    <w:rsid w:val="0025452F"/>
    <w:rsid w:val="00254595"/>
    <w:rsid w:val="002548B1"/>
    <w:rsid w:val="00254902"/>
    <w:rsid w:val="00254953"/>
    <w:rsid w:val="002549F4"/>
    <w:rsid w:val="00254A4C"/>
    <w:rsid w:val="00254BAC"/>
    <w:rsid w:val="00254E1D"/>
    <w:rsid w:val="00254E4B"/>
    <w:rsid w:val="00254E87"/>
    <w:rsid w:val="00254ED6"/>
    <w:rsid w:val="00254EEC"/>
    <w:rsid w:val="00254F98"/>
    <w:rsid w:val="0025507B"/>
    <w:rsid w:val="002552A9"/>
    <w:rsid w:val="002553BC"/>
    <w:rsid w:val="00255475"/>
    <w:rsid w:val="0025561C"/>
    <w:rsid w:val="00255654"/>
    <w:rsid w:val="00255741"/>
    <w:rsid w:val="00255753"/>
    <w:rsid w:val="00255911"/>
    <w:rsid w:val="0025591F"/>
    <w:rsid w:val="00255922"/>
    <w:rsid w:val="0025596B"/>
    <w:rsid w:val="00255AC9"/>
    <w:rsid w:val="00255AD5"/>
    <w:rsid w:val="00255DB8"/>
    <w:rsid w:val="00256139"/>
    <w:rsid w:val="00256239"/>
    <w:rsid w:val="002562AC"/>
    <w:rsid w:val="002562BF"/>
    <w:rsid w:val="00256352"/>
    <w:rsid w:val="00256359"/>
    <w:rsid w:val="002563F7"/>
    <w:rsid w:val="0025643A"/>
    <w:rsid w:val="002564F9"/>
    <w:rsid w:val="00256550"/>
    <w:rsid w:val="00256607"/>
    <w:rsid w:val="002567F2"/>
    <w:rsid w:val="0025685E"/>
    <w:rsid w:val="00256884"/>
    <w:rsid w:val="0025692B"/>
    <w:rsid w:val="00256A62"/>
    <w:rsid w:val="00256AE7"/>
    <w:rsid w:val="00256BD0"/>
    <w:rsid w:val="00256D2B"/>
    <w:rsid w:val="00256D99"/>
    <w:rsid w:val="00256DB0"/>
    <w:rsid w:val="00256EB3"/>
    <w:rsid w:val="0025704C"/>
    <w:rsid w:val="00257097"/>
    <w:rsid w:val="002570F3"/>
    <w:rsid w:val="0025710C"/>
    <w:rsid w:val="00257234"/>
    <w:rsid w:val="002572E6"/>
    <w:rsid w:val="0025742C"/>
    <w:rsid w:val="0025744F"/>
    <w:rsid w:val="002574E8"/>
    <w:rsid w:val="00257532"/>
    <w:rsid w:val="002575F5"/>
    <w:rsid w:val="00257755"/>
    <w:rsid w:val="002577D9"/>
    <w:rsid w:val="002578A5"/>
    <w:rsid w:val="002578B9"/>
    <w:rsid w:val="002579A3"/>
    <w:rsid w:val="00257A05"/>
    <w:rsid w:val="00257B67"/>
    <w:rsid w:val="00257B88"/>
    <w:rsid w:val="00257B8D"/>
    <w:rsid w:val="00257B9E"/>
    <w:rsid w:val="00257CB4"/>
    <w:rsid w:val="00257CCA"/>
    <w:rsid w:val="00257D21"/>
    <w:rsid w:val="00257D32"/>
    <w:rsid w:val="00257E01"/>
    <w:rsid w:val="00257F87"/>
    <w:rsid w:val="0025B7EB"/>
    <w:rsid w:val="00260034"/>
    <w:rsid w:val="002601F8"/>
    <w:rsid w:val="002602D5"/>
    <w:rsid w:val="00260509"/>
    <w:rsid w:val="0026060B"/>
    <w:rsid w:val="00260861"/>
    <w:rsid w:val="00260A86"/>
    <w:rsid w:val="00260BE1"/>
    <w:rsid w:val="00260BE8"/>
    <w:rsid w:val="00260C6D"/>
    <w:rsid w:val="00260D39"/>
    <w:rsid w:val="00260DD1"/>
    <w:rsid w:val="00260E38"/>
    <w:rsid w:val="00260E44"/>
    <w:rsid w:val="00260E70"/>
    <w:rsid w:val="00260ED8"/>
    <w:rsid w:val="00260F9D"/>
    <w:rsid w:val="00260FC0"/>
    <w:rsid w:val="002610A6"/>
    <w:rsid w:val="002610ED"/>
    <w:rsid w:val="002611D0"/>
    <w:rsid w:val="00261238"/>
    <w:rsid w:val="002613E9"/>
    <w:rsid w:val="00261453"/>
    <w:rsid w:val="00261742"/>
    <w:rsid w:val="00261793"/>
    <w:rsid w:val="0026197E"/>
    <w:rsid w:val="002619CC"/>
    <w:rsid w:val="00261B62"/>
    <w:rsid w:val="00261F1B"/>
    <w:rsid w:val="00261F9F"/>
    <w:rsid w:val="00262028"/>
    <w:rsid w:val="00262171"/>
    <w:rsid w:val="002621C9"/>
    <w:rsid w:val="002621CF"/>
    <w:rsid w:val="00262203"/>
    <w:rsid w:val="002623FB"/>
    <w:rsid w:val="0026244F"/>
    <w:rsid w:val="00262510"/>
    <w:rsid w:val="0026267E"/>
    <w:rsid w:val="002627FF"/>
    <w:rsid w:val="00262C06"/>
    <w:rsid w:val="00262C12"/>
    <w:rsid w:val="00262D3A"/>
    <w:rsid w:val="00262D4C"/>
    <w:rsid w:val="00262E56"/>
    <w:rsid w:val="002632EC"/>
    <w:rsid w:val="00263376"/>
    <w:rsid w:val="00263421"/>
    <w:rsid w:val="002634B4"/>
    <w:rsid w:val="002634BA"/>
    <w:rsid w:val="00263505"/>
    <w:rsid w:val="0026363A"/>
    <w:rsid w:val="0026374B"/>
    <w:rsid w:val="00263B1E"/>
    <w:rsid w:val="00263BCB"/>
    <w:rsid w:val="00263BF3"/>
    <w:rsid w:val="00263C1A"/>
    <w:rsid w:val="00263CA6"/>
    <w:rsid w:val="00263CD0"/>
    <w:rsid w:val="00263F00"/>
    <w:rsid w:val="00264083"/>
    <w:rsid w:val="0026420D"/>
    <w:rsid w:val="00264239"/>
    <w:rsid w:val="002644F1"/>
    <w:rsid w:val="00264738"/>
    <w:rsid w:val="002649C2"/>
    <w:rsid w:val="00264A7C"/>
    <w:rsid w:val="00264AFE"/>
    <w:rsid w:val="00264B1E"/>
    <w:rsid w:val="00264B9D"/>
    <w:rsid w:val="00264BF2"/>
    <w:rsid w:val="00264C9D"/>
    <w:rsid w:val="00264CDD"/>
    <w:rsid w:val="00264DF9"/>
    <w:rsid w:val="00264FB8"/>
    <w:rsid w:val="00264FC3"/>
    <w:rsid w:val="0026500F"/>
    <w:rsid w:val="002652AD"/>
    <w:rsid w:val="00265393"/>
    <w:rsid w:val="002653AF"/>
    <w:rsid w:val="00265424"/>
    <w:rsid w:val="002654E6"/>
    <w:rsid w:val="00265648"/>
    <w:rsid w:val="00265655"/>
    <w:rsid w:val="0026565A"/>
    <w:rsid w:val="00265697"/>
    <w:rsid w:val="002656B5"/>
    <w:rsid w:val="002659A0"/>
    <w:rsid w:val="00265A0C"/>
    <w:rsid w:val="00265B0E"/>
    <w:rsid w:val="00265B2F"/>
    <w:rsid w:val="00265BB2"/>
    <w:rsid w:val="00265BE5"/>
    <w:rsid w:val="00265C51"/>
    <w:rsid w:val="00265CDA"/>
    <w:rsid w:val="00265DB8"/>
    <w:rsid w:val="00265E9D"/>
    <w:rsid w:val="00265FAE"/>
    <w:rsid w:val="00266046"/>
    <w:rsid w:val="00266062"/>
    <w:rsid w:val="002662B2"/>
    <w:rsid w:val="002663F8"/>
    <w:rsid w:val="0026640F"/>
    <w:rsid w:val="002664CD"/>
    <w:rsid w:val="002665CE"/>
    <w:rsid w:val="0026663A"/>
    <w:rsid w:val="00266640"/>
    <w:rsid w:val="0026672F"/>
    <w:rsid w:val="0026677C"/>
    <w:rsid w:val="00266835"/>
    <w:rsid w:val="00266918"/>
    <w:rsid w:val="00266A39"/>
    <w:rsid w:val="00266A7B"/>
    <w:rsid w:val="00266BE0"/>
    <w:rsid w:val="00266C2A"/>
    <w:rsid w:val="00266C3A"/>
    <w:rsid w:val="00266D4F"/>
    <w:rsid w:val="00266D97"/>
    <w:rsid w:val="00266F7C"/>
    <w:rsid w:val="0026703E"/>
    <w:rsid w:val="00267118"/>
    <w:rsid w:val="0026738D"/>
    <w:rsid w:val="00267438"/>
    <w:rsid w:val="002676CA"/>
    <w:rsid w:val="0026783D"/>
    <w:rsid w:val="0026789D"/>
    <w:rsid w:val="002678A4"/>
    <w:rsid w:val="0026796E"/>
    <w:rsid w:val="00267981"/>
    <w:rsid w:val="00267A87"/>
    <w:rsid w:val="00267ABA"/>
    <w:rsid w:val="00267B31"/>
    <w:rsid w:val="00267B4D"/>
    <w:rsid w:val="00267B88"/>
    <w:rsid w:val="00267BDE"/>
    <w:rsid w:val="00267D0C"/>
    <w:rsid w:val="00267D1F"/>
    <w:rsid w:val="00267D78"/>
    <w:rsid w:val="00267DCA"/>
    <w:rsid w:val="00267E7E"/>
    <w:rsid w:val="00267E9D"/>
    <w:rsid w:val="00267F51"/>
    <w:rsid w:val="0027004B"/>
    <w:rsid w:val="00270249"/>
    <w:rsid w:val="002702B9"/>
    <w:rsid w:val="00270303"/>
    <w:rsid w:val="0027036C"/>
    <w:rsid w:val="00270397"/>
    <w:rsid w:val="00270445"/>
    <w:rsid w:val="00270486"/>
    <w:rsid w:val="00270640"/>
    <w:rsid w:val="002707A1"/>
    <w:rsid w:val="002707E7"/>
    <w:rsid w:val="00270834"/>
    <w:rsid w:val="0027087F"/>
    <w:rsid w:val="00270A83"/>
    <w:rsid w:val="00270A9F"/>
    <w:rsid w:val="00270AF6"/>
    <w:rsid w:val="00270B59"/>
    <w:rsid w:val="00270BB2"/>
    <w:rsid w:val="00270C13"/>
    <w:rsid w:val="00270DCD"/>
    <w:rsid w:val="00270EAA"/>
    <w:rsid w:val="00270EB6"/>
    <w:rsid w:val="00270FCA"/>
    <w:rsid w:val="00270FCE"/>
    <w:rsid w:val="00271289"/>
    <w:rsid w:val="00271351"/>
    <w:rsid w:val="0027135E"/>
    <w:rsid w:val="00271384"/>
    <w:rsid w:val="00271422"/>
    <w:rsid w:val="002714B4"/>
    <w:rsid w:val="002716D5"/>
    <w:rsid w:val="0027178D"/>
    <w:rsid w:val="002718B2"/>
    <w:rsid w:val="0027195A"/>
    <w:rsid w:val="00271995"/>
    <w:rsid w:val="00271A55"/>
    <w:rsid w:val="00271AA2"/>
    <w:rsid w:val="00271AD1"/>
    <w:rsid w:val="00271C6C"/>
    <w:rsid w:val="00271D16"/>
    <w:rsid w:val="00271E20"/>
    <w:rsid w:val="00271F28"/>
    <w:rsid w:val="00271FA9"/>
    <w:rsid w:val="0027205D"/>
    <w:rsid w:val="002720A7"/>
    <w:rsid w:val="00272132"/>
    <w:rsid w:val="00272140"/>
    <w:rsid w:val="002721AB"/>
    <w:rsid w:val="0027223A"/>
    <w:rsid w:val="00272273"/>
    <w:rsid w:val="00272399"/>
    <w:rsid w:val="002724E8"/>
    <w:rsid w:val="002726CB"/>
    <w:rsid w:val="00272789"/>
    <w:rsid w:val="002728F6"/>
    <w:rsid w:val="0027295A"/>
    <w:rsid w:val="00272CDB"/>
    <w:rsid w:val="00272D96"/>
    <w:rsid w:val="00272E16"/>
    <w:rsid w:val="00272FAF"/>
    <w:rsid w:val="00273129"/>
    <w:rsid w:val="002732E8"/>
    <w:rsid w:val="00273468"/>
    <w:rsid w:val="002736EC"/>
    <w:rsid w:val="00273752"/>
    <w:rsid w:val="0027383A"/>
    <w:rsid w:val="00273888"/>
    <w:rsid w:val="00273915"/>
    <w:rsid w:val="00273968"/>
    <w:rsid w:val="002739BD"/>
    <w:rsid w:val="002739C5"/>
    <w:rsid w:val="002739F9"/>
    <w:rsid w:val="00273A87"/>
    <w:rsid w:val="00273A90"/>
    <w:rsid w:val="00273AE8"/>
    <w:rsid w:val="00273B25"/>
    <w:rsid w:val="00273B90"/>
    <w:rsid w:val="00273BA6"/>
    <w:rsid w:val="00273D1F"/>
    <w:rsid w:val="00273D26"/>
    <w:rsid w:val="00273D35"/>
    <w:rsid w:val="00273E2E"/>
    <w:rsid w:val="00273E41"/>
    <w:rsid w:val="00273E88"/>
    <w:rsid w:val="00273EB2"/>
    <w:rsid w:val="00273EFB"/>
    <w:rsid w:val="00273F56"/>
    <w:rsid w:val="00273FA6"/>
    <w:rsid w:val="00274261"/>
    <w:rsid w:val="00274337"/>
    <w:rsid w:val="002747A6"/>
    <w:rsid w:val="00274895"/>
    <w:rsid w:val="002749F0"/>
    <w:rsid w:val="00274AE4"/>
    <w:rsid w:val="00274B37"/>
    <w:rsid w:val="00274BE7"/>
    <w:rsid w:val="00274C27"/>
    <w:rsid w:val="00274C43"/>
    <w:rsid w:val="00274C7A"/>
    <w:rsid w:val="00274CFA"/>
    <w:rsid w:val="00274D4B"/>
    <w:rsid w:val="00274D63"/>
    <w:rsid w:val="00274E0B"/>
    <w:rsid w:val="00274E9C"/>
    <w:rsid w:val="00275102"/>
    <w:rsid w:val="002751A9"/>
    <w:rsid w:val="00275236"/>
    <w:rsid w:val="0027534F"/>
    <w:rsid w:val="0027539D"/>
    <w:rsid w:val="002753B1"/>
    <w:rsid w:val="002753D2"/>
    <w:rsid w:val="00275419"/>
    <w:rsid w:val="0027541B"/>
    <w:rsid w:val="00275430"/>
    <w:rsid w:val="0027555C"/>
    <w:rsid w:val="00275661"/>
    <w:rsid w:val="002756A7"/>
    <w:rsid w:val="002756CF"/>
    <w:rsid w:val="002758C8"/>
    <w:rsid w:val="0027591A"/>
    <w:rsid w:val="00275B63"/>
    <w:rsid w:val="00275B78"/>
    <w:rsid w:val="00275CDA"/>
    <w:rsid w:val="00275DE8"/>
    <w:rsid w:val="00275E38"/>
    <w:rsid w:val="0027601F"/>
    <w:rsid w:val="00276514"/>
    <w:rsid w:val="00276573"/>
    <w:rsid w:val="00276596"/>
    <w:rsid w:val="00276656"/>
    <w:rsid w:val="002766BF"/>
    <w:rsid w:val="002766CD"/>
    <w:rsid w:val="00276734"/>
    <w:rsid w:val="00276737"/>
    <w:rsid w:val="002768C0"/>
    <w:rsid w:val="00276A70"/>
    <w:rsid w:val="00276B2F"/>
    <w:rsid w:val="00276DC0"/>
    <w:rsid w:val="00276DF7"/>
    <w:rsid w:val="00276F86"/>
    <w:rsid w:val="0027701B"/>
    <w:rsid w:val="0027709E"/>
    <w:rsid w:val="00277231"/>
    <w:rsid w:val="0027723D"/>
    <w:rsid w:val="0027725C"/>
    <w:rsid w:val="00277288"/>
    <w:rsid w:val="002772E7"/>
    <w:rsid w:val="002772F9"/>
    <w:rsid w:val="002773AA"/>
    <w:rsid w:val="0027748C"/>
    <w:rsid w:val="0027752F"/>
    <w:rsid w:val="002775E5"/>
    <w:rsid w:val="00277682"/>
    <w:rsid w:val="002776AE"/>
    <w:rsid w:val="00277751"/>
    <w:rsid w:val="002777B8"/>
    <w:rsid w:val="002777E5"/>
    <w:rsid w:val="002777F1"/>
    <w:rsid w:val="0027783C"/>
    <w:rsid w:val="00277853"/>
    <w:rsid w:val="00277980"/>
    <w:rsid w:val="00277ACB"/>
    <w:rsid w:val="00277DC3"/>
    <w:rsid w:val="00277E8A"/>
    <w:rsid w:val="00277EC5"/>
    <w:rsid w:val="00277F34"/>
    <w:rsid w:val="00280057"/>
    <w:rsid w:val="002801EA"/>
    <w:rsid w:val="00280443"/>
    <w:rsid w:val="002805D5"/>
    <w:rsid w:val="002806A5"/>
    <w:rsid w:val="002806BD"/>
    <w:rsid w:val="00280869"/>
    <w:rsid w:val="00280953"/>
    <w:rsid w:val="002809D9"/>
    <w:rsid w:val="00280AA9"/>
    <w:rsid w:val="00280AEA"/>
    <w:rsid w:val="00280B7A"/>
    <w:rsid w:val="00280D8A"/>
    <w:rsid w:val="00280DFE"/>
    <w:rsid w:val="00280EE9"/>
    <w:rsid w:val="00280F79"/>
    <w:rsid w:val="0028102D"/>
    <w:rsid w:val="0028106F"/>
    <w:rsid w:val="0028128D"/>
    <w:rsid w:val="002812A6"/>
    <w:rsid w:val="002812B1"/>
    <w:rsid w:val="0028134D"/>
    <w:rsid w:val="002813E4"/>
    <w:rsid w:val="0028141B"/>
    <w:rsid w:val="00281734"/>
    <w:rsid w:val="00281757"/>
    <w:rsid w:val="00281773"/>
    <w:rsid w:val="00281951"/>
    <w:rsid w:val="00281A72"/>
    <w:rsid w:val="00281A81"/>
    <w:rsid w:val="00281B9A"/>
    <w:rsid w:val="00281CDB"/>
    <w:rsid w:val="00281D5F"/>
    <w:rsid w:val="00281DAE"/>
    <w:rsid w:val="00281DF0"/>
    <w:rsid w:val="00281E23"/>
    <w:rsid w:val="0028200E"/>
    <w:rsid w:val="00282018"/>
    <w:rsid w:val="00282251"/>
    <w:rsid w:val="002822A7"/>
    <w:rsid w:val="00282341"/>
    <w:rsid w:val="002823BB"/>
    <w:rsid w:val="0028240C"/>
    <w:rsid w:val="002824A4"/>
    <w:rsid w:val="00282578"/>
    <w:rsid w:val="00282627"/>
    <w:rsid w:val="00282704"/>
    <w:rsid w:val="00282753"/>
    <w:rsid w:val="002828A4"/>
    <w:rsid w:val="002828B0"/>
    <w:rsid w:val="002828D4"/>
    <w:rsid w:val="002828EC"/>
    <w:rsid w:val="00282935"/>
    <w:rsid w:val="002829AD"/>
    <w:rsid w:val="002829DE"/>
    <w:rsid w:val="002829FA"/>
    <w:rsid w:val="00282A43"/>
    <w:rsid w:val="00282A83"/>
    <w:rsid w:val="00282C2E"/>
    <w:rsid w:val="00282C6D"/>
    <w:rsid w:val="00282D4B"/>
    <w:rsid w:val="00282D7D"/>
    <w:rsid w:val="00282E29"/>
    <w:rsid w:val="00282EB9"/>
    <w:rsid w:val="00282F71"/>
    <w:rsid w:val="0028329C"/>
    <w:rsid w:val="002833AA"/>
    <w:rsid w:val="0028340A"/>
    <w:rsid w:val="00283423"/>
    <w:rsid w:val="002834E9"/>
    <w:rsid w:val="00283550"/>
    <w:rsid w:val="002836D9"/>
    <w:rsid w:val="002837A9"/>
    <w:rsid w:val="00283884"/>
    <w:rsid w:val="0028399C"/>
    <w:rsid w:val="00283A3A"/>
    <w:rsid w:val="00283A8E"/>
    <w:rsid w:val="00283AF8"/>
    <w:rsid w:val="00283B1D"/>
    <w:rsid w:val="00283B31"/>
    <w:rsid w:val="00283BD0"/>
    <w:rsid w:val="00283BEB"/>
    <w:rsid w:val="00283E7A"/>
    <w:rsid w:val="00283E9B"/>
    <w:rsid w:val="00283EB6"/>
    <w:rsid w:val="0028400B"/>
    <w:rsid w:val="00284041"/>
    <w:rsid w:val="0028432F"/>
    <w:rsid w:val="002844A8"/>
    <w:rsid w:val="002846BE"/>
    <w:rsid w:val="002847AD"/>
    <w:rsid w:val="002849E9"/>
    <w:rsid w:val="00284CD7"/>
    <w:rsid w:val="00284D1C"/>
    <w:rsid w:val="00284D44"/>
    <w:rsid w:val="00284DDF"/>
    <w:rsid w:val="00284DF3"/>
    <w:rsid w:val="00284EDB"/>
    <w:rsid w:val="00285047"/>
    <w:rsid w:val="002850DB"/>
    <w:rsid w:val="0028519E"/>
    <w:rsid w:val="0028528E"/>
    <w:rsid w:val="002852D2"/>
    <w:rsid w:val="002852DB"/>
    <w:rsid w:val="002856A4"/>
    <w:rsid w:val="0028570E"/>
    <w:rsid w:val="00285970"/>
    <w:rsid w:val="00285A51"/>
    <w:rsid w:val="00285AB2"/>
    <w:rsid w:val="00285AB6"/>
    <w:rsid w:val="00285B10"/>
    <w:rsid w:val="00285BD3"/>
    <w:rsid w:val="00285EB5"/>
    <w:rsid w:val="00285F22"/>
    <w:rsid w:val="00285FCD"/>
    <w:rsid w:val="00286249"/>
    <w:rsid w:val="0028630B"/>
    <w:rsid w:val="00286410"/>
    <w:rsid w:val="002864CD"/>
    <w:rsid w:val="0028653D"/>
    <w:rsid w:val="00286541"/>
    <w:rsid w:val="00286565"/>
    <w:rsid w:val="002865A1"/>
    <w:rsid w:val="0028666C"/>
    <w:rsid w:val="00286690"/>
    <w:rsid w:val="002866C8"/>
    <w:rsid w:val="00286703"/>
    <w:rsid w:val="0028671A"/>
    <w:rsid w:val="00286761"/>
    <w:rsid w:val="00286920"/>
    <w:rsid w:val="00286BAF"/>
    <w:rsid w:val="00286BC6"/>
    <w:rsid w:val="00286E1B"/>
    <w:rsid w:val="00286EA7"/>
    <w:rsid w:val="00286EB9"/>
    <w:rsid w:val="00286F9D"/>
    <w:rsid w:val="00286FB3"/>
    <w:rsid w:val="00286FFF"/>
    <w:rsid w:val="00287076"/>
    <w:rsid w:val="0028727A"/>
    <w:rsid w:val="00287330"/>
    <w:rsid w:val="0028739E"/>
    <w:rsid w:val="002873C3"/>
    <w:rsid w:val="002874BF"/>
    <w:rsid w:val="0028752E"/>
    <w:rsid w:val="00287593"/>
    <w:rsid w:val="002875C8"/>
    <w:rsid w:val="0028764B"/>
    <w:rsid w:val="002876D0"/>
    <w:rsid w:val="0028778C"/>
    <w:rsid w:val="00287791"/>
    <w:rsid w:val="00287823"/>
    <w:rsid w:val="002879FC"/>
    <w:rsid w:val="00287A9B"/>
    <w:rsid w:val="00287D45"/>
    <w:rsid w:val="00287D8D"/>
    <w:rsid w:val="00287EB5"/>
    <w:rsid w:val="00287F44"/>
    <w:rsid w:val="002900B2"/>
    <w:rsid w:val="002900C4"/>
    <w:rsid w:val="0029012B"/>
    <w:rsid w:val="0029019E"/>
    <w:rsid w:val="00290295"/>
    <w:rsid w:val="002904AD"/>
    <w:rsid w:val="002904C3"/>
    <w:rsid w:val="002904C7"/>
    <w:rsid w:val="00290528"/>
    <w:rsid w:val="00290575"/>
    <w:rsid w:val="0029066C"/>
    <w:rsid w:val="00290730"/>
    <w:rsid w:val="002908B3"/>
    <w:rsid w:val="002908C6"/>
    <w:rsid w:val="00290A0E"/>
    <w:rsid w:val="00290A17"/>
    <w:rsid w:val="00290AAB"/>
    <w:rsid w:val="00290AB1"/>
    <w:rsid w:val="00290AE8"/>
    <w:rsid w:val="00290B5C"/>
    <w:rsid w:val="00290C77"/>
    <w:rsid w:val="00290CA3"/>
    <w:rsid w:val="00290D65"/>
    <w:rsid w:val="00290DEC"/>
    <w:rsid w:val="00290E72"/>
    <w:rsid w:val="00290EF8"/>
    <w:rsid w:val="00291014"/>
    <w:rsid w:val="002911A3"/>
    <w:rsid w:val="00291256"/>
    <w:rsid w:val="00291276"/>
    <w:rsid w:val="002912ED"/>
    <w:rsid w:val="0029135C"/>
    <w:rsid w:val="00291487"/>
    <w:rsid w:val="00291544"/>
    <w:rsid w:val="002916ED"/>
    <w:rsid w:val="0029177E"/>
    <w:rsid w:val="002917F1"/>
    <w:rsid w:val="0029193B"/>
    <w:rsid w:val="00291998"/>
    <w:rsid w:val="002919CA"/>
    <w:rsid w:val="00291AEC"/>
    <w:rsid w:val="00291B3F"/>
    <w:rsid w:val="00291B84"/>
    <w:rsid w:val="00291C1A"/>
    <w:rsid w:val="00291C5A"/>
    <w:rsid w:val="00291CD7"/>
    <w:rsid w:val="00291CFD"/>
    <w:rsid w:val="00291D39"/>
    <w:rsid w:val="00291D3A"/>
    <w:rsid w:val="00291FAE"/>
    <w:rsid w:val="00291FC4"/>
    <w:rsid w:val="00292088"/>
    <w:rsid w:val="002921B7"/>
    <w:rsid w:val="00292242"/>
    <w:rsid w:val="002923D8"/>
    <w:rsid w:val="0029268E"/>
    <w:rsid w:val="0029288E"/>
    <w:rsid w:val="002928A5"/>
    <w:rsid w:val="0029296D"/>
    <w:rsid w:val="00292985"/>
    <w:rsid w:val="0029299C"/>
    <w:rsid w:val="00292A91"/>
    <w:rsid w:val="00292AAD"/>
    <w:rsid w:val="00292B0A"/>
    <w:rsid w:val="00292B96"/>
    <w:rsid w:val="00292C79"/>
    <w:rsid w:val="00292C7F"/>
    <w:rsid w:val="00292C9F"/>
    <w:rsid w:val="00292D24"/>
    <w:rsid w:val="00292D8F"/>
    <w:rsid w:val="00292D93"/>
    <w:rsid w:val="00292E3A"/>
    <w:rsid w:val="00292E79"/>
    <w:rsid w:val="00292EF8"/>
    <w:rsid w:val="00292F3A"/>
    <w:rsid w:val="00292F6F"/>
    <w:rsid w:val="00292FE9"/>
    <w:rsid w:val="002930DF"/>
    <w:rsid w:val="002931A7"/>
    <w:rsid w:val="0029337B"/>
    <w:rsid w:val="0029337F"/>
    <w:rsid w:val="002934B1"/>
    <w:rsid w:val="002934F1"/>
    <w:rsid w:val="00293606"/>
    <w:rsid w:val="00293716"/>
    <w:rsid w:val="00293733"/>
    <w:rsid w:val="0029375C"/>
    <w:rsid w:val="0029383A"/>
    <w:rsid w:val="002939DE"/>
    <w:rsid w:val="00293A8B"/>
    <w:rsid w:val="00293AD3"/>
    <w:rsid w:val="00293D9E"/>
    <w:rsid w:val="00293EBC"/>
    <w:rsid w:val="00293F31"/>
    <w:rsid w:val="00293F9B"/>
    <w:rsid w:val="00294035"/>
    <w:rsid w:val="0029412F"/>
    <w:rsid w:val="00294179"/>
    <w:rsid w:val="002941DA"/>
    <w:rsid w:val="0029425A"/>
    <w:rsid w:val="002942A7"/>
    <w:rsid w:val="0029431D"/>
    <w:rsid w:val="00294534"/>
    <w:rsid w:val="00294665"/>
    <w:rsid w:val="002948DE"/>
    <w:rsid w:val="002948F4"/>
    <w:rsid w:val="0029494D"/>
    <w:rsid w:val="0029499C"/>
    <w:rsid w:val="00294AC0"/>
    <w:rsid w:val="00294B7C"/>
    <w:rsid w:val="00294D34"/>
    <w:rsid w:val="00294D7C"/>
    <w:rsid w:val="00294D84"/>
    <w:rsid w:val="00294F3C"/>
    <w:rsid w:val="00295068"/>
    <w:rsid w:val="00295114"/>
    <w:rsid w:val="002951CE"/>
    <w:rsid w:val="00295260"/>
    <w:rsid w:val="002952EE"/>
    <w:rsid w:val="002953FF"/>
    <w:rsid w:val="0029542B"/>
    <w:rsid w:val="00295430"/>
    <w:rsid w:val="0029548E"/>
    <w:rsid w:val="002954AA"/>
    <w:rsid w:val="00295588"/>
    <w:rsid w:val="0029568A"/>
    <w:rsid w:val="00295691"/>
    <w:rsid w:val="0029580B"/>
    <w:rsid w:val="002958C1"/>
    <w:rsid w:val="002958CC"/>
    <w:rsid w:val="00295A53"/>
    <w:rsid w:val="00295A56"/>
    <w:rsid w:val="00295AE8"/>
    <w:rsid w:val="00295C2B"/>
    <w:rsid w:val="00295C88"/>
    <w:rsid w:val="00295D99"/>
    <w:rsid w:val="00295DC2"/>
    <w:rsid w:val="00295DC9"/>
    <w:rsid w:val="00295F33"/>
    <w:rsid w:val="00295F70"/>
    <w:rsid w:val="00295FBC"/>
    <w:rsid w:val="00296093"/>
    <w:rsid w:val="00296132"/>
    <w:rsid w:val="00296335"/>
    <w:rsid w:val="002963A7"/>
    <w:rsid w:val="002963C9"/>
    <w:rsid w:val="0029648C"/>
    <w:rsid w:val="002964F8"/>
    <w:rsid w:val="002966CC"/>
    <w:rsid w:val="0029680B"/>
    <w:rsid w:val="002968BF"/>
    <w:rsid w:val="00296CA7"/>
    <w:rsid w:val="00296CC5"/>
    <w:rsid w:val="00296E0D"/>
    <w:rsid w:val="00296E19"/>
    <w:rsid w:val="00296FBB"/>
    <w:rsid w:val="00297020"/>
    <w:rsid w:val="002970D7"/>
    <w:rsid w:val="002970E5"/>
    <w:rsid w:val="002970FD"/>
    <w:rsid w:val="00297153"/>
    <w:rsid w:val="0029716C"/>
    <w:rsid w:val="00297177"/>
    <w:rsid w:val="002971EA"/>
    <w:rsid w:val="002973C4"/>
    <w:rsid w:val="00297423"/>
    <w:rsid w:val="002974D5"/>
    <w:rsid w:val="00297536"/>
    <w:rsid w:val="002975F5"/>
    <w:rsid w:val="0029760F"/>
    <w:rsid w:val="002976B4"/>
    <w:rsid w:val="002976BF"/>
    <w:rsid w:val="002977CC"/>
    <w:rsid w:val="0029783C"/>
    <w:rsid w:val="00297875"/>
    <w:rsid w:val="00297923"/>
    <w:rsid w:val="0029795A"/>
    <w:rsid w:val="00297A3C"/>
    <w:rsid w:val="00297AAF"/>
    <w:rsid w:val="00297BD2"/>
    <w:rsid w:val="00297C05"/>
    <w:rsid w:val="00297C1A"/>
    <w:rsid w:val="00297CC9"/>
    <w:rsid w:val="00297DB1"/>
    <w:rsid w:val="00297F07"/>
    <w:rsid w:val="002A0043"/>
    <w:rsid w:val="002A0078"/>
    <w:rsid w:val="002A009C"/>
    <w:rsid w:val="002A00C0"/>
    <w:rsid w:val="002A010C"/>
    <w:rsid w:val="002A031C"/>
    <w:rsid w:val="002A0321"/>
    <w:rsid w:val="002A03D6"/>
    <w:rsid w:val="002A0524"/>
    <w:rsid w:val="002A0581"/>
    <w:rsid w:val="002A0585"/>
    <w:rsid w:val="002A0821"/>
    <w:rsid w:val="002A08F1"/>
    <w:rsid w:val="002A0992"/>
    <w:rsid w:val="002A0994"/>
    <w:rsid w:val="002A09F6"/>
    <w:rsid w:val="002A0A43"/>
    <w:rsid w:val="002A0AD7"/>
    <w:rsid w:val="002A0B89"/>
    <w:rsid w:val="002A0B8A"/>
    <w:rsid w:val="002A0CFB"/>
    <w:rsid w:val="002A10D2"/>
    <w:rsid w:val="002A11E6"/>
    <w:rsid w:val="002A1205"/>
    <w:rsid w:val="002A1279"/>
    <w:rsid w:val="002A1364"/>
    <w:rsid w:val="002A13E3"/>
    <w:rsid w:val="002A13EE"/>
    <w:rsid w:val="002A14F1"/>
    <w:rsid w:val="002A1571"/>
    <w:rsid w:val="002A15AA"/>
    <w:rsid w:val="002A1605"/>
    <w:rsid w:val="002A1683"/>
    <w:rsid w:val="002A177C"/>
    <w:rsid w:val="002A1792"/>
    <w:rsid w:val="002A1818"/>
    <w:rsid w:val="002A183C"/>
    <w:rsid w:val="002A18B9"/>
    <w:rsid w:val="002A18DC"/>
    <w:rsid w:val="002A19A6"/>
    <w:rsid w:val="002A1A08"/>
    <w:rsid w:val="002A1A2E"/>
    <w:rsid w:val="002A1A6E"/>
    <w:rsid w:val="002A1B96"/>
    <w:rsid w:val="002A1C75"/>
    <w:rsid w:val="002A1C9E"/>
    <w:rsid w:val="002A1CC7"/>
    <w:rsid w:val="002A1CF8"/>
    <w:rsid w:val="002A1DD2"/>
    <w:rsid w:val="002A1FD3"/>
    <w:rsid w:val="002A2137"/>
    <w:rsid w:val="002A22CE"/>
    <w:rsid w:val="002A22E6"/>
    <w:rsid w:val="002A2469"/>
    <w:rsid w:val="002A27E0"/>
    <w:rsid w:val="002A284E"/>
    <w:rsid w:val="002A28BE"/>
    <w:rsid w:val="002A2938"/>
    <w:rsid w:val="002A2950"/>
    <w:rsid w:val="002A296D"/>
    <w:rsid w:val="002A29C1"/>
    <w:rsid w:val="002A2A04"/>
    <w:rsid w:val="002A2A26"/>
    <w:rsid w:val="002A2A65"/>
    <w:rsid w:val="002A2B89"/>
    <w:rsid w:val="002A2C2D"/>
    <w:rsid w:val="002A2C59"/>
    <w:rsid w:val="002A2C7F"/>
    <w:rsid w:val="002A2C94"/>
    <w:rsid w:val="002A2CBB"/>
    <w:rsid w:val="002A2D48"/>
    <w:rsid w:val="002A2DFB"/>
    <w:rsid w:val="002A2FA5"/>
    <w:rsid w:val="002A2FFB"/>
    <w:rsid w:val="002A3039"/>
    <w:rsid w:val="002A3073"/>
    <w:rsid w:val="002A3097"/>
    <w:rsid w:val="002A30AC"/>
    <w:rsid w:val="002A31A5"/>
    <w:rsid w:val="002A3290"/>
    <w:rsid w:val="002A32E7"/>
    <w:rsid w:val="002A3323"/>
    <w:rsid w:val="002A3348"/>
    <w:rsid w:val="002A3473"/>
    <w:rsid w:val="002A3568"/>
    <w:rsid w:val="002A3576"/>
    <w:rsid w:val="002A3653"/>
    <w:rsid w:val="002A36B8"/>
    <w:rsid w:val="002A3732"/>
    <w:rsid w:val="002A37AC"/>
    <w:rsid w:val="002A383E"/>
    <w:rsid w:val="002A38A5"/>
    <w:rsid w:val="002A38C7"/>
    <w:rsid w:val="002A3986"/>
    <w:rsid w:val="002A3ABD"/>
    <w:rsid w:val="002A3B18"/>
    <w:rsid w:val="002A3C2B"/>
    <w:rsid w:val="002A3CD1"/>
    <w:rsid w:val="002A3D46"/>
    <w:rsid w:val="002A3DE0"/>
    <w:rsid w:val="002A3DF4"/>
    <w:rsid w:val="002A3DF6"/>
    <w:rsid w:val="002A3F42"/>
    <w:rsid w:val="002A3FBF"/>
    <w:rsid w:val="002A40E8"/>
    <w:rsid w:val="002A4143"/>
    <w:rsid w:val="002A4172"/>
    <w:rsid w:val="002A41E9"/>
    <w:rsid w:val="002A4312"/>
    <w:rsid w:val="002A43E6"/>
    <w:rsid w:val="002A44A8"/>
    <w:rsid w:val="002A44D6"/>
    <w:rsid w:val="002A44E6"/>
    <w:rsid w:val="002A44F1"/>
    <w:rsid w:val="002A4501"/>
    <w:rsid w:val="002A46EB"/>
    <w:rsid w:val="002A47C3"/>
    <w:rsid w:val="002A4981"/>
    <w:rsid w:val="002A4983"/>
    <w:rsid w:val="002A49BA"/>
    <w:rsid w:val="002A49CC"/>
    <w:rsid w:val="002A4C47"/>
    <w:rsid w:val="002A4D09"/>
    <w:rsid w:val="002A4F15"/>
    <w:rsid w:val="002A5023"/>
    <w:rsid w:val="002A503F"/>
    <w:rsid w:val="002A504F"/>
    <w:rsid w:val="002A526B"/>
    <w:rsid w:val="002A528E"/>
    <w:rsid w:val="002A5318"/>
    <w:rsid w:val="002A5348"/>
    <w:rsid w:val="002A5377"/>
    <w:rsid w:val="002A54C4"/>
    <w:rsid w:val="002A5584"/>
    <w:rsid w:val="002A55D8"/>
    <w:rsid w:val="002A5610"/>
    <w:rsid w:val="002A5773"/>
    <w:rsid w:val="002A5825"/>
    <w:rsid w:val="002A5890"/>
    <w:rsid w:val="002A5AFC"/>
    <w:rsid w:val="002A5B07"/>
    <w:rsid w:val="002A5B6B"/>
    <w:rsid w:val="002A5B90"/>
    <w:rsid w:val="002A5BD5"/>
    <w:rsid w:val="002A5C2B"/>
    <w:rsid w:val="002A5D09"/>
    <w:rsid w:val="002A5DDB"/>
    <w:rsid w:val="002A5E0F"/>
    <w:rsid w:val="002A5E94"/>
    <w:rsid w:val="002A5EC0"/>
    <w:rsid w:val="002A5ED6"/>
    <w:rsid w:val="002A5F12"/>
    <w:rsid w:val="002A5F3D"/>
    <w:rsid w:val="002A5F4C"/>
    <w:rsid w:val="002A5FCE"/>
    <w:rsid w:val="002A5FF9"/>
    <w:rsid w:val="002A62F9"/>
    <w:rsid w:val="002A6341"/>
    <w:rsid w:val="002A6389"/>
    <w:rsid w:val="002A645C"/>
    <w:rsid w:val="002A65FC"/>
    <w:rsid w:val="002A661A"/>
    <w:rsid w:val="002A66D0"/>
    <w:rsid w:val="002A6744"/>
    <w:rsid w:val="002A67A0"/>
    <w:rsid w:val="002A67C9"/>
    <w:rsid w:val="002A67FA"/>
    <w:rsid w:val="002A69AF"/>
    <w:rsid w:val="002A6A30"/>
    <w:rsid w:val="002A6AC7"/>
    <w:rsid w:val="002A6B33"/>
    <w:rsid w:val="002A6B9B"/>
    <w:rsid w:val="002A6C12"/>
    <w:rsid w:val="002A6C30"/>
    <w:rsid w:val="002A6E0D"/>
    <w:rsid w:val="002A6E40"/>
    <w:rsid w:val="002A6ED5"/>
    <w:rsid w:val="002A6F32"/>
    <w:rsid w:val="002A6F94"/>
    <w:rsid w:val="002A7064"/>
    <w:rsid w:val="002A71D5"/>
    <w:rsid w:val="002A71E3"/>
    <w:rsid w:val="002A721D"/>
    <w:rsid w:val="002A7249"/>
    <w:rsid w:val="002A725E"/>
    <w:rsid w:val="002A72F5"/>
    <w:rsid w:val="002A7342"/>
    <w:rsid w:val="002A7588"/>
    <w:rsid w:val="002A75C7"/>
    <w:rsid w:val="002A763D"/>
    <w:rsid w:val="002A7651"/>
    <w:rsid w:val="002A767D"/>
    <w:rsid w:val="002A76CD"/>
    <w:rsid w:val="002A774B"/>
    <w:rsid w:val="002A77C7"/>
    <w:rsid w:val="002A7928"/>
    <w:rsid w:val="002A794F"/>
    <w:rsid w:val="002A7A3C"/>
    <w:rsid w:val="002A7A4F"/>
    <w:rsid w:val="002A7B4D"/>
    <w:rsid w:val="002A7DAB"/>
    <w:rsid w:val="002A7EB9"/>
    <w:rsid w:val="002A7FD0"/>
    <w:rsid w:val="002B003F"/>
    <w:rsid w:val="002B019D"/>
    <w:rsid w:val="002B01DD"/>
    <w:rsid w:val="002B029D"/>
    <w:rsid w:val="002B02AF"/>
    <w:rsid w:val="002B037A"/>
    <w:rsid w:val="002B0476"/>
    <w:rsid w:val="002B048E"/>
    <w:rsid w:val="002B04CB"/>
    <w:rsid w:val="002B04DF"/>
    <w:rsid w:val="002B060B"/>
    <w:rsid w:val="002B06FE"/>
    <w:rsid w:val="002B0946"/>
    <w:rsid w:val="002B096A"/>
    <w:rsid w:val="002B09A7"/>
    <w:rsid w:val="002B09E6"/>
    <w:rsid w:val="002B0A5B"/>
    <w:rsid w:val="002B0A84"/>
    <w:rsid w:val="002B0C0F"/>
    <w:rsid w:val="002B0D8B"/>
    <w:rsid w:val="002B0DB7"/>
    <w:rsid w:val="002B0E6C"/>
    <w:rsid w:val="002B102A"/>
    <w:rsid w:val="002B104A"/>
    <w:rsid w:val="002B122D"/>
    <w:rsid w:val="002B1246"/>
    <w:rsid w:val="002B12A1"/>
    <w:rsid w:val="002B158B"/>
    <w:rsid w:val="002B15DD"/>
    <w:rsid w:val="002B15F3"/>
    <w:rsid w:val="002B182C"/>
    <w:rsid w:val="002B18A2"/>
    <w:rsid w:val="002B190E"/>
    <w:rsid w:val="002B1925"/>
    <w:rsid w:val="002B1938"/>
    <w:rsid w:val="002B1A9F"/>
    <w:rsid w:val="002B1AD6"/>
    <w:rsid w:val="002B1C51"/>
    <w:rsid w:val="002B1C91"/>
    <w:rsid w:val="002B1E74"/>
    <w:rsid w:val="002B1F72"/>
    <w:rsid w:val="002B1FDD"/>
    <w:rsid w:val="002B203F"/>
    <w:rsid w:val="002B2073"/>
    <w:rsid w:val="002B213B"/>
    <w:rsid w:val="002B2374"/>
    <w:rsid w:val="002B23DA"/>
    <w:rsid w:val="002B23DD"/>
    <w:rsid w:val="002B2424"/>
    <w:rsid w:val="002B2491"/>
    <w:rsid w:val="002B24AC"/>
    <w:rsid w:val="002B24B0"/>
    <w:rsid w:val="002B2582"/>
    <w:rsid w:val="002B262F"/>
    <w:rsid w:val="002B26D9"/>
    <w:rsid w:val="002B292E"/>
    <w:rsid w:val="002B2996"/>
    <w:rsid w:val="002B2A65"/>
    <w:rsid w:val="002B2A7F"/>
    <w:rsid w:val="002B2AD7"/>
    <w:rsid w:val="002B2B80"/>
    <w:rsid w:val="002B2CD9"/>
    <w:rsid w:val="002B2F83"/>
    <w:rsid w:val="002B3024"/>
    <w:rsid w:val="002B3087"/>
    <w:rsid w:val="002B3186"/>
    <w:rsid w:val="002B31B4"/>
    <w:rsid w:val="002B31BA"/>
    <w:rsid w:val="002B31C9"/>
    <w:rsid w:val="002B31F9"/>
    <w:rsid w:val="002B3297"/>
    <w:rsid w:val="002B33AC"/>
    <w:rsid w:val="002B34F2"/>
    <w:rsid w:val="002B3557"/>
    <w:rsid w:val="002B35A6"/>
    <w:rsid w:val="002B376B"/>
    <w:rsid w:val="002B3780"/>
    <w:rsid w:val="002B3791"/>
    <w:rsid w:val="002B385C"/>
    <w:rsid w:val="002B38B4"/>
    <w:rsid w:val="002B38C5"/>
    <w:rsid w:val="002B38D9"/>
    <w:rsid w:val="002B38FF"/>
    <w:rsid w:val="002B39FB"/>
    <w:rsid w:val="002B3B16"/>
    <w:rsid w:val="002B3B9B"/>
    <w:rsid w:val="002B3CC1"/>
    <w:rsid w:val="002B3E16"/>
    <w:rsid w:val="002B3E88"/>
    <w:rsid w:val="002B3E91"/>
    <w:rsid w:val="002B3EA2"/>
    <w:rsid w:val="002B3EED"/>
    <w:rsid w:val="002B40D0"/>
    <w:rsid w:val="002B41BC"/>
    <w:rsid w:val="002B41BE"/>
    <w:rsid w:val="002B423D"/>
    <w:rsid w:val="002B42C2"/>
    <w:rsid w:val="002B4394"/>
    <w:rsid w:val="002B43A4"/>
    <w:rsid w:val="002B43E5"/>
    <w:rsid w:val="002B4463"/>
    <w:rsid w:val="002B446A"/>
    <w:rsid w:val="002B4470"/>
    <w:rsid w:val="002B44C9"/>
    <w:rsid w:val="002B4671"/>
    <w:rsid w:val="002B47B9"/>
    <w:rsid w:val="002B48DC"/>
    <w:rsid w:val="002B4900"/>
    <w:rsid w:val="002B49F5"/>
    <w:rsid w:val="002B4AE9"/>
    <w:rsid w:val="002B4B61"/>
    <w:rsid w:val="002B4BE4"/>
    <w:rsid w:val="002B4CE2"/>
    <w:rsid w:val="002B4E2E"/>
    <w:rsid w:val="002B4E8F"/>
    <w:rsid w:val="002B5050"/>
    <w:rsid w:val="002B51B0"/>
    <w:rsid w:val="002B52BA"/>
    <w:rsid w:val="002B5451"/>
    <w:rsid w:val="002B56A5"/>
    <w:rsid w:val="002B5896"/>
    <w:rsid w:val="002B5897"/>
    <w:rsid w:val="002B58A9"/>
    <w:rsid w:val="002B59EA"/>
    <w:rsid w:val="002B5E10"/>
    <w:rsid w:val="002B5E5E"/>
    <w:rsid w:val="002B5E70"/>
    <w:rsid w:val="002B5EDC"/>
    <w:rsid w:val="002B604A"/>
    <w:rsid w:val="002B60D5"/>
    <w:rsid w:val="002B60F2"/>
    <w:rsid w:val="002B6269"/>
    <w:rsid w:val="002B628F"/>
    <w:rsid w:val="002B636D"/>
    <w:rsid w:val="002B651A"/>
    <w:rsid w:val="002B6682"/>
    <w:rsid w:val="002B66F2"/>
    <w:rsid w:val="002B66F4"/>
    <w:rsid w:val="002B694F"/>
    <w:rsid w:val="002B69B1"/>
    <w:rsid w:val="002B6A24"/>
    <w:rsid w:val="002B6A6B"/>
    <w:rsid w:val="002B6AE0"/>
    <w:rsid w:val="002B6C7C"/>
    <w:rsid w:val="002B6E8E"/>
    <w:rsid w:val="002B6FD3"/>
    <w:rsid w:val="002B6FE0"/>
    <w:rsid w:val="002B7024"/>
    <w:rsid w:val="002B710B"/>
    <w:rsid w:val="002B731E"/>
    <w:rsid w:val="002B735A"/>
    <w:rsid w:val="002B73A6"/>
    <w:rsid w:val="002B73BF"/>
    <w:rsid w:val="002B73DD"/>
    <w:rsid w:val="002B769E"/>
    <w:rsid w:val="002B7727"/>
    <w:rsid w:val="002B783B"/>
    <w:rsid w:val="002B7932"/>
    <w:rsid w:val="002B7966"/>
    <w:rsid w:val="002B7A66"/>
    <w:rsid w:val="002B7B52"/>
    <w:rsid w:val="002B7E39"/>
    <w:rsid w:val="002B7FF7"/>
    <w:rsid w:val="002C0012"/>
    <w:rsid w:val="002C0070"/>
    <w:rsid w:val="002C00DD"/>
    <w:rsid w:val="002C01B1"/>
    <w:rsid w:val="002C0233"/>
    <w:rsid w:val="002C02A8"/>
    <w:rsid w:val="002C0323"/>
    <w:rsid w:val="002C033B"/>
    <w:rsid w:val="002C0491"/>
    <w:rsid w:val="002C04EA"/>
    <w:rsid w:val="002C055E"/>
    <w:rsid w:val="002C0579"/>
    <w:rsid w:val="002C05AE"/>
    <w:rsid w:val="002C065C"/>
    <w:rsid w:val="002C06D2"/>
    <w:rsid w:val="002C07C1"/>
    <w:rsid w:val="002C07C8"/>
    <w:rsid w:val="002C07E9"/>
    <w:rsid w:val="002C0821"/>
    <w:rsid w:val="002C09BA"/>
    <w:rsid w:val="002C0A5B"/>
    <w:rsid w:val="002C0B3F"/>
    <w:rsid w:val="002C0BE9"/>
    <w:rsid w:val="002C0C21"/>
    <w:rsid w:val="002C0C35"/>
    <w:rsid w:val="002C0DC0"/>
    <w:rsid w:val="002C0E2C"/>
    <w:rsid w:val="002C0EC7"/>
    <w:rsid w:val="002C0F01"/>
    <w:rsid w:val="002C0F16"/>
    <w:rsid w:val="002C10CC"/>
    <w:rsid w:val="002C1184"/>
    <w:rsid w:val="002C11FD"/>
    <w:rsid w:val="002C12B5"/>
    <w:rsid w:val="002C14FC"/>
    <w:rsid w:val="002C1538"/>
    <w:rsid w:val="002C15B1"/>
    <w:rsid w:val="002C17DD"/>
    <w:rsid w:val="002C18D5"/>
    <w:rsid w:val="002C1906"/>
    <w:rsid w:val="002C1929"/>
    <w:rsid w:val="002C1A2A"/>
    <w:rsid w:val="002C1AD1"/>
    <w:rsid w:val="002C1B33"/>
    <w:rsid w:val="002C1BAD"/>
    <w:rsid w:val="002C1C1C"/>
    <w:rsid w:val="002C1C2C"/>
    <w:rsid w:val="002C1C5D"/>
    <w:rsid w:val="002C1CBE"/>
    <w:rsid w:val="002C1D13"/>
    <w:rsid w:val="002C1DFC"/>
    <w:rsid w:val="002C1E48"/>
    <w:rsid w:val="002C1F37"/>
    <w:rsid w:val="002C1F5D"/>
    <w:rsid w:val="002C20B1"/>
    <w:rsid w:val="002C20E4"/>
    <w:rsid w:val="002C216C"/>
    <w:rsid w:val="002C222D"/>
    <w:rsid w:val="002C22CE"/>
    <w:rsid w:val="002C245D"/>
    <w:rsid w:val="002C249B"/>
    <w:rsid w:val="002C24B6"/>
    <w:rsid w:val="002C24F7"/>
    <w:rsid w:val="002C27FD"/>
    <w:rsid w:val="002C2A8E"/>
    <w:rsid w:val="002C2B6C"/>
    <w:rsid w:val="002C2C01"/>
    <w:rsid w:val="002C2C56"/>
    <w:rsid w:val="002C2CB0"/>
    <w:rsid w:val="002C2CEA"/>
    <w:rsid w:val="002C2D19"/>
    <w:rsid w:val="002C2D81"/>
    <w:rsid w:val="002C2EEB"/>
    <w:rsid w:val="002C2F77"/>
    <w:rsid w:val="002C2F7D"/>
    <w:rsid w:val="002C2FF9"/>
    <w:rsid w:val="002C3079"/>
    <w:rsid w:val="002C315B"/>
    <w:rsid w:val="002C326E"/>
    <w:rsid w:val="002C339E"/>
    <w:rsid w:val="002C33FE"/>
    <w:rsid w:val="002C358A"/>
    <w:rsid w:val="002C35C9"/>
    <w:rsid w:val="002C36C8"/>
    <w:rsid w:val="002C370C"/>
    <w:rsid w:val="002C382E"/>
    <w:rsid w:val="002C388C"/>
    <w:rsid w:val="002C3985"/>
    <w:rsid w:val="002C39FB"/>
    <w:rsid w:val="002C3A3C"/>
    <w:rsid w:val="002C3B39"/>
    <w:rsid w:val="002C3B4B"/>
    <w:rsid w:val="002C3C87"/>
    <w:rsid w:val="002C3D58"/>
    <w:rsid w:val="002C3DAA"/>
    <w:rsid w:val="002C3F0F"/>
    <w:rsid w:val="002C3F1A"/>
    <w:rsid w:val="002C40BA"/>
    <w:rsid w:val="002C40DD"/>
    <w:rsid w:val="002C4131"/>
    <w:rsid w:val="002C41AE"/>
    <w:rsid w:val="002C41B3"/>
    <w:rsid w:val="002C427F"/>
    <w:rsid w:val="002C42F9"/>
    <w:rsid w:val="002C43E7"/>
    <w:rsid w:val="002C45F9"/>
    <w:rsid w:val="002C46A3"/>
    <w:rsid w:val="002C47A6"/>
    <w:rsid w:val="002C4844"/>
    <w:rsid w:val="002C493C"/>
    <w:rsid w:val="002C4AAC"/>
    <w:rsid w:val="002C4C5C"/>
    <w:rsid w:val="002C4C9E"/>
    <w:rsid w:val="002C4CE1"/>
    <w:rsid w:val="002C4D14"/>
    <w:rsid w:val="002C4DDE"/>
    <w:rsid w:val="002C4E45"/>
    <w:rsid w:val="002C4EC2"/>
    <w:rsid w:val="002C5132"/>
    <w:rsid w:val="002C52A1"/>
    <w:rsid w:val="002C52A9"/>
    <w:rsid w:val="002C52D9"/>
    <w:rsid w:val="002C53F0"/>
    <w:rsid w:val="002C54D4"/>
    <w:rsid w:val="002C5772"/>
    <w:rsid w:val="002C5844"/>
    <w:rsid w:val="002C58CE"/>
    <w:rsid w:val="002C591B"/>
    <w:rsid w:val="002C5A39"/>
    <w:rsid w:val="002C5A9D"/>
    <w:rsid w:val="002C5ABE"/>
    <w:rsid w:val="002C5BD4"/>
    <w:rsid w:val="002C5C14"/>
    <w:rsid w:val="002C5C24"/>
    <w:rsid w:val="002C5C85"/>
    <w:rsid w:val="002C5D29"/>
    <w:rsid w:val="002C5D90"/>
    <w:rsid w:val="002C5DE2"/>
    <w:rsid w:val="002C5E0D"/>
    <w:rsid w:val="002C5E11"/>
    <w:rsid w:val="002C5E36"/>
    <w:rsid w:val="002C5F1D"/>
    <w:rsid w:val="002C5F74"/>
    <w:rsid w:val="002C5FDF"/>
    <w:rsid w:val="002C6041"/>
    <w:rsid w:val="002C6286"/>
    <w:rsid w:val="002C62B2"/>
    <w:rsid w:val="002C636A"/>
    <w:rsid w:val="002C637D"/>
    <w:rsid w:val="002C63BF"/>
    <w:rsid w:val="002C64DE"/>
    <w:rsid w:val="002C6527"/>
    <w:rsid w:val="002C65A6"/>
    <w:rsid w:val="002C65BA"/>
    <w:rsid w:val="002C68A4"/>
    <w:rsid w:val="002C6944"/>
    <w:rsid w:val="002C69C5"/>
    <w:rsid w:val="002C6A7E"/>
    <w:rsid w:val="002C6AB9"/>
    <w:rsid w:val="002C6B85"/>
    <w:rsid w:val="002C6BE8"/>
    <w:rsid w:val="002C6C54"/>
    <w:rsid w:val="002C6D50"/>
    <w:rsid w:val="002C6E18"/>
    <w:rsid w:val="002C6E8C"/>
    <w:rsid w:val="002C7072"/>
    <w:rsid w:val="002C70F6"/>
    <w:rsid w:val="002C71CD"/>
    <w:rsid w:val="002C72F3"/>
    <w:rsid w:val="002C734C"/>
    <w:rsid w:val="002C7350"/>
    <w:rsid w:val="002C7455"/>
    <w:rsid w:val="002C750A"/>
    <w:rsid w:val="002C758A"/>
    <w:rsid w:val="002C75C5"/>
    <w:rsid w:val="002C7676"/>
    <w:rsid w:val="002C7E9B"/>
    <w:rsid w:val="002C7EDF"/>
    <w:rsid w:val="002C7F08"/>
    <w:rsid w:val="002C7F3D"/>
    <w:rsid w:val="002D0034"/>
    <w:rsid w:val="002D0074"/>
    <w:rsid w:val="002D0202"/>
    <w:rsid w:val="002D02D1"/>
    <w:rsid w:val="002D0401"/>
    <w:rsid w:val="002D0426"/>
    <w:rsid w:val="002D05E0"/>
    <w:rsid w:val="002D07B4"/>
    <w:rsid w:val="002D08E4"/>
    <w:rsid w:val="002D093C"/>
    <w:rsid w:val="002D0993"/>
    <w:rsid w:val="002D09D3"/>
    <w:rsid w:val="002D0C3D"/>
    <w:rsid w:val="002D0D00"/>
    <w:rsid w:val="002D0D39"/>
    <w:rsid w:val="002D0DFD"/>
    <w:rsid w:val="002D0EAA"/>
    <w:rsid w:val="002D102F"/>
    <w:rsid w:val="002D10DD"/>
    <w:rsid w:val="002D1148"/>
    <w:rsid w:val="002D1226"/>
    <w:rsid w:val="002D1378"/>
    <w:rsid w:val="002D146D"/>
    <w:rsid w:val="002D150A"/>
    <w:rsid w:val="002D1528"/>
    <w:rsid w:val="002D152B"/>
    <w:rsid w:val="002D1540"/>
    <w:rsid w:val="002D1560"/>
    <w:rsid w:val="002D1573"/>
    <w:rsid w:val="002D1768"/>
    <w:rsid w:val="002D17E7"/>
    <w:rsid w:val="002D19AD"/>
    <w:rsid w:val="002D1A8F"/>
    <w:rsid w:val="002D1D24"/>
    <w:rsid w:val="002D1DC8"/>
    <w:rsid w:val="002D2022"/>
    <w:rsid w:val="002D20DF"/>
    <w:rsid w:val="002D2118"/>
    <w:rsid w:val="002D240A"/>
    <w:rsid w:val="002D2442"/>
    <w:rsid w:val="002D24D2"/>
    <w:rsid w:val="002D25CC"/>
    <w:rsid w:val="002D27E8"/>
    <w:rsid w:val="002D2AE8"/>
    <w:rsid w:val="002D2B70"/>
    <w:rsid w:val="002D2BBC"/>
    <w:rsid w:val="002D2C62"/>
    <w:rsid w:val="002D2C8D"/>
    <w:rsid w:val="002D2E1A"/>
    <w:rsid w:val="002D2E44"/>
    <w:rsid w:val="002D2E6F"/>
    <w:rsid w:val="002D2EF4"/>
    <w:rsid w:val="002D2F22"/>
    <w:rsid w:val="002D2F3F"/>
    <w:rsid w:val="002D2F7F"/>
    <w:rsid w:val="002D2F8B"/>
    <w:rsid w:val="002D2F8F"/>
    <w:rsid w:val="002D314D"/>
    <w:rsid w:val="002D32F5"/>
    <w:rsid w:val="002D335F"/>
    <w:rsid w:val="002D3410"/>
    <w:rsid w:val="002D3705"/>
    <w:rsid w:val="002D37F9"/>
    <w:rsid w:val="002D3867"/>
    <w:rsid w:val="002D387E"/>
    <w:rsid w:val="002D3892"/>
    <w:rsid w:val="002D38B9"/>
    <w:rsid w:val="002D39EC"/>
    <w:rsid w:val="002D3AF4"/>
    <w:rsid w:val="002D3B43"/>
    <w:rsid w:val="002D3CA3"/>
    <w:rsid w:val="002D3D51"/>
    <w:rsid w:val="002D3D55"/>
    <w:rsid w:val="002D3DCF"/>
    <w:rsid w:val="002D40BE"/>
    <w:rsid w:val="002D418A"/>
    <w:rsid w:val="002D433B"/>
    <w:rsid w:val="002D43EB"/>
    <w:rsid w:val="002D446F"/>
    <w:rsid w:val="002D449A"/>
    <w:rsid w:val="002D44A7"/>
    <w:rsid w:val="002D4553"/>
    <w:rsid w:val="002D45B4"/>
    <w:rsid w:val="002D463F"/>
    <w:rsid w:val="002D4662"/>
    <w:rsid w:val="002D467A"/>
    <w:rsid w:val="002D478E"/>
    <w:rsid w:val="002D4864"/>
    <w:rsid w:val="002D494F"/>
    <w:rsid w:val="002D4AD9"/>
    <w:rsid w:val="002D4AF7"/>
    <w:rsid w:val="002D4B09"/>
    <w:rsid w:val="002D4B1A"/>
    <w:rsid w:val="002D4B4E"/>
    <w:rsid w:val="002D4DE3"/>
    <w:rsid w:val="002D4E64"/>
    <w:rsid w:val="002D4EF3"/>
    <w:rsid w:val="002D4F3F"/>
    <w:rsid w:val="002D51B6"/>
    <w:rsid w:val="002D5313"/>
    <w:rsid w:val="002D53A7"/>
    <w:rsid w:val="002D53A8"/>
    <w:rsid w:val="002D551D"/>
    <w:rsid w:val="002D5588"/>
    <w:rsid w:val="002D5673"/>
    <w:rsid w:val="002D578C"/>
    <w:rsid w:val="002D582A"/>
    <w:rsid w:val="002D58BF"/>
    <w:rsid w:val="002D59B9"/>
    <w:rsid w:val="002D59CC"/>
    <w:rsid w:val="002D5A17"/>
    <w:rsid w:val="002D5A98"/>
    <w:rsid w:val="002D5C3F"/>
    <w:rsid w:val="002D5C81"/>
    <w:rsid w:val="002D5D03"/>
    <w:rsid w:val="002D5DCF"/>
    <w:rsid w:val="002D5E02"/>
    <w:rsid w:val="002D5E53"/>
    <w:rsid w:val="002D5EF4"/>
    <w:rsid w:val="002D5F4A"/>
    <w:rsid w:val="002D612C"/>
    <w:rsid w:val="002D6148"/>
    <w:rsid w:val="002D61B4"/>
    <w:rsid w:val="002D622C"/>
    <w:rsid w:val="002D63AF"/>
    <w:rsid w:val="002D65F9"/>
    <w:rsid w:val="002D6779"/>
    <w:rsid w:val="002D67EF"/>
    <w:rsid w:val="002D686B"/>
    <w:rsid w:val="002D6987"/>
    <w:rsid w:val="002D6B0D"/>
    <w:rsid w:val="002D6B0E"/>
    <w:rsid w:val="002D6C85"/>
    <w:rsid w:val="002D6E27"/>
    <w:rsid w:val="002D6F03"/>
    <w:rsid w:val="002D6F0F"/>
    <w:rsid w:val="002D7015"/>
    <w:rsid w:val="002D70CC"/>
    <w:rsid w:val="002D70FC"/>
    <w:rsid w:val="002D72E9"/>
    <w:rsid w:val="002D747C"/>
    <w:rsid w:val="002D74E7"/>
    <w:rsid w:val="002D751E"/>
    <w:rsid w:val="002D757C"/>
    <w:rsid w:val="002D758C"/>
    <w:rsid w:val="002D75C3"/>
    <w:rsid w:val="002D7613"/>
    <w:rsid w:val="002D766E"/>
    <w:rsid w:val="002D76C8"/>
    <w:rsid w:val="002D76EA"/>
    <w:rsid w:val="002D77CA"/>
    <w:rsid w:val="002D77E6"/>
    <w:rsid w:val="002D7911"/>
    <w:rsid w:val="002D7A59"/>
    <w:rsid w:val="002D7A8C"/>
    <w:rsid w:val="002D7BB1"/>
    <w:rsid w:val="002D7D72"/>
    <w:rsid w:val="002D7DC6"/>
    <w:rsid w:val="002D7DD4"/>
    <w:rsid w:val="002D7E1A"/>
    <w:rsid w:val="002D7E57"/>
    <w:rsid w:val="002D7E8E"/>
    <w:rsid w:val="002D7F0F"/>
    <w:rsid w:val="002D7FE2"/>
    <w:rsid w:val="002E0198"/>
    <w:rsid w:val="002E021B"/>
    <w:rsid w:val="002E0297"/>
    <w:rsid w:val="002E0449"/>
    <w:rsid w:val="002E04C4"/>
    <w:rsid w:val="002E06B0"/>
    <w:rsid w:val="002E082F"/>
    <w:rsid w:val="002E08B0"/>
    <w:rsid w:val="002E0921"/>
    <w:rsid w:val="002E097A"/>
    <w:rsid w:val="002E0B41"/>
    <w:rsid w:val="002E0B58"/>
    <w:rsid w:val="002E0B84"/>
    <w:rsid w:val="002E0BB7"/>
    <w:rsid w:val="002E0BE2"/>
    <w:rsid w:val="002E0CE8"/>
    <w:rsid w:val="002E0D80"/>
    <w:rsid w:val="002E0F98"/>
    <w:rsid w:val="002E10E9"/>
    <w:rsid w:val="002E10F4"/>
    <w:rsid w:val="002E11D4"/>
    <w:rsid w:val="002E11F6"/>
    <w:rsid w:val="002E14C9"/>
    <w:rsid w:val="002E1640"/>
    <w:rsid w:val="002E1709"/>
    <w:rsid w:val="002E1779"/>
    <w:rsid w:val="002E1780"/>
    <w:rsid w:val="002E1A41"/>
    <w:rsid w:val="002E1C6D"/>
    <w:rsid w:val="002E1CAC"/>
    <w:rsid w:val="002E1CEE"/>
    <w:rsid w:val="002E1CF0"/>
    <w:rsid w:val="002E1DF7"/>
    <w:rsid w:val="002E2041"/>
    <w:rsid w:val="002E2047"/>
    <w:rsid w:val="002E20CB"/>
    <w:rsid w:val="002E216A"/>
    <w:rsid w:val="002E2338"/>
    <w:rsid w:val="002E236A"/>
    <w:rsid w:val="002E2599"/>
    <w:rsid w:val="002E263C"/>
    <w:rsid w:val="002E271C"/>
    <w:rsid w:val="002E2847"/>
    <w:rsid w:val="002E2A01"/>
    <w:rsid w:val="002E2A1D"/>
    <w:rsid w:val="002E2B92"/>
    <w:rsid w:val="002E2C70"/>
    <w:rsid w:val="002E2C97"/>
    <w:rsid w:val="002E2CC8"/>
    <w:rsid w:val="002E2D55"/>
    <w:rsid w:val="002E2DC5"/>
    <w:rsid w:val="002E2E20"/>
    <w:rsid w:val="002E2EB5"/>
    <w:rsid w:val="002E307E"/>
    <w:rsid w:val="002E30E9"/>
    <w:rsid w:val="002E3105"/>
    <w:rsid w:val="002E3131"/>
    <w:rsid w:val="002E3157"/>
    <w:rsid w:val="002E31E9"/>
    <w:rsid w:val="002E32B5"/>
    <w:rsid w:val="002E33AF"/>
    <w:rsid w:val="002E33E5"/>
    <w:rsid w:val="002E33E6"/>
    <w:rsid w:val="002E3554"/>
    <w:rsid w:val="002E35B1"/>
    <w:rsid w:val="002E35E3"/>
    <w:rsid w:val="002E361E"/>
    <w:rsid w:val="002E36BC"/>
    <w:rsid w:val="002E37A9"/>
    <w:rsid w:val="002E385F"/>
    <w:rsid w:val="002E39C3"/>
    <w:rsid w:val="002E3B69"/>
    <w:rsid w:val="002E40E7"/>
    <w:rsid w:val="002E40F4"/>
    <w:rsid w:val="002E4102"/>
    <w:rsid w:val="002E4191"/>
    <w:rsid w:val="002E4197"/>
    <w:rsid w:val="002E41E2"/>
    <w:rsid w:val="002E41FF"/>
    <w:rsid w:val="002E42BB"/>
    <w:rsid w:val="002E42CA"/>
    <w:rsid w:val="002E42E9"/>
    <w:rsid w:val="002E43E8"/>
    <w:rsid w:val="002E4455"/>
    <w:rsid w:val="002E44EC"/>
    <w:rsid w:val="002E4577"/>
    <w:rsid w:val="002E4585"/>
    <w:rsid w:val="002E46B3"/>
    <w:rsid w:val="002E491A"/>
    <w:rsid w:val="002E4994"/>
    <w:rsid w:val="002E49D1"/>
    <w:rsid w:val="002E4A48"/>
    <w:rsid w:val="002E4C6E"/>
    <w:rsid w:val="002E4D67"/>
    <w:rsid w:val="002E4F17"/>
    <w:rsid w:val="002E501F"/>
    <w:rsid w:val="002E50C4"/>
    <w:rsid w:val="002E51B0"/>
    <w:rsid w:val="002E5219"/>
    <w:rsid w:val="002E5276"/>
    <w:rsid w:val="002E52E0"/>
    <w:rsid w:val="002E571B"/>
    <w:rsid w:val="002E57D8"/>
    <w:rsid w:val="002E5817"/>
    <w:rsid w:val="002E5859"/>
    <w:rsid w:val="002E58D0"/>
    <w:rsid w:val="002E5947"/>
    <w:rsid w:val="002E599F"/>
    <w:rsid w:val="002E5A1E"/>
    <w:rsid w:val="002E5A3E"/>
    <w:rsid w:val="002E5ABF"/>
    <w:rsid w:val="002E5B0C"/>
    <w:rsid w:val="002E5B2D"/>
    <w:rsid w:val="002E5D49"/>
    <w:rsid w:val="002E5DB3"/>
    <w:rsid w:val="002E5DD3"/>
    <w:rsid w:val="002E5ED3"/>
    <w:rsid w:val="002E5EE5"/>
    <w:rsid w:val="002E5FF3"/>
    <w:rsid w:val="002E60CB"/>
    <w:rsid w:val="002E61E1"/>
    <w:rsid w:val="002E61EB"/>
    <w:rsid w:val="002E6273"/>
    <w:rsid w:val="002E630E"/>
    <w:rsid w:val="002E6377"/>
    <w:rsid w:val="002E637F"/>
    <w:rsid w:val="002E63A1"/>
    <w:rsid w:val="002E63DA"/>
    <w:rsid w:val="002E6518"/>
    <w:rsid w:val="002E65A7"/>
    <w:rsid w:val="002E65DA"/>
    <w:rsid w:val="002E6634"/>
    <w:rsid w:val="002E66F4"/>
    <w:rsid w:val="002E67DF"/>
    <w:rsid w:val="002E68B9"/>
    <w:rsid w:val="002E6966"/>
    <w:rsid w:val="002E6A3A"/>
    <w:rsid w:val="002E6B19"/>
    <w:rsid w:val="002E6C76"/>
    <w:rsid w:val="002E6D13"/>
    <w:rsid w:val="002E6DE9"/>
    <w:rsid w:val="002E6F1B"/>
    <w:rsid w:val="002E6FED"/>
    <w:rsid w:val="002E7119"/>
    <w:rsid w:val="002E7231"/>
    <w:rsid w:val="002E7262"/>
    <w:rsid w:val="002E7381"/>
    <w:rsid w:val="002E73E5"/>
    <w:rsid w:val="002E745A"/>
    <w:rsid w:val="002E746D"/>
    <w:rsid w:val="002E74DD"/>
    <w:rsid w:val="002E74E0"/>
    <w:rsid w:val="002E75A6"/>
    <w:rsid w:val="002E762E"/>
    <w:rsid w:val="002E7679"/>
    <w:rsid w:val="002E7799"/>
    <w:rsid w:val="002E78B7"/>
    <w:rsid w:val="002E78C8"/>
    <w:rsid w:val="002E78E0"/>
    <w:rsid w:val="002E7950"/>
    <w:rsid w:val="002E7C8D"/>
    <w:rsid w:val="002E7D4B"/>
    <w:rsid w:val="002E7DDC"/>
    <w:rsid w:val="002E7E34"/>
    <w:rsid w:val="002E7E68"/>
    <w:rsid w:val="002E7ECA"/>
    <w:rsid w:val="002F008A"/>
    <w:rsid w:val="002F021A"/>
    <w:rsid w:val="002F0240"/>
    <w:rsid w:val="002F0251"/>
    <w:rsid w:val="002F0258"/>
    <w:rsid w:val="002F025F"/>
    <w:rsid w:val="002F0389"/>
    <w:rsid w:val="002F0457"/>
    <w:rsid w:val="002F0527"/>
    <w:rsid w:val="002F0548"/>
    <w:rsid w:val="002F05EF"/>
    <w:rsid w:val="002F06D8"/>
    <w:rsid w:val="002F0716"/>
    <w:rsid w:val="002F072C"/>
    <w:rsid w:val="002F0800"/>
    <w:rsid w:val="002F088B"/>
    <w:rsid w:val="002F09A4"/>
    <w:rsid w:val="002F0A19"/>
    <w:rsid w:val="002F0A9B"/>
    <w:rsid w:val="002F0AF8"/>
    <w:rsid w:val="002F0BD8"/>
    <w:rsid w:val="002F0C0C"/>
    <w:rsid w:val="002F0C51"/>
    <w:rsid w:val="002F0C5A"/>
    <w:rsid w:val="002F0D44"/>
    <w:rsid w:val="002F0EB9"/>
    <w:rsid w:val="002F0EDD"/>
    <w:rsid w:val="002F0F4E"/>
    <w:rsid w:val="002F107A"/>
    <w:rsid w:val="002F1084"/>
    <w:rsid w:val="002F1116"/>
    <w:rsid w:val="002F1133"/>
    <w:rsid w:val="002F11C1"/>
    <w:rsid w:val="002F1329"/>
    <w:rsid w:val="002F1511"/>
    <w:rsid w:val="002F15D2"/>
    <w:rsid w:val="002F1675"/>
    <w:rsid w:val="002F1770"/>
    <w:rsid w:val="002F1974"/>
    <w:rsid w:val="002F1A1C"/>
    <w:rsid w:val="002F1AE8"/>
    <w:rsid w:val="002F1B3B"/>
    <w:rsid w:val="002F1C90"/>
    <w:rsid w:val="002F1CF6"/>
    <w:rsid w:val="002F1D79"/>
    <w:rsid w:val="002F1DF2"/>
    <w:rsid w:val="002F1E5E"/>
    <w:rsid w:val="002F1E7B"/>
    <w:rsid w:val="002F1EF3"/>
    <w:rsid w:val="002F1FE4"/>
    <w:rsid w:val="002F2043"/>
    <w:rsid w:val="002F21DF"/>
    <w:rsid w:val="002F222A"/>
    <w:rsid w:val="002F2250"/>
    <w:rsid w:val="002F22D6"/>
    <w:rsid w:val="002F22FE"/>
    <w:rsid w:val="002F239F"/>
    <w:rsid w:val="002F24E1"/>
    <w:rsid w:val="002F25EE"/>
    <w:rsid w:val="002F2721"/>
    <w:rsid w:val="002F278F"/>
    <w:rsid w:val="002F279B"/>
    <w:rsid w:val="002F27AC"/>
    <w:rsid w:val="002F283E"/>
    <w:rsid w:val="002F29A8"/>
    <w:rsid w:val="002F29FE"/>
    <w:rsid w:val="002F2A54"/>
    <w:rsid w:val="002F2AE4"/>
    <w:rsid w:val="002F2B23"/>
    <w:rsid w:val="002F2C78"/>
    <w:rsid w:val="002F2D85"/>
    <w:rsid w:val="002F2E2D"/>
    <w:rsid w:val="002F2EB6"/>
    <w:rsid w:val="002F2EC1"/>
    <w:rsid w:val="002F2F72"/>
    <w:rsid w:val="002F2F79"/>
    <w:rsid w:val="002F2FF6"/>
    <w:rsid w:val="002F31BC"/>
    <w:rsid w:val="002F3292"/>
    <w:rsid w:val="002F3336"/>
    <w:rsid w:val="002F3471"/>
    <w:rsid w:val="002F34E1"/>
    <w:rsid w:val="002F352F"/>
    <w:rsid w:val="002F3651"/>
    <w:rsid w:val="002F3656"/>
    <w:rsid w:val="002F3681"/>
    <w:rsid w:val="002F36DC"/>
    <w:rsid w:val="002F3765"/>
    <w:rsid w:val="002F37EE"/>
    <w:rsid w:val="002F3822"/>
    <w:rsid w:val="002F3986"/>
    <w:rsid w:val="002F39DA"/>
    <w:rsid w:val="002F39F3"/>
    <w:rsid w:val="002F3BC4"/>
    <w:rsid w:val="002F3C5F"/>
    <w:rsid w:val="002F3D16"/>
    <w:rsid w:val="002F3DE1"/>
    <w:rsid w:val="002F3E4B"/>
    <w:rsid w:val="002F3E5E"/>
    <w:rsid w:val="002F3F01"/>
    <w:rsid w:val="002F3F18"/>
    <w:rsid w:val="002F4024"/>
    <w:rsid w:val="002F409B"/>
    <w:rsid w:val="002F4196"/>
    <w:rsid w:val="002F43D0"/>
    <w:rsid w:val="002F466B"/>
    <w:rsid w:val="002F467B"/>
    <w:rsid w:val="002F46FA"/>
    <w:rsid w:val="002F47DA"/>
    <w:rsid w:val="002F496F"/>
    <w:rsid w:val="002F49A6"/>
    <w:rsid w:val="002F4ABD"/>
    <w:rsid w:val="002F4B4E"/>
    <w:rsid w:val="002F4CF8"/>
    <w:rsid w:val="002F4E69"/>
    <w:rsid w:val="002F5028"/>
    <w:rsid w:val="002F51CC"/>
    <w:rsid w:val="002F5237"/>
    <w:rsid w:val="002F5395"/>
    <w:rsid w:val="002F541F"/>
    <w:rsid w:val="002F556B"/>
    <w:rsid w:val="002F55E0"/>
    <w:rsid w:val="002F575D"/>
    <w:rsid w:val="002F57A6"/>
    <w:rsid w:val="002F5852"/>
    <w:rsid w:val="002F5AF8"/>
    <w:rsid w:val="002F5B40"/>
    <w:rsid w:val="002F5E29"/>
    <w:rsid w:val="002F5E4A"/>
    <w:rsid w:val="002F5E55"/>
    <w:rsid w:val="002F5EA4"/>
    <w:rsid w:val="002F5F45"/>
    <w:rsid w:val="002F5FF0"/>
    <w:rsid w:val="002F604F"/>
    <w:rsid w:val="002F60ED"/>
    <w:rsid w:val="002F612A"/>
    <w:rsid w:val="002F619C"/>
    <w:rsid w:val="002F61DE"/>
    <w:rsid w:val="002F6242"/>
    <w:rsid w:val="002F630F"/>
    <w:rsid w:val="002F63F0"/>
    <w:rsid w:val="002F657E"/>
    <w:rsid w:val="002F6612"/>
    <w:rsid w:val="002F6795"/>
    <w:rsid w:val="002F67B5"/>
    <w:rsid w:val="002F6876"/>
    <w:rsid w:val="002F68B3"/>
    <w:rsid w:val="002F68C3"/>
    <w:rsid w:val="002F68E6"/>
    <w:rsid w:val="002F6A36"/>
    <w:rsid w:val="002F6A74"/>
    <w:rsid w:val="002F6B0F"/>
    <w:rsid w:val="002F6B93"/>
    <w:rsid w:val="002F6C26"/>
    <w:rsid w:val="002F6C4A"/>
    <w:rsid w:val="002F6C5E"/>
    <w:rsid w:val="002F6C85"/>
    <w:rsid w:val="002F6CC7"/>
    <w:rsid w:val="002F6CF7"/>
    <w:rsid w:val="002F6D43"/>
    <w:rsid w:val="002F6EB9"/>
    <w:rsid w:val="002F707B"/>
    <w:rsid w:val="002F7107"/>
    <w:rsid w:val="002F7147"/>
    <w:rsid w:val="002F72CA"/>
    <w:rsid w:val="002F72F4"/>
    <w:rsid w:val="002F7343"/>
    <w:rsid w:val="002F754F"/>
    <w:rsid w:val="002F75C7"/>
    <w:rsid w:val="002F7659"/>
    <w:rsid w:val="002F76A1"/>
    <w:rsid w:val="002F76DD"/>
    <w:rsid w:val="002F772D"/>
    <w:rsid w:val="002F7750"/>
    <w:rsid w:val="002F77CC"/>
    <w:rsid w:val="002F77ED"/>
    <w:rsid w:val="002F77FD"/>
    <w:rsid w:val="002F791E"/>
    <w:rsid w:val="002F798F"/>
    <w:rsid w:val="002F7A73"/>
    <w:rsid w:val="002F7A78"/>
    <w:rsid w:val="002F7AD1"/>
    <w:rsid w:val="002F7BC3"/>
    <w:rsid w:val="002F7D51"/>
    <w:rsid w:val="002F7D8C"/>
    <w:rsid w:val="002F7F52"/>
    <w:rsid w:val="002F7FC5"/>
    <w:rsid w:val="00300025"/>
    <w:rsid w:val="003002B1"/>
    <w:rsid w:val="003004B0"/>
    <w:rsid w:val="00300677"/>
    <w:rsid w:val="00300697"/>
    <w:rsid w:val="0030078E"/>
    <w:rsid w:val="003007A9"/>
    <w:rsid w:val="00300805"/>
    <w:rsid w:val="00300928"/>
    <w:rsid w:val="00300938"/>
    <w:rsid w:val="00300A29"/>
    <w:rsid w:val="00300B7B"/>
    <w:rsid w:val="00300BC3"/>
    <w:rsid w:val="00300C62"/>
    <w:rsid w:val="00300CDE"/>
    <w:rsid w:val="00300D6A"/>
    <w:rsid w:val="0030108B"/>
    <w:rsid w:val="003010D1"/>
    <w:rsid w:val="00301196"/>
    <w:rsid w:val="003011DD"/>
    <w:rsid w:val="003011E2"/>
    <w:rsid w:val="00301223"/>
    <w:rsid w:val="0030130A"/>
    <w:rsid w:val="00301384"/>
    <w:rsid w:val="0030145C"/>
    <w:rsid w:val="003014B1"/>
    <w:rsid w:val="003015C3"/>
    <w:rsid w:val="00301653"/>
    <w:rsid w:val="0030165D"/>
    <w:rsid w:val="00301705"/>
    <w:rsid w:val="00301716"/>
    <w:rsid w:val="003018E2"/>
    <w:rsid w:val="0030193C"/>
    <w:rsid w:val="00301975"/>
    <w:rsid w:val="003019D8"/>
    <w:rsid w:val="00301AF2"/>
    <w:rsid w:val="00301D37"/>
    <w:rsid w:val="00301D94"/>
    <w:rsid w:val="00301E98"/>
    <w:rsid w:val="0030206A"/>
    <w:rsid w:val="00302084"/>
    <w:rsid w:val="003020DC"/>
    <w:rsid w:val="003021EC"/>
    <w:rsid w:val="00302362"/>
    <w:rsid w:val="00302376"/>
    <w:rsid w:val="00302456"/>
    <w:rsid w:val="00302463"/>
    <w:rsid w:val="00302524"/>
    <w:rsid w:val="0030255A"/>
    <w:rsid w:val="003025A2"/>
    <w:rsid w:val="003026A3"/>
    <w:rsid w:val="00302768"/>
    <w:rsid w:val="00302856"/>
    <w:rsid w:val="00302859"/>
    <w:rsid w:val="003028A9"/>
    <w:rsid w:val="00302925"/>
    <w:rsid w:val="00302951"/>
    <w:rsid w:val="0030295B"/>
    <w:rsid w:val="00302A0C"/>
    <w:rsid w:val="00302A99"/>
    <w:rsid w:val="00302AAE"/>
    <w:rsid w:val="00302B22"/>
    <w:rsid w:val="00302B48"/>
    <w:rsid w:val="00302C12"/>
    <w:rsid w:val="00302C15"/>
    <w:rsid w:val="00302CAD"/>
    <w:rsid w:val="00302D13"/>
    <w:rsid w:val="00302F74"/>
    <w:rsid w:val="00303002"/>
    <w:rsid w:val="00303191"/>
    <w:rsid w:val="003031BC"/>
    <w:rsid w:val="003032EC"/>
    <w:rsid w:val="00303381"/>
    <w:rsid w:val="003034AB"/>
    <w:rsid w:val="00303524"/>
    <w:rsid w:val="00303615"/>
    <w:rsid w:val="003038CD"/>
    <w:rsid w:val="0030399E"/>
    <w:rsid w:val="003039ED"/>
    <w:rsid w:val="00303A36"/>
    <w:rsid w:val="00303A41"/>
    <w:rsid w:val="00303A82"/>
    <w:rsid w:val="00303AA4"/>
    <w:rsid w:val="00303BD3"/>
    <w:rsid w:val="00303C89"/>
    <w:rsid w:val="00303C9A"/>
    <w:rsid w:val="00303DB7"/>
    <w:rsid w:val="00303E11"/>
    <w:rsid w:val="00303F46"/>
    <w:rsid w:val="0030405E"/>
    <w:rsid w:val="00304089"/>
    <w:rsid w:val="003040B8"/>
    <w:rsid w:val="00304245"/>
    <w:rsid w:val="003042B1"/>
    <w:rsid w:val="003042DA"/>
    <w:rsid w:val="003042DE"/>
    <w:rsid w:val="0030439E"/>
    <w:rsid w:val="00304482"/>
    <w:rsid w:val="003044D4"/>
    <w:rsid w:val="00304680"/>
    <w:rsid w:val="00304726"/>
    <w:rsid w:val="003047D4"/>
    <w:rsid w:val="003047E5"/>
    <w:rsid w:val="003048BD"/>
    <w:rsid w:val="00304992"/>
    <w:rsid w:val="00304A38"/>
    <w:rsid w:val="00304AF9"/>
    <w:rsid w:val="00304BFC"/>
    <w:rsid w:val="00304F65"/>
    <w:rsid w:val="00304F9A"/>
    <w:rsid w:val="00304F9B"/>
    <w:rsid w:val="0030502C"/>
    <w:rsid w:val="00305181"/>
    <w:rsid w:val="00305431"/>
    <w:rsid w:val="0030550B"/>
    <w:rsid w:val="00305685"/>
    <w:rsid w:val="00305833"/>
    <w:rsid w:val="00305842"/>
    <w:rsid w:val="00305932"/>
    <w:rsid w:val="00305976"/>
    <w:rsid w:val="003059A1"/>
    <w:rsid w:val="00305A9F"/>
    <w:rsid w:val="00305AB2"/>
    <w:rsid w:val="00305B38"/>
    <w:rsid w:val="00305B54"/>
    <w:rsid w:val="00305C70"/>
    <w:rsid w:val="00305FA7"/>
    <w:rsid w:val="00305FE2"/>
    <w:rsid w:val="00306148"/>
    <w:rsid w:val="00306172"/>
    <w:rsid w:val="0030619A"/>
    <w:rsid w:val="00306217"/>
    <w:rsid w:val="0030624A"/>
    <w:rsid w:val="00306319"/>
    <w:rsid w:val="00306353"/>
    <w:rsid w:val="00306418"/>
    <w:rsid w:val="00306525"/>
    <w:rsid w:val="00306651"/>
    <w:rsid w:val="003066CD"/>
    <w:rsid w:val="00306984"/>
    <w:rsid w:val="0030699F"/>
    <w:rsid w:val="00306D77"/>
    <w:rsid w:val="00306DCF"/>
    <w:rsid w:val="00306E2C"/>
    <w:rsid w:val="00306E7B"/>
    <w:rsid w:val="00306E9C"/>
    <w:rsid w:val="00306EF8"/>
    <w:rsid w:val="00306FCA"/>
    <w:rsid w:val="003075A0"/>
    <w:rsid w:val="003075C4"/>
    <w:rsid w:val="003075F8"/>
    <w:rsid w:val="003076FA"/>
    <w:rsid w:val="00307723"/>
    <w:rsid w:val="0030772C"/>
    <w:rsid w:val="00307AC0"/>
    <w:rsid w:val="00307B2A"/>
    <w:rsid w:val="00307B32"/>
    <w:rsid w:val="00307D68"/>
    <w:rsid w:val="00307D93"/>
    <w:rsid w:val="00307DB1"/>
    <w:rsid w:val="00307DEF"/>
    <w:rsid w:val="00307E37"/>
    <w:rsid w:val="00307E4E"/>
    <w:rsid w:val="00307EE0"/>
    <w:rsid w:val="00307FC3"/>
    <w:rsid w:val="00307FE7"/>
    <w:rsid w:val="00310090"/>
    <w:rsid w:val="003100F7"/>
    <w:rsid w:val="00310146"/>
    <w:rsid w:val="003101EA"/>
    <w:rsid w:val="003103DA"/>
    <w:rsid w:val="00310674"/>
    <w:rsid w:val="00310723"/>
    <w:rsid w:val="0031095A"/>
    <w:rsid w:val="00310A38"/>
    <w:rsid w:val="00310B76"/>
    <w:rsid w:val="00310E35"/>
    <w:rsid w:val="0031119E"/>
    <w:rsid w:val="003111B1"/>
    <w:rsid w:val="003111C1"/>
    <w:rsid w:val="003112E1"/>
    <w:rsid w:val="003113D4"/>
    <w:rsid w:val="003113DD"/>
    <w:rsid w:val="0031146B"/>
    <w:rsid w:val="00311566"/>
    <w:rsid w:val="003115A7"/>
    <w:rsid w:val="00311690"/>
    <w:rsid w:val="0031178B"/>
    <w:rsid w:val="00311988"/>
    <w:rsid w:val="00311989"/>
    <w:rsid w:val="00311994"/>
    <w:rsid w:val="00311BB8"/>
    <w:rsid w:val="00311D84"/>
    <w:rsid w:val="00311DDB"/>
    <w:rsid w:val="00311E73"/>
    <w:rsid w:val="00311E94"/>
    <w:rsid w:val="003121C2"/>
    <w:rsid w:val="003122A8"/>
    <w:rsid w:val="00312353"/>
    <w:rsid w:val="0031240E"/>
    <w:rsid w:val="00312484"/>
    <w:rsid w:val="003124B4"/>
    <w:rsid w:val="00312625"/>
    <w:rsid w:val="00312672"/>
    <w:rsid w:val="003126B1"/>
    <w:rsid w:val="0031271F"/>
    <w:rsid w:val="003127D0"/>
    <w:rsid w:val="00312A48"/>
    <w:rsid w:val="00312AFB"/>
    <w:rsid w:val="00312B08"/>
    <w:rsid w:val="00312B0B"/>
    <w:rsid w:val="00312BBF"/>
    <w:rsid w:val="00312D9C"/>
    <w:rsid w:val="00312DEF"/>
    <w:rsid w:val="00312EFC"/>
    <w:rsid w:val="00312FC2"/>
    <w:rsid w:val="00312FFD"/>
    <w:rsid w:val="0031311F"/>
    <w:rsid w:val="003131BB"/>
    <w:rsid w:val="003131FF"/>
    <w:rsid w:val="0031324F"/>
    <w:rsid w:val="00313362"/>
    <w:rsid w:val="0031349A"/>
    <w:rsid w:val="00313680"/>
    <w:rsid w:val="00313926"/>
    <w:rsid w:val="00313947"/>
    <w:rsid w:val="00313A40"/>
    <w:rsid w:val="00313BFB"/>
    <w:rsid w:val="00313D53"/>
    <w:rsid w:val="00313DCE"/>
    <w:rsid w:val="00313DFD"/>
    <w:rsid w:val="00313E61"/>
    <w:rsid w:val="00313E7D"/>
    <w:rsid w:val="00313EF8"/>
    <w:rsid w:val="00313FA3"/>
    <w:rsid w:val="00314095"/>
    <w:rsid w:val="00314260"/>
    <w:rsid w:val="003142E8"/>
    <w:rsid w:val="0031435D"/>
    <w:rsid w:val="003143FF"/>
    <w:rsid w:val="003145A9"/>
    <w:rsid w:val="003146BB"/>
    <w:rsid w:val="0031474C"/>
    <w:rsid w:val="00314770"/>
    <w:rsid w:val="003147D7"/>
    <w:rsid w:val="00314939"/>
    <w:rsid w:val="00314A0A"/>
    <w:rsid w:val="00314A64"/>
    <w:rsid w:val="00314BA8"/>
    <w:rsid w:val="00314C3E"/>
    <w:rsid w:val="00314E5C"/>
    <w:rsid w:val="00315006"/>
    <w:rsid w:val="003151BA"/>
    <w:rsid w:val="003151FB"/>
    <w:rsid w:val="00315240"/>
    <w:rsid w:val="0031528F"/>
    <w:rsid w:val="003152D3"/>
    <w:rsid w:val="00315306"/>
    <w:rsid w:val="0031536B"/>
    <w:rsid w:val="003153D1"/>
    <w:rsid w:val="00315424"/>
    <w:rsid w:val="00315482"/>
    <w:rsid w:val="0031553A"/>
    <w:rsid w:val="0031564F"/>
    <w:rsid w:val="00315705"/>
    <w:rsid w:val="00315825"/>
    <w:rsid w:val="00315859"/>
    <w:rsid w:val="0031594D"/>
    <w:rsid w:val="00315A63"/>
    <w:rsid w:val="00315E4B"/>
    <w:rsid w:val="00315E76"/>
    <w:rsid w:val="00315F08"/>
    <w:rsid w:val="00315F39"/>
    <w:rsid w:val="00316018"/>
    <w:rsid w:val="003160A1"/>
    <w:rsid w:val="00316183"/>
    <w:rsid w:val="003161A7"/>
    <w:rsid w:val="003161D8"/>
    <w:rsid w:val="00316296"/>
    <w:rsid w:val="003163F7"/>
    <w:rsid w:val="0031667C"/>
    <w:rsid w:val="0031676E"/>
    <w:rsid w:val="00316A46"/>
    <w:rsid w:val="00316AD8"/>
    <w:rsid w:val="00316B7E"/>
    <w:rsid w:val="00316B95"/>
    <w:rsid w:val="00316BE9"/>
    <w:rsid w:val="00316D01"/>
    <w:rsid w:val="00316F16"/>
    <w:rsid w:val="00317060"/>
    <w:rsid w:val="003170EA"/>
    <w:rsid w:val="0031711C"/>
    <w:rsid w:val="00317158"/>
    <w:rsid w:val="003171AF"/>
    <w:rsid w:val="003171E8"/>
    <w:rsid w:val="0031730A"/>
    <w:rsid w:val="00317439"/>
    <w:rsid w:val="00317486"/>
    <w:rsid w:val="00317559"/>
    <w:rsid w:val="00317686"/>
    <w:rsid w:val="0031787C"/>
    <w:rsid w:val="003179A7"/>
    <w:rsid w:val="00317A2C"/>
    <w:rsid w:val="00317A84"/>
    <w:rsid w:val="00317A97"/>
    <w:rsid w:val="00317D44"/>
    <w:rsid w:val="00317D7E"/>
    <w:rsid w:val="00317E2C"/>
    <w:rsid w:val="00320046"/>
    <w:rsid w:val="0032016E"/>
    <w:rsid w:val="0032036F"/>
    <w:rsid w:val="0032045D"/>
    <w:rsid w:val="00320662"/>
    <w:rsid w:val="00320853"/>
    <w:rsid w:val="003208F7"/>
    <w:rsid w:val="0032092F"/>
    <w:rsid w:val="00320A2A"/>
    <w:rsid w:val="00320AAD"/>
    <w:rsid w:val="00320ADD"/>
    <w:rsid w:val="00320B32"/>
    <w:rsid w:val="00320B57"/>
    <w:rsid w:val="00320B62"/>
    <w:rsid w:val="00320B75"/>
    <w:rsid w:val="00320C5A"/>
    <w:rsid w:val="00320CBD"/>
    <w:rsid w:val="00320DAA"/>
    <w:rsid w:val="00320DB1"/>
    <w:rsid w:val="00320F8D"/>
    <w:rsid w:val="00321028"/>
    <w:rsid w:val="0032136C"/>
    <w:rsid w:val="00321534"/>
    <w:rsid w:val="00321806"/>
    <w:rsid w:val="0032196F"/>
    <w:rsid w:val="00321A51"/>
    <w:rsid w:val="00321C4D"/>
    <w:rsid w:val="00321D23"/>
    <w:rsid w:val="00321D47"/>
    <w:rsid w:val="00321EF7"/>
    <w:rsid w:val="00321F57"/>
    <w:rsid w:val="00322044"/>
    <w:rsid w:val="00322095"/>
    <w:rsid w:val="003220C8"/>
    <w:rsid w:val="003220E9"/>
    <w:rsid w:val="003222E5"/>
    <w:rsid w:val="00322520"/>
    <w:rsid w:val="00322554"/>
    <w:rsid w:val="0032263D"/>
    <w:rsid w:val="00322667"/>
    <w:rsid w:val="003227BE"/>
    <w:rsid w:val="0032283E"/>
    <w:rsid w:val="00322862"/>
    <w:rsid w:val="0032292D"/>
    <w:rsid w:val="003229BB"/>
    <w:rsid w:val="003229D5"/>
    <w:rsid w:val="00322A1B"/>
    <w:rsid w:val="00322AEA"/>
    <w:rsid w:val="00322B7A"/>
    <w:rsid w:val="00322B87"/>
    <w:rsid w:val="00322BBE"/>
    <w:rsid w:val="00322E69"/>
    <w:rsid w:val="00322E7B"/>
    <w:rsid w:val="00322E93"/>
    <w:rsid w:val="00322E9F"/>
    <w:rsid w:val="00322EB6"/>
    <w:rsid w:val="00322F92"/>
    <w:rsid w:val="00322FD1"/>
    <w:rsid w:val="003230C1"/>
    <w:rsid w:val="00323202"/>
    <w:rsid w:val="00323203"/>
    <w:rsid w:val="0032321F"/>
    <w:rsid w:val="0032328F"/>
    <w:rsid w:val="003232F5"/>
    <w:rsid w:val="003233EB"/>
    <w:rsid w:val="0032345D"/>
    <w:rsid w:val="003234D1"/>
    <w:rsid w:val="003235B4"/>
    <w:rsid w:val="003235FF"/>
    <w:rsid w:val="00323603"/>
    <w:rsid w:val="003236CB"/>
    <w:rsid w:val="003238AC"/>
    <w:rsid w:val="003238B7"/>
    <w:rsid w:val="00323A6B"/>
    <w:rsid w:val="00323AE6"/>
    <w:rsid w:val="00323C15"/>
    <w:rsid w:val="00323D08"/>
    <w:rsid w:val="00323D09"/>
    <w:rsid w:val="00323EC5"/>
    <w:rsid w:val="00323F62"/>
    <w:rsid w:val="00323FB1"/>
    <w:rsid w:val="00324012"/>
    <w:rsid w:val="00324327"/>
    <w:rsid w:val="0032439D"/>
    <w:rsid w:val="003243A5"/>
    <w:rsid w:val="00324544"/>
    <w:rsid w:val="00324562"/>
    <w:rsid w:val="003245AF"/>
    <w:rsid w:val="00324778"/>
    <w:rsid w:val="00324820"/>
    <w:rsid w:val="0032490A"/>
    <w:rsid w:val="00324A5B"/>
    <w:rsid w:val="00324A8E"/>
    <w:rsid w:val="00324B67"/>
    <w:rsid w:val="00324C4D"/>
    <w:rsid w:val="00324C8A"/>
    <w:rsid w:val="00324C90"/>
    <w:rsid w:val="00324DFB"/>
    <w:rsid w:val="00325328"/>
    <w:rsid w:val="0032546A"/>
    <w:rsid w:val="0032553E"/>
    <w:rsid w:val="00325649"/>
    <w:rsid w:val="0032568B"/>
    <w:rsid w:val="00325998"/>
    <w:rsid w:val="00325B76"/>
    <w:rsid w:val="00325C76"/>
    <w:rsid w:val="00325D1F"/>
    <w:rsid w:val="00325E4F"/>
    <w:rsid w:val="00325FBB"/>
    <w:rsid w:val="00326031"/>
    <w:rsid w:val="00326093"/>
    <w:rsid w:val="00326176"/>
    <w:rsid w:val="003261F5"/>
    <w:rsid w:val="003262AF"/>
    <w:rsid w:val="003262BC"/>
    <w:rsid w:val="003263BA"/>
    <w:rsid w:val="003263DA"/>
    <w:rsid w:val="003264D8"/>
    <w:rsid w:val="003265CD"/>
    <w:rsid w:val="0032668A"/>
    <w:rsid w:val="003269AC"/>
    <w:rsid w:val="003269DF"/>
    <w:rsid w:val="00326AEB"/>
    <w:rsid w:val="00326B30"/>
    <w:rsid w:val="00326BEC"/>
    <w:rsid w:val="00326C3E"/>
    <w:rsid w:val="00326C6B"/>
    <w:rsid w:val="00326DE5"/>
    <w:rsid w:val="00326ED2"/>
    <w:rsid w:val="00326F02"/>
    <w:rsid w:val="00326F7D"/>
    <w:rsid w:val="00326FA6"/>
    <w:rsid w:val="003270AE"/>
    <w:rsid w:val="003270E8"/>
    <w:rsid w:val="00327186"/>
    <w:rsid w:val="003272CA"/>
    <w:rsid w:val="00327397"/>
    <w:rsid w:val="0032742A"/>
    <w:rsid w:val="00327471"/>
    <w:rsid w:val="00327491"/>
    <w:rsid w:val="0032769C"/>
    <w:rsid w:val="00327894"/>
    <w:rsid w:val="003279DA"/>
    <w:rsid w:val="00327A42"/>
    <w:rsid w:val="00327B07"/>
    <w:rsid w:val="00327B16"/>
    <w:rsid w:val="00327BDE"/>
    <w:rsid w:val="00327D3E"/>
    <w:rsid w:val="00327E24"/>
    <w:rsid w:val="00327E80"/>
    <w:rsid w:val="00327F28"/>
    <w:rsid w:val="00327F68"/>
    <w:rsid w:val="00327FAC"/>
    <w:rsid w:val="0033001C"/>
    <w:rsid w:val="003302DE"/>
    <w:rsid w:val="003303D5"/>
    <w:rsid w:val="0033044A"/>
    <w:rsid w:val="0033078A"/>
    <w:rsid w:val="003307B3"/>
    <w:rsid w:val="003307DF"/>
    <w:rsid w:val="00330AF1"/>
    <w:rsid w:val="00330B5A"/>
    <w:rsid w:val="00330B84"/>
    <w:rsid w:val="00330BC4"/>
    <w:rsid w:val="00330C4A"/>
    <w:rsid w:val="00330D4A"/>
    <w:rsid w:val="00330E03"/>
    <w:rsid w:val="00330F78"/>
    <w:rsid w:val="00331039"/>
    <w:rsid w:val="0033125B"/>
    <w:rsid w:val="003312A9"/>
    <w:rsid w:val="00331300"/>
    <w:rsid w:val="003313E4"/>
    <w:rsid w:val="00331400"/>
    <w:rsid w:val="00331691"/>
    <w:rsid w:val="00331711"/>
    <w:rsid w:val="00331788"/>
    <w:rsid w:val="003317EF"/>
    <w:rsid w:val="00331975"/>
    <w:rsid w:val="003319AB"/>
    <w:rsid w:val="00331A7D"/>
    <w:rsid w:val="00331AF7"/>
    <w:rsid w:val="00331B99"/>
    <w:rsid w:val="00331BC7"/>
    <w:rsid w:val="00331C69"/>
    <w:rsid w:val="00331DE8"/>
    <w:rsid w:val="00331F5F"/>
    <w:rsid w:val="00332077"/>
    <w:rsid w:val="003320B9"/>
    <w:rsid w:val="003321A6"/>
    <w:rsid w:val="00332215"/>
    <w:rsid w:val="00332386"/>
    <w:rsid w:val="00332444"/>
    <w:rsid w:val="0033246F"/>
    <w:rsid w:val="00332583"/>
    <w:rsid w:val="00332589"/>
    <w:rsid w:val="003325CF"/>
    <w:rsid w:val="003326D3"/>
    <w:rsid w:val="00332716"/>
    <w:rsid w:val="00332772"/>
    <w:rsid w:val="003327FB"/>
    <w:rsid w:val="003328A4"/>
    <w:rsid w:val="00332916"/>
    <w:rsid w:val="00332925"/>
    <w:rsid w:val="00332962"/>
    <w:rsid w:val="0033298E"/>
    <w:rsid w:val="003329C8"/>
    <w:rsid w:val="00332B7E"/>
    <w:rsid w:val="00332C97"/>
    <w:rsid w:val="00332CF6"/>
    <w:rsid w:val="00332CFA"/>
    <w:rsid w:val="00332D49"/>
    <w:rsid w:val="00332DDE"/>
    <w:rsid w:val="00332E88"/>
    <w:rsid w:val="00332FAB"/>
    <w:rsid w:val="0033301C"/>
    <w:rsid w:val="00333139"/>
    <w:rsid w:val="00333198"/>
    <w:rsid w:val="003331D8"/>
    <w:rsid w:val="0033322A"/>
    <w:rsid w:val="00333302"/>
    <w:rsid w:val="0033331D"/>
    <w:rsid w:val="0033338E"/>
    <w:rsid w:val="003333FD"/>
    <w:rsid w:val="00333409"/>
    <w:rsid w:val="00333601"/>
    <w:rsid w:val="0033377A"/>
    <w:rsid w:val="003338B9"/>
    <w:rsid w:val="003338BA"/>
    <w:rsid w:val="00333905"/>
    <w:rsid w:val="00333B50"/>
    <w:rsid w:val="00333BA9"/>
    <w:rsid w:val="00333D13"/>
    <w:rsid w:val="00333DA5"/>
    <w:rsid w:val="00333EF7"/>
    <w:rsid w:val="00333F64"/>
    <w:rsid w:val="00334019"/>
    <w:rsid w:val="00334094"/>
    <w:rsid w:val="003340EE"/>
    <w:rsid w:val="00334145"/>
    <w:rsid w:val="0033416D"/>
    <w:rsid w:val="003343D6"/>
    <w:rsid w:val="0033451B"/>
    <w:rsid w:val="0033456F"/>
    <w:rsid w:val="003345D8"/>
    <w:rsid w:val="0033475E"/>
    <w:rsid w:val="00334AFD"/>
    <w:rsid w:val="00334BA0"/>
    <w:rsid w:val="00334C0A"/>
    <w:rsid w:val="00334D77"/>
    <w:rsid w:val="00334D82"/>
    <w:rsid w:val="00334DEF"/>
    <w:rsid w:val="00334DFE"/>
    <w:rsid w:val="00334E15"/>
    <w:rsid w:val="00334EAD"/>
    <w:rsid w:val="00334EC7"/>
    <w:rsid w:val="00334FB5"/>
    <w:rsid w:val="00334FEB"/>
    <w:rsid w:val="00335124"/>
    <w:rsid w:val="0033512D"/>
    <w:rsid w:val="00335238"/>
    <w:rsid w:val="00335262"/>
    <w:rsid w:val="00335264"/>
    <w:rsid w:val="003352C1"/>
    <w:rsid w:val="00335337"/>
    <w:rsid w:val="00335428"/>
    <w:rsid w:val="003355AC"/>
    <w:rsid w:val="003355E1"/>
    <w:rsid w:val="003355EA"/>
    <w:rsid w:val="00335629"/>
    <w:rsid w:val="0033580B"/>
    <w:rsid w:val="0033582B"/>
    <w:rsid w:val="003359C8"/>
    <w:rsid w:val="003359DE"/>
    <w:rsid w:val="00335A74"/>
    <w:rsid w:val="00335E6F"/>
    <w:rsid w:val="00335EDC"/>
    <w:rsid w:val="003360C7"/>
    <w:rsid w:val="003361BC"/>
    <w:rsid w:val="00336238"/>
    <w:rsid w:val="003363AC"/>
    <w:rsid w:val="003363B0"/>
    <w:rsid w:val="0033655A"/>
    <w:rsid w:val="003367A4"/>
    <w:rsid w:val="003367C1"/>
    <w:rsid w:val="00336849"/>
    <w:rsid w:val="00336868"/>
    <w:rsid w:val="00336986"/>
    <w:rsid w:val="003369DA"/>
    <w:rsid w:val="00336A57"/>
    <w:rsid w:val="00336A80"/>
    <w:rsid w:val="00336A83"/>
    <w:rsid w:val="00336B62"/>
    <w:rsid w:val="00336B6C"/>
    <w:rsid w:val="00336C24"/>
    <w:rsid w:val="00336E3F"/>
    <w:rsid w:val="00336FFA"/>
    <w:rsid w:val="0033708D"/>
    <w:rsid w:val="00337354"/>
    <w:rsid w:val="00337370"/>
    <w:rsid w:val="00337523"/>
    <w:rsid w:val="003375CE"/>
    <w:rsid w:val="00337601"/>
    <w:rsid w:val="003377F8"/>
    <w:rsid w:val="00337835"/>
    <w:rsid w:val="003379A3"/>
    <w:rsid w:val="00337B42"/>
    <w:rsid w:val="00337C8A"/>
    <w:rsid w:val="00337E01"/>
    <w:rsid w:val="00337F23"/>
    <w:rsid w:val="00337F8E"/>
    <w:rsid w:val="00337FB7"/>
    <w:rsid w:val="00337FE6"/>
    <w:rsid w:val="0034004B"/>
    <w:rsid w:val="003400BE"/>
    <w:rsid w:val="0034019C"/>
    <w:rsid w:val="003401D9"/>
    <w:rsid w:val="003402C8"/>
    <w:rsid w:val="003404B5"/>
    <w:rsid w:val="00340539"/>
    <w:rsid w:val="00340555"/>
    <w:rsid w:val="003405FA"/>
    <w:rsid w:val="00340660"/>
    <w:rsid w:val="00340695"/>
    <w:rsid w:val="003406DE"/>
    <w:rsid w:val="00340715"/>
    <w:rsid w:val="003407C7"/>
    <w:rsid w:val="003407F7"/>
    <w:rsid w:val="0034082E"/>
    <w:rsid w:val="0034092B"/>
    <w:rsid w:val="003409FA"/>
    <w:rsid w:val="00340A4B"/>
    <w:rsid w:val="00340ACB"/>
    <w:rsid w:val="00340BB4"/>
    <w:rsid w:val="00340C54"/>
    <w:rsid w:val="00340E57"/>
    <w:rsid w:val="00340E79"/>
    <w:rsid w:val="00340EA5"/>
    <w:rsid w:val="00340EE5"/>
    <w:rsid w:val="00340F96"/>
    <w:rsid w:val="0034111C"/>
    <w:rsid w:val="003411A0"/>
    <w:rsid w:val="00341260"/>
    <w:rsid w:val="003412D0"/>
    <w:rsid w:val="00341313"/>
    <w:rsid w:val="003413F4"/>
    <w:rsid w:val="0034148D"/>
    <w:rsid w:val="003415DA"/>
    <w:rsid w:val="003415E1"/>
    <w:rsid w:val="00341620"/>
    <w:rsid w:val="003417AC"/>
    <w:rsid w:val="003417E1"/>
    <w:rsid w:val="003418F4"/>
    <w:rsid w:val="00341979"/>
    <w:rsid w:val="00341B2A"/>
    <w:rsid w:val="00341B2B"/>
    <w:rsid w:val="00341B72"/>
    <w:rsid w:val="00341D9D"/>
    <w:rsid w:val="00341EC3"/>
    <w:rsid w:val="00341EE0"/>
    <w:rsid w:val="00341F78"/>
    <w:rsid w:val="00342037"/>
    <w:rsid w:val="00342253"/>
    <w:rsid w:val="0034225C"/>
    <w:rsid w:val="003424EA"/>
    <w:rsid w:val="0034260F"/>
    <w:rsid w:val="00342615"/>
    <w:rsid w:val="00342698"/>
    <w:rsid w:val="003426A6"/>
    <w:rsid w:val="0034273F"/>
    <w:rsid w:val="00342881"/>
    <w:rsid w:val="00342957"/>
    <w:rsid w:val="00342A00"/>
    <w:rsid w:val="00342CE2"/>
    <w:rsid w:val="00342D74"/>
    <w:rsid w:val="00342E65"/>
    <w:rsid w:val="00342ECA"/>
    <w:rsid w:val="00342ED9"/>
    <w:rsid w:val="00343011"/>
    <w:rsid w:val="00343174"/>
    <w:rsid w:val="00343384"/>
    <w:rsid w:val="0034347E"/>
    <w:rsid w:val="0034350D"/>
    <w:rsid w:val="0034366F"/>
    <w:rsid w:val="0034371E"/>
    <w:rsid w:val="0034377C"/>
    <w:rsid w:val="003437EB"/>
    <w:rsid w:val="00343899"/>
    <w:rsid w:val="003438B3"/>
    <w:rsid w:val="003438FB"/>
    <w:rsid w:val="003439B4"/>
    <w:rsid w:val="00343C83"/>
    <w:rsid w:val="00343CF7"/>
    <w:rsid w:val="00343E0B"/>
    <w:rsid w:val="00343E5D"/>
    <w:rsid w:val="00343F4B"/>
    <w:rsid w:val="00343FDC"/>
    <w:rsid w:val="0034404F"/>
    <w:rsid w:val="00344096"/>
    <w:rsid w:val="003441A5"/>
    <w:rsid w:val="00344218"/>
    <w:rsid w:val="003442DF"/>
    <w:rsid w:val="00344322"/>
    <w:rsid w:val="00344448"/>
    <w:rsid w:val="003444AC"/>
    <w:rsid w:val="003444FF"/>
    <w:rsid w:val="003445D2"/>
    <w:rsid w:val="003446CF"/>
    <w:rsid w:val="00344713"/>
    <w:rsid w:val="00344780"/>
    <w:rsid w:val="003447DD"/>
    <w:rsid w:val="003448FD"/>
    <w:rsid w:val="00344AF9"/>
    <w:rsid w:val="00344B57"/>
    <w:rsid w:val="00344C7C"/>
    <w:rsid w:val="00344D24"/>
    <w:rsid w:val="00344F63"/>
    <w:rsid w:val="00344F7F"/>
    <w:rsid w:val="003451CB"/>
    <w:rsid w:val="00345202"/>
    <w:rsid w:val="0034528D"/>
    <w:rsid w:val="003452B8"/>
    <w:rsid w:val="003453D3"/>
    <w:rsid w:val="00345486"/>
    <w:rsid w:val="003454D9"/>
    <w:rsid w:val="003454E5"/>
    <w:rsid w:val="0034563D"/>
    <w:rsid w:val="003457F8"/>
    <w:rsid w:val="0034583E"/>
    <w:rsid w:val="00345977"/>
    <w:rsid w:val="00345A58"/>
    <w:rsid w:val="00345BAF"/>
    <w:rsid w:val="00345D22"/>
    <w:rsid w:val="00345DAC"/>
    <w:rsid w:val="00345E17"/>
    <w:rsid w:val="00345E22"/>
    <w:rsid w:val="00345EF1"/>
    <w:rsid w:val="00345F41"/>
    <w:rsid w:val="00345F8D"/>
    <w:rsid w:val="003460A4"/>
    <w:rsid w:val="0034617D"/>
    <w:rsid w:val="003461C7"/>
    <w:rsid w:val="003461DB"/>
    <w:rsid w:val="00346281"/>
    <w:rsid w:val="00346442"/>
    <w:rsid w:val="0034658B"/>
    <w:rsid w:val="00346677"/>
    <w:rsid w:val="003467D5"/>
    <w:rsid w:val="003469A8"/>
    <w:rsid w:val="00346CD3"/>
    <w:rsid w:val="00346DD6"/>
    <w:rsid w:val="00346EAF"/>
    <w:rsid w:val="00346F28"/>
    <w:rsid w:val="00346F6B"/>
    <w:rsid w:val="00347015"/>
    <w:rsid w:val="003470A5"/>
    <w:rsid w:val="00347118"/>
    <w:rsid w:val="003471F1"/>
    <w:rsid w:val="0034728B"/>
    <w:rsid w:val="003472D1"/>
    <w:rsid w:val="00347445"/>
    <w:rsid w:val="003474BE"/>
    <w:rsid w:val="0034752C"/>
    <w:rsid w:val="00347558"/>
    <w:rsid w:val="00347839"/>
    <w:rsid w:val="00347968"/>
    <w:rsid w:val="00347991"/>
    <w:rsid w:val="00347A5B"/>
    <w:rsid w:val="00347C1D"/>
    <w:rsid w:val="00347C48"/>
    <w:rsid w:val="00347C75"/>
    <w:rsid w:val="00347D07"/>
    <w:rsid w:val="00347E63"/>
    <w:rsid w:val="0035002C"/>
    <w:rsid w:val="003501D2"/>
    <w:rsid w:val="00350221"/>
    <w:rsid w:val="0035034F"/>
    <w:rsid w:val="003506D3"/>
    <w:rsid w:val="003507FA"/>
    <w:rsid w:val="0035085C"/>
    <w:rsid w:val="00350A26"/>
    <w:rsid w:val="00350A3E"/>
    <w:rsid w:val="00350C7C"/>
    <w:rsid w:val="00350E7C"/>
    <w:rsid w:val="00350EDB"/>
    <w:rsid w:val="00350F0C"/>
    <w:rsid w:val="00350FBD"/>
    <w:rsid w:val="003511D9"/>
    <w:rsid w:val="003511FD"/>
    <w:rsid w:val="003512B1"/>
    <w:rsid w:val="003512D2"/>
    <w:rsid w:val="003513ED"/>
    <w:rsid w:val="003515FB"/>
    <w:rsid w:val="003517D8"/>
    <w:rsid w:val="003517F1"/>
    <w:rsid w:val="003518C5"/>
    <w:rsid w:val="00351923"/>
    <w:rsid w:val="003519A6"/>
    <w:rsid w:val="003519BC"/>
    <w:rsid w:val="00351A71"/>
    <w:rsid w:val="00351AC8"/>
    <w:rsid w:val="00351B09"/>
    <w:rsid w:val="00351BAB"/>
    <w:rsid w:val="00351DC7"/>
    <w:rsid w:val="00351F57"/>
    <w:rsid w:val="00351F60"/>
    <w:rsid w:val="00351FAD"/>
    <w:rsid w:val="00352009"/>
    <w:rsid w:val="003520EB"/>
    <w:rsid w:val="00352224"/>
    <w:rsid w:val="0035226C"/>
    <w:rsid w:val="00352395"/>
    <w:rsid w:val="0035239A"/>
    <w:rsid w:val="003523A5"/>
    <w:rsid w:val="003523E9"/>
    <w:rsid w:val="0035266E"/>
    <w:rsid w:val="0035269E"/>
    <w:rsid w:val="003526EE"/>
    <w:rsid w:val="00352875"/>
    <w:rsid w:val="0035296B"/>
    <w:rsid w:val="00352971"/>
    <w:rsid w:val="003529F0"/>
    <w:rsid w:val="00352C06"/>
    <w:rsid w:val="00352CF9"/>
    <w:rsid w:val="00352D02"/>
    <w:rsid w:val="00352DFB"/>
    <w:rsid w:val="00352E05"/>
    <w:rsid w:val="00352E61"/>
    <w:rsid w:val="00352EB3"/>
    <w:rsid w:val="00352EB4"/>
    <w:rsid w:val="00352EFF"/>
    <w:rsid w:val="0035306D"/>
    <w:rsid w:val="003531CD"/>
    <w:rsid w:val="003532DE"/>
    <w:rsid w:val="0035337E"/>
    <w:rsid w:val="0035352D"/>
    <w:rsid w:val="003535C3"/>
    <w:rsid w:val="00353626"/>
    <w:rsid w:val="00353646"/>
    <w:rsid w:val="00353716"/>
    <w:rsid w:val="00353775"/>
    <w:rsid w:val="0035390D"/>
    <w:rsid w:val="0035393C"/>
    <w:rsid w:val="00353A35"/>
    <w:rsid w:val="00353D44"/>
    <w:rsid w:val="00353D91"/>
    <w:rsid w:val="00353D96"/>
    <w:rsid w:val="00353D9C"/>
    <w:rsid w:val="00353DCF"/>
    <w:rsid w:val="00353F11"/>
    <w:rsid w:val="003540CD"/>
    <w:rsid w:val="003543A2"/>
    <w:rsid w:val="003544C2"/>
    <w:rsid w:val="0035456A"/>
    <w:rsid w:val="003545AD"/>
    <w:rsid w:val="00354679"/>
    <w:rsid w:val="00354688"/>
    <w:rsid w:val="00354689"/>
    <w:rsid w:val="003546EC"/>
    <w:rsid w:val="003548D3"/>
    <w:rsid w:val="003549CD"/>
    <w:rsid w:val="00354A7B"/>
    <w:rsid w:val="00354A96"/>
    <w:rsid w:val="00354B9E"/>
    <w:rsid w:val="00354BAB"/>
    <w:rsid w:val="00354C4C"/>
    <w:rsid w:val="00354C67"/>
    <w:rsid w:val="00354D13"/>
    <w:rsid w:val="00354D3E"/>
    <w:rsid w:val="00354DF2"/>
    <w:rsid w:val="00354EAA"/>
    <w:rsid w:val="00354FD0"/>
    <w:rsid w:val="003550E8"/>
    <w:rsid w:val="00355138"/>
    <w:rsid w:val="00355144"/>
    <w:rsid w:val="00355305"/>
    <w:rsid w:val="00355317"/>
    <w:rsid w:val="00355350"/>
    <w:rsid w:val="003553D0"/>
    <w:rsid w:val="003553F5"/>
    <w:rsid w:val="00355517"/>
    <w:rsid w:val="0035554B"/>
    <w:rsid w:val="00355551"/>
    <w:rsid w:val="003556C6"/>
    <w:rsid w:val="003556E6"/>
    <w:rsid w:val="00355817"/>
    <w:rsid w:val="00355823"/>
    <w:rsid w:val="00355A2C"/>
    <w:rsid w:val="00355A31"/>
    <w:rsid w:val="00355A96"/>
    <w:rsid w:val="00355BC6"/>
    <w:rsid w:val="00355C46"/>
    <w:rsid w:val="00355D26"/>
    <w:rsid w:val="00355DF5"/>
    <w:rsid w:val="00355F74"/>
    <w:rsid w:val="00355FBA"/>
    <w:rsid w:val="00356302"/>
    <w:rsid w:val="00356313"/>
    <w:rsid w:val="0035635E"/>
    <w:rsid w:val="0035640E"/>
    <w:rsid w:val="0035642F"/>
    <w:rsid w:val="00356487"/>
    <w:rsid w:val="00356560"/>
    <w:rsid w:val="003565BC"/>
    <w:rsid w:val="003566B9"/>
    <w:rsid w:val="003567F1"/>
    <w:rsid w:val="003568B1"/>
    <w:rsid w:val="003568C3"/>
    <w:rsid w:val="003568DF"/>
    <w:rsid w:val="003568F2"/>
    <w:rsid w:val="00356954"/>
    <w:rsid w:val="003569A8"/>
    <w:rsid w:val="00356CE1"/>
    <w:rsid w:val="00356D76"/>
    <w:rsid w:val="00356EA4"/>
    <w:rsid w:val="00356F2F"/>
    <w:rsid w:val="00356F9D"/>
    <w:rsid w:val="00356FA3"/>
    <w:rsid w:val="00357036"/>
    <w:rsid w:val="00357144"/>
    <w:rsid w:val="003571CA"/>
    <w:rsid w:val="00357210"/>
    <w:rsid w:val="003572DA"/>
    <w:rsid w:val="00357314"/>
    <w:rsid w:val="00357379"/>
    <w:rsid w:val="0035737A"/>
    <w:rsid w:val="00357495"/>
    <w:rsid w:val="003574E7"/>
    <w:rsid w:val="00357513"/>
    <w:rsid w:val="00357538"/>
    <w:rsid w:val="0035760A"/>
    <w:rsid w:val="00357682"/>
    <w:rsid w:val="003576BA"/>
    <w:rsid w:val="00357777"/>
    <w:rsid w:val="00357802"/>
    <w:rsid w:val="00357844"/>
    <w:rsid w:val="003578C8"/>
    <w:rsid w:val="0035792F"/>
    <w:rsid w:val="00357A8D"/>
    <w:rsid w:val="00357AC2"/>
    <w:rsid w:val="00357C9E"/>
    <w:rsid w:val="00357E6C"/>
    <w:rsid w:val="00357E78"/>
    <w:rsid w:val="00357E92"/>
    <w:rsid w:val="00357ED6"/>
    <w:rsid w:val="00357EDC"/>
    <w:rsid w:val="00357F99"/>
    <w:rsid w:val="00357FAC"/>
    <w:rsid w:val="00357FD4"/>
    <w:rsid w:val="00360064"/>
    <w:rsid w:val="003600A4"/>
    <w:rsid w:val="003600FC"/>
    <w:rsid w:val="00360122"/>
    <w:rsid w:val="003601BF"/>
    <w:rsid w:val="0036026F"/>
    <w:rsid w:val="00360582"/>
    <w:rsid w:val="0036093F"/>
    <w:rsid w:val="003609EB"/>
    <w:rsid w:val="00360A00"/>
    <w:rsid w:val="00360AE3"/>
    <w:rsid w:val="00360B2A"/>
    <w:rsid w:val="00360D9A"/>
    <w:rsid w:val="00360E01"/>
    <w:rsid w:val="00360E63"/>
    <w:rsid w:val="00360F06"/>
    <w:rsid w:val="00360F6D"/>
    <w:rsid w:val="003610E5"/>
    <w:rsid w:val="0036112F"/>
    <w:rsid w:val="00361261"/>
    <w:rsid w:val="00361351"/>
    <w:rsid w:val="00361422"/>
    <w:rsid w:val="0036147D"/>
    <w:rsid w:val="0036149D"/>
    <w:rsid w:val="003614F8"/>
    <w:rsid w:val="003616E6"/>
    <w:rsid w:val="00361769"/>
    <w:rsid w:val="003619A6"/>
    <w:rsid w:val="003619FB"/>
    <w:rsid w:val="00361B78"/>
    <w:rsid w:val="00361CC9"/>
    <w:rsid w:val="00361DB7"/>
    <w:rsid w:val="00361E4D"/>
    <w:rsid w:val="00361EBD"/>
    <w:rsid w:val="00361EF9"/>
    <w:rsid w:val="00362137"/>
    <w:rsid w:val="003621CC"/>
    <w:rsid w:val="00362223"/>
    <w:rsid w:val="003622FE"/>
    <w:rsid w:val="0036231F"/>
    <w:rsid w:val="0036246D"/>
    <w:rsid w:val="0036257D"/>
    <w:rsid w:val="00362708"/>
    <w:rsid w:val="00362928"/>
    <w:rsid w:val="00362983"/>
    <w:rsid w:val="00362B92"/>
    <w:rsid w:val="00362BFF"/>
    <w:rsid w:val="00362C3B"/>
    <w:rsid w:val="00362E23"/>
    <w:rsid w:val="00362E2B"/>
    <w:rsid w:val="00362E7B"/>
    <w:rsid w:val="00362ECE"/>
    <w:rsid w:val="00362ED5"/>
    <w:rsid w:val="00362F15"/>
    <w:rsid w:val="00362FF5"/>
    <w:rsid w:val="00363028"/>
    <w:rsid w:val="003631D6"/>
    <w:rsid w:val="0036344E"/>
    <w:rsid w:val="0036347F"/>
    <w:rsid w:val="003637C3"/>
    <w:rsid w:val="003638CF"/>
    <w:rsid w:val="00363914"/>
    <w:rsid w:val="003639A1"/>
    <w:rsid w:val="003639CF"/>
    <w:rsid w:val="00363A1E"/>
    <w:rsid w:val="00363B92"/>
    <w:rsid w:val="00363C16"/>
    <w:rsid w:val="00363D06"/>
    <w:rsid w:val="00363E86"/>
    <w:rsid w:val="00363ED1"/>
    <w:rsid w:val="00363FCB"/>
    <w:rsid w:val="0036408F"/>
    <w:rsid w:val="0036413B"/>
    <w:rsid w:val="00364196"/>
    <w:rsid w:val="003642E3"/>
    <w:rsid w:val="003644FB"/>
    <w:rsid w:val="00364550"/>
    <w:rsid w:val="0036459F"/>
    <w:rsid w:val="00364603"/>
    <w:rsid w:val="00364621"/>
    <w:rsid w:val="003646CE"/>
    <w:rsid w:val="003648C4"/>
    <w:rsid w:val="00364A98"/>
    <w:rsid w:val="00364AB4"/>
    <w:rsid w:val="00364D09"/>
    <w:rsid w:val="00364EC0"/>
    <w:rsid w:val="00364FA6"/>
    <w:rsid w:val="003650CD"/>
    <w:rsid w:val="003651F0"/>
    <w:rsid w:val="0036530B"/>
    <w:rsid w:val="00365317"/>
    <w:rsid w:val="0036547E"/>
    <w:rsid w:val="003655DD"/>
    <w:rsid w:val="003657BD"/>
    <w:rsid w:val="003657C5"/>
    <w:rsid w:val="00365907"/>
    <w:rsid w:val="00365AA2"/>
    <w:rsid w:val="00365AF2"/>
    <w:rsid w:val="00365B00"/>
    <w:rsid w:val="00365B38"/>
    <w:rsid w:val="00365BFE"/>
    <w:rsid w:val="00365C38"/>
    <w:rsid w:val="00365D6C"/>
    <w:rsid w:val="00365DAF"/>
    <w:rsid w:val="00365DEC"/>
    <w:rsid w:val="00365FC7"/>
    <w:rsid w:val="003660D9"/>
    <w:rsid w:val="003661CC"/>
    <w:rsid w:val="003662D8"/>
    <w:rsid w:val="003663A1"/>
    <w:rsid w:val="003663A3"/>
    <w:rsid w:val="003663D4"/>
    <w:rsid w:val="0036642A"/>
    <w:rsid w:val="0036646C"/>
    <w:rsid w:val="003667A1"/>
    <w:rsid w:val="003668A4"/>
    <w:rsid w:val="0036698B"/>
    <w:rsid w:val="003669CC"/>
    <w:rsid w:val="00366A7D"/>
    <w:rsid w:val="00366C62"/>
    <w:rsid w:val="00366D67"/>
    <w:rsid w:val="00366ECB"/>
    <w:rsid w:val="003670E2"/>
    <w:rsid w:val="003671C3"/>
    <w:rsid w:val="00367287"/>
    <w:rsid w:val="00367461"/>
    <w:rsid w:val="003674C0"/>
    <w:rsid w:val="00367506"/>
    <w:rsid w:val="00367585"/>
    <w:rsid w:val="0036768E"/>
    <w:rsid w:val="00367783"/>
    <w:rsid w:val="00367918"/>
    <w:rsid w:val="003679B5"/>
    <w:rsid w:val="00367A8D"/>
    <w:rsid w:val="00367B2D"/>
    <w:rsid w:val="00367B6E"/>
    <w:rsid w:val="00367B83"/>
    <w:rsid w:val="00367B95"/>
    <w:rsid w:val="00367D32"/>
    <w:rsid w:val="00367DA8"/>
    <w:rsid w:val="00367EA9"/>
    <w:rsid w:val="00367EE9"/>
    <w:rsid w:val="00367EF1"/>
    <w:rsid w:val="00367F0B"/>
    <w:rsid w:val="00367F25"/>
    <w:rsid w:val="00367FFA"/>
    <w:rsid w:val="0037012B"/>
    <w:rsid w:val="003701D3"/>
    <w:rsid w:val="003701FC"/>
    <w:rsid w:val="0037034B"/>
    <w:rsid w:val="0037045A"/>
    <w:rsid w:val="00370481"/>
    <w:rsid w:val="00370485"/>
    <w:rsid w:val="00370818"/>
    <w:rsid w:val="00370865"/>
    <w:rsid w:val="00370A78"/>
    <w:rsid w:val="00370B64"/>
    <w:rsid w:val="00370B8C"/>
    <w:rsid w:val="00370CFF"/>
    <w:rsid w:val="00370E14"/>
    <w:rsid w:val="00370E19"/>
    <w:rsid w:val="00370E49"/>
    <w:rsid w:val="00371120"/>
    <w:rsid w:val="0037116C"/>
    <w:rsid w:val="00371201"/>
    <w:rsid w:val="0037128B"/>
    <w:rsid w:val="00371320"/>
    <w:rsid w:val="003713F1"/>
    <w:rsid w:val="003715D5"/>
    <w:rsid w:val="00371697"/>
    <w:rsid w:val="003717B3"/>
    <w:rsid w:val="00371833"/>
    <w:rsid w:val="003718F6"/>
    <w:rsid w:val="00371944"/>
    <w:rsid w:val="00371A61"/>
    <w:rsid w:val="00371A80"/>
    <w:rsid w:val="00371AB1"/>
    <w:rsid w:val="00371AB4"/>
    <w:rsid w:val="00371C5A"/>
    <w:rsid w:val="00371C7F"/>
    <w:rsid w:val="00371CDC"/>
    <w:rsid w:val="00371D1C"/>
    <w:rsid w:val="00371E48"/>
    <w:rsid w:val="00371EEE"/>
    <w:rsid w:val="00371F0C"/>
    <w:rsid w:val="00371F8C"/>
    <w:rsid w:val="003720E3"/>
    <w:rsid w:val="003721C4"/>
    <w:rsid w:val="00372258"/>
    <w:rsid w:val="003722DD"/>
    <w:rsid w:val="003723CE"/>
    <w:rsid w:val="0037243A"/>
    <w:rsid w:val="003724D8"/>
    <w:rsid w:val="003724E4"/>
    <w:rsid w:val="00372525"/>
    <w:rsid w:val="00372527"/>
    <w:rsid w:val="003725AE"/>
    <w:rsid w:val="0037263E"/>
    <w:rsid w:val="00372649"/>
    <w:rsid w:val="003726C1"/>
    <w:rsid w:val="003726EA"/>
    <w:rsid w:val="003727D4"/>
    <w:rsid w:val="003727F2"/>
    <w:rsid w:val="00372829"/>
    <w:rsid w:val="00372931"/>
    <w:rsid w:val="003729EC"/>
    <w:rsid w:val="00372C26"/>
    <w:rsid w:val="00372D83"/>
    <w:rsid w:val="00372D84"/>
    <w:rsid w:val="00372ECE"/>
    <w:rsid w:val="0037312E"/>
    <w:rsid w:val="00373155"/>
    <w:rsid w:val="003731F7"/>
    <w:rsid w:val="00373273"/>
    <w:rsid w:val="00373448"/>
    <w:rsid w:val="00373502"/>
    <w:rsid w:val="00373547"/>
    <w:rsid w:val="0037357C"/>
    <w:rsid w:val="0037374A"/>
    <w:rsid w:val="003737F0"/>
    <w:rsid w:val="00373985"/>
    <w:rsid w:val="003739E1"/>
    <w:rsid w:val="00373A10"/>
    <w:rsid w:val="00373A50"/>
    <w:rsid w:val="00373ADA"/>
    <w:rsid w:val="00373B09"/>
    <w:rsid w:val="00373BD1"/>
    <w:rsid w:val="00373CD2"/>
    <w:rsid w:val="00373CFB"/>
    <w:rsid w:val="00373E6F"/>
    <w:rsid w:val="00373FA4"/>
    <w:rsid w:val="0037404F"/>
    <w:rsid w:val="0037448D"/>
    <w:rsid w:val="003744AA"/>
    <w:rsid w:val="0037451A"/>
    <w:rsid w:val="0037458F"/>
    <w:rsid w:val="00374627"/>
    <w:rsid w:val="00374691"/>
    <w:rsid w:val="00374696"/>
    <w:rsid w:val="0037472B"/>
    <w:rsid w:val="003748A3"/>
    <w:rsid w:val="003748E3"/>
    <w:rsid w:val="00374993"/>
    <w:rsid w:val="003749F8"/>
    <w:rsid w:val="00374C5C"/>
    <w:rsid w:val="00374D97"/>
    <w:rsid w:val="00374F03"/>
    <w:rsid w:val="00374FE0"/>
    <w:rsid w:val="0037509C"/>
    <w:rsid w:val="003750D6"/>
    <w:rsid w:val="003750ED"/>
    <w:rsid w:val="00375129"/>
    <w:rsid w:val="003751E1"/>
    <w:rsid w:val="00375265"/>
    <w:rsid w:val="00375296"/>
    <w:rsid w:val="0037537B"/>
    <w:rsid w:val="003753AC"/>
    <w:rsid w:val="00375478"/>
    <w:rsid w:val="00375674"/>
    <w:rsid w:val="00375771"/>
    <w:rsid w:val="003757E8"/>
    <w:rsid w:val="0037580B"/>
    <w:rsid w:val="00375852"/>
    <w:rsid w:val="0037599E"/>
    <w:rsid w:val="003759C8"/>
    <w:rsid w:val="00375B3B"/>
    <w:rsid w:val="00375D6D"/>
    <w:rsid w:val="00375F06"/>
    <w:rsid w:val="00375F43"/>
    <w:rsid w:val="00375F56"/>
    <w:rsid w:val="00375F98"/>
    <w:rsid w:val="00376184"/>
    <w:rsid w:val="00376361"/>
    <w:rsid w:val="003763BA"/>
    <w:rsid w:val="003763C4"/>
    <w:rsid w:val="00376911"/>
    <w:rsid w:val="00376952"/>
    <w:rsid w:val="003769D6"/>
    <w:rsid w:val="00376ADC"/>
    <w:rsid w:val="00376B17"/>
    <w:rsid w:val="00376B9B"/>
    <w:rsid w:val="00376BE0"/>
    <w:rsid w:val="00376C52"/>
    <w:rsid w:val="00376D96"/>
    <w:rsid w:val="00376EFF"/>
    <w:rsid w:val="00376FA0"/>
    <w:rsid w:val="00376FEA"/>
    <w:rsid w:val="0037707F"/>
    <w:rsid w:val="00377232"/>
    <w:rsid w:val="003774F8"/>
    <w:rsid w:val="00377576"/>
    <w:rsid w:val="00377783"/>
    <w:rsid w:val="00377A4B"/>
    <w:rsid w:val="00377AD9"/>
    <w:rsid w:val="00377CDA"/>
    <w:rsid w:val="00377D54"/>
    <w:rsid w:val="00377DD1"/>
    <w:rsid w:val="00377E06"/>
    <w:rsid w:val="00377EE9"/>
    <w:rsid w:val="00377F60"/>
    <w:rsid w:val="00377FDF"/>
    <w:rsid w:val="00380086"/>
    <w:rsid w:val="00380356"/>
    <w:rsid w:val="00380453"/>
    <w:rsid w:val="00380456"/>
    <w:rsid w:val="00380457"/>
    <w:rsid w:val="00380537"/>
    <w:rsid w:val="00380551"/>
    <w:rsid w:val="00380594"/>
    <w:rsid w:val="003805A5"/>
    <w:rsid w:val="003805B9"/>
    <w:rsid w:val="003805E8"/>
    <w:rsid w:val="00380700"/>
    <w:rsid w:val="0038078B"/>
    <w:rsid w:val="0038086D"/>
    <w:rsid w:val="00380909"/>
    <w:rsid w:val="00380A08"/>
    <w:rsid w:val="00380A46"/>
    <w:rsid w:val="00380B01"/>
    <w:rsid w:val="00380C4C"/>
    <w:rsid w:val="00380C74"/>
    <w:rsid w:val="00380CA2"/>
    <w:rsid w:val="00380DDF"/>
    <w:rsid w:val="00381254"/>
    <w:rsid w:val="00381322"/>
    <w:rsid w:val="0038141C"/>
    <w:rsid w:val="00381476"/>
    <w:rsid w:val="0038151F"/>
    <w:rsid w:val="00381660"/>
    <w:rsid w:val="00381846"/>
    <w:rsid w:val="00381866"/>
    <w:rsid w:val="00381A06"/>
    <w:rsid w:val="00381AF1"/>
    <w:rsid w:val="00381DE8"/>
    <w:rsid w:val="00381DEF"/>
    <w:rsid w:val="00381FFF"/>
    <w:rsid w:val="0038209D"/>
    <w:rsid w:val="003821B0"/>
    <w:rsid w:val="003821F8"/>
    <w:rsid w:val="003822E9"/>
    <w:rsid w:val="00382381"/>
    <w:rsid w:val="00382468"/>
    <w:rsid w:val="003825B1"/>
    <w:rsid w:val="003828EC"/>
    <w:rsid w:val="00382953"/>
    <w:rsid w:val="00382B7C"/>
    <w:rsid w:val="00382BAB"/>
    <w:rsid w:val="00382BD3"/>
    <w:rsid w:val="00382C45"/>
    <w:rsid w:val="00382D05"/>
    <w:rsid w:val="00382D1F"/>
    <w:rsid w:val="00382DDD"/>
    <w:rsid w:val="00382E90"/>
    <w:rsid w:val="0038304E"/>
    <w:rsid w:val="003830A1"/>
    <w:rsid w:val="003831A4"/>
    <w:rsid w:val="00383204"/>
    <w:rsid w:val="00383278"/>
    <w:rsid w:val="0038327A"/>
    <w:rsid w:val="003832A9"/>
    <w:rsid w:val="0038335C"/>
    <w:rsid w:val="003833CF"/>
    <w:rsid w:val="0038342B"/>
    <w:rsid w:val="003834B7"/>
    <w:rsid w:val="0038361E"/>
    <w:rsid w:val="0038362A"/>
    <w:rsid w:val="0038366E"/>
    <w:rsid w:val="003837B8"/>
    <w:rsid w:val="00383AE1"/>
    <w:rsid w:val="00383AE3"/>
    <w:rsid w:val="00383B2A"/>
    <w:rsid w:val="00383BE2"/>
    <w:rsid w:val="00383D58"/>
    <w:rsid w:val="00383DCA"/>
    <w:rsid w:val="00383E61"/>
    <w:rsid w:val="00383E68"/>
    <w:rsid w:val="00383E6D"/>
    <w:rsid w:val="00383EA6"/>
    <w:rsid w:val="00383F59"/>
    <w:rsid w:val="003840A3"/>
    <w:rsid w:val="00384160"/>
    <w:rsid w:val="00384176"/>
    <w:rsid w:val="00384223"/>
    <w:rsid w:val="0038434E"/>
    <w:rsid w:val="00384359"/>
    <w:rsid w:val="00384430"/>
    <w:rsid w:val="003844B9"/>
    <w:rsid w:val="0038464C"/>
    <w:rsid w:val="003846EC"/>
    <w:rsid w:val="00384869"/>
    <w:rsid w:val="003848F8"/>
    <w:rsid w:val="00384A77"/>
    <w:rsid w:val="00384B81"/>
    <w:rsid w:val="00384BBA"/>
    <w:rsid w:val="00384BC1"/>
    <w:rsid w:val="00384C39"/>
    <w:rsid w:val="00384CFB"/>
    <w:rsid w:val="00384D75"/>
    <w:rsid w:val="00384FAA"/>
    <w:rsid w:val="00385099"/>
    <w:rsid w:val="0038515B"/>
    <w:rsid w:val="003852A8"/>
    <w:rsid w:val="00385301"/>
    <w:rsid w:val="00385468"/>
    <w:rsid w:val="003854BB"/>
    <w:rsid w:val="003854E4"/>
    <w:rsid w:val="00385595"/>
    <w:rsid w:val="00385701"/>
    <w:rsid w:val="00385800"/>
    <w:rsid w:val="00385857"/>
    <w:rsid w:val="00385887"/>
    <w:rsid w:val="003858FF"/>
    <w:rsid w:val="00385B4E"/>
    <w:rsid w:val="00385B73"/>
    <w:rsid w:val="00385B76"/>
    <w:rsid w:val="00385C05"/>
    <w:rsid w:val="00385CD5"/>
    <w:rsid w:val="00385E00"/>
    <w:rsid w:val="00385E2A"/>
    <w:rsid w:val="00385E3A"/>
    <w:rsid w:val="00385E4C"/>
    <w:rsid w:val="00386011"/>
    <w:rsid w:val="00386053"/>
    <w:rsid w:val="0038607E"/>
    <w:rsid w:val="003861C8"/>
    <w:rsid w:val="003862CB"/>
    <w:rsid w:val="003863E3"/>
    <w:rsid w:val="00386451"/>
    <w:rsid w:val="0038652D"/>
    <w:rsid w:val="003865D9"/>
    <w:rsid w:val="003866F7"/>
    <w:rsid w:val="003869EE"/>
    <w:rsid w:val="00386A06"/>
    <w:rsid w:val="00386A63"/>
    <w:rsid w:val="00386C19"/>
    <w:rsid w:val="00386C52"/>
    <w:rsid w:val="00386C56"/>
    <w:rsid w:val="00386CAE"/>
    <w:rsid w:val="00386D1C"/>
    <w:rsid w:val="00386D37"/>
    <w:rsid w:val="00386DD8"/>
    <w:rsid w:val="00386E42"/>
    <w:rsid w:val="00386EEF"/>
    <w:rsid w:val="00386F69"/>
    <w:rsid w:val="00387129"/>
    <w:rsid w:val="00387275"/>
    <w:rsid w:val="0038739B"/>
    <w:rsid w:val="003874F2"/>
    <w:rsid w:val="00387526"/>
    <w:rsid w:val="003875EE"/>
    <w:rsid w:val="0038764D"/>
    <w:rsid w:val="003876EB"/>
    <w:rsid w:val="0038777A"/>
    <w:rsid w:val="00387861"/>
    <w:rsid w:val="003879FE"/>
    <w:rsid w:val="00387AA8"/>
    <w:rsid w:val="00387AD9"/>
    <w:rsid w:val="00387D52"/>
    <w:rsid w:val="00387D9C"/>
    <w:rsid w:val="00387F27"/>
    <w:rsid w:val="0039020F"/>
    <w:rsid w:val="003903BB"/>
    <w:rsid w:val="003903C6"/>
    <w:rsid w:val="00390680"/>
    <w:rsid w:val="0039069D"/>
    <w:rsid w:val="00390746"/>
    <w:rsid w:val="003907B0"/>
    <w:rsid w:val="003908FA"/>
    <w:rsid w:val="00390A73"/>
    <w:rsid w:val="00390B08"/>
    <w:rsid w:val="00390B43"/>
    <w:rsid w:val="00390C01"/>
    <w:rsid w:val="00390C04"/>
    <w:rsid w:val="00390CC9"/>
    <w:rsid w:val="00390CCC"/>
    <w:rsid w:val="00390E38"/>
    <w:rsid w:val="00390EC3"/>
    <w:rsid w:val="00390F43"/>
    <w:rsid w:val="00390FD5"/>
    <w:rsid w:val="0039102C"/>
    <w:rsid w:val="00391078"/>
    <w:rsid w:val="003910F2"/>
    <w:rsid w:val="00391337"/>
    <w:rsid w:val="003913BF"/>
    <w:rsid w:val="00391624"/>
    <w:rsid w:val="00391664"/>
    <w:rsid w:val="003916C7"/>
    <w:rsid w:val="0039171F"/>
    <w:rsid w:val="0039180D"/>
    <w:rsid w:val="00391888"/>
    <w:rsid w:val="0039194C"/>
    <w:rsid w:val="00391B45"/>
    <w:rsid w:val="00391B73"/>
    <w:rsid w:val="00391C35"/>
    <w:rsid w:val="00391C3B"/>
    <w:rsid w:val="00391D02"/>
    <w:rsid w:val="00391D90"/>
    <w:rsid w:val="00391DFF"/>
    <w:rsid w:val="00391F4B"/>
    <w:rsid w:val="00391F7E"/>
    <w:rsid w:val="00391FFF"/>
    <w:rsid w:val="0039207B"/>
    <w:rsid w:val="00392260"/>
    <w:rsid w:val="00392311"/>
    <w:rsid w:val="003923EC"/>
    <w:rsid w:val="0039246D"/>
    <w:rsid w:val="00392557"/>
    <w:rsid w:val="003925FD"/>
    <w:rsid w:val="00392736"/>
    <w:rsid w:val="0039275D"/>
    <w:rsid w:val="003929C3"/>
    <w:rsid w:val="003929DE"/>
    <w:rsid w:val="00392A5C"/>
    <w:rsid w:val="00392A5D"/>
    <w:rsid w:val="00392C8B"/>
    <w:rsid w:val="00392D83"/>
    <w:rsid w:val="0039308D"/>
    <w:rsid w:val="00393114"/>
    <w:rsid w:val="00393137"/>
    <w:rsid w:val="003932E4"/>
    <w:rsid w:val="0039330B"/>
    <w:rsid w:val="00393340"/>
    <w:rsid w:val="00393350"/>
    <w:rsid w:val="003933E2"/>
    <w:rsid w:val="0039353E"/>
    <w:rsid w:val="00393610"/>
    <w:rsid w:val="00393650"/>
    <w:rsid w:val="003936E9"/>
    <w:rsid w:val="003939C1"/>
    <w:rsid w:val="00393C4E"/>
    <w:rsid w:val="00393D70"/>
    <w:rsid w:val="00393DF0"/>
    <w:rsid w:val="00393E32"/>
    <w:rsid w:val="00393F25"/>
    <w:rsid w:val="00394033"/>
    <w:rsid w:val="00394036"/>
    <w:rsid w:val="00394071"/>
    <w:rsid w:val="00394173"/>
    <w:rsid w:val="003943D7"/>
    <w:rsid w:val="003943EC"/>
    <w:rsid w:val="0039476A"/>
    <w:rsid w:val="003948DD"/>
    <w:rsid w:val="003949CB"/>
    <w:rsid w:val="003949F4"/>
    <w:rsid w:val="00394A03"/>
    <w:rsid w:val="00394A3D"/>
    <w:rsid w:val="00394AB8"/>
    <w:rsid w:val="00394B92"/>
    <w:rsid w:val="00394BA6"/>
    <w:rsid w:val="00394E6D"/>
    <w:rsid w:val="0039500C"/>
    <w:rsid w:val="00395210"/>
    <w:rsid w:val="00395258"/>
    <w:rsid w:val="0039542B"/>
    <w:rsid w:val="0039562A"/>
    <w:rsid w:val="00395848"/>
    <w:rsid w:val="00395DF8"/>
    <w:rsid w:val="00395E22"/>
    <w:rsid w:val="00395F31"/>
    <w:rsid w:val="00396020"/>
    <w:rsid w:val="00396022"/>
    <w:rsid w:val="00396055"/>
    <w:rsid w:val="003960AB"/>
    <w:rsid w:val="003960B5"/>
    <w:rsid w:val="003960CE"/>
    <w:rsid w:val="00396268"/>
    <w:rsid w:val="0039628D"/>
    <w:rsid w:val="003963C5"/>
    <w:rsid w:val="00396547"/>
    <w:rsid w:val="003966D9"/>
    <w:rsid w:val="003966FF"/>
    <w:rsid w:val="003967F5"/>
    <w:rsid w:val="0039699B"/>
    <w:rsid w:val="00396E1E"/>
    <w:rsid w:val="00396F07"/>
    <w:rsid w:val="00396F0E"/>
    <w:rsid w:val="00397032"/>
    <w:rsid w:val="00397041"/>
    <w:rsid w:val="0039705C"/>
    <w:rsid w:val="003970F8"/>
    <w:rsid w:val="0039713B"/>
    <w:rsid w:val="0039725D"/>
    <w:rsid w:val="00397287"/>
    <w:rsid w:val="003973AF"/>
    <w:rsid w:val="003974A3"/>
    <w:rsid w:val="0039752B"/>
    <w:rsid w:val="00397546"/>
    <w:rsid w:val="003975BA"/>
    <w:rsid w:val="00397606"/>
    <w:rsid w:val="003976E5"/>
    <w:rsid w:val="0039773C"/>
    <w:rsid w:val="0039792D"/>
    <w:rsid w:val="0039795F"/>
    <w:rsid w:val="003979D5"/>
    <w:rsid w:val="00397A92"/>
    <w:rsid w:val="00397C59"/>
    <w:rsid w:val="00397CAA"/>
    <w:rsid w:val="00397DB0"/>
    <w:rsid w:val="00397F42"/>
    <w:rsid w:val="003A0061"/>
    <w:rsid w:val="003A0121"/>
    <w:rsid w:val="003A0180"/>
    <w:rsid w:val="003A0296"/>
    <w:rsid w:val="003A02E2"/>
    <w:rsid w:val="003A0379"/>
    <w:rsid w:val="003A0473"/>
    <w:rsid w:val="003A04BE"/>
    <w:rsid w:val="003A0589"/>
    <w:rsid w:val="003A066A"/>
    <w:rsid w:val="003A06E5"/>
    <w:rsid w:val="003A083A"/>
    <w:rsid w:val="003A0871"/>
    <w:rsid w:val="003A08E1"/>
    <w:rsid w:val="003A0951"/>
    <w:rsid w:val="003A0CAB"/>
    <w:rsid w:val="003A0D0C"/>
    <w:rsid w:val="003A0F47"/>
    <w:rsid w:val="003A0F9F"/>
    <w:rsid w:val="003A10D1"/>
    <w:rsid w:val="003A10D2"/>
    <w:rsid w:val="003A10EF"/>
    <w:rsid w:val="003A1243"/>
    <w:rsid w:val="003A12C4"/>
    <w:rsid w:val="003A1329"/>
    <w:rsid w:val="003A132A"/>
    <w:rsid w:val="003A1405"/>
    <w:rsid w:val="003A1406"/>
    <w:rsid w:val="003A14FA"/>
    <w:rsid w:val="003A1631"/>
    <w:rsid w:val="003A1756"/>
    <w:rsid w:val="003A179C"/>
    <w:rsid w:val="003A1845"/>
    <w:rsid w:val="003A184E"/>
    <w:rsid w:val="003A1881"/>
    <w:rsid w:val="003A188B"/>
    <w:rsid w:val="003A1968"/>
    <w:rsid w:val="003A1A45"/>
    <w:rsid w:val="003A1BF5"/>
    <w:rsid w:val="003A1C2C"/>
    <w:rsid w:val="003A1C59"/>
    <w:rsid w:val="003A1C7A"/>
    <w:rsid w:val="003A1CF9"/>
    <w:rsid w:val="003A1D12"/>
    <w:rsid w:val="003A1DB3"/>
    <w:rsid w:val="003A1E1A"/>
    <w:rsid w:val="003A1F11"/>
    <w:rsid w:val="003A1F55"/>
    <w:rsid w:val="003A2145"/>
    <w:rsid w:val="003A21DB"/>
    <w:rsid w:val="003A2402"/>
    <w:rsid w:val="003A243B"/>
    <w:rsid w:val="003A243C"/>
    <w:rsid w:val="003A2449"/>
    <w:rsid w:val="003A2553"/>
    <w:rsid w:val="003A25B1"/>
    <w:rsid w:val="003A270F"/>
    <w:rsid w:val="003A277C"/>
    <w:rsid w:val="003A27A4"/>
    <w:rsid w:val="003A287D"/>
    <w:rsid w:val="003A28BD"/>
    <w:rsid w:val="003A290D"/>
    <w:rsid w:val="003A2919"/>
    <w:rsid w:val="003A2A14"/>
    <w:rsid w:val="003A2B53"/>
    <w:rsid w:val="003A2DAA"/>
    <w:rsid w:val="003A2EAC"/>
    <w:rsid w:val="003A2EC4"/>
    <w:rsid w:val="003A2F22"/>
    <w:rsid w:val="003A2FBF"/>
    <w:rsid w:val="003A3236"/>
    <w:rsid w:val="003A3278"/>
    <w:rsid w:val="003A32D7"/>
    <w:rsid w:val="003A3316"/>
    <w:rsid w:val="003A3447"/>
    <w:rsid w:val="003A3469"/>
    <w:rsid w:val="003A34B3"/>
    <w:rsid w:val="003A352D"/>
    <w:rsid w:val="003A3571"/>
    <w:rsid w:val="003A358D"/>
    <w:rsid w:val="003A3777"/>
    <w:rsid w:val="003A3779"/>
    <w:rsid w:val="003A37F3"/>
    <w:rsid w:val="003A3877"/>
    <w:rsid w:val="003A393F"/>
    <w:rsid w:val="003A3B1A"/>
    <w:rsid w:val="003A3C83"/>
    <w:rsid w:val="003A3C91"/>
    <w:rsid w:val="003A3CD9"/>
    <w:rsid w:val="003A3E15"/>
    <w:rsid w:val="003A3E9D"/>
    <w:rsid w:val="003A3EB8"/>
    <w:rsid w:val="003A4083"/>
    <w:rsid w:val="003A408A"/>
    <w:rsid w:val="003A409C"/>
    <w:rsid w:val="003A40C0"/>
    <w:rsid w:val="003A4160"/>
    <w:rsid w:val="003A4277"/>
    <w:rsid w:val="003A4304"/>
    <w:rsid w:val="003A43DF"/>
    <w:rsid w:val="003A43F3"/>
    <w:rsid w:val="003A44BF"/>
    <w:rsid w:val="003A4627"/>
    <w:rsid w:val="003A4777"/>
    <w:rsid w:val="003A4894"/>
    <w:rsid w:val="003A490E"/>
    <w:rsid w:val="003A49A7"/>
    <w:rsid w:val="003A4B11"/>
    <w:rsid w:val="003A4B26"/>
    <w:rsid w:val="003A4C73"/>
    <w:rsid w:val="003A4D38"/>
    <w:rsid w:val="003A4D74"/>
    <w:rsid w:val="003A4E15"/>
    <w:rsid w:val="003A4FDA"/>
    <w:rsid w:val="003A4FE0"/>
    <w:rsid w:val="003A50E0"/>
    <w:rsid w:val="003A5193"/>
    <w:rsid w:val="003A52E5"/>
    <w:rsid w:val="003A5306"/>
    <w:rsid w:val="003A539F"/>
    <w:rsid w:val="003A53A0"/>
    <w:rsid w:val="003A53E6"/>
    <w:rsid w:val="003A555F"/>
    <w:rsid w:val="003A558B"/>
    <w:rsid w:val="003A55A5"/>
    <w:rsid w:val="003A565E"/>
    <w:rsid w:val="003A57A8"/>
    <w:rsid w:val="003A5875"/>
    <w:rsid w:val="003A587B"/>
    <w:rsid w:val="003A58A2"/>
    <w:rsid w:val="003A596F"/>
    <w:rsid w:val="003A5993"/>
    <w:rsid w:val="003A5A2E"/>
    <w:rsid w:val="003A5AEC"/>
    <w:rsid w:val="003A5B5D"/>
    <w:rsid w:val="003A5B7C"/>
    <w:rsid w:val="003A5DC0"/>
    <w:rsid w:val="003A5E68"/>
    <w:rsid w:val="003A5E75"/>
    <w:rsid w:val="003A5ED2"/>
    <w:rsid w:val="003A5EE1"/>
    <w:rsid w:val="003A5F39"/>
    <w:rsid w:val="003A602D"/>
    <w:rsid w:val="003A6111"/>
    <w:rsid w:val="003A617F"/>
    <w:rsid w:val="003A61B9"/>
    <w:rsid w:val="003A6298"/>
    <w:rsid w:val="003A62D7"/>
    <w:rsid w:val="003A6362"/>
    <w:rsid w:val="003A63B7"/>
    <w:rsid w:val="003A642C"/>
    <w:rsid w:val="003A648C"/>
    <w:rsid w:val="003A64D4"/>
    <w:rsid w:val="003A6545"/>
    <w:rsid w:val="003A6587"/>
    <w:rsid w:val="003A65C3"/>
    <w:rsid w:val="003A662F"/>
    <w:rsid w:val="003A6684"/>
    <w:rsid w:val="003A66BC"/>
    <w:rsid w:val="003A672A"/>
    <w:rsid w:val="003A683C"/>
    <w:rsid w:val="003A6856"/>
    <w:rsid w:val="003A6A91"/>
    <w:rsid w:val="003A6C4A"/>
    <w:rsid w:val="003A6C5F"/>
    <w:rsid w:val="003A6CDA"/>
    <w:rsid w:val="003A6CEA"/>
    <w:rsid w:val="003A6D30"/>
    <w:rsid w:val="003A6DCE"/>
    <w:rsid w:val="003A6F0E"/>
    <w:rsid w:val="003A6F10"/>
    <w:rsid w:val="003A6F59"/>
    <w:rsid w:val="003A7058"/>
    <w:rsid w:val="003A7083"/>
    <w:rsid w:val="003A729C"/>
    <w:rsid w:val="003A7302"/>
    <w:rsid w:val="003A7368"/>
    <w:rsid w:val="003A7390"/>
    <w:rsid w:val="003A7431"/>
    <w:rsid w:val="003A747A"/>
    <w:rsid w:val="003A74C2"/>
    <w:rsid w:val="003A74DD"/>
    <w:rsid w:val="003A750F"/>
    <w:rsid w:val="003A7649"/>
    <w:rsid w:val="003A76F8"/>
    <w:rsid w:val="003A78B0"/>
    <w:rsid w:val="003A78EA"/>
    <w:rsid w:val="003A7982"/>
    <w:rsid w:val="003A79DF"/>
    <w:rsid w:val="003A7B9E"/>
    <w:rsid w:val="003A7E91"/>
    <w:rsid w:val="003B0077"/>
    <w:rsid w:val="003B0142"/>
    <w:rsid w:val="003B01FA"/>
    <w:rsid w:val="003B02E6"/>
    <w:rsid w:val="003B0301"/>
    <w:rsid w:val="003B036B"/>
    <w:rsid w:val="003B03CF"/>
    <w:rsid w:val="003B045A"/>
    <w:rsid w:val="003B0477"/>
    <w:rsid w:val="003B0479"/>
    <w:rsid w:val="003B0593"/>
    <w:rsid w:val="003B05D6"/>
    <w:rsid w:val="003B05FC"/>
    <w:rsid w:val="003B0702"/>
    <w:rsid w:val="003B08ED"/>
    <w:rsid w:val="003B099C"/>
    <w:rsid w:val="003B0A40"/>
    <w:rsid w:val="003B0B33"/>
    <w:rsid w:val="003B0BDD"/>
    <w:rsid w:val="003B0C41"/>
    <w:rsid w:val="003B0C78"/>
    <w:rsid w:val="003B0D8A"/>
    <w:rsid w:val="003B0E6B"/>
    <w:rsid w:val="003B0E8F"/>
    <w:rsid w:val="003B0EBD"/>
    <w:rsid w:val="003B1245"/>
    <w:rsid w:val="003B129E"/>
    <w:rsid w:val="003B12DE"/>
    <w:rsid w:val="003B131D"/>
    <w:rsid w:val="003B1445"/>
    <w:rsid w:val="003B1452"/>
    <w:rsid w:val="003B1593"/>
    <w:rsid w:val="003B1631"/>
    <w:rsid w:val="003B1717"/>
    <w:rsid w:val="003B189A"/>
    <w:rsid w:val="003B19E8"/>
    <w:rsid w:val="003B1A8A"/>
    <w:rsid w:val="003B1B1D"/>
    <w:rsid w:val="003B1C4D"/>
    <w:rsid w:val="003B1CB1"/>
    <w:rsid w:val="003B1D20"/>
    <w:rsid w:val="003B1F31"/>
    <w:rsid w:val="003B1F6C"/>
    <w:rsid w:val="003B2003"/>
    <w:rsid w:val="003B20CA"/>
    <w:rsid w:val="003B21C7"/>
    <w:rsid w:val="003B22AD"/>
    <w:rsid w:val="003B22E6"/>
    <w:rsid w:val="003B2346"/>
    <w:rsid w:val="003B239F"/>
    <w:rsid w:val="003B243B"/>
    <w:rsid w:val="003B24F9"/>
    <w:rsid w:val="003B24FA"/>
    <w:rsid w:val="003B2550"/>
    <w:rsid w:val="003B2704"/>
    <w:rsid w:val="003B276E"/>
    <w:rsid w:val="003B2791"/>
    <w:rsid w:val="003B27C2"/>
    <w:rsid w:val="003B2931"/>
    <w:rsid w:val="003B2962"/>
    <w:rsid w:val="003B29E0"/>
    <w:rsid w:val="003B2CA0"/>
    <w:rsid w:val="003B2D06"/>
    <w:rsid w:val="003B2DB9"/>
    <w:rsid w:val="003B2E5F"/>
    <w:rsid w:val="003B2ECD"/>
    <w:rsid w:val="003B2F59"/>
    <w:rsid w:val="003B3004"/>
    <w:rsid w:val="003B307C"/>
    <w:rsid w:val="003B3109"/>
    <w:rsid w:val="003B311E"/>
    <w:rsid w:val="003B3151"/>
    <w:rsid w:val="003B320A"/>
    <w:rsid w:val="003B3214"/>
    <w:rsid w:val="003B3238"/>
    <w:rsid w:val="003B3285"/>
    <w:rsid w:val="003B32DD"/>
    <w:rsid w:val="003B3324"/>
    <w:rsid w:val="003B3404"/>
    <w:rsid w:val="003B34DD"/>
    <w:rsid w:val="003B350C"/>
    <w:rsid w:val="003B35BB"/>
    <w:rsid w:val="003B365F"/>
    <w:rsid w:val="003B3670"/>
    <w:rsid w:val="003B36D6"/>
    <w:rsid w:val="003B379F"/>
    <w:rsid w:val="003B37A5"/>
    <w:rsid w:val="003B37F2"/>
    <w:rsid w:val="003B3A30"/>
    <w:rsid w:val="003B3A48"/>
    <w:rsid w:val="003B3A8B"/>
    <w:rsid w:val="003B3B8B"/>
    <w:rsid w:val="003B3C80"/>
    <w:rsid w:val="003B3D68"/>
    <w:rsid w:val="003B3ECF"/>
    <w:rsid w:val="003B4136"/>
    <w:rsid w:val="003B4258"/>
    <w:rsid w:val="003B44C0"/>
    <w:rsid w:val="003B4689"/>
    <w:rsid w:val="003B47A6"/>
    <w:rsid w:val="003B47BF"/>
    <w:rsid w:val="003B47F3"/>
    <w:rsid w:val="003B48F3"/>
    <w:rsid w:val="003B4A9B"/>
    <w:rsid w:val="003B4CE9"/>
    <w:rsid w:val="003B4D4C"/>
    <w:rsid w:val="003B4D7D"/>
    <w:rsid w:val="003B4DF4"/>
    <w:rsid w:val="003B4E92"/>
    <w:rsid w:val="003B4F0F"/>
    <w:rsid w:val="003B5012"/>
    <w:rsid w:val="003B507E"/>
    <w:rsid w:val="003B5095"/>
    <w:rsid w:val="003B5142"/>
    <w:rsid w:val="003B5208"/>
    <w:rsid w:val="003B525E"/>
    <w:rsid w:val="003B5350"/>
    <w:rsid w:val="003B540C"/>
    <w:rsid w:val="003B5438"/>
    <w:rsid w:val="003B55F5"/>
    <w:rsid w:val="003B55F9"/>
    <w:rsid w:val="003B56FC"/>
    <w:rsid w:val="003B5821"/>
    <w:rsid w:val="003B5C38"/>
    <w:rsid w:val="003B5E8A"/>
    <w:rsid w:val="003B6050"/>
    <w:rsid w:val="003B608F"/>
    <w:rsid w:val="003B6107"/>
    <w:rsid w:val="003B62B8"/>
    <w:rsid w:val="003B62C3"/>
    <w:rsid w:val="003B631A"/>
    <w:rsid w:val="003B6371"/>
    <w:rsid w:val="003B6413"/>
    <w:rsid w:val="003B6471"/>
    <w:rsid w:val="003B65B7"/>
    <w:rsid w:val="003B65ED"/>
    <w:rsid w:val="003B6817"/>
    <w:rsid w:val="003B683A"/>
    <w:rsid w:val="003B689E"/>
    <w:rsid w:val="003B696E"/>
    <w:rsid w:val="003B6A1E"/>
    <w:rsid w:val="003B6ABC"/>
    <w:rsid w:val="003B6C05"/>
    <w:rsid w:val="003B6CA0"/>
    <w:rsid w:val="003B6D83"/>
    <w:rsid w:val="003B6D96"/>
    <w:rsid w:val="003B6E24"/>
    <w:rsid w:val="003B7035"/>
    <w:rsid w:val="003B705E"/>
    <w:rsid w:val="003B71C1"/>
    <w:rsid w:val="003B7241"/>
    <w:rsid w:val="003B72BA"/>
    <w:rsid w:val="003B7323"/>
    <w:rsid w:val="003B7324"/>
    <w:rsid w:val="003B734B"/>
    <w:rsid w:val="003B7395"/>
    <w:rsid w:val="003B7441"/>
    <w:rsid w:val="003B74A5"/>
    <w:rsid w:val="003B74CF"/>
    <w:rsid w:val="003B74F5"/>
    <w:rsid w:val="003B7531"/>
    <w:rsid w:val="003B7634"/>
    <w:rsid w:val="003B7686"/>
    <w:rsid w:val="003B7784"/>
    <w:rsid w:val="003B791F"/>
    <w:rsid w:val="003B7935"/>
    <w:rsid w:val="003B7A16"/>
    <w:rsid w:val="003B7A43"/>
    <w:rsid w:val="003B7A8C"/>
    <w:rsid w:val="003B7AC7"/>
    <w:rsid w:val="003B7ADE"/>
    <w:rsid w:val="003B7B55"/>
    <w:rsid w:val="003B7D33"/>
    <w:rsid w:val="003B7DEB"/>
    <w:rsid w:val="003B7DFD"/>
    <w:rsid w:val="003B7FE7"/>
    <w:rsid w:val="003C0077"/>
    <w:rsid w:val="003C0199"/>
    <w:rsid w:val="003C019E"/>
    <w:rsid w:val="003C0225"/>
    <w:rsid w:val="003C02BF"/>
    <w:rsid w:val="003C032D"/>
    <w:rsid w:val="003C0434"/>
    <w:rsid w:val="003C047E"/>
    <w:rsid w:val="003C0550"/>
    <w:rsid w:val="003C0560"/>
    <w:rsid w:val="003C05F8"/>
    <w:rsid w:val="003C0669"/>
    <w:rsid w:val="003C0677"/>
    <w:rsid w:val="003C06B5"/>
    <w:rsid w:val="003C070A"/>
    <w:rsid w:val="003C0806"/>
    <w:rsid w:val="003C0A66"/>
    <w:rsid w:val="003C0BEC"/>
    <w:rsid w:val="003C0C22"/>
    <w:rsid w:val="003C0C4E"/>
    <w:rsid w:val="003C0CAF"/>
    <w:rsid w:val="003C0D90"/>
    <w:rsid w:val="003C0DBC"/>
    <w:rsid w:val="003C0E46"/>
    <w:rsid w:val="003C0ECA"/>
    <w:rsid w:val="003C0FEC"/>
    <w:rsid w:val="003C115C"/>
    <w:rsid w:val="003C1161"/>
    <w:rsid w:val="003C134D"/>
    <w:rsid w:val="003C13B0"/>
    <w:rsid w:val="003C13DC"/>
    <w:rsid w:val="003C141F"/>
    <w:rsid w:val="003C1550"/>
    <w:rsid w:val="003C15A9"/>
    <w:rsid w:val="003C1621"/>
    <w:rsid w:val="003C16FD"/>
    <w:rsid w:val="003C1932"/>
    <w:rsid w:val="003C1A0B"/>
    <w:rsid w:val="003C1BC1"/>
    <w:rsid w:val="003C1C30"/>
    <w:rsid w:val="003C1E23"/>
    <w:rsid w:val="003C2123"/>
    <w:rsid w:val="003C2145"/>
    <w:rsid w:val="003C215A"/>
    <w:rsid w:val="003C24A3"/>
    <w:rsid w:val="003C25C0"/>
    <w:rsid w:val="003C26ED"/>
    <w:rsid w:val="003C27F4"/>
    <w:rsid w:val="003C2809"/>
    <w:rsid w:val="003C2A33"/>
    <w:rsid w:val="003C2A3D"/>
    <w:rsid w:val="003C2C69"/>
    <w:rsid w:val="003C2D30"/>
    <w:rsid w:val="003C2D4E"/>
    <w:rsid w:val="003C2D7C"/>
    <w:rsid w:val="003C2DE9"/>
    <w:rsid w:val="003C2E51"/>
    <w:rsid w:val="003C2F15"/>
    <w:rsid w:val="003C3021"/>
    <w:rsid w:val="003C30DA"/>
    <w:rsid w:val="003C311A"/>
    <w:rsid w:val="003C3197"/>
    <w:rsid w:val="003C31D5"/>
    <w:rsid w:val="003C3455"/>
    <w:rsid w:val="003C3574"/>
    <w:rsid w:val="003C360C"/>
    <w:rsid w:val="003C3636"/>
    <w:rsid w:val="003C38FF"/>
    <w:rsid w:val="003C3905"/>
    <w:rsid w:val="003C393D"/>
    <w:rsid w:val="003C39AA"/>
    <w:rsid w:val="003C39C3"/>
    <w:rsid w:val="003C39F3"/>
    <w:rsid w:val="003C3A56"/>
    <w:rsid w:val="003C3B2A"/>
    <w:rsid w:val="003C3BE0"/>
    <w:rsid w:val="003C3C99"/>
    <w:rsid w:val="003C3CB2"/>
    <w:rsid w:val="003C3D29"/>
    <w:rsid w:val="003C3E55"/>
    <w:rsid w:val="003C3EBA"/>
    <w:rsid w:val="003C3F25"/>
    <w:rsid w:val="003C401B"/>
    <w:rsid w:val="003C4193"/>
    <w:rsid w:val="003C42BA"/>
    <w:rsid w:val="003C432E"/>
    <w:rsid w:val="003C43D8"/>
    <w:rsid w:val="003C449A"/>
    <w:rsid w:val="003C44AC"/>
    <w:rsid w:val="003C4506"/>
    <w:rsid w:val="003C4582"/>
    <w:rsid w:val="003C4583"/>
    <w:rsid w:val="003C4607"/>
    <w:rsid w:val="003C4622"/>
    <w:rsid w:val="003C4692"/>
    <w:rsid w:val="003C48F6"/>
    <w:rsid w:val="003C4A40"/>
    <w:rsid w:val="003C4C0F"/>
    <w:rsid w:val="003C4DCC"/>
    <w:rsid w:val="003C4F2C"/>
    <w:rsid w:val="003C5026"/>
    <w:rsid w:val="003C504C"/>
    <w:rsid w:val="003C517C"/>
    <w:rsid w:val="003C5197"/>
    <w:rsid w:val="003C52B3"/>
    <w:rsid w:val="003C536F"/>
    <w:rsid w:val="003C54CE"/>
    <w:rsid w:val="003C5546"/>
    <w:rsid w:val="003C568B"/>
    <w:rsid w:val="003C56DF"/>
    <w:rsid w:val="003C56E7"/>
    <w:rsid w:val="003C56EF"/>
    <w:rsid w:val="003C5795"/>
    <w:rsid w:val="003C57AB"/>
    <w:rsid w:val="003C5809"/>
    <w:rsid w:val="003C58C7"/>
    <w:rsid w:val="003C5965"/>
    <w:rsid w:val="003C599A"/>
    <w:rsid w:val="003C59B3"/>
    <w:rsid w:val="003C59EC"/>
    <w:rsid w:val="003C5AA4"/>
    <w:rsid w:val="003C5CD4"/>
    <w:rsid w:val="003C5E3F"/>
    <w:rsid w:val="003C5F5C"/>
    <w:rsid w:val="003C5F66"/>
    <w:rsid w:val="003C6011"/>
    <w:rsid w:val="003C6085"/>
    <w:rsid w:val="003C60AD"/>
    <w:rsid w:val="003C610C"/>
    <w:rsid w:val="003C611A"/>
    <w:rsid w:val="003C6176"/>
    <w:rsid w:val="003C61FC"/>
    <w:rsid w:val="003C63DE"/>
    <w:rsid w:val="003C6470"/>
    <w:rsid w:val="003C64D0"/>
    <w:rsid w:val="003C64D6"/>
    <w:rsid w:val="003C6531"/>
    <w:rsid w:val="003C65B5"/>
    <w:rsid w:val="003C6620"/>
    <w:rsid w:val="003C6658"/>
    <w:rsid w:val="003C668F"/>
    <w:rsid w:val="003C66AB"/>
    <w:rsid w:val="003C67A5"/>
    <w:rsid w:val="003C67EE"/>
    <w:rsid w:val="003C68B8"/>
    <w:rsid w:val="003C6AFE"/>
    <w:rsid w:val="003C6B54"/>
    <w:rsid w:val="003C6C36"/>
    <w:rsid w:val="003C6C65"/>
    <w:rsid w:val="003C6CAE"/>
    <w:rsid w:val="003C6CEC"/>
    <w:rsid w:val="003C6D86"/>
    <w:rsid w:val="003C6DE2"/>
    <w:rsid w:val="003C6EE2"/>
    <w:rsid w:val="003C6EE9"/>
    <w:rsid w:val="003C6F83"/>
    <w:rsid w:val="003C6F9D"/>
    <w:rsid w:val="003C6FB0"/>
    <w:rsid w:val="003C7018"/>
    <w:rsid w:val="003C71B8"/>
    <w:rsid w:val="003C73DF"/>
    <w:rsid w:val="003C747E"/>
    <w:rsid w:val="003C74EC"/>
    <w:rsid w:val="003C74F9"/>
    <w:rsid w:val="003C7645"/>
    <w:rsid w:val="003C768C"/>
    <w:rsid w:val="003C79B3"/>
    <w:rsid w:val="003C7A89"/>
    <w:rsid w:val="003C7B4C"/>
    <w:rsid w:val="003C7BBE"/>
    <w:rsid w:val="003C7BD0"/>
    <w:rsid w:val="003C7C3F"/>
    <w:rsid w:val="003C7C64"/>
    <w:rsid w:val="003C7CF7"/>
    <w:rsid w:val="003C7E38"/>
    <w:rsid w:val="003C7EEB"/>
    <w:rsid w:val="003C7FC4"/>
    <w:rsid w:val="003C7FC5"/>
    <w:rsid w:val="003D00AA"/>
    <w:rsid w:val="003D0189"/>
    <w:rsid w:val="003D0375"/>
    <w:rsid w:val="003D03E8"/>
    <w:rsid w:val="003D0501"/>
    <w:rsid w:val="003D050A"/>
    <w:rsid w:val="003D0528"/>
    <w:rsid w:val="003D0727"/>
    <w:rsid w:val="003D0817"/>
    <w:rsid w:val="003D092A"/>
    <w:rsid w:val="003D0A06"/>
    <w:rsid w:val="003D0A94"/>
    <w:rsid w:val="003D0AB1"/>
    <w:rsid w:val="003D0AE1"/>
    <w:rsid w:val="003D0B3B"/>
    <w:rsid w:val="003D0B87"/>
    <w:rsid w:val="003D0E4D"/>
    <w:rsid w:val="003D0FBE"/>
    <w:rsid w:val="003D1010"/>
    <w:rsid w:val="003D1092"/>
    <w:rsid w:val="003D10DA"/>
    <w:rsid w:val="003D10E0"/>
    <w:rsid w:val="003D1101"/>
    <w:rsid w:val="003D1108"/>
    <w:rsid w:val="003D1186"/>
    <w:rsid w:val="003D11FD"/>
    <w:rsid w:val="003D12AD"/>
    <w:rsid w:val="003D13DF"/>
    <w:rsid w:val="003D148B"/>
    <w:rsid w:val="003D1584"/>
    <w:rsid w:val="003D1617"/>
    <w:rsid w:val="003D161F"/>
    <w:rsid w:val="003D16DA"/>
    <w:rsid w:val="003D175E"/>
    <w:rsid w:val="003D198E"/>
    <w:rsid w:val="003D1999"/>
    <w:rsid w:val="003D1A30"/>
    <w:rsid w:val="003D1A76"/>
    <w:rsid w:val="003D1A83"/>
    <w:rsid w:val="003D1AB9"/>
    <w:rsid w:val="003D1AF7"/>
    <w:rsid w:val="003D1B97"/>
    <w:rsid w:val="003D1DD7"/>
    <w:rsid w:val="003D1F2F"/>
    <w:rsid w:val="003D1F31"/>
    <w:rsid w:val="003D2030"/>
    <w:rsid w:val="003D2038"/>
    <w:rsid w:val="003D2081"/>
    <w:rsid w:val="003D21B5"/>
    <w:rsid w:val="003D21C4"/>
    <w:rsid w:val="003D2206"/>
    <w:rsid w:val="003D22DB"/>
    <w:rsid w:val="003D23B2"/>
    <w:rsid w:val="003D2427"/>
    <w:rsid w:val="003D24F5"/>
    <w:rsid w:val="003D252D"/>
    <w:rsid w:val="003D26BF"/>
    <w:rsid w:val="003D2830"/>
    <w:rsid w:val="003D286F"/>
    <w:rsid w:val="003D28DD"/>
    <w:rsid w:val="003D2B3B"/>
    <w:rsid w:val="003D2D87"/>
    <w:rsid w:val="003D2DA1"/>
    <w:rsid w:val="003D2E00"/>
    <w:rsid w:val="003D2E41"/>
    <w:rsid w:val="003D2EB1"/>
    <w:rsid w:val="003D2EFE"/>
    <w:rsid w:val="003D2F3D"/>
    <w:rsid w:val="003D3105"/>
    <w:rsid w:val="003D3123"/>
    <w:rsid w:val="003D3169"/>
    <w:rsid w:val="003D3194"/>
    <w:rsid w:val="003D3230"/>
    <w:rsid w:val="003D329F"/>
    <w:rsid w:val="003D3322"/>
    <w:rsid w:val="003D3357"/>
    <w:rsid w:val="003D3412"/>
    <w:rsid w:val="003D35F0"/>
    <w:rsid w:val="003D3702"/>
    <w:rsid w:val="003D379B"/>
    <w:rsid w:val="003D3839"/>
    <w:rsid w:val="003D3875"/>
    <w:rsid w:val="003D3945"/>
    <w:rsid w:val="003D3982"/>
    <w:rsid w:val="003D39B9"/>
    <w:rsid w:val="003D39E1"/>
    <w:rsid w:val="003D3C21"/>
    <w:rsid w:val="003D3D6A"/>
    <w:rsid w:val="003D3D96"/>
    <w:rsid w:val="003D40FF"/>
    <w:rsid w:val="003D41CF"/>
    <w:rsid w:val="003D42B6"/>
    <w:rsid w:val="003D43F7"/>
    <w:rsid w:val="003D4421"/>
    <w:rsid w:val="003D448E"/>
    <w:rsid w:val="003D44C3"/>
    <w:rsid w:val="003D451B"/>
    <w:rsid w:val="003D45B1"/>
    <w:rsid w:val="003D45BD"/>
    <w:rsid w:val="003D461E"/>
    <w:rsid w:val="003D4764"/>
    <w:rsid w:val="003D47E9"/>
    <w:rsid w:val="003D4814"/>
    <w:rsid w:val="003D4927"/>
    <w:rsid w:val="003D4A1D"/>
    <w:rsid w:val="003D4AC4"/>
    <w:rsid w:val="003D4C45"/>
    <w:rsid w:val="003D4C65"/>
    <w:rsid w:val="003D4C6F"/>
    <w:rsid w:val="003D4D7D"/>
    <w:rsid w:val="003D4E36"/>
    <w:rsid w:val="003D4FA2"/>
    <w:rsid w:val="003D5042"/>
    <w:rsid w:val="003D5094"/>
    <w:rsid w:val="003D5165"/>
    <w:rsid w:val="003D5215"/>
    <w:rsid w:val="003D52CB"/>
    <w:rsid w:val="003D532D"/>
    <w:rsid w:val="003D534A"/>
    <w:rsid w:val="003D53D3"/>
    <w:rsid w:val="003D5404"/>
    <w:rsid w:val="003D54A9"/>
    <w:rsid w:val="003D550B"/>
    <w:rsid w:val="003D5567"/>
    <w:rsid w:val="003D561E"/>
    <w:rsid w:val="003D5690"/>
    <w:rsid w:val="003D56AD"/>
    <w:rsid w:val="003D56CD"/>
    <w:rsid w:val="003D5796"/>
    <w:rsid w:val="003D579A"/>
    <w:rsid w:val="003D58C8"/>
    <w:rsid w:val="003D58D9"/>
    <w:rsid w:val="003D599D"/>
    <w:rsid w:val="003D5B11"/>
    <w:rsid w:val="003D5C29"/>
    <w:rsid w:val="003D5D24"/>
    <w:rsid w:val="003D5D3B"/>
    <w:rsid w:val="003D5DF7"/>
    <w:rsid w:val="003D5F0C"/>
    <w:rsid w:val="003D62A5"/>
    <w:rsid w:val="003D6428"/>
    <w:rsid w:val="003D6451"/>
    <w:rsid w:val="003D6461"/>
    <w:rsid w:val="003D6546"/>
    <w:rsid w:val="003D657E"/>
    <w:rsid w:val="003D6695"/>
    <w:rsid w:val="003D6790"/>
    <w:rsid w:val="003D67BE"/>
    <w:rsid w:val="003D6A4E"/>
    <w:rsid w:val="003D6AE6"/>
    <w:rsid w:val="003D6C1F"/>
    <w:rsid w:val="003D6EE4"/>
    <w:rsid w:val="003D6F35"/>
    <w:rsid w:val="003D6FBA"/>
    <w:rsid w:val="003D70C5"/>
    <w:rsid w:val="003D71D4"/>
    <w:rsid w:val="003D7229"/>
    <w:rsid w:val="003D728E"/>
    <w:rsid w:val="003D75EC"/>
    <w:rsid w:val="003D75F7"/>
    <w:rsid w:val="003D7787"/>
    <w:rsid w:val="003D792E"/>
    <w:rsid w:val="003D7944"/>
    <w:rsid w:val="003D7A43"/>
    <w:rsid w:val="003D7A4D"/>
    <w:rsid w:val="003D7AE8"/>
    <w:rsid w:val="003D7CE0"/>
    <w:rsid w:val="003D7DF7"/>
    <w:rsid w:val="003D7E4E"/>
    <w:rsid w:val="003D7E9C"/>
    <w:rsid w:val="003D7E9D"/>
    <w:rsid w:val="003D7EFA"/>
    <w:rsid w:val="003E0026"/>
    <w:rsid w:val="003E0059"/>
    <w:rsid w:val="003E005E"/>
    <w:rsid w:val="003E0074"/>
    <w:rsid w:val="003E02A1"/>
    <w:rsid w:val="003E0577"/>
    <w:rsid w:val="003E0604"/>
    <w:rsid w:val="003E060C"/>
    <w:rsid w:val="003E0785"/>
    <w:rsid w:val="003E092F"/>
    <w:rsid w:val="003E0AE5"/>
    <w:rsid w:val="003E0B0C"/>
    <w:rsid w:val="003E0EF0"/>
    <w:rsid w:val="003E0F96"/>
    <w:rsid w:val="003E0FA6"/>
    <w:rsid w:val="003E1094"/>
    <w:rsid w:val="003E125D"/>
    <w:rsid w:val="003E12DE"/>
    <w:rsid w:val="003E1398"/>
    <w:rsid w:val="003E1427"/>
    <w:rsid w:val="003E1767"/>
    <w:rsid w:val="003E17BB"/>
    <w:rsid w:val="003E186E"/>
    <w:rsid w:val="003E19D7"/>
    <w:rsid w:val="003E1B9B"/>
    <w:rsid w:val="003E1C2C"/>
    <w:rsid w:val="003E1C8E"/>
    <w:rsid w:val="003E1D0C"/>
    <w:rsid w:val="003E1DCC"/>
    <w:rsid w:val="003E1EB0"/>
    <w:rsid w:val="003E1F38"/>
    <w:rsid w:val="003E2057"/>
    <w:rsid w:val="003E20F6"/>
    <w:rsid w:val="003E2137"/>
    <w:rsid w:val="003E225F"/>
    <w:rsid w:val="003E22BC"/>
    <w:rsid w:val="003E23F8"/>
    <w:rsid w:val="003E26F3"/>
    <w:rsid w:val="003E2A5E"/>
    <w:rsid w:val="003E2A99"/>
    <w:rsid w:val="003E2B71"/>
    <w:rsid w:val="003E2C3E"/>
    <w:rsid w:val="003E2E8F"/>
    <w:rsid w:val="003E2EB6"/>
    <w:rsid w:val="003E2F77"/>
    <w:rsid w:val="003E304C"/>
    <w:rsid w:val="003E3207"/>
    <w:rsid w:val="003E343E"/>
    <w:rsid w:val="003E3447"/>
    <w:rsid w:val="003E3484"/>
    <w:rsid w:val="003E3489"/>
    <w:rsid w:val="003E34FC"/>
    <w:rsid w:val="003E3581"/>
    <w:rsid w:val="003E371C"/>
    <w:rsid w:val="003E3720"/>
    <w:rsid w:val="003E38F0"/>
    <w:rsid w:val="003E3A48"/>
    <w:rsid w:val="003E3AE2"/>
    <w:rsid w:val="003E3D53"/>
    <w:rsid w:val="003E3DAA"/>
    <w:rsid w:val="003E3DFC"/>
    <w:rsid w:val="003E3DFF"/>
    <w:rsid w:val="003E3EB1"/>
    <w:rsid w:val="003E3EB4"/>
    <w:rsid w:val="003E3F08"/>
    <w:rsid w:val="003E404E"/>
    <w:rsid w:val="003E426A"/>
    <w:rsid w:val="003E439D"/>
    <w:rsid w:val="003E44F2"/>
    <w:rsid w:val="003E46F9"/>
    <w:rsid w:val="003E4735"/>
    <w:rsid w:val="003E484A"/>
    <w:rsid w:val="003E485D"/>
    <w:rsid w:val="003E48EA"/>
    <w:rsid w:val="003E49EB"/>
    <w:rsid w:val="003E4B8D"/>
    <w:rsid w:val="003E4BE5"/>
    <w:rsid w:val="003E4C3C"/>
    <w:rsid w:val="003E4D56"/>
    <w:rsid w:val="003E4DC6"/>
    <w:rsid w:val="003E4E92"/>
    <w:rsid w:val="003E4FAF"/>
    <w:rsid w:val="003E51D4"/>
    <w:rsid w:val="003E520B"/>
    <w:rsid w:val="003E5226"/>
    <w:rsid w:val="003E52B8"/>
    <w:rsid w:val="003E52D8"/>
    <w:rsid w:val="003E5378"/>
    <w:rsid w:val="003E54A8"/>
    <w:rsid w:val="003E5513"/>
    <w:rsid w:val="003E56A9"/>
    <w:rsid w:val="003E56FA"/>
    <w:rsid w:val="003E5843"/>
    <w:rsid w:val="003E5C5F"/>
    <w:rsid w:val="003E5D5C"/>
    <w:rsid w:val="003E5E20"/>
    <w:rsid w:val="003E5F6F"/>
    <w:rsid w:val="003E6111"/>
    <w:rsid w:val="003E62DA"/>
    <w:rsid w:val="003E6419"/>
    <w:rsid w:val="003E6423"/>
    <w:rsid w:val="003E65B5"/>
    <w:rsid w:val="003E6612"/>
    <w:rsid w:val="003E69D4"/>
    <w:rsid w:val="003E69D6"/>
    <w:rsid w:val="003E6A19"/>
    <w:rsid w:val="003E6B94"/>
    <w:rsid w:val="003E6CD0"/>
    <w:rsid w:val="003E6D83"/>
    <w:rsid w:val="003E6DC7"/>
    <w:rsid w:val="003E6DEE"/>
    <w:rsid w:val="003E6DFA"/>
    <w:rsid w:val="003E6F21"/>
    <w:rsid w:val="003E6FA9"/>
    <w:rsid w:val="003E6FB8"/>
    <w:rsid w:val="003E70F4"/>
    <w:rsid w:val="003E7115"/>
    <w:rsid w:val="003E74B1"/>
    <w:rsid w:val="003E74DC"/>
    <w:rsid w:val="003E7567"/>
    <w:rsid w:val="003E761C"/>
    <w:rsid w:val="003E770D"/>
    <w:rsid w:val="003E7731"/>
    <w:rsid w:val="003E7804"/>
    <w:rsid w:val="003E78A6"/>
    <w:rsid w:val="003E799F"/>
    <w:rsid w:val="003E7A51"/>
    <w:rsid w:val="003E7BB1"/>
    <w:rsid w:val="003E7C3F"/>
    <w:rsid w:val="003E7D2E"/>
    <w:rsid w:val="003E7E97"/>
    <w:rsid w:val="003E7EA0"/>
    <w:rsid w:val="003E7EE2"/>
    <w:rsid w:val="003E7FFA"/>
    <w:rsid w:val="003F0044"/>
    <w:rsid w:val="003F008D"/>
    <w:rsid w:val="003F0105"/>
    <w:rsid w:val="003F03C7"/>
    <w:rsid w:val="003F03F1"/>
    <w:rsid w:val="003F04DD"/>
    <w:rsid w:val="003F06D1"/>
    <w:rsid w:val="003F06FC"/>
    <w:rsid w:val="003F0812"/>
    <w:rsid w:val="003F0878"/>
    <w:rsid w:val="003F09C0"/>
    <w:rsid w:val="003F0ADF"/>
    <w:rsid w:val="003F0B36"/>
    <w:rsid w:val="003F0C47"/>
    <w:rsid w:val="003F0F6E"/>
    <w:rsid w:val="003F1084"/>
    <w:rsid w:val="003F11A7"/>
    <w:rsid w:val="003F126D"/>
    <w:rsid w:val="003F12A9"/>
    <w:rsid w:val="003F1434"/>
    <w:rsid w:val="003F1525"/>
    <w:rsid w:val="003F159E"/>
    <w:rsid w:val="003F1647"/>
    <w:rsid w:val="003F173C"/>
    <w:rsid w:val="003F1894"/>
    <w:rsid w:val="003F18BE"/>
    <w:rsid w:val="003F193A"/>
    <w:rsid w:val="003F19C2"/>
    <w:rsid w:val="003F19D1"/>
    <w:rsid w:val="003F1A63"/>
    <w:rsid w:val="003F1B53"/>
    <w:rsid w:val="003F1C74"/>
    <w:rsid w:val="003F1CDD"/>
    <w:rsid w:val="003F1CF2"/>
    <w:rsid w:val="003F1D1E"/>
    <w:rsid w:val="003F1D6B"/>
    <w:rsid w:val="003F1DA2"/>
    <w:rsid w:val="003F1EBF"/>
    <w:rsid w:val="003F1F7C"/>
    <w:rsid w:val="003F22FE"/>
    <w:rsid w:val="003F23C8"/>
    <w:rsid w:val="003F240E"/>
    <w:rsid w:val="003F245A"/>
    <w:rsid w:val="003F245D"/>
    <w:rsid w:val="003F2543"/>
    <w:rsid w:val="003F260F"/>
    <w:rsid w:val="003F26B5"/>
    <w:rsid w:val="003F2897"/>
    <w:rsid w:val="003F28DF"/>
    <w:rsid w:val="003F295E"/>
    <w:rsid w:val="003F29A6"/>
    <w:rsid w:val="003F2A0B"/>
    <w:rsid w:val="003F2A5C"/>
    <w:rsid w:val="003F2ABE"/>
    <w:rsid w:val="003F2AEA"/>
    <w:rsid w:val="003F2C99"/>
    <w:rsid w:val="003F2E9D"/>
    <w:rsid w:val="003F2F02"/>
    <w:rsid w:val="003F2F43"/>
    <w:rsid w:val="003F2F7F"/>
    <w:rsid w:val="003F2FC6"/>
    <w:rsid w:val="003F307C"/>
    <w:rsid w:val="003F30B1"/>
    <w:rsid w:val="003F31D9"/>
    <w:rsid w:val="003F3264"/>
    <w:rsid w:val="003F330B"/>
    <w:rsid w:val="003F33C2"/>
    <w:rsid w:val="003F33EF"/>
    <w:rsid w:val="003F3409"/>
    <w:rsid w:val="003F347A"/>
    <w:rsid w:val="003F358C"/>
    <w:rsid w:val="003F3823"/>
    <w:rsid w:val="003F399F"/>
    <w:rsid w:val="003F39CC"/>
    <w:rsid w:val="003F39CD"/>
    <w:rsid w:val="003F3AAC"/>
    <w:rsid w:val="003F3C0A"/>
    <w:rsid w:val="003F3C6B"/>
    <w:rsid w:val="003F3D07"/>
    <w:rsid w:val="003F3D9A"/>
    <w:rsid w:val="003F3DA9"/>
    <w:rsid w:val="003F4158"/>
    <w:rsid w:val="003F4199"/>
    <w:rsid w:val="003F42AB"/>
    <w:rsid w:val="003F42F2"/>
    <w:rsid w:val="003F4476"/>
    <w:rsid w:val="003F4630"/>
    <w:rsid w:val="003F4924"/>
    <w:rsid w:val="003F4989"/>
    <w:rsid w:val="003F4A30"/>
    <w:rsid w:val="003F4B1B"/>
    <w:rsid w:val="003F4BFF"/>
    <w:rsid w:val="003F4CA3"/>
    <w:rsid w:val="003F4D40"/>
    <w:rsid w:val="003F4DA4"/>
    <w:rsid w:val="003F4DF3"/>
    <w:rsid w:val="003F4E1D"/>
    <w:rsid w:val="003F4E42"/>
    <w:rsid w:val="003F4F3A"/>
    <w:rsid w:val="003F4F9E"/>
    <w:rsid w:val="003F50C7"/>
    <w:rsid w:val="003F5130"/>
    <w:rsid w:val="003F5254"/>
    <w:rsid w:val="003F5359"/>
    <w:rsid w:val="003F54D2"/>
    <w:rsid w:val="003F55C0"/>
    <w:rsid w:val="003F55D3"/>
    <w:rsid w:val="003F55E4"/>
    <w:rsid w:val="003F573F"/>
    <w:rsid w:val="003F58F4"/>
    <w:rsid w:val="003F5A23"/>
    <w:rsid w:val="003F5B2C"/>
    <w:rsid w:val="003F5B96"/>
    <w:rsid w:val="003F5C61"/>
    <w:rsid w:val="003F5C8A"/>
    <w:rsid w:val="003F5D10"/>
    <w:rsid w:val="003F5D2D"/>
    <w:rsid w:val="003F5E13"/>
    <w:rsid w:val="003F5EDD"/>
    <w:rsid w:val="003F5FFB"/>
    <w:rsid w:val="003F6004"/>
    <w:rsid w:val="003F6038"/>
    <w:rsid w:val="003F606D"/>
    <w:rsid w:val="003F608F"/>
    <w:rsid w:val="003F6140"/>
    <w:rsid w:val="003F65C2"/>
    <w:rsid w:val="003F668F"/>
    <w:rsid w:val="003F676D"/>
    <w:rsid w:val="003F6781"/>
    <w:rsid w:val="003F678C"/>
    <w:rsid w:val="003F6791"/>
    <w:rsid w:val="003F68FD"/>
    <w:rsid w:val="003F6904"/>
    <w:rsid w:val="003F690D"/>
    <w:rsid w:val="003F6A1F"/>
    <w:rsid w:val="003F6A2E"/>
    <w:rsid w:val="003F6A84"/>
    <w:rsid w:val="003F6BC6"/>
    <w:rsid w:val="003F6C00"/>
    <w:rsid w:val="003F6C1D"/>
    <w:rsid w:val="003F6C57"/>
    <w:rsid w:val="003F6D64"/>
    <w:rsid w:val="003F6DDE"/>
    <w:rsid w:val="003F6F0B"/>
    <w:rsid w:val="003F7042"/>
    <w:rsid w:val="003F7080"/>
    <w:rsid w:val="003F7090"/>
    <w:rsid w:val="003F70D9"/>
    <w:rsid w:val="003F714A"/>
    <w:rsid w:val="003F71DD"/>
    <w:rsid w:val="003F7302"/>
    <w:rsid w:val="003F7456"/>
    <w:rsid w:val="003F74A2"/>
    <w:rsid w:val="003F75D3"/>
    <w:rsid w:val="003F7731"/>
    <w:rsid w:val="003F778C"/>
    <w:rsid w:val="003F779F"/>
    <w:rsid w:val="003F77EB"/>
    <w:rsid w:val="003F77F7"/>
    <w:rsid w:val="003F7976"/>
    <w:rsid w:val="003F7A58"/>
    <w:rsid w:val="003F7AC8"/>
    <w:rsid w:val="003F7AEC"/>
    <w:rsid w:val="003F7BB6"/>
    <w:rsid w:val="003F7CAD"/>
    <w:rsid w:val="003F7D1B"/>
    <w:rsid w:val="003F7DB2"/>
    <w:rsid w:val="003F7DFF"/>
    <w:rsid w:val="00400159"/>
    <w:rsid w:val="00400214"/>
    <w:rsid w:val="004002B5"/>
    <w:rsid w:val="00400381"/>
    <w:rsid w:val="004003CF"/>
    <w:rsid w:val="004003F5"/>
    <w:rsid w:val="00400435"/>
    <w:rsid w:val="0040043F"/>
    <w:rsid w:val="0040046B"/>
    <w:rsid w:val="004004B9"/>
    <w:rsid w:val="0040058D"/>
    <w:rsid w:val="004005E6"/>
    <w:rsid w:val="0040061B"/>
    <w:rsid w:val="0040065C"/>
    <w:rsid w:val="004007E7"/>
    <w:rsid w:val="00400810"/>
    <w:rsid w:val="0040085E"/>
    <w:rsid w:val="0040087A"/>
    <w:rsid w:val="00400A42"/>
    <w:rsid w:val="00400ACD"/>
    <w:rsid w:val="00400B2A"/>
    <w:rsid w:val="00400F18"/>
    <w:rsid w:val="00400FEA"/>
    <w:rsid w:val="00401091"/>
    <w:rsid w:val="00401098"/>
    <w:rsid w:val="00401162"/>
    <w:rsid w:val="0040116F"/>
    <w:rsid w:val="00401184"/>
    <w:rsid w:val="004011AA"/>
    <w:rsid w:val="0040125C"/>
    <w:rsid w:val="004012FC"/>
    <w:rsid w:val="00401361"/>
    <w:rsid w:val="00401391"/>
    <w:rsid w:val="00401407"/>
    <w:rsid w:val="00401476"/>
    <w:rsid w:val="00401615"/>
    <w:rsid w:val="00401763"/>
    <w:rsid w:val="0040184A"/>
    <w:rsid w:val="0040192E"/>
    <w:rsid w:val="0040198A"/>
    <w:rsid w:val="00401B02"/>
    <w:rsid w:val="00401B8C"/>
    <w:rsid w:val="00401C3A"/>
    <w:rsid w:val="00401C53"/>
    <w:rsid w:val="00401CCE"/>
    <w:rsid w:val="00401DB9"/>
    <w:rsid w:val="00401FD6"/>
    <w:rsid w:val="0040205F"/>
    <w:rsid w:val="00402183"/>
    <w:rsid w:val="004021F6"/>
    <w:rsid w:val="0040227D"/>
    <w:rsid w:val="004025F4"/>
    <w:rsid w:val="00402625"/>
    <w:rsid w:val="00402743"/>
    <w:rsid w:val="004027F0"/>
    <w:rsid w:val="004028EA"/>
    <w:rsid w:val="00402908"/>
    <w:rsid w:val="00402932"/>
    <w:rsid w:val="00402A7A"/>
    <w:rsid w:val="00402B88"/>
    <w:rsid w:val="00402BB5"/>
    <w:rsid w:val="00402E41"/>
    <w:rsid w:val="00402E48"/>
    <w:rsid w:val="00402F64"/>
    <w:rsid w:val="0040309C"/>
    <w:rsid w:val="004032D3"/>
    <w:rsid w:val="00403510"/>
    <w:rsid w:val="00403530"/>
    <w:rsid w:val="00403677"/>
    <w:rsid w:val="00403723"/>
    <w:rsid w:val="00403895"/>
    <w:rsid w:val="00403B4A"/>
    <w:rsid w:val="00403E3F"/>
    <w:rsid w:val="00403F46"/>
    <w:rsid w:val="0040408D"/>
    <w:rsid w:val="0040416E"/>
    <w:rsid w:val="00404225"/>
    <w:rsid w:val="0040440A"/>
    <w:rsid w:val="00404424"/>
    <w:rsid w:val="00404464"/>
    <w:rsid w:val="004044F1"/>
    <w:rsid w:val="004044F8"/>
    <w:rsid w:val="00404586"/>
    <w:rsid w:val="00404680"/>
    <w:rsid w:val="0040485A"/>
    <w:rsid w:val="004049FD"/>
    <w:rsid w:val="00404A00"/>
    <w:rsid w:val="00404A06"/>
    <w:rsid w:val="00404A85"/>
    <w:rsid w:val="00404A8B"/>
    <w:rsid w:val="00404D26"/>
    <w:rsid w:val="00404D34"/>
    <w:rsid w:val="00404E62"/>
    <w:rsid w:val="00404E66"/>
    <w:rsid w:val="00404E80"/>
    <w:rsid w:val="00404F8A"/>
    <w:rsid w:val="00404FDF"/>
    <w:rsid w:val="004050E5"/>
    <w:rsid w:val="00405172"/>
    <w:rsid w:val="004051E4"/>
    <w:rsid w:val="00405339"/>
    <w:rsid w:val="00405538"/>
    <w:rsid w:val="0040556F"/>
    <w:rsid w:val="004056AA"/>
    <w:rsid w:val="00405756"/>
    <w:rsid w:val="004057CC"/>
    <w:rsid w:val="004057E0"/>
    <w:rsid w:val="00405A15"/>
    <w:rsid w:val="00405A85"/>
    <w:rsid w:val="00405AEA"/>
    <w:rsid w:val="00405B39"/>
    <w:rsid w:val="00405CB8"/>
    <w:rsid w:val="00405CC0"/>
    <w:rsid w:val="00405DCB"/>
    <w:rsid w:val="0040602C"/>
    <w:rsid w:val="0040604E"/>
    <w:rsid w:val="004060A1"/>
    <w:rsid w:val="004060A2"/>
    <w:rsid w:val="004060FE"/>
    <w:rsid w:val="004062E2"/>
    <w:rsid w:val="00406305"/>
    <w:rsid w:val="0040632B"/>
    <w:rsid w:val="004063E2"/>
    <w:rsid w:val="004064D4"/>
    <w:rsid w:val="004065D4"/>
    <w:rsid w:val="0040661F"/>
    <w:rsid w:val="004067D3"/>
    <w:rsid w:val="00406950"/>
    <w:rsid w:val="0040699E"/>
    <w:rsid w:val="004069B3"/>
    <w:rsid w:val="00406A38"/>
    <w:rsid w:val="00406BC4"/>
    <w:rsid w:val="00406DA7"/>
    <w:rsid w:val="00406DC1"/>
    <w:rsid w:val="00406E92"/>
    <w:rsid w:val="00406EFA"/>
    <w:rsid w:val="0040708C"/>
    <w:rsid w:val="004070CF"/>
    <w:rsid w:val="00407153"/>
    <w:rsid w:val="00407223"/>
    <w:rsid w:val="0040729F"/>
    <w:rsid w:val="00407342"/>
    <w:rsid w:val="0040749B"/>
    <w:rsid w:val="004074A8"/>
    <w:rsid w:val="00407526"/>
    <w:rsid w:val="00407531"/>
    <w:rsid w:val="0040754B"/>
    <w:rsid w:val="00407639"/>
    <w:rsid w:val="0040771B"/>
    <w:rsid w:val="004077B7"/>
    <w:rsid w:val="00407879"/>
    <w:rsid w:val="004078EF"/>
    <w:rsid w:val="0040790C"/>
    <w:rsid w:val="00407A1A"/>
    <w:rsid w:val="00407A74"/>
    <w:rsid w:val="00407BCA"/>
    <w:rsid w:val="00407C10"/>
    <w:rsid w:val="00407CAE"/>
    <w:rsid w:val="00407D32"/>
    <w:rsid w:val="00407E1B"/>
    <w:rsid w:val="00410055"/>
    <w:rsid w:val="004100EF"/>
    <w:rsid w:val="0041033A"/>
    <w:rsid w:val="004103CF"/>
    <w:rsid w:val="0041046A"/>
    <w:rsid w:val="0041049B"/>
    <w:rsid w:val="004104AA"/>
    <w:rsid w:val="004104B2"/>
    <w:rsid w:val="0041050D"/>
    <w:rsid w:val="0041050E"/>
    <w:rsid w:val="004107CA"/>
    <w:rsid w:val="00410833"/>
    <w:rsid w:val="0041084E"/>
    <w:rsid w:val="00410A53"/>
    <w:rsid w:val="00410AA4"/>
    <w:rsid w:val="00410AA5"/>
    <w:rsid w:val="00410AF6"/>
    <w:rsid w:val="00410D88"/>
    <w:rsid w:val="00410DB2"/>
    <w:rsid w:val="00410DEE"/>
    <w:rsid w:val="00410F84"/>
    <w:rsid w:val="00411038"/>
    <w:rsid w:val="00411058"/>
    <w:rsid w:val="004110E5"/>
    <w:rsid w:val="00411394"/>
    <w:rsid w:val="00411408"/>
    <w:rsid w:val="00411488"/>
    <w:rsid w:val="00411496"/>
    <w:rsid w:val="004115C9"/>
    <w:rsid w:val="0041171B"/>
    <w:rsid w:val="0041174F"/>
    <w:rsid w:val="0041179F"/>
    <w:rsid w:val="004117BD"/>
    <w:rsid w:val="004117EC"/>
    <w:rsid w:val="00411849"/>
    <w:rsid w:val="00411995"/>
    <w:rsid w:val="004119E7"/>
    <w:rsid w:val="00411B46"/>
    <w:rsid w:val="00411B62"/>
    <w:rsid w:val="00411CB1"/>
    <w:rsid w:val="00411CC2"/>
    <w:rsid w:val="00411E68"/>
    <w:rsid w:val="00411F84"/>
    <w:rsid w:val="00411F97"/>
    <w:rsid w:val="00411FB0"/>
    <w:rsid w:val="0041204E"/>
    <w:rsid w:val="00412069"/>
    <w:rsid w:val="0041227D"/>
    <w:rsid w:val="004122F7"/>
    <w:rsid w:val="00412498"/>
    <w:rsid w:val="004125FB"/>
    <w:rsid w:val="0041273A"/>
    <w:rsid w:val="004128FA"/>
    <w:rsid w:val="00412942"/>
    <w:rsid w:val="004129BD"/>
    <w:rsid w:val="004129FB"/>
    <w:rsid w:val="00412A51"/>
    <w:rsid w:val="00412A94"/>
    <w:rsid w:val="00412A9C"/>
    <w:rsid w:val="00412A9D"/>
    <w:rsid w:val="00412B11"/>
    <w:rsid w:val="00412B93"/>
    <w:rsid w:val="00412C09"/>
    <w:rsid w:val="00412C2F"/>
    <w:rsid w:val="00412C59"/>
    <w:rsid w:val="00412C9F"/>
    <w:rsid w:val="00412CAE"/>
    <w:rsid w:val="00412D07"/>
    <w:rsid w:val="00412D8D"/>
    <w:rsid w:val="00412DB5"/>
    <w:rsid w:val="00412E8A"/>
    <w:rsid w:val="00412FF6"/>
    <w:rsid w:val="00413022"/>
    <w:rsid w:val="004130DA"/>
    <w:rsid w:val="004133FE"/>
    <w:rsid w:val="00413449"/>
    <w:rsid w:val="004134CF"/>
    <w:rsid w:val="004134DF"/>
    <w:rsid w:val="0041352A"/>
    <w:rsid w:val="0041358A"/>
    <w:rsid w:val="00413634"/>
    <w:rsid w:val="00413650"/>
    <w:rsid w:val="00413910"/>
    <w:rsid w:val="00413B01"/>
    <w:rsid w:val="00413DA8"/>
    <w:rsid w:val="00413DDA"/>
    <w:rsid w:val="00413DEE"/>
    <w:rsid w:val="00413EAD"/>
    <w:rsid w:val="00413EFE"/>
    <w:rsid w:val="00413F1A"/>
    <w:rsid w:val="00413F46"/>
    <w:rsid w:val="00414046"/>
    <w:rsid w:val="00414159"/>
    <w:rsid w:val="004142FD"/>
    <w:rsid w:val="00414493"/>
    <w:rsid w:val="004145DC"/>
    <w:rsid w:val="00414612"/>
    <w:rsid w:val="00414694"/>
    <w:rsid w:val="00414770"/>
    <w:rsid w:val="00414783"/>
    <w:rsid w:val="004147CE"/>
    <w:rsid w:val="0041486D"/>
    <w:rsid w:val="004148C7"/>
    <w:rsid w:val="004148E3"/>
    <w:rsid w:val="00414919"/>
    <w:rsid w:val="0041497C"/>
    <w:rsid w:val="00414A03"/>
    <w:rsid w:val="00414A61"/>
    <w:rsid w:val="00414B36"/>
    <w:rsid w:val="00414D00"/>
    <w:rsid w:val="00414D5F"/>
    <w:rsid w:val="00414DA2"/>
    <w:rsid w:val="00414DFE"/>
    <w:rsid w:val="00414E11"/>
    <w:rsid w:val="00414EBA"/>
    <w:rsid w:val="00414F47"/>
    <w:rsid w:val="00415141"/>
    <w:rsid w:val="004151CC"/>
    <w:rsid w:val="004151CF"/>
    <w:rsid w:val="004151D2"/>
    <w:rsid w:val="004151D3"/>
    <w:rsid w:val="0041520C"/>
    <w:rsid w:val="00415509"/>
    <w:rsid w:val="0041550A"/>
    <w:rsid w:val="00415636"/>
    <w:rsid w:val="00415664"/>
    <w:rsid w:val="00415782"/>
    <w:rsid w:val="00415AEC"/>
    <w:rsid w:val="00415B07"/>
    <w:rsid w:val="00415BEE"/>
    <w:rsid w:val="00415E43"/>
    <w:rsid w:val="00415E68"/>
    <w:rsid w:val="00415EF7"/>
    <w:rsid w:val="00415EFB"/>
    <w:rsid w:val="00415F47"/>
    <w:rsid w:val="00415F8E"/>
    <w:rsid w:val="00415FD4"/>
    <w:rsid w:val="00416108"/>
    <w:rsid w:val="004161CD"/>
    <w:rsid w:val="00416259"/>
    <w:rsid w:val="00416304"/>
    <w:rsid w:val="00416448"/>
    <w:rsid w:val="004166B4"/>
    <w:rsid w:val="0041670D"/>
    <w:rsid w:val="0041672E"/>
    <w:rsid w:val="004167C3"/>
    <w:rsid w:val="004167C7"/>
    <w:rsid w:val="004169D7"/>
    <w:rsid w:val="00416ABE"/>
    <w:rsid w:val="00416B9E"/>
    <w:rsid w:val="00416BBA"/>
    <w:rsid w:val="00416C0C"/>
    <w:rsid w:val="00416C48"/>
    <w:rsid w:val="00416CB0"/>
    <w:rsid w:val="00416D80"/>
    <w:rsid w:val="00416D88"/>
    <w:rsid w:val="00416DB1"/>
    <w:rsid w:val="00416E1F"/>
    <w:rsid w:val="00416E87"/>
    <w:rsid w:val="00416E8F"/>
    <w:rsid w:val="00416ECA"/>
    <w:rsid w:val="00416F89"/>
    <w:rsid w:val="00417134"/>
    <w:rsid w:val="0041716A"/>
    <w:rsid w:val="0041725F"/>
    <w:rsid w:val="0041729B"/>
    <w:rsid w:val="004172D2"/>
    <w:rsid w:val="00417392"/>
    <w:rsid w:val="004174D1"/>
    <w:rsid w:val="004174D3"/>
    <w:rsid w:val="0041756F"/>
    <w:rsid w:val="00417663"/>
    <w:rsid w:val="00417A29"/>
    <w:rsid w:val="00417A6F"/>
    <w:rsid w:val="00417D95"/>
    <w:rsid w:val="00417DDB"/>
    <w:rsid w:val="00417E28"/>
    <w:rsid w:val="00417E60"/>
    <w:rsid w:val="00417E96"/>
    <w:rsid w:val="00417EFF"/>
    <w:rsid w:val="00420052"/>
    <w:rsid w:val="00420086"/>
    <w:rsid w:val="00420183"/>
    <w:rsid w:val="00420346"/>
    <w:rsid w:val="0042048B"/>
    <w:rsid w:val="004204CE"/>
    <w:rsid w:val="004209FF"/>
    <w:rsid w:val="00420C9E"/>
    <w:rsid w:val="00420D4E"/>
    <w:rsid w:val="00420F6E"/>
    <w:rsid w:val="00421049"/>
    <w:rsid w:val="0042106D"/>
    <w:rsid w:val="004210CE"/>
    <w:rsid w:val="004212A0"/>
    <w:rsid w:val="004212EF"/>
    <w:rsid w:val="00421479"/>
    <w:rsid w:val="0042148B"/>
    <w:rsid w:val="00421532"/>
    <w:rsid w:val="00421815"/>
    <w:rsid w:val="00421898"/>
    <w:rsid w:val="00421951"/>
    <w:rsid w:val="00421A7A"/>
    <w:rsid w:val="00421B37"/>
    <w:rsid w:val="00421C85"/>
    <w:rsid w:val="00421D7B"/>
    <w:rsid w:val="00421E77"/>
    <w:rsid w:val="0042204C"/>
    <w:rsid w:val="004221F3"/>
    <w:rsid w:val="004222D4"/>
    <w:rsid w:val="00422318"/>
    <w:rsid w:val="00422342"/>
    <w:rsid w:val="00422417"/>
    <w:rsid w:val="00422436"/>
    <w:rsid w:val="00422478"/>
    <w:rsid w:val="00422487"/>
    <w:rsid w:val="004227A4"/>
    <w:rsid w:val="00422901"/>
    <w:rsid w:val="00422A9B"/>
    <w:rsid w:val="00422BC7"/>
    <w:rsid w:val="00422C60"/>
    <w:rsid w:val="00422CC0"/>
    <w:rsid w:val="00422D0B"/>
    <w:rsid w:val="00422D10"/>
    <w:rsid w:val="00422D8F"/>
    <w:rsid w:val="00422DFA"/>
    <w:rsid w:val="00422EB1"/>
    <w:rsid w:val="00422EF0"/>
    <w:rsid w:val="0042304A"/>
    <w:rsid w:val="0042310B"/>
    <w:rsid w:val="00423171"/>
    <w:rsid w:val="00423195"/>
    <w:rsid w:val="004231A8"/>
    <w:rsid w:val="004232BF"/>
    <w:rsid w:val="00423497"/>
    <w:rsid w:val="00423588"/>
    <w:rsid w:val="00423863"/>
    <w:rsid w:val="0042396D"/>
    <w:rsid w:val="00423975"/>
    <w:rsid w:val="00423A54"/>
    <w:rsid w:val="00423B63"/>
    <w:rsid w:val="00423B91"/>
    <w:rsid w:val="00423D0C"/>
    <w:rsid w:val="00424246"/>
    <w:rsid w:val="004242C7"/>
    <w:rsid w:val="0042439A"/>
    <w:rsid w:val="00424447"/>
    <w:rsid w:val="00424632"/>
    <w:rsid w:val="00424663"/>
    <w:rsid w:val="00424720"/>
    <w:rsid w:val="0042474C"/>
    <w:rsid w:val="0042477D"/>
    <w:rsid w:val="00424888"/>
    <w:rsid w:val="004248B4"/>
    <w:rsid w:val="00424967"/>
    <w:rsid w:val="00424AB4"/>
    <w:rsid w:val="00424B12"/>
    <w:rsid w:val="00424D04"/>
    <w:rsid w:val="00424D6C"/>
    <w:rsid w:val="00424F48"/>
    <w:rsid w:val="00424F5C"/>
    <w:rsid w:val="00425066"/>
    <w:rsid w:val="0042510C"/>
    <w:rsid w:val="00425159"/>
    <w:rsid w:val="0042516C"/>
    <w:rsid w:val="0042516F"/>
    <w:rsid w:val="0042531F"/>
    <w:rsid w:val="0042535D"/>
    <w:rsid w:val="00425467"/>
    <w:rsid w:val="00425471"/>
    <w:rsid w:val="004254A8"/>
    <w:rsid w:val="004254F9"/>
    <w:rsid w:val="0042554E"/>
    <w:rsid w:val="0042569F"/>
    <w:rsid w:val="004256C5"/>
    <w:rsid w:val="00425774"/>
    <w:rsid w:val="00425814"/>
    <w:rsid w:val="00425815"/>
    <w:rsid w:val="004258A3"/>
    <w:rsid w:val="004258C0"/>
    <w:rsid w:val="00425A9A"/>
    <w:rsid w:val="00425AFC"/>
    <w:rsid w:val="00425B54"/>
    <w:rsid w:val="00425C39"/>
    <w:rsid w:val="00425CEF"/>
    <w:rsid w:val="00425D74"/>
    <w:rsid w:val="00425DE5"/>
    <w:rsid w:val="0042602D"/>
    <w:rsid w:val="0042602F"/>
    <w:rsid w:val="0042603F"/>
    <w:rsid w:val="004263DF"/>
    <w:rsid w:val="00426431"/>
    <w:rsid w:val="00426494"/>
    <w:rsid w:val="0042678F"/>
    <w:rsid w:val="004267A9"/>
    <w:rsid w:val="004267AD"/>
    <w:rsid w:val="00426801"/>
    <w:rsid w:val="0042681A"/>
    <w:rsid w:val="004268FC"/>
    <w:rsid w:val="0042698C"/>
    <w:rsid w:val="00426A64"/>
    <w:rsid w:val="00426AAB"/>
    <w:rsid w:val="00426B84"/>
    <w:rsid w:val="00426C06"/>
    <w:rsid w:val="00426DA5"/>
    <w:rsid w:val="00426EC1"/>
    <w:rsid w:val="00426FA1"/>
    <w:rsid w:val="00427044"/>
    <w:rsid w:val="00427129"/>
    <w:rsid w:val="00427132"/>
    <w:rsid w:val="00427167"/>
    <w:rsid w:val="00427198"/>
    <w:rsid w:val="004272C4"/>
    <w:rsid w:val="00427338"/>
    <w:rsid w:val="0042735B"/>
    <w:rsid w:val="00427399"/>
    <w:rsid w:val="0042746A"/>
    <w:rsid w:val="00427527"/>
    <w:rsid w:val="0042759B"/>
    <w:rsid w:val="004275F2"/>
    <w:rsid w:val="00427667"/>
    <w:rsid w:val="0042772F"/>
    <w:rsid w:val="00427755"/>
    <w:rsid w:val="00427766"/>
    <w:rsid w:val="004277E0"/>
    <w:rsid w:val="00427869"/>
    <w:rsid w:val="00427A12"/>
    <w:rsid w:val="00427A1E"/>
    <w:rsid w:val="00427B95"/>
    <w:rsid w:val="00427BBC"/>
    <w:rsid w:val="00427C69"/>
    <w:rsid w:val="00427C96"/>
    <w:rsid w:val="00427D55"/>
    <w:rsid w:val="00427DFB"/>
    <w:rsid w:val="00427EAA"/>
    <w:rsid w:val="00427EC4"/>
    <w:rsid w:val="00427FBC"/>
    <w:rsid w:val="00430130"/>
    <w:rsid w:val="00430160"/>
    <w:rsid w:val="004302FA"/>
    <w:rsid w:val="0043034F"/>
    <w:rsid w:val="0043052D"/>
    <w:rsid w:val="00430676"/>
    <w:rsid w:val="004306F0"/>
    <w:rsid w:val="00430906"/>
    <w:rsid w:val="00430950"/>
    <w:rsid w:val="00430A25"/>
    <w:rsid w:val="00430A37"/>
    <w:rsid w:val="00430BE1"/>
    <w:rsid w:val="00430C69"/>
    <w:rsid w:val="00430D4A"/>
    <w:rsid w:val="00430ED8"/>
    <w:rsid w:val="00431091"/>
    <w:rsid w:val="004312D2"/>
    <w:rsid w:val="0043133C"/>
    <w:rsid w:val="004315AC"/>
    <w:rsid w:val="004315C9"/>
    <w:rsid w:val="00431696"/>
    <w:rsid w:val="004316B6"/>
    <w:rsid w:val="004317DD"/>
    <w:rsid w:val="0043180B"/>
    <w:rsid w:val="00431830"/>
    <w:rsid w:val="004318FB"/>
    <w:rsid w:val="00431A9C"/>
    <w:rsid w:val="00431AB5"/>
    <w:rsid w:val="00431ADA"/>
    <w:rsid w:val="00431AE0"/>
    <w:rsid w:val="00431AF6"/>
    <w:rsid w:val="00431B6E"/>
    <w:rsid w:val="00431B7D"/>
    <w:rsid w:val="00431BC5"/>
    <w:rsid w:val="00431CB0"/>
    <w:rsid w:val="00431CEC"/>
    <w:rsid w:val="00431D9C"/>
    <w:rsid w:val="00431DA7"/>
    <w:rsid w:val="00431EDC"/>
    <w:rsid w:val="00431F97"/>
    <w:rsid w:val="00431F9B"/>
    <w:rsid w:val="00431FD3"/>
    <w:rsid w:val="00432044"/>
    <w:rsid w:val="00432075"/>
    <w:rsid w:val="00432194"/>
    <w:rsid w:val="004322DE"/>
    <w:rsid w:val="0043232F"/>
    <w:rsid w:val="0043234E"/>
    <w:rsid w:val="00432356"/>
    <w:rsid w:val="0043254E"/>
    <w:rsid w:val="004325DD"/>
    <w:rsid w:val="0043266C"/>
    <w:rsid w:val="004327DF"/>
    <w:rsid w:val="004328C8"/>
    <w:rsid w:val="00432908"/>
    <w:rsid w:val="00432910"/>
    <w:rsid w:val="00432936"/>
    <w:rsid w:val="00432941"/>
    <w:rsid w:val="00432A77"/>
    <w:rsid w:val="00432A92"/>
    <w:rsid w:val="00432B1D"/>
    <w:rsid w:val="00432B78"/>
    <w:rsid w:val="00432C61"/>
    <w:rsid w:val="00432C73"/>
    <w:rsid w:val="00432D61"/>
    <w:rsid w:val="00432DB7"/>
    <w:rsid w:val="00432DD6"/>
    <w:rsid w:val="00432EBD"/>
    <w:rsid w:val="00432F44"/>
    <w:rsid w:val="004330D5"/>
    <w:rsid w:val="00433206"/>
    <w:rsid w:val="004332B1"/>
    <w:rsid w:val="004332C1"/>
    <w:rsid w:val="004332C6"/>
    <w:rsid w:val="004332EA"/>
    <w:rsid w:val="0043347F"/>
    <w:rsid w:val="004334C3"/>
    <w:rsid w:val="004335EC"/>
    <w:rsid w:val="004339E6"/>
    <w:rsid w:val="00433AE6"/>
    <w:rsid w:val="00433BA4"/>
    <w:rsid w:val="00433BBA"/>
    <w:rsid w:val="00433E30"/>
    <w:rsid w:val="00433E79"/>
    <w:rsid w:val="00433ECA"/>
    <w:rsid w:val="00433F38"/>
    <w:rsid w:val="00433F76"/>
    <w:rsid w:val="00433FC5"/>
    <w:rsid w:val="00433FFE"/>
    <w:rsid w:val="00434076"/>
    <w:rsid w:val="00434087"/>
    <w:rsid w:val="004340B6"/>
    <w:rsid w:val="004340F3"/>
    <w:rsid w:val="00434175"/>
    <w:rsid w:val="0043436F"/>
    <w:rsid w:val="0043437D"/>
    <w:rsid w:val="004344FE"/>
    <w:rsid w:val="00434501"/>
    <w:rsid w:val="004345C9"/>
    <w:rsid w:val="0043462E"/>
    <w:rsid w:val="0043466A"/>
    <w:rsid w:val="00434778"/>
    <w:rsid w:val="004347BD"/>
    <w:rsid w:val="004347DC"/>
    <w:rsid w:val="0043482B"/>
    <w:rsid w:val="004348F9"/>
    <w:rsid w:val="004349AC"/>
    <w:rsid w:val="004349CA"/>
    <w:rsid w:val="00434A34"/>
    <w:rsid w:val="00434A6E"/>
    <w:rsid w:val="00434BBD"/>
    <w:rsid w:val="00434BD7"/>
    <w:rsid w:val="00434CC3"/>
    <w:rsid w:val="00434D25"/>
    <w:rsid w:val="00434DCC"/>
    <w:rsid w:val="00434DFB"/>
    <w:rsid w:val="00434F5E"/>
    <w:rsid w:val="00434FA5"/>
    <w:rsid w:val="00434FEE"/>
    <w:rsid w:val="00434FF2"/>
    <w:rsid w:val="00435167"/>
    <w:rsid w:val="00435174"/>
    <w:rsid w:val="004351E8"/>
    <w:rsid w:val="004352A8"/>
    <w:rsid w:val="004352A9"/>
    <w:rsid w:val="0043549F"/>
    <w:rsid w:val="00435658"/>
    <w:rsid w:val="00435852"/>
    <w:rsid w:val="004358EA"/>
    <w:rsid w:val="00435946"/>
    <w:rsid w:val="00435BAF"/>
    <w:rsid w:val="00435D30"/>
    <w:rsid w:val="00435D37"/>
    <w:rsid w:val="00435E75"/>
    <w:rsid w:val="0043617F"/>
    <w:rsid w:val="00436238"/>
    <w:rsid w:val="00436270"/>
    <w:rsid w:val="0043630D"/>
    <w:rsid w:val="00436315"/>
    <w:rsid w:val="004363AE"/>
    <w:rsid w:val="004363C9"/>
    <w:rsid w:val="004365D1"/>
    <w:rsid w:val="00436707"/>
    <w:rsid w:val="00436757"/>
    <w:rsid w:val="00436788"/>
    <w:rsid w:val="00436896"/>
    <w:rsid w:val="004368BF"/>
    <w:rsid w:val="004368CD"/>
    <w:rsid w:val="0043693E"/>
    <w:rsid w:val="0043695A"/>
    <w:rsid w:val="00436A28"/>
    <w:rsid w:val="00436AA3"/>
    <w:rsid w:val="00436AE7"/>
    <w:rsid w:val="00436B3B"/>
    <w:rsid w:val="00436B76"/>
    <w:rsid w:val="00436B7B"/>
    <w:rsid w:val="00436BA9"/>
    <w:rsid w:val="00436D2B"/>
    <w:rsid w:val="00436E72"/>
    <w:rsid w:val="00436F35"/>
    <w:rsid w:val="00436F57"/>
    <w:rsid w:val="00436FD1"/>
    <w:rsid w:val="00437046"/>
    <w:rsid w:val="00437058"/>
    <w:rsid w:val="0043706A"/>
    <w:rsid w:val="0043724D"/>
    <w:rsid w:val="0043728A"/>
    <w:rsid w:val="0043736D"/>
    <w:rsid w:val="0043737B"/>
    <w:rsid w:val="00437381"/>
    <w:rsid w:val="0043745A"/>
    <w:rsid w:val="0043749C"/>
    <w:rsid w:val="004377C0"/>
    <w:rsid w:val="004378B9"/>
    <w:rsid w:val="00437969"/>
    <w:rsid w:val="00437997"/>
    <w:rsid w:val="004379B2"/>
    <w:rsid w:val="004379D9"/>
    <w:rsid w:val="00437A1D"/>
    <w:rsid w:val="00437A29"/>
    <w:rsid w:val="00437A32"/>
    <w:rsid w:val="00437AF6"/>
    <w:rsid w:val="00437B0E"/>
    <w:rsid w:val="00437B2E"/>
    <w:rsid w:val="00437C0D"/>
    <w:rsid w:val="00437C10"/>
    <w:rsid w:val="00437C90"/>
    <w:rsid w:val="00437CA7"/>
    <w:rsid w:val="00437E13"/>
    <w:rsid w:val="00440095"/>
    <w:rsid w:val="004400CB"/>
    <w:rsid w:val="0044039A"/>
    <w:rsid w:val="004404ED"/>
    <w:rsid w:val="004404EE"/>
    <w:rsid w:val="0044076E"/>
    <w:rsid w:val="00440797"/>
    <w:rsid w:val="004407E9"/>
    <w:rsid w:val="00440830"/>
    <w:rsid w:val="004408BE"/>
    <w:rsid w:val="0044094D"/>
    <w:rsid w:val="00440988"/>
    <w:rsid w:val="0044098B"/>
    <w:rsid w:val="00440B11"/>
    <w:rsid w:val="00440C6C"/>
    <w:rsid w:val="00440D6E"/>
    <w:rsid w:val="00440DAD"/>
    <w:rsid w:val="00440DB2"/>
    <w:rsid w:val="00440E78"/>
    <w:rsid w:val="00440F44"/>
    <w:rsid w:val="00440FA8"/>
    <w:rsid w:val="0044105B"/>
    <w:rsid w:val="004410AD"/>
    <w:rsid w:val="004412CA"/>
    <w:rsid w:val="004414FA"/>
    <w:rsid w:val="004415C0"/>
    <w:rsid w:val="004417C2"/>
    <w:rsid w:val="00441836"/>
    <w:rsid w:val="00441976"/>
    <w:rsid w:val="00441A95"/>
    <w:rsid w:val="00441B00"/>
    <w:rsid w:val="00441C9F"/>
    <w:rsid w:val="00441D06"/>
    <w:rsid w:val="00441E3D"/>
    <w:rsid w:val="00441E4F"/>
    <w:rsid w:val="00441EED"/>
    <w:rsid w:val="00441F8C"/>
    <w:rsid w:val="00441F90"/>
    <w:rsid w:val="00441FFF"/>
    <w:rsid w:val="00442079"/>
    <w:rsid w:val="004421BE"/>
    <w:rsid w:val="004421F5"/>
    <w:rsid w:val="0044229F"/>
    <w:rsid w:val="0044249C"/>
    <w:rsid w:val="0044262B"/>
    <w:rsid w:val="0044278D"/>
    <w:rsid w:val="00442917"/>
    <w:rsid w:val="00442A43"/>
    <w:rsid w:val="00442A97"/>
    <w:rsid w:val="00442ABE"/>
    <w:rsid w:val="00442B4F"/>
    <w:rsid w:val="00442C2F"/>
    <w:rsid w:val="00442D9D"/>
    <w:rsid w:val="00442E1D"/>
    <w:rsid w:val="00442ECB"/>
    <w:rsid w:val="00442F00"/>
    <w:rsid w:val="00442FB1"/>
    <w:rsid w:val="00442FE6"/>
    <w:rsid w:val="00442FE8"/>
    <w:rsid w:val="00443060"/>
    <w:rsid w:val="0044310B"/>
    <w:rsid w:val="0044313C"/>
    <w:rsid w:val="0044314D"/>
    <w:rsid w:val="00443465"/>
    <w:rsid w:val="0044349C"/>
    <w:rsid w:val="0044354F"/>
    <w:rsid w:val="004437FB"/>
    <w:rsid w:val="0044382D"/>
    <w:rsid w:val="00443925"/>
    <w:rsid w:val="00443994"/>
    <w:rsid w:val="004439D2"/>
    <w:rsid w:val="00443C43"/>
    <w:rsid w:val="00443C76"/>
    <w:rsid w:val="00443DD0"/>
    <w:rsid w:val="004440D0"/>
    <w:rsid w:val="00444102"/>
    <w:rsid w:val="0044410D"/>
    <w:rsid w:val="00444120"/>
    <w:rsid w:val="004441A1"/>
    <w:rsid w:val="00444244"/>
    <w:rsid w:val="00444493"/>
    <w:rsid w:val="0044450C"/>
    <w:rsid w:val="00444553"/>
    <w:rsid w:val="00444592"/>
    <w:rsid w:val="004445CF"/>
    <w:rsid w:val="004445E5"/>
    <w:rsid w:val="00444702"/>
    <w:rsid w:val="004447F6"/>
    <w:rsid w:val="0044497D"/>
    <w:rsid w:val="00444A0F"/>
    <w:rsid w:val="00444D6E"/>
    <w:rsid w:val="00444DDA"/>
    <w:rsid w:val="00444FC8"/>
    <w:rsid w:val="00444FDF"/>
    <w:rsid w:val="0044526D"/>
    <w:rsid w:val="0044534D"/>
    <w:rsid w:val="00445380"/>
    <w:rsid w:val="0044547F"/>
    <w:rsid w:val="0044549C"/>
    <w:rsid w:val="004454EE"/>
    <w:rsid w:val="004455CF"/>
    <w:rsid w:val="0044563A"/>
    <w:rsid w:val="00445763"/>
    <w:rsid w:val="00445783"/>
    <w:rsid w:val="004457E4"/>
    <w:rsid w:val="004457F0"/>
    <w:rsid w:val="00445874"/>
    <w:rsid w:val="004458C2"/>
    <w:rsid w:val="004459BC"/>
    <w:rsid w:val="00445A3F"/>
    <w:rsid w:val="00445A41"/>
    <w:rsid w:val="00445A64"/>
    <w:rsid w:val="00445ACD"/>
    <w:rsid w:val="00445BE6"/>
    <w:rsid w:val="00445CE8"/>
    <w:rsid w:val="00445D3A"/>
    <w:rsid w:val="00445E12"/>
    <w:rsid w:val="00445E2A"/>
    <w:rsid w:val="00445EC5"/>
    <w:rsid w:val="00445F67"/>
    <w:rsid w:val="004460CF"/>
    <w:rsid w:val="0044626A"/>
    <w:rsid w:val="00446491"/>
    <w:rsid w:val="004467A3"/>
    <w:rsid w:val="004468AE"/>
    <w:rsid w:val="004468C8"/>
    <w:rsid w:val="00446916"/>
    <w:rsid w:val="0044696E"/>
    <w:rsid w:val="00446ABD"/>
    <w:rsid w:val="00446B15"/>
    <w:rsid w:val="00446B1B"/>
    <w:rsid w:val="00446B30"/>
    <w:rsid w:val="00446DBA"/>
    <w:rsid w:val="00446DD4"/>
    <w:rsid w:val="00446E28"/>
    <w:rsid w:val="00446EB6"/>
    <w:rsid w:val="00447012"/>
    <w:rsid w:val="00447014"/>
    <w:rsid w:val="0044704C"/>
    <w:rsid w:val="00447072"/>
    <w:rsid w:val="0044712C"/>
    <w:rsid w:val="00447161"/>
    <w:rsid w:val="0044721B"/>
    <w:rsid w:val="00447275"/>
    <w:rsid w:val="00447307"/>
    <w:rsid w:val="0044744C"/>
    <w:rsid w:val="0044754C"/>
    <w:rsid w:val="00447618"/>
    <w:rsid w:val="00447830"/>
    <w:rsid w:val="00447918"/>
    <w:rsid w:val="00447D16"/>
    <w:rsid w:val="00447E75"/>
    <w:rsid w:val="00447EA2"/>
    <w:rsid w:val="00447FC9"/>
    <w:rsid w:val="00450098"/>
    <w:rsid w:val="004500E2"/>
    <w:rsid w:val="004501E9"/>
    <w:rsid w:val="004502CA"/>
    <w:rsid w:val="0045047E"/>
    <w:rsid w:val="00450598"/>
    <w:rsid w:val="004505A8"/>
    <w:rsid w:val="004506FD"/>
    <w:rsid w:val="00450737"/>
    <w:rsid w:val="00450817"/>
    <w:rsid w:val="00450903"/>
    <w:rsid w:val="00450B53"/>
    <w:rsid w:val="00450C67"/>
    <w:rsid w:val="00450ED5"/>
    <w:rsid w:val="00451048"/>
    <w:rsid w:val="004511E7"/>
    <w:rsid w:val="0045120D"/>
    <w:rsid w:val="0045149C"/>
    <w:rsid w:val="004514BC"/>
    <w:rsid w:val="00451779"/>
    <w:rsid w:val="0045177E"/>
    <w:rsid w:val="004518C2"/>
    <w:rsid w:val="00451A1B"/>
    <w:rsid w:val="00451CBB"/>
    <w:rsid w:val="00451D06"/>
    <w:rsid w:val="00451F7A"/>
    <w:rsid w:val="00451FEF"/>
    <w:rsid w:val="0045207E"/>
    <w:rsid w:val="004520B2"/>
    <w:rsid w:val="00452117"/>
    <w:rsid w:val="0045217D"/>
    <w:rsid w:val="004521DC"/>
    <w:rsid w:val="00452202"/>
    <w:rsid w:val="004523F7"/>
    <w:rsid w:val="00452455"/>
    <w:rsid w:val="00452568"/>
    <w:rsid w:val="004525F3"/>
    <w:rsid w:val="00452668"/>
    <w:rsid w:val="004526D2"/>
    <w:rsid w:val="00452A8C"/>
    <w:rsid w:val="00452C11"/>
    <w:rsid w:val="00452CD3"/>
    <w:rsid w:val="00452DEC"/>
    <w:rsid w:val="00452E45"/>
    <w:rsid w:val="00452F19"/>
    <w:rsid w:val="00452FBF"/>
    <w:rsid w:val="00453060"/>
    <w:rsid w:val="004530FF"/>
    <w:rsid w:val="0045310D"/>
    <w:rsid w:val="004531A9"/>
    <w:rsid w:val="004534A3"/>
    <w:rsid w:val="00453563"/>
    <w:rsid w:val="0045359A"/>
    <w:rsid w:val="0045360E"/>
    <w:rsid w:val="004538F8"/>
    <w:rsid w:val="00453AFC"/>
    <w:rsid w:val="00453B8D"/>
    <w:rsid w:val="00453C4B"/>
    <w:rsid w:val="00453DB6"/>
    <w:rsid w:val="00453F2C"/>
    <w:rsid w:val="00454115"/>
    <w:rsid w:val="004541D3"/>
    <w:rsid w:val="00454327"/>
    <w:rsid w:val="00454335"/>
    <w:rsid w:val="0045442E"/>
    <w:rsid w:val="0045457F"/>
    <w:rsid w:val="0045467E"/>
    <w:rsid w:val="00454680"/>
    <w:rsid w:val="004547C9"/>
    <w:rsid w:val="0045480F"/>
    <w:rsid w:val="00454937"/>
    <w:rsid w:val="004549FE"/>
    <w:rsid w:val="00454A20"/>
    <w:rsid w:val="00454AF1"/>
    <w:rsid w:val="00454BEB"/>
    <w:rsid w:val="00454C0B"/>
    <w:rsid w:val="00454C9D"/>
    <w:rsid w:val="00454FE6"/>
    <w:rsid w:val="0045507E"/>
    <w:rsid w:val="004550E0"/>
    <w:rsid w:val="00455168"/>
    <w:rsid w:val="00455197"/>
    <w:rsid w:val="00455483"/>
    <w:rsid w:val="0045551C"/>
    <w:rsid w:val="00455551"/>
    <w:rsid w:val="00455685"/>
    <w:rsid w:val="004556FA"/>
    <w:rsid w:val="004557BD"/>
    <w:rsid w:val="0045583A"/>
    <w:rsid w:val="004558DB"/>
    <w:rsid w:val="00455A71"/>
    <w:rsid w:val="00455AA7"/>
    <w:rsid w:val="00455B10"/>
    <w:rsid w:val="00455B1B"/>
    <w:rsid w:val="00455BF2"/>
    <w:rsid w:val="00455C96"/>
    <w:rsid w:val="00455CB1"/>
    <w:rsid w:val="00455D89"/>
    <w:rsid w:val="00455DBC"/>
    <w:rsid w:val="00455DDA"/>
    <w:rsid w:val="00455E10"/>
    <w:rsid w:val="00455FC0"/>
    <w:rsid w:val="0045608F"/>
    <w:rsid w:val="0045609A"/>
    <w:rsid w:val="00456177"/>
    <w:rsid w:val="00456249"/>
    <w:rsid w:val="0045634D"/>
    <w:rsid w:val="0045644B"/>
    <w:rsid w:val="004564B5"/>
    <w:rsid w:val="00456538"/>
    <w:rsid w:val="00456608"/>
    <w:rsid w:val="00456A19"/>
    <w:rsid w:val="00456A87"/>
    <w:rsid w:val="00456BFF"/>
    <w:rsid w:val="00456C18"/>
    <w:rsid w:val="00456C39"/>
    <w:rsid w:val="00456CAB"/>
    <w:rsid w:val="00456DD0"/>
    <w:rsid w:val="00456F13"/>
    <w:rsid w:val="00456FFD"/>
    <w:rsid w:val="00457026"/>
    <w:rsid w:val="00457083"/>
    <w:rsid w:val="004570E9"/>
    <w:rsid w:val="00457140"/>
    <w:rsid w:val="00457249"/>
    <w:rsid w:val="0045724B"/>
    <w:rsid w:val="00457264"/>
    <w:rsid w:val="00457322"/>
    <w:rsid w:val="0045735E"/>
    <w:rsid w:val="0045747D"/>
    <w:rsid w:val="00457544"/>
    <w:rsid w:val="004575F5"/>
    <w:rsid w:val="004575F7"/>
    <w:rsid w:val="004576D4"/>
    <w:rsid w:val="0045772A"/>
    <w:rsid w:val="004577DF"/>
    <w:rsid w:val="004578AB"/>
    <w:rsid w:val="0045798C"/>
    <w:rsid w:val="004579BD"/>
    <w:rsid w:val="004579BE"/>
    <w:rsid w:val="00457A96"/>
    <w:rsid w:val="00457AC5"/>
    <w:rsid w:val="00457B45"/>
    <w:rsid w:val="00457B5B"/>
    <w:rsid w:val="00457B92"/>
    <w:rsid w:val="00457BCB"/>
    <w:rsid w:val="00457FBD"/>
    <w:rsid w:val="00460199"/>
    <w:rsid w:val="004601B3"/>
    <w:rsid w:val="0046050A"/>
    <w:rsid w:val="004605CD"/>
    <w:rsid w:val="00460601"/>
    <w:rsid w:val="0046060E"/>
    <w:rsid w:val="00460628"/>
    <w:rsid w:val="004606E6"/>
    <w:rsid w:val="00460738"/>
    <w:rsid w:val="004607EE"/>
    <w:rsid w:val="0046089F"/>
    <w:rsid w:val="0046093E"/>
    <w:rsid w:val="00460A50"/>
    <w:rsid w:val="00460B1B"/>
    <w:rsid w:val="00460BA9"/>
    <w:rsid w:val="00460D30"/>
    <w:rsid w:val="00460D75"/>
    <w:rsid w:val="00460DC9"/>
    <w:rsid w:val="00460DD5"/>
    <w:rsid w:val="00460E8B"/>
    <w:rsid w:val="00460F86"/>
    <w:rsid w:val="00460F9B"/>
    <w:rsid w:val="00460FE7"/>
    <w:rsid w:val="00461135"/>
    <w:rsid w:val="00461248"/>
    <w:rsid w:val="00461356"/>
    <w:rsid w:val="0046147B"/>
    <w:rsid w:val="004614A4"/>
    <w:rsid w:val="00461600"/>
    <w:rsid w:val="00461943"/>
    <w:rsid w:val="004619FC"/>
    <w:rsid w:val="00461A52"/>
    <w:rsid w:val="00461A67"/>
    <w:rsid w:val="00461B55"/>
    <w:rsid w:val="00461D1F"/>
    <w:rsid w:val="00461E9E"/>
    <w:rsid w:val="00461F95"/>
    <w:rsid w:val="00462132"/>
    <w:rsid w:val="004622E1"/>
    <w:rsid w:val="00462308"/>
    <w:rsid w:val="00462377"/>
    <w:rsid w:val="004623B4"/>
    <w:rsid w:val="004623D4"/>
    <w:rsid w:val="0046243C"/>
    <w:rsid w:val="00462511"/>
    <w:rsid w:val="0046273F"/>
    <w:rsid w:val="00462833"/>
    <w:rsid w:val="004628D8"/>
    <w:rsid w:val="004628DB"/>
    <w:rsid w:val="00462976"/>
    <w:rsid w:val="004629A6"/>
    <w:rsid w:val="00462B4B"/>
    <w:rsid w:val="00462C83"/>
    <w:rsid w:val="00462DEA"/>
    <w:rsid w:val="00462EB2"/>
    <w:rsid w:val="00462F14"/>
    <w:rsid w:val="00462F2C"/>
    <w:rsid w:val="00462F50"/>
    <w:rsid w:val="00462F8C"/>
    <w:rsid w:val="00463016"/>
    <w:rsid w:val="004630BD"/>
    <w:rsid w:val="0046324C"/>
    <w:rsid w:val="004633E8"/>
    <w:rsid w:val="004634CD"/>
    <w:rsid w:val="00463539"/>
    <w:rsid w:val="0046354D"/>
    <w:rsid w:val="0046357E"/>
    <w:rsid w:val="00463621"/>
    <w:rsid w:val="00463679"/>
    <w:rsid w:val="00463854"/>
    <w:rsid w:val="00463886"/>
    <w:rsid w:val="0046399B"/>
    <w:rsid w:val="004639C1"/>
    <w:rsid w:val="00463A89"/>
    <w:rsid w:val="00463AE9"/>
    <w:rsid w:val="00463B1A"/>
    <w:rsid w:val="00463B7A"/>
    <w:rsid w:val="00463BBE"/>
    <w:rsid w:val="00463CEF"/>
    <w:rsid w:val="00463DDB"/>
    <w:rsid w:val="00463F19"/>
    <w:rsid w:val="00463F2A"/>
    <w:rsid w:val="00463FAA"/>
    <w:rsid w:val="00464004"/>
    <w:rsid w:val="004640CB"/>
    <w:rsid w:val="00464101"/>
    <w:rsid w:val="004645B1"/>
    <w:rsid w:val="004645C6"/>
    <w:rsid w:val="0046466D"/>
    <w:rsid w:val="00464775"/>
    <w:rsid w:val="0046484A"/>
    <w:rsid w:val="004648DA"/>
    <w:rsid w:val="004649EB"/>
    <w:rsid w:val="00464A9B"/>
    <w:rsid w:val="00464B73"/>
    <w:rsid w:val="00464BA8"/>
    <w:rsid w:val="00464CEF"/>
    <w:rsid w:val="00464D05"/>
    <w:rsid w:val="00464E6E"/>
    <w:rsid w:val="00464F54"/>
    <w:rsid w:val="00464FC2"/>
    <w:rsid w:val="00465022"/>
    <w:rsid w:val="00465124"/>
    <w:rsid w:val="004651EE"/>
    <w:rsid w:val="00465454"/>
    <w:rsid w:val="0046547E"/>
    <w:rsid w:val="0046547F"/>
    <w:rsid w:val="00465564"/>
    <w:rsid w:val="00465587"/>
    <w:rsid w:val="0046568C"/>
    <w:rsid w:val="00465832"/>
    <w:rsid w:val="00465866"/>
    <w:rsid w:val="004659E3"/>
    <w:rsid w:val="00465BB2"/>
    <w:rsid w:val="00465CAA"/>
    <w:rsid w:val="00465CB8"/>
    <w:rsid w:val="00465D26"/>
    <w:rsid w:val="00465E20"/>
    <w:rsid w:val="00465EA5"/>
    <w:rsid w:val="00465EAA"/>
    <w:rsid w:val="00465ED8"/>
    <w:rsid w:val="00465F7B"/>
    <w:rsid w:val="00465FEE"/>
    <w:rsid w:val="00466026"/>
    <w:rsid w:val="00466073"/>
    <w:rsid w:val="00466093"/>
    <w:rsid w:val="004660BF"/>
    <w:rsid w:val="004661DA"/>
    <w:rsid w:val="004661ED"/>
    <w:rsid w:val="00466276"/>
    <w:rsid w:val="004663A0"/>
    <w:rsid w:val="004663D8"/>
    <w:rsid w:val="00466403"/>
    <w:rsid w:val="004666AC"/>
    <w:rsid w:val="004668C5"/>
    <w:rsid w:val="004668E5"/>
    <w:rsid w:val="0046698B"/>
    <w:rsid w:val="00466C31"/>
    <w:rsid w:val="00466C97"/>
    <w:rsid w:val="00466CD4"/>
    <w:rsid w:val="00466D62"/>
    <w:rsid w:val="00466FEB"/>
    <w:rsid w:val="00467028"/>
    <w:rsid w:val="004670EF"/>
    <w:rsid w:val="00467499"/>
    <w:rsid w:val="0046753B"/>
    <w:rsid w:val="0046767C"/>
    <w:rsid w:val="004676C3"/>
    <w:rsid w:val="0046777E"/>
    <w:rsid w:val="004677DD"/>
    <w:rsid w:val="00467814"/>
    <w:rsid w:val="00467824"/>
    <w:rsid w:val="00467861"/>
    <w:rsid w:val="004679C6"/>
    <w:rsid w:val="00467A2A"/>
    <w:rsid w:val="00467C31"/>
    <w:rsid w:val="00467C5B"/>
    <w:rsid w:val="00467CF0"/>
    <w:rsid w:val="00467D21"/>
    <w:rsid w:val="00467D92"/>
    <w:rsid w:val="00467DE8"/>
    <w:rsid w:val="00467E16"/>
    <w:rsid w:val="00467E66"/>
    <w:rsid w:val="00467EC0"/>
    <w:rsid w:val="00470018"/>
    <w:rsid w:val="004701CB"/>
    <w:rsid w:val="004701DD"/>
    <w:rsid w:val="00470229"/>
    <w:rsid w:val="004703BC"/>
    <w:rsid w:val="00470613"/>
    <w:rsid w:val="004706CD"/>
    <w:rsid w:val="0047075B"/>
    <w:rsid w:val="0047089B"/>
    <w:rsid w:val="00470A2B"/>
    <w:rsid w:val="00470A3A"/>
    <w:rsid w:val="00470A70"/>
    <w:rsid w:val="00470C0C"/>
    <w:rsid w:val="00470CD1"/>
    <w:rsid w:val="00470DC0"/>
    <w:rsid w:val="00470E2B"/>
    <w:rsid w:val="00470EB4"/>
    <w:rsid w:val="00470EE5"/>
    <w:rsid w:val="00470EFA"/>
    <w:rsid w:val="00471116"/>
    <w:rsid w:val="00471153"/>
    <w:rsid w:val="0047121C"/>
    <w:rsid w:val="00471259"/>
    <w:rsid w:val="0047126E"/>
    <w:rsid w:val="00471273"/>
    <w:rsid w:val="004714D9"/>
    <w:rsid w:val="00471644"/>
    <w:rsid w:val="00471684"/>
    <w:rsid w:val="00471AC0"/>
    <w:rsid w:val="00471AE9"/>
    <w:rsid w:val="00471B0D"/>
    <w:rsid w:val="00471B2F"/>
    <w:rsid w:val="00471BB3"/>
    <w:rsid w:val="00471BCA"/>
    <w:rsid w:val="00471CCA"/>
    <w:rsid w:val="00471DCF"/>
    <w:rsid w:val="00471FFC"/>
    <w:rsid w:val="00472089"/>
    <w:rsid w:val="004720B8"/>
    <w:rsid w:val="00472155"/>
    <w:rsid w:val="004721E6"/>
    <w:rsid w:val="00472246"/>
    <w:rsid w:val="00472296"/>
    <w:rsid w:val="00472431"/>
    <w:rsid w:val="00472450"/>
    <w:rsid w:val="0047256D"/>
    <w:rsid w:val="004725D7"/>
    <w:rsid w:val="004725E6"/>
    <w:rsid w:val="0047273F"/>
    <w:rsid w:val="00472796"/>
    <w:rsid w:val="00472816"/>
    <w:rsid w:val="004728DF"/>
    <w:rsid w:val="00472B18"/>
    <w:rsid w:val="00472CC0"/>
    <w:rsid w:val="00472E44"/>
    <w:rsid w:val="00472E68"/>
    <w:rsid w:val="00472E6C"/>
    <w:rsid w:val="00472F44"/>
    <w:rsid w:val="00473147"/>
    <w:rsid w:val="00473163"/>
    <w:rsid w:val="00473471"/>
    <w:rsid w:val="004734BE"/>
    <w:rsid w:val="004735CF"/>
    <w:rsid w:val="004737B3"/>
    <w:rsid w:val="00473809"/>
    <w:rsid w:val="004738BD"/>
    <w:rsid w:val="00473A1B"/>
    <w:rsid w:val="00473AA8"/>
    <w:rsid w:val="00473AC5"/>
    <w:rsid w:val="00473B45"/>
    <w:rsid w:val="00473D38"/>
    <w:rsid w:val="00473D51"/>
    <w:rsid w:val="00473EB1"/>
    <w:rsid w:val="00474068"/>
    <w:rsid w:val="004740F8"/>
    <w:rsid w:val="00474314"/>
    <w:rsid w:val="0047435B"/>
    <w:rsid w:val="004744AD"/>
    <w:rsid w:val="004744AF"/>
    <w:rsid w:val="004744BF"/>
    <w:rsid w:val="004746CB"/>
    <w:rsid w:val="0047472A"/>
    <w:rsid w:val="004748DB"/>
    <w:rsid w:val="00474E44"/>
    <w:rsid w:val="00474F03"/>
    <w:rsid w:val="00475077"/>
    <w:rsid w:val="004750EC"/>
    <w:rsid w:val="004751D3"/>
    <w:rsid w:val="0047522B"/>
    <w:rsid w:val="004752BA"/>
    <w:rsid w:val="0047534F"/>
    <w:rsid w:val="00475380"/>
    <w:rsid w:val="004753D6"/>
    <w:rsid w:val="004756C9"/>
    <w:rsid w:val="004756E0"/>
    <w:rsid w:val="0047577A"/>
    <w:rsid w:val="0047588D"/>
    <w:rsid w:val="004758DC"/>
    <w:rsid w:val="00475A28"/>
    <w:rsid w:val="00475B25"/>
    <w:rsid w:val="00475C49"/>
    <w:rsid w:val="00475C5E"/>
    <w:rsid w:val="00475E2D"/>
    <w:rsid w:val="00475E63"/>
    <w:rsid w:val="00475FB9"/>
    <w:rsid w:val="004760CC"/>
    <w:rsid w:val="0047614B"/>
    <w:rsid w:val="0047620F"/>
    <w:rsid w:val="0047625F"/>
    <w:rsid w:val="00476383"/>
    <w:rsid w:val="00476405"/>
    <w:rsid w:val="00476415"/>
    <w:rsid w:val="004764F3"/>
    <w:rsid w:val="00476559"/>
    <w:rsid w:val="004765B4"/>
    <w:rsid w:val="00476634"/>
    <w:rsid w:val="0047669A"/>
    <w:rsid w:val="004767F2"/>
    <w:rsid w:val="0047694E"/>
    <w:rsid w:val="0047699C"/>
    <w:rsid w:val="004769BD"/>
    <w:rsid w:val="00476A75"/>
    <w:rsid w:val="00476AD2"/>
    <w:rsid w:val="00476B73"/>
    <w:rsid w:val="00476B98"/>
    <w:rsid w:val="00476C68"/>
    <w:rsid w:val="00476CF5"/>
    <w:rsid w:val="00476D64"/>
    <w:rsid w:val="00476D97"/>
    <w:rsid w:val="00476DF8"/>
    <w:rsid w:val="004770B8"/>
    <w:rsid w:val="00477219"/>
    <w:rsid w:val="0047727D"/>
    <w:rsid w:val="00477312"/>
    <w:rsid w:val="00477426"/>
    <w:rsid w:val="0047742E"/>
    <w:rsid w:val="0047745F"/>
    <w:rsid w:val="0047746F"/>
    <w:rsid w:val="00477558"/>
    <w:rsid w:val="004775C2"/>
    <w:rsid w:val="004775EF"/>
    <w:rsid w:val="0047780D"/>
    <w:rsid w:val="004778DE"/>
    <w:rsid w:val="00477946"/>
    <w:rsid w:val="00477A3D"/>
    <w:rsid w:val="00477ACD"/>
    <w:rsid w:val="00477B12"/>
    <w:rsid w:val="00477B1C"/>
    <w:rsid w:val="00477C2A"/>
    <w:rsid w:val="00477C9F"/>
    <w:rsid w:val="00477CF7"/>
    <w:rsid w:val="00477CFB"/>
    <w:rsid w:val="00477D96"/>
    <w:rsid w:val="00477DD8"/>
    <w:rsid w:val="00477EE3"/>
    <w:rsid w:val="00477F11"/>
    <w:rsid w:val="00477F5E"/>
    <w:rsid w:val="00480091"/>
    <w:rsid w:val="004800D1"/>
    <w:rsid w:val="004800D7"/>
    <w:rsid w:val="00480187"/>
    <w:rsid w:val="004802DD"/>
    <w:rsid w:val="004803F6"/>
    <w:rsid w:val="004804DA"/>
    <w:rsid w:val="0048052E"/>
    <w:rsid w:val="004805A7"/>
    <w:rsid w:val="00480638"/>
    <w:rsid w:val="004806AB"/>
    <w:rsid w:val="004806DE"/>
    <w:rsid w:val="00480776"/>
    <w:rsid w:val="004807F4"/>
    <w:rsid w:val="00480B2E"/>
    <w:rsid w:val="00480B9E"/>
    <w:rsid w:val="00480BD2"/>
    <w:rsid w:val="00480C44"/>
    <w:rsid w:val="00480CB7"/>
    <w:rsid w:val="00480D48"/>
    <w:rsid w:val="00480DAC"/>
    <w:rsid w:val="00480E08"/>
    <w:rsid w:val="00480EBE"/>
    <w:rsid w:val="004810AE"/>
    <w:rsid w:val="00481255"/>
    <w:rsid w:val="00481257"/>
    <w:rsid w:val="00481471"/>
    <w:rsid w:val="004814C1"/>
    <w:rsid w:val="00481580"/>
    <w:rsid w:val="004815DE"/>
    <w:rsid w:val="00481653"/>
    <w:rsid w:val="004817C8"/>
    <w:rsid w:val="0048183A"/>
    <w:rsid w:val="004818E7"/>
    <w:rsid w:val="00481959"/>
    <w:rsid w:val="00481A4F"/>
    <w:rsid w:val="00481ACB"/>
    <w:rsid w:val="00481C15"/>
    <w:rsid w:val="00481C2B"/>
    <w:rsid w:val="00481C80"/>
    <w:rsid w:val="00481CA0"/>
    <w:rsid w:val="00481D46"/>
    <w:rsid w:val="00481EB3"/>
    <w:rsid w:val="00481F02"/>
    <w:rsid w:val="00481FF8"/>
    <w:rsid w:val="004820F9"/>
    <w:rsid w:val="004821BE"/>
    <w:rsid w:val="0048226D"/>
    <w:rsid w:val="0048228C"/>
    <w:rsid w:val="0048229D"/>
    <w:rsid w:val="0048230F"/>
    <w:rsid w:val="0048232C"/>
    <w:rsid w:val="00482381"/>
    <w:rsid w:val="0048244E"/>
    <w:rsid w:val="0048246B"/>
    <w:rsid w:val="004827C0"/>
    <w:rsid w:val="00482830"/>
    <w:rsid w:val="0048286E"/>
    <w:rsid w:val="00482890"/>
    <w:rsid w:val="004829D9"/>
    <w:rsid w:val="00482A2D"/>
    <w:rsid w:val="00482B03"/>
    <w:rsid w:val="00482B27"/>
    <w:rsid w:val="00482C24"/>
    <w:rsid w:val="00482C58"/>
    <w:rsid w:val="00482CEF"/>
    <w:rsid w:val="00482D2A"/>
    <w:rsid w:val="00482E74"/>
    <w:rsid w:val="00482EA3"/>
    <w:rsid w:val="00482FBA"/>
    <w:rsid w:val="00482FDF"/>
    <w:rsid w:val="00483149"/>
    <w:rsid w:val="00483284"/>
    <w:rsid w:val="004832BB"/>
    <w:rsid w:val="004833A2"/>
    <w:rsid w:val="00483578"/>
    <w:rsid w:val="00483762"/>
    <w:rsid w:val="0048383F"/>
    <w:rsid w:val="00483989"/>
    <w:rsid w:val="00483A97"/>
    <w:rsid w:val="00483BA7"/>
    <w:rsid w:val="00483F2B"/>
    <w:rsid w:val="00483F5B"/>
    <w:rsid w:val="00483FEB"/>
    <w:rsid w:val="00484023"/>
    <w:rsid w:val="00484293"/>
    <w:rsid w:val="004842F1"/>
    <w:rsid w:val="0048433F"/>
    <w:rsid w:val="00484379"/>
    <w:rsid w:val="00484441"/>
    <w:rsid w:val="0048451B"/>
    <w:rsid w:val="004845F0"/>
    <w:rsid w:val="00484661"/>
    <w:rsid w:val="004847B7"/>
    <w:rsid w:val="004847D0"/>
    <w:rsid w:val="0048488F"/>
    <w:rsid w:val="0048490B"/>
    <w:rsid w:val="004849C2"/>
    <w:rsid w:val="00484B2B"/>
    <w:rsid w:val="00484C25"/>
    <w:rsid w:val="00484C8B"/>
    <w:rsid w:val="00484C97"/>
    <w:rsid w:val="00484D6F"/>
    <w:rsid w:val="00484D85"/>
    <w:rsid w:val="00484E0C"/>
    <w:rsid w:val="00484ECF"/>
    <w:rsid w:val="00484EE2"/>
    <w:rsid w:val="00484F7C"/>
    <w:rsid w:val="00484FEE"/>
    <w:rsid w:val="004850B3"/>
    <w:rsid w:val="004850B7"/>
    <w:rsid w:val="00485170"/>
    <w:rsid w:val="00485221"/>
    <w:rsid w:val="004853C7"/>
    <w:rsid w:val="00485469"/>
    <w:rsid w:val="004854A3"/>
    <w:rsid w:val="00485504"/>
    <w:rsid w:val="0048556B"/>
    <w:rsid w:val="00485571"/>
    <w:rsid w:val="0048574B"/>
    <w:rsid w:val="00485799"/>
    <w:rsid w:val="00485964"/>
    <w:rsid w:val="00485980"/>
    <w:rsid w:val="004859E7"/>
    <w:rsid w:val="00485AE6"/>
    <w:rsid w:val="00485B67"/>
    <w:rsid w:val="00485BB6"/>
    <w:rsid w:val="00485C49"/>
    <w:rsid w:val="00485CD5"/>
    <w:rsid w:val="00485CF2"/>
    <w:rsid w:val="00485D46"/>
    <w:rsid w:val="00485D92"/>
    <w:rsid w:val="00485DB8"/>
    <w:rsid w:val="00485E4C"/>
    <w:rsid w:val="00485E74"/>
    <w:rsid w:val="00485F2A"/>
    <w:rsid w:val="00486009"/>
    <w:rsid w:val="0048607B"/>
    <w:rsid w:val="00486082"/>
    <w:rsid w:val="004860B2"/>
    <w:rsid w:val="0048627A"/>
    <w:rsid w:val="0048632E"/>
    <w:rsid w:val="004864B5"/>
    <w:rsid w:val="00486594"/>
    <w:rsid w:val="004867DB"/>
    <w:rsid w:val="0048696A"/>
    <w:rsid w:val="004869F4"/>
    <w:rsid w:val="00486B45"/>
    <w:rsid w:val="00486B5B"/>
    <w:rsid w:val="00486B9E"/>
    <w:rsid w:val="00486DE1"/>
    <w:rsid w:val="00486F2F"/>
    <w:rsid w:val="00486FDB"/>
    <w:rsid w:val="0048702C"/>
    <w:rsid w:val="004871D0"/>
    <w:rsid w:val="00487259"/>
    <w:rsid w:val="004872A7"/>
    <w:rsid w:val="004872CB"/>
    <w:rsid w:val="00487328"/>
    <w:rsid w:val="00487359"/>
    <w:rsid w:val="004874D3"/>
    <w:rsid w:val="004875AD"/>
    <w:rsid w:val="004877D7"/>
    <w:rsid w:val="00487823"/>
    <w:rsid w:val="0048785C"/>
    <w:rsid w:val="00487916"/>
    <w:rsid w:val="00487CE1"/>
    <w:rsid w:val="00487DCE"/>
    <w:rsid w:val="00487EE3"/>
    <w:rsid w:val="00487EF2"/>
    <w:rsid w:val="00487F8E"/>
    <w:rsid w:val="004900FC"/>
    <w:rsid w:val="004901ED"/>
    <w:rsid w:val="0049038D"/>
    <w:rsid w:val="0049041C"/>
    <w:rsid w:val="004904D5"/>
    <w:rsid w:val="00490558"/>
    <w:rsid w:val="00490575"/>
    <w:rsid w:val="00490610"/>
    <w:rsid w:val="0049072E"/>
    <w:rsid w:val="0049082E"/>
    <w:rsid w:val="004908C2"/>
    <w:rsid w:val="004909A2"/>
    <w:rsid w:val="00490A2A"/>
    <w:rsid w:val="00490B58"/>
    <w:rsid w:val="00490BDD"/>
    <w:rsid w:val="00490C72"/>
    <w:rsid w:val="00490CF4"/>
    <w:rsid w:val="00490DF4"/>
    <w:rsid w:val="00490EB4"/>
    <w:rsid w:val="00490EB7"/>
    <w:rsid w:val="00490FE5"/>
    <w:rsid w:val="00491230"/>
    <w:rsid w:val="0049142A"/>
    <w:rsid w:val="004914FE"/>
    <w:rsid w:val="0049155A"/>
    <w:rsid w:val="00491597"/>
    <w:rsid w:val="0049169A"/>
    <w:rsid w:val="00491737"/>
    <w:rsid w:val="00491745"/>
    <w:rsid w:val="00491808"/>
    <w:rsid w:val="0049185C"/>
    <w:rsid w:val="00491974"/>
    <w:rsid w:val="00491983"/>
    <w:rsid w:val="00491A72"/>
    <w:rsid w:val="00491ACE"/>
    <w:rsid w:val="00491C27"/>
    <w:rsid w:val="00491D63"/>
    <w:rsid w:val="00491DA6"/>
    <w:rsid w:val="004921E2"/>
    <w:rsid w:val="004921E8"/>
    <w:rsid w:val="004922BE"/>
    <w:rsid w:val="00492340"/>
    <w:rsid w:val="0049238C"/>
    <w:rsid w:val="00492535"/>
    <w:rsid w:val="004925B0"/>
    <w:rsid w:val="00492634"/>
    <w:rsid w:val="0049263E"/>
    <w:rsid w:val="00492702"/>
    <w:rsid w:val="00492750"/>
    <w:rsid w:val="004927E1"/>
    <w:rsid w:val="0049289D"/>
    <w:rsid w:val="00492926"/>
    <w:rsid w:val="0049297D"/>
    <w:rsid w:val="0049299B"/>
    <w:rsid w:val="004929A4"/>
    <w:rsid w:val="00492B41"/>
    <w:rsid w:val="00492C0B"/>
    <w:rsid w:val="00492CB9"/>
    <w:rsid w:val="00492CE5"/>
    <w:rsid w:val="00492D41"/>
    <w:rsid w:val="00492EF8"/>
    <w:rsid w:val="00493110"/>
    <w:rsid w:val="00493181"/>
    <w:rsid w:val="00493531"/>
    <w:rsid w:val="00493542"/>
    <w:rsid w:val="00493549"/>
    <w:rsid w:val="00493646"/>
    <w:rsid w:val="004936C4"/>
    <w:rsid w:val="004936F3"/>
    <w:rsid w:val="0049377B"/>
    <w:rsid w:val="004937BA"/>
    <w:rsid w:val="004937E2"/>
    <w:rsid w:val="004937F8"/>
    <w:rsid w:val="0049385E"/>
    <w:rsid w:val="0049386E"/>
    <w:rsid w:val="00493915"/>
    <w:rsid w:val="0049392E"/>
    <w:rsid w:val="0049393B"/>
    <w:rsid w:val="00493B7A"/>
    <w:rsid w:val="00493BAC"/>
    <w:rsid w:val="00493C93"/>
    <w:rsid w:val="00494222"/>
    <w:rsid w:val="0049425F"/>
    <w:rsid w:val="00494308"/>
    <w:rsid w:val="00494432"/>
    <w:rsid w:val="004944DD"/>
    <w:rsid w:val="00494573"/>
    <w:rsid w:val="0049460F"/>
    <w:rsid w:val="00494684"/>
    <w:rsid w:val="004946A6"/>
    <w:rsid w:val="004946DB"/>
    <w:rsid w:val="0049475E"/>
    <w:rsid w:val="004947EF"/>
    <w:rsid w:val="00494928"/>
    <w:rsid w:val="004949AA"/>
    <w:rsid w:val="00494B90"/>
    <w:rsid w:val="00494C04"/>
    <w:rsid w:val="00494C6D"/>
    <w:rsid w:val="00494C9D"/>
    <w:rsid w:val="00494DE5"/>
    <w:rsid w:val="00494E76"/>
    <w:rsid w:val="00494F62"/>
    <w:rsid w:val="00494FB8"/>
    <w:rsid w:val="004950D8"/>
    <w:rsid w:val="00495104"/>
    <w:rsid w:val="00495308"/>
    <w:rsid w:val="00495400"/>
    <w:rsid w:val="0049541D"/>
    <w:rsid w:val="004954F9"/>
    <w:rsid w:val="00495528"/>
    <w:rsid w:val="0049566A"/>
    <w:rsid w:val="00495676"/>
    <w:rsid w:val="00495757"/>
    <w:rsid w:val="004957B9"/>
    <w:rsid w:val="00495837"/>
    <w:rsid w:val="00495874"/>
    <w:rsid w:val="0049589A"/>
    <w:rsid w:val="00495A99"/>
    <w:rsid w:val="00495C97"/>
    <w:rsid w:val="00495CB9"/>
    <w:rsid w:val="00495CDD"/>
    <w:rsid w:val="00495E12"/>
    <w:rsid w:val="00495EF8"/>
    <w:rsid w:val="00495F5B"/>
    <w:rsid w:val="00495F77"/>
    <w:rsid w:val="00496093"/>
    <w:rsid w:val="00496110"/>
    <w:rsid w:val="0049619A"/>
    <w:rsid w:val="004961E2"/>
    <w:rsid w:val="004963C7"/>
    <w:rsid w:val="00496484"/>
    <w:rsid w:val="00496513"/>
    <w:rsid w:val="0049655D"/>
    <w:rsid w:val="004965EA"/>
    <w:rsid w:val="00496703"/>
    <w:rsid w:val="00496879"/>
    <w:rsid w:val="00496A4D"/>
    <w:rsid w:val="00496AB1"/>
    <w:rsid w:val="00496D23"/>
    <w:rsid w:val="00496E31"/>
    <w:rsid w:val="00497034"/>
    <w:rsid w:val="004970E3"/>
    <w:rsid w:val="004970EC"/>
    <w:rsid w:val="00497133"/>
    <w:rsid w:val="00497168"/>
    <w:rsid w:val="00497206"/>
    <w:rsid w:val="004973EC"/>
    <w:rsid w:val="004974B9"/>
    <w:rsid w:val="00497551"/>
    <w:rsid w:val="00497659"/>
    <w:rsid w:val="00497721"/>
    <w:rsid w:val="00497774"/>
    <w:rsid w:val="0049791B"/>
    <w:rsid w:val="00497998"/>
    <w:rsid w:val="00497A19"/>
    <w:rsid w:val="00497AC1"/>
    <w:rsid w:val="00497BDF"/>
    <w:rsid w:val="00497C34"/>
    <w:rsid w:val="00497D3F"/>
    <w:rsid w:val="00497E99"/>
    <w:rsid w:val="004A009C"/>
    <w:rsid w:val="004A00C1"/>
    <w:rsid w:val="004A00DA"/>
    <w:rsid w:val="004A0308"/>
    <w:rsid w:val="004A0309"/>
    <w:rsid w:val="004A047B"/>
    <w:rsid w:val="004A04E8"/>
    <w:rsid w:val="004A0522"/>
    <w:rsid w:val="004A063C"/>
    <w:rsid w:val="004A07BD"/>
    <w:rsid w:val="004A085E"/>
    <w:rsid w:val="004A098C"/>
    <w:rsid w:val="004A0A1A"/>
    <w:rsid w:val="004A0A55"/>
    <w:rsid w:val="004A0AB5"/>
    <w:rsid w:val="004A0B1D"/>
    <w:rsid w:val="004A0B59"/>
    <w:rsid w:val="004A0BAF"/>
    <w:rsid w:val="004A0CCE"/>
    <w:rsid w:val="004A0CE2"/>
    <w:rsid w:val="004A0E62"/>
    <w:rsid w:val="004A0EBA"/>
    <w:rsid w:val="004A122C"/>
    <w:rsid w:val="004A12D7"/>
    <w:rsid w:val="004A1354"/>
    <w:rsid w:val="004A138A"/>
    <w:rsid w:val="004A13B6"/>
    <w:rsid w:val="004A150D"/>
    <w:rsid w:val="004A1531"/>
    <w:rsid w:val="004A153D"/>
    <w:rsid w:val="004A1614"/>
    <w:rsid w:val="004A1630"/>
    <w:rsid w:val="004A189D"/>
    <w:rsid w:val="004A18EE"/>
    <w:rsid w:val="004A190F"/>
    <w:rsid w:val="004A1917"/>
    <w:rsid w:val="004A1958"/>
    <w:rsid w:val="004A1984"/>
    <w:rsid w:val="004A1A85"/>
    <w:rsid w:val="004A1B05"/>
    <w:rsid w:val="004A1B36"/>
    <w:rsid w:val="004A1CD1"/>
    <w:rsid w:val="004A1D35"/>
    <w:rsid w:val="004A1D65"/>
    <w:rsid w:val="004A1DC2"/>
    <w:rsid w:val="004A1DE5"/>
    <w:rsid w:val="004A1E26"/>
    <w:rsid w:val="004A1ECC"/>
    <w:rsid w:val="004A1EE5"/>
    <w:rsid w:val="004A1F03"/>
    <w:rsid w:val="004A1FD2"/>
    <w:rsid w:val="004A20D4"/>
    <w:rsid w:val="004A21E5"/>
    <w:rsid w:val="004A21EC"/>
    <w:rsid w:val="004A2256"/>
    <w:rsid w:val="004A2333"/>
    <w:rsid w:val="004A2447"/>
    <w:rsid w:val="004A2521"/>
    <w:rsid w:val="004A2525"/>
    <w:rsid w:val="004A2600"/>
    <w:rsid w:val="004A2684"/>
    <w:rsid w:val="004A26D3"/>
    <w:rsid w:val="004A27F7"/>
    <w:rsid w:val="004A281B"/>
    <w:rsid w:val="004A2849"/>
    <w:rsid w:val="004A29F1"/>
    <w:rsid w:val="004A29FB"/>
    <w:rsid w:val="004A2AC7"/>
    <w:rsid w:val="004A2AE1"/>
    <w:rsid w:val="004A2B28"/>
    <w:rsid w:val="004A2B2F"/>
    <w:rsid w:val="004A2BCC"/>
    <w:rsid w:val="004A2E5F"/>
    <w:rsid w:val="004A2F32"/>
    <w:rsid w:val="004A30EA"/>
    <w:rsid w:val="004A319E"/>
    <w:rsid w:val="004A3216"/>
    <w:rsid w:val="004A3244"/>
    <w:rsid w:val="004A32DD"/>
    <w:rsid w:val="004A33E0"/>
    <w:rsid w:val="004A35E9"/>
    <w:rsid w:val="004A3667"/>
    <w:rsid w:val="004A39CE"/>
    <w:rsid w:val="004A3A4E"/>
    <w:rsid w:val="004A3A84"/>
    <w:rsid w:val="004A3B01"/>
    <w:rsid w:val="004A3B57"/>
    <w:rsid w:val="004A3B9A"/>
    <w:rsid w:val="004A3BAC"/>
    <w:rsid w:val="004A3C86"/>
    <w:rsid w:val="004A3CB9"/>
    <w:rsid w:val="004A3CC0"/>
    <w:rsid w:val="004A3D30"/>
    <w:rsid w:val="004A3D8F"/>
    <w:rsid w:val="004A3EB5"/>
    <w:rsid w:val="004A3F8E"/>
    <w:rsid w:val="004A3FA8"/>
    <w:rsid w:val="004A42D4"/>
    <w:rsid w:val="004A4364"/>
    <w:rsid w:val="004A43D0"/>
    <w:rsid w:val="004A443E"/>
    <w:rsid w:val="004A44D3"/>
    <w:rsid w:val="004A44D6"/>
    <w:rsid w:val="004A458F"/>
    <w:rsid w:val="004A462C"/>
    <w:rsid w:val="004A49CD"/>
    <w:rsid w:val="004A4D5F"/>
    <w:rsid w:val="004A4DD9"/>
    <w:rsid w:val="004A4F4B"/>
    <w:rsid w:val="004A4F64"/>
    <w:rsid w:val="004A4F69"/>
    <w:rsid w:val="004A4FDD"/>
    <w:rsid w:val="004A53AF"/>
    <w:rsid w:val="004A5474"/>
    <w:rsid w:val="004A5505"/>
    <w:rsid w:val="004A556F"/>
    <w:rsid w:val="004A55CA"/>
    <w:rsid w:val="004A5628"/>
    <w:rsid w:val="004A5698"/>
    <w:rsid w:val="004A57A7"/>
    <w:rsid w:val="004A5838"/>
    <w:rsid w:val="004A584C"/>
    <w:rsid w:val="004A59B9"/>
    <w:rsid w:val="004A59C5"/>
    <w:rsid w:val="004A5AB8"/>
    <w:rsid w:val="004A5C61"/>
    <w:rsid w:val="004A5CC0"/>
    <w:rsid w:val="004A5D9C"/>
    <w:rsid w:val="004A5F93"/>
    <w:rsid w:val="004A5F95"/>
    <w:rsid w:val="004A6012"/>
    <w:rsid w:val="004A6135"/>
    <w:rsid w:val="004A6167"/>
    <w:rsid w:val="004A6174"/>
    <w:rsid w:val="004A618C"/>
    <w:rsid w:val="004A61BB"/>
    <w:rsid w:val="004A61C0"/>
    <w:rsid w:val="004A6310"/>
    <w:rsid w:val="004A64A3"/>
    <w:rsid w:val="004A65E5"/>
    <w:rsid w:val="004A6794"/>
    <w:rsid w:val="004A67E5"/>
    <w:rsid w:val="004A684B"/>
    <w:rsid w:val="004A69E8"/>
    <w:rsid w:val="004A6BB6"/>
    <w:rsid w:val="004A6CC1"/>
    <w:rsid w:val="004A6D8E"/>
    <w:rsid w:val="004A6E47"/>
    <w:rsid w:val="004A6E62"/>
    <w:rsid w:val="004A6F34"/>
    <w:rsid w:val="004A6FB1"/>
    <w:rsid w:val="004A6FF9"/>
    <w:rsid w:val="004A7146"/>
    <w:rsid w:val="004A71B8"/>
    <w:rsid w:val="004A71D8"/>
    <w:rsid w:val="004A729B"/>
    <w:rsid w:val="004A72D1"/>
    <w:rsid w:val="004A734E"/>
    <w:rsid w:val="004A7464"/>
    <w:rsid w:val="004A7506"/>
    <w:rsid w:val="004A7576"/>
    <w:rsid w:val="004A75A2"/>
    <w:rsid w:val="004A75B3"/>
    <w:rsid w:val="004A764F"/>
    <w:rsid w:val="004A76C0"/>
    <w:rsid w:val="004A782C"/>
    <w:rsid w:val="004A78AE"/>
    <w:rsid w:val="004A78DA"/>
    <w:rsid w:val="004A78E4"/>
    <w:rsid w:val="004A790A"/>
    <w:rsid w:val="004A79D4"/>
    <w:rsid w:val="004A79F4"/>
    <w:rsid w:val="004A7A22"/>
    <w:rsid w:val="004A7CC0"/>
    <w:rsid w:val="004A7CCD"/>
    <w:rsid w:val="004B0065"/>
    <w:rsid w:val="004B0082"/>
    <w:rsid w:val="004B00B2"/>
    <w:rsid w:val="004B00C9"/>
    <w:rsid w:val="004B00E9"/>
    <w:rsid w:val="004B02DD"/>
    <w:rsid w:val="004B0327"/>
    <w:rsid w:val="004B0460"/>
    <w:rsid w:val="004B058B"/>
    <w:rsid w:val="004B05B1"/>
    <w:rsid w:val="004B05C2"/>
    <w:rsid w:val="004B0789"/>
    <w:rsid w:val="004B08CE"/>
    <w:rsid w:val="004B0939"/>
    <w:rsid w:val="004B09F3"/>
    <w:rsid w:val="004B0B27"/>
    <w:rsid w:val="004B0BF7"/>
    <w:rsid w:val="004B0C40"/>
    <w:rsid w:val="004B0C75"/>
    <w:rsid w:val="004B0D9D"/>
    <w:rsid w:val="004B0F09"/>
    <w:rsid w:val="004B0F91"/>
    <w:rsid w:val="004B0FA6"/>
    <w:rsid w:val="004B1016"/>
    <w:rsid w:val="004B11BC"/>
    <w:rsid w:val="004B11E4"/>
    <w:rsid w:val="004B11FE"/>
    <w:rsid w:val="004B1261"/>
    <w:rsid w:val="004B1276"/>
    <w:rsid w:val="004B1278"/>
    <w:rsid w:val="004B13B4"/>
    <w:rsid w:val="004B13E4"/>
    <w:rsid w:val="004B14A7"/>
    <w:rsid w:val="004B1510"/>
    <w:rsid w:val="004B1536"/>
    <w:rsid w:val="004B160D"/>
    <w:rsid w:val="004B16B7"/>
    <w:rsid w:val="004B17C8"/>
    <w:rsid w:val="004B183C"/>
    <w:rsid w:val="004B1849"/>
    <w:rsid w:val="004B18CF"/>
    <w:rsid w:val="004B19B3"/>
    <w:rsid w:val="004B1B1A"/>
    <w:rsid w:val="004B1B2E"/>
    <w:rsid w:val="004B1D50"/>
    <w:rsid w:val="004B1D75"/>
    <w:rsid w:val="004B1E20"/>
    <w:rsid w:val="004B1E37"/>
    <w:rsid w:val="004B1F3E"/>
    <w:rsid w:val="004B1FAE"/>
    <w:rsid w:val="004B1FE5"/>
    <w:rsid w:val="004B2073"/>
    <w:rsid w:val="004B2111"/>
    <w:rsid w:val="004B22C5"/>
    <w:rsid w:val="004B233C"/>
    <w:rsid w:val="004B259E"/>
    <w:rsid w:val="004B25B1"/>
    <w:rsid w:val="004B260A"/>
    <w:rsid w:val="004B2A97"/>
    <w:rsid w:val="004B2B2F"/>
    <w:rsid w:val="004B2C1E"/>
    <w:rsid w:val="004B2C53"/>
    <w:rsid w:val="004B2DBA"/>
    <w:rsid w:val="004B2F46"/>
    <w:rsid w:val="004B2F9E"/>
    <w:rsid w:val="004B2FAC"/>
    <w:rsid w:val="004B317E"/>
    <w:rsid w:val="004B322D"/>
    <w:rsid w:val="004B3318"/>
    <w:rsid w:val="004B34DD"/>
    <w:rsid w:val="004B352A"/>
    <w:rsid w:val="004B36EF"/>
    <w:rsid w:val="004B373D"/>
    <w:rsid w:val="004B390A"/>
    <w:rsid w:val="004B3A4E"/>
    <w:rsid w:val="004B3A57"/>
    <w:rsid w:val="004B3A86"/>
    <w:rsid w:val="004B3C63"/>
    <w:rsid w:val="004B3D5A"/>
    <w:rsid w:val="004B3E7A"/>
    <w:rsid w:val="004B3E7C"/>
    <w:rsid w:val="004B408E"/>
    <w:rsid w:val="004B40A8"/>
    <w:rsid w:val="004B4155"/>
    <w:rsid w:val="004B4247"/>
    <w:rsid w:val="004B4279"/>
    <w:rsid w:val="004B4428"/>
    <w:rsid w:val="004B446A"/>
    <w:rsid w:val="004B44A6"/>
    <w:rsid w:val="004B44CD"/>
    <w:rsid w:val="004B4547"/>
    <w:rsid w:val="004B4628"/>
    <w:rsid w:val="004B4683"/>
    <w:rsid w:val="004B4BEA"/>
    <w:rsid w:val="004B4CEF"/>
    <w:rsid w:val="004B4F27"/>
    <w:rsid w:val="004B5036"/>
    <w:rsid w:val="004B515A"/>
    <w:rsid w:val="004B546C"/>
    <w:rsid w:val="004B5558"/>
    <w:rsid w:val="004B5596"/>
    <w:rsid w:val="004B5750"/>
    <w:rsid w:val="004B5782"/>
    <w:rsid w:val="004B58C9"/>
    <w:rsid w:val="004B59D5"/>
    <w:rsid w:val="004B5A46"/>
    <w:rsid w:val="004B5B61"/>
    <w:rsid w:val="004B5C3C"/>
    <w:rsid w:val="004B5E4F"/>
    <w:rsid w:val="004B5F38"/>
    <w:rsid w:val="004B60F7"/>
    <w:rsid w:val="004B6102"/>
    <w:rsid w:val="004B616C"/>
    <w:rsid w:val="004B61B3"/>
    <w:rsid w:val="004B61EF"/>
    <w:rsid w:val="004B6247"/>
    <w:rsid w:val="004B6250"/>
    <w:rsid w:val="004B637A"/>
    <w:rsid w:val="004B63B3"/>
    <w:rsid w:val="004B63FB"/>
    <w:rsid w:val="004B641F"/>
    <w:rsid w:val="004B6452"/>
    <w:rsid w:val="004B6461"/>
    <w:rsid w:val="004B6494"/>
    <w:rsid w:val="004B6626"/>
    <w:rsid w:val="004B665B"/>
    <w:rsid w:val="004B665E"/>
    <w:rsid w:val="004B66A5"/>
    <w:rsid w:val="004B6A14"/>
    <w:rsid w:val="004B6A55"/>
    <w:rsid w:val="004B6B89"/>
    <w:rsid w:val="004B6BFC"/>
    <w:rsid w:val="004B6D38"/>
    <w:rsid w:val="004B6D92"/>
    <w:rsid w:val="004B6E05"/>
    <w:rsid w:val="004B6E58"/>
    <w:rsid w:val="004B6EEF"/>
    <w:rsid w:val="004B6EF8"/>
    <w:rsid w:val="004B6F62"/>
    <w:rsid w:val="004B6F9E"/>
    <w:rsid w:val="004B7047"/>
    <w:rsid w:val="004B7079"/>
    <w:rsid w:val="004B70A5"/>
    <w:rsid w:val="004B7258"/>
    <w:rsid w:val="004B7381"/>
    <w:rsid w:val="004B73E8"/>
    <w:rsid w:val="004B740F"/>
    <w:rsid w:val="004B74DF"/>
    <w:rsid w:val="004B759D"/>
    <w:rsid w:val="004B760A"/>
    <w:rsid w:val="004B7662"/>
    <w:rsid w:val="004B7663"/>
    <w:rsid w:val="004B7746"/>
    <w:rsid w:val="004B77AA"/>
    <w:rsid w:val="004B794F"/>
    <w:rsid w:val="004B796B"/>
    <w:rsid w:val="004B7A70"/>
    <w:rsid w:val="004B7B17"/>
    <w:rsid w:val="004B7B57"/>
    <w:rsid w:val="004B7BDD"/>
    <w:rsid w:val="004B7D9A"/>
    <w:rsid w:val="004B7EF4"/>
    <w:rsid w:val="004B7F16"/>
    <w:rsid w:val="004B9070"/>
    <w:rsid w:val="004C0115"/>
    <w:rsid w:val="004C020B"/>
    <w:rsid w:val="004C0246"/>
    <w:rsid w:val="004C02BA"/>
    <w:rsid w:val="004C036E"/>
    <w:rsid w:val="004C03A6"/>
    <w:rsid w:val="004C04F3"/>
    <w:rsid w:val="004C0511"/>
    <w:rsid w:val="004C05AC"/>
    <w:rsid w:val="004C05FE"/>
    <w:rsid w:val="004C065F"/>
    <w:rsid w:val="004C06A1"/>
    <w:rsid w:val="004C07E0"/>
    <w:rsid w:val="004C0846"/>
    <w:rsid w:val="004C0922"/>
    <w:rsid w:val="004C097F"/>
    <w:rsid w:val="004C0A2F"/>
    <w:rsid w:val="004C0ADF"/>
    <w:rsid w:val="004C0C77"/>
    <w:rsid w:val="004C0D93"/>
    <w:rsid w:val="004C0DA8"/>
    <w:rsid w:val="004C0E72"/>
    <w:rsid w:val="004C0EC3"/>
    <w:rsid w:val="004C0F47"/>
    <w:rsid w:val="004C0F5D"/>
    <w:rsid w:val="004C0F9B"/>
    <w:rsid w:val="004C1127"/>
    <w:rsid w:val="004C1175"/>
    <w:rsid w:val="004C11B5"/>
    <w:rsid w:val="004C138B"/>
    <w:rsid w:val="004C1433"/>
    <w:rsid w:val="004C1695"/>
    <w:rsid w:val="004C1780"/>
    <w:rsid w:val="004C18C6"/>
    <w:rsid w:val="004C1910"/>
    <w:rsid w:val="004C1D0F"/>
    <w:rsid w:val="004C1D4E"/>
    <w:rsid w:val="004C1E24"/>
    <w:rsid w:val="004C1EB3"/>
    <w:rsid w:val="004C1ECA"/>
    <w:rsid w:val="004C205C"/>
    <w:rsid w:val="004C20F1"/>
    <w:rsid w:val="004C2109"/>
    <w:rsid w:val="004C214E"/>
    <w:rsid w:val="004C21AF"/>
    <w:rsid w:val="004C221E"/>
    <w:rsid w:val="004C22A6"/>
    <w:rsid w:val="004C2319"/>
    <w:rsid w:val="004C2383"/>
    <w:rsid w:val="004C248A"/>
    <w:rsid w:val="004C24BA"/>
    <w:rsid w:val="004C250B"/>
    <w:rsid w:val="004C2589"/>
    <w:rsid w:val="004C25F9"/>
    <w:rsid w:val="004C26BD"/>
    <w:rsid w:val="004C26F0"/>
    <w:rsid w:val="004C274A"/>
    <w:rsid w:val="004C277F"/>
    <w:rsid w:val="004C28AA"/>
    <w:rsid w:val="004C299F"/>
    <w:rsid w:val="004C2BF8"/>
    <w:rsid w:val="004C2C83"/>
    <w:rsid w:val="004C2C95"/>
    <w:rsid w:val="004C2F00"/>
    <w:rsid w:val="004C2F08"/>
    <w:rsid w:val="004C2F4D"/>
    <w:rsid w:val="004C302D"/>
    <w:rsid w:val="004C30E2"/>
    <w:rsid w:val="004C3194"/>
    <w:rsid w:val="004C3224"/>
    <w:rsid w:val="004C3277"/>
    <w:rsid w:val="004C327B"/>
    <w:rsid w:val="004C33AC"/>
    <w:rsid w:val="004C33C0"/>
    <w:rsid w:val="004C347B"/>
    <w:rsid w:val="004C3483"/>
    <w:rsid w:val="004C3682"/>
    <w:rsid w:val="004C3944"/>
    <w:rsid w:val="004C3A23"/>
    <w:rsid w:val="004C3A8A"/>
    <w:rsid w:val="004C3C23"/>
    <w:rsid w:val="004C3D62"/>
    <w:rsid w:val="004C3DD8"/>
    <w:rsid w:val="004C3DF2"/>
    <w:rsid w:val="004C3DFC"/>
    <w:rsid w:val="004C3E6F"/>
    <w:rsid w:val="004C4132"/>
    <w:rsid w:val="004C416E"/>
    <w:rsid w:val="004C426F"/>
    <w:rsid w:val="004C43BA"/>
    <w:rsid w:val="004C454F"/>
    <w:rsid w:val="004C4704"/>
    <w:rsid w:val="004C47BA"/>
    <w:rsid w:val="004C47BD"/>
    <w:rsid w:val="004C480D"/>
    <w:rsid w:val="004C4835"/>
    <w:rsid w:val="004C49D4"/>
    <w:rsid w:val="004C4B1B"/>
    <w:rsid w:val="004C4CBA"/>
    <w:rsid w:val="004C4D22"/>
    <w:rsid w:val="004C4DC7"/>
    <w:rsid w:val="004C4DFD"/>
    <w:rsid w:val="004C4E35"/>
    <w:rsid w:val="004C4F4C"/>
    <w:rsid w:val="004C4FF9"/>
    <w:rsid w:val="004C50CB"/>
    <w:rsid w:val="004C529D"/>
    <w:rsid w:val="004C53B9"/>
    <w:rsid w:val="004C54E2"/>
    <w:rsid w:val="004C54F0"/>
    <w:rsid w:val="004C5615"/>
    <w:rsid w:val="004C56EA"/>
    <w:rsid w:val="004C5864"/>
    <w:rsid w:val="004C59AD"/>
    <w:rsid w:val="004C5A21"/>
    <w:rsid w:val="004C5B06"/>
    <w:rsid w:val="004C5BD2"/>
    <w:rsid w:val="004C5BEC"/>
    <w:rsid w:val="004C5E6F"/>
    <w:rsid w:val="004C5F79"/>
    <w:rsid w:val="004C6041"/>
    <w:rsid w:val="004C6143"/>
    <w:rsid w:val="004C61E4"/>
    <w:rsid w:val="004C6272"/>
    <w:rsid w:val="004C627C"/>
    <w:rsid w:val="004C63C4"/>
    <w:rsid w:val="004C6597"/>
    <w:rsid w:val="004C65DB"/>
    <w:rsid w:val="004C66AE"/>
    <w:rsid w:val="004C66D1"/>
    <w:rsid w:val="004C66D4"/>
    <w:rsid w:val="004C6A3A"/>
    <w:rsid w:val="004C6AB6"/>
    <w:rsid w:val="004C6AC5"/>
    <w:rsid w:val="004C6AD0"/>
    <w:rsid w:val="004C6C15"/>
    <w:rsid w:val="004C6C90"/>
    <w:rsid w:val="004C6DDF"/>
    <w:rsid w:val="004C6EFE"/>
    <w:rsid w:val="004C6FE2"/>
    <w:rsid w:val="004C701A"/>
    <w:rsid w:val="004C71B7"/>
    <w:rsid w:val="004C7316"/>
    <w:rsid w:val="004C74FE"/>
    <w:rsid w:val="004C754E"/>
    <w:rsid w:val="004C75AB"/>
    <w:rsid w:val="004C7677"/>
    <w:rsid w:val="004C7826"/>
    <w:rsid w:val="004C7851"/>
    <w:rsid w:val="004C7909"/>
    <w:rsid w:val="004C7931"/>
    <w:rsid w:val="004C7A58"/>
    <w:rsid w:val="004C7A5D"/>
    <w:rsid w:val="004C7AC7"/>
    <w:rsid w:val="004C7BD3"/>
    <w:rsid w:val="004C7DA0"/>
    <w:rsid w:val="004C7EC9"/>
    <w:rsid w:val="004CCA42"/>
    <w:rsid w:val="004D00EF"/>
    <w:rsid w:val="004D0162"/>
    <w:rsid w:val="004D0221"/>
    <w:rsid w:val="004D041F"/>
    <w:rsid w:val="004D0541"/>
    <w:rsid w:val="004D0725"/>
    <w:rsid w:val="004D07CA"/>
    <w:rsid w:val="004D08A1"/>
    <w:rsid w:val="004D08C7"/>
    <w:rsid w:val="004D0950"/>
    <w:rsid w:val="004D0C8C"/>
    <w:rsid w:val="004D0D79"/>
    <w:rsid w:val="004D0E83"/>
    <w:rsid w:val="004D0EB4"/>
    <w:rsid w:val="004D0EE2"/>
    <w:rsid w:val="004D0EE7"/>
    <w:rsid w:val="004D0F5B"/>
    <w:rsid w:val="004D0FA2"/>
    <w:rsid w:val="004D0FB2"/>
    <w:rsid w:val="004D0FD9"/>
    <w:rsid w:val="004D102B"/>
    <w:rsid w:val="004D1038"/>
    <w:rsid w:val="004D103D"/>
    <w:rsid w:val="004D13EC"/>
    <w:rsid w:val="004D19B7"/>
    <w:rsid w:val="004D1A6B"/>
    <w:rsid w:val="004D1ABA"/>
    <w:rsid w:val="004D1B65"/>
    <w:rsid w:val="004D1B76"/>
    <w:rsid w:val="004D1BCD"/>
    <w:rsid w:val="004D1C96"/>
    <w:rsid w:val="004D1CA4"/>
    <w:rsid w:val="004D1CEF"/>
    <w:rsid w:val="004D1FDD"/>
    <w:rsid w:val="004D2116"/>
    <w:rsid w:val="004D222D"/>
    <w:rsid w:val="004D23F2"/>
    <w:rsid w:val="004D24B0"/>
    <w:rsid w:val="004D2653"/>
    <w:rsid w:val="004D2755"/>
    <w:rsid w:val="004D2879"/>
    <w:rsid w:val="004D29DB"/>
    <w:rsid w:val="004D2A1D"/>
    <w:rsid w:val="004D2B57"/>
    <w:rsid w:val="004D2BC4"/>
    <w:rsid w:val="004D2CD7"/>
    <w:rsid w:val="004D2D04"/>
    <w:rsid w:val="004D2DF3"/>
    <w:rsid w:val="004D2E5F"/>
    <w:rsid w:val="004D3072"/>
    <w:rsid w:val="004D30FB"/>
    <w:rsid w:val="004D32FC"/>
    <w:rsid w:val="004D3359"/>
    <w:rsid w:val="004D34EC"/>
    <w:rsid w:val="004D3676"/>
    <w:rsid w:val="004D375C"/>
    <w:rsid w:val="004D378F"/>
    <w:rsid w:val="004D37E2"/>
    <w:rsid w:val="004D3888"/>
    <w:rsid w:val="004D388D"/>
    <w:rsid w:val="004D3C81"/>
    <w:rsid w:val="004D3D8D"/>
    <w:rsid w:val="004D3E64"/>
    <w:rsid w:val="004D3E8B"/>
    <w:rsid w:val="004D3F38"/>
    <w:rsid w:val="004D4010"/>
    <w:rsid w:val="004D40A5"/>
    <w:rsid w:val="004D4114"/>
    <w:rsid w:val="004D4169"/>
    <w:rsid w:val="004D437F"/>
    <w:rsid w:val="004D4394"/>
    <w:rsid w:val="004D4520"/>
    <w:rsid w:val="004D45D0"/>
    <w:rsid w:val="004D480F"/>
    <w:rsid w:val="004D4A4A"/>
    <w:rsid w:val="004D4B54"/>
    <w:rsid w:val="004D4C0A"/>
    <w:rsid w:val="004D4E5B"/>
    <w:rsid w:val="004D4FF8"/>
    <w:rsid w:val="004D4FFF"/>
    <w:rsid w:val="004D500B"/>
    <w:rsid w:val="004D5064"/>
    <w:rsid w:val="004D527E"/>
    <w:rsid w:val="004D54C5"/>
    <w:rsid w:val="004D5571"/>
    <w:rsid w:val="004D561B"/>
    <w:rsid w:val="004D5658"/>
    <w:rsid w:val="004D5788"/>
    <w:rsid w:val="004D580D"/>
    <w:rsid w:val="004D5840"/>
    <w:rsid w:val="004D58E4"/>
    <w:rsid w:val="004D5970"/>
    <w:rsid w:val="004D5982"/>
    <w:rsid w:val="004D59D4"/>
    <w:rsid w:val="004D5A54"/>
    <w:rsid w:val="004D5AC9"/>
    <w:rsid w:val="004D5AF4"/>
    <w:rsid w:val="004D5B41"/>
    <w:rsid w:val="004D5E4E"/>
    <w:rsid w:val="004D5E86"/>
    <w:rsid w:val="004D5EC5"/>
    <w:rsid w:val="004D5FA9"/>
    <w:rsid w:val="004D603C"/>
    <w:rsid w:val="004D6095"/>
    <w:rsid w:val="004D60D2"/>
    <w:rsid w:val="004D6295"/>
    <w:rsid w:val="004D63FD"/>
    <w:rsid w:val="004D643F"/>
    <w:rsid w:val="004D645B"/>
    <w:rsid w:val="004D649F"/>
    <w:rsid w:val="004D6503"/>
    <w:rsid w:val="004D653A"/>
    <w:rsid w:val="004D659F"/>
    <w:rsid w:val="004D6646"/>
    <w:rsid w:val="004D6784"/>
    <w:rsid w:val="004D68CC"/>
    <w:rsid w:val="004D6903"/>
    <w:rsid w:val="004D69E4"/>
    <w:rsid w:val="004D6C65"/>
    <w:rsid w:val="004D6CAB"/>
    <w:rsid w:val="004D6CAD"/>
    <w:rsid w:val="004D6D7B"/>
    <w:rsid w:val="004D6E97"/>
    <w:rsid w:val="004D7083"/>
    <w:rsid w:val="004D7122"/>
    <w:rsid w:val="004D723D"/>
    <w:rsid w:val="004D7266"/>
    <w:rsid w:val="004D72A6"/>
    <w:rsid w:val="004D732C"/>
    <w:rsid w:val="004D746D"/>
    <w:rsid w:val="004D74A6"/>
    <w:rsid w:val="004D7532"/>
    <w:rsid w:val="004D7544"/>
    <w:rsid w:val="004D775C"/>
    <w:rsid w:val="004D7773"/>
    <w:rsid w:val="004D77E5"/>
    <w:rsid w:val="004D7846"/>
    <w:rsid w:val="004D7914"/>
    <w:rsid w:val="004D7955"/>
    <w:rsid w:val="004D7996"/>
    <w:rsid w:val="004D7A57"/>
    <w:rsid w:val="004D7AC5"/>
    <w:rsid w:val="004D7B62"/>
    <w:rsid w:val="004D7B6A"/>
    <w:rsid w:val="004D7D1E"/>
    <w:rsid w:val="004D7D5A"/>
    <w:rsid w:val="004D7E54"/>
    <w:rsid w:val="004D7EB3"/>
    <w:rsid w:val="004D7EE3"/>
    <w:rsid w:val="004D7F17"/>
    <w:rsid w:val="004E0086"/>
    <w:rsid w:val="004E009F"/>
    <w:rsid w:val="004E0130"/>
    <w:rsid w:val="004E024C"/>
    <w:rsid w:val="004E02B2"/>
    <w:rsid w:val="004E034F"/>
    <w:rsid w:val="004E04C0"/>
    <w:rsid w:val="004E0529"/>
    <w:rsid w:val="004E05F2"/>
    <w:rsid w:val="004E06C1"/>
    <w:rsid w:val="004E08A4"/>
    <w:rsid w:val="004E0A5C"/>
    <w:rsid w:val="004E0A92"/>
    <w:rsid w:val="004E0BBC"/>
    <w:rsid w:val="004E0D82"/>
    <w:rsid w:val="004E0DA9"/>
    <w:rsid w:val="004E0EB2"/>
    <w:rsid w:val="004E1055"/>
    <w:rsid w:val="004E108E"/>
    <w:rsid w:val="004E10CF"/>
    <w:rsid w:val="004E1265"/>
    <w:rsid w:val="004E13F3"/>
    <w:rsid w:val="004E141F"/>
    <w:rsid w:val="004E1451"/>
    <w:rsid w:val="004E14CE"/>
    <w:rsid w:val="004E14D2"/>
    <w:rsid w:val="004E14E8"/>
    <w:rsid w:val="004E15B8"/>
    <w:rsid w:val="004E1604"/>
    <w:rsid w:val="004E168D"/>
    <w:rsid w:val="004E16B9"/>
    <w:rsid w:val="004E16EF"/>
    <w:rsid w:val="004E1865"/>
    <w:rsid w:val="004E18D4"/>
    <w:rsid w:val="004E1A61"/>
    <w:rsid w:val="004E1A8A"/>
    <w:rsid w:val="004E1B47"/>
    <w:rsid w:val="004E1BBE"/>
    <w:rsid w:val="004E1C39"/>
    <w:rsid w:val="004E1C53"/>
    <w:rsid w:val="004E1C6B"/>
    <w:rsid w:val="004E1D3A"/>
    <w:rsid w:val="004E1E24"/>
    <w:rsid w:val="004E1F79"/>
    <w:rsid w:val="004E1FCA"/>
    <w:rsid w:val="004E205C"/>
    <w:rsid w:val="004E234F"/>
    <w:rsid w:val="004E241E"/>
    <w:rsid w:val="004E2420"/>
    <w:rsid w:val="004E2432"/>
    <w:rsid w:val="004E2561"/>
    <w:rsid w:val="004E25AB"/>
    <w:rsid w:val="004E2652"/>
    <w:rsid w:val="004E2699"/>
    <w:rsid w:val="004E26C9"/>
    <w:rsid w:val="004E2779"/>
    <w:rsid w:val="004E2AD0"/>
    <w:rsid w:val="004E2BA0"/>
    <w:rsid w:val="004E2BE4"/>
    <w:rsid w:val="004E2DB1"/>
    <w:rsid w:val="004E2E06"/>
    <w:rsid w:val="004E2E42"/>
    <w:rsid w:val="004E2EFC"/>
    <w:rsid w:val="004E3052"/>
    <w:rsid w:val="004E3071"/>
    <w:rsid w:val="004E314C"/>
    <w:rsid w:val="004E3277"/>
    <w:rsid w:val="004E32CF"/>
    <w:rsid w:val="004E3343"/>
    <w:rsid w:val="004E33B0"/>
    <w:rsid w:val="004E33BE"/>
    <w:rsid w:val="004E342C"/>
    <w:rsid w:val="004E3556"/>
    <w:rsid w:val="004E355D"/>
    <w:rsid w:val="004E36CB"/>
    <w:rsid w:val="004E3705"/>
    <w:rsid w:val="004E37EB"/>
    <w:rsid w:val="004E3849"/>
    <w:rsid w:val="004E399D"/>
    <w:rsid w:val="004E3A66"/>
    <w:rsid w:val="004E3B18"/>
    <w:rsid w:val="004E3B1D"/>
    <w:rsid w:val="004E3BFD"/>
    <w:rsid w:val="004E3C0F"/>
    <w:rsid w:val="004E3E67"/>
    <w:rsid w:val="004E3E6F"/>
    <w:rsid w:val="004E3EA5"/>
    <w:rsid w:val="004E3EE0"/>
    <w:rsid w:val="004E3F50"/>
    <w:rsid w:val="004E4089"/>
    <w:rsid w:val="004E4121"/>
    <w:rsid w:val="004E420C"/>
    <w:rsid w:val="004E42A4"/>
    <w:rsid w:val="004E44CE"/>
    <w:rsid w:val="004E4746"/>
    <w:rsid w:val="004E4789"/>
    <w:rsid w:val="004E47C8"/>
    <w:rsid w:val="004E490F"/>
    <w:rsid w:val="004E4916"/>
    <w:rsid w:val="004E4AAB"/>
    <w:rsid w:val="004E4AE4"/>
    <w:rsid w:val="004E4C5B"/>
    <w:rsid w:val="004E4CC1"/>
    <w:rsid w:val="004E4D57"/>
    <w:rsid w:val="004E4D7F"/>
    <w:rsid w:val="004E4E43"/>
    <w:rsid w:val="004E4E7A"/>
    <w:rsid w:val="004E4F14"/>
    <w:rsid w:val="004E4F34"/>
    <w:rsid w:val="004E500E"/>
    <w:rsid w:val="004E529E"/>
    <w:rsid w:val="004E52A4"/>
    <w:rsid w:val="004E5490"/>
    <w:rsid w:val="004E549A"/>
    <w:rsid w:val="004E552B"/>
    <w:rsid w:val="004E5848"/>
    <w:rsid w:val="004E58C1"/>
    <w:rsid w:val="004E5BF7"/>
    <w:rsid w:val="004E5BFF"/>
    <w:rsid w:val="004E5EB3"/>
    <w:rsid w:val="004E5F53"/>
    <w:rsid w:val="004E608C"/>
    <w:rsid w:val="004E60F8"/>
    <w:rsid w:val="004E623E"/>
    <w:rsid w:val="004E626F"/>
    <w:rsid w:val="004E639B"/>
    <w:rsid w:val="004E63F0"/>
    <w:rsid w:val="004E64C1"/>
    <w:rsid w:val="004E64EB"/>
    <w:rsid w:val="004E6506"/>
    <w:rsid w:val="004E650B"/>
    <w:rsid w:val="004E654C"/>
    <w:rsid w:val="004E6588"/>
    <w:rsid w:val="004E65FB"/>
    <w:rsid w:val="004E687F"/>
    <w:rsid w:val="004E68BF"/>
    <w:rsid w:val="004E68C8"/>
    <w:rsid w:val="004E6976"/>
    <w:rsid w:val="004E6995"/>
    <w:rsid w:val="004E69B8"/>
    <w:rsid w:val="004E6A23"/>
    <w:rsid w:val="004E6BD7"/>
    <w:rsid w:val="004E6C6A"/>
    <w:rsid w:val="004E703A"/>
    <w:rsid w:val="004E7091"/>
    <w:rsid w:val="004E7160"/>
    <w:rsid w:val="004E740A"/>
    <w:rsid w:val="004E7424"/>
    <w:rsid w:val="004E75D6"/>
    <w:rsid w:val="004E7735"/>
    <w:rsid w:val="004E7738"/>
    <w:rsid w:val="004E7755"/>
    <w:rsid w:val="004E7A37"/>
    <w:rsid w:val="004E7A7F"/>
    <w:rsid w:val="004E7B2E"/>
    <w:rsid w:val="004E7CF7"/>
    <w:rsid w:val="004E7E94"/>
    <w:rsid w:val="004E7F29"/>
    <w:rsid w:val="004F00EF"/>
    <w:rsid w:val="004F014E"/>
    <w:rsid w:val="004F015E"/>
    <w:rsid w:val="004F01BD"/>
    <w:rsid w:val="004F01E5"/>
    <w:rsid w:val="004F025D"/>
    <w:rsid w:val="004F02C4"/>
    <w:rsid w:val="004F0336"/>
    <w:rsid w:val="004F0686"/>
    <w:rsid w:val="004F077C"/>
    <w:rsid w:val="004F08C5"/>
    <w:rsid w:val="004F0977"/>
    <w:rsid w:val="004F098B"/>
    <w:rsid w:val="004F09B8"/>
    <w:rsid w:val="004F0A0E"/>
    <w:rsid w:val="004F0A13"/>
    <w:rsid w:val="004F0A19"/>
    <w:rsid w:val="004F0AD8"/>
    <w:rsid w:val="004F0B39"/>
    <w:rsid w:val="004F0BA7"/>
    <w:rsid w:val="004F0C3B"/>
    <w:rsid w:val="004F0D44"/>
    <w:rsid w:val="004F0DE9"/>
    <w:rsid w:val="004F0E65"/>
    <w:rsid w:val="004F0FCB"/>
    <w:rsid w:val="004F113C"/>
    <w:rsid w:val="004F12D1"/>
    <w:rsid w:val="004F12EC"/>
    <w:rsid w:val="004F1363"/>
    <w:rsid w:val="004F14D5"/>
    <w:rsid w:val="004F1561"/>
    <w:rsid w:val="004F1583"/>
    <w:rsid w:val="004F168C"/>
    <w:rsid w:val="004F16CD"/>
    <w:rsid w:val="004F1751"/>
    <w:rsid w:val="004F1817"/>
    <w:rsid w:val="004F18CA"/>
    <w:rsid w:val="004F196F"/>
    <w:rsid w:val="004F199D"/>
    <w:rsid w:val="004F19B6"/>
    <w:rsid w:val="004F19DB"/>
    <w:rsid w:val="004F1A1C"/>
    <w:rsid w:val="004F1A83"/>
    <w:rsid w:val="004F1AB4"/>
    <w:rsid w:val="004F1B4B"/>
    <w:rsid w:val="004F1B64"/>
    <w:rsid w:val="004F1B6A"/>
    <w:rsid w:val="004F1CA0"/>
    <w:rsid w:val="004F1D78"/>
    <w:rsid w:val="004F1DA9"/>
    <w:rsid w:val="004F1F36"/>
    <w:rsid w:val="004F1FA3"/>
    <w:rsid w:val="004F1FAE"/>
    <w:rsid w:val="004F1FCF"/>
    <w:rsid w:val="004F2026"/>
    <w:rsid w:val="004F2095"/>
    <w:rsid w:val="004F210A"/>
    <w:rsid w:val="004F212D"/>
    <w:rsid w:val="004F222B"/>
    <w:rsid w:val="004F2444"/>
    <w:rsid w:val="004F2490"/>
    <w:rsid w:val="004F24D7"/>
    <w:rsid w:val="004F251A"/>
    <w:rsid w:val="004F2546"/>
    <w:rsid w:val="004F2685"/>
    <w:rsid w:val="004F2688"/>
    <w:rsid w:val="004F2982"/>
    <w:rsid w:val="004F2B41"/>
    <w:rsid w:val="004F2C2A"/>
    <w:rsid w:val="004F2CDD"/>
    <w:rsid w:val="004F2D07"/>
    <w:rsid w:val="004F2E16"/>
    <w:rsid w:val="004F2E24"/>
    <w:rsid w:val="004F2F38"/>
    <w:rsid w:val="004F2FB4"/>
    <w:rsid w:val="004F2FD7"/>
    <w:rsid w:val="004F2FE3"/>
    <w:rsid w:val="004F311F"/>
    <w:rsid w:val="004F3148"/>
    <w:rsid w:val="004F322B"/>
    <w:rsid w:val="004F32ED"/>
    <w:rsid w:val="004F346E"/>
    <w:rsid w:val="004F3577"/>
    <w:rsid w:val="004F3703"/>
    <w:rsid w:val="004F3724"/>
    <w:rsid w:val="004F377B"/>
    <w:rsid w:val="004F3950"/>
    <w:rsid w:val="004F395F"/>
    <w:rsid w:val="004F39BD"/>
    <w:rsid w:val="004F3AC7"/>
    <w:rsid w:val="004F3B22"/>
    <w:rsid w:val="004F3B70"/>
    <w:rsid w:val="004F3EC3"/>
    <w:rsid w:val="004F4273"/>
    <w:rsid w:val="004F43B7"/>
    <w:rsid w:val="004F4401"/>
    <w:rsid w:val="004F453C"/>
    <w:rsid w:val="004F4545"/>
    <w:rsid w:val="004F45DA"/>
    <w:rsid w:val="004F47B6"/>
    <w:rsid w:val="004F480D"/>
    <w:rsid w:val="004F4971"/>
    <w:rsid w:val="004F49D5"/>
    <w:rsid w:val="004F49F9"/>
    <w:rsid w:val="004F4D1C"/>
    <w:rsid w:val="004F4D77"/>
    <w:rsid w:val="004F4DBB"/>
    <w:rsid w:val="004F4F06"/>
    <w:rsid w:val="004F4F46"/>
    <w:rsid w:val="004F5245"/>
    <w:rsid w:val="004F52D2"/>
    <w:rsid w:val="004F52E4"/>
    <w:rsid w:val="004F5472"/>
    <w:rsid w:val="004F5525"/>
    <w:rsid w:val="004F567C"/>
    <w:rsid w:val="004F56C6"/>
    <w:rsid w:val="004F57F7"/>
    <w:rsid w:val="004F5832"/>
    <w:rsid w:val="004F587F"/>
    <w:rsid w:val="004F595F"/>
    <w:rsid w:val="004F5A28"/>
    <w:rsid w:val="004F5AAA"/>
    <w:rsid w:val="004F5BDB"/>
    <w:rsid w:val="004F5BF9"/>
    <w:rsid w:val="004F5D99"/>
    <w:rsid w:val="004F5DBB"/>
    <w:rsid w:val="004F5ED7"/>
    <w:rsid w:val="004F5EE2"/>
    <w:rsid w:val="004F5F3C"/>
    <w:rsid w:val="004F61A7"/>
    <w:rsid w:val="004F642F"/>
    <w:rsid w:val="004F648F"/>
    <w:rsid w:val="004F6491"/>
    <w:rsid w:val="004F64FB"/>
    <w:rsid w:val="004F6568"/>
    <w:rsid w:val="004F6634"/>
    <w:rsid w:val="004F66DC"/>
    <w:rsid w:val="004F684C"/>
    <w:rsid w:val="004F6885"/>
    <w:rsid w:val="004F68BC"/>
    <w:rsid w:val="004F68C4"/>
    <w:rsid w:val="004F6907"/>
    <w:rsid w:val="004F69B6"/>
    <w:rsid w:val="004F69BC"/>
    <w:rsid w:val="004F6A60"/>
    <w:rsid w:val="004F6C57"/>
    <w:rsid w:val="004F6C78"/>
    <w:rsid w:val="004F6C9C"/>
    <w:rsid w:val="004F6CBC"/>
    <w:rsid w:val="004F6E7F"/>
    <w:rsid w:val="004F7036"/>
    <w:rsid w:val="004F71CD"/>
    <w:rsid w:val="004F7331"/>
    <w:rsid w:val="004F74F0"/>
    <w:rsid w:val="004F74F5"/>
    <w:rsid w:val="004F74F6"/>
    <w:rsid w:val="004F7501"/>
    <w:rsid w:val="004F7526"/>
    <w:rsid w:val="004F763F"/>
    <w:rsid w:val="004F7648"/>
    <w:rsid w:val="004F768C"/>
    <w:rsid w:val="004F76CC"/>
    <w:rsid w:val="004F7767"/>
    <w:rsid w:val="004F77D3"/>
    <w:rsid w:val="004F77F4"/>
    <w:rsid w:val="004F7830"/>
    <w:rsid w:val="004F78B5"/>
    <w:rsid w:val="004F78D2"/>
    <w:rsid w:val="004F78EB"/>
    <w:rsid w:val="004F7938"/>
    <w:rsid w:val="004F7955"/>
    <w:rsid w:val="004F79CB"/>
    <w:rsid w:val="004F7AC4"/>
    <w:rsid w:val="004F7B54"/>
    <w:rsid w:val="004F7C47"/>
    <w:rsid w:val="004F7C4F"/>
    <w:rsid w:val="004F7D35"/>
    <w:rsid w:val="004F7DFB"/>
    <w:rsid w:val="004F7EC7"/>
    <w:rsid w:val="004F7ED6"/>
    <w:rsid w:val="00500127"/>
    <w:rsid w:val="0050020B"/>
    <w:rsid w:val="00500370"/>
    <w:rsid w:val="0050037C"/>
    <w:rsid w:val="005003D9"/>
    <w:rsid w:val="005004D2"/>
    <w:rsid w:val="00500897"/>
    <w:rsid w:val="00500992"/>
    <w:rsid w:val="005009D9"/>
    <w:rsid w:val="00500A10"/>
    <w:rsid w:val="00500C0A"/>
    <w:rsid w:val="00500F02"/>
    <w:rsid w:val="00501086"/>
    <w:rsid w:val="005010E1"/>
    <w:rsid w:val="00501315"/>
    <w:rsid w:val="00501337"/>
    <w:rsid w:val="005014B7"/>
    <w:rsid w:val="0050159F"/>
    <w:rsid w:val="00501607"/>
    <w:rsid w:val="00501632"/>
    <w:rsid w:val="005016D1"/>
    <w:rsid w:val="00501725"/>
    <w:rsid w:val="005017CA"/>
    <w:rsid w:val="005017CE"/>
    <w:rsid w:val="0050185C"/>
    <w:rsid w:val="00501889"/>
    <w:rsid w:val="005019AF"/>
    <w:rsid w:val="005019BA"/>
    <w:rsid w:val="005019FE"/>
    <w:rsid w:val="00501A68"/>
    <w:rsid w:val="00501A86"/>
    <w:rsid w:val="00501AB6"/>
    <w:rsid w:val="00501C04"/>
    <w:rsid w:val="00501C7B"/>
    <w:rsid w:val="00501E06"/>
    <w:rsid w:val="00501E27"/>
    <w:rsid w:val="00501E8F"/>
    <w:rsid w:val="00501EA2"/>
    <w:rsid w:val="00501FE1"/>
    <w:rsid w:val="00501FF2"/>
    <w:rsid w:val="00502033"/>
    <w:rsid w:val="0050209C"/>
    <w:rsid w:val="00502124"/>
    <w:rsid w:val="005021CD"/>
    <w:rsid w:val="005021E0"/>
    <w:rsid w:val="00502279"/>
    <w:rsid w:val="00502322"/>
    <w:rsid w:val="005024BC"/>
    <w:rsid w:val="0050257D"/>
    <w:rsid w:val="005025F3"/>
    <w:rsid w:val="00502643"/>
    <w:rsid w:val="005026BE"/>
    <w:rsid w:val="005026D1"/>
    <w:rsid w:val="00502714"/>
    <w:rsid w:val="00502784"/>
    <w:rsid w:val="00502796"/>
    <w:rsid w:val="005028E2"/>
    <w:rsid w:val="00502A21"/>
    <w:rsid w:val="00502A55"/>
    <w:rsid w:val="00502AC2"/>
    <w:rsid w:val="00502B36"/>
    <w:rsid w:val="00502C79"/>
    <w:rsid w:val="00502D2B"/>
    <w:rsid w:val="00502EE0"/>
    <w:rsid w:val="00502EF7"/>
    <w:rsid w:val="00502F40"/>
    <w:rsid w:val="0050312A"/>
    <w:rsid w:val="00503173"/>
    <w:rsid w:val="0050327E"/>
    <w:rsid w:val="00503359"/>
    <w:rsid w:val="005033C1"/>
    <w:rsid w:val="005034B9"/>
    <w:rsid w:val="0050354B"/>
    <w:rsid w:val="0050375A"/>
    <w:rsid w:val="00503772"/>
    <w:rsid w:val="00503867"/>
    <w:rsid w:val="00503B04"/>
    <w:rsid w:val="00503BD0"/>
    <w:rsid w:val="00503BE6"/>
    <w:rsid w:val="00503DA9"/>
    <w:rsid w:val="00503EC9"/>
    <w:rsid w:val="00503FBC"/>
    <w:rsid w:val="0050409D"/>
    <w:rsid w:val="005040B3"/>
    <w:rsid w:val="00504198"/>
    <w:rsid w:val="0050449A"/>
    <w:rsid w:val="005044D3"/>
    <w:rsid w:val="005045C0"/>
    <w:rsid w:val="0050465D"/>
    <w:rsid w:val="0050477C"/>
    <w:rsid w:val="0050482B"/>
    <w:rsid w:val="005048B8"/>
    <w:rsid w:val="00504964"/>
    <w:rsid w:val="00504995"/>
    <w:rsid w:val="00504A25"/>
    <w:rsid w:val="00504AF5"/>
    <w:rsid w:val="00504B4A"/>
    <w:rsid w:val="00504C3F"/>
    <w:rsid w:val="00504CBB"/>
    <w:rsid w:val="00504F5C"/>
    <w:rsid w:val="00505032"/>
    <w:rsid w:val="0050535F"/>
    <w:rsid w:val="005053E1"/>
    <w:rsid w:val="0050542E"/>
    <w:rsid w:val="005054B5"/>
    <w:rsid w:val="0050564E"/>
    <w:rsid w:val="00505780"/>
    <w:rsid w:val="005057BB"/>
    <w:rsid w:val="005057F8"/>
    <w:rsid w:val="00505804"/>
    <w:rsid w:val="0050581E"/>
    <w:rsid w:val="00505934"/>
    <w:rsid w:val="00505954"/>
    <w:rsid w:val="00505A9B"/>
    <w:rsid w:val="00505BE4"/>
    <w:rsid w:val="00505C30"/>
    <w:rsid w:val="00505E60"/>
    <w:rsid w:val="00505F76"/>
    <w:rsid w:val="00505F7E"/>
    <w:rsid w:val="00505FB1"/>
    <w:rsid w:val="005060B4"/>
    <w:rsid w:val="0050618D"/>
    <w:rsid w:val="00506321"/>
    <w:rsid w:val="005063D9"/>
    <w:rsid w:val="005064ED"/>
    <w:rsid w:val="005065C6"/>
    <w:rsid w:val="00506748"/>
    <w:rsid w:val="0050679E"/>
    <w:rsid w:val="00506A10"/>
    <w:rsid w:val="00506A3D"/>
    <w:rsid w:val="00506B50"/>
    <w:rsid w:val="00506C7A"/>
    <w:rsid w:val="00507010"/>
    <w:rsid w:val="0050707D"/>
    <w:rsid w:val="00507209"/>
    <w:rsid w:val="005072B4"/>
    <w:rsid w:val="0050732E"/>
    <w:rsid w:val="005077D5"/>
    <w:rsid w:val="005078F8"/>
    <w:rsid w:val="00507988"/>
    <w:rsid w:val="00507B02"/>
    <w:rsid w:val="00507BB1"/>
    <w:rsid w:val="00507C39"/>
    <w:rsid w:val="00507C71"/>
    <w:rsid w:val="00507D35"/>
    <w:rsid w:val="00507DCD"/>
    <w:rsid w:val="0050922F"/>
    <w:rsid w:val="0051011C"/>
    <w:rsid w:val="005102D2"/>
    <w:rsid w:val="005102EE"/>
    <w:rsid w:val="0051036F"/>
    <w:rsid w:val="0051040A"/>
    <w:rsid w:val="00510426"/>
    <w:rsid w:val="00510442"/>
    <w:rsid w:val="005106BD"/>
    <w:rsid w:val="00510844"/>
    <w:rsid w:val="0051087B"/>
    <w:rsid w:val="005108AD"/>
    <w:rsid w:val="0051099F"/>
    <w:rsid w:val="005109FE"/>
    <w:rsid w:val="00510C38"/>
    <w:rsid w:val="00510C92"/>
    <w:rsid w:val="00510CCF"/>
    <w:rsid w:val="00510D6A"/>
    <w:rsid w:val="00510DB2"/>
    <w:rsid w:val="00510DDF"/>
    <w:rsid w:val="00510F2B"/>
    <w:rsid w:val="00510FC1"/>
    <w:rsid w:val="00510FD6"/>
    <w:rsid w:val="00511103"/>
    <w:rsid w:val="0051111C"/>
    <w:rsid w:val="0051122F"/>
    <w:rsid w:val="00511273"/>
    <w:rsid w:val="00511472"/>
    <w:rsid w:val="0051168E"/>
    <w:rsid w:val="00511696"/>
    <w:rsid w:val="0051178A"/>
    <w:rsid w:val="005117D4"/>
    <w:rsid w:val="0051195E"/>
    <w:rsid w:val="00511A84"/>
    <w:rsid w:val="00511AE4"/>
    <w:rsid w:val="00511BA4"/>
    <w:rsid w:val="00511D17"/>
    <w:rsid w:val="00511D23"/>
    <w:rsid w:val="00511D54"/>
    <w:rsid w:val="00511DBA"/>
    <w:rsid w:val="00511E6F"/>
    <w:rsid w:val="00511FB0"/>
    <w:rsid w:val="00511FC3"/>
    <w:rsid w:val="0051200D"/>
    <w:rsid w:val="0051205A"/>
    <w:rsid w:val="00512169"/>
    <w:rsid w:val="005121D4"/>
    <w:rsid w:val="0051226C"/>
    <w:rsid w:val="005122EA"/>
    <w:rsid w:val="0051241E"/>
    <w:rsid w:val="005124FE"/>
    <w:rsid w:val="00512728"/>
    <w:rsid w:val="005127C7"/>
    <w:rsid w:val="005127E1"/>
    <w:rsid w:val="00512854"/>
    <w:rsid w:val="0051290E"/>
    <w:rsid w:val="00512956"/>
    <w:rsid w:val="005129F7"/>
    <w:rsid w:val="005129FE"/>
    <w:rsid w:val="00512AD2"/>
    <w:rsid w:val="00512BFD"/>
    <w:rsid w:val="00512CA2"/>
    <w:rsid w:val="00512D08"/>
    <w:rsid w:val="00512E5B"/>
    <w:rsid w:val="00512E76"/>
    <w:rsid w:val="00512E8C"/>
    <w:rsid w:val="00512F6D"/>
    <w:rsid w:val="00512FE1"/>
    <w:rsid w:val="0051306C"/>
    <w:rsid w:val="00513164"/>
    <w:rsid w:val="0051319E"/>
    <w:rsid w:val="005131BA"/>
    <w:rsid w:val="005131C8"/>
    <w:rsid w:val="00513291"/>
    <w:rsid w:val="005132EC"/>
    <w:rsid w:val="005133E7"/>
    <w:rsid w:val="0051344C"/>
    <w:rsid w:val="0051359B"/>
    <w:rsid w:val="005135A0"/>
    <w:rsid w:val="005135D3"/>
    <w:rsid w:val="0051366A"/>
    <w:rsid w:val="005136BD"/>
    <w:rsid w:val="0051370D"/>
    <w:rsid w:val="005137FF"/>
    <w:rsid w:val="005138C5"/>
    <w:rsid w:val="00513BED"/>
    <w:rsid w:val="00513C2A"/>
    <w:rsid w:val="00513CC5"/>
    <w:rsid w:val="00513CF7"/>
    <w:rsid w:val="00513F19"/>
    <w:rsid w:val="00513F83"/>
    <w:rsid w:val="00513FB0"/>
    <w:rsid w:val="00513FE3"/>
    <w:rsid w:val="0051401C"/>
    <w:rsid w:val="00514229"/>
    <w:rsid w:val="0051429E"/>
    <w:rsid w:val="0051432E"/>
    <w:rsid w:val="00514475"/>
    <w:rsid w:val="005144DB"/>
    <w:rsid w:val="0051490A"/>
    <w:rsid w:val="0051496D"/>
    <w:rsid w:val="005149E6"/>
    <w:rsid w:val="00514A0E"/>
    <w:rsid w:val="00514B2D"/>
    <w:rsid w:val="00514BBA"/>
    <w:rsid w:val="00514BF4"/>
    <w:rsid w:val="00514D54"/>
    <w:rsid w:val="00514EE9"/>
    <w:rsid w:val="00515055"/>
    <w:rsid w:val="005151FC"/>
    <w:rsid w:val="00515229"/>
    <w:rsid w:val="00515341"/>
    <w:rsid w:val="0051552A"/>
    <w:rsid w:val="0051558D"/>
    <w:rsid w:val="005155B9"/>
    <w:rsid w:val="005156F3"/>
    <w:rsid w:val="0051576B"/>
    <w:rsid w:val="00515841"/>
    <w:rsid w:val="005158A1"/>
    <w:rsid w:val="005158CC"/>
    <w:rsid w:val="00515951"/>
    <w:rsid w:val="00515AA3"/>
    <w:rsid w:val="00515ADA"/>
    <w:rsid w:val="00515AEB"/>
    <w:rsid w:val="00515B29"/>
    <w:rsid w:val="00515BDF"/>
    <w:rsid w:val="00515D34"/>
    <w:rsid w:val="005160BF"/>
    <w:rsid w:val="00516109"/>
    <w:rsid w:val="00516214"/>
    <w:rsid w:val="00516224"/>
    <w:rsid w:val="005162DA"/>
    <w:rsid w:val="00516398"/>
    <w:rsid w:val="0051647B"/>
    <w:rsid w:val="005164D9"/>
    <w:rsid w:val="005165E9"/>
    <w:rsid w:val="00516764"/>
    <w:rsid w:val="00516798"/>
    <w:rsid w:val="0051680F"/>
    <w:rsid w:val="00516811"/>
    <w:rsid w:val="0051684B"/>
    <w:rsid w:val="00516896"/>
    <w:rsid w:val="005168DE"/>
    <w:rsid w:val="0051695D"/>
    <w:rsid w:val="0051698D"/>
    <w:rsid w:val="00516A53"/>
    <w:rsid w:val="00516AD1"/>
    <w:rsid w:val="00516AD3"/>
    <w:rsid w:val="00516B72"/>
    <w:rsid w:val="00516C1F"/>
    <w:rsid w:val="00516C47"/>
    <w:rsid w:val="00516F24"/>
    <w:rsid w:val="00516FD9"/>
    <w:rsid w:val="00517041"/>
    <w:rsid w:val="0051707C"/>
    <w:rsid w:val="005170D4"/>
    <w:rsid w:val="00517124"/>
    <w:rsid w:val="0051727F"/>
    <w:rsid w:val="005173EB"/>
    <w:rsid w:val="00517424"/>
    <w:rsid w:val="00517467"/>
    <w:rsid w:val="00517559"/>
    <w:rsid w:val="0051760C"/>
    <w:rsid w:val="0051761C"/>
    <w:rsid w:val="005178DE"/>
    <w:rsid w:val="00517935"/>
    <w:rsid w:val="00517950"/>
    <w:rsid w:val="005179CE"/>
    <w:rsid w:val="00517BA6"/>
    <w:rsid w:val="00517C03"/>
    <w:rsid w:val="00517C21"/>
    <w:rsid w:val="00517D61"/>
    <w:rsid w:val="00517EB0"/>
    <w:rsid w:val="00517F66"/>
    <w:rsid w:val="005200E9"/>
    <w:rsid w:val="0052010E"/>
    <w:rsid w:val="00520489"/>
    <w:rsid w:val="00520516"/>
    <w:rsid w:val="00520528"/>
    <w:rsid w:val="005205A4"/>
    <w:rsid w:val="00520700"/>
    <w:rsid w:val="0052096A"/>
    <w:rsid w:val="005209D5"/>
    <w:rsid w:val="005209DB"/>
    <w:rsid w:val="00520A92"/>
    <w:rsid w:val="00520B7B"/>
    <w:rsid w:val="00520D39"/>
    <w:rsid w:val="00520E7D"/>
    <w:rsid w:val="00521019"/>
    <w:rsid w:val="00521088"/>
    <w:rsid w:val="0052118D"/>
    <w:rsid w:val="0052119C"/>
    <w:rsid w:val="005211D4"/>
    <w:rsid w:val="00521235"/>
    <w:rsid w:val="0052136F"/>
    <w:rsid w:val="005214F4"/>
    <w:rsid w:val="0052150A"/>
    <w:rsid w:val="0052158B"/>
    <w:rsid w:val="00521685"/>
    <w:rsid w:val="00521709"/>
    <w:rsid w:val="00521723"/>
    <w:rsid w:val="00521838"/>
    <w:rsid w:val="00521839"/>
    <w:rsid w:val="00521873"/>
    <w:rsid w:val="0052189E"/>
    <w:rsid w:val="00521971"/>
    <w:rsid w:val="00521977"/>
    <w:rsid w:val="005219BD"/>
    <w:rsid w:val="00521A0A"/>
    <w:rsid w:val="00521A20"/>
    <w:rsid w:val="00521A71"/>
    <w:rsid w:val="00521B0D"/>
    <w:rsid w:val="00521B12"/>
    <w:rsid w:val="00521BB3"/>
    <w:rsid w:val="00521CCC"/>
    <w:rsid w:val="00521E1B"/>
    <w:rsid w:val="00521E6B"/>
    <w:rsid w:val="00521F26"/>
    <w:rsid w:val="00521F8D"/>
    <w:rsid w:val="00522141"/>
    <w:rsid w:val="005221CC"/>
    <w:rsid w:val="0052224C"/>
    <w:rsid w:val="00522299"/>
    <w:rsid w:val="00522327"/>
    <w:rsid w:val="0052237E"/>
    <w:rsid w:val="005223C7"/>
    <w:rsid w:val="00522548"/>
    <w:rsid w:val="005226E8"/>
    <w:rsid w:val="005228DD"/>
    <w:rsid w:val="005229E5"/>
    <w:rsid w:val="00522A89"/>
    <w:rsid w:val="00522B31"/>
    <w:rsid w:val="00522B7F"/>
    <w:rsid w:val="00522BFB"/>
    <w:rsid w:val="00522C06"/>
    <w:rsid w:val="00522C63"/>
    <w:rsid w:val="00522E10"/>
    <w:rsid w:val="00522E13"/>
    <w:rsid w:val="00522E2B"/>
    <w:rsid w:val="00522F31"/>
    <w:rsid w:val="0052306E"/>
    <w:rsid w:val="00523169"/>
    <w:rsid w:val="00523248"/>
    <w:rsid w:val="0052332E"/>
    <w:rsid w:val="005233BD"/>
    <w:rsid w:val="005234E2"/>
    <w:rsid w:val="005234EE"/>
    <w:rsid w:val="00523539"/>
    <w:rsid w:val="00523688"/>
    <w:rsid w:val="005236B0"/>
    <w:rsid w:val="00523720"/>
    <w:rsid w:val="0052384A"/>
    <w:rsid w:val="00523966"/>
    <w:rsid w:val="00523A67"/>
    <w:rsid w:val="00523A9C"/>
    <w:rsid w:val="00523AEC"/>
    <w:rsid w:val="00523C48"/>
    <w:rsid w:val="00523C93"/>
    <w:rsid w:val="00523CAA"/>
    <w:rsid w:val="00523EFB"/>
    <w:rsid w:val="0052406E"/>
    <w:rsid w:val="005240AA"/>
    <w:rsid w:val="00524122"/>
    <w:rsid w:val="00524143"/>
    <w:rsid w:val="00524189"/>
    <w:rsid w:val="005243BA"/>
    <w:rsid w:val="005243DD"/>
    <w:rsid w:val="00524457"/>
    <w:rsid w:val="00524489"/>
    <w:rsid w:val="0052457C"/>
    <w:rsid w:val="005245AC"/>
    <w:rsid w:val="005246A7"/>
    <w:rsid w:val="005247DE"/>
    <w:rsid w:val="005248B3"/>
    <w:rsid w:val="005249A4"/>
    <w:rsid w:val="00524A20"/>
    <w:rsid w:val="00524B9B"/>
    <w:rsid w:val="00524D31"/>
    <w:rsid w:val="00524D38"/>
    <w:rsid w:val="00524FF7"/>
    <w:rsid w:val="00525187"/>
    <w:rsid w:val="0052528D"/>
    <w:rsid w:val="0052538B"/>
    <w:rsid w:val="005254C4"/>
    <w:rsid w:val="00525505"/>
    <w:rsid w:val="0052554F"/>
    <w:rsid w:val="00525623"/>
    <w:rsid w:val="005256A6"/>
    <w:rsid w:val="005256F5"/>
    <w:rsid w:val="00525731"/>
    <w:rsid w:val="00525854"/>
    <w:rsid w:val="0052587A"/>
    <w:rsid w:val="005258A6"/>
    <w:rsid w:val="005258E3"/>
    <w:rsid w:val="00525991"/>
    <w:rsid w:val="005259E2"/>
    <w:rsid w:val="00525A6F"/>
    <w:rsid w:val="00525A98"/>
    <w:rsid w:val="00525AD7"/>
    <w:rsid w:val="00525AF0"/>
    <w:rsid w:val="00525BC8"/>
    <w:rsid w:val="00525BFB"/>
    <w:rsid w:val="00525EC1"/>
    <w:rsid w:val="00525F42"/>
    <w:rsid w:val="00525F9C"/>
    <w:rsid w:val="00525FB0"/>
    <w:rsid w:val="005260D9"/>
    <w:rsid w:val="005261B4"/>
    <w:rsid w:val="0052631F"/>
    <w:rsid w:val="005263A3"/>
    <w:rsid w:val="005263A4"/>
    <w:rsid w:val="005263F8"/>
    <w:rsid w:val="005264B4"/>
    <w:rsid w:val="0052653A"/>
    <w:rsid w:val="00526549"/>
    <w:rsid w:val="0052665B"/>
    <w:rsid w:val="00526774"/>
    <w:rsid w:val="005268D1"/>
    <w:rsid w:val="005269E2"/>
    <w:rsid w:val="00526B51"/>
    <w:rsid w:val="00526BC2"/>
    <w:rsid w:val="00526C32"/>
    <w:rsid w:val="00526C34"/>
    <w:rsid w:val="00526C55"/>
    <w:rsid w:val="00526D28"/>
    <w:rsid w:val="00526D5F"/>
    <w:rsid w:val="00526ECA"/>
    <w:rsid w:val="00526F5D"/>
    <w:rsid w:val="005270A8"/>
    <w:rsid w:val="00527127"/>
    <w:rsid w:val="0052722B"/>
    <w:rsid w:val="0052728E"/>
    <w:rsid w:val="005272C2"/>
    <w:rsid w:val="005273C7"/>
    <w:rsid w:val="00527498"/>
    <w:rsid w:val="005275AE"/>
    <w:rsid w:val="005276D9"/>
    <w:rsid w:val="00527718"/>
    <w:rsid w:val="005278CD"/>
    <w:rsid w:val="005278FC"/>
    <w:rsid w:val="0052797E"/>
    <w:rsid w:val="005279EC"/>
    <w:rsid w:val="005279F7"/>
    <w:rsid w:val="00527CAD"/>
    <w:rsid w:val="00527EA9"/>
    <w:rsid w:val="00527EB1"/>
    <w:rsid w:val="00527F45"/>
    <w:rsid w:val="00530034"/>
    <w:rsid w:val="005300AA"/>
    <w:rsid w:val="00530110"/>
    <w:rsid w:val="0053016C"/>
    <w:rsid w:val="00530191"/>
    <w:rsid w:val="00530346"/>
    <w:rsid w:val="0053034F"/>
    <w:rsid w:val="00530401"/>
    <w:rsid w:val="0053042D"/>
    <w:rsid w:val="005304B5"/>
    <w:rsid w:val="00530507"/>
    <w:rsid w:val="0053065B"/>
    <w:rsid w:val="00530794"/>
    <w:rsid w:val="0053079C"/>
    <w:rsid w:val="005307D3"/>
    <w:rsid w:val="00530823"/>
    <w:rsid w:val="00530916"/>
    <w:rsid w:val="00530951"/>
    <w:rsid w:val="005309A0"/>
    <w:rsid w:val="005309B2"/>
    <w:rsid w:val="00530BB1"/>
    <w:rsid w:val="00530E3A"/>
    <w:rsid w:val="0053108C"/>
    <w:rsid w:val="00531158"/>
    <w:rsid w:val="00531182"/>
    <w:rsid w:val="005311F9"/>
    <w:rsid w:val="00531200"/>
    <w:rsid w:val="00531216"/>
    <w:rsid w:val="0053123B"/>
    <w:rsid w:val="0053128E"/>
    <w:rsid w:val="0053135B"/>
    <w:rsid w:val="005313AF"/>
    <w:rsid w:val="005313BF"/>
    <w:rsid w:val="00531479"/>
    <w:rsid w:val="0053153C"/>
    <w:rsid w:val="00531682"/>
    <w:rsid w:val="005316E5"/>
    <w:rsid w:val="00531845"/>
    <w:rsid w:val="005318E8"/>
    <w:rsid w:val="0053192A"/>
    <w:rsid w:val="00531BA7"/>
    <w:rsid w:val="00531BF7"/>
    <w:rsid w:val="00531CA2"/>
    <w:rsid w:val="00531E2A"/>
    <w:rsid w:val="00531EE4"/>
    <w:rsid w:val="00531EE6"/>
    <w:rsid w:val="005320C4"/>
    <w:rsid w:val="005320DE"/>
    <w:rsid w:val="00532132"/>
    <w:rsid w:val="005321A6"/>
    <w:rsid w:val="0053224F"/>
    <w:rsid w:val="0053225F"/>
    <w:rsid w:val="0053230A"/>
    <w:rsid w:val="005323A4"/>
    <w:rsid w:val="005325B8"/>
    <w:rsid w:val="005325D5"/>
    <w:rsid w:val="005325F7"/>
    <w:rsid w:val="005327E8"/>
    <w:rsid w:val="005327ED"/>
    <w:rsid w:val="005328A9"/>
    <w:rsid w:val="0053290A"/>
    <w:rsid w:val="00532D4B"/>
    <w:rsid w:val="00532DDD"/>
    <w:rsid w:val="00532DEF"/>
    <w:rsid w:val="00532E10"/>
    <w:rsid w:val="00532F8E"/>
    <w:rsid w:val="005330EF"/>
    <w:rsid w:val="00533186"/>
    <w:rsid w:val="0053321D"/>
    <w:rsid w:val="00533285"/>
    <w:rsid w:val="005332DE"/>
    <w:rsid w:val="00533481"/>
    <w:rsid w:val="00533517"/>
    <w:rsid w:val="005335E6"/>
    <w:rsid w:val="00533760"/>
    <w:rsid w:val="005338F5"/>
    <w:rsid w:val="005338F6"/>
    <w:rsid w:val="005338F7"/>
    <w:rsid w:val="005339C4"/>
    <w:rsid w:val="005339F2"/>
    <w:rsid w:val="00533A59"/>
    <w:rsid w:val="00533AF8"/>
    <w:rsid w:val="00533BC7"/>
    <w:rsid w:val="00533F73"/>
    <w:rsid w:val="0053403F"/>
    <w:rsid w:val="00534130"/>
    <w:rsid w:val="005341E4"/>
    <w:rsid w:val="005341F0"/>
    <w:rsid w:val="0053429C"/>
    <w:rsid w:val="005342D3"/>
    <w:rsid w:val="00534393"/>
    <w:rsid w:val="005343C7"/>
    <w:rsid w:val="00534404"/>
    <w:rsid w:val="005345DC"/>
    <w:rsid w:val="0053482F"/>
    <w:rsid w:val="00534928"/>
    <w:rsid w:val="00534932"/>
    <w:rsid w:val="00534A1C"/>
    <w:rsid w:val="00534A60"/>
    <w:rsid w:val="00534C2E"/>
    <w:rsid w:val="00534D4C"/>
    <w:rsid w:val="00534E27"/>
    <w:rsid w:val="00534EAC"/>
    <w:rsid w:val="00534F21"/>
    <w:rsid w:val="00534FF5"/>
    <w:rsid w:val="00535001"/>
    <w:rsid w:val="00535014"/>
    <w:rsid w:val="00535124"/>
    <w:rsid w:val="0053524D"/>
    <w:rsid w:val="00535252"/>
    <w:rsid w:val="005353B4"/>
    <w:rsid w:val="005354ED"/>
    <w:rsid w:val="005354F1"/>
    <w:rsid w:val="00535575"/>
    <w:rsid w:val="00535613"/>
    <w:rsid w:val="00535705"/>
    <w:rsid w:val="00535718"/>
    <w:rsid w:val="00535905"/>
    <w:rsid w:val="005359A9"/>
    <w:rsid w:val="00535AFE"/>
    <w:rsid w:val="00535B52"/>
    <w:rsid w:val="00535D94"/>
    <w:rsid w:val="00535E35"/>
    <w:rsid w:val="00535F79"/>
    <w:rsid w:val="0053608A"/>
    <w:rsid w:val="005360DC"/>
    <w:rsid w:val="0053627C"/>
    <w:rsid w:val="00536285"/>
    <w:rsid w:val="005365F4"/>
    <w:rsid w:val="00536809"/>
    <w:rsid w:val="00536A02"/>
    <w:rsid w:val="00536A15"/>
    <w:rsid w:val="00536A27"/>
    <w:rsid w:val="00536A3D"/>
    <w:rsid w:val="00536ADE"/>
    <w:rsid w:val="00536B19"/>
    <w:rsid w:val="00536B54"/>
    <w:rsid w:val="00536C77"/>
    <w:rsid w:val="00536E11"/>
    <w:rsid w:val="00536E33"/>
    <w:rsid w:val="00536FD9"/>
    <w:rsid w:val="0053704A"/>
    <w:rsid w:val="00537059"/>
    <w:rsid w:val="00537073"/>
    <w:rsid w:val="00537231"/>
    <w:rsid w:val="0053726D"/>
    <w:rsid w:val="0053734A"/>
    <w:rsid w:val="00537466"/>
    <w:rsid w:val="00537477"/>
    <w:rsid w:val="0053753B"/>
    <w:rsid w:val="0053768E"/>
    <w:rsid w:val="0053784F"/>
    <w:rsid w:val="0053787B"/>
    <w:rsid w:val="005379A8"/>
    <w:rsid w:val="00537B2B"/>
    <w:rsid w:val="00537C98"/>
    <w:rsid w:val="00537D07"/>
    <w:rsid w:val="00537FCF"/>
    <w:rsid w:val="00540107"/>
    <w:rsid w:val="0054017B"/>
    <w:rsid w:val="00540184"/>
    <w:rsid w:val="00540280"/>
    <w:rsid w:val="0054029E"/>
    <w:rsid w:val="005402EF"/>
    <w:rsid w:val="005403DB"/>
    <w:rsid w:val="0054060E"/>
    <w:rsid w:val="0054060F"/>
    <w:rsid w:val="0054061F"/>
    <w:rsid w:val="005406BF"/>
    <w:rsid w:val="00540A97"/>
    <w:rsid w:val="00540BC9"/>
    <w:rsid w:val="00540E90"/>
    <w:rsid w:val="00540E9C"/>
    <w:rsid w:val="00540F69"/>
    <w:rsid w:val="00540F6F"/>
    <w:rsid w:val="00540F85"/>
    <w:rsid w:val="00540FE5"/>
    <w:rsid w:val="00541157"/>
    <w:rsid w:val="005411C9"/>
    <w:rsid w:val="005411E1"/>
    <w:rsid w:val="0054128B"/>
    <w:rsid w:val="0054138F"/>
    <w:rsid w:val="00541431"/>
    <w:rsid w:val="00541509"/>
    <w:rsid w:val="00541591"/>
    <w:rsid w:val="00541609"/>
    <w:rsid w:val="0054164D"/>
    <w:rsid w:val="005417D5"/>
    <w:rsid w:val="0054180C"/>
    <w:rsid w:val="0054183D"/>
    <w:rsid w:val="005419A5"/>
    <w:rsid w:val="00541BFD"/>
    <w:rsid w:val="00541C4A"/>
    <w:rsid w:val="00541C91"/>
    <w:rsid w:val="00541DA6"/>
    <w:rsid w:val="00541DC8"/>
    <w:rsid w:val="00541E13"/>
    <w:rsid w:val="00541EA6"/>
    <w:rsid w:val="00541FF3"/>
    <w:rsid w:val="0054200D"/>
    <w:rsid w:val="0054203B"/>
    <w:rsid w:val="00542079"/>
    <w:rsid w:val="0054214D"/>
    <w:rsid w:val="0054215C"/>
    <w:rsid w:val="005421D6"/>
    <w:rsid w:val="00542280"/>
    <w:rsid w:val="005422C3"/>
    <w:rsid w:val="0054236F"/>
    <w:rsid w:val="005423DD"/>
    <w:rsid w:val="00542438"/>
    <w:rsid w:val="005424E3"/>
    <w:rsid w:val="0054259D"/>
    <w:rsid w:val="005425C4"/>
    <w:rsid w:val="005426F5"/>
    <w:rsid w:val="0054292A"/>
    <w:rsid w:val="0054296A"/>
    <w:rsid w:val="005429C2"/>
    <w:rsid w:val="005429F4"/>
    <w:rsid w:val="00542AB4"/>
    <w:rsid w:val="00542AD4"/>
    <w:rsid w:val="00542B03"/>
    <w:rsid w:val="00542B5E"/>
    <w:rsid w:val="00542B7A"/>
    <w:rsid w:val="00542B99"/>
    <w:rsid w:val="00542BAE"/>
    <w:rsid w:val="00542C05"/>
    <w:rsid w:val="00542C67"/>
    <w:rsid w:val="00542D86"/>
    <w:rsid w:val="00543109"/>
    <w:rsid w:val="0054317D"/>
    <w:rsid w:val="00543231"/>
    <w:rsid w:val="00543297"/>
    <w:rsid w:val="00543319"/>
    <w:rsid w:val="00543472"/>
    <w:rsid w:val="005434E4"/>
    <w:rsid w:val="00543564"/>
    <w:rsid w:val="005436C5"/>
    <w:rsid w:val="005436E7"/>
    <w:rsid w:val="0054377B"/>
    <w:rsid w:val="005437F6"/>
    <w:rsid w:val="0054394E"/>
    <w:rsid w:val="00543958"/>
    <w:rsid w:val="00543995"/>
    <w:rsid w:val="00543C5F"/>
    <w:rsid w:val="00543DB7"/>
    <w:rsid w:val="00543F8C"/>
    <w:rsid w:val="00543FB7"/>
    <w:rsid w:val="00544115"/>
    <w:rsid w:val="00544222"/>
    <w:rsid w:val="00544259"/>
    <w:rsid w:val="0054445A"/>
    <w:rsid w:val="0054449D"/>
    <w:rsid w:val="0054467C"/>
    <w:rsid w:val="00544700"/>
    <w:rsid w:val="0054479D"/>
    <w:rsid w:val="0054482A"/>
    <w:rsid w:val="005448CB"/>
    <w:rsid w:val="0054494D"/>
    <w:rsid w:val="005449A4"/>
    <w:rsid w:val="005449E7"/>
    <w:rsid w:val="005449F1"/>
    <w:rsid w:val="005449F7"/>
    <w:rsid w:val="00544A9C"/>
    <w:rsid w:val="00544BD3"/>
    <w:rsid w:val="00544D78"/>
    <w:rsid w:val="00544DD7"/>
    <w:rsid w:val="00544DE7"/>
    <w:rsid w:val="00544EA4"/>
    <w:rsid w:val="00544F70"/>
    <w:rsid w:val="0054511F"/>
    <w:rsid w:val="0054514D"/>
    <w:rsid w:val="0054519C"/>
    <w:rsid w:val="00545277"/>
    <w:rsid w:val="0054528F"/>
    <w:rsid w:val="00545487"/>
    <w:rsid w:val="0054571B"/>
    <w:rsid w:val="0054571C"/>
    <w:rsid w:val="00545722"/>
    <w:rsid w:val="0054578C"/>
    <w:rsid w:val="005457D6"/>
    <w:rsid w:val="005457DF"/>
    <w:rsid w:val="00545962"/>
    <w:rsid w:val="005459AD"/>
    <w:rsid w:val="005459F4"/>
    <w:rsid w:val="00545AB9"/>
    <w:rsid w:val="00545ADC"/>
    <w:rsid w:val="00545B2D"/>
    <w:rsid w:val="00545BA7"/>
    <w:rsid w:val="00545EBE"/>
    <w:rsid w:val="00545EC4"/>
    <w:rsid w:val="00545F9E"/>
    <w:rsid w:val="005460ED"/>
    <w:rsid w:val="00546174"/>
    <w:rsid w:val="00546221"/>
    <w:rsid w:val="005462DD"/>
    <w:rsid w:val="00546329"/>
    <w:rsid w:val="005463D6"/>
    <w:rsid w:val="005465A1"/>
    <w:rsid w:val="005465BF"/>
    <w:rsid w:val="0054674F"/>
    <w:rsid w:val="0054675C"/>
    <w:rsid w:val="0054676F"/>
    <w:rsid w:val="005468E4"/>
    <w:rsid w:val="00546A48"/>
    <w:rsid w:val="00546AF5"/>
    <w:rsid w:val="00546B85"/>
    <w:rsid w:val="00546D84"/>
    <w:rsid w:val="00546E87"/>
    <w:rsid w:val="00546F28"/>
    <w:rsid w:val="00546FC2"/>
    <w:rsid w:val="00546FFF"/>
    <w:rsid w:val="0054722F"/>
    <w:rsid w:val="00547358"/>
    <w:rsid w:val="00547647"/>
    <w:rsid w:val="005476F7"/>
    <w:rsid w:val="00547827"/>
    <w:rsid w:val="00547B44"/>
    <w:rsid w:val="00547C0F"/>
    <w:rsid w:val="00547CCD"/>
    <w:rsid w:val="00547D47"/>
    <w:rsid w:val="00547D59"/>
    <w:rsid w:val="00547E06"/>
    <w:rsid w:val="00547F01"/>
    <w:rsid w:val="0055003B"/>
    <w:rsid w:val="005500BD"/>
    <w:rsid w:val="005500DC"/>
    <w:rsid w:val="0055011B"/>
    <w:rsid w:val="005501DE"/>
    <w:rsid w:val="0055020F"/>
    <w:rsid w:val="005503CF"/>
    <w:rsid w:val="005504DE"/>
    <w:rsid w:val="0055071F"/>
    <w:rsid w:val="0055074E"/>
    <w:rsid w:val="005507AA"/>
    <w:rsid w:val="005507EE"/>
    <w:rsid w:val="00550808"/>
    <w:rsid w:val="00550819"/>
    <w:rsid w:val="005508E6"/>
    <w:rsid w:val="0055095A"/>
    <w:rsid w:val="00550997"/>
    <w:rsid w:val="005509D8"/>
    <w:rsid w:val="00550A6A"/>
    <w:rsid w:val="00550AFF"/>
    <w:rsid w:val="00550B24"/>
    <w:rsid w:val="00550BC0"/>
    <w:rsid w:val="00550C8D"/>
    <w:rsid w:val="00550EA5"/>
    <w:rsid w:val="00550F1E"/>
    <w:rsid w:val="00550F61"/>
    <w:rsid w:val="00550FCB"/>
    <w:rsid w:val="0055102D"/>
    <w:rsid w:val="005510D8"/>
    <w:rsid w:val="005510F6"/>
    <w:rsid w:val="005511A1"/>
    <w:rsid w:val="005511E7"/>
    <w:rsid w:val="00551287"/>
    <w:rsid w:val="0055140C"/>
    <w:rsid w:val="0055152F"/>
    <w:rsid w:val="00551770"/>
    <w:rsid w:val="00551833"/>
    <w:rsid w:val="00551870"/>
    <w:rsid w:val="0055194B"/>
    <w:rsid w:val="00551A9A"/>
    <w:rsid w:val="00551BCD"/>
    <w:rsid w:val="00551E26"/>
    <w:rsid w:val="00551F6E"/>
    <w:rsid w:val="005521EF"/>
    <w:rsid w:val="005522C5"/>
    <w:rsid w:val="005522FB"/>
    <w:rsid w:val="00552306"/>
    <w:rsid w:val="0055232F"/>
    <w:rsid w:val="0055252E"/>
    <w:rsid w:val="00552580"/>
    <w:rsid w:val="00552747"/>
    <w:rsid w:val="0055277A"/>
    <w:rsid w:val="005528B9"/>
    <w:rsid w:val="005529A2"/>
    <w:rsid w:val="00552B77"/>
    <w:rsid w:val="00552D5B"/>
    <w:rsid w:val="00552E3C"/>
    <w:rsid w:val="00552E8B"/>
    <w:rsid w:val="00552FFF"/>
    <w:rsid w:val="0055303C"/>
    <w:rsid w:val="00553189"/>
    <w:rsid w:val="00553198"/>
    <w:rsid w:val="00553639"/>
    <w:rsid w:val="00553850"/>
    <w:rsid w:val="0055393F"/>
    <w:rsid w:val="00553977"/>
    <w:rsid w:val="005539CB"/>
    <w:rsid w:val="00553A37"/>
    <w:rsid w:val="00553AC2"/>
    <w:rsid w:val="00553ACC"/>
    <w:rsid w:val="00553C8A"/>
    <w:rsid w:val="00553D43"/>
    <w:rsid w:val="00553D4C"/>
    <w:rsid w:val="00553D5C"/>
    <w:rsid w:val="00553DC6"/>
    <w:rsid w:val="005540C2"/>
    <w:rsid w:val="005540CD"/>
    <w:rsid w:val="00554175"/>
    <w:rsid w:val="0055425E"/>
    <w:rsid w:val="005543BD"/>
    <w:rsid w:val="00554419"/>
    <w:rsid w:val="0055446D"/>
    <w:rsid w:val="00554482"/>
    <w:rsid w:val="005544AD"/>
    <w:rsid w:val="005544E0"/>
    <w:rsid w:val="0055464A"/>
    <w:rsid w:val="005546AB"/>
    <w:rsid w:val="005546FD"/>
    <w:rsid w:val="00554718"/>
    <w:rsid w:val="00554745"/>
    <w:rsid w:val="00554803"/>
    <w:rsid w:val="005548D2"/>
    <w:rsid w:val="00554B60"/>
    <w:rsid w:val="00554B80"/>
    <w:rsid w:val="00554C85"/>
    <w:rsid w:val="00554D3E"/>
    <w:rsid w:val="00554D6F"/>
    <w:rsid w:val="00554F03"/>
    <w:rsid w:val="00554F20"/>
    <w:rsid w:val="00554F46"/>
    <w:rsid w:val="00554F66"/>
    <w:rsid w:val="00555146"/>
    <w:rsid w:val="005551BD"/>
    <w:rsid w:val="0055525B"/>
    <w:rsid w:val="005552DC"/>
    <w:rsid w:val="0055536D"/>
    <w:rsid w:val="00555447"/>
    <w:rsid w:val="00555579"/>
    <w:rsid w:val="0055557E"/>
    <w:rsid w:val="005555D5"/>
    <w:rsid w:val="005557F6"/>
    <w:rsid w:val="0055590C"/>
    <w:rsid w:val="0055598D"/>
    <w:rsid w:val="005559A8"/>
    <w:rsid w:val="005559E0"/>
    <w:rsid w:val="005559FA"/>
    <w:rsid w:val="00555A24"/>
    <w:rsid w:val="00555B6B"/>
    <w:rsid w:val="00555D33"/>
    <w:rsid w:val="00555DFE"/>
    <w:rsid w:val="00555E27"/>
    <w:rsid w:val="00555E7A"/>
    <w:rsid w:val="00555F20"/>
    <w:rsid w:val="00555FFB"/>
    <w:rsid w:val="00556078"/>
    <w:rsid w:val="00556082"/>
    <w:rsid w:val="005561FF"/>
    <w:rsid w:val="0055645B"/>
    <w:rsid w:val="00556486"/>
    <w:rsid w:val="005564A8"/>
    <w:rsid w:val="00556535"/>
    <w:rsid w:val="0055657D"/>
    <w:rsid w:val="0055669D"/>
    <w:rsid w:val="0055676F"/>
    <w:rsid w:val="005567E0"/>
    <w:rsid w:val="005568A7"/>
    <w:rsid w:val="005568F5"/>
    <w:rsid w:val="00556936"/>
    <w:rsid w:val="00556A10"/>
    <w:rsid w:val="00556A39"/>
    <w:rsid w:val="00556A7F"/>
    <w:rsid w:val="00556B76"/>
    <w:rsid w:val="00556B9F"/>
    <w:rsid w:val="00556CE0"/>
    <w:rsid w:val="00556D1A"/>
    <w:rsid w:val="00556D38"/>
    <w:rsid w:val="00556D44"/>
    <w:rsid w:val="00556D6A"/>
    <w:rsid w:val="00556E3C"/>
    <w:rsid w:val="00556E85"/>
    <w:rsid w:val="005570BC"/>
    <w:rsid w:val="00557180"/>
    <w:rsid w:val="005571DD"/>
    <w:rsid w:val="005571DE"/>
    <w:rsid w:val="00557206"/>
    <w:rsid w:val="0055740A"/>
    <w:rsid w:val="005574B0"/>
    <w:rsid w:val="005574D4"/>
    <w:rsid w:val="005574F7"/>
    <w:rsid w:val="005575F0"/>
    <w:rsid w:val="005577B2"/>
    <w:rsid w:val="005577F5"/>
    <w:rsid w:val="0055785F"/>
    <w:rsid w:val="00557886"/>
    <w:rsid w:val="00557A03"/>
    <w:rsid w:val="00557A41"/>
    <w:rsid w:val="00557C46"/>
    <w:rsid w:val="00557D17"/>
    <w:rsid w:val="00560013"/>
    <w:rsid w:val="00560034"/>
    <w:rsid w:val="00560084"/>
    <w:rsid w:val="005600A5"/>
    <w:rsid w:val="005600A6"/>
    <w:rsid w:val="0056015D"/>
    <w:rsid w:val="005602F4"/>
    <w:rsid w:val="00560363"/>
    <w:rsid w:val="005603F0"/>
    <w:rsid w:val="0056058E"/>
    <w:rsid w:val="00560690"/>
    <w:rsid w:val="00560808"/>
    <w:rsid w:val="005608FF"/>
    <w:rsid w:val="00560916"/>
    <w:rsid w:val="00560A9E"/>
    <w:rsid w:val="00560BA8"/>
    <w:rsid w:val="00560C4B"/>
    <w:rsid w:val="00560CF2"/>
    <w:rsid w:val="00560E6D"/>
    <w:rsid w:val="00560F0D"/>
    <w:rsid w:val="00561033"/>
    <w:rsid w:val="00561248"/>
    <w:rsid w:val="0056126A"/>
    <w:rsid w:val="0056132E"/>
    <w:rsid w:val="005614B1"/>
    <w:rsid w:val="00561715"/>
    <w:rsid w:val="005617E7"/>
    <w:rsid w:val="00561918"/>
    <w:rsid w:val="00561988"/>
    <w:rsid w:val="00561B01"/>
    <w:rsid w:val="00561DD2"/>
    <w:rsid w:val="00561EAC"/>
    <w:rsid w:val="00561FA2"/>
    <w:rsid w:val="0056205E"/>
    <w:rsid w:val="00562072"/>
    <w:rsid w:val="005620AD"/>
    <w:rsid w:val="0056219B"/>
    <w:rsid w:val="00562315"/>
    <w:rsid w:val="005624DC"/>
    <w:rsid w:val="005624E4"/>
    <w:rsid w:val="005625B2"/>
    <w:rsid w:val="005625E4"/>
    <w:rsid w:val="00562734"/>
    <w:rsid w:val="00562944"/>
    <w:rsid w:val="005629E3"/>
    <w:rsid w:val="00562A2A"/>
    <w:rsid w:val="00562AFE"/>
    <w:rsid w:val="00562B0E"/>
    <w:rsid w:val="00562B52"/>
    <w:rsid w:val="00562D7F"/>
    <w:rsid w:val="00562EFC"/>
    <w:rsid w:val="005630AF"/>
    <w:rsid w:val="00563349"/>
    <w:rsid w:val="0056336D"/>
    <w:rsid w:val="0056344C"/>
    <w:rsid w:val="005634ED"/>
    <w:rsid w:val="00563533"/>
    <w:rsid w:val="005635A0"/>
    <w:rsid w:val="00563618"/>
    <w:rsid w:val="00563622"/>
    <w:rsid w:val="00563645"/>
    <w:rsid w:val="0056365C"/>
    <w:rsid w:val="0056369C"/>
    <w:rsid w:val="00563705"/>
    <w:rsid w:val="005639DA"/>
    <w:rsid w:val="00563B05"/>
    <w:rsid w:val="00563B89"/>
    <w:rsid w:val="00563BA3"/>
    <w:rsid w:val="00563D00"/>
    <w:rsid w:val="00563D11"/>
    <w:rsid w:val="00563D7C"/>
    <w:rsid w:val="00563F0E"/>
    <w:rsid w:val="00563F3A"/>
    <w:rsid w:val="00563F53"/>
    <w:rsid w:val="005640B9"/>
    <w:rsid w:val="0056410D"/>
    <w:rsid w:val="005642B9"/>
    <w:rsid w:val="005643CB"/>
    <w:rsid w:val="0056449E"/>
    <w:rsid w:val="005644BB"/>
    <w:rsid w:val="0056451F"/>
    <w:rsid w:val="005645D3"/>
    <w:rsid w:val="005647C4"/>
    <w:rsid w:val="005647DB"/>
    <w:rsid w:val="005648A0"/>
    <w:rsid w:val="005648DD"/>
    <w:rsid w:val="00564928"/>
    <w:rsid w:val="005649B8"/>
    <w:rsid w:val="005649E7"/>
    <w:rsid w:val="00564A20"/>
    <w:rsid w:val="00564A6F"/>
    <w:rsid w:val="00564B16"/>
    <w:rsid w:val="00564D6E"/>
    <w:rsid w:val="00564D7A"/>
    <w:rsid w:val="00564F2E"/>
    <w:rsid w:val="00564F78"/>
    <w:rsid w:val="00565189"/>
    <w:rsid w:val="00565258"/>
    <w:rsid w:val="0056535C"/>
    <w:rsid w:val="005653D5"/>
    <w:rsid w:val="00565406"/>
    <w:rsid w:val="005654F1"/>
    <w:rsid w:val="00565514"/>
    <w:rsid w:val="00565554"/>
    <w:rsid w:val="00565582"/>
    <w:rsid w:val="005655C3"/>
    <w:rsid w:val="005655C6"/>
    <w:rsid w:val="005655D7"/>
    <w:rsid w:val="00565787"/>
    <w:rsid w:val="005657FB"/>
    <w:rsid w:val="005658A7"/>
    <w:rsid w:val="00565902"/>
    <w:rsid w:val="00565967"/>
    <w:rsid w:val="00565A10"/>
    <w:rsid w:val="00565A1B"/>
    <w:rsid w:val="00565B74"/>
    <w:rsid w:val="00565C67"/>
    <w:rsid w:val="00565CCC"/>
    <w:rsid w:val="00565DB7"/>
    <w:rsid w:val="00565DBA"/>
    <w:rsid w:val="00565F4D"/>
    <w:rsid w:val="005660C4"/>
    <w:rsid w:val="00566201"/>
    <w:rsid w:val="0056622C"/>
    <w:rsid w:val="005663A7"/>
    <w:rsid w:val="00566510"/>
    <w:rsid w:val="005665DB"/>
    <w:rsid w:val="00566741"/>
    <w:rsid w:val="005667A1"/>
    <w:rsid w:val="005667F2"/>
    <w:rsid w:val="005669E7"/>
    <w:rsid w:val="00566BDC"/>
    <w:rsid w:val="00566E9C"/>
    <w:rsid w:val="00566F08"/>
    <w:rsid w:val="00566FAF"/>
    <w:rsid w:val="00566FB4"/>
    <w:rsid w:val="00566FEF"/>
    <w:rsid w:val="00567155"/>
    <w:rsid w:val="0056720D"/>
    <w:rsid w:val="005674CC"/>
    <w:rsid w:val="005677B3"/>
    <w:rsid w:val="00567837"/>
    <w:rsid w:val="00567852"/>
    <w:rsid w:val="0056786E"/>
    <w:rsid w:val="00567987"/>
    <w:rsid w:val="005679CA"/>
    <w:rsid w:val="00567A9B"/>
    <w:rsid w:val="00567C38"/>
    <w:rsid w:val="00567C99"/>
    <w:rsid w:val="00567D7D"/>
    <w:rsid w:val="00567D93"/>
    <w:rsid w:val="00567ED5"/>
    <w:rsid w:val="00567F5B"/>
    <w:rsid w:val="00567F62"/>
    <w:rsid w:val="00567F8F"/>
    <w:rsid w:val="00567FEF"/>
    <w:rsid w:val="0057003D"/>
    <w:rsid w:val="00570155"/>
    <w:rsid w:val="005702A1"/>
    <w:rsid w:val="005704BC"/>
    <w:rsid w:val="005704CB"/>
    <w:rsid w:val="005704FB"/>
    <w:rsid w:val="00570539"/>
    <w:rsid w:val="0057083B"/>
    <w:rsid w:val="00570987"/>
    <w:rsid w:val="005709F0"/>
    <w:rsid w:val="00570A38"/>
    <w:rsid w:val="00570A45"/>
    <w:rsid w:val="00570C6E"/>
    <w:rsid w:val="00570D9B"/>
    <w:rsid w:val="00570E4F"/>
    <w:rsid w:val="00570E96"/>
    <w:rsid w:val="00570FF8"/>
    <w:rsid w:val="005711BF"/>
    <w:rsid w:val="0057122F"/>
    <w:rsid w:val="0057145F"/>
    <w:rsid w:val="00571477"/>
    <w:rsid w:val="005714B3"/>
    <w:rsid w:val="00571516"/>
    <w:rsid w:val="00571668"/>
    <w:rsid w:val="005716DB"/>
    <w:rsid w:val="005716EE"/>
    <w:rsid w:val="005718D2"/>
    <w:rsid w:val="0057194F"/>
    <w:rsid w:val="005719D3"/>
    <w:rsid w:val="00571A13"/>
    <w:rsid w:val="00571CFF"/>
    <w:rsid w:val="00571D83"/>
    <w:rsid w:val="00571DCC"/>
    <w:rsid w:val="00571DD3"/>
    <w:rsid w:val="00571E78"/>
    <w:rsid w:val="00571EDE"/>
    <w:rsid w:val="00571FFC"/>
    <w:rsid w:val="005720A4"/>
    <w:rsid w:val="005720BA"/>
    <w:rsid w:val="005721B8"/>
    <w:rsid w:val="00572223"/>
    <w:rsid w:val="0057242E"/>
    <w:rsid w:val="005725C4"/>
    <w:rsid w:val="0057275C"/>
    <w:rsid w:val="005728E0"/>
    <w:rsid w:val="00572A2F"/>
    <w:rsid w:val="00572A62"/>
    <w:rsid w:val="00572A67"/>
    <w:rsid w:val="00572CA1"/>
    <w:rsid w:val="00572CE0"/>
    <w:rsid w:val="00572FD8"/>
    <w:rsid w:val="00573107"/>
    <w:rsid w:val="00573128"/>
    <w:rsid w:val="005732C7"/>
    <w:rsid w:val="00573337"/>
    <w:rsid w:val="00573564"/>
    <w:rsid w:val="005735DA"/>
    <w:rsid w:val="0057366F"/>
    <w:rsid w:val="005737AB"/>
    <w:rsid w:val="0057395E"/>
    <w:rsid w:val="00573B74"/>
    <w:rsid w:val="00573DD6"/>
    <w:rsid w:val="00573E0D"/>
    <w:rsid w:val="00573E18"/>
    <w:rsid w:val="00573E39"/>
    <w:rsid w:val="00573F49"/>
    <w:rsid w:val="00573FA5"/>
    <w:rsid w:val="00574166"/>
    <w:rsid w:val="005741A4"/>
    <w:rsid w:val="00574203"/>
    <w:rsid w:val="00574258"/>
    <w:rsid w:val="005742FB"/>
    <w:rsid w:val="0057433F"/>
    <w:rsid w:val="00574355"/>
    <w:rsid w:val="0057451E"/>
    <w:rsid w:val="00574523"/>
    <w:rsid w:val="005745DF"/>
    <w:rsid w:val="0057469D"/>
    <w:rsid w:val="005746C9"/>
    <w:rsid w:val="00574700"/>
    <w:rsid w:val="00574899"/>
    <w:rsid w:val="005748C9"/>
    <w:rsid w:val="00574943"/>
    <w:rsid w:val="00574954"/>
    <w:rsid w:val="00574B02"/>
    <w:rsid w:val="00574B46"/>
    <w:rsid w:val="00574BC7"/>
    <w:rsid w:val="00574C10"/>
    <w:rsid w:val="00574DF3"/>
    <w:rsid w:val="00574E3C"/>
    <w:rsid w:val="0057503F"/>
    <w:rsid w:val="005750AF"/>
    <w:rsid w:val="00575103"/>
    <w:rsid w:val="00575174"/>
    <w:rsid w:val="0057539C"/>
    <w:rsid w:val="0057542E"/>
    <w:rsid w:val="00575460"/>
    <w:rsid w:val="005754A6"/>
    <w:rsid w:val="005756C8"/>
    <w:rsid w:val="005756DC"/>
    <w:rsid w:val="00575750"/>
    <w:rsid w:val="00575813"/>
    <w:rsid w:val="00575907"/>
    <w:rsid w:val="00575984"/>
    <w:rsid w:val="005759CA"/>
    <w:rsid w:val="005759CE"/>
    <w:rsid w:val="00575A0F"/>
    <w:rsid w:val="00575B5E"/>
    <w:rsid w:val="00575C43"/>
    <w:rsid w:val="00575C74"/>
    <w:rsid w:val="00575D0C"/>
    <w:rsid w:val="00575D5F"/>
    <w:rsid w:val="00575E22"/>
    <w:rsid w:val="00575EBE"/>
    <w:rsid w:val="00575F29"/>
    <w:rsid w:val="00575F31"/>
    <w:rsid w:val="00575FB6"/>
    <w:rsid w:val="00575FD3"/>
    <w:rsid w:val="005760C8"/>
    <w:rsid w:val="005762E3"/>
    <w:rsid w:val="00576329"/>
    <w:rsid w:val="00576385"/>
    <w:rsid w:val="005763E6"/>
    <w:rsid w:val="005763E9"/>
    <w:rsid w:val="00576433"/>
    <w:rsid w:val="005764A0"/>
    <w:rsid w:val="0057662B"/>
    <w:rsid w:val="00576694"/>
    <w:rsid w:val="005766E6"/>
    <w:rsid w:val="00576819"/>
    <w:rsid w:val="005769F8"/>
    <w:rsid w:val="00576A11"/>
    <w:rsid w:val="00576AD3"/>
    <w:rsid w:val="00576B41"/>
    <w:rsid w:val="00576B6F"/>
    <w:rsid w:val="00576B9C"/>
    <w:rsid w:val="00576BCA"/>
    <w:rsid w:val="00576C57"/>
    <w:rsid w:val="00576C66"/>
    <w:rsid w:val="00576D27"/>
    <w:rsid w:val="00576D50"/>
    <w:rsid w:val="00576E39"/>
    <w:rsid w:val="00576EDD"/>
    <w:rsid w:val="00576FEE"/>
    <w:rsid w:val="0057722E"/>
    <w:rsid w:val="00577232"/>
    <w:rsid w:val="00577243"/>
    <w:rsid w:val="00577306"/>
    <w:rsid w:val="00577322"/>
    <w:rsid w:val="00577326"/>
    <w:rsid w:val="00577346"/>
    <w:rsid w:val="005773C7"/>
    <w:rsid w:val="005775FC"/>
    <w:rsid w:val="005776B6"/>
    <w:rsid w:val="005776C4"/>
    <w:rsid w:val="005776E8"/>
    <w:rsid w:val="00577708"/>
    <w:rsid w:val="0057783F"/>
    <w:rsid w:val="00577905"/>
    <w:rsid w:val="0057798B"/>
    <w:rsid w:val="00577BA5"/>
    <w:rsid w:val="00577BE3"/>
    <w:rsid w:val="00577C3C"/>
    <w:rsid w:val="00577CB9"/>
    <w:rsid w:val="00577DA8"/>
    <w:rsid w:val="00577F1F"/>
    <w:rsid w:val="00577F64"/>
    <w:rsid w:val="00577F85"/>
    <w:rsid w:val="00577F98"/>
    <w:rsid w:val="00580077"/>
    <w:rsid w:val="00580295"/>
    <w:rsid w:val="005802A8"/>
    <w:rsid w:val="0058039C"/>
    <w:rsid w:val="00580710"/>
    <w:rsid w:val="005808E3"/>
    <w:rsid w:val="00580904"/>
    <w:rsid w:val="00580942"/>
    <w:rsid w:val="00580A52"/>
    <w:rsid w:val="00580C12"/>
    <w:rsid w:val="00580CBA"/>
    <w:rsid w:val="00580D12"/>
    <w:rsid w:val="00580DE9"/>
    <w:rsid w:val="00580E1B"/>
    <w:rsid w:val="00580EFC"/>
    <w:rsid w:val="00581024"/>
    <w:rsid w:val="00581261"/>
    <w:rsid w:val="005812A3"/>
    <w:rsid w:val="00581534"/>
    <w:rsid w:val="00581547"/>
    <w:rsid w:val="005815C6"/>
    <w:rsid w:val="0058163F"/>
    <w:rsid w:val="005816F7"/>
    <w:rsid w:val="0058170A"/>
    <w:rsid w:val="00581774"/>
    <w:rsid w:val="005817E5"/>
    <w:rsid w:val="005819A7"/>
    <w:rsid w:val="00581A2C"/>
    <w:rsid w:val="00581A52"/>
    <w:rsid w:val="00581ABB"/>
    <w:rsid w:val="00581BC2"/>
    <w:rsid w:val="00581C4A"/>
    <w:rsid w:val="00581C72"/>
    <w:rsid w:val="00581D16"/>
    <w:rsid w:val="00581E03"/>
    <w:rsid w:val="00582010"/>
    <w:rsid w:val="005820DA"/>
    <w:rsid w:val="00582391"/>
    <w:rsid w:val="00582469"/>
    <w:rsid w:val="005825B0"/>
    <w:rsid w:val="00582691"/>
    <w:rsid w:val="00582712"/>
    <w:rsid w:val="005827CE"/>
    <w:rsid w:val="0058292F"/>
    <w:rsid w:val="0058293B"/>
    <w:rsid w:val="00582948"/>
    <w:rsid w:val="005829C4"/>
    <w:rsid w:val="00582D46"/>
    <w:rsid w:val="00582E1B"/>
    <w:rsid w:val="00582E34"/>
    <w:rsid w:val="00582F21"/>
    <w:rsid w:val="0058300B"/>
    <w:rsid w:val="0058316D"/>
    <w:rsid w:val="005832D1"/>
    <w:rsid w:val="005833CB"/>
    <w:rsid w:val="00583571"/>
    <w:rsid w:val="005836A1"/>
    <w:rsid w:val="005837FD"/>
    <w:rsid w:val="00583A31"/>
    <w:rsid w:val="00583BB6"/>
    <w:rsid w:val="00583D21"/>
    <w:rsid w:val="00583E0D"/>
    <w:rsid w:val="00583FF7"/>
    <w:rsid w:val="00584061"/>
    <w:rsid w:val="00584104"/>
    <w:rsid w:val="005841F8"/>
    <w:rsid w:val="00584203"/>
    <w:rsid w:val="00584277"/>
    <w:rsid w:val="005842C9"/>
    <w:rsid w:val="005843B3"/>
    <w:rsid w:val="005843EF"/>
    <w:rsid w:val="005845BA"/>
    <w:rsid w:val="00584667"/>
    <w:rsid w:val="0058468D"/>
    <w:rsid w:val="005847A4"/>
    <w:rsid w:val="005848A6"/>
    <w:rsid w:val="0058495D"/>
    <w:rsid w:val="00584B66"/>
    <w:rsid w:val="00584BBF"/>
    <w:rsid w:val="00584C55"/>
    <w:rsid w:val="00584D86"/>
    <w:rsid w:val="00584EBF"/>
    <w:rsid w:val="00584F95"/>
    <w:rsid w:val="00585104"/>
    <w:rsid w:val="00585156"/>
    <w:rsid w:val="00585301"/>
    <w:rsid w:val="005853CF"/>
    <w:rsid w:val="0058553B"/>
    <w:rsid w:val="0058563A"/>
    <w:rsid w:val="00585715"/>
    <w:rsid w:val="005857A4"/>
    <w:rsid w:val="00585806"/>
    <w:rsid w:val="005858ED"/>
    <w:rsid w:val="00585911"/>
    <w:rsid w:val="00585A6E"/>
    <w:rsid w:val="00585AA5"/>
    <w:rsid w:val="00585AB4"/>
    <w:rsid w:val="00585B4D"/>
    <w:rsid w:val="00585C70"/>
    <w:rsid w:val="00585CB4"/>
    <w:rsid w:val="00586067"/>
    <w:rsid w:val="00586150"/>
    <w:rsid w:val="005861E3"/>
    <w:rsid w:val="005862F8"/>
    <w:rsid w:val="00586366"/>
    <w:rsid w:val="00586379"/>
    <w:rsid w:val="005865A3"/>
    <w:rsid w:val="005865A5"/>
    <w:rsid w:val="00586738"/>
    <w:rsid w:val="00586798"/>
    <w:rsid w:val="00586872"/>
    <w:rsid w:val="005868B1"/>
    <w:rsid w:val="005868C2"/>
    <w:rsid w:val="00586A93"/>
    <w:rsid w:val="00586D65"/>
    <w:rsid w:val="00586DAA"/>
    <w:rsid w:val="00586F77"/>
    <w:rsid w:val="0058710C"/>
    <w:rsid w:val="00587122"/>
    <w:rsid w:val="005871A1"/>
    <w:rsid w:val="005871B2"/>
    <w:rsid w:val="0058722A"/>
    <w:rsid w:val="0058723E"/>
    <w:rsid w:val="00587264"/>
    <w:rsid w:val="0058727C"/>
    <w:rsid w:val="005873B7"/>
    <w:rsid w:val="00587551"/>
    <w:rsid w:val="005875DF"/>
    <w:rsid w:val="00587617"/>
    <w:rsid w:val="00587705"/>
    <w:rsid w:val="0058776C"/>
    <w:rsid w:val="00587776"/>
    <w:rsid w:val="00587844"/>
    <w:rsid w:val="00587855"/>
    <w:rsid w:val="00587870"/>
    <w:rsid w:val="005878D6"/>
    <w:rsid w:val="0058797C"/>
    <w:rsid w:val="00587B37"/>
    <w:rsid w:val="00587B88"/>
    <w:rsid w:val="00587BB1"/>
    <w:rsid w:val="00587C1F"/>
    <w:rsid w:val="00587C83"/>
    <w:rsid w:val="00587CFC"/>
    <w:rsid w:val="00587D16"/>
    <w:rsid w:val="00587D8B"/>
    <w:rsid w:val="00587DD1"/>
    <w:rsid w:val="00590085"/>
    <w:rsid w:val="005900FE"/>
    <w:rsid w:val="00590277"/>
    <w:rsid w:val="00590358"/>
    <w:rsid w:val="005903F2"/>
    <w:rsid w:val="0059043F"/>
    <w:rsid w:val="0059057A"/>
    <w:rsid w:val="00590580"/>
    <w:rsid w:val="00590669"/>
    <w:rsid w:val="005906B5"/>
    <w:rsid w:val="00590850"/>
    <w:rsid w:val="005908B1"/>
    <w:rsid w:val="00590949"/>
    <w:rsid w:val="00590959"/>
    <w:rsid w:val="00590AA1"/>
    <w:rsid w:val="00590AC9"/>
    <w:rsid w:val="00590B6A"/>
    <w:rsid w:val="00590B84"/>
    <w:rsid w:val="00590BE2"/>
    <w:rsid w:val="00590C31"/>
    <w:rsid w:val="00590C4F"/>
    <w:rsid w:val="00590DAE"/>
    <w:rsid w:val="00590E37"/>
    <w:rsid w:val="00590EF2"/>
    <w:rsid w:val="00590F68"/>
    <w:rsid w:val="00590F7C"/>
    <w:rsid w:val="00591013"/>
    <w:rsid w:val="00591167"/>
    <w:rsid w:val="00591283"/>
    <w:rsid w:val="00591297"/>
    <w:rsid w:val="005912BA"/>
    <w:rsid w:val="005912CD"/>
    <w:rsid w:val="0059131B"/>
    <w:rsid w:val="005913A5"/>
    <w:rsid w:val="005914BE"/>
    <w:rsid w:val="0059171A"/>
    <w:rsid w:val="00591815"/>
    <w:rsid w:val="00591838"/>
    <w:rsid w:val="00591867"/>
    <w:rsid w:val="0059193C"/>
    <w:rsid w:val="005919F0"/>
    <w:rsid w:val="00591A16"/>
    <w:rsid w:val="00591B87"/>
    <w:rsid w:val="00591BDD"/>
    <w:rsid w:val="00591C3A"/>
    <w:rsid w:val="00591C3C"/>
    <w:rsid w:val="00591C81"/>
    <w:rsid w:val="00591D85"/>
    <w:rsid w:val="00591DE0"/>
    <w:rsid w:val="00591E89"/>
    <w:rsid w:val="00591F59"/>
    <w:rsid w:val="00591F71"/>
    <w:rsid w:val="00592022"/>
    <w:rsid w:val="00592123"/>
    <w:rsid w:val="00592137"/>
    <w:rsid w:val="00592193"/>
    <w:rsid w:val="005922AC"/>
    <w:rsid w:val="00592313"/>
    <w:rsid w:val="00592391"/>
    <w:rsid w:val="005923B7"/>
    <w:rsid w:val="005923FB"/>
    <w:rsid w:val="00592421"/>
    <w:rsid w:val="00592446"/>
    <w:rsid w:val="00592461"/>
    <w:rsid w:val="0059249B"/>
    <w:rsid w:val="005924C1"/>
    <w:rsid w:val="005925D2"/>
    <w:rsid w:val="005925FE"/>
    <w:rsid w:val="0059267C"/>
    <w:rsid w:val="0059276A"/>
    <w:rsid w:val="00592785"/>
    <w:rsid w:val="005927B2"/>
    <w:rsid w:val="00592A43"/>
    <w:rsid w:val="00592AF0"/>
    <w:rsid w:val="00592B1F"/>
    <w:rsid w:val="00592B20"/>
    <w:rsid w:val="00592B73"/>
    <w:rsid w:val="00592BE8"/>
    <w:rsid w:val="00592C76"/>
    <w:rsid w:val="00592F24"/>
    <w:rsid w:val="00592FCF"/>
    <w:rsid w:val="00592FE1"/>
    <w:rsid w:val="005930BA"/>
    <w:rsid w:val="00593116"/>
    <w:rsid w:val="005931EC"/>
    <w:rsid w:val="00593284"/>
    <w:rsid w:val="0059328A"/>
    <w:rsid w:val="0059342B"/>
    <w:rsid w:val="00593510"/>
    <w:rsid w:val="00593606"/>
    <w:rsid w:val="0059360D"/>
    <w:rsid w:val="005936A8"/>
    <w:rsid w:val="005936DA"/>
    <w:rsid w:val="00593740"/>
    <w:rsid w:val="005937EB"/>
    <w:rsid w:val="005937FE"/>
    <w:rsid w:val="0059380A"/>
    <w:rsid w:val="00593816"/>
    <w:rsid w:val="00593967"/>
    <w:rsid w:val="00593A28"/>
    <w:rsid w:val="00593AA7"/>
    <w:rsid w:val="00593B42"/>
    <w:rsid w:val="00593B85"/>
    <w:rsid w:val="00593BD6"/>
    <w:rsid w:val="00593C8B"/>
    <w:rsid w:val="00593D46"/>
    <w:rsid w:val="00593E3C"/>
    <w:rsid w:val="00593FF3"/>
    <w:rsid w:val="00594058"/>
    <w:rsid w:val="005940B5"/>
    <w:rsid w:val="005940EE"/>
    <w:rsid w:val="00594213"/>
    <w:rsid w:val="0059448B"/>
    <w:rsid w:val="005944DE"/>
    <w:rsid w:val="00594500"/>
    <w:rsid w:val="0059451F"/>
    <w:rsid w:val="005945B0"/>
    <w:rsid w:val="005945F0"/>
    <w:rsid w:val="0059463A"/>
    <w:rsid w:val="0059464D"/>
    <w:rsid w:val="00594683"/>
    <w:rsid w:val="005947AC"/>
    <w:rsid w:val="005947BC"/>
    <w:rsid w:val="005947F2"/>
    <w:rsid w:val="00594852"/>
    <w:rsid w:val="00594A4B"/>
    <w:rsid w:val="00594C00"/>
    <w:rsid w:val="00594C85"/>
    <w:rsid w:val="00594CAB"/>
    <w:rsid w:val="00594EDA"/>
    <w:rsid w:val="00594F5B"/>
    <w:rsid w:val="005950B6"/>
    <w:rsid w:val="005951CD"/>
    <w:rsid w:val="0059535D"/>
    <w:rsid w:val="00595388"/>
    <w:rsid w:val="005953A2"/>
    <w:rsid w:val="0059544E"/>
    <w:rsid w:val="0059555A"/>
    <w:rsid w:val="0059583B"/>
    <w:rsid w:val="005958CB"/>
    <w:rsid w:val="00595AB2"/>
    <w:rsid w:val="00595BC4"/>
    <w:rsid w:val="00595BC9"/>
    <w:rsid w:val="00595D08"/>
    <w:rsid w:val="00595E54"/>
    <w:rsid w:val="00595F80"/>
    <w:rsid w:val="00595FB8"/>
    <w:rsid w:val="005960DC"/>
    <w:rsid w:val="00596227"/>
    <w:rsid w:val="00596252"/>
    <w:rsid w:val="005962D7"/>
    <w:rsid w:val="005962F8"/>
    <w:rsid w:val="0059631C"/>
    <w:rsid w:val="00596350"/>
    <w:rsid w:val="005963E2"/>
    <w:rsid w:val="00596444"/>
    <w:rsid w:val="0059652F"/>
    <w:rsid w:val="005965FF"/>
    <w:rsid w:val="00596607"/>
    <w:rsid w:val="00596666"/>
    <w:rsid w:val="00596831"/>
    <w:rsid w:val="005968DB"/>
    <w:rsid w:val="005968E1"/>
    <w:rsid w:val="005968FF"/>
    <w:rsid w:val="00596A59"/>
    <w:rsid w:val="00596A74"/>
    <w:rsid w:val="00596A81"/>
    <w:rsid w:val="00596AB4"/>
    <w:rsid w:val="00596B78"/>
    <w:rsid w:val="00596BDC"/>
    <w:rsid w:val="00596CBF"/>
    <w:rsid w:val="00596E08"/>
    <w:rsid w:val="00596F9E"/>
    <w:rsid w:val="00597011"/>
    <w:rsid w:val="005970AC"/>
    <w:rsid w:val="00597120"/>
    <w:rsid w:val="00597137"/>
    <w:rsid w:val="0059724A"/>
    <w:rsid w:val="00597271"/>
    <w:rsid w:val="005972C4"/>
    <w:rsid w:val="005972F0"/>
    <w:rsid w:val="0059740E"/>
    <w:rsid w:val="00597417"/>
    <w:rsid w:val="0059755B"/>
    <w:rsid w:val="00597560"/>
    <w:rsid w:val="00597652"/>
    <w:rsid w:val="00597910"/>
    <w:rsid w:val="00597A48"/>
    <w:rsid w:val="00597B98"/>
    <w:rsid w:val="00597BF5"/>
    <w:rsid w:val="00597BFD"/>
    <w:rsid w:val="00597D64"/>
    <w:rsid w:val="00597E0A"/>
    <w:rsid w:val="00597E53"/>
    <w:rsid w:val="00597EEF"/>
    <w:rsid w:val="00597FBA"/>
    <w:rsid w:val="005A0234"/>
    <w:rsid w:val="005A02B8"/>
    <w:rsid w:val="005A046F"/>
    <w:rsid w:val="005A06B3"/>
    <w:rsid w:val="005A06C0"/>
    <w:rsid w:val="005A0756"/>
    <w:rsid w:val="005A07FE"/>
    <w:rsid w:val="005A0897"/>
    <w:rsid w:val="005A0952"/>
    <w:rsid w:val="005A0A06"/>
    <w:rsid w:val="005A0A28"/>
    <w:rsid w:val="005A0ABA"/>
    <w:rsid w:val="005A0BCC"/>
    <w:rsid w:val="005A0BF3"/>
    <w:rsid w:val="005A0C84"/>
    <w:rsid w:val="005A0CC2"/>
    <w:rsid w:val="005A0CD7"/>
    <w:rsid w:val="005A0D09"/>
    <w:rsid w:val="005A0DA8"/>
    <w:rsid w:val="005A0E6A"/>
    <w:rsid w:val="005A0EF7"/>
    <w:rsid w:val="005A0F24"/>
    <w:rsid w:val="005A0F63"/>
    <w:rsid w:val="005A0F74"/>
    <w:rsid w:val="005A0F81"/>
    <w:rsid w:val="005A0FC3"/>
    <w:rsid w:val="005A0FE6"/>
    <w:rsid w:val="005A10DF"/>
    <w:rsid w:val="005A1259"/>
    <w:rsid w:val="005A12D2"/>
    <w:rsid w:val="005A14AB"/>
    <w:rsid w:val="005A16B9"/>
    <w:rsid w:val="005A1736"/>
    <w:rsid w:val="005A182C"/>
    <w:rsid w:val="005A1888"/>
    <w:rsid w:val="005A18A1"/>
    <w:rsid w:val="005A18AD"/>
    <w:rsid w:val="005A1983"/>
    <w:rsid w:val="005A19DD"/>
    <w:rsid w:val="005A19F2"/>
    <w:rsid w:val="005A1A25"/>
    <w:rsid w:val="005A1A49"/>
    <w:rsid w:val="005A1A70"/>
    <w:rsid w:val="005A1A91"/>
    <w:rsid w:val="005A1AE0"/>
    <w:rsid w:val="005A1AFB"/>
    <w:rsid w:val="005A1B25"/>
    <w:rsid w:val="005A1B7F"/>
    <w:rsid w:val="005A1CED"/>
    <w:rsid w:val="005A1EB1"/>
    <w:rsid w:val="005A1F83"/>
    <w:rsid w:val="005A1FD2"/>
    <w:rsid w:val="005A1FDF"/>
    <w:rsid w:val="005A212F"/>
    <w:rsid w:val="005A21F1"/>
    <w:rsid w:val="005A22FE"/>
    <w:rsid w:val="005A2333"/>
    <w:rsid w:val="005A2413"/>
    <w:rsid w:val="005A24F9"/>
    <w:rsid w:val="005A25D2"/>
    <w:rsid w:val="005A25FC"/>
    <w:rsid w:val="005A28E9"/>
    <w:rsid w:val="005A2A1A"/>
    <w:rsid w:val="005A2AEF"/>
    <w:rsid w:val="005A2B72"/>
    <w:rsid w:val="005A2DE1"/>
    <w:rsid w:val="005A2EF4"/>
    <w:rsid w:val="005A2F50"/>
    <w:rsid w:val="005A303D"/>
    <w:rsid w:val="005A3173"/>
    <w:rsid w:val="005A31D7"/>
    <w:rsid w:val="005A3202"/>
    <w:rsid w:val="005A32D7"/>
    <w:rsid w:val="005A32E3"/>
    <w:rsid w:val="005A338D"/>
    <w:rsid w:val="005A33B0"/>
    <w:rsid w:val="005A33C0"/>
    <w:rsid w:val="005A3439"/>
    <w:rsid w:val="005A34A5"/>
    <w:rsid w:val="005A350E"/>
    <w:rsid w:val="005A35AD"/>
    <w:rsid w:val="005A35CC"/>
    <w:rsid w:val="005A35F4"/>
    <w:rsid w:val="005A360A"/>
    <w:rsid w:val="005A3772"/>
    <w:rsid w:val="005A37A9"/>
    <w:rsid w:val="005A3A4B"/>
    <w:rsid w:val="005A3B0C"/>
    <w:rsid w:val="005A3C7B"/>
    <w:rsid w:val="005A3D0D"/>
    <w:rsid w:val="005A3EA2"/>
    <w:rsid w:val="005A3F47"/>
    <w:rsid w:val="005A407C"/>
    <w:rsid w:val="005A4084"/>
    <w:rsid w:val="005A41CD"/>
    <w:rsid w:val="005A4465"/>
    <w:rsid w:val="005A44AF"/>
    <w:rsid w:val="005A44C9"/>
    <w:rsid w:val="005A4530"/>
    <w:rsid w:val="005A4639"/>
    <w:rsid w:val="005A484C"/>
    <w:rsid w:val="005A4876"/>
    <w:rsid w:val="005A4AEF"/>
    <w:rsid w:val="005A4BAC"/>
    <w:rsid w:val="005A4D39"/>
    <w:rsid w:val="005A4EF7"/>
    <w:rsid w:val="005A4F03"/>
    <w:rsid w:val="005A4F3A"/>
    <w:rsid w:val="005A5286"/>
    <w:rsid w:val="005A55D6"/>
    <w:rsid w:val="005A561B"/>
    <w:rsid w:val="005A56DE"/>
    <w:rsid w:val="005A56E1"/>
    <w:rsid w:val="005A5842"/>
    <w:rsid w:val="005A58A2"/>
    <w:rsid w:val="005A58E4"/>
    <w:rsid w:val="005A5A6F"/>
    <w:rsid w:val="005A5A88"/>
    <w:rsid w:val="005A5A89"/>
    <w:rsid w:val="005A5AAE"/>
    <w:rsid w:val="005A5ADF"/>
    <w:rsid w:val="005A5AF3"/>
    <w:rsid w:val="005A5B25"/>
    <w:rsid w:val="005A5BB9"/>
    <w:rsid w:val="005A5CF5"/>
    <w:rsid w:val="005A5D32"/>
    <w:rsid w:val="005A5EE9"/>
    <w:rsid w:val="005A5F17"/>
    <w:rsid w:val="005A6068"/>
    <w:rsid w:val="005A6098"/>
    <w:rsid w:val="005A6140"/>
    <w:rsid w:val="005A6147"/>
    <w:rsid w:val="005A627F"/>
    <w:rsid w:val="005A629D"/>
    <w:rsid w:val="005A6468"/>
    <w:rsid w:val="005A65C1"/>
    <w:rsid w:val="005A66FC"/>
    <w:rsid w:val="005A68A1"/>
    <w:rsid w:val="005A68A6"/>
    <w:rsid w:val="005A697C"/>
    <w:rsid w:val="005A6B40"/>
    <w:rsid w:val="005A6CAD"/>
    <w:rsid w:val="005A6CD7"/>
    <w:rsid w:val="005A6D42"/>
    <w:rsid w:val="005A6DEB"/>
    <w:rsid w:val="005A6E19"/>
    <w:rsid w:val="005A6E25"/>
    <w:rsid w:val="005A6EA9"/>
    <w:rsid w:val="005A6EE0"/>
    <w:rsid w:val="005A6EF6"/>
    <w:rsid w:val="005A7233"/>
    <w:rsid w:val="005A727F"/>
    <w:rsid w:val="005A7336"/>
    <w:rsid w:val="005A7378"/>
    <w:rsid w:val="005A7454"/>
    <w:rsid w:val="005A752B"/>
    <w:rsid w:val="005A7556"/>
    <w:rsid w:val="005A75A2"/>
    <w:rsid w:val="005A7633"/>
    <w:rsid w:val="005A7760"/>
    <w:rsid w:val="005A78F0"/>
    <w:rsid w:val="005A797E"/>
    <w:rsid w:val="005A79B8"/>
    <w:rsid w:val="005A79C9"/>
    <w:rsid w:val="005A79D1"/>
    <w:rsid w:val="005A79DD"/>
    <w:rsid w:val="005A7B7E"/>
    <w:rsid w:val="005A7C2E"/>
    <w:rsid w:val="005A7D5B"/>
    <w:rsid w:val="005A7E70"/>
    <w:rsid w:val="005B00DE"/>
    <w:rsid w:val="005B0136"/>
    <w:rsid w:val="005B0144"/>
    <w:rsid w:val="005B0282"/>
    <w:rsid w:val="005B0359"/>
    <w:rsid w:val="005B0390"/>
    <w:rsid w:val="005B0412"/>
    <w:rsid w:val="005B0539"/>
    <w:rsid w:val="005B06D5"/>
    <w:rsid w:val="005B0764"/>
    <w:rsid w:val="005B07DB"/>
    <w:rsid w:val="005B08AE"/>
    <w:rsid w:val="005B0A36"/>
    <w:rsid w:val="005B0B1E"/>
    <w:rsid w:val="005B0B50"/>
    <w:rsid w:val="005B0B51"/>
    <w:rsid w:val="005B0B93"/>
    <w:rsid w:val="005B0DFC"/>
    <w:rsid w:val="005B1453"/>
    <w:rsid w:val="005B1599"/>
    <w:rsid w:val="005B15E3"/>
    <w:rsid w:val="005B1610"/>
    <w:rsid w:val="005B162D"/>
    <w:rsid w:val="005B168E"/>
    <w:rsid w:val="005B16D2"/>
    <w:rsid w:val="005B1728"/>
    <w:rsid w:val="005B17DB"/>
    <w:rsid w:val="005B1848"/>
    <w:rsid w:val="005B185F"/>
    <w:rsid w:val="005B18A8"/>
    <w:rsid w:val="005B192A"/>
    <w:rsid w:val="005B1A72"/>
    <w:rsid w:val="005B1B76"/>
    <w:rsid w:val="005B1B88"/>
    <w:rsid w:val="005B1C30"/>
    <w:rsid w:val="005B1CDA"/>
    <w:rsid w:val="005B1D06"/>
    <w:rsid w:val="005B1D81"/>
    <w:rsid w:val="005B1F3B"/>
    <w:rsid w:val="005B1F9C"/>
    <w:rsid w:val="005B2115"/>
    <w:rsid w:val="005B21C1"/>
    <w:rsid w:val="005B2354"/>
    <w:rsid w:val="005B23E2"/>
    <w:rsid w:val="005B2493"/>
    <w:rsid w:val="005B263B"/>
    <w:rsid w:val="005B26D8"/>
    <w:rsid w:val="005B2731"/>
    <w:rsid w:val="005B2785"/>
    <w:rsid w:val="005B27B7"/>
    <w:rsid w:val="005B27C2"/>
    <w:rsid w:val="005B28D4"/>
    <w:rsid w:val="005B2948"/>
    <w:rsid w:val="005B2A02"/>
    <w:rsid w:val="005B2ABA"/>
    <w:rsid w:val="005B2B05"/>
    <w:rsid w:val="005B2B26"/>
    <w:rsid w:val="005B2C15"/>
    <w:rsid w:val="005B2DF6"/>
    <w:rsid w:val="005B2F1B"/>
    <w:rsid w:val="005B2F66"/>
    <w:rsid w:val="005B3149"/>
    <w:rsid w:val="005B31CC"/>
    <w:rsid w:val="005B34B4"/>
    <w:rsid w:val="005B359C"/>
    <w:rsid w:val="005B35C7"/>
    <w:rsid w:val="005B35DD"/>
    <w:rsid w:val="005B3642"/>
    <w:rsid w:val="005B3678"/>
    <w:rsid w:val="005B36E6"/>
    <w:rsid w:val="005B3758"/>
    <w:rsid w:val="005B3859"/>
    <w:rsid w:val="005B39EC"/>
    <w:rsid w:val="005B3A0F"/>
    <w:rsid w:val="005B3C68"/>
    <w:rsid w:val="005B3C74"/>
    <w:rsid w:val="005B3C97"/>
    <w:rsid w:val="005B3D01"/>
    <w:rsid w:val="005B3E8C"/>
    <w:rsid w:val="005B3F2C"/>
    <w:rsid w:val="005B3F77"/>
    <w:rsid w:val="005B407D"/>
    <w:rsid w:val="005B4313"/>
    <w:rsid w:val="005B4320"/>
    <w:rsid w:val="005B4438"/>
    <w:rsid w:val="005B447B"/>
    <w:rsid w:val="005B454E"/>
    <w:rsid w:val="005B4572"/>
    <w:rsid w:val="005B4827"/>
    <w:rsid w:val="005B48CA"/>
    <w:rsid w:val="005B48E5"/>
    <w:rsid w:val="005B4956"/>
    <w:rsid w:val="005B49AF"/>
    <w:rsid w:val="005B4A0A"/>
    <w:rsid w:val="005B4A55"/>
    <w:rsid w:val="005B4ACA"/>
    <w:rsid w:val="005B4B77"/>
    <w:rsid w:val="005B4BD9"/>
    <w:rsid w:val="005B4CE4"/>
    <w:rsid w:val="005B4D08"/>
    <w:rsid w:val="005B4DBE"/>
    <w:rsid w:val="005B4DC6"/>
    <w:rsid w:val="005B4E61"/>
    <w:rsid w:val="005B4F37"/>
    <w:rsid w:val="005B4F4B"/>
    <w:rsid w:val="005B517E"/>
    <w:rsid w:val="005B521B"/>
    <w:rsid w:val="005B5320"/>
    <w:rsid w:val="005B5364"/>
    <w:rsid w:val="005B5369"/>
    <w:rsid w:val="005B5404"/>
    <w:rsid w:val="005B546E"/>
    <w:rsid w:val="005B54EA"/>
    <w:rsid w:val="005B56D8"/>
    <w:rsid w:val="005B5718"/>
    <w:rsid w:val="005B57B8"/>
    <w:rsid w:val="005B57D0"/>
    <w:rsid w:val="005B580F"/>
    <w:rsid w:val="005B5836"/>
    <w:rsid w:val="005B58D1"/>
    <w:rsid w:val="005B58E1"/>
    <w:rsid w:val="005B5903"/>
    <w:rsid w:val="005B594C"/>
    <w:rsid w:val="005B5A23"/>
    <w:rsid w:val="005B5A96"/>
    <w:rsid w:val="005B5AE3"/>
    <w:rsid w:val="005B5C0C"/>
    <w:rsid w:val="005B5C58"/>
    <w:rsid w:val="005B5F57"/>
    <w:rsid w:val="005B5FC1"/>
    <w:rsid w:val="005B60FC"/>
    <w:rsid w:val="005B61C2"/>
    <w:rsid w:val="005B61CC"/>
    <w:rsid w:val="005B62AA"/>
    <w:rsid w:val="005B62AB"/>
    <w:rsid w:val="005B6366"/>
    <w:rsid w:val="005B642A"/>
    <w:rsid w:val="005B645C"/>
    <w:rsid w:val="005B6536"/>
    <w:rsid w:val="005B65A5"/>
    <w:rsid w:val="005B65B2"/>
    <w:rsid w:val="005B6808"/>
    <w:rsid w:val="005B6B20"/>
    <w:rsid w:val="005B6B28"/>
    <w:rsid w:val="005B6B92"/>
    <w:rsid w:val="005B6C56"/>
    <w:rsid w:val="005B6C77"/>
    <w:rsid w:val="005B6D3C"/>
    <w:rsid w:val="005B6D65"/>
    <w:rsid w:val="005B6DB9"/>
    <w:rsid w:val="005B6DDC"/>
    <w:rsid w:val="005B6DF9"/>
    <w:rsid w:val="005B6F09"/>
    <w:rsid w:val="005B6F87"/>
    <w:rsid w:val="005B7056"/>
    <w:rsid w:val="005B7292"/>
    <w:rsid w:val="005B730B"/>
    <w:rsid w:val="005B7386"/>
    <w:rsid w:val="005B744B"/>
    <w:rsid w:val="005B74EE"/>
    <w:rsid w:val="005B7501"/>
    <w:rsid w:val="005B76B6"/>
    <w:rsid w:val="005B77DB"/>
    <w:rsid w:val="005B78D9"/>
    <w:rsid w:val="005B7CB6"/>
    <w:rsid w:val="005B7DAE"/>
    <w:rsid w:val="005B7DD5"/>
    <w:rsid w:val="005B7DFF"/>
    <w:rsid w:val="005B7E0D"/>
    <w:rsid w:val="005B7E43"/>
    <w:rsid w:val="005B7ECF"/>
    <w:rsid w:val="005B7F46"/>
    <w:rsid w:val="005B7FF4"/>
    <w:rsid w:val="005C024B"/>
    <w:rsid w:val="005C0422"/>
    <w:rsid w:val="005C0449"/>
    <w:rsid w:val="005C05ED"/>
    <w:rsid w:val="005C0825"/>
    <w:rsid w:val="005C086A"/>
    <w:rsid w:val="005C0A19"/>
    <w:rsid w:val="005C0AA3"/>
    <w:rsid w:val="005C0B3F"/>
    <w:rsid w:val="005C0F2F"/>
    <w:rsid w:val="005C0F92"/>
    <w:rsid w:val="005C0FAB"/>
    <w:rsid w:val="005C1073"/>
    <w:rsid w:val="005C1149"/>
    <w:rsid w:val="005C11C1"/>
    <w:rsid w:val="005C11C2"/>
    <w:rsid w:val="005C11CD"/>
    <w:rsid w:val="005C12BD"/>
    <w:rsid w:val="005C131B"/>
    <w:rsid w:val="005C1399"/>
    <w:rsid w:val="005C14D3"/>
    <w:rsid w:val="005C1502"/>
    <w:rsid w:val="005C1507"/>
    <w:rsid w:val="005C1608"/>
    <w:rsid w:val="005C16DA"/>
    <w:rsid w:val="005C173B"/>
    <w:rsid w:val="005C184A"/>
    <w:rsid w:val="005C1A0D"/>
    <w:rsid w:val="005C1BE5"/>
    <w:rsid w:val="005C1CE3"/>
    <w:rsid w:val="005C1D03"/>
    <w:rsid w:val="005C1F2C"/>
    <w:rsid w:val="005C1FE6"/>
    <w:rsid w:val="005C2161"/>
    <w:rsid w:val="005C22C5"/>
    <w:rsid w:val="005C23B2"/>
    <w:rsid w:val="005C248E"/>
    <w:rsid w:val="005C24CD"/>
    <w:rsid w:val="005C27EE"/>
    <w:rsid w:val="005C2833"/>
    <w:rsid w:val="005C287C"/>
    <w:rsid w:val="005C29BE"/>
    <w:rsid w:val="005C2A68"/>
    <w:rsid w:val="005C2A84"/>
    <w:rsid w:val="005C2AE6"/>
    <w:rsid w:val="005C2AEF"/>
    <w:rsid w:val="005C2CCF"/>
    <w:rsid w:val="005C2DEA"/>
    <w:rsid w:val="005C2FF7"/>
    <w:rsid w:val="005C3145"/>
    <w:rsid w:val="005C338B"/>
    <w:rsid w:val="005C3430"/>
    <w:rsid w:val="005C34F1"/>
    <w:rsid w:val="005C3597"/>
    <w:rsid w:val="005C3764"/>
    <w:rsid w:val="005C3799"/>
    <w:rsid w:val="005C37F3"/>
    <w:rsid w:val="005C3868"/>
    <w:rsid w:val="005C3930"/>
    <w:rsid w:val="005C3989"/>
    <w:rsid w:val="005C39BA"/>
    <w:rsid w:val="005C3A82"/>
    <w:rsid w:val="005C3AB5"/>
    <w:rsid w:val="005C3AD2"/>
    <w:rsid w:val="005C3B38"/>
    <w:rsid w:val="005C3E62"/>
    <w:rsid w:val="005C3E8D"/>
    <w:rsid w:val="005C3EB8"/>
    <w:rsid w:val="005C3F7F"/>
    <w:rsid w:val="005C3FAD"/>
    <w:rsid w:val="005C4058"/>
    <w:rsid w:val="005C40BF"/>
    <w:rsid w:val="005C40E7"/>
    <w:rsid w:val="005C41FE"/>
    <w:rsid w:val="005C4223"/>
    <w:rsid w:val="005C425E"/>
    <w:rsid w:val="005C4440"/>
    <w:rsid w:val="005C4540"/>
    <w:rsid w:val="005C4663"/>
    <w:rsid w:val="005C46EB"/>
    <w:rsid w:val="005C4A88"/>
    <w:rsid w:val="005C4AF7"/>
    <w:rsid w:val="005C4B15"/>
    <w:rsid w:val="005C4CBE"/>
    <w:rsid w:val="005C4DD9"/>
    <w:rsid w:val="005C4EB5"/>
    <w:rsid w:val="005C4EDA"/>
    <w:rsid w:val="005C5041"/>
    <w:rsid w:val="005C5095"/>
    <w:rsid w:val="005C510D"/>
    <w:rsid w:val="005C538B"/>
    <w:rsid w:val="005C5394"/>
    <w:rsid w:val="005C543E"/>
    <w:rsid w:val="005C54D6"/>
    <w:rsid w:val="005C54F6"/>
    <w:rsid w:val="005C566E"/>
    <w:rsid w:val="005C574D"/>
    <w:rsid w:val="005C579C"/>
    <w:rsid w:val="005C57D2"/>
    <w:rsid w:val="005C5894"/>
    <w:rsid w:val="005C58F9"/>
    <w:rsid w:val="005C59E2"/>
    <w:rsid w:val="005C5A9F"/>
    <w:rsid w:val="005C5AE1"/>
    <w:rsid w:val="005C5BAB"/>
    <w:rsid w:val="005C5BBB"/>
    <w:rsid w:val="005C5BEE"/>
    <w:rsid w:val="005C5CCA"/>
    <w:rsid w:val="005C5D78"/>
    <w:rsid w:val="005C5E33"/>
    <w:rsid w:val="005C5E39"/>
    <w:rsid w:val="005C60E9"/>
    <w:rsid w:val="005C6167"/>
    <w:rsid w:val="005C61A8"/>
    <w:rsid w:val="005C62B2"/>
    <w:rsid w:val="005C63F6"/>
    <w:rsid w:val="005C6417"/>
    <w:rsid w:val="005C6445"/>
    <w:rsid w:val="005C6664"/>
    <w:rsid w:val="005C67DF"/>
    <w:rsid w:val="005C683F"/>
    <w:rsid w:val="005C6A85"/>
    <w:rsid w:val="005C6AC4"/>
    <w:rsid w:val="005C6B2E"/>
    <w:rsid w:val="005C6B5E"/>
    <w:rsid w:val="005C6C05"/>
    <w:rsid w:val="005C6C65"/>
    <w:rsid w:val="005C6CC3"/>
    <w:rsid w:val="005C6D15"/>
    <w:rsid w:val="005C6D55"/>
    <w:rsid w:val="005C6F14"/>
    <w:rsid w:val="005C6F85"/>
    <w:rsid w:val="005C6FEA"/>
    <w:rsid w:val="005C70DF"/>
    <w:rsid w:val="005C7245"/>
    <w:rsid w:val="005C74E1"/>
    <w:rsid w:val="005C75EF"/>
    <w:rsid w:val="005C7609"/>
    <w:rsid w:val="005C7773"/>
    <w:rsid w:val="005C7821"/>
    <w:rsid w:val="005C78A2"/>
    <w:rsid w:val="005C78AC"/>
    <w:rsid w:val="005C78E8"/>
    <w:rsid w:val="005C793D"/>
    <w:rsid w:val="005C794D"/>
    <w:rsid w:val="005C795C"/>
    <w:rsid w:val="005C79AA"/>
    <w:rsid w:val="005C79C2"/>
    <w:rsid w:val="005C7A4D"/>
    <w:rsid w:val="005C7A71"/>
    <w:rsid w:val="005C7B23"/>
    <w:rsid w:val="005C7B60"/>
    <w:rsid w:val="005C7B74"/>
    <w:rsid w:val="005C7B81"/>
    <w:rsid w:val="005C7BF4"/>
    <w:rsid w:val="005C7CC8"/>
    <w:rsid w:val="005C7DBA"/>
    <w:rsid w:val="005C7E8C"/>
    <w:rsid w:val="005C7FEF"/>
    <w:rsid w:val="005D015E"/>
    <w:rsid w:val="005D015F"/>
    <w:rsid w:val="005D021B"/>
    <w:rsid w:val="005D0235"/>
    <w:rsid w:val="005D0325"/>
    <w:rsid w:val="005D041A"/>
    <w:rsid w:val="005D047D"/>
    <w:rsid w:val="005D0532"/>
    <w:rsid w:val="005D064B"/>
    <w:rsid w:val="005D069D"/>
    <w:rsid w:val="005D080C"/>
    <w:rsid w:val="005D0829"/>
    <w:rsid w:val="005D082F"/>
    <w:rsid w:val="005D08EB"/>
    <w:rsid w:val="005D093F"/>
    <w:rsid w:val="005D09B4"/>
    <w:rsid w:val="005D0A5A"/>
    <w:rsid w:val="005D0A98"/>
    <w:rsid w:val="005D0AFF"/>
    <w:rsid w:val="005D0B06"/>
    <w:rsid w:val="005D0BFA"/>
    <w:rsid w:val="005D0CD4"/>
    <w:rsid w:val="005D0D25"/>
    <w:rsid w:val="005D0E58"/>
    <w:rsid w:val="005D0EF3"/>
    <w:rsid w:val="005D0F27"/>
    <w:rsid w:val="005D0F33"/>
    <w:rsid w:val="005D0FCD"/>
    <w:rsid w:val="005D1079"/>
    <w:rsid w:val="005D11D3"/>
    <w:rsid w:val="005D1262"/>
    <w:rsid w:val="005D12AF"/>
    <w:rsid w:val="005D136E"/>
    <w:rsid w:val="005D147E"/>
    <w:rsid w:val="005D14C4"/>
    <w:rsid w:val="005D1516"/>
    <w:rsid w:val="005D15F7"/>
    <w:rsid w:val="005D163B"/>
    <w:rsid w:val="005D16EE"/>
    <w:rsid w:val="005D1752"/>
    <w:rsid w:val="005D1877"/>
    <w:rsid w:val="005D18B7"/>
    <w:rsid w:val="005D18D5"/>
    <w:rsid w:val="005D18DF"/>
    <w:rsid w:val="005D1A31"/>
    <w:rsid w:val="005D1A66"/>
    <w:rsid w:val="005D1AAB"/>
    <w:rsid w:val="005D1B53"/>
    <w:rsid w:val="005D1BE7"/>
    <w:rsid w:val="005D1C09"/>
    <w:rsid w:val="005D1CAA"/>
    <w:rsid w:val="005D1D31"/>
    <w:rsid w:val="005D1DB5"/>
    <w:rsid w:val="005D1FDC"/>
    <w:rsid w:val="005D2122"/>
    <w:rsid w:val="005D212B"/>
    <w:rsid w:val="005D2266"/>
    <w:rsid w:val="005D2369"/>
    <w:rsid w:val="005D2390"/>
    <w:rsid w:val="005D2422"/>
    <w:rsid w:val="005D258E"/>
    <w:rsid w:val="005D264C"/>
    <w:rsid w:val="005D26DB"/>
    <w:rsid w:val="005D26F4"/>
    <w:rsid w:val="005D272C"/>
    <w:rsid w:val="005D27FF"/>
    <w:rsid w:val="005D28A0"/>
    <w:rsid w:val="005D294B"/>
    <w:rsid w:val="005D2A72"/>
    <w:rsid w:val="005D2ACE"/>
    <w:rsid w:val="005D2B16"/>
    <w:rsid w:val="005D2BDD"/>
    <w:rsid w:val="005D2C4E"/>
    <w:rsid w:val="005D2C83"/>
    <w:rsid w:val="005D2D77"/>
    <w:rsid w:val="005D2E26"/>
    <w:rsid w:val="005D2E46"/>
    <w:rsid w:val="005D2EB4"/>
    <w:rsid w:val="005D2ECA"/>
    <w:rsid w:val="005D2F4C"/>
    <w:rsid w:val="005D3065"/>
    <w:rsid w:val="005D310E"/>
    <w:rsid w:val="005D327E"/>
    <w:rsid w:val="005D33E9"/>
    <w:rsid w:val="005D349B"/>
    <w:rsid w:val="005D3551"/>
    <w:rsid w:val="005D356B"/>
    <w:rsid w:val="005D35E8"/>
    <w:rsid w:val="005D3764"/>
    <w:rsid w:val="005D3848"/>
    <w:rsid w:val="005D38D6"/>
    <w:rsid w:val="005D3A34"/>
    <w:rsid w:val="005D3A4F"/>
    <w:rsid w:val="005D3D83"/>
    <w:rsid w:val="005D3F78"/>
    <w:rsid w:val="005D3F9E"/>
    <w:rsid w:val="005D405F"/>
    <w:rsid w:val="005D4119"/>
    <w:rsid w:val="005D41F2"/>
    <w:rsid w:val="005D4310"/>
    <w:rsid w:val="005D43BC"/>
    <w:rsid w:val="005D448A"/>
    <w:rsid w:val="005D46F3"/>
    <w:rsid w:val="005D4737"/>
    <w:rsid w:val="005D487D"/>
    <w:rsid w:val="005D4A23"/>
    <w:rsid w:val="005D4CA5"/>
    <w:rsid w:val="005D4D01"/>
    <w:rsid w:val="005D4E1C"/>
    <w:rsid w:val="005D4E27"/>
    <w:rsid w:val="005D4EDB"/>
    <w:rsid w:val="005D4EF4"/>
    <w:rsid w:val="005D4F78"/>
    <w:rsid w:val="005D504C"/>
    <w:rsid w:val="005D512A"/>
    <w:rsid w:val="005D5312"/>
    <w:rsid w:val="005D5565"/>
    <w:rsid w:val="005D57A3"/>
    <w:rsid w:val="005D5A16"/>
    <w:rsid w:val="005D5A3A"/>
    <w:rsid w:val="005D5A3E"/>
    <w:rsid w:val="005D5B48"/>
    <w:rsid w:val="005D5D35"/>
    <w:rsid w:val="005D5F54"/>
    <w:rsid w:val="005D5F62"/>
    <w:rsid w:val="005D5FAB"/>
    <w:rsid w:val="005D61B0"/>
    <w:rsid w:val="005D628A"/>
    <w:rsid w:val="005D6297"/>
    <w:rsid w:val="005D6372"/>
    <w:rsid w:val="005D6441"/>
    <w:rsid w:val="005D6545"/>
    <w:rsid w:val="005D6587"/>
    <w:rsid w:val="005D65CF"/>
    <w:rsid w:val="005D66FD"/>
    <w:rsid w:val="005D6811"/>
    <w:rsid w:val="005D6869"/>
    <w:rsid w:val="005D6A03"/>
    <w:rsid w:val="005D6A89"/>
    <w:rsid w:val="005D6B0B"/>
    <w:rsid w:val="005D6CE3"/>
    <w:rsid w:val="005D6D8F"/>
    <w:rsid w:val="005D6DDD"/>
    <w:rsid w:val="005D6E5A"/>
    <w:rsid w:val="005D6F7D"/>
    <w:rsid w:val="005D7034"/>
    <w:rsid w:val="005D7104"/>
    <w:rsid w:val="005D7236"/>
    <w:rsid w:val="005D737B"/>
    <w:rsid w:val="005D746F"/>
    <w:rsid w:val="005D7546"/>
    <w:rsid w:val="005D7713"/>
    <w:rsid w:val="005D77DA"/>
    <w:rsid w:val="005D77F6"/>
    <w:rsid w:val="005D7944"/>
    <w:rsid w:val="005D79A5"/>
    <w:rsid w:val="005D7A2E"/>
    <w:rsid w:val="005D7A83"/>
    <w:rsid w:val="005D7B53"/>
    <w:rsid w:val="005D7C67"/>
    <w:rsid w:val="005D7E93"/>
    <w:rsid w:val="005D7F6A"/>
    <w:rsid w:val="005D7FBB"/>
    <w:rsid w:val="005E0009"/>
    <w:rsid w:val="005E0036"/>
    <w:rsid w:val="005E0038"/>
    <w:rsid w:val="005E00CA"/>
    <w:rsid w:val="005E034F"/>
    <w:rsid w:val="005E0425"/>
    <w:rsid w:val="005E043B"/>
    <w:rsid w:val="005E0481"/>
    <w:rsid w:val="005E0528"/>
    <w:rsid w:val="005E07BD"/>
    <w:rsid w:val="005E07FF"/>
    <w:rsid w:val="005E08F1"/>
    <w:rsid w:val="005E0A05"/>
    <w:rsid w:val="005E0CC3"/>
    <w:rsid w:val="005E0CD4"/>
    <w:rsid w:val="005E0CF5"/>
    <w:rsid w:val="005E0E38"/>
    <w:rsid w:val="005E0E8A"/>
    <w:rsid w:val="005E0E9E"/>
    <w:rsid w:val="005E1088"/>
    <w:rsid w:val="005E1114"/>
    <w:rsid w:val="005E1195"/>
    <w:rsid w:val="005E1254"/>
    <w:rsid w:val="005E125E"/>
    <w:rsid w:val="005E1358"/>
    <w:rsid w:val="005E1462"/>
    <w:rsid w:val="005E153C"/>
    <w:rsid w:val="005E1573"/>
    <w:rsid w:val="005E16AC"/>
    <w:rsid w:val="005E18CB"/>
    <w:rsid w:val="005E18CD"/>
    <w:rsid w:val="005E199C"/>
    <w:rsid w:val="005E1B23"/>
    <w:rsid w:val="005E1B55"/>
    <w:rsid w:val="005E1CEB"/>
    <w:rsid w:val="005E1DD7"/>
    <w:rsid w:val="005E1E15"/>
    <w:rsid w:val="005E1F6E"/>
    <w:rsid w:val="005E1F94"/>
    <w:rsid w:val="005E1FA8"/>
    <w:rsid w:val="005E1FE2"/>
    <w:rsid w:val="005E1FE3"/>
    <w:rsid w:val="005E22AA"/>
    <w:rsid w:val="005E22D4"/>
    <w:rsid w:val="005E2320"/>
    <w:rsid w:val="005E239A"/>
    <w:rsid w:val="005E2446"/>
    <w:rsid w:val="005E246F"/>
    <w:rsid w:val="005E24A0"/>
    <w:rsid w:val="005E2660"/>
    <w:rsid w:val="005E27AB"/>
    <w:rsid w:val="005E280D"/>
    <w:rsid w:val="005E289B"/>
    <w:rsid w:val="005E28D6"/>
    <w:rsid w:val="005E28F2"/>
    <w:rsid w:val="005E2BC5"/>
    <w:rsid w:val="005E2BC9"/>
    <w:rsid w:val="005E2C5C"/>
    <w:rsid w:val="005E2FB5"/>
    <w:rsid w:val="005E338D"/>
    <w:rsid w:val="005E3417"/>
    <w:rsid w:val="005E3455"/>
    <w:rsid w:val="005E345A"/>
    <w:rsid w:val="005E3581"/>
    <w:rsid w:val="005E3598"/>
    <w:rsid w:val="005E35F0"/>
    <w:rsid w:val="005E3603"/>
    <w:rsid w:val="005E3719"/>
    <w:rsid w:val="005E3733"/>
    <w:rsid w:val="005E3871"/>
    <w:rsid w:val="005E3901"/>
    <w:rsid w:val="005E395A"/>
    <w:rsid w:val="005E3A73"/>
    <w:rsid w:val="005E3AA0"/>
    <w:rsid w:val="005E3AF6"/>
    <w:rsid w:val="005E3B60"/>
    <w:rsid w:val="005E3CE4"/>
    <w:rsid w:val="005E3DF1"/>
    <w:rsid w:val="005E3F9E"/>
    <w:rsid w:val="005E405E"/>
    <w:rsid w:val="005E42C4"/>
    <w:rsid w:val="005E438D"/>
    <w:rsid w:val="005E439B"/>
    <w:rsid w:val="005E4557"/>
    <w:rsid w:val="005E455E"/>
    <w:rsid w:val="005E4629"/>
    <w:rsid w:val="005E4669"/>
    <w:rsid w:val="005E4687"/>
    <w:rsid w:val="005E48AD"/>
    <w:rsid w:val="005E492D"/>
    <w:rsid w:val="005E4959"/>
    <w:rsid w:val="005E4ACE"/>
    <w:rsid w:val="005E4BDC"/>
    <w:rsid w:val="005E4C34"/>
    <w:rsid w:val="005E4DB4"/>
    <w:rsid w:val="005E4F3B"/>
    <w:rsid w:val="005E4FAC"/>
    <w:rsid w:val="005E51C4"/>
    <w:rsid w:val="005E522C"/>
    <w:rsid w:val="005E530C"/>
    <w:rsid w:val="005E53E0"/>
    <w:rsid w:val="005E53E7"/>
    <w:rsid w:val="005E5404"/>
    <w:rsid w:val="005E55B6"/>
    <w:rsid w:val="005E55D9"/>
    <w:rsid w:val="005E56E5"/>
    <w:rsid w:val="005E57E1"/>
    <w:rsid w:val="005E58AD"/>
    <w:rsid w:val="005E5927"/>
    <w:rsid w:val="005E59A8"/>
    <w:rsid w:val="005E59EC"/>
    <w:rsid w:val="005E5B0C"/>
    <w:rsid w:val="005E5B4D"/>
    <w:rsid w:val="005E5EE1"/>
    <w:rsid w:val="005E5FD1"/>
    <w:rsid w:val="005E6040"/>
    <w:rsid w:val="005E61EC"/>
    <w:rsid w:val="005E61F2"/>
    <w:rsid w:val="005E6298"/>
    <w:rsid w:val="005E62E5"/>
    <w:rsid w:val="005E631E"/>
    <w:rsid w:val="005E648A"/>
    <w:rsid w:val="005E64B2"/>
    <w:rsid w:val="005E64BE"/>
    <w:rsid w:val="005E6848"/>
    <w:rsid w:val="005E69A3"/>
    <w:rsid w:val="005E69EB"/>
    <w:rsid w:val="005E6B3C"/>
    <w:rsid w:val="005E6B99"/>
    <w:rsid w:val="005E6C99"/>
    <w:rsid w:val="005E6E3F"/>
    <w:rsid w:val="005E6E84"/>
    <w:rsid w:val="005E6EA9"/>
    <w:rsid w:val="005E6EB9"/>
    <w:rsid w:val="005E6F1C"/>
    <w:rsid w:val="005E6F98"/>
    <w:rsid w:val="005E7040"/>
    <w:rsid w:val="005E7321"/>
    <w:rsid w:val="005E73AA"/>
    <w:rsid w:val="005E7455"/>
    <w:rsid w:val="005E75C8"/>
    <w:rsid w:val="005E7645"/>
    <w:rsid w:val="005E768C"/>
    <w:rsid w:val="005E7724"/>
    <w:rsid w:val="005E776B"/>
    <w:rsid w:val="005E7790"/>
    <w:rsid w:val="005E77E4"/>
    <w:rsid w:val="005E78D8"/>
    <w:rsid w:val="005E7941"/>
    <w:rsid w:val="005E7942"/>
    <w:rsid w:val="005E7A36"/>
    <w:rsid w:val="005E7D13"/>
    <w:rsid w:val="005E7DD1"/>
    <w:rsid w:val="005E7DDA"/>
    <w:rsid w:val="005E7F3B"/>
    <w:rsid w:val="005E7F40"/>
    <w:rsid w:val="005F0062"/>
    <w:rsid w:val="005F011D"/>
    <w:rsid w:val="005F0167"/>
    <w:rsid w:val="005F0269"/>
    <w:rsid w:val="005F0372"/>
    <w:rsid w:val="005F044B"/>
    <w:rsid w:val="005F04A0"/>
    <w:rsid w:val="005F04B0"/>
    <w:rsid w:val="005F04B3"/>
    <w:rsid w:val="005F079B"/>
    <w:rsid w:val="005F08CD"/>
    <w:rsid w:val="005F0971"/>
    <w:rsid w:val="005F09F9"/>
    <w:rsid w:val="005F0B5C"/>
    <w:rsid w:val="005F0B97"/>
    <w:rsid w:val="005F0C1E"/>
    <w:rsid w:val="005F0C9A"/>
    <w:rsid w:val="005F0DC2"/>
    <w:rsid w:val="005F0E0A"/>
    <w:rsid w:val="005F0E17"/>
    <w:rsid w:val="005F0E1E"/>
    <w:rsid w:val="005F0E30"/>
    <w:rsid w:val="005F0E47"/>
    <w:rsid w:val="005F0EB6"/>
    <w:rsid w:val="005F0FBC"/>
    <w:rsid w:val="005F1160"/>
    <w:rsid w:val="005F1163"/>
    <w:rsid w:val="005F124A"/>
    <w:rsid w:val="005F1276"/>
    <w:rsid w:val="005F128F"/>
    <w:rsid w:val="005F12CD"/>
    <w:rsid w:val="005F13AB"/>
    <w:rsid w:val="005F13EF"/>
    <w:rsid w:val="005F15C8"/>
    <w:rsid w:val="005F16DB"/>
    <w:rsid w:val="005F1735"/>
    <w:rsid w:val="005F17DA"/>
    <w:rsid w:val="005F183B"/>
    <w:rsid w:val="005F18B5"/>
    <w:rsid w:val="005F198C"/>
    <w:rsid w:val="005F19F2"/>
    <w:rsid w:val="005F1A07"/>
    <w:rsid w:val="005F1B3E"/>
    <w:rsid w:val="005F1B76"/>
    <w:rsid w:val="005F1C5F"/>
    <w:rsid w:val="005F1C6B"/>
    <w:rsid w:val="005F1DE6"/>
    <w:rsid w:val="005F1F6C"/>
    <w:rsid w:val="005F208E"/>
    <w:rsid w:val="005F2091"/>
    <w:rsid w:val="005F2105"/>
    <w:rsid w:val="005F21B1"/>
    <w:rsid w:val="005F21D5"/>
    <w:rsid w:val="005F2250"/>
    <w:rsid w:val="005F225F"/>
    <w:rsid w:val="005F22BE"/>
    <w:rsid w:val="005F23BC"/>
    <w:rsid w:val="005F24AA"/>
    <w:rsid w:val="005F2588"/>
    <w:rsid w:val="005F26B7"/>
    <w:rsid w:val="005F272E"/>
    <w:rsid w:val="005F2851"/>
    <w:rsid w:val="005F2945"/>
    <w:rsid w:val="005F2BBF"/>
    <w:rsid w:val="005F2C08"/>
    <w:rsid w:val="005F2D96"/>
    <w:rsid w:val="005F3197"/>
    <w:rsid w:val="005F3546"/>
    <w:rsid w:val="005F3593"/>
    <w:rsid w:val="005F35BE"/>
    <w:rsid w:val="005F36D2"/>
    <w:rsid w:val="005F36F9"/>
    <w:rsid w:val="005F3715"/>
    <w:rsid w:val="005F3736"/>
    <w:rsid w:val="005F37BE"/>
    <w:rsid w:val="005F388B"/>
    <w:rsid w:val="005F39F5"/>
    <w:rsid w:val="005F3A13"/>
    <w:rsid w:val="005F3ADE"/>
    <w:rsid w:val="005F3B68"/>
    <w:rsid w:val="005F3BCF"/>
    <w:rsid w:val="005F3D03"/>
    <w:rsid w:val="005F3D10"/>
    <w:rsid w:val="005F3D4F"/>
    <w:rsid w:val="005F3EFD"/>
    <w:rsid w:val="005F3F2F"/>
    <w:rsid w:val="005F3F6E"/>
    <w:rsid w:val="005F4067"/>
    <w:rsid w:val="005F425A"/>
    <w:rsid w:val="005F43F5"/>
    <w:rsid w:val="005F4433"/>
    <w:rsid w:val="005F4475"/>
    <w:rsid w:val="005F4504"/>
    <w:rsid w:val="005F450E"/>
    <w:rsid w:val="005F455D"/>
    <w:rsid w:val="005F4616"/>
    <w:rsid w:val="005F4635"/>
    <w:rsid w:val="005F4820"/>
    <w:rsid w:val="005F48A7"/>
    <w:rsid w:val="005F4987"/>
    <w:rsid w:val="005F4A5E"/>
    <w:rsid w:val="005F4AE3"/>
    <w:rsid w:val="005F4D02"/>
    <w:rsid w:val="005F4D19"/>
    <w:rsid w:val="005F4DBD"/>
    <w:rsid w:val="005F4F42"/>
    <w:rsid w:val="005F5024"/>
    <w:rsid w:val="005F5087"/>
    <w:rsid w:val="005F50DE"/>
    <w:rsid w:val="005F51D8"/>
    <w:rsid w:val="005F5397"/>
    <w:rsid w:val="005F53D6"/>
    <w:rsid w:val="005F5429"/>
    <w:rsid w:val="005F5513"/>
    <w:rsid w:val="005F551E"/>
    <w:rsid w:val="005F55F3"/>
    <w:rsid w:val="005F561F"/>
    <w:rsid w:val="005F5692"/>
    <w:rsid w:val="005F56FA"/>
    <w:rsid w:val="005F5749"/>
    <w:rsid w:val="005F5866"/>
    <w:rsid w:val="005F58A3"/>
    <w:rsid w:val="005F5911"/>
    <w:rsid w:val="005F59D0"/>
    <w:rsid w:val="005F5C9F"/>
    <w:rsid w:val="005F5D4F"/>
    <w:rsid w:val="005F5D54"/>
    <w:rsid w:val="005F5D62"/>
    <w:rsid w:val="005F5FFD"/>
    <w:rsid w:val="005F601A"/>
    <w:rsid w:val="005F6166"/>
    <w:rsid w:val="005F64D2"/>
    <w:rsid w:val="005F6637"/>
    <w:rsid w:val="005F6705"/>
    <w:rsid w:val="005F6716"/>
    <w:rsid w:val="005F6930"/>
    <w:rsid w:val="005F6A0E"/>
    <w:rsid w:val="005F6AB3"/>
    <w:rsid w:val="005F6BCB"/>
    <w:rsid w:val="005F6C19"/>
    <w:rsid w:val="005F6D48"/>
    <w:rsid w:val="005F6DD3"/>
    <w:rsid w:val="005F6DE3"/>
    <w:rsid w:val="005F6EE0"/>
    <w:rsid w:val="005F70E6"/>
    <w:rsid w:val="005F71DB"/>
    <w:rsid w:val="005F728B"/>
    <w:rsid w:val="005F74B3"/>
    <w:rsid w:val="005F7610"/>
    <w:rsid w:val="005F76A0"/>
    <w:rsid w:val="005F7717"/>
    <w:rsid w:val="005F7875"/>
    <w:rsid w:val="005F7937"/>
    <w:rsid w:val="005F7AD3"/>
    <w:rsid w:val="005F7ADF"/>
    <w:rsid w:val="005F7B25"/>
    <w:rsid w:val="005F7CBD"/>
    <w:rsid w:val="005F7D01"/>
    <w:rsid w:val="005F7E51"/>
    <w:rsid w:val="005F7EB1"/>
    <w:rsid w:val="005F7F02"/>
    <w:rsid w:val="0060004D"/>
    <w:rsid w:val="00600064"/>
    <w:rsid w:val="0060009E"/>
    <w:rsid w:val="006000AF"/>
    <w:rsid w:val="006001A9"/>
    <w:rsid w:val="0060026A"/>
    <w:rsid w:val="0060033A"/>
    <w:rsid w:val="00600353"/>
    <w:rsid w:val="00600379"/>
    <w:rsid w:val="006003CB"/>
    <w:rsid w:val="006004C6"/>
    <w:rsid w:val="00600579"/>
    <w:rsid w:val="00600677"/>
    <w:rsid w:val="006006B4"/>
    <w:rsid w:val="006006CD"/>
    <w:rsid w:val="006006FE"/>
    <w:rsid w:val="00600762"/>
    <w:rsid w:val="0060079B"/>
    <w:rsid w:val="006007AB"/>
    <w:rsid w:val="006008FD"/>
    <w:rsid w:val="0060092E"/>
    <w:rsid w:val="00600933"/>
    <w:rsid w:val="00600A1B"/>
    <w:rsid w:val="00600A63"/>
    <w:rsid w:val="00600CCE"/>
    <w:rsid w:val="00600CF6"/>
    <w:rsid w:val="00600D17"/>
    <w:rsid w:val="00600D52"/>
    <w:rsid w:val="00600DD4"/>
    <w:rsid w:val="00600E34"/>
    <w:rsid w:val="00600FD4"/>
    <w:rsid w:val="006010EE"/>
    <w:rsid w:val="00601318"/>
    <w:rsid w:val="006014D7"/>
    <w:rsid w:val="00601527"/>
    <w:rsid w:val="0060162B"/>
    <w:rsid w:val="006017BE"/>
    <w:rsid w:val="0060186A"/>
    <w:rsid w:val="00601975"/>
    <w:rsid w:val="00601BE7"/>
    <w:rsid w:val="00601BEA"/>
    <w:rsid w:val="00601BFC"/>
    <w:rsid w:val="00601C95"/>
    <w:rsid w:val="00601CD0"/>
    <w:rsid w:val="006020CD"/>
    <w:rsid w:val="0060220F"/>
    <w:rsid w:val="006022FF"/>
    <w:rsid w:val="0060243D"/>
    <w:rsid w:val="00602450"/>
    <w:rsid w:val="006024A0"/>
    <w:rsid w:val="006024D0"/>
    <w:rsid w:val="006026A7"/>
    <w:rsid w:val="00602730"/>
    <w:rsid w:val="00602872"/>
    <w:rsid w:val="00602891"/>
    <w:rsid w:val="006028FE"/>
    <w:rsid w:val="00602A3E"/>
    <w:rsid w:val="00602B47"/>
    <w:rsid w:val="00602B54"/>
    <w:rsid w:val="00602CB0"/>
    <w:rsid w:val="00602E38"/>
    <w:rsid w:val="00602EBC"/>
    <w:rsid w:val="00602EDD"/>
    <w:rsid w:val="00602EF5"/>
    <w:rsid w:val="00602F15"/>
    <w:rsid w:val="00602F2F"/>
    <w:rsid w:val="00602F65"/>
    <w:rsid w:val="0060301C"/>
    <w:rsid w:val="006030AF"/>
    <w:rsid w:val="00603146"/>
    <w:rsid w:val="00603265"/>
    <w:rsid w:val="00603286"/>
    <w:rsid w:val="00603343"/>
    <w:rsid w:val="0060351D"/>
    <w:rsid w:val="00603568"/>
    <w:rsid w:val="006036D5"/>
    <w:rsid w:val="0060373E"/>
    <w:rsid w:val="00603782"/>
    <w:rsid w:val="006037E8"/>
    <w:rsid w:val="00603894"/>
    <w:rsid w:val="006038A0"/>
    <w:rsid w:val="006038B1"/>
    <w:rsid w:val="006038BF"/>
    <w:rsid w:val="006039A3"/>
    <w:rsid w:val="00603A3C"/>
    <w:rsid w:val="00603B08"/>
    <w:rsid w:val="00603C8C"/>
    <w:rsid w:val="00603CBE"/>
    <w:rsid w:val="00603E09"/>
    <w:rsid w:val="00603F5C"/>
    <w:rsid w:val="0060404D"/>
    <w:rsid w:val="00604109"/>
    <w:rsid w:val="00604276"/>
    <w:rsid w:val="0060428B"/>
    <w:rsid w:val="00604377"/>
    <w:rsid w:val="006043A0"/>
    <w:rsid w:val="00604552"/>
    <w:rsid w:val="00604759"/>
    <w:rsid w:val="00604788"/>
    <w:rsid w:val="006047AF"/>
    <w:rsid w:val="006048AF"/>
    <w:rsid w:val="006048B1"/>
    <w:rsid w:val="00604DFC"/>
    <w:rsid w:val="00604F31"/>
    <w:rsid w:val="00604FBA"/>
    <w:rsid w:val="00605221"/>
    <w:rsid w:val="006052BC"/>
    <w:rsid w:val="006052D1"/>
    <w:rsid w:val="0060552A"/>
    <w:rsid w:val="00605584"/>
    <w:rsid w:val="006058A9"/>
    <w:rsid w:val="006058DE"/>
    <w:rsid w:val="006059A8"/>
    <w:rsid w:val="00605A18"/>
    <w:rsid w:val="00605A7E"/>
    <w:rsid w:val="00605BCA"/>
    <w:rsid w:val="00605BE3"/>
    <w:rsid w:val="00605CB1"/>
    <w:rsid w:val="00605EF7"/>
    <w:rsid w:val="00605F3E"/>
    <w:rsid w:val="00605F73"/>
    <w:rsid w:val="00605FF7"/>
    <w:rsid w:val="006060BC"/>
    <w:rsid w:val="006060E2"/>
    <w:rsid w:val="00606119"/>
    <w:rsid w:val="00606148"/>
    <w:rsid w:val="006061D5"/>
    <w:rsid w:val="006061E3"/>
    <w:rsid w:val="00606227"/>
    <w:rsid w:val="0060627A"/>
    <w:rsid w:val="006062E0"/>
    <w:rsid w:val="0060634D"/>
    <w:rsid w:val="00606376"/>
    <w:rsid w:val="0060646F"/>
    <w:rsid w:val="0060662D"/>
    <w:rsid w:val="0060668E"/>
    <w:rsid w:val="006066CF"/>
    <w:rsid w:val="00606705"/>
    <w:rsid w:val="0060680B"/>
    <w:rsid w:val="00606848"/>
    <w:rsid w:val="006068CD"/>
    <w:rsid w:val="00606931"/>
    <w:rsid w:val="00606ADE"/>
    <w:rsid w:val="00606B4F"/>
    <w:rsid w:val="00606C2F"/>
    <w:rsid w:val="00606D48"/>
    <w:rsid w:val="00606E1A"/>
    <w:rsid w:val="00606E90"/>
    <w:rsid w:val="00606F3E"/>
    <w:rsid w:val="00606FB1"/>
    <w:rsid w:val="0060708E"/>
    <w:rsid w:val="006070F2"/>
    <w:rsid w:val="00607165"/>
    <w:rsid w:val="00607199"/>
    <w:rsid w:val="006071D8"/>
    <w:rsid w:val="0060743C"/>
    <w:rsid w:val="0060743E"/>
    <w:rsid w:val="0060748A"/>
    <w:rsid w:val="00607499"/>
    <w:rsid w:val="00607575"/>
    <w:rsid w:val="0060764C"/>
    <w:rsid w:val="006078DB"/>
    <w:rsid w:val="00607B40"/>
    <w:rsid w:val="00607C8C"/>
    <w:rsid w:val="00607DDE"/>
    <w:rsid w:val="00607E04"/>
    <w:rsid w:val="00607FAA"/>
    <w:rsid w:val="00610420"/>
    <w:rsid w:val="00610450"/>
    <w:rsid w:val="00610484"/>
    <w:rsid w:val="006104C0"/>
    <w:rsid w:val="006104EB"/>
    <w:rsid w:val="006105CD"/>
    <w:rsid w:val="0061066C"/>
    <w:rsid w:val="006107B6"/>
    <w:rsid w:val="006107D1"/>
    <w:rsid w:val="006107DB"/>
    <w:rsid w:val="00610890"/>
    <w:rsid w:val="00610945"/>
    <w:rsid w:val="0061097D"/>
    <w:rsid w:val="00610994"/>
    <w:rsid w:val="00610AA6"/>
    <w:rsid w:val="00610BA6"/>
    <w:rsid w:val="00610BD7"/>
    <w:rsid w:val="00610C66"/>
    <w:rsid w:val="00610CFF"/>
    <w:rsid w:val="00610E4F"/>
    <w:rsid w:val="00611027"/>
    <w:rsid w:val="006110F5"/>
    <w:rsid w:val="006112C7"/>
    <w:rsid w:val="00611468"/>
    <w:rsid w:val="006114A2"/>
    <w:rsid w:val="006114F6"/>
    <w:rsid w:val="0061150F"/>
    <w:rsid w:val="00611573"/>
    <w:rsid w:val="00611631"/>
    <w:rsid w:val="00611633"/>
    <w:rsid w:val="00611653"/>
    <w:rsid w:val="00611696"/>
    <w:rsid w:val="006116C8"/>
    <w:rsid w:val="00611908"/>
    <w:rsid w:val="0061198C"/>
    <w:rsid w:val="00611A82"/>
    <w:rsid w:val="00611AA3"/>
    <w:rsid w:val="00611AF0"/>
    <w:rsid w:val="00611B78"/>
    <w:rsid w:val="00611B7F"/>
    <w:rsid w:val="00611BFB"/>
    <w:rsid w:val="00611C1E"/>
    <w:rsid w:val="00611C29"/>
    <w:rsid w:val="00611C88"/>
    <w:rsid w:val="00611EB1"/>
    <w:rsid w:val="00611EE2"/>
    <w:rsid w:val="00611FF7"/>
    <w:rsid w:val="00612091"/>
    <w:rsid w:val="006120C9"/>
    <w:rsid w:val="006120E5"/>
    <w:rsid w:val="00612168"/>
    <w:rsid w:val="0061216D"/>
    <w:rsid w:val="00612178"/>
    <w:rsid w:val="00612282"/>
    <w:rsid w:val="00612337"/>
    <w:rsid w:val="0061234F"/>
    <w:rsid w:val="006123E3"/>
    <w:rsid w:val="006124AB"/>
    <w:rsid w:val="00612595"/>
    <w:rsid w:val="0061262D"/>
    <w:rsid w:val="00612662"/>
    <w:rsid w:val="0061289F"/>
    <w:rsid w:val="006129A4"/>
    <w:rsid w:val="00612AAF"/>
    <w:rsid w:val="00612C2B"/>
    <w:rsid w:val="00612E51"/>
    <w:rsid w:val="00612EF1"/>
    <w:rsid w:val="00612F22"/>
    <w:rsid w:val="0061302D"/>
    <w:rsid w:val="006134BD"/>
    <w:rsid w:val="0061365E"/>
    <w:rsid w:val="0061370E"/>
    <w:rsid w:val="006137D0"/>
    <w:rsid w:val="00613823"/>
    <w:rsid w:val="0061387F"/>
    <w:rsid w:val="006138BA"/>
    <w:rsid w:val="00613A3D"/>
    <w:rsid w:val="00613B71"/>
    <w:rsid w:val="00613BBB"/>
    <w:rsid w:val="00613C16"/>
    <w:rsid w:val="00613D06"/>
    <w:rsid w:val="00613D96"/>
    <w:rsid w:val="00613E40"/>
    <w:rsid w:val="00613E8E"/>
    <w:rsid w:val="00613ED6"/>
    <w:rsid w:val="00613F61"/>
    <w:rsid w:val="00613FBC"/>
    <w:rsid w:val="00614069"/>
    <w:rsid w:val="00614115"/>
    <w:rsid w:val="006142F5"/>
    <w:rsid w:val="00614351"/>
    <w:rsid w:val="0061437E"/>
    <w:rsid w:val="0061448E"/>
    <w:rsid w:val="00614575"/>
    <w:rsid w:val="00614738"/>
    <w:rsid w:val="00614800"/>
    <w:rsid w:val="00614829"/>
    <w:rsid w:val="0061484F"/>
    <w:rsid w:val="00614876"/>
    <w:rsid w:val="006148D1"/>
    <w:rsid w:val="006149AF"/>
    <w:rsid w:val="006149CD"/>
    <w:rsid w:val="00614B90"/>
    <w:rsid w:val="00614C3B"/>
    <w:rsid w:val="00614C83"/>
    <w:rsid w:val="00614D32"/>
    <w:rsid w:val="00614E05"/>
    <w:rsid w:val="00614EA4"/>
    <w:rsid w:val="00614EF9"/>
    <w:rsid w:val="00614F44"/>
    <w:rsid w:val="00614FAB"/>
    <w:rsid w:val="00615111"/>
    <w:rsid w:val="0061512C"/>
    <w:rsid w:val="00615185"/>
    <w:rsid w:val="0061529A"/>
    <w:rsid w:val="00615470"/>
    <w:rsid w:val="006157B1"/>
    <w:rsid w:val="006157FD"/>
    <w:rsid w:val="00615878"/>
    <w:rsid w:val="00615994"/>
    <w:rsid w:val="006159FA"/>
    <w:rsid w:val="00615A62"/>
    <w:rsid w:val="00615A90"/>
    <w:rsid w:val="00615AE6"/>
    <w:rsid w:val="00615B3A"/>
    <w:rsid w:val="00615BBF"/>
    <w:rsid w:val="00615BDB"/>
    <w:rsid w:val="00615DED"/>
    <w:rsid w:val="00615E6B"/>
    <w:rsid w:val="00615F28"/>
    <w:rsid w:val="00616269"/>
    <w:rsid w:val="0061645A"/>
    <w:rsid w:val="0061648C"/>
    <w:rsid w:val="006166C5"/>
    <w:rsid w:val="006167EA"/>
    <w:rsid w:val="00616862"/>
    <w:rsid w:val="00616887"/>
    <w:rsid w:val="006168A5"/>
    <w:rsid w:val="006168C9"/>
    <w:rsid w:val="006169C8"/>
    <w:rsid w:val="00616B4C"/>
    <w:rsid w:val="00616C5C"/>
    <w:rsid w:val="00616D2D"/>
    <w:rsid w:val="00616D40"/>
    <w:rsid w:val="00616DAE"/>
    <w:rsid w:val="00616DDF"/>
    <w:rsid w:val="00616E0B"/>
    <w:rsid w:val="00616EB3"/>
    <w:rsid w:val="00616F24"/>
    <w:rsid w:val="00616F48"/>
    <w:rsid w:val="00616F52"/>
    <w:rsid w:val="00616F5F"/>
    <w:rsid w:val="006170AC"/>
    <w:rsid w:val="00617138"/>
    <w:rsid w:val="006171E1"/>
    <w:rsid w:val="006171FE"/>
    <w:rsid w:val="0061734E"/>
    <w:rsid w:val="006173E6"/>
    <w:rsid w:val="00617541"/>
    <w:rsid w:val="0061764B"/>
    <w:rsid w:val="0061768E"/>
    <w:rsid w:val="00617696"/>
    <w:rsid w:val="00617733"/>
    <w:rsid w:val="0061775E"/>
    <w:rsid w:val="00617815"/>
    <w:rsid w:val="006178D7"/>
    <w:rsid w:val="00617940"/>
    <w:rsid w:val="006179C9"/>
    <w:rsid w:val="00617ABC"/>
    <w:rsid w:val="00617D2D"/>
    <w:rsid w:val="00617D52"/>
    <w:rsid w:val="00617E6B"/>
    <w:rsid w:val="00617F0A"/>
    <w:rsid w:val="00617F0C"/>
    <w:rsid w:val="00617F8D"/>
    <w:rsid w:val="00617FE0"/>
    <w:rsid w:val="006200E2"/>
    <w:rsid w:val="00620274"/>
    <w:rsid w:val="0062048F"/>
    <w:rsid w:val="006204C8"/>
    <w:rsid w:val="006204EE"/>
    <w:rsid w:val="0062051C"/>
    <w:rsid w:val="00620535"/>
    <w:rsid w:val="00620603"/>
    <w:rsid w:val="00620649"/>
    <w:rsid w:val="006207CC"/>
    <w:rsid w:val="00620881"/>
    <w:rsid w:val="0062095D"/>
    <w:rsid w:val="006209AD"/>
    <w:rsid w:val="00620A06"/>
    <w:rsid w:val="00620A2C"/>
    <w:rsid w:val="00620ACF"/>
    <w:rsid w:val="00620AFA"/>
    <w:rsid w:val="00620B0A"/>
    <w:rsid w:val="00620C94"/>
    <w:rsid w:val="00620DC5"/>
    <w:rsid w:val="00620DC8"/>
    <w:rsid w:val="00620E08"/>
    <w:rsid w:val="00621096"/>
    <w:rsid w:val="006212CE"/>
    <w:rsid w:val="00621454"/>
    <w:rsid w:val="00621533"/>
    <w:rsid w:val="00621808"/>
    <w:rsid w:val="00621B29"/>
    <w:rsid w:val="00621B5E"/>
    <w:rsid w:val="00621BB4"/>
    <w:rsid w:val="00621D2D"/>
    <w:rsid w:val="00621D9F"/>
    <w:rsid w:val="00621EB2"/>
    <w:rsid w:val="00621F24"/>
    <w:rsid w:val="00621FA5"/>
    <w:rsid w:val="0062203C"/>
    <w:rsid w:val="006220ED"/>
    <w:rsid w:val="00622180"/>
    <w:rsid w:val="006221F5"/>
    <w:rsid w:val="0062220E"/>
    <w:rsid w:val="00622269"/>
    <w:rsid w:val="006222FD"/>
    <w:rsid w:val="00622369"/>
    <w:rsid w:val="006223E3"/>
    <w:rsid w:val="006224B0"/>
    <w:rsid w:val="006226CD"/>
    <w:rsid w:val="006226F0"/>
    <w:rsid w:val="0062279F"/>
    <w:rsid w:val="00622804"/>
    <w:rsid w:val="00622849"/>
    <w:rsid w:val="00622875"/>
    <w:rsid w:val="00622DEE"/>
    <w:rsid w:val="00622F8B"/>
    <w:rsid w:val="00623025"/>
    <w:rsid w:val="006230CA"/>
    <w:rsid w:val="0062312A"/>
    <w:rsid w:val="0062321C"/>
    <w:rsid w:val="00623268"/>
    <w:rsid w:val="006232DA"/>
    <w:rsid w:val="006232E6"/>
    <w:rsid w:val="006233F4"/>
    <w:rsid w:val="00623451"/>
    <w:rsid w:val="006234DB"/>
    <w:rsid w:val="0062350F"/>
    <w:rsid w:val="006236C7"/>
    <w:rsid w:val="006236DB"/>
    <w:rsid w:val="006236E4"/>
    <w:rsid w:val="0062371F"/>
    <w:rsid w:val="0062375D"/>
    <w:rsid w:val="006238C6"/>
    <w:rsid w:val="0062393D"/>
    <w:rsid w:val="0062395D"/>
    <w:rsid w:val="00623978"/>
    <w:rsid w:val="006239E8"/>
    <w:rsid w:val="006239EB"/>
    <w:rsid w:val="00623BB9"/>
    <w:rsid w:val="00623D53"/>
    <w:rsid w:val="00623E96"/>
    <w:rsid w:val="00623F9F"/>
    <w:rsid w:val="006240A8"/>
    <w:rsid w:val="00624171"/>
    <w:rsid w:val="00624289"/>
    <w:rsid w:val="006242BB"/>
    <w:rsid w:val="006242E4"/>
    <w:rsid w:val="00624375"/>
    <w:rsid w:val="0062440F"/>
    <w:rsid w:val="00624465"/>
    <w:rsid w:val="00624585"/>
    <w:rsid w:val="006245E1"/>
    <w:rsid w:val="00624679"/>
    <w:rsid w:val="00624738"/>
    <w:rsid w:val="0062476F"/>
    <w:rsid w:val="00624958"/>
    <w:rsid w:val="00624B2C"/>
    <w:rsid w:val="00624C77"/>
    <w:rsid w:val="00624CEE"/>
    <w:rsid w:val="00624D4F"/>
    <w:rsid w:val="00624E95"/>
    <w:rsid w:val="00624EF8"/>
    <w:rsid w:val="00624F4F"/>
    <w:rsid w:val="00624F65"/>
    <w:rsid w:val="006251CE"/>
    <w:rsid w:val="00625262"/>
    <w:rsid w:val="00625267"/>
    <w:rsid w:val="0062534C"/>
    <w:rsid w:val="0062539B"/>
    <w:rsid w:val="006253ED"/>
    <w:rsid w:val="00625407"/>
    <w:rsid w:val="0062544C"/>
    <w:rsid w:val="00625452"/>
    <w:rsid w:val="00625523"/>
    <w:rsid w:val="00625769"/>
    <w:rsid w:val="00625913"/>
    <w:rsid w:val="00625B18"/>
    <w:rsid w:val="00625B47"/>
    <w:rsid w:val="00625B58"/>
    <w:rsid w:val="00625BB4"/>
    <w:rsid w:val="00625C0D"/>
    <w:rsid w:val="00625CA4"/>
    <w:rsid w:val="00625DB5"/>
    <w:rsid w:val="00625E0E"/>
    <w:rsid w:val="00625EA4"/>
    <w:rsid w:val="00625FA6"/>
    <w:rsid w:val="0062601C"/>
    <w:rsid w:val="0062615C"/>
    <w:rsid w:val="00626179"/>
    <w:rsid w:val="006261F4"/>
    <w:rsid w:val="00626230"/>
    <w:rsid w:val="00626263"/>
    <w:rsid w:val="0062626D"/>
    <w:rsid w:val="006263E1"/>
    <w:rsid w:val="006265B0"/>
    <w:rsid w:val="0062668F"/>
    <w:rsid w:val="0062670A"/>
    <w:rsid w:val="00626876"/>
    <w:rsid w:val="00626905"/>
    <w:rsid w:val="00626B1A"/>
    <w:rsid w:val="00626B26"/>
    <w:rsid w:val="00626B9D"/>
    <w:rsid w:val="00626BBA"/>
    <w:rsid w:val="00626C25"/>
    <w:rsid w:val="00626CB0"/>
    <w:rsid w:val="00626DB1"/>
    <w:rsid w:val="00626E56"/>
    <w:rsid w:val="00626E9B"/>
    <w:rsid w:val="00626FDA"/>
    <w:rsid w:val="006270DB"/>
    <w:rsid w:val="006271F7"/>
    <w:rsid w:val="0062727D"/>
    <w:rsid w:val="00627419"/>
    <w:rsid w:val="00627469"/>
    <w:rsid w:val="0062752C"/>
    <w:rsid w:val="006276F6"/>
    <w:rsid w:val="00627B51"/>
    <w:rsid w:val="00627D51"/>
    <w:rsid w:val="00627DBE"/>
    <w:rsid w:val="00627EB2"/>
    <w:rsid w:val="00627EBF"/>
    <w:rsid w:val="00627F94"/>
    <w:rsid w:val="0063008F"/>
    <w:rsid w:val="006300B5"/>
    <w:rsid w:val="006300C1"/>
    <w:rsid w:val="006301E0"/>
    <w:rsid w:val="006302ED"/>
    <w:rsid w:val="00630380"/>
    <w:rsid w:val="006303A4"/>
    <w:rsid w:val="006303E4"/>
    <w:rsid w:val="0063042A"/>
    <w:rsid w:val="00630551"/>
    <w:rsid w:val="0063065E"/>
    <w:rsid w:val="006306E5"/>
    <w:rsid w:val="00630721"/>
    <w:rsid w:val="0063077C"/>
    <w:rsid w:val="00630823"/>
    <w:rsid w:val="00630886"/>
    <w:rsid w:val="0063099D"/>
    <w:rsid w:val="00630AC7"/>
    <w:rsid w:val="00630F8B"/>
    <w:rsid w:val="006310B5"/>
    <w:rsid w:val="006310FA"/>
    <w:rsid w:val="00631122"/>
    <w:rsid w:val="00631239"/>
    <w:rsid w:val="00631258"/>
    <w:rsid w:val="006314B5"/>
    <w:rsid w:val="00631562"/>
    <w:rsid w:val="006316B6"/>
    <w:rsid w:val="00631858"/>
    <w:rsid w:val="006318F6"/>
    <w:rsid w:val="00631962"/>
    <w:rsid w:val="00631AA9"/>
    <w:rsid w:val="00631CA6"/>
    <w:rsid w:val="00631CA7"/>
    <w:rsid w:val="00631D58"/>
    <w:rsid w:val="00632105"/>
    <w:rsid w:val="00632218"/>
    <w:rsid w:val="00632243"/>
    <w:rsid w:val="006322D5"/>
    <w:rsid w:val="006322DB"/>
    <w:rsid w:val="006323A5"/>
    <w:rsid w:val="00632426"/>
    <w:rsid w:val="00632685"/>
    <w:rsid w:val="006327D0"/>
    <w:rsid w:val="0063282C"/>
    <w:rsid w:val="0063285C"/>
    <w:rsid w:val="0063291C"/>
    <w:rsid w:val="0063293F"/>
    <w:rsid w:val="00632958"/>
    <w:rsid w:val="00632A1A"/>
    <w:rsid w:val="00632A9A"/>
    <w:rsid w:val="00632B69"/>
    <w:rsid w:val="00632BE8"/>
    <w:rsid w:val="00632D7A"/>
    <w:rsid w:val="00632E30"/>
    <w:rsid w:val="00632EED"/>
    <w:rsid w:val="00632F07"/>
    <w:rsid w:val="00633295"/>
    <w:rsid w:val="0063336F"/>
    <w:rsid w:val="0063339E"/>
    <w:rsid w:val="006333A0"/>
    <w:rsid w:val="006333EF"/>
    <w:rsid w:val="0063342A"/>
    <w:rsid w:val="006334AB"/>
    <w:rsid w:val="006334EA"/>
    <w:rsid w:val="006334EB"/>
    <w:rsid w:val="00633695"/>
    <w:rsid w:val="00633766"/>
    <w:rsid w:val="006337F9"/>
    <w:rsid w:val="00633AE7"/>
    <w:rsid w:val="00633BCF"/>
    <w:rsid w:val="00633C32"/>
    <w:rsid w:val="00633D72"/>
    <w:rsid w:val="00633DD5"/>
    <w:rsid w:val="00633E39"/>
    <w:rsid w:val="00633F21"/>
    <w:rsid w:val="00634060"/>
    <w:rsid w:val="006340EF"/>
    <w:rsid w:val="00634125"/>
    <w:rsid w:val="00634138"/>
    <w:rsid w:val="006342B6"/>
    <w:rsid w:val="006342BE"/>
    <w:rsid w:val="006342CA"/>
    <w:rsid w:val="0063442E"/>
    <w:rsid w:val="00634472"/>
    <w:rsid w:val="00634697"/>
    <w:rsid w:val="006346C5"/>
    <w:rsid w:val="0063471A"/>
    <w:rsid w:val="006349D7"/>
    <w:rsid w:val="00634ADF"/>
    <w:rsid w:val="00634B25"/>
    <w:rsid w:val="00634B48"/>
    <w:rsid w:val="00634C47"/>
    <w:rsid w:val="00634E1F"/>
    <w:rsid w:val="00634EA7"/>
    <w:rsid w:val="00634FAB"/>
    <w:rsid w:val="00635088"/>
    <w:rsid w:val="006350CB"/>
    <w:rsid w:val="006350F0"/>
    <w:rsid w:val="00635181"/>
    <w:rsid w:val="0063529C"/>
    <w:rsid w:val="006352F2"/>
    <w:rsid w:val="00635304"/>
    <w:rsid w:val="006353A8"/>
    <w:rsid w:val="006353D5"/>
    <w:rsid w:val="00635504"/>
    <w:rsid w:val="006357C7"/>
    <w:rsid w:val="006357CE"/>
    <w:rsid w:val="00635890"/>
    <w:rsid w:val="006359AF"/>
    <w:rsid w:val="00635AC5"/>
    <w:rsid w:val="00635B38"/>
    <w:rsid w:val="00635B6D"/>
    <w:rsid w:val="00635BFF"/>
    <w:rsid w:val="00635C8F"/>
    <w:rsid w:val="00635D52"/>
    <w:rsid w:val="00635D7C"/>
    <w:rsid w:val="00636090"/>
    <w:rsid w:val="0063612E"/>
    <w:rsid w:val="006361A6"/>
    <w:rsid w:val="00636250"/>
    <w:rsid w:val="006362FB"/>
    <w:rsid w:val="006362FC"/>
    <w:rsid w:val="006362FE"/>
    <w:rsid w:val="0063632A"/>
    <w:rsid w:val="0063643F"/>
    <w:rsid w:val="0063646E"/>
    <w:rsid w:val="00636492"/>
    <w:rsid w:val="006365AA"/>
    <w:rsid w:val="00636724"/>
    <w:rsid w:val="006367B9"/>
    <w:rsid w:val="00636B2D"/>
    <w:rsid w:val="00636C68"/>
    <w:rsid w:val="00636C6A"/>
    <w:rsid w:val="00636D87"/>
    <w:rsid w:val="00636EFE"/>
    <w:rsid w:val="00636F27"/>
    <w:rsid w:val="00636FFE"/>
    <w:rsid w:val="00637120"/>
    <w:rsid w:val="0063734A"/>
    <w:rsid w:val="00637359"/>
    <w:rsid w:val="00637396"/>
    <w:rsid w:val="006376B8"/>
    <w:rsid w:val="006376F7"/>
    <w:rsid w:val="0063777B"/>
    <w:rsid w:val="006377BC"/>
    <w:rsid w:val="00637921"/>
    <w:rsid w:val="006379A6"/>
    <w:rsid w:val="00637A0A"/>
    <w:rsid w:val="00637BC3"/>
    <w:rsid w:val="00637BF0"/>
    <w:rsid w:val="00637D13"/>
    <w:rsid w:val="00637D36"/>
    <w:rsid w:val="00637DA3"/>
    <w:rsid w:val="00637E17"/>
    <w:rsid w:val="00637E81"/>
    <w:rsid w:val="00640024"/>
    <w:rsid w:val="0064017E"/>
    <w:rsid w:val="00640211"/>
    <w:rsid w:val="0064033C"/>
    <w:rsid w:val="00640360"/>
    <w:rsid w:val="006403AE"/>
    <w:rsid w:val="00640463"/>
    <w:rsid w:val="00640482"/>
    <w:rsid w:val="00640496"/>
    <w:rsid w:val="00640529"/>
    <w:rsid w:val="006406B9"/>
    <w:rsid w:val="006406E0"/>
    <w:rsid w:val="006406F2"/>
    <w:rsid w:val="00640905"/>
    <w:rsid w:val="00640CBA"/>
    <w:rsid w:val="00640D40"/>
    <w:rsid w:val="00640DAD"/>
    <w:rsid w:val="00640DC7"/>
    <w:rsid w:val="00640DF1"/>
    <w:rsid w:val="00641089"/>
    <w:rsid w:val="0064130D"/>
    <w:rsid w:val="006413CC"/>
    <w:rsid w:val="0064143E"/>
    <w:rsid w:val="00641479"/>
    <w:rsid w:val="00641551"/>
    <w:rsid w:val="00641583"/>
    <w:rsid w:val="0064161F"/>
    <w:rsid w:val="00641915"/>
    <w:rsid w:val="00641933"/>
    <w:rsid w:val="006419ED"/>
    <w:rsid w:val="00641A56"/>
    <w:rsid w:val="00641B14"/>
    <w:rsid w:val="00641B22"/>
    <w:rsid w:val="00641B37"/>
    <w:rsid w:val="00641B75"/>
    <w:rsid w:val="00641BB0"/>
    <w:rsid w:val="00641BEB"/>
    <w:rsid w:val="00641C85"/>
    <w:rsid w:val="00641D34"/>
    <w:rsid w:val="00641D37"/>
    <w:rsid w:val="00641D4A"/>
    <w:rsid w:val="00641E10"/>
    <w:rsid w:val="006420D7"/>
    <w:rsid w:val="00642123"/>
    <w:rsid w:val="0064219A"/>
    <w:rsid w:val="00642293"/>
    <w:rsid w:val="006422BF"/>
    <w:rsid w:val="006423B0"/>
    <w:rsid w:val="0064249E"/>
    <w:rsid w:val="006425A4"/>
    <w:rsid w:val="006425DB"/>
    <w:rsid w:val="0064261F"/>
    <w:rsid w:val="006426D5"/>
    <w:rsid w:val="006426E6"/>
    <w:rsid w:val="0064275B"/>
    <w:rsid w:val="006428A6"/>
    <w:rsid w:val="006429DC"/>
    <w:rsid w:val="00642A9B"/>
    <w:rsid w:val="00642B2A"/>
    <w:rsid w:val="00642B6E"/>
    <w:rsid w:val="00642B90"/>
    <w:rsid w:val="00642DF0"/>
    <w:rsid w:val="00642E53"/>
    <w:rsid w:val="00642E7E"/>
    <w:rsid w:val="00642EE8"/>
    <w:rsid w:val="00642FDA"/>
    <w:rsid w:val="0064326E"/>
    <w:rsid w:val="006432BA"/>
    <w:rsid w:val="0064350A"/>
    <w:rsid w:val="00643588"/>
    <w:rsid w:val="006436F6"/>
    <w:rsid w:val="00643A57"/>
    <w:rsid w:val="00643AA3"/>
    <w:rsid w:val="00643B24"/>
    <w:rsid w:val="00643B9B"/>
    <w:rsid w:val="00643C13"/>
    <w:rsid w:val="00643C1D"/>
    <w:rsid w:val="00643D57"/>
    <w:rsid w:val="00643DA0"/>
    <w:rsid w:val="00643DC8"/>
    <w:rsid w:val="00643FAD"/>
    <w:rsid w:val="00643FE1"/>
    <w:rsid w:val="00643FF6"/>
    <w:rsid w:val="0064402B"/>
    <w:rsid w:val="0064406A"/>
    <w:rsid w:val="00644093"/>
    <w:rsid w:val="0064419C"/>
    <w:rsid w:val="0064423F"/>
    <w:rsid w:val="0064442C"/>
    <w:rsid w:val="00644442"/>
    <w:rsid w:val="00644464"/>
    <w:rsid w:val="006444D0"/>
    <w:rsid w:val="00644638"/>
    <w:rsid w:val="0064464A"/>
    <w:rsid w:val="006448AB"/>
    <w:rsid w:val="006448EF"/>
    <w:rsid w:val="006449BF"/>
    <w:rsid w:val="00644A07"/>
    <w:rsid w:val="00644B21"/>
    <w:rsid w:val="00644C2B"/>
    <w:rsid w:val="00644C9B"/>
    <w:rsid w:val="00644C9D"/>
    <w:rsid w:val="00644D2C"/>
    <w:rsid w:val="00644DDB"/>
    <w:rsid w:val="00644E3F"/>
    <w:rsid w:val="00644EE2"/>
    <w:rsid w:val="00644FC5"/>
    <w:rsid w:val="00645058"/>
    <w:rsid w:val="00645303"/>
    <w:rsid w:val="006453E7"/>
    <w:rsid w:val="0064540C"/>
    <w:rsid w:val="0064546E"/>
    <w:rsid w:val="00645498"/>
    <w:rsid w:val="0064552A"/>
    <w:rsid w:val="0064577A"/>
    <w:rsid w:val="0064578A"/>
    <w:rsid w:val="006457C5"/>
    <w:rsid w:val="0064597B"/>
    <w:rsid w:val="00645B8D"/>
    <w:rsid w:val="00645BA2"/>
    <w:rsid w:val="00645D97"/>
    <w:rsid w:val="00645EBD"/>
    <w:rsid w:val="00646030"/>
    <w:rsid w:val="006460D8"/>
    <w:rsid w:val="00646185"/>
    <w:rsid w:val="006462A4"/>
    <w:rsid w:val="006462CC"/>
    <w:rsid w:val="006462F1"/>
    <w:rsid w:val="0064636F"/>
    <w:rsid w:val="006463F2"/>
    <w:rsid w:val="00646536"/>
    <w:rsid w:val="006465E2"/>
    <w:rsid w:val="006465F0"/>
    <w:rsid w:val="00646653"/>
    <w:rsid w:val="00646751"/>
    <w:rsid w:val="0064676A"/>
    <w:rsid w:val="0064680E"/>
    <w:rsid w:val="0064682D"/>
    <w:rsid w:val="00646927"/>
    <w:rsid w:val="006469F0"/>
    <w:rsid w:val="00646A59"/>
    <w:rsid w:val="00646A61"/>
    <w:rsid w:val="00646A65"/>
    <w:rsid w:val="00646CDC"/>
    <w:rsid w:val="00646DAA"/>
    <w:rsid w:val="00646DE2"/>
    <w:rsid w:val="00646F34"/>
    <w:rsid w:val="00646F78"/>
    <w:rsid w:val="00647045"/>
    <w:rsid w:val="00647056"/>
    <w:rsid w:val="0064708B"/>
    <w:rsid w:val="00647100"/>
    <w:rsid w:val="00647107"/>
    <w:rsid w:val="00647157"/>
    <w:rsid w:val="00647193"/>
    <w:rsid w:val="006471EC"/>
    <w:rsid w:val="0064726D"/>
    <w:rsid w:val="006473F7"/>
    <w:rsid w:val="006475CF"/>
    <w:rsid w:val="00647621"/>
    <w:rsid w:val="006476D4"/>
    <w:rsid w:val="006478C0"/>
    <w:rsid w:val="0064792F"/>
    <w:rsid w:val="00647A7A"/>
    <w:rsid w:val="00647E2E"/>
    <w:rsid w:val="00647E8A"/>
    <w:rsid w:val="00647F19"/>
    <w:rsid w:val="00647F1E"/>
    <w:rsid w:val="00647F5C"/>
    <w:rsid w:val="00647FA0"/>
    <w:rsid w:val="00650117"/>
    <w:rsid w:val="00650198"/>
    <w:rsid w:val="00650272"/>
    <w:rsid w:val="0065040F"/>
    <w:rsid w:val="006505C0"/>
    <w:rsid w:val="0065069C"/>
    <w:rsid w:val="0065083A"/>
    <w:rsid w:val="006508D2"/>
    <w:rsid w:val="006508EB"/>
    <w:rsid w:val="00650A94"/>
    <w:rsid w:val="00650AA9"/>
    <w:rsid w:val="00650C03"/>
    <w:rsid w:val="00650C16"/>
    <w:rsid w:val="00650CE6"/>
    <w:rsid w:val="00650D25"/>
    <w:rsid w:val="00650D5B"/>
    <w:rsid w:val="00650E34"/>
    <w:rsid w:val="00650EA3"/>
    <w:rsid w:val="00650F3E"/>
    <w:rsid w:val="0065103C"/>
    <w:rsid w:val="0065107D"/>
    <w:rsid w:val="00651576"/>
    <w:rsid w:val="00651808"/>
    <w:rsid w:val="006519B3"/>
    <w:rsid w:val="006519EB"/>
    <w:rsid w:val="006519FA"/>
    <w:rsid w:val="00651B3B"/>
    <w:rsid w:val="00651C7F"/>
    <w:rsid w:val="00651C87"/>
    <w:rsid w:val="00651CE5"/>
    <w:rsid w:val="00651D5B"/>
    <w:rsid w:val="00651F11"/>
    <w:rsid w:val="00652018"/>
    <w:rsid w:val="006520A0"/>
    <w:rsid w:val="006520D5"/>
    <w:rsid w:val="00652413"/>
    <w:rsid w:val="00652495"/>
    <w:rsid w:val="00652710"/>
    <w:rsid w:val="00652795"/>
    <w:rsid w:val="00652897"/>
    <w:rsid w:val="00652946"/>
    <w:rsid w:val="00652AE4"/>
    <w:rsid w:val="00652BDD"/>
    <w:rsid w:val="00652C10"/>
    <w:rsid w:val="00652D20"/>
    <w:rsid w:val="00652E6F"/>
    <w:rsid w:val="00652E9B"/>
    <w:rsid w:val="00652F0A"/>
    <w:rsid w:val="00652F69"/>
    <w:rsid w:val="00653109"/>
    <w:rsid w:val="0065315D"/>
    <w:rsid w:val="0065317F"/>
    <w:rsid w:val="00653183"/>
    <w:rsid w:val="0065328F"/>
    <w:rsid w:val="0065332B"/>
    <w:rsid w:val="006533C3"/>
    <w:rsid w:val="0065341E"/>
    <w:rsid w:val="0065346F"/>
    <w:rsid w:val="006534A1"/>
    <w:rsid w:val="00653537"/>
    <w:rsid w:val="00653546"/>
    <w:rsid w:val="00653666"/>
    <w:rsid w:val="00653759"/>
    <w:rsid w:val="00653954"/>
    <w:rsid w:val="0065399E"/>
    <w:rsid w:val="00653A06"/>
    <w:rsid w:val="00653A8E"/>
    <w:rsid w:val="00653BAF"/>
    <w:rsid w:val="00653C39"/>
    <w:rsid w:val="00653D8F"/>
    <w:rsid w:val="00653D9C"/>
    <w:rsid w:val="00653E5B"/>
    <w:rsid w:val="00653F10"/>
    <w:rsid w:val="00653F2A"/>
    <w:rsid w:val="00653F31"/>
    <w:rsid w:val="00653F72"/>
    <w:rsid w:val="00653FA9"/>
    <w:rsid w:val="00653FAC"/>
    <w:rsid w:val="0065400F"/>
    <w:rsid w:val="006541AD"/>
    <w:rsid w:val="00654377"/>
    <w:rsid w:val="0065457B"/>
    <w:rsid w:val="0065463A"/>
    <w:rsid w:val="0065464D"/>
    <w:rsid w:val="0065469A"/>
    <w:rsid w:val="006547D8"/>
    <w:rsid w:val="00654894"/>
    <w:rsid w:val="006548B2"/>
    <w:rsid w:val="0065496C"/>
    <w:rsid w:val="00654984"/>
    <w:rsid w:val="00654A2E"/>
    <w:rsid w:val="00654A69"/>
    <w:rsid w:val="00654B99"/>
    <w:rsid w:val="00654CAB"/>
    <w:rsid w:val="00654D43"/>
    <w:rsid w:val="00654DB3"/>
    <w:rsid w:val="00654F14"/>
    <w:rsid w:val="00655002"/>
    <w:rsid w:val="00655322"/>
    <w:rsid w:val="006553F8"/>
    <w:rsid w:val="0065552A"/>
    <w:rsid w:val="006555CE"/>
    <w:rsid w:val="00655608"/>
    <w:rsid w:val="006556CB"/>
    <w:rsid w:val="00655745"/>
    <w:rsid w:val="0065577E"/>
    <w:rsid w:val="006559BE"/>
    <w:rsid w:val="00655AD3"/>
    <w:rsid w:val="00655C94"/>
    <w:rsid w:val="00655CD8"/>
    <w:rsid w:val="00655DC7"/>
    <w:rsid w:val="00656054"/>
    <w:rsid w:val="00656488"/>
    <w:rsid w:val="006566CD"/>
    <w:rsid w:val="00656709"/>
    <w:rsid w:val="0065680D"/>
    <w:rsid w:val="00656A0A"/>
    <w:rsid w:val="00656AB1"/>
    <w:rsid w:val="00656AF2"/>
    <w:rsid w:val="00656AFD"/>
    <w:rsid w:val="00656C6A"/>
    <w:rsid w:val="00656D04"/>
    <w:rsid w:val="00656D2F"/>
    <w:rsid w:val="00656D87"/>
    <w:rsid w:val="00656DE3"/>
    <w:rsid w:val="00656DFC"/>
    <w:rsid w:val="00656F97"/>
    <w:rsid w:val="00657004"/>
    <w:rsid w:val="00657190"/>
    <w:rsid w:val="0065728B"/>
    <w:rsid w:val="006572D5"/>
    <w:rsid w:val="006573BB"/>
    <w:rsid w:val="00657420"/>
    <w:rsid w:val="00657458"/>
    <w:rsid w:val="0065751F"/>
    <w:rsid w:val="006576B2"/>
    <w:rsid w:val="006576F9"/>
    <w:rsid w:val="00657708"/>
    <w:rsid w:val="006577DE"/>
    <w:rsid w:val="0065781F"/>
    <w:rsid w:val="00657829"/>
    <w:rsid w:val="006579D7"/>
    <w:rsid w:val="00657A0F"/>
    <w:rsid w:val="00657BC3"/>
    <w:rsid w:val="00657BEF"/>
    <w:rsid w:val="00657BF6"/>
    <w:rsid w:val="00657CFD"/>
    <w:rsid w:val="00657D1A"/>
    <w:rsid w:val="00657E44"/>
    <w:rsid w:val="00657F75"/>
    <w:rsid w:val="006600FE"/>
    <w:rsid w:val="0066015F"/>
    <w:rsid w:val="006602F7"/>
    <w:rsid w:val="00660344"/>
    <w:rsid w:val="00660366"/>
    <w:rsid w:val="006603B0"/>
    <w:rsid w:val="00660598"/>
    <w:rsid w:val="006607C6"/>
    <w:rsid w:val="006608CD"/>
    <w:rsid w:val="00660A1B"/>
    <w:rsid w:val="00660A9F"/>
    <w:rsid w:val="00660ABD"/>
    <w:rsid w:val="00660E6B"/>
    <w:rsid w:val="00660F45"/>
    <w:rsid w:val="00660FAA"/>
    <w:rsid w:val="006611C4"/>
    <w:rsid w:val="00661206"/>
    <w:rsid w:val="006613B2"/>
    <w:rsid w:val="006613E0"/>
    <w:rsid w:val="006614BE"/>
    <w:rsid w:val="006616DB"/>
    <w:rsid w:val="006617C0"/>
    <w:rsid w:val="0066186F"/>
    <w:rsid w:val="00661945"/>
    <w:rsid w:val="00661E73"/>
    <w:rsid w:val="00661F87"/>
    <w:rsid w:val="00662033"/>
    <w:rsid w:val="00662134"/>
    <w:rsid w:val="006622D5"/>
    <w:rsid w:val="00662328"/>
    <w:rsid w:val="00662381"/>
    <w:rsid w:val="0066248E"/>
    <w:rsid w:val="006624CE"/>
    <w:rsid w:val="0066262D"/>
    <w:rsid w:val="00662643"/>
    <w:rsid w:val="006627D4"/>
    <w:rsid w:val="006629B7"/>
    <w:rsid w:val="00662A47"/>
    <w:rsid w:val="00662B57"/>
    <w:rsid w:val="00662BB1"/>
    <w:rsid w:val="00662BBE"/>
    <w:rsid w:val="00662BED"/>
    <w:rsid w:val="00662DF8"/>
    <w:rsid w:val="00662F78"/>
    <w:rsid w:val="0066309E"/>
    <w:rsid w:val="006631D9"/>
    <w:rsid w:val="00663406"/>
    <w:rsid w:val="006634D9"/>
    <w:rsid w:val="006635A9"/>
    <w:rsid w:val="006635B8"/>
    <w:rsid w:val="006635FB"/>
    <w:rsid w:val="00663621"/>
    <w:rsid w:val="00663653"/>
    <w:rsid w:val="006636C1"/>
    <w:rsid w:val="0066370D"/>
    <w:rsid w:val="00663812"/>
    <w:rsid w:val="0066388C"/>
    <w:rsid w:val="006639DD"/>
    <w:rsid w:val="006639E5"/>
    <w:rsid w:val="00663AF6"/>
    <w:rsid w:val="00663B59"/>
    <w:rsid w:val="00663B63"/>
    <w:rsid w:val="00663C23"/>
    <w:rsid w:val="00663C78"/>
    <w:rsid w:val="00663CDA"/>
    <w:rsid w:val="00663CE2"/>
    <w:rsid w:val="00663E8D"/>
    <w:rsid w:val="00663F1A"/>
    <w:rsid w:val="00663F30"/>
    <w:rsid w:val="00663FEC"/>
    <w:rsid w:val="0066402C"/>
    <w:rsid w:val="00664152"/>
    <w:rsid w:val="0066415F"/>
    <w:rsid w:val="0066437B"/>
    <w:rsid w:val="0066438B"/>
    <w:rsid w:val="0066445A"/>
    <w:rsid w:val="00664477"/>
    <w:rsid w:val="006644CA"/>
    <w:rsid w:val="006645E1"/>
    <w:rsid w:val="00664653"/>
    <w:rsid w:val="006649BB"/>
    <w:rsid w:val="006649C4"/>
    <w:rsid w:val="00664A8F"/>
    <w:rsid w:val="00664CBA"/>
    <w:rsid w:val="00664CBB"/>
    <w:rsid w:val="00664E87"/>
    <w:rsid w:val="00664EB9"/>
    <w:rsid w:val="00664EC7"/>
    <w:rsid w:val="00664F98"/>
    <w:rsid w:val="00664FD6"/>
    <w:rsid w:val="00665051"/>
    <w:rsid w:val="00665076"/>
    <w:rsid w:val="00665111"/>
    <w:rsid w:val="0066521E"/>
    <w:rsid w:val="00665287"/>
    <w:rsid w:val="006652D8"/>
    <w:rsid w:val="00665321"/>
    <w:rsid w:val="006654C6"/>
    <w:rsid w:val="00665587"/>
    <w:rsid w:val="00665657"/>
    <w:rsid w:val="006656A8"/>
    <w:rsid w:val="006656E4"/>
    <w:rsid w:val="006656EC"/>
    <w:rsid w:val="006656EF"/>
    <w:rsid w:val="0066578D"/>
    <w:rsid w:val="0066593E"/>
    <w:rsid w:val="006659D6"/>
    <w:rsid w:val="00665A6E"/>
    <w:rsid w:val="00665ABC"/>
    <w:rsid w:val="00665B8C"/>
    <w:rsid w:val="00665C32"/>
    <w:rsid w:val="00665DB9"/>
    <w:rsid w:val="00665DE1"/>
    <w:rsid w:val="00665DE5"/>
    <w:rsid w:val="00665F49"/>
    <w:rsid w:val="00665F5B"/>
    <w:rsid w:val="006660A8"/>
    <w:rsid w:val="006662A9"/>
    <w:rsid w:val="00666338"/>
    <w:rsid w:val="006663CF"/>
    <w:rsid w:val="00666975"/>
    <w:rsid w:val="0066697A"/>
    <w:rsid w:val="006669AB"/>
    <w:rsid w:val="00666B3F"/>
    <w:rsid w:val="00666CA1"/>
    <w:rsid w:val="00666CB6"/>
    <w:rsid w:val="00666EBC"/>
    <w:rsid w:val="00666FEA"/>
    <w:rsid w:val="0066701C"/>
    <w:rsid w:val="00667090"/>
    <w:rsid w:val="00667094"/>
    <w:rsid w:val="006670C6"/>
    <w:rsid w:val="00667153"/>
    <w:rsid w:val="00667222"/>
    <w:rsid w:val="0066725E"/>
    <w:rsid w:val="006672B7"/>
    <w:rsid w:val="006672BC"/>
    <w:rsid w:val="006673DC"/>
    <w:rsid w:val="006674D5"/>
    <w:rsid w:val="00667557"/>
    <w:rsid w:val="00667650"/>
    <w:rsid w:val="0066769A"/>
    <w:rsid w:val="006676A6"/>
    <w:rsid w:val="006677FE"/>
    <w:rsid w:val="00667944"/>
    <w:rsid w:val="00667A14"/>
    <w:rsid w:val="00667A6F"/>
    <w:rsid w:val="00667A93"/>
    <w:rsid w:val="00667A9E"/>
    <w:rsid w:val="00667B09"/>
    <w:rsid w:val="00667BF8"/>
    <w:rsid w:val="00667C57"/>
    <w:rsid w:val="00667C82"/>
    <w:rsid w:val="00667FC8"/>
    <w:rsid w:val="0067006D"/>
    <w:rsid w:val="006701ED"/>
    <w:rsid w:val="0067030F"/>
    <w:rsid w:val="00670375"/>
    <w:rsid w:val="00670475"/>
    <w:rsid w:val="00670480"/>
    <w:rsid w:val="006704B0"/>
    <w:rsid w:val="00670571"/>
    <w:rsid w:val="0067076B"/>
    <w:rsid w:val="006707AD"/>
    <w:rsid w:val="006708F5"/>
    <w:rsid w:val="00670A1C"/>
    <w:rsid w:val="00670DA1"/>
    <w:rsid w:val="00670E30"/>
    <w:rsid w:val="00670EC4"/>
    <w:rsid w:val="00671136"/>
    <w:rsid w:val="006712D2"/>
    <w:rsid w:val="0067165E"/>
    <w:rsid w:val="0067173C"/>
    <w:rsid w:val="00671AA4"/>
    <w:rsid w:val="00671ABD"/>
    <w:rsid w:val="00671C90"/>
    <w:rsid w:val="00671CC7"/>
    <w:rsid w:val="00671E18"/>
    <w:rsid w:val="00671EBB"/>
    <w:rsid w:val="00671FF2"/>
    <w:rsid w:val="0067201E"/>
    <w:rsid w:val="006720D8"/>
    <w:rsid w:val="006722BE"/>
    <w:rsid w:val="00672705"/>
    <w:rsid w:val="00672718"/>
    <w:rsid w:val="0067285E"/>
    <w:rsid w:val="00672945"/>
    <w:rsid w:val="00672958"/>
    <w:rsid w:val="00672B59"/>
    <w:rsid w:val="00672C6E"/>
    <w:rsid w:val="00672CFC"/>
    <w:rsid w:val="00672DD4"/>
    <w:rsid w:val="00672F01"/>
    <w:rsid w:val="00672FE7"/>
    <w:rsid w:val="0067307A"/>
    <w:rsid w:val="0067315D"/>
    <w:rsid w:val="0067323C"/>
    <w:rsid w:val="00673304"/>
    <w:rsid w:val="00673336"/>
    <w:rsid w:val="0067366C"/>
    <w:rsid w:val="00673779"/>
    <w:rsid w:val="00673785"/>
    <w:rsid w:val="00673877"/>
    <w:rsid w:val="00673A45"/>
    <w:rsid w:val="00673AD3"/>
    <w:rsid w:val="00673C56"/>
    <w:rsid w:val="00673CCD"/>
    <w:rsid w:val="00673D23"/>
    <w:rsid w:val="00673D7B"/>
    <w:rsid w:val="00673E47"/>
    <w:rsid w:val="00673E8A"/>
    <w:rsid w:val="00673F6F"/>
    <w:rsid w:val="00674054"/>
    <w:rsid w:val="0067407D"/>
    <w:rsid w:val="00674288"/>
    <w:rsid w:val="006742A8"/>
    <w:rsid w:val="0067432A"/>
    <w:rsid w:val="00674484"/>
    <w:rsid w:val="006745B4"/>
    <w:rsid w:val="00674705"/>
    <w:rsid w:val="006747DE"/>
    <w:rsid w:val="00674A75"/>
    <w:rsid w:val="00674AF6"/>
    <w:rsid w:val="00674B42"/>
    <w:rsid w:val="00674B86"/>
    <w:rsid w:val="00674B9D"/>
    <w:rsid w:val="00674BD0"/>
    <w:rsid w:val="00674BDF"/>
    <w:rsid w:val="00674BEF"/>
    <w:rsid w:val="00674CE4"/>
    <w:rsid w:val="00674CFB"/>
    <w:rsid w:val="00674D21"/>
    <w:rsid w:val="00674EBA"/>
    <w:rsid w:val="00674EF4"/>
    <w:rsid w:val="00674F06"/>
    <w:rsid w:val="00674F88"/>
    <w:rsid w:val="0067500D"/>
    <w:rsid w:val="006750FE"/>
    <w:rsid w:val="0067511F"/>
    <w:rsid w:val="00675240"/>
    <w:rsid w:val="006752BC"/>
    <w:rsid w:val="00675302"/>
    <w:rsid w:val="00675370"/>
    <w:rsid w:val="006753AC"/>
    <w:rsid w:val="00675425"/>
    <w:rsid w:val="006755D3"/>
    <w:rsid w:val="00675615"/>
    <w:rsid w:val="00675666"/>
    <w:rsid w:val="0067567D"/>
    <w:rsid w:val="006756C7"/>
    <w:rsid w:val="006756D8"/>
    <w:rsid w:val="00675862"/>
    <w:rsid w:val="00675940"/>
    <w:rsid w:val="00675A18"/>
    <w:rsid w:val="00675B39"/>
    <w:rsid w:val="00675BA0"/>
    <w:rsid w:val="00675C0C"/>
    <w:rsid w:val="00675C7B"/>
    <w:rsid w:val="00675C7C"/>
    <w:rsid w:val="00675C88"/>
    <w:rsid w:val="00675CA0"/>
    <w:rsid w:val="00675D0A"/>
    <w:rsid w:val="00675D4F"/>
    <w:rsid w:val="00675D91"/>
    <w:rsid w:val="00675E60"/>
    <w:rsid w:val="00675EB9"/>
    <w:rsid w:val="00676013"/>
    <w:rsid w:val="0067602C"/>
    <w:rsid w:val="00676082"/>
    <w:rsid w:val="006760B4"/>
    <w:rsid w:val="006760E4"/>
    <w:rsid w:val="0067618C"/>
    <w:rsid w:val="006761D3"/>
    <w:rsid w:val="00676237"/>
    <w:rsid w:val="0067624C"/>
    <w:rsid w:val="00676279"/>
    <w:rsid w:val="0067634F"/>
    <w:rsid w:val="00676470"/>
    <w:rsid w:val="0067656B"/>
    <w:rsid w:val="00676583"/>
    <w:rsid w:val="00676600"/>
    <w:rsid w:val="00676621"/>
    <w:rsid w:val="006766BE"/>
    <w:rsid w:val="00676721"/>
    <w:rsid w:val="0067678F"/>
    <w:rsid w:val="00676826"/>
    <w:rsid w:val="0067684D"/>
    <w:rsid w:val="00676933"/>
    <w:rsid w:val="00676B1D"/>
    <w:rsid w:val="00676CA5"/>
    <w:rsid w:val="00676D16"/>
    <w:rsid w:val="00676D52"/>
    <w:rsid w:val="00676D54"/>
    <w:rsid w:val="00676DED"/>
    <w:rsid w:val="00676ED5"/>
    <w:rsid w:val="0067703F"/>
    <w:rsid w:val="0067706A"/>
    <w:rsid w:val="006770CE"/>
    <w:rsid w:val="0067738D"/>
    <w:rsid w:val="0067741D"/>
    <w:rsid w:val="0067745B"/>
    <w:rsid w:val="006774A8"/>
    <w:rsid w:val="00677556"/>
    <w:rsid w:val="0067760D"/>
    <w:rsid w:val="00677A80"/>
    <w:rsid w:val="00677AB8"/>
    <w:rsid w:val="00677BBB"/>
    <w:rsid w:val="00677C2F"/>
    <w:rsid w:val="00677C3C"/>
    <w:rsid w:val="00677F9F"/>
    <w:rsid w:val="00677FC0"/>
    <w:rsid w:val="006793EF"/>
    <w:rsid w:val="00680028"/>
    <w:rsid w:val="006800E7"/>
    <w:rsid w:val="0068040E"/>
    <w:rsid w:val="00680526"/>
    <w:rsid w:val="006805A0"/>
    <w:rsid w:val="00680642"/>
    <w:rsid w:val="006806BA"/>
    <w:rsid w:val="0068087A"/>
    <w:rsid w:val="00680A1A"/>
    <w:rsid w:val="00680BD2"/>
    <w:rsid w:val="00680D0B"/>
    <w:rsid w:val="00680D51"/>
    <w:rsid w:val="00680FA4"/>
    <w:rsid w:val="00680FFC"/>
    <w:rsid w:val="00681109"/>
    <w:rsid w:val="0068117F"/>
    <w:rsid w:val="006812A2"/>
    <w:rsid w:val="00681322"/>
    <w:rsid w:val="00681427"/>
    <w:rsid w:val="00681494"/>
    <w:rsid w:val="006814F7"/>
    <w:rsid w:val="00681569"/>
    <w:rsid w:val="00681655"/>
    <w:rsid w:val="00681794"/>
    <w:rsid w:val="0068184E"/>
    <w:rsid w:val="006819D5"/>
    <w:rsid w:val="00681B80"/>
    <w:rsid w:val="00681BBF"/>
    <w:rsid w:val="00681BC2"/>
    <w:rsid w:val="00681C96"/>
    <w:rsid w:val="00681D29"/>
    <w:rsid w:val="00681D51"/>
    <w:rsid w:val="00681D8E"/>
    <w:rsid w:val="00681DB5"/>
    <w:rsid w:val="00681DCE"/>
    <w:rsid w:val="00681E8D"/>
    <w:rsid w:val="00681F5C"/>
    <w:rsid w:val="00682011"/>
    <w:rsid w:val="00682159"/>
    <w:rsid w:val="00682181"/>
    <w:rsid w:val="00682452"/>
    <w:rsid w:val="0068247E"/>
    <w:rsid w:val="00682510"/>
    <w:rsid w:val="00682572"/>
    <w:rsid w:val="006825B0"/>
    <w:rsid w:val="006825D3"/>
    <w:rsid w:val="006825D7"/>
    <w:rsid w:val="00682906"/>
    <w:rsid w:val="006829BF"/>
    <w:rsid w:val="00682A30"/>
    <w:rsid w:val="00682A7E"/>
    <w:rsid w:val="00682A95"/>
    <w:rsid w:val="00682AB6"/>
    <w:rsid w:val="00682ADF"/>
    <w:rsid w:val="00682AEE"/>
    <w:rsid w:val="00682B4D"/>
    <w:rsid w:val="00682BD9"/>
    <w:rsid w:val="00682BFE"/>
    <w:rsid w:val="00682C60"/>
    <w:rsid w:val="00682D6A"/>
    <w:rsid w:val="00682EE2"/>
    <w:rsid w:val="00682F39"/>
    <w:rsid w:val="00682F4E"/>
    <w:rsid w:val="00683042"/>
    <w:rsid w:val="006830B4"/>
    <w:rsid w:val="006830E5"/>
    <w:rsid w:val="00683161"/>
    <w:rsid w:val="00683181"/>
    <w:rsid w:val="00683200"/>
    <w:rsid w:val="006833FF"/>
    <w:rsid w:val="00683414"/>
    <w:rsid w:val="00683445"/>
    <w:rsid w:val="00683450"/>
    <w:rsid w:val="0068346A"/>
    <w:rsid w:val="006834DF"/>
    <w:rsid w:val="006834E8"/>
    <w:rsid w:val="006835AF"/>
    <w:rsid w:val="006836A3"/>
    <w:rsid w:val="006836CB"/>
    <w:rsid w:val="006836E2"/>
    <w:rsid w:val="00683779"/>
    <w:rsid w:val="00683792"/>
    <w:rsid w:val="006837C8"/>
    <w:rsid w:val="00683826"/>
    <w:rsid w:val="0068396F"/>
    <w:rsid w:val="00683992"/>
    <w:rsid w:val="006839BD"/>
    <w:rsid w:val="006839F9"/>
    <w:rsid w:val="00683A85"/>
    <w:rsid w:val="00683AC2"/>
    <w:rsid w:val="00683B8F"/>
    <w:rsid w:val="00683BAE"/>
    <w:rsid w:val="00683BFE"/>
    <w:rsid w:val="00683DDC"/>
    <w:rsid w:val="00683F5B"/>
    <w:rsid w:val="00684171"/>
    <w:rsid w:val="00684202"/>
    <w:rsid w:val="006842F4"/>
    <w:rsid w:val="00684311"/>
    <w:rsid w:val="006845A3"/>
    <w:rsid w:val="006845D7"/>
    <w:rsid w:val="006846D5"/>
    <w:rsid w:val="00684746"/>
    <w:rsid w:val="00684762"/>
    <w:rsid w:val="00684923"/>
    <w:rsid w:val="0068496F"/>
    <w:rsid w:val="006849DD"/>
    <w:rsid w:val="00684B6E"/>
    <w:rsid w:val="00684C45"/>
    <w:rsid w:val="00684C6F"/>
    <w:rsid w:val="00684CB7"/>
    <w:rsid w:val="00684CC5"/>
    <w:rsid w:val="00684CEE"/>
    <w:rsid w:val="00684CF0"/>
    <w:rsid w:val="00684EF6"/>
    <w:rsid w:val="00684F4F"/>
    <w:rsid w:val="00684F86"/>
    <w:rsid w:val="00685047"/>
    <w:rsid w:val="006850D3"/>
    <w:rsid w:val="00685118"/>
    <w:rsid w:val="0068513A"/>
    <w:rsid w:val="006851CB"/>
    <w:rsid w:val="00685336"/>
    <w:rsid w:val="006853C9"/>
    <w:rsid w:val="00685487"/>
    <w:rsid w:val="006855E2"/>
    <w:rsid w:val="006856FD"/>
    <w:rsid w:val="0068578D"/>
    <w:rsid w:val="006857C7"/>
    <w:rsid w:val="00685827"/>
    <w:rsid w:val="0068586F"/>
    <w:rsid w:val="00685879"/>
    <w:rsid w:val="00685935"/>
    <w:rsid w:val="00685C1A"/>
    <w:rsid w:val="00685ECB"/>
    <w:rsid w:val="00685F4F"/>
    <w:rsid w:val="00685F99"/>
    <w:rsid w:val="00685FAD"/>
    <w:rsid w:val="006860A4"/>
    <w:rsid w:val="006860AD"/>
    <w:rsid w:val="00686138"/>
    <w:rsid w:val="00686524"/>
    <w:rsid w:val="006866F5"/>
    <w:rsid w:val="00686718"/>
    <w:rsid w:val="00686744"/>
    <w:rsid w:val="0068686F"/>
    <w:rsid w:val="00686A3B"/>
    <w:rsid w:val="00686CF9"/>
    <w:rsid w:val="00686D26"/>
    <w:rsid w:val="00686E09"/>
    <w:rsid w:val="00686F49"/>
    <w:rsid w:val="00686F5E"/>
    <w:rsid w:val="00687099"/>
    <w:rsid w:val="006871CB"/>
    <w:rsid w:val="006872AA"/>
    <w:rsid w:val="006872CF"/>
    <w:rsid w:val="0068761C"/>
    <w:rsid w:val="00687677"/>
    <w:rsid w:val="006876BB"/>
    <w:rsid w:val="00687780"/>
    <w:rsid w:val="006877D4"/>
    <w:rsid w:val="006877DF"/>
    <w:rsid w:val="00687892"/>
    <w:rsid w:val="00687B45"/>
    <w:rsid w:val="00687B48"/>
    <w:rsid w:val="00687BC3"/>
    <w:rsid w:val="00687BFC"/>
    <w:rsid w:val="00687C0E"/>
    <w:rsid w:val="00687C44"/>
    <w:rsid w:val="00687DA5"/>
    <w:rsid w:val="00687E05"/>
    <w:rsid w:val="00687F6E"/>
    <w:rsid w:val="00687F9B"/>
    <w:rsid w:val="00690110"/>
    <w:rsid w:val="0069016D"/>
    <w:rsid w:val="00690302"/>
    <w:rsid w:val="0069048F"/>
    <w:rsid w:val="00690544"/>
    <w:rsid w:val="00690635"/>
    <w:rsid w:val="00690666"/>
    <w:rsid w:val="006906B6"/>
    <w:rsid w:val="006906DE"/>
    <w:rsid w:val="00690749"/>
    <w:rsid w:val="00690974"/>
    <w:rsid w:val="006909A0"/>
    <w:rsid w:val="006909D2"/>
    <w:rsid w:val="00690A8A"/>
    <w:rsid w:val="00690B5A"/>
    <w:rsid w:val="00690C2E"/>
    <w:rsid w:val="00690C38"/>
    <w:rsid w:val="00690C42"/>
    <w:rsid w:val="00690CB4"/>
    <w:rsid w:val="00690CF0"/>
    <w:rsid w:val="00690DFD"/>
    <w:rsid w:val="00690E18"/>
    <w:rsid w:val="00690F34"/>
    <w:rsid w:val="00691009"/>
    <w:rsid w:val="00691166"/>
    <w:rsid w:val="00691189"/>
    <w:rsid w:val="006911DA"/>
    <w:rsid w:val="0069121F"/>
    <w:rsid w:val="00691224"/>
    <w:rsid w:val="00691356"/>
    <w:rsid w:val="00691560"/>
    <w:rsid w:val="0069165A"/>
    <w:rsid w:val="00691744"/>
    <w:rsid w:val="00691747"/>
    <w:rsid w:val="00691761"/>
    <w:rsid w:val="006917DA"/>
    <w:rsid w:val="0069180C"/>
    <w:rsid w:val="00691987"/>
    <w:rsid w:val="00691A13"/>
    <w:rsid w:val="00691A45"/>
    <w:rsid w:val="00691BE0"/>
    <w:rsid w:val="00691C5B"/>
    <w:rsid w:val="00691C66"/>
    <w:rsid w:val="00691DA5"/>
    <w:rsid w:val="0069205A"/>
    <w:rsid w:val="006920AB"/>
    <w:rsid w:val="0069226C"/>
    <w:rsid w:val="006922ED"/>
    <w:rsid w:val="006924D4"/>
    <w:rsid w:val="00692692"/>
    <w:rsid w:val="006926DF"/>
    <w:rsid w:val="006926EB"/>
    <w:rsid w:val="0069274C"/>
    <w:rsid w:val="006927DC"/>
    <w:rsid w:val="0069286E"/>
    <w:rsid w:val="006928A3"/>
    <w:rsid w:val="00692C5D"/>
    <w:rsid w:val="00692CC5"/>
    <w:rsid w:val="00692D4A"/>
    <w:rsid w:val="00692EBA"/>
    <w:rsid w:val="00693045"/>
    <w:rsid w:val="006930A0"/>
    <w:rsid w:val="006930E0"/>
    <w:rsid w:val="006930EA"/>
    <w:rsid w:val="006930FE"/>
    <w:rsid w:val="006931B5"/>
    <w:rsid w:val="00693221"/>
    <w:rsid w:val="006932E9"/>
    <w:rsid w:val="0069369B"/>
    <w:rsid w:val="006936B0"/>
    <w:rsid w:val="00693878"/>
    <w:rsid w:val="0069390B"/>
    <w:rsid w:val="00693ACD"/>
    <w:rsid w:val="00693AF4"/>
    <w:rsid w:val="00693C07"/>
    <w:rsid w:val="00693CEE"/>
    <w:rsid w:val="00693DA2"/>
    <w:rsid w:val="00693EE1"/>
    <w:rsid w:val="00693F23"/>
    <w:rsid w:val="00694215"/>
    <w:rsid w:val="006944F5"/>
    <w:rsid w:val="0069455D"/>
    <w:rsid w:val="0069462F"/>
    <w:rsid w:val="00694679"/>
    <w:rsid w:val="006946C7"/>
    <w:rsid w:val="006949F7"/>
    <w:rsid w:val="00694A9F"/>
    <w:rsid w:val="00694BAE"/>
    <w:rsid w:val="00694C14"/>
    <w:rsid w:val="00694D72"/>
    <w:rsid w:val="00694DCF"/>
    <w:rsid w:val="00694E1E"/>
    <w:rsid w:val="00694E42"/>
    <w:rsid w:val="00694EC0"/>
    <w:rsid w:val="00694FE9"/>
    <w:rsid w:val="00695125"/>
    <w:rsid w:val="00695155"/>
    <w:rsid w:val="00695169"/>
    <w:rsid w:val="00695249"/>
    <w:rsid w:val="00695274"/>
    <w:rsid w:val="006952E4"/>
    <w:rsid w:val="00695456"/>
    <w:rsid w:val="0069545F"/>
    <w:rsid w:val="0069557A"/>
    <w:rsid w:val="00695585"/>
    <w:rsid w:val="00695586"/>
    <w:rsid w:val="00695633"/>
    <w:rsid w:val="00695675"/>
    <w:rsid w:val="006956C9"/>
    <w:rsid w:val="00695739"/>
    <w:rsid w:val="00695834"/>
    <w:rsid w:val="00695863"/>
    <w:rsid w:val="006958B8"/>
    <w:rsid w:val="00695B5B"/>
    <w:rsid w:val="00695C20"/>
    <w:rsid w:val="00695C2F"/>
    <w:rsid w:val="00695C85"/>
    <w:rsid w:val="00695D15"/>
    <w:rsid w:val="00695D2B"/>
    <w:rsid w:val="00695E5C"/>
    <w:rsid w:val="00695E62"/>
    <w:rsid w:val="00695EE3"/>
    <w:rsid w:val="00695F75"/>
    <w:rsid w:val="006960C4"/>
    <w:rsid w:val="006960DB"/>
    <w:rsid w:val="006960EA"/>
    <w:rsid w:val="0069610B"/>
    <w:rsid w:val="0069612F"/>
    <w:rsid w:val="00696138"/>
    <w:rsid w:val="006961D1"/>
    <w:rsid w:val="0069637F"/>
    <w:rsid w:val="006963E4"/>
    <w:rsid w:val="0069643F"/>
    <w:rsid w:val="0069651B"/>
    <w:rsid w:val="00696591"/>
    <w:rsid w:val="006965BC"/>
    <w:rsid w:val="006965E4"/>
    <w:rsid w:val="00696610"/>
    <w:rsid w:val="00696674"/>
    <w:rsid w:val="006966DB"/>
    <w:rsid w:val="00696719"/>
    <w:rsid w:val="00696769"/>
    <w:rsid w:val="0069681B"/>
    <w:rsid w:val="00696A9D"/>
    <w:rsid w:val="00696ABF"/>
    <w:rsid w:val="00696B15"/>
    <w:rsid w:val="00696DBF"/>
    <w:rsid w:val="00696FDE"/>
    <w:rsid w:val="006970EA"/>
    <w:rsid w:val="0069727A"/>
    <w:rsid w:val="0069732A"/>
    <w:rsid w:val="006974A0"/>
    <w:rsid w:val="006974A1"/>
    <w:rsid w:val="006974E0"/>
    <w:rsid w:val="006975A2"/>
    <w:rsid w:val="006976A2"/>
    <w:rsid w:val="006976F8"/>
    <w:rsid w:val="00697769"/>
    <w:rsid w:val="0069776D"/>
    <w:rsid w:val="006977EB"/>
    <w:rsid w:val="006977FB"/>
    <w:rsid w:val="00697818"/>
    <w:rsid w:val="006978AE"/>
    <w:rsid w:val="006978F0"/>
    <w:rsid w:val="0069793B"/>
    <w:rsid w:val="00697A6E"/>
    <w:rsid w:val="00697A95"/>
    <w:rsid w:val="00697BC5"/>
    <w:rsid w:val="00697C71"/>
    <w:rsid w:val="00697C9B"/>
    <w:rsid w:val="00697C9F"/>
    <w:rsid w:val="00697CBE"/>
    <w:rsid w:val="00697FC8"/>
    <w:rsid w:val="006A0043"/>
    <w:rsid w:val="006A0060"/>
    <w:rsid w:val="006A007D"/>
    <w:rsid w:val="006A0121"/>
    <w:rsid w:val="006A020D"/>
    <w:rsid w:val="006A025C"/>
    <w:rsid w:val="006A026B"/>
    <w:rsid w:val="006A027B"/>
    <w:rsid w:val="006A03B6"/>
    <w:rsid w:val="006A047D"/>
    <w:rsid w:val="006A051B"/>
    <w:rsid w:val="006A05D2"/>
    <w:rsid w:val="006A05F3"/>
    <w:rsid w:val="006A0679"/>
    <w:rsid w:val="006A0894"/>
    <w:rsid w:val="006A08EA"/>
    <w:rsid w:val="006A0904"/>
    <w:rsid w:val="006A0AB4"/>
    <w:rsid w:val="006A0AC5"/>
    <w:rsid w:val="006A0C79"/>
    <w:rsid w:val="006A0CED"/>
    <w:rsid w:val="006A0D7F"/>
    <w:rsid w:val="006A0F09"/>
    <w:rsid w:val="006A11AA"/>
    <w:rsid w:val="006A1239"/>
    <w:rsid w:val="006A125E"/>
    <w:rsid w:val="006A13EB"/>
    <w:rsid w:val="006A154B"/>
    <w:rsid w:val="006A1701"/>
    <w:rsid w:val="006A1718"/>
    <w:rsid w:val="006A1846"/>
    <w:rsid w:val="006A1953"/>
    <w:rsid w:val="006A1C26"/>
    <w:rsid w:val="006A1CE5"/>
    <w:rsid w:val="006A1D1F"/>
    <w:rsid w:val="006A1F1C"/>
    <w:rsid w:val="006A20DB"/>
    <w:rsid w:val="006A21B6"/>
    <w:rsid w:val="006A21F5"/>
    <w:rsid w:val="006A2217"/>
    <w:rsid w:val="006A2294"/>
    <w:rsid w:val="006A22EE"/>
    <w:rsid w:val="006A22F1"/>
    <w:rsid w:val="006A230C"/>
    <w:rsid w:val="006A2538"/>
    <w:rsid w:val="006A2564"/>
    <w:rsid w:val="006A25FF"/>
    <w:rsid w:val="006A2739"/>
    <w:rsid w:val="006A27B4"/>
    <w:rsid w:val="006A2813"/>
    <w:rsid w:val="006A2892"/>
    <w:rsid w:val="006A2921"/>
    <w:rsid w:val="006A2963"/>
    <w:rsid w:val="006A2A7A"/>
    <w:rsid w:val="006A2B1B"/>
    <w:rsid w:val="006A2C8E"/>
    <w:rsid w:val="006A2CC3"/>
    <w:rsid w:val="006A2D0F"/>
    <w:rsid w:val="006A2F59"/>
    <w:rsid w:val="006A306A"/>
    <w:rsid w:val="006A30A3"/>
    <w:rsid w:val="006A30A8"/>
    <w:rsid w:val="006A30D3"/>
    <w:rsid w:val="006A31FD"/>
    <w:rsid w:val="006A322F"/>
    <w:rsid w:val="006A33B6"/>
    <w:rsid w:val="006A3611"/>
    <w:rsid w:val="006A3629"/>
    <w:rsid w:val="006A36EE"/>
    <w:rsid w:val="006A377F"/>
    <w:rsid w:val="006A3891"/>
    <w:rsid w:val="006A3932"/>
    <w:rsid w:val="006A3C5D"/>
    <w:rsid w:val="006A3CEF"/>
    <w:rsid w:val="006A3D9A"/>
    <w:rsid w:val="006A3DE2"/>
    <w:rsid w:val="006A40DB"/>
    <w:rsid w:val="006A4204"/>
    <w:rsid w:val="006A4211"/>
    <w:rsid w:val="006A4285"/>
    <w:rsid w:val="006A433B"/>
    <w:rsid w:val="006A44A6"/>
    <w:rsid w:val="006A456C"/>
    <w:rsid w:val="006A45D8"/>
    <w:rsid w:val="006A4629"/>
    <w:rsid w:val="006A46C2"/>
    <w:rsid w:val="006A476C"/>
    <w:rsid w:val="006A4793"/>
    <w:rsid w:val="006A4901"/>
    <w:rsid w:val="006A495A"/>
    <w:rsid w:val="006A499C"/>
    <w:rsid w:val="006A4A06"/>
    <w:rsid w:val="006A4B97"/>
    <w:rsid w:val="006A4CFF"/>
    <w:rsid w:val="006A4D33"/>
    <w:rsid w:val="006A4D39"/>
    <w:rsid w:val="006A4D9D"/>
    <w:rsid w:val="006A4DE7"/>
    <w:rsid w:val="006A4E23"/>
    <w:rsid w:val="006A4FEB"/>
    <w:rsid w:val="006A52E6"/>
    <w:rsid w:val="006A52FE"/>
    <w:rsid w:val="006A537C"/>
    <w:rsid w:val="006A540A"/>
    <w:rsid w:val="006A5421"/>
    <w:rsid w:val="006A54D0"/>
    <w:rsid w:val="006A54F0"/>
    <w:rsid w:val="006A56E1"/>
    <w:rsid w:val="006A57C9"/>
    <w:rsid w:val="006A5837"/>
    <w:rsid w:val="006A5872"/>
    <w:rsid w:val="006A5881"/>
    <w:rsid w:val="006A5A7B"/>
    <w:rsid w:val="006A5A9C"/>
    <w:rsid w:val="006A5AF9"/>
    <w:rsid w:val="006A5B43"/>
    <w:rsid w:val="006A5B48"/>
    <w:rsid w:val="006A5CFF"/>
    <w:rsid w:val="006A5D0D"/>
    <w:rsid w:val="006A5DBF"/>
    <w:rsid w:val="006A5E1B"/>
    <w:rsid w:val="006A5E74"/>
    <w:rsid w:val="006A5ED2"/>
    <w:rsid w:val="006A608B"/>
    <w:rsid w:val="006A617A"/>
    <w:rsid w:val="006A6196"/>
    <w:rsid w:val="006A620D"/>
    <w:rsid w:val="006A62D7"/>
    <w:rsid w:val="006A62D8"/>
    <w:rsid w:val="006A62DD"/>
    <w:rsid w:val="006A62E7"/>
    <w:rsid w:val="006A6379"/>
    <w:rsid w:val="006A6428"/>
    <w:rsid w:val="006A6499"/>
    <w:rsid w:val="006A662D"/>
    <w:rsid w:val="006A6792"/>
    <w:rsid w:val="006A681F"/>
    <w:rsid w:val="006A689D"/>
    <w:rsid w:val="006A68E2"/>
    <w:rsid w:val="006A6910"/>
    <w:rsid w:val="006A69CF"/>
    <w:rsid w:val="006A6AC3"/>
    <w:rsid w:val="006A6B85"/>
    <w:rsid w:val="006A6BC5"/>
    <w:rsid w:val="006A6BE4"/>
    <w:rsid w:val="006A6C54"/>
    <w:rsid w:val="006A6C89"/>
    <w:rsid w:val="006A6DCB"/>
    <w:rsid w:val="006A6EF8"/>
    <w:rsid w:val="006A6F17"/>
    <w:rsid w:val="006A6FF8"/>
    <w:rsid w:val="006A70F4"/>
    <w:rsid w:val="006A7267"/>
    <w:rsid w:val="006A726C"/>
    <w:rsid w:val="006A726D"/>
    <w:rsid w:val="006A74F7"/>
    <w:rsid w:val="006A7644"/>
    <w:rsid w:val="006A7756"/>
    <w:rsid w:val="006A7A0A"/>
    <w:rsid w:val="006A7ACC"/>
    <w:rsid w:val="006A7AEE"/>
    <w:rsid w:val="006A7B4B"/>
    <w:rsid w:val="006A7C1B"/>
    <w:rsid w:val="006A7CE2"/>
    <w:rsid w:val="006A7D5C"/>
    <w:rsid w:val="006A7E84"/>
    <w:rsid w:val="006A7E92"/>
    <w:rsid w:val="006A7EA7"/>
    <w:rsid w:val="006A7F63"/>
    <w:rsid w:val="006A7F8D"/>
    <w:rsid w:val="006A7FAF"/>
    <w:rsid w:val="006B0098"/>
    <w:rsid w:val="006B01A5"/>
    <w:rsid w:val="006B0252"/>
    <w:rsid w:val="006B03E8"/>
    <w:rsid w:val="006B04A2"/>
    <w:rsid w:val="006B04BC"/>
    <w:rsid w:val="006B0640"/>
    <w:rsid w:val="006B06DB"/>
    <w:rsid w:val="006B0705"/>
    <w:rsid w:val="006B079B"/>
    <w:rsid w:val="006B07DC"/>
    <w:rsid w:val="006B0917"/>
    <w:rsid w:val="006B09F9"/>
    <w:rsid w:val="006B0A70"/>
    <w:rsid w:val="006B0A8F"/>
    <w:rsid w:val="006B0B10"/>
    <w:rsid w:val="006B0BCA"/>
    <w:rsid w:val="006B0C19"/>
    <w:rsid w:val="006B0C6A"/>
    <w:rsid w:val="006B0C83"/>
    <w:rsid w:val="006B0DD0"/>
    <w:rsid w:val="006B0DE8"/>
    <w:rsid w:val="006B0E2B"/>
    <w:rsid w:val="006B0E80"/>
    <w:rsid w:val="006B0FB2"/>
    <w:rsid w:val="006B0FFC"/>
    <w:rsid w:val="006B10BA"/>
    <w:rsid w:val="006B1191"/>
    <w:rsid w:val="006B119E"/>
    <w:rsid w:val="006B1298"/>
    <w:rsid w:val="006B130D"/>
    <w:rsid w:val="006B1384"/>
    <w:rsid w:val="006B13B5"/>
    <w:rsid w:val="006B13D9"/>
    <w:rsid w:val="006B1400"/>
    <w:rsid w:val="006B14D3"/>
    <w:rsid w:val="006B1522"/>
    <w:rsid w:val="006B1873"/>
    <w:rsid w:val="006B18F2"/>
    <w:rsid w:val="006B1A54"/>
    <w:rsid w:val="006B1AAB"/>
    <w:rsid w:val="006B1B9F"/>
    <w:rsid w:val="006B1D09"/>
    <w:rsid w:val="006B1D4F"/>
    <w:rsid w:val="006B1E46"/>
    <w:rsid w:val="006B1E5D"/>
    <w:rsid w:val="006B1E62"/>
    <w:rsid w:val="006B1EC7"/>
    <w:rsid w:val="006B1EFE"/>
    <w:rsid w:val="006B1F6E"/>
    <w:rsid w:val="006B1FE8"/>
    <w:rsid w:val="006B21CF"/>
    <w:rsid w:val="006B22E5"/>
    <w:rsid w:val="006B2362"/>
    <w:rsid w:val="006B2498"/>
    <w:rsid w:val="006B254A"/>
    <w:rsid w:val="006B259E"/>
    <w:rsid w:val="006B259F"/>
    <w:rsid w:val="006B2624"/>
    <w:rsid w:val="006B27E0"/>
    <w:rsid w:val="006B280C"/>
    <w:rsid w:val="006B297D"/>
    <w:rsid w:val="006B2A89"/>
    <w:rsid w:val="006B2B4D"/>
    <w:rsid w:val="006B2C63"/>
    <w:rsid w:val="006B2D1E"/>
    <w:rsid w:val="006B2D94"/>
    <w:rsid w:val="006B2DDA"/>
    <w:rsid w:val="006B2DF7"/>
    <w:rsid w:val="006B2FF4"/>
    <w:rsid w:val="006B302E"/>
    <w:rsid w:val="006B3121"/>
    <w:rsid w:val="006B3149"/>
    <w:rsid w:val="006B31AE"/>
    <w:rsid w:val="006B3308"/>
    <w:rsid w:val="006B3331"/>
    <w:rsid w:val="006B339E"/>
    <w:rsid w:val="006B33A0"/>
    <w:rsid w:val="006B3553"/>
    <w:rsid w:val="006B3563"/>
    <w:rsid w:val="006B3583"/>
    <w:rsid w:val="006B3588"/>
    <w:rsid w:val="006B369A"/>
    <w:rsid w:val="006B36FC"/>
    <w:rsid w:val="006B37E9"/>
    <w:rsid w:val="006B3837"/>
    <w:rsid w:val="006B3A2E"/>
    <w:rsid w:val="006B3A7D"/>
    <w:rsid w:val="006B3CEA"/>
    <w:rsid w:val="006B3F01"/>
    <w:rsid w:val="006B419D"/>
    <w:rsid w:val="006B41E8"/>
    <w:rsid w:val="006B4396"/>
    <w:rsid w:val="006B44C2"/>
    <w:rsid w:val="006B458E"/>
    <w:rsid w:val="006B4636"/>
    <w:rsid w:val="006B47AF"/>
    <w:rsid w:val="006B47E4"/>
    <w:rsid w:val="006B4814"/>
    <w:rsid w:val="006B496F"/>
    <w:rsid w:val="006B4A74"/>
    <w:rsid w:val="006B4B69"/>
    <w:rsid w:val="006B4C02"/>
    <w:rsid w:val="006B4E8F"/>
    <w:rsid w:val="006B4EC0"/>
    <w:rsid w:val="006B4FF2"/>
    <w:rsid w:val="006B500D"/>
    <w:rsid w:val="006B5028"/>
    <w:rsid w:val="006B502C"/>
    <w:rsid w:val="006B509B"/>
    <w:rsid w:val="006B512F"/>
    <w:rsid w:val="006B52FD"/>
    <w:rsid w:val="006B531E"/>
    <w:rsid w:val="006B53BE"/>
    <w:rsid w:val="006B53DB"/>
    <w:rsid w:val="006B53E2"/>
    <w:rsid w:val="006B54AF"/>
    <w:rsid w:val="006B54DE"/>
    <w:rsid w:val="006B56F1"/>
    <w:rsid w:val="006B5745"/>
    <w:rsid w:val="006B57CC"/>
    <w:rsid w:val="006B57D4"/>
    <w:rsid w:val="006B5987"/>
    <w:rsid w:val="006B5A3A"/>
    <w:rsid w:val="006B5A99"/>
    <w:rsid w:val="006B5BD7"/>
    <w:rsid w:val="006B5C5A"/>
    <w:rsid w:val="006B5DEC"/>
    <w:rsid w:val="006B5FD6"/>
    <w:rsid w:val="006B609B"/>
    <w:rsid w:val="006B6301"/>
    <w:rsid w:val="006B6333"/>
    <w:rsid w:val="006B6497"/>
    <w:rsid w:val="006B6585"/>
    <w:rsid w:val="006B6709"/>
    <w:rsid w:val="006B6718"/>
    <w:rsid w:val="006B67C6"/>
    <w:rsid w:val="006B6856"/>
    <w:rsid w:val="006B69F9"/>
    <w:rsid w:val="006B6C30"/>
    <w:rsid w:val="006B6D18"/>
    <w:rsid w:val="006B6DBF"/>
    <w:rsid w:val="006B6E3E"/>
    <w:rsid w:val="006B6F2A"/>
    <w:rsid w:val="006B6F94"/>
    <w:rsid w:val="006B7044"/>
    <w:rsid w:val="006B7168"/>
    <w:rsid w:val="006B71FB"/>
    <w:rsid w:val="006B7421"/>
    <w:rsid w:val="006B74BA"/>
    <w:rsid w:val="006B761A"/>
    <w:rsid w:val="006B767C"/>
    <w:rsid w:val="006B76BE"/>
    <w:rsid w:val="006B780C"/>
    <w:rsid w:val="006B794C"/>
    <w:rsid w:val="006B796E"/>
    <w:rsid w:val="006B7999"/>
    <w:rsid w:val="006B7A05"/>
    <w:rsid w:val="006B7D10"/>
    <w:rsid w:val="006B7E71"/>
    <w:rsid w:val="006BA944"/>
    <w:rsid w:val="006C01E7"/>
    <w:rsid w:val="006C0245"/>
    <w:rsid w:val="006C02DE"/>
    <w:rsid w:val="006C0304"/>
    <w:rsid w:val="006C0408"/>
    <w:rsid w:val="006C04B2"/>
    <w:rsid w:val="006C04ED"/>
    <w:rsid w:val="006C0506"/>
    <w:rsid w:val="006C0591"/>
    <w:rsid w:val="006C062A"/>
    <w:rsid w:val="006C0930"/>
    <w:rsid w:val="006C0994"/>
    <w:rsid w:val="006C09B2"/>
    <w:rsid w:val="006C0A6C"/>
    <w:rsid w:val="006C0AC2"/>
    <w:rsid w:val="006C0AFD"/>
    <w:rsid w:val="006C0D81"/>
    <w:rsid w:val="006C0DDA"/>
    <w:rsid w:val="006C0DDB"/>
    <w:rsid w:val="006C0E0D"/>
    <w:rsid w:val="006C10ED"/>
    <w:rsid w:val="006C1134"/>
    <w:rsid w:val="006C1168"/>
    <w:rsid w:val="006C13C4"/>
    <w:rsid w:val="006C13E7"/>
    <w:rsid w:val="006C145F"/>
    <w:rsid w:val="006C1646"/>
    <w:rsid w:val="006C166C"/>
    <w:rsid w:val="006C16AE"/>
    <w:rsid w:val="006C16DB"/>
    <w:rsid w:val="006C1712"/>
    <w:rsid w:val="006C1718"/>
    <w:rsid w:val="006C181D"/>
    <w:rsid w:val="006C19A5"/>
    <w:rsid w:val="006C1A7E"/>
    <w:rsid w:val="006C1A8D"/>
    <w:rsid w:val="006C1BD1"/>
    <w:rsid w:val="006C1C7F"/>
    <w:rsid w:val="006C1C98"/>
    <w:rsid w:val="006C1D11"/>
    <w:rsid w:val="006C1ED8"/>
    <w:rsid w:val="006C201F"/>
    <w:rsid w:val="006C218B"/>
    <w:rsid w:val="006C2196"/>
    <w:rsid w:val="006C21C0"/>
    <w:rsid w:val="006C21D1"/>
    <w:rsid w:val="006C2316"/>
    <w:rsid w:val="006C234F"/>
    <w:rsid w:val="006C24BD"/>
    <w:rsid w:val="006C260C"/>
    <w:rsid w:val="006C2936"/>
    <w:rsid w:val="006C29E9"/>
    <w:rsid w:val="006C2A2E"/>
    <w:rsid w:val="006C2C07"/>
    <w:rsid w:val="006C2CFB"/>
    <w:rsid w:val="006C2D80"/>
    <w:rsid w:val="006C2DDF"/>
    <w:rsid w:val="006C2EBB"/>
    <w:rsid w:val="006C321B"/>
    <w:rsid w:val="006C324B"/>
    <w:rsid w:val="006C325D"/>
    <w:rsid w:val="006C3579"/>
    <w:rsid w:val="006C3761"/>
    <w:rsid w:val="006C37B9"/>
    <w:rsid w:val="006C3881"/>
    <w:rsid w:val="006C38AF"/>
    <w:rsid w:val="006C38E3"/>
    <w:rsid w:val="006C3A44"/>
    <w:rsid w:val="006C3D7A"/>
    <w:rsid w:val="006C3DD1"/>
    <w:rsid w:val="006C4023"/>
    <w:rsid w:val="006C4065"/>
    <w:rsid w:val="006C4197"/>
    <w:rsid w:val="006C42A7"/>
    <w:rsid w:val="006C4334"/>
    <w:rsid w:val="006C43A2"/>
    <w:rsid w:val="006C43B9"/>
    <w:rsid w:val="006C43EF"/>
    <w:rsid w:val="006C4498"/>
    <w:rsid w:val="006C45DD"/>
    <w:rsid w:val="006C485B"/>
    <w:rsid w:val="006C4990"/>
    <w:rsid w:val="006C49CE"/>
    <w:rsid w:val="006C49D0"/>
    <w:rsid w:val="006C4A39"/>
    <w:rsid w:val="006C4A50"/>
    <w:rsid w:val="006C4D70"/>
    <w:rsid w:val="006C4DA9"/>
    <w:rsid w:val="006C4DB9"/>
    <w:rsid w:val="006C4EA8"/>
    <w:rsid w:val="006C4EAB"/>
    <w:rsid w:val="006C4FA9"/>
    <w:rsid w:val="006C5013"/>
    <w:rsid w:val="006C503E"/>
    <w:rsid w:val="006C5132"/>
    <w:rsid w:val="006C58B8"/>
    <w:rsid w:val="006C59B3"/>
    <w:rsid w:val="006C5B8C"/>
    <w:rsid w:val="006C5C67"/>
    <w:rsid w:val="006C5D30"/>
    <w:rsid w:val="006C5DA0"/>
    <w:rsid w:val="006C5FB8"/>
    <w:rsid w:val="006C5FFB"/>
    <w:rsid w:val="006C608B"/>
    <w:rsid w:val="006C6143"/>
    <w:rsid w:val="006C631B"/>
    <w:rsid w:val="006C6341"/>
    <w:rsid w:val="006C635C"/>
    <w:rsid w:val="006C63D4"/>
    <w:rsid w:val="006C6425"/>
    <w:rsid w:val="006C6494"/>
    <w:rsid w:val="006C66DB"/>
    <w:rsid w:val="006C6A02"/>
    <w:rsid w:val="006C6B6D"/>
    <w:rsid w:val="006C6B92"/>
    <w:rsid w:val="006C6BAD"/>
    <w:rsid w:val="006C6C16"/>
    <w:rsid w:val="006C6EC4"/>
    <w:rsid w:val="006C6FCD"/>
    <w:rsid w:val="006C7016"/>
    <w:rsid w:val="006C701C"/>
    <w:rsid w:val="006C7073"/>
    <w:rsid w:val="006C707E"/>
    <w:rsid w:val="006C709F"/>
    <w:rsid w:val="006C7158"/>
    <w:rsid w:val="006C71C9"/>
    <w:rsid w:val="006C726B"/>
    <w:rsid w:val="006C72A3"/>
    <w:rsid w:val="006C7437"/>
    <w:rsid w:val="006C74C0"/>
    <w:rsid w:val="006C7549"/>
    <w:rsid w:val="006C757D"/>
    <w:rsid w:val="006C75CD"/>
    <w:rsid w:val="006C75F2"/>
    <w:rsid w:val="006C784F"/>
    <w:rsid w:val="006C78F8"/>
    <w:rsid w:val="006C790B"/>
    <w:rsid w:val="006C79BB"/>
    <w:rsid w:val="006C7BC8"/>
    <w:rsid w:val="006C7C42"/>
    <w:rsid w:val="006C7E1A"/>
    <w:rsid w:val="006C7E27"/>
    <w:rsid w:val="006C7E45"/>
    <w:rsid w:val="006C7F13"/>
    <w:rsid w:val="006C7F72"/>
    <w:rsid w:val="006C7FBC"/>
    <w:rsid w:val="006D0111"/>
    <w:rsid w:val="006D011D"/>
    <w:rsid w:val="006D01E0"/>
    <w:rsid w:val="006D03D5"/>
    <w:rsid w:val="006D0476"/>
    <w:rsid w:val="006D0499"/>
    <w:rsid w:val="006D04A7"/>
    <w:rsid w:val="006D0552"/>
    <w:rsid w:val="006D057B"/>
    <w:rsid w:val="006D0681"/>
    <w:rsid w:val="006D06A5"/>
    <w:rsid w:val="006D071F"/>
    <w:rsid w:val="006D0763"/>
    <w:rsid w:val="006D079C"/>
    <w:rsid w:val="006D08F4"/>
    <w:rsid w:val="006D0941"/>
    <w:rsid w:val="006D09C3"/>
    <w:rsid w:val="006D0A22"/>
    <w:rsid w:val="006D0A9F"/>
    <w:rsid w:val="006D0ADC"/>
    <w:rsid w:val="006D0CAE"/>
    <w:rsid w:val="006D0CEF"/>
    <w:rsid w:val="006D0D52"/>
    <w:rsid w:val="006D0D7C"/>
    <w:rsid w:val="006D0EA3"/>
    <w:rsid w:val="006D0EF4"/>
    <w:rsid w:val="006D0EFC"/>
    <w:rsid w:val="006D0F04"/>
    <w:rsid w:val="006D1035"/>
    <w:rsid w:val="006D1060"/>
    <w:rsid w:val="006D10AD"/>
    <w:rsid w:val="006D10D6"/>
    <w:rsid w:val="006D10F9"/>
    <w:rsid w:val="006D1130"/>
    <w:rsid w:val="006D11D7"/>
    <w:rsid w:val="006D1261"/>
    <w:rsid w:val="006D139B"/>
    <w:rsid w:val="006D13B0"/>
    <w:rsid w:val="006D14AB"/>
    <w:rsid w:val="006D1508"/>
    <w:rsid w:val="006D1560"/>
    <w:rsid w:val="006D1590"/>
    <w:rsid w:val="006D1665"/>
    <w:rsid w:val="006D16A5"/>
    <w:rsid w:val="006D197A"/>
    <w:rsid w:val="006D19C7"/>
    <w:rsid w:val="006D1A02"/>
    <w:rsid w:val="006D1A8B"/>
    <w:rsid w:val="006D1AD2"/>
    <w:rsid w:val="006D1AD6"/>
    <w:rsid w:val="006D1B52"/>
    <w:rsid w:val="006D1C03"/>
    <w:rsid w:val="006D1D20"/>
    <w:rsid w:val="006D1E7F"/>
    <w:rsid w:val="006D1F77"/>
    <w:rsid w:val="006D1F86"/>
    <w:rsid w:val="006D1F8B"/>
    <w:rsid w:val="006D2036"/>
    <w:rsid w:val="006D20B3"/>
    <w:rsid w:val="006D2112"/>
    <w:rsid w:val="006D2380"/>
    <w:rsid w:val="006D23CD"/>
    <w:rsid w:val="006D244A"/>
    <w:rsid w:val="006D2498"/>
    <w:rsid w:val="006D24F3"/>
    <w:rsid w:val="006D25EA"/>
    <w:rsid w:val="006D2711"/>
    <w:rsid w:val="006D272A"/>
    <w:rsid w:val="006D2886"/>
    <w:rsid w:val="006D28BE"/>
    <w:rsid w:val="006D29C9"/>
    <w:rsid w:val="006D29F8"/>
    <w:rsid w:val="006D2E87"/>
    <w:rsid w:val="006D2F6B"/>
    <w:rsid w:val="006D30A9"/>
    <w:rsid w:val="006D3157"/>
    <w:rsid w:val="006D3191"/>
    <w:rsid w:val="006D328C"/>
    <w:rsid w:val="006D33A1"/>
    <w:rsid w:val="006D3411"/>
    <w:rsid w:val="006D351F"/>
    <w:rsid w:val="006D3850"/>
    <w:rsid w:val="006D393F"/>
    <w:rsid w:val="006D3967"/>
    <w:rsid w:val="006D399D"/>
    <w:rsid w:val="006D3C72"/>
    <w:rsid w:val="006D3CD3"/>
    <w:rsid w:val="006D3D99"/>
    <w:rsid w:val="006D3DF2"/>
    <w:rsid w:val="006D3EE4"/>
    <w:rsid w:val="006D3FF8"/>
    <w:rsid w:val="006D4031"/>
    <w:rsid w:val="006D40B4"/>
    <w:rsid w:val="006D4106"/>
    <w:rsid w:val="006D41B0"/>
    <w:rsid w:val="006D421D"/>
    <w:rsid w:val="006D426C"/>
    <w:rsid w:val="006D42B3"/>
    <w:rsid w:val="006D42DA"/>
    <w:rsid w:val="006D431B"/>
    <w:rsid w:val="006D433A"/>
    <w:rsid w:val="006D4477"/>
    <w:rsid w:val="006D4526"/>
    <w:rsid w:val="006D4594"/>
    <w:rsid w:val="006D45E3"/>
    <w:rsid w:val="006D462D"/>
    <w:rsid w:val="006D4835"/>
    <w:rsid w:val="006D4855"/>
    <w:rsid w:val="006D4898"/>
    <w:rsid w:val="006D4949"/>
    <w:rsid w:val="006D4997"/>
    <w:rsid w:val="006D4A86"/>
    <w:rsid w:val="006D4A87"/>
    <w:rsid w:val="006D4ACF"/>
    <w:rsid w:val="006D4CD4"/>
    <w:rsid w:val="006D4CF2"/>
    <w:rsid w:val="006D4E1A"/>
    <w:rsid w:val="006D4E8E"/>
    <w:rsid w:val="006D4EB8"/>
    <w:rsid w:val="006D50D3"/>
    <w:rsid w:val="006D510C"/>
    <w:rsid w:val="006D519D"/>
    <w:rsid w:val="006D51CF"/>
    <w:rsid w:val="006D52C8"/>
    <w:rsid w:val="006D536A"/>
    <w:rsid w:val="006D5421"/>
    <w:rsid w:val="006D5508"/>
    <w:rsid w:val="006D5747"/>
    <w:rsid w:val="006D5779"/>
    <w:rsid w:val="006D5796"/>
    <w:rsid w:val="006D581D"/>
    <w:rsid w:val="006D5855"/>
    <w:rsid w:val="006D5917"/>
    <w:rsid w:val="006D592A"/>
    <w:rsid w:val="006D5B0D"/>
    <w:rsid w:val="006D5B9C"/>
    <w:rsid w:val="006D5BE8"/>
    <w:rsid w:val="006D5C9E"/>
    <w:rsid w:val="006D5E83"/>
    <w:rsid w:val="006D5EDF"/>
    <w:rsid w:val="006D5F76"/>
    <w:rsid w:val="006D5F8F"/>
    <w:rsid w:val="006D60AC"/>
    <w:rsid w:val="006D6141"/>
    <w:rsid w:val="006D6185"/>
    <w:rsid w:val="006D61AF"/>
    <w:rsid w:val="006D61DC"/>
    <w:rsid w:val="006D620C"/>
    <w:rsid w:val="006D62C8"/>
    <w:rsid w:val="006D63A2"/>
    <w:rsid w:val="006D6463"/>
    <w:rsid w:val="006D64AC"/>
    <w:rsid w:val="006D653B"/>
    <w:rsid w:val="006D6581"/>
    <w:rsid w:val="006D6675"/>
    <w:rsid w:val="006D6709"/>
    <w:rsid w:val="006D6718"/>
    <w:rsid w:val="006D6796"/>
    <w:rsid w:val="006D67FA"/>
    <w:rsid w:val="006D6895"/>
    <w:rsid w:val="006D698B"/>
    <w:rsid w:val="006D6A69"/>
    <w:rsid w:val="006D6A70"/>
    <w:rsid w:val="006D6B74"/>
    <w:rsid w:val="006D6C77"/>
    <w:rsid w:val="006D6CD8"/>
    <w:rsid w:val="006D6E51"/>
    <w:rsid w:val="006D6F1D"/>
    <w:rsid w:val="006D6FDF"/>
    <w:rsid w:val="006D7047"/>
    <w:rsid w:val="006D71A2"/>
    <w:rsid w:val="006D7216"/>
    <w:rsid w:val="006D744F"/>
    <w:rsid w:val="006D746C"/>
    <w:rsid w:val="006D7558"/>
    <w:rsid w:val="006D75A3"/>
    <w:rsid w:val="006D75DA"/>
    <w:rsid w:val="006D7621"/>
    <w:rsid w:val="006D781C"/>
    <w:rsid w:val="006D7855"/>
    <w:rsid w:val="006D7BA4"/>
    <w:rsid w:val="006D7D9E"/>
    <w:rsid w:val="006D7E9C"/>
    <w:rsid w:val="006D7F22"/>
    <w:rsid w:val="006D7FB1"/>
    <w:rsid w:val="006E0005"/>
    <w:rsid w:val="006E0154"/>
    <w:rsid w:val="006E017F"/>
    <w:rsid w:val="006E0299"/>
    <w:rsid w:val="006E039A"/>
    <w:rsid w:val="006E03F8"/>
    <w:rsid w:val="006E0473"/>
    <w:rsid w:val="006E0690"/>
    <w:rsid w:val="006E0699"/>
    <w:rsid w:val="006E06D1"/>
    <w:rsid w:val="006E06FA"/>
    <w:rsid w:val="006E07D0"/>
    <w:rsid w:val="006E08B6"/>
    <w:rsid w:val="006E0ADA"/>
    <w:rsid w:val="006E0B79"/>
    <w:rsid w:val="006E0CD4"/>
    <w:rsid w:val="006E0D4F"/>
    <w:rsid w:val="006E0E1E"/>
    <w:rsid w:val="006E0EFE"/>
    <w:rsid w:val="006E0F75"/>
    <w:rsid w:val="006E105B"/>
    <w:rsid w:val="006E1119"/>
    <w:rsid w:val="006E1196"/>
    <w:rsid w:val="006E133B"/>
    <w:rsid w:val="006E135B"/>
    <w:rsid w:val="006E13E9"/>
    <w:rsid w:val="006E143D"/>
    <w:rsid w:val="006E14A8"/>
    <w:rsid w:val="006E158C"/>
    <w:rsid w:val="006E1597"/>
    <w:rsid w:val="006E167C"/>
    <w:rsid w:val="006E172B"/>
    <w:rsid w:val="006E1799"/>
    <w:rsid w:val="006E1927"/>
    <w:rsid w:val="006E1AC3"/>
    <w:rsid w:val="006E1B34"/>
    <w:rsid w:val="006E1C1A"/>
    <w:rsid w:val="006E1D01"/>
    <w:rsid w:val="006E1D44"/>
    <w:rsid w:val="006E1D8E"/>
    <w:rsid w:val="006E1DA3"/>
    <w:rsid w:val="006E1ECB"/>
    <w:rsid w:val="006E1F24"/>
    <w:rsid w:val="006E1F59"/>
    <w:rsid w:val="006E2153"/>
    <w:rsid w:val="006E216E"/>
    <w:rsid w:val="006E21D0"/>
    <w:rsid w:val="006E21D8"/>
    <w:rsid w:val="006E2211"/>
    <w:rsid w:val="006E22CC"/>
    <w:rsid w:val="006E22ED"/>
    <w:rsid w:val="006E2392"/>
    <w:rsid w:val="006E23E7"/>
    <w:rsid w:val="006E25B4"/>
    <w:rsid w:val="006E25EE"/>
    <w:rsid w:val="006E2671"/>
    <w:rsid w:val="006E2674"/>
    <w:rsid w:val="006E26A8"/>
    <w:rsid w:val="006E2740"/>
    <w:rsid w:val="006E27A9"/>
    <w:rsid w:val="006E29E5"/>
    <w:rsid w:val="006E2A3A"/>
    <w:rsid w:val="006E2A41"/>
    <w:rsid w:val="006E2B7C"/>
    <w:rsid w:val="006E2BBF"/>
    <w:rsid w:val="006E2C0E"/>
    <w:rsid w:val="006E2CE6"/>
    <w:rsid w:val="006E2F23"/>
    <w:rsid w:val="006E2F52"/>
    <w:rsid w:val="006E2FF6"/>
    <w:rsid w:val="006E31A9"/>
    <w:rsid w:val="006E3227"/>
    <w:rsid w:val="006E32BF"/>
    <w:rsid w:val="006E3379"/>
    <w:rsid w:val="006E3381"/>
    <w:rsid w:val="006E3490"/>
    <w:rsid w:val="006E355F"/>
    <w:rsid w:val="006E3564"/>
    <w:rsid w:val="006E356C"/>
    <w:rsid w:val="006E372E"/>
    <w:rsid w:val="006E380F"/>
    <w:rsid w:val="006E3869"/>
    <w:rsid w:val="006E38DA"/>
    <w:rsid w:val="006E39BD"/>
    <w:rsid w:val="006E3AD2"/>
    <w:rsid w:val="006E3BAE"/>
    <w:rsid w:val="006E3BC7"/>
    <w:rsid w:val="006E3CB9"/>
    <w:rsid w:val="006E3E08"/>
    <w:rsid w:val="006E3EFB"/>
    <w:rsid w:val="006E407A"/>
    <w:rsid w:val="006E40C6"/>
    <w:rsid w:val="006E426C"/>
    <w:rsid w:val="006E42B6"/>
    <w:rsid w:val="006E4312"/>
    <w:rsid w:val="006E4399"/>
    <w:rsid w:val="006E43BB"/>
    <w:rsid w:val="006E4416"/>
    <w:rsid w:val="006E460A"/>
    <w:rsid w:val="006E473C"/>
    <w:rsid w:val="006E482D"/>
    <w:rsid w:val="006E485C"/>
    <w:rsid w:val="006E48FF"/>
    <w:rsid w:val="006E4A4C"/>
    <w:rsid w:val="006E4A65"/>
    <w:rsid w:val="006E4B29"/>
    <w:rsid w:val="006E4E13"/>
    <w:rsid w:val="006E4ED6"/>
    <w:rsid w:val="006E4EEC"/>
    <w:rsid w:val="006E4F1A"/>
    <w:rsid w:val="006E4F25"/>
    <w:rsid w:val="006E5018"/>
    <w:rsid w:val="006E5052"/>
    <w:rsid w:val="006E51B0"/>
    <w:rsid w:val="006E51D6"/>
    <w:rsid w:val="006E51E1"/>
    <w:rsid w:val="006E5332"/>
    <w:rsid w:val="006E5363"/>
    <w:rsid w:val="006E537F"/>
    <w:rsid w:val="006E53C5"/>
    <w:rsid w:val="006E5404"/>
    <w:rsid w:val="006E54B9"/>
    <w:rsid w:val="006E5625"/>
    <w:rsid w:val="006E5677"/>
    <w:rsid w:val="006E5779"/>
    <w:rsid w:val="006E5AD3"/>
    <w:rsid w:val="006E5B51"/>
    <w:rsid w:val="006E5B98"/>
    <w:rsid w:val="006E5CEB"/>
    <w:rsid w:val="006E5E54"/>
    <w:rsid w:val="006E5E91"/>
    <w:rsid w:val="006E5EAC"/>
    <w:rsid w:val="006E6015"/>
    <w:rsid w:val="006E6076"/>
    <w:rsid w:val="006E608A"/>
    <w:rsid w:val="006E630A"/>
    <w:rsid w:val="006E6404"/>
    <w:rsid w:val="006E6489"/>
    <w:rsid w:val="006E6535"/>
    <w:rsid w:val="006E6553"/>
    <w:rsid w:val="006E683F"/>
    <w:rsid w:val="006E6880"/>
    <w:rsid w:val="006E6920"/>
    <w:rsid w:val="006E6A05"/>
    <w:rsid w:val="006E6C9B"/>
    <w:rsid w:val="006E6D59"/>
    <w:rsid w:val="006E6DCF"/>
    <w:rsid w:val="006E6E37"/>
    <w:rsid w:val="006E6F89"/>
    <w:rsid w:val="006E70EC"/>
    <w:rsid w:val="006E712A"/>
    <w:rsid w:val="006E7260"/>
    <w:rsid w:val="006E72FC"/>
    <w:rsid w:val="006E7454"/>
    <w:rsid w:val="006E7455"/>
    <w:rsid w:val="006E754B"/>
    <w:rsid w:val="006E7634"/>
    <w:rsid w:val="006E7685"/>
    <w:rsid w:val="006E79EC"/>
    <w:rsid w:val="006E7A8A"/>
    <w:rsid w:val="006E7C31"/>
    <w:rsid w:val="006E7C49"/>
    <w:rsid w:val="006E7CAE"/>
    <w:rsid w:val="006E7D35"/>
    <w:rsid w:val="006E7D79"/>
    <w:rsid w:val="006E7EE1"/>
    <w:rsid w:val="006E7F36"/>
    <w:rsid w:val="006EC74E"/>
    <w:rsid w:val="006F00E3"/>
    <w:rsid w:val="006F0232"/>
    <w:rsid w:val="006F026C"/>
    <w:rsid w:val="006F02EB"/>
    <w:rsid w:val="006F0332"/>
    <w:rsid w:val="006F03E7"/>
    <w:rsid w:val="006F04C2"/>
    <w:rsid w:val="006F055B"/>
    <w:rsid w:val="006F05EA"/>
    <w:rsid w:val="006F0699"/>
    <w:rsid w:val="006F06FB"/>
    <w:rsid w:val="006F07F8"/>
    <w:rsid w:val="006F0825"/>
    <w:rsid w:val="006F0915"/>
    <w:rsid w:val="006F094C"/>
    <w:rsid w:val="006F0E90"/>
    <w:rsid w:val="006F0F81"/>
    <w:rsid w:val="006F103A"/>
    <w:rsid w:val="006F10AC"/>
    <w:rsid w:val="006F12C3"/>
    <w:rsid w:val="006F12E2"/>
    <w:rsid w:val="006F1381"/>
    <w:rsid w:val="006F1521"/>
    <w:rsid w:val="006F1564"/>
    <w:rsid w:val="006F172B"/>
    <w:rsid w:val="006F1776"/>
    <w:rsid w:val="006F187E"/>
    <w:rsid w:val="006F19B3"/>
    <w:rsid w:val="006F1B22"/>
    <w:rsid w:val="006F1CB1"/>
    <w:rsid w:val="006F1CDF"/>
    <w:rsid w:val="006F1D26"/>
    <w:rsid w:val="006F1D77"/>
    <w:rsid w:val="006F1DA9"/>
    <w:rsid w:val="006F1E66"/>
    <w:rsid w:val="006F1ECD"/>
    <w:rsid w:val="006F2023"/>
    <w:rsid w:val="006F203E"/>
    <w:rsid w:val="006F206F"/>
    <w:rsid w:val="006F20EF"/>
    <w:rsid w:val="006F2144"/>
    <w:rsid w:val="006F214E"/>
    <w:rsid w:val="006F2221"/>
    <w:rsid w:val="006F2277"/>
    <w:rsid w:val="006F2305"/>
    <w:rsid w:val="006F23B6"/>
    <w:rsid w:val="006F240B"/>
    <w:rsid w:val="006F24D7"/>
    <w:rsid w:val="006F25D4"/>
    <w:rsid w:val="006F25DE"/>
    <w:rsid w:val="006F260D"/>
    <w:rsid w:val="006F26D2"/>
    <w:rsid w:val="006F2755"/>
    <w:rsid w:val="006F290A"/>
    <w:rsid w:val="006F292C"/>
    <w:rsid w:val="006F2936"/>
    <w:rsid w:val="006F2BC8"/>
    <w:rsid w:val="006F2C7F"/>
    <w:rsid w:val="006F2C9A"/>
    <w:rsid w:val="006F2D4C"/>
    <w:rsid w:val="006F2D92"/>
    <w:rsid w:val="006F2EA6"/>
    <w:rsid w:val="006F2F0A"/>
    <w:rsid w:val="006F2F81"/>
    <w:rsid w:val="006F3091"/>
    <w:rsid w:val="006F31CF"/>
    <w:rsid w:val="006F3331"/>
    <w:rsid w:val="006F34CD"/>
    <w:rsid w:val="006F35A0"/>
    <w:rsid w:val="006F36BB"/>
    <w:rsid w:val="006F3748"/>
    <w:rsid w:val="006F37CA"/>
    <w:rsid w:val="006F3913"/>
    <w:rsid w:val="006F3A11"/>
    <w:rsid w:val="006F3A48"/>
    <w:rsid w:val="006F3A9C"/>
    <w:rsid w:val="006F3B30"/>
    <w:rsid w:val="006F3BA5"/>
    <w:rsid w:val="006F3D86"/>
    <w:rsid w:val="006F3DD7"/>
    <w:rsid w:val="006F3E0C"/>
    <w:rsid w:val="006F3E18"/>
    <w:rsid w:val="006F3EC3"/>
    <w:rsid w:val="006F3EF3"/>
    <w:rsid w:val="006F3F57"/>
    <w:rsid w:val="006F4123"/>
    <w:rsid w:val="006F4139"/>
    <w:rsid w:val="006F43D1"/>
    <w:rsid w:val="006F4544"/>
    <w:rsid w:val="006F4567"/>
    <w:rsid w:val="006F461A"/>
    <w:rsid w:val="006F462F"/>
    <w:rsid w:val="006F46C0"/>
    <w:rsid w:val="006F46CF"/>
    <w:rsid w:val="006F46D7"/>
    <w:rsid w:val="006F4701"/>
    <w:rsid w:val="006F48E3"/>
    <w:rsid w:val="006F491C"/>
    <w:rsid w:val="006F4933"/>
    <w:rsid w:val="006F497D"/>
    <w:rsid w:val="006F4A43"/>
    <w:rsid w:val="006F4B3E"/>
    <w:rsid w:val="006F4BC5"/>
    <w:rsid w:val="006F4C3F"/>
    <w:rsid w:val="006F4C65"/>
    <w:rsid w:val="006F4C66"/>
    <w:rsid w:val="006F4C7A"/>
    <w:rsid w:val="006F4E98"/>
    <w:rsid w:val="006F4EA6"/>
    <w:rsid w:val="006F4EFB"/>
    <w:rsid w:val="006F4EFD"/>
    <w:rsid w:val="006F501A"/>
    <w:rsid w:val="006F502E"/>
    <w:rsid w:val="006F52CD"/>
    <w:rsid w:val="006F52E8"/>
    <w:rsid w:val="006F5434"/>
    <w:rsid w:val="006F57BA"/>
    <w:rsid w:val="006F57F9"/>
    <w:rsid w:val="006F5884"/>
    <w:rsid w:val="006F5935"/>
    <w:rsid w:val="006F596E"/>
    <w:rsid w:val="006F59BD"/>
    <w:rsid w:val="006F5A0D"/>
    <w:rsid w:val="006F5A94"/>
    <w:rsid w:val="006F5E56"/>
    <w:rsid w:val="006F5F45"/>
    <w:rsid w:val="006F6078"/>
    <w:rsid w:val="006F60FB"/>
    <w:rsid w:val="006F6301"/>
    <w:rsid w:val="006F64BC"/>
    <w:rsid w:val="006F64F0"/>
    <w:rsid w:val="006F653D"/>
    <w:rsid w:val="006F668C"/>
    <w:rsid w:val="006F66DA"/>
    <w:rsid w:val="006F68F4"/>
    <w:rsid w:val="006F69E9"/>
    <w:rsid w:val="006F6B51"/>
    <w:rsid w:val="006F6B93"/>
    <w:rsid w:val="006F6C0D"/>
    <w:rsid w:val="006F6DC0"/>
    <w:rsid w:val="006F6E16"/>
    <w:rsid w:val="006F6E6E"/>
    <w:rsid w:val="006F6F0E"/>
    <w:rsid w:val="006F7088"/>
    <w:rsid w:val="006F70CF"/>
    <w:rsid w:val="006F7153"/>
    <w:rsid w:val="006F71EF"/>
    <w:rsid w:val="006F729E"/>
    <w:rsid w:val="006F739C"/>
    <w:rsid w:val="006F74E7"/>
    <w:rsid w:val="006F7965"/>
    <w:rsid w:val="006F79C0"/>
    <w:rsid w:val="006F7AFD"/>
    <w:rsid w:val="006F7B99"/>
    <w:rsid w:val="006F7D74"/>
    <w:rsid w:val="006F7F10"/>
    <w:rsid w:val="006F7F16"/>
    <w:rsid w:val="006F7F1E"/>
    <w:rsid w:val="006F7F6B"/>
    <w:rsid w:val="0070011D"/>
    <w:rsid w:val="0070014B"/>
    <w:rsid w:val="007001EF"/>
    <w:rsid w:val="00700204"/>
    <w:rsid w:val="0070023E"/>
    <w:rsid w:val="007002C1"/>
    <w:rsid w:val="0070036E"/>
    <w:rsid w:val="00700433"/>
    <w:rsid w:val="0070049E"/>
    <w:rsid w:val="007004B9"/>
    <w:rsid w:val="0070060A"/>
    <w:rsid w:val="007007EB"/>
    <w:rsid w:val="007007F9"/>
    <w:rsid w:val="00700900"/>
    <w:rsid w:val="0070096B"/>
    <w:rsid w:val="007009A4"/>
    <w:rsid w:val="00700B2A"/>
    <w:rsid w:val="00700B68"/>
    <w:rsid w:val="00700D82"/>
    <w:rsid w:val="00700EDC"/>
    <w:rsid w:val="007010AB"/>
    <w:rsid w:val="0070114E"/>
    <w:rsid w:val="00701229"/>
    <w:rsid w:val="00701430"/>
    <w:rsid w:val="007014C9"/>
    <w:rsid w:val="0070150A"/>
    <w:rsid w:val="00701668"/>
    <w:rsid w:val="007016C7"/>
    <w:rsid w:val="00701847"/>
    <w:rsid w:val="0070196E"/>
    <w:rsid w:val="007019B8"/>
    <w:rsid w:val="00701A76"/>
    <w:rsid w:val="00701B52"/>
    <w:rsid w:val="00701B61"/>
    <w:rsid w:val="00701C60"/>
    <w:rsid w:val="00701D5E"/>
    <w:rsid w:val="00701E8A"/>
    <w:rsid w:val="00701F0A"/>
    <w:rsid w:val="00701F64"/>
    <w:rsid w:val="00702027"/>
    <w:rsid w:val="00702043"/>
    <w:rsid w:val="00702181"/>
    <w:rsid w:val="007021AF"/>
    <w:rsid w:val="007021E1"/>
    <w:rsid w:val="00702237"/>
    <w:rsid w:val="007022B0"/>
    <w:rsid w:val="007023EA"/>
    <w:rsid w:val="0070249A"/>
    <w:rsid w:val="00702520"/>
    <w:rsid w:val="00702774"/>
    <w:rsid w:val="00702875"/>
    <w:rsid w:val="00702880"/>
    <w:rsid w:val="0070289E"/>
    <w:rsid w:val="007028BB"/>
    <w:rsid w:val="007028CF"/>
    <w:rsid w:val="00702935"/>
    <w:rsid w:val="00702A4B"/>
    <w:rsid w:val="00702B08"/>
    <w:rsid w:val="00702B23"/>
    <w:rsid w:val="00702B69"/>
    <w:rsid w:val="00702C0C"/>
    <w:rsid w:val="00702C70"/>
    <w:rsid w:val="00702E2F"/>
    <w:rsid w:val="00702E49"/>
    <w:rsid w:val="00702ECF"/>
    <w:rsid w:val="00702F9B"/>
    <w:rsid w:val="00702FB5"/>
    <w:rsid w:val="00702FE6"/>
    <w:rsid w:val="00703187"/>
    <w:rsid w:val="0070323B"/>
    <w:rsid w:val="00703349"/>
    <w:rsid w:val="00703421"/>
    <w:rsid w:val="00703455"/>
    <w:rsid w:val="007034DB"/>
    <w:rsid w:val="0070358E"/>
    <w:rsid w:val="0070371A"/>
    <w:rsid w:val="007038BD"/>
    <w:rsid w:val="007039F9"/>
    <w:rsid w:val="00703A3A"/>
    <w:rsid w:val="00703CA4"/>
    <w:rsid w:val="00703CA5"/>
    <w:rsid w:val="00703D6B"/>
    <w:rsid w:val="00703DC3"/>
    <w:rsid w:val="00703DEB"/>
    <w:rsid w:val="00703E6D"/>
    <w:rsid w:val="00703EDC"/>
    <w:rsid w:val="00703F53"/>
    <w:rsid w:val="00703F9F"/>
    <w:rsid w:val="00704159"/>
    <w:rsid w:val="007041E1"/>
    <w:rsid w:val="00704263"/>
    <w:rsid w:val="007045AB"/>
    <w:rsid w:val="007046E8"/>
    <w:rsid w:val="00704773"/>
    <w:rsid w:val="00704B77"/>
    <w:rsid w:val="00704D5E"/>
    <w:rsid w:val="00704E74"/>
    <w:rsid w:val="00704E9A"/>
    <w:rsid w:val="00704EFB"/>
    <w:rsid w:val="00704F00"/>
    <w:rsid w:val="0070516A"/>
    <w:rsid w:val="007051B4"/>
    <w:rsid w:val="007052A1"/>
    <w:rsid w:val="007052F9"/>
    <w:rsid w:val="00705348"/>
    <w:rsid w:val="0070536A"/>
    <w:rsid w:val="00705536"/>
    <w:rsid w:val="007055BE"/>
    <w:rsid w:val="0070575D"/>
    <w:rsid w:val="0070576D"/>
    <w:rsid w:val="0070580B"/>
    <w:rsid w:val="00705859"/>
    <w:rsid w:val="00705A07"/>
    <w:rsid w:val="00705BA6"/>
    <w:rsid w:val="00705C79"/>
    <w:rsid w:val="00705D6D"/>
    <w:rsid w:val="00705E00"/>
    <w:rsid w:val="00705E0D"/>
    <w:rsid w:val="00705E12"/>
    <w:rsid w:val="00705E7D"/>
    <w:rsid w:val="00705F9D"/>
    <w:rsid w:val="00705FAB"/>
    <w:rsid w:val="00706008"/>
    <w:rsid w:val="00706066"/>
    <w:rsid w:val="00706085"/>
    <w:rsid w:val="00706096"/>
    <w:rsid w:val="0070615A"/>
    <w:rsid w:val="0070632E"/>
    <w:rsid w:val="0070650E"/>
    <w:rsid w:val="007067E6"/>
    <w:rsid w:val="00706813"/>
    <w:rsid w:val="007069D5"/>
    <w:rsid w:val="00706A29"/>
    <w:rsid w:val="00706A3E"/>
    <w:rsid w:val="00706AA5"/>
    <w:rsid w:val="00706B71"/>
    <w:rsid w:val="00706C9D"/>
    <w:rsid w:val="00706EB2"/>
    <w:rsid w:val="00706EFB"/>
    <w:rsid w:val="00706F4C"/>
    <w:rsid w:val="00706FC1"/>
    <w:rsid w:val="00707011"/>
    <w:rsid w:val="00707065"/>
    <w:rsid w:val="0070710C"/>
    <w:rsid w:val="0070711B"/>
    <w:rsid w:val="00707154"/>
    <w:rsid w:val="0070717A"/>
    <w:rsid w:val="0070718F"/>
    <w:rsid w:val="0070719A"/>
    <w:rsid w:val="00707230"/>
    <w:rsid w:val="007072E2"/>
    <w:rsid w:val="00707373"/>
    <w:rsid w:val="007075FF"/>
    <w:rsid w:val="00707662"/>
    <w:rsid w:val="007076B7"/>
    <w:rsid w:val="007078D2"/>
    <w:rsid w:val="00707A2E"/>
    <w:rsid w:val="00707A75"/>
    <w:rsid w:val="00707CBB"/>
    <w:rsid w:val="00707D3B"/>
    <w:rsid w:val="00707D3E"/>
    <w:rsid w:val="00707DFE"/>
    <w:rsid w:val="00707E43"/>
    <w:rsid w:val="00707E64"/>
    <w:rsid w:val="00707F36"/>
    <w:rsid w:val="00707F5B"/>
    <w:rsid w:val="00707FA1"/>
    <w:rsid w:val="00710008"/>
    <w:rsid w:val="007102C2"/>
    <w:rsid w:val="0071030F"/>
    <w:rsid w:val="00710463"/>
    <w:rsid w:val="0071065F"/>
    <w:rsid w:val="00710728"/>
    <w:rsid w:val="007108C8"/>
    <w:rsid w:val="00710A09"/>
    <w:rsid w:val="00710BE5"/>
    <w:rsid w:val="00710E80"/>
    <w:rsid w:val="00710EEF"/>
    <w:rsid w:val="00710EF2"/>
    <w:rsid w:val="00710EFB"/>
    <w:rsid w:val="00710FCF"/>
    <w:rsid w:val="0071109F"/>
    <w:rsid w:val="0071116F"/>
    <w:rsid w:val="007111DA"/>
    <w:rsid w:val="007112E7"/>
    <w:rsid w:val="007113DA"/>
    <w:rsid w:val="007113E3"/>
    <w:rsid w:val="00711682"/>
    <w:rsid w:val="00711837"/>
    <w:rsid w:val="00711872"/>
    <w:rsid w:val="0071191D"/>
    <w:rsid w:val="007119A7"/>
    <w:rsid w:val="00711AFE"/>
    <w:rsid w:val="00711BF6"/>
    <w:rsid w:val="00711C0C"/>
    <w:rsid w:val="00711CA1"/>
    <w:rsid w:val="00711E68"/>
    <w:rsid w:val="00711E82"/>
    <w:rsid w:val="00712028"/>
    <w:rsid w:val="00712135"/>
    <w:rsid w:val="007122C2"/>
    <w:rsid w:val="00712349"/>
    <w:rsid w:val="007123E8"/>
    <w:rsid w:val="0071245C"/>
    <w:rsid w:val="00712471"/>
    <w:rsid w:val="007125A4"/>
    <w:rsid w:val="007125AA"/>
    <w:rsid w:val="00712649"/>
    <w:rsid w:val="00712687"/>
    <w:rsid w:val="007126A6"/>
    <w:rsid w:val="0071271C"/>
    <w:rsid w:val="0071273B"/>
    <w:rsid w:val="0071278E"/>
    <w:rsid w:val="007128B1"/>
    <w:rsid w:val="00712903"/>
    <w:rsid w:val="007129BB"/>
    <w:rsid w:val="00712A35"/>
    <w:rsid w:val="00712A65"/>
    <w:rsid w:val="00712AAC"/>
    <w:rsid w:val="00712ADA"/>
    <w:rsid w:val="00712B73"/>
    <w:rsid w:val="00712B81"/>
    <w:rsid w:val="00712D36"/>
    <w:rsid w:val="00712EBD"/>
    <w:rsid w:val="00712FA7"/>
    <w:rsid w:val="00713180"/>
    <w:rsid w:val="0071325D"/>
    <w:rsid w:val="007132A8"/>
    <w:rsid w:val="00713324"/>
    <w:rsid w:val="0071335B"/>
    <w:rsid w:val="0071338A"/>
    <w:rsid w:val="0071343C"/>
    <w:rsid w:val="0071347C"/>
    <w:rsid w:val="00713486"/>
    <w:rsid w:val="00713501"/>
    <w:rsid w:val="0071350C"/>
    <w:rsid w:val="007135CF"/>
    <w:rsid w:val="007135F7"/>
    <w:rsid w:val="007136E6"/>
    <w:rsid w:val="00713729"/>
    <w:rsid w:val="007138C9"/>
    <w:rsid w:val="007139F4"/>
    <w:rsid w:val="00713A23"/>
    <w:rsid w:val="00713A40"/>
    <w:rsid w:val="00713ABE"/>
    <w:rsid w:val="00713B98"/>
    <w:rsid w:val="00713BA4"/>
    <w:rsid w:val="00713C82"/>
    <w:rsid w:val="00713D25"/>
    <w:rsid w:val="00713DF0"/>
    <w:rsid w:val="00713F92"/>
    <w:rsid w:val="00714028"/>
    <w:rsid w:val="00714051"/>
    <w:rsid w:val="00714075"/>
    <w:rsid w:val="007140CF"/>
    <w:rsid w:val="0071428C"/>
    <w:rsid w:val="007142FD"/>
    <w:rsid w:val="007145F9"/>
    <w:rsid w:val="00714680"/>
    <w:rsid w:val="0071472C"/>
    <w:rsid w:val="007147CE"/>
    <w:rsid w:val="007148EC"/>
    <w:rsid w:val="00714956"/>
    <w:rsid w:val="007149FE"/>
    <w:rsid w:val="00714AA4"/>
    <w:rsid w:val="00714BC7"/>
    <w:rsid w:val="00714CB9"/>
    <w:rsid w:val="00714CBD"/>
    <w:rsid w:val="00714D88"/>
    <w:rsid w:val="00714E27"/>
    <w:rsid w:val="00714E6E"/>
    <w:rsid w:val="00714EC3"/>
    <w:rsid w:val="00714F60"/>
    <w:rsid w:val="00714FD2"/>
    <w:rsid w:val="0071500F"/>
    <w:rsid w:val="0071513A"/>
    <w:rsid w:val="007151CB"/>
    <w:rsid w:val="00715287"/>
    <w:rsid w:val="0071531F"/>
    <w:rsid w:val="00715339"/>
    <w:rsid w:val="0071533D"/>
    <w:rsid w:val="007153AF"/>
    <w:rsid w:val="007153CA"/>
    <w:rsid w:val="007154A2"/>
    <w:rsid w:val="007156C7"/>
    <w:rsid w:val="00715712"/>
    <w:rsid w:val="0071573A"/>
    <w:rsid w:val="007157AD"/>
    <w:rsid w:val="00715979"/>
    <w:rsid w:val="00715A5E"/>
    <w:rsid w:val="00715A85"/>
    <w:rsid w:val="00715AA2"/>
    <w:rsid w:val="00715AF2"/>
    <w:rsid w:val="00715B55"/>
    <w:rsid w:val="00715D5C"/>
    <w:rsid w:val="00715F2D"/>
    <w:rsid w:val="00715F74"/>
    <w:rsid w:val="00715F97"/>
    <w:rsid w:val="00715FA4"/>
    <w:rsid w:val="00715FE8"/>
    <w:rsid w:val="00715FFD"/>
    <w:rsid w:val="007161BD"/>
    <w:rsid w:val="00716288"/>
    <w:rsid w:val="00716370"/>
    <w:rsid w:val="007163AE"/>
    <w:rsid w:val="007164A1"/>
    <w:rsid w:val="007165E5"/>
    <w:rsid w:val="00716669"/>
    <w:rsid w:val="00716774"/>
    <w:rsid w:val="00716841"/>
    <w:rsid w:val="007168DC"/>
    <w:rsid w:val="007169AB"/>
    <w:rsid w:val="00716B05"/>
    <w:rsid w:val="00716B68"/>
    <w:rsid w:val="00716E64"/>
    <w:rsid w:val="00716EA1"/>
    <w:rsid w:val="00716F1E"/>
    <w:rsid w:val="00716FA4"/>
    <w:rsid w:val="0071703D"/>
    <w:rsid w:val="00717194"/>
    <w:rsid w:val="007171D3"/>
    <w:rsid w:val="007171EE"/>
    <w:rsid w:val="00717263"/>
    <w:rsid w:val="0071747B"/>
    <w:rsid w:val="0071754B"/>
    <w:rsid w:val="00717553"/>
    <w:rsid w:val="007175D3"/>
    <w:rsid w:val="00717702"/>
    <w:rsid w:val="007177DA"/>
    <w:rsid w:val="007179D4"/>
    <w:rsid w:val="007179F2"/>
    <w:rsid w:val="00717AEA"/>
    <w:rsid w:val="00717B84"/>
    <w:rsid w:val="00717BE4"/>
    <w:rsid w:val="00717C53"/>
    <w:rsid w:val="00717C99"/>
    <w:rsid w:val="00717D4E"/>
    <w:rsid w:val="00717F7E"/>
    <w:rsid w:val="00717FA1"/>
    <w:rsid w:val="00720007"/>
    <w:rsid w:val="0072006F"/>
    <w:rsid w:val="00720083"/>
    <w:rsid w:val="007200B2"/>
    <w:rsid w:val="007200D3"/>
    <w:rsid w:val="007201E9"/>
    <w:rsid w:val="007201F4"/>
    <w:rsid w:val="0072020B"/>
    <w:rsid w:val="0072036B"/>
    <w:rsid w:val="007203D3"/>
    <w:rsid w:val="007203DF"/>
    <w:rsid w:val="00720419"/>
    <w:rsid w:val="007204BB"/>
    <w:rsid w:val="00720552"/>
    <w:rsid w:val="007205B1"/>
    <w:rsid w:val="007205F3"/>
    <w:rsid w:val="00720653"/>
    <w:rsid w:val="00720779"/>
    <w:rsid w:val="007208D0"/>
    <w:rsid w:val="00720ACA"/>
    <w:rsid w:val="00720B72"/>
    <w:rsid w:val="00720BB1"/>
    <w:rsid w:val="00720D7B"/>
    <w:rsid w:val="00720DBC"/>
    <w:rsid w:val="00720FA3"/>
    <w:rsid w:val="007210D8"/>
    <w:rsid w:val="007211CF"/>
    <w:rsid w:val="007213FD"/>
    <w:rsid w:val="0072148F"/>
    <w:rsid w:val="0072152D"/>
    <w:rsid w:val="0072157B"/>
    <w:rsid w:val="0072163E"/>
    <w:rsid w:val="007216FB"/>
    <w:rsid w:val="00721720"/>
    <w:rsid w:val="0072182F"/>
    <w:rsid w:val="00721833"/>
    <w:rsid w:val="00721914"/>
    <w:rsid w:val="007219CB"/>
    <w:rsid w:val="00721B7C"/>
    <w:rsid w:val="00721C68"/>
    <w:rsid w:val="00721E23"/>
    <w:rsid w:val="00721FDC"/>
    <w:rsid w:val="00722093"/>
    <w:rsid w:val="0072209E"/>
    <w:rsid w:val="007220B7"/>
    <w:rsid w:val="00722169"/>
    <w:rsid w:val="00722261"/>
    <w:rsid w:val="00722296"/>
    <w:rsid w:val="007222BB"/>
    <w:rsid w:val="00722461"/>
    <w:rsid w:val="0072261E"/>
    <w:rsid w:val="007226C4"/>
    <w:rsid w:val="007228A7"/>
    <w:rsid w:val="007228E2"/>
    <w:rsid w:val="00722900"/>
    <w:rsid w:val="007229D7"/>
    <w:rsid w:val="00722AB8"/>
    <w:rsid w:val="00722EFC"/>
    <w:rsid w:val="00722F01"/>
    <w:rsid w:val="00722F37"/>
    <w:rsid w:val="00723030"/>
    <w:rsid w:val="007230BE"/>
    <w:rsid w:val="0072310A"/>
    <w:rsid w:val="0072314F"/>
    <w:rsid w:val="00723199"/>
    <w:rsid w:val="007232F5"/>
    <w:rsid w:val="00723510"/>
    <w:rsid w:val="007236EA"/>
    <w:rsid w:val="0072383E"/>
    <w:rsid w:val="00723973"/>
    <w:rsid w:val="00723994"/>
    <w:rsid w:val="00723A01"/>
    <w:rsid w:val="00723AA1"/>
    <w:rsid w:val="00723B7F"/>
    <w:rsid w:val="00723BCA"/>
    <w:rsid w:val="00723C2D"/>
    <w:rsid w:val="00723D23"/>
    <w:rsid w:val="00723DC5"/>
    <w:rsid w:val="00723ECD"/>
    <w:rsid w:val="00723EDF"/>
    <w:rsid w:val="00724000"/>
    <w:rsid w:val="00724068"/>
    <w:rsid w:val="00724104"/>
    <w:rsid w:val="007241BF"/>
    <w:rsid w:val="00724295"/>
    <w:rsid w:val="007243A1"/>
    <w:rsid w:val="00724473"/>
    <w:rsid w:val="007244F8"/>
    <w:rsid w:val="00724538"/>
    <w:rsid w:val="0072454B"/>
    <w:rsid w:val="007246A7"/>
    <w:rsid w:val="007246E5"/>
    <w:rsid w:val="007247EA"/>
    <w:rsid w:val="00724807"/>
    <w:rsid w:val="007248DA"/>
    <w:rsid w:val="0072493B"/>
    <w:rsid w:val="00724B5F"/>
    <w:rsid w:val="00724C3A"/>
    <w:rsid w:val="00724C4E"/>
    <w:rsid w:val="00724C98"/>
    <w:rsid w:val="00724D8B"/>
    <w:rsid w:val="00724DC7"/>
    <w:rsid w:val="00724DFD"/>
    <w:rsid w:val="00724E4D"/>
    <w:rsid w:val="00724EAE"/>
    <w:rsid w:val="00724F1F"/>
    <w:rsid w:val="00724F2A"/>
    <w:rsid w:val="0072511C"/>
    <w:rsid w:val="0072515E"/>
    <w:rsid w:val="00725241"/>
    <w:rsid w:val="00725430"/>
    <w:rsid w:val="00725490"/>
    <w:rsid w:val="007255B1"/>
    <w:rsid w:val="0072565E"/>
    <w:rsid w:val="007256DF"/>
    <w:rsid w:val="007257D1"/>
    <w:rsid w:val="00725826"/>
    <w:rsid w:val="00725832"/>
    <w:rsid w:val="00725837"/>
    <w:rsid w:val="007259E0"/>
    <w:rsid w:val="00725A61"/>
    <w:rsid w:val="00725B60"/>
    <w:rsid w:val="00725C10"/>
    <w:rsid w:val="00725D9E"/>
    <w:rsid w:val="00725EAC"/>
    <w:rsid w:val="00725EC6"/>
    <w:rsid w:val="0072600F"/>
    <w:rsid w:val="007260AA"/>
    <w:rsid w:val="007261E7"/>
    <w:rsid w:val="0072626A"/>
    <w:rsid w:val="0072632A"/>
    <w:rsid w:val="007263BF"/>
    <w:rsid w:val="00726420"/>
    <w:rsid w:val="007264C0"/>
    <w:rsid w:val="00726518"/>
    <w:rsid w:val="00726625"/>
    <w:rsid w:val="0072672C"/>
    <w:rsid w:val="007267F5"/>
    <w:rsid w:val="007267FF"/>
    <w:rsid w:val="00726840"/>
    <w:rsid w:val="00726926"/>
    <w:rsid w:val="00726A49"/>
    <w:rsid w:val="00726A58"/>
    <w:rsid w:val="00726A85"/>
    <w:rsid w:val="00726AB0"/>
    <w:rsid w:val="00726C53"/>
    <w:rsid w:val="00726D1F"/>
    <w:rsid w:val="00726FFA"/>
    <w:rsid w:val="00727013"/>
    <w:rsid w:val="007270BC"/>
    <w:rsid w:val="00727113"/>
    <w:rsid w:val="00727177"/>
    <w:rsid w:val="0072719B"/>
    <w:rsid w:val="00727380"/>
    <w:rsid w:val="007273A6"/>
    <w:rsid w:val="007273FC"/>
    <w:rsid w:val="007274BE"/>
    <w:rsid w:val="007274EA"/>
    <w:rsid w:val="00727580"/>
    <w:rsid w:val="007277D5"/>
    <w:rsid w:val="007277F0"/>
    <w:rsid w:val="0072786A"/>
    <w:rsid w:val="00727A91"/>
    <w:rsid w:val="00727BCA"/>
    <w:rsid w:val="00727C7F"/>
    <w:rsid w:val="00727F18"/>
    <w:rsid w:val="00727FB0"/>
    <w:rsid w:val="00727FDE"/>
    <w:rsid w:val="00730121"/>
    <w:rsid w:val="0073014B"/>
    <w:rsid w:val="007301B5"/>
    <w:rsid w:val="0073025E"/>
    <w:rsid w:val="00730261"/>
    <w:rsid w:val="00730263"/>
    <w:rsid w:val="007302CB"/>
    <w:rsid w:val="0073030D"/>
    <w:rsid w:val="00730380"/>
    <w:rsid w:val="0073039D"/>
    <w:rsid w:val="00730451"/>
    <w:rsid w:val="0073055D"/>
    <w:rsid w:val="007305DC"/>
    <w:rsid w:val="00730601"/>
    <w:rsid w:val="0073077D"/>
    <w:rsid w:val="007307B8"/>
    <w:rsid w:val="00730972"/>
    <w:rsid w:val="00730976"/>
    <w:rsid w:val="00730ADA"/>
    <w:rsid w:val="00730C61"/>
    <w:rsid w:val="00730C67"/>
    <w:rsid w:val="00730CDF"/>
    <w:rsid w:val="00730DC2"/>
    <w:rsid w:val="00730E8D"/>
    <w:rsid w:val="00730FCB"/>
    <w:rsid w:val="00731152"/>
    <w:rsid w:val="007311AD"/>
    <w:rsid w:val="00731206"/>
    <w:rsid w:val="0073133A"/>
    <w:rsid w:val="00731413"/>
    <w:rsid w:val="007314B8"/>
    <w:rsid w:val="00731654"/>
    <w:rsid w:val="00731664"/>
    <w:rsid w:val="00731669"/>
    <w:rsid w:val="00731766"/>
    <w:rsid w:val="0073191E"/>
    <w:rsid w:val="007319DF"/>
    <w:rsid w:val="00731DE5"/>
    <w:rsid w:val="00731E89"/>
    <w:rsid w:val="00731E90"/>
    <w:rsid w:val="00731F0B"/>
    <w:rsid w:val="0073200F"/>
    <w:rsid w:val="007321A8"/>
    <w:rsid w:val="00732200"/>
    <w:rsid w:val="0073220C"/>
    <w:rsid w:val="00732342"/>
    <w:rsid w:val="00732412"/>
    <w:rsid w:val="00732645"/>
    <w:rsid w:val="007329F4"/>
    <w:rsid w:val="00732A05"/>
    <w:rsid w:val="00732A4A"/>
    <w:rsid w:val="00732AC0"/>
    <w:rsid w:val="00732B0A"/>
    <w:rsid w:val="00732B98"/>
    <w:rsid w:val="00732BE9"/>
    <w:rsid w:val="00732BF5"/>
    <w:rsid w:val="00732C85"/>
    <w:rsid w:val="00732CB9"/>
    <w:rsid w:val="00732DFE"/>
    <w:rsid w:val="00732E96"/>
    <w:rsid w:val="00732F85"/>
    <w:rsid w:val="007331B2"/>
    <w:rsid w:val="007331CC"/>
    <w:rsid w:val="0073340E"/>
    <w:rsid w:val="007334C6"/>
    <w:rsid w:val="007336E3"/>
    <w:rsid w:val="0073384F"/>
    <w:rsid w:val="00733869"/>
    <w:rsid w:val="00733907"/>
    <w:rsid w:val="00733A7F"/>
    <w:rsid w:val="00733BAB"/>
    <w:rsid w:val="00733C9C"/>
    <w:rsid w:val="00733D51"/>
    <w:rsid w:val="00733D99"/>
    <w:rsid w:val="00733DAF"/>
    <w:rsid w:val="00733E29"/>
    <w:rsid w:val="00733EDB"/>
    <w:rsid w:val="00733EF1"/>
    <w:rsid w:val="007341A4"/>
    <w:rsid w:val="00734469"/>
    <w:rsid w:val="007345AD"/>
    <w:rsid w:val="007346C0"/>
    <w:rsid w:val="0073479E"/>
    <w:rsid w:val="00734951"/>
    <w:rsid w:val="0073495C"/>
    <w:rsid w:val="00734A46"/>
    <w:rsid w:val="00734AEC"/>
    <w:rsid w:val="00734BA5"/>
    <w:rsid w:val="00734CBB"/>
    <w:rsid w:val="00734CF0"/>
    <w:rsid w:val="00734D4B"/>
    <w:rsid w:val="00734D66"/>
    <w:rsid w:val="00735057"/>
    <w:rsid w:val="00735070"/>
    <w:rsid w:val="007350B2"/>
    <w:rsid w:val="00735262"/>
    <w:rsid w:val="007352CA"/>
    <w:rsid w:val="00735558"/>
    <w:rsid w:val="007355FD"/>
    <w:rsid w:val="00735647"/>
    <w:rsid w:val="00735666"/>
    <w:rsid w:val="007356C2"/>
    <w:rsid w:val="007356D2"/>
    <w:rsid w:val="00735770"/>
    <w:rsid w:val="00735844"/>
    <w:rsid w:val="00735C85"/>
    <w:rsid w:val="00735CA9"/>
    <w:rsid w:val="007360AB"/>
    <w:rsid w:val="007360C5"/>
    <w:rsid w:val="007360F0"/>
    <w:rsid w:val="0073611F"/>
    <w:rsid w:val="007361DB"/>
    <w:rsid w:val="007362D6"/>
    <w:rsid w:val="007362F3"/>
    <w:rsid w:val="00736349"/>
    <w:rsid w:val="007363DF"/>
    <w:rsid w:val="00736409"/>
    <w:rsid w:val="00736529"/>
    <w:rsid w:val="00736543"/>
    <w:rsid w:val="007365E3"/>
    <w:rsid w:val="0073667F"/>
    <w:rsid w:val="007366A9"/>
    <w:rsid w:val="0073676F"/>
    <w:rsid w:val="00736791"/>
    <w:rsid w:val="0073684C"/>
    <w:rsid w:val="0073685A"/>
    <w:rsid w:val="007368A5"/>
    <w:rsid w:val="00736A7A"/>
    <w:rsid w:val="00736A9A"/>
    <w:rsid w:val="00736CE5"/>
    <w:rsid w:val="00736D67"/>
    <w:rsid w:val="00736E00"/>
    <w:rsid w:val="00736F51"/>
    <w:rsid w:val="00736F73"/>
    <w:rsid w:val="00736FEC"/>
    <w:rsid w:val="0073704A"/>
    <w:rsid w:val="00737050"/>
    <w:rsid w:val="007371A2"/>
    <w:rsid w:val="00737213"/>
    <w:rsid w:val="00737281"/>
    <w:rsid w:val="007373A2"/>
    <w:rsid w:val="00737535"/>
    <w:rsid w:val="007375A9"/>
    <w:rsid w:val="00737873"/>
    <w:rsid w:val="00737879"/>
    <w:rsid w:val="00737978"/>
    <w:rsid w:val="007379B5"/>
    <w:rsid w:val="007379DE"/>
    <w:rsid w:val="00737A88"/>
    <w:rsid w:val="00737C2B"/>
    <w:rsid w:val="00737C62"/>
    <w:rsid w:val="00737CC2"/>
    <w:rsid w:val="00737D62"/>
    <w:rsid w:val="00737E2F"/>
    <w:rsid w:val="00737E39"/>
    <w:rsid w:val="00737EE1"/>
    <w:rsid w:val="00737FE5"/>
    <w:rsid w:val="0073BD79"/>
    <w:rsid w:val="00740016"/>
    <w:rsid w:val="00740059"/>
    <w:rsid w:val="007401DB"/>
    <w:rsid w:val="00740214"/>
    <w:rsid w:val="007402BF"/>
    <w:rsid w:val="007402E6"/>
    <w:rsid w:val="00740364"/>
    <w:rsid w:val="00740380"/>
    <w:rsid w:val="007403B7"/>
    <w:rsid w:val="00740427"/>
    <w:rsid w:val="00740430"/>
    <w:rsid w:val="0074048C"/>
    <w:rsid w:val="00740545"/>
    <w:rsid w:val="0074058F"/>
    <w:rsid w:val="007405EC"/>
    <w:rsid w:val="007408BD"/>
    <w:rsid w:val="007408FE"/>
    <w:rsid w:val="0074099F"/>
    <w:rsid w:val="00740A4F"/>
    <w:rsid w:val="00740B4A"/>
    <w:rsid w:val="00740C24"/>
    <w:rsid w:val="00740C58"/>
    <w:rsid w:val="00740D1E"/>
    <w:rsid w:val="00740D99"/>
    <w:rsid w:val="00740E97"/>
    <w:rsid w:val="00741046"/>
    <w:rsid w:val="00741093"/>
    <w:rsid w:val="00741144"/>
    <w:rsid w:val="007411E0"/>
    <w:rsid w:val="00741225"/>
    <w:rsid w:val="0074123E"/>
    <w:rsid w:val="0074136B"/>
    <w:rsid w:val="007414EE"/>
    <w:rsid w:val="007416DC"/>
    <w:rsid w:val="007417F2"/>
    <w:rsid w:val="00741805"/>
    <w:rsid w:val="00741928"/>
    <w:rsid w:val="00741A27"/>
    <w:rsid w:val="00741AE6"/>
    <w:rsid w:val="00741BD7"/>
    <w:rsid w:val="00741D8C"/>
    <w:rsid w:val="00741DC5"/>
    <w:rsid w:val="00741DFF"/>
    <w:rsid w:val="00741E07"/>
    <w:rsid w:val="00742126"/>
    <w:rsid w:val="00742316"/>
    <w:rsid w:val="00742377"/>
    <w:rsid w:val="0074247E"/>
    <w:rsid w:val="007425A6"/>
    <w:rsid w:val="00742628"/>
    <w:rsid w:val="0074262F"/>
    <w:rsid w:val="007426F8"/>
    <w:rsid w:val="00742797"/>
    <w:rsid w:val="0074288F"/>
    <w:rsid w:val="00742A3F"/>
    <w:rsid w:val="00742AED"/>
    <w:rsid w:val="00742C12"/>
    <w:rsid w:val="00742C35"/>
    <w:rsid w:val="00742C39"/>
    <w:rsid w:val="00742D22"/>
    <w:rsid w:val="00742D7A"/>
    <w:rsid w:val="00742D7E"/>
    <w:rsid w:val="00742DAD"/>
    <w:rsid w:val="00742E88"/>
    <w:rsid w:val="0074300D"/>
    <w:rsid w:val="00743043"/>
    <w:rsid w:val="00743096"/>
    <w:rsid w:val="007430DE"/>
    <w:rsid w:val="007431E4"/>
    <w:rsid w:val="00743278"/>
    <w:rsid w:val="0074328F"/>
    <w:rsid w:val="0074344F"/>
    <w:rsid w:val="007434AD"/>
    <w:rsid w:val="0074390E"/>
    <w:rsid w:val="00743942"/>
    <w:rsid w:val="00743972"/>
    <w:rsid w:val="007439BF"/>
    <w:rsid w:val="00743AB5"/>
    <w:rsid w:val="00743AE7"/>
    <w:rsid w:val="00743D19"/>
    <w:rsid w:val="00743E79"/>
    <w:rsid w:val="00743F7D"/>
    <w:rsid w:val="00744552"/>
    <w:rsid w:val="00744669"/>
    <w:rsid w:val="007446BF"/>
    <w:rsid w:val="00744707"/>
    <w:rsid w:val="00744727"/>
    <w:rsid w:val="007447C9"/>
    <w:rsid w:val="00744856"/>
    <w:rsid w:val="00744879"/>
    <w:rsid w:val="007448B2"/>
    <w:rsid w:val="007448D9"/>
    <w:rsid w:val="007448F2"/>
    <w:rsid w:val="00744A3E"/>
    <w:rsid w:val="00744BB5"/>
    <w:rsid w:val="00744BCF"/>
    <w:rsid w:val="00744BEC"/>
    <w:rsid w:val="00744C08"/>
    <w:rsid w:val="00744C0A"/>
    <w:rsid w:val="00744C15"/>
    <w:rsid w:val="00744D1C"/>
    <w:rsid w:val="00744D75"/>
    <w:rsid w:val="00744DCE"/>
    <w:rsid w:val="00744E1C"/>
    <w:rsid w:val="00744E7D"/>
    <w:rsid w:val="00744E80"/>
    <w:rsid w:val="00744F0F"/>
    <w:rsid w:val="00744F61"/>
    <w:rsid w:val="00745155"/>
    <w:rsid w:val="00745175"/>
    <w:rsid w:val="007451AA"/>
    <w:rsid w:val="00745281"/>
    <w:rsid w:val="007452B2"/>
    <w:rsid w:val="007452C8"/>
    <w:rsid w:val="00745468"/>
    <w:rsid w:val="00745506"/>
    <w:rsid w:val="0074565E"/>
    <w:rsid w:val="00745887"/>
    <w:rsid w:val="0074593E"/>
    <w:rsid w:val="0074594E"/>
    <w:rsid w:val="00745A75"/>
    <w:rsid w:val="00745B8C"/>
    <w:rsid w:val="00745C02"/>
    <w:rsid w:val="00745C44"/>
    <w:rsid w:val="00745E47"/>
    <w:rsid w:val="00745E80"/>
    <w:rsid w:val="00745ECF"/>
    <w:rsid w:val="00746035"/>
    <w:rsid w:val="0074604D"/>
    <w:rsid w:val="007460E5"/>
    <w:rsid w:val="00746172"/>
    <w:rsid w:val="007461C9"/>
    <w:rsid w:val="007463C6"/>
    <w:rsid w:val="0074641F"/>
    <w:rsid w:val="007465B0"/>
    <w:rsid w:val="007465F3"/>
    <w:rsid w:val="007465FD"/>
    <w:rsid w:val="00746611"/>
    <w:rsid w:val="0074667F"/>
    <w:rsid w:val="00746716"/>
    <w:rsid w:val="00746732"/>
    <w:rsid w:val="0074692C"/>
    <w:rsid w:val="00746959"/>
    <w:rsid w:val="00746A4D"/>
    <w:rsid w:val="00746B0E"/>
    <w:rsid w:val="00746B2F"/>
    <w:rsid w:val="00746BE3"/>
    <w:rsid w:val="00746D5F"/>
    <w:rsid w:val="00746D8E"/>
    <w:rsid w:val="00746F72"/>
    <w:rsid w:val="007470F1"/>
    <w:rsid w:val="00747150"/>
    <w:rsid w:val="0074718A"/>
    <w:rsid w:val="00747242"/>
    <w:rsid w:val="007472F5"/>
    <w:rsid w:val="007474C6"/>
    <w:rsid w:val="00747624"/>
    <w:rsid w:val="00747780"/>
    <w:rsid w:val="007477AC"/>
    <w:rsid w:val="00747970"/>
    <w:rsid w:val="007479F4"/>
    <w:rsid w:val="00747A97"/>
    <w:rsid w:val="00747C08"/>
    <w:rsid w:val="00747C8B"/>
    <w:rsid w:val="00747CC5"/>
    <w:rsid w:val="00747D08"/>
    <w:rsid w:val="00747E12"/>
    <w:rsid w:val="00747ED1"/>
    <w:rsid w:val="00750044"/>
    <w:rsid w:val="0075022A"/>
    <w:rsid w:val="007502B6"/>
    <w:rsid w:val="00750452"/>
    <w:rsid w:val="00750560"/>
    <w:rsid w:val="007505CC"/>
    <w:rsid w:val="0075066F"/>
    <w:rsid w:val="007507CD"/>
    <w:rsid w:val="00750832"/>
    <w:rsid w:val="007508DF"/>
    <w:rsid w:val="00750A22"/>
    <w:rsid w:val="00750A48"/>
    <w:rsid w:val="00750A4A"/>
    <w:rsid w:val="00750A8A"/>
    <w:rsid w:val="00750B9F"/>
    <w:rsid w:val="00750BF4"/>
    <w:rsid w:val="00750C08"/>
    <w:rsid w:val="00750C39"/>
    <w:rsid w:val="00751041"/>
    <w:rsid w:val="00751098"/>
    <w:rsid w:val="007510AD"/>
    <w:rsid w:val="00751264"/>
    <w:rsid w:val="00751525"/>
    <w:rsid w:val="00751580"/>
    <w:rsid w:val="007515ED"/>
    <w:rsid w:val="0075173C"/>
    <w:rsid w:val="00751897"/>
    <w:rsid w:val="00751967"/>
    <w:rsid w:val="00751998"/>
    <w:rsid w:val="00751B15"/>
    <w:rsid w:val="00751BD2"/>
    <w:rsid w:val="00751D4D"/>
    <w:rsid w:val="00751DB9"/>
    <w:rsid w:val="00751F96"/>
    <w:rsid w:val="00751FC6"/>
    <w:rsid w:val="00752196"/>
    <w:rsid w:val="00752212"/>
    <w:rsid w:val="00752309"/>
    <w:rsid w:val="00752330"/>
    <w:rsid w:val="00752368"/>
    <w:rsid w:val="007525FC"/>
    <w:rsid w:val="00752668"/>
    <w:rsid w:val="0075271A"/>
    <w:rsid w:val="00752732"/>
    <w:rsid w:val="00752763"/>
    <w:rsid w:val="00752778"/>
    <w:rsid w:val="00752833"/>
    <w:rsid w:val="00752867"/>
    <w:rsid w:val="0075288E"/>
    <w:rsid w:val="007528CD"/>
    <w:rsid w:val="00752940"/>
    <w:rsid w:val="00752A71"/>
    <w:rsid w:val="00752AF4"/>
    <w:rsid w:val="00752AFB"/>
    <w:rsid w:val="00752BB2"/>
    <w:rsid w:val="00752CD3"/>
    <w:rsid w:val="00752D11"/>
    <w:rsid w:val="00752D8B"/>
    <w:rsid w:val="00752E58"/>
    <w:rsid w:val="00752FF1"/>
    <w:rsid w:val="00753061"/>
    <w:rsid w:val="007532DD"/>
    <w:rsid w:val="00753367"/>
    <w:rsid w:val="007533FD"/>
    <w:rsid w:val="00753520"/>
    <w:rsid w:val="00753532"/>
    <w:rsid w:val="0075353F"/>
    <w:rsid w:val="007535D1"/>
    <w:rsid w:val="00753678"/>
    <w:rsid w:val="007536DB"/>
    <w:rsid w:val="00753881"/>
    <w:rsid w:val="0075397C"/>
    <w:rsid w:val="00753B4E"/>
    <w:rsid w:val="00753C0A"/>
    <w:rsid w:val="00753E2B"/>
    <w:rsid w:val="00753E2E"/>
    <w:rsid w:val="00753F13"/>
    <w:rsid w:val="00753F25"/>
    <w:rsid w:val="00753FC6"/>
    <w:rsid w:val="007540C3"/>
    <w:rsid w:val="00754112"/>
    <w:rsid w:val="007541D9"/>
    <w:rsid w:val="007541E2"/>
    <w:rsid w:val="00754219"/>
    <w:rsid w:val="00754251"/>
    <w:rsid w:val="0075426A"/>
    <w:rsid w:val="00754347"/>
    <w:rsid w:val="00754517"/>
    <w:rsid w:val="0075455A"/>
    <w:rsid w:val="0075456F"/>
    <w:rsid w:val="007545B3"/>
    <w:rsid w:val="0075463D"/>
    <w:rsid w:val="0075464C"/>
    <w:rsid w:val="00754735"/>
    <w:rsid w:val="007547E1"/>
    <w:rsid w:val="007547E7"/>
    <w:rsid w:val="007548AF"/>
    <w:rsid w:val="00754993"/>
    <w:rsid w:val="007549DF"/>
    <w:rsid w:val="00754BEE"/>
    <w:rsid w:val="00754C3E"/>
    <w:rsid w:val="00754C87"/>
    <w:rsid w:val="00754CAC"/>
    <w:rsid w:val="00754DEB"/>
    <w:rsid w:val="00754EC0"/>
    <w:rsid w:val="00754EF1"/>
    <w:rsid w:val="00754F8B"/>
    <w:rsid w:val="00755067"/>
    <w:rsid w:val="00755130"/>
    <w:rsid w:val="0075521F"/>
    <w:rsid w:val="007552DC"/>
    <w:rsid w:val="00755363"/>
    <w:rsid w:val="007553F8"/>
    <w:rsid w:val="007555BA"/>
    <w:rsid w:val="00755702"/>
    <w:rsid w:val="007558E9"/>
    <w:rsid w:val="00755939"/>
    <w:rsid w:val="00755B27"/>
    <w:rsid w:val="00755C2B"/>
    <w:rsid w:val="00755CB7"/>
    <w:rsid w:val="00755CDA"/>
    <w:rsid w:val="00755E01"/>
    <w:rsid w:val="00755E96"/>
    <w:rsid w:val="00755F19"/>
    <w:rsid w:val="00756017"/>
    <w:rsid w:val="0075612F"/>
    <w:rsid w:val="0075619E"/>
    <w:rsid w:val="007561CC"/>
    <w:rsid w:val="00756274"/>
    <w:rsid w:val="007562E5"/>
    <w:rsid w:val="00756382"/>
    <w:rsid w:val="00756472"/>
    <w:rsid w:val="007564AF"/>
    <w:rsid w:val="0075657A"/>
    <w:rsid w:val="007565BD"/>
    <w:rsid w:val="007565D2"/>
    <w:rsid w:val="00756608"/>
    <w:rsid w:val="00756626"/>
    <w:rsid w:val="00756628"/>
    <w:rsid w:val="00756651"/>
    <w:rsid w:val="0075670B"/>
    <w:rsid w:val="0075673A"/>
    <w:rsid w:val="00756743"/>
    <w:rsid w:val="00756747"/>
    <w:rsid w:val="0075675D"/>
    <w:rsid w:val="00756773"/>
    <w:rsid w:val="00756795"/>
    <w:rsid w:val="007567C3"/>
    <w:rsid w:val="00756809"/>
    <w:rsid w:val="00756892"/>
    <w:rsid w:val="00756951"/>
    <w:rsid w:val="00756986"/>
    <w:rsid w:val="00756AB7"/>
    <w:rsid w:val="00756AF4"/>
    <w:rsid w:val="00756B1E"/>
    <w:rsid w:val="00756B65"/>
    <w:rsid w:val="00756C50"/>
    <w:rsid w:val="00756CC6"/>
    <w:rsid w:val="00756D4B"/>
    <w:rsid w:val="00756E54"/>
    <w:rsid w:val="00756EEA"/>
    <w:rsid w:val="00756F10"/>
    <w:rsid w:val="0075700E"/>
    <w:rsid w:val="007570AD"/>
    <w:rsid w:val="00757195"/>
    <w:rsid w:val="007572AD"/>
    <w:rsid w:val="00757366"/>
    <w:rsid w:val="0075746C"/>
    <w:rsid w:val="0075749C"/>
    <w:rsid w:val="007575DF"/>
    <w:rsid w:val="0075760D"/>
    <w:rsid w:val="007576BD"/>
    <w:rsid w:val="007576C4"/>
    <w:rsid w:val="007576D5"/>
    <w:rsid w:val="00757810"/>
    <w:rsid w:val="00757836"/>
    <w:rsid w:val="007578A1"/>
    <w:rsid w:val="0075792A"/>
    <w:rsid w:val="0075799A"/>
    <w:rsid w:val="00757A05"/>
    <w:rsid w:val="00757A25"/>
    <w:rsid w:val="00757B32"/>
    <w:rsid w:val="00757C22"/>
    <w:rsid w:val="00757DC8"/>
    <w:rsid w:val="00757E28"/>
    <w:rsid w:val="00757FBD"/>
    <w:rsid w:val="00760117"/>
    <w:rsid w:val="007603C9"/>
    <w:rsid w:val="007604FF"/>
    <w:rsid w:val="00760537"/>
    <w:rsid w:val="0076063D"/>
    <w:rsid w:val="0076097A"/>
    <w:rsid w:val="00760A6A"/>
    <w:rsid w:val="00760C8F"/>
    <w:rsid w:val="00760D75"/>
    <w:rsid w:val="00760E03"/>
    <w:rsid w:val="00761050"/>
    <w:rsid w:val="0076107B"/>
    <w:rsid w:val="0076109A"/>
    <w:rsid w:val="007611A8"/>
    <w:rsid w:val="00761423"/>
    <w:rsid w:val="0076142C"/>
    <w:rsid w:val="007614E1"/>
    <w:rsid w:val="00761557"/>
    <w:rsid w:val="00761601"/>
    <w:rsid w:val="00761752"/>
    <w:rsid w:val="00761818"/>
    <w:rsid w:val="00761900"/>
    <w:rsid w:val="00761919"/>
    <w:rsid w:val="007619BB"/>
    <w:rsid w:val="00761B81"/>
    <w:rsid w:val="00761E0A"/>
    <w:rsid w:val="00761F6C"/>
    <w:rsid w:val="00761F6D"/>
    <w:rsid w:val="00762025"/>
    <w:rsid w:val="0076207C"/>
    <w:rsid w:val="0076208F"/>
    <w:rsid w:val="0076215A"/>
    <w:rsid w:val="00762177"/>
    <w:rsid w:val="007621D4"/>
    <w:rsid w:val="00762220"/>
    <w:rsid w:val="0076230C"/>
    <w:rsid w:val="007623B1"/>
    <w:rsid w:val="007623C4"/>
    <w:rsid w:val="007625C7"/>
    <w:rsid w:val="00762681"/>
    <w:rsid w:val="007626DC"/>
    <w:rsid w:val="0076276F"/>
    <w:rsid w:val="007627BB"/>
    <w:rsid w:val="0076281D"/>
    <w:rsid w:val="00762872"/>
    <w:rsid w:val="007629B4"/>
    <w:rsid w:val="00762A5F"/>
    <w:rsid w:val="00762B26"/>
    <w:rsid w:val="00762B75"/>
    <w:rsid w:val="00762B90"/>
    <w:rsid w:val="00762BB6"/>
    <w:rsid w:val="00762BDE"/>
    <w:rsid w:val="00762C5C"/>
    <w:rsid w:val="00762C69"/>
    <w:rsid w:val="00762CD6"/>
    <w:rsid w:val="00762DAF"/>
    <w:rsid w:val="00762E34"/>
    <w:rsid w:val="00762E4C"/>
    <w:rsid w:val="00762E4E"/>
    <w:rsid w:val="00762E6A"/>
    <w:rsid w:val="00762ED6"/>
    <w:rsid w:val="00762FAB"/>
    <w:rsid w:val="00762FAE"/>
    <w:rsid w:val="00762FBC"/>
    <w:rsid w:val="00762FCC"/>
    <w:rsid w:val="00763087"/>
    <w:rsid w:val="0076315C"/>
    <w:rsid w:val="00763194"/>
    <w:rsid w:val="007632B1"/>
    <w:rsid w:val="007632BC"/>
    <w:rsid w:val="007632C0"/>
    <w:rsid w:val="007632C5"/>
    <w:rsid w:val="007632FD"/>
    <w:rsid w:val="00763410"/>
    <w:rsid w:val="00763468"/>
    <w:rsid w:val="00763503"/>
    <w:rsid w:val="0076350C"/>
    <w:rsid w:val="00763750"/>
    <w:rsid w:val="00763852"/>
    <w:rsid w:val="0076391E"/>
    <w:rsid w:val="00763C3C"/>
    <w:rsid w:val="00763CF0"/>
    <w:rsid w:val="00763E44"/>
    <w:rsid w:val="00763F51"/>
    <w:rsid w:val="00763FA4"/>
    <w:rsid w:val="007640A6"/>
    <w:rsid w:val="00764110"/>
    <w:rsid w:val="00764247"/>
    <w:rsid w:val="00764414"/>
    <w:rsid w:val="007644E2"/>
    <w:rsid w:val="00764509"/>
    <w:rsid w:val="0076455B"/>
    <w:rsid w:val="007646A4"/>
    <w:rsid w:val="0076491D"/>
    <w:rsid w:val="00764A0F"/>
    <w:rsid w:val="00764B22"/>
    <w:rsid w:val="00764BCE"/>
    <w:rsid w:val="00764F6D"/>
    <w:rsid w:val="00764FB4"/>
    <w:rsid w:val="00764FC8"/>
    <w:rsid w:val="00764FCE"/>
    <w:rsid w:val="00765024"/>
    <w:rsid w:val="0076502A"/>
    <w:rsid w:val="00765061"/>
    <w:rsid w:val="00765202"/>
    <w:rsid w:val="00765358"/>
    <w:rsid w:val="007653FB"/>
    <w:rsid w:val="00765447"/>
    <w:rsid w:val="00765516"/>
    <w:rsid w:val="00765529"/>
    <w:rsid w:val="0076564D"/>
    <w:rsid w:val="00765689"/>
    <w:rsid w:val="00765820"/>
    <w:rsid w:val="00765977"/>
    <w:rsid w:val="00765A90"/>
    <w:rsid w:val="00765C83"/>
    <w:rsid w:val="00765D01"/>
    <w:rsid w:val="00765F68"/>
    <w:rsid w:val="00766232"/>
    <w:rsid w:val="0076628A"/>
    <w:rsid w:val="00766404"/>
    <w:rsid w:val="00766414"/>
    <w:rsid w:val="00766440"/>
    <w:rsid w:val="00766533"/>
    <w:rsid w:val="0076657C"/>
    <w:rsid w:val="00766587"/>
    <w:rsid w:val="00766666"/>
    <w:rsid w:val="007666B3"/>
    <w:rsid w:val="0076670A"/>
    <w:rsid w:val="00766955"/>
    <w:rsid w:val="00766963"/>
    <w:rsid w:val="00766991"/>
    <w:rsid w:val="00766C1D"/>
    <w:rsid w:val="00766CCC"/>
    <w:rsid w:val="00766D1D"/>
    <w:rsid w:val="00766E73"/>
    <w:rsid w:val="00766FFD"/>
    <w:rsid w:val="00767096"/>
    <w:rsid w:val="00767315"/>
    <w:rsid w:val="00767321"/>
    <w:rsid w:val="0076738B"/>
    <w:rsid w:val="0076738F"/>
    <w:rsid w:val="0076795B"/>
    <w:rsid w:val="007679FC"/>
    <w:rsid w:val="00767A39"/>
    <w:rsid w:val="00767B2D"/>
    <w:rsid w:val="00767B56"/>
    <w:rsid w:val="00767B64"/>
    <w:rsid w:val="00767C39"/>
    <w:rsid w:val="00767C9D"/>
    <w:rsid w:val="00767D89"/>
    <w:rsid w:val="00767EC1"/>
    <w:rsid w:val="00767FA4"/>
    <w:rsid w:val="00767FCD"/>
    <w:rsid w:val="00770029"/>
    <w:rsid w:val="0077005E"/>
    <w:rsid w:val="007700AB"/>
    <w:rsid w:val="007700E7"/>
    <w:rsid w:val="00770148"/>
    <w:rsid w:val="007701D0"/>
    <w:rsid w:val="00770223"/>
    <w:rsid w:val="00770230"/>
    <w:rsid w:val="007702FF"/>
    <w:rsid w:val="007703C7"/>
    <w:rsid w:val="007704EF"/>
    <w:rsid w:val="00770544"/>
    <w:rsid w:val="0077065F"/>
    <w:rsid w:val="007707EE"/>
    <w:rsid w:val="0077080F"/>
    <w:rsid w:val="00770935"/>
    <w:rsid w:val="0077095D"/>
    <w:rsid w:val="00770999"/>
    <w:rsid w:val="007709A6"/>
    <w:rsid w:val="007709F1"/>
    <w:rsid w:val="00770A4D"/>
    <w:rsid w:val="00770C6E"/>
    <w:rsid w:val="00770D62"/>
    <w:rsid w:val="00770DD7"/>
    <w:rsid w:val="00770E22"/>
    <w:rsid w:val="00770E95"/>
    <w:rsid w:val="00770F09"/>
    <w:rsid w:val="0077106B"/>
    <w:rsid w:val="0077107C"/>
    <w:rsid w:val="0077126E"/>
    <w:rsid w:val="007713BC"/>
    <w:rsid w:val="007715AA"/>
    <w:rsid w:val="00771607"/>
    <w:rsid w:val="0077173D"/>
    <w:rsid w:val="00771880"/>
    <w:rsid w:val="00771893"/>
    <w:rsid w:val="007719A1"/>
    <w:rsid w:val="007719C9"/>
    <w:rsid w:val="00771AA0"/>
    <w:rsid w:val="00771BC4"/>
    <w:rsid w:val="00771C1E"/>
    <w:rsid w:val="00771CD1"/>
    <w:rsid w:val="00771E3B"/>
    <w:rsid w:val="00771E55"/>
    <w:rsid w:val="00771EC9"/>
    <w:rsid w:val="00771FCE"/>
    <w:rsid w:val="007720F4"/>
    <w:rsid w:val="00772186"/>
    <w:rsid w:val="007722C2"/>
    <w:rsid w:val="007722E3"/>
    <w:rsid w:val="00772522"/>
    <w:rsid w:val="007725AB"/>
    <w:rsid w:val="007725B3"/>
    <w:rsid w:val="007725F3"/>
    <w:rsid w:val="0077265A"/>
    <w:rsid w:val="007726B4"/>
    <w:rsid w:val="00772724"/>
    <w:rsid w:val="00772787"/>
    <w:rsid w:val="00772840"/>
    <w:rsid w:val="00772868"/>
    <w:rsid w:val="00772937"/>
    <w:rsid w:val="00772AAD"/>
    <w:rsid w:val="00772AE8"/>
    <w:rsid w:val="00772BB7"/>
    <w:rsid w:val="00772BC5"/>
    <w:rsid w:val="00772C33"/>
    <w:rsid w:val="00772C42"/>
    <w:rsid w:val="00772CAA"/>
    <w:rsid w:val="00772CB3"/>
    <w:rsid w:val="00772D78"/>
    <w:rsid w:val="00772E72"/>
    <w:rsid w:val="00772F08"/>
    <w:rsid w:val="0077307C"/>
    <w:rsid w:val="007730E9"/>
    <w:rsid w:val="0077315E"/>
    <w:rsid w:val="007731AF"/>
    <w:rsid w:val="007731E0"/>
    <w:rsid w:val="007734A3"/>
    <w:rsid w:val="00773578"/>
    <w:rsid w:val="00773596"/>
    <w:rsid w:val="00773605"/>
    <w:rsid w:val="0077361C"/>
    <w:rsid w:val="0077364F"/>
    <w:rsid w:val="0077397E"/>
    <w:rsid w:val="00773A19"/>
    <w:rsid w:val="00773BF2"/>
    <w:rsid w:val="00773C89"/>
    <w:rsid w:val="00773CE4"/>
    <w:rsid w:val="00773EA3"/>
    <w:rsid w:val="00773ECF"/>
    <w:rsid w:val="00773EDC"/>
    <w:rsid w:val="00773F32"/>
    <w:rsid w:val="0077411E"/>
    <w:rsid w:val="007741E2"/>
    <w:rsid w:val="0077430C"/>
    <w:rsid w:val="00774354"/>
    <w:rsid w:val="007743B0"/>
    <w:rsid w:val="007743E7"/>
    <w:rsid w:val="00774523"/>
    <w:rsid w:val="007745B6"/>
    <w:rsid w:val="00774607"/>
    <w:rsid w:val="00774640"/>
    <w:rsid w:val="0077464A"/>
    <w:rsid w:val="00774741"/>
    <w:rsid w:val="00774772"/>
    <w:rsid w:val="00774778"/>
    <w:rsid w:val="007747A3"/>
    <w:rsid w:val="007747A8"/>
    <w:rsid w:val="007748C9"/>
    <w:rsid w:val="007748E2"/>
    <w:rsid w:val="007749DB"/>
    <w:rsid w:val="00774A40"/>
    <w:rsid w:val="00774A6F"/>
    <w:rsid w:val="00774B56"/>
    <w:rsid w:val="00774CD8"/>
    <w:rsid w:val="00774E8C"/>
    <w:rsid w:val="00774FBA"/>
    <w:rsid w:val="00775083"/>
    <w:rsid w:val="007750FE"/>
    <w:rsid w:val="00775120"/>
    <w:rsid w:val="0077515D"/>
    <w:rsid w:val="00775296"/>
    <w:rsid w:val="007752FA"/>
    <w:rsid w:val="0077532A"/>
    <w:rsid w:val="0077533D"/>
    <w:rsid w:val="00775576"/>
    <w:rsid w:val="00775586"/>
    <w:rsid w:val="007755FB"/>
    <w:rsid w:val="00775608"/>
    <w:rsid w:val="0077562F"/>
    <w:rsid w:val="0077565B"/>
    <w:rsid w:val="007756BF"/>
    <w:rsid w:val="0077577C"/>
    <w:rsid w:val="007757B8"/>
    <w:rsid w:val="007757F2"/>
    <w:rsid w:val="00775896"/>
    <w:rsid w:val="0077597B"/>
    <w:rsid w:val="00775A91"/>
    <w:rsid w:val="00775B12"/>
    <w:rsid w:val="00775B58"/>
    <w:rsid w:val="00775BFF"/>
    <w:rsid w:val="00775D54"/>
    <w:rsid w:val="00775E36"/>
    <w:rsid w:val="00775EE4"/>
    <w:rsid w:val="00775EE6"/>
    <w:rsid w:val="00775F07"/>
    <w:rsid w:val="00776070"/>
    <w:rsid w:val="007762FD"/>
    <w:rsid w:val="007763A6"/>
    <w:rsid w:val="007763E6"/>
    <w:rsid w:val="007764A8"/>
    <w:rsid w:val="00776689"/>
    <w:rsid w:val="007766EA"/>
    <w:rsid w:val="00776727"/>
    <w:rsid w:val="00776784"/>
    <w:rsid w:val="007767A1"/>
    <w:rsid w:val="007768F1"/>
    <w:rsid w:val="00776B42"/>
    <w:rsid w:val="00776CA5"/>
    <w:rsid w:val="00776CEC"/>
    <w:rsid w:val="00776D58"/>
    <w:rsid w:val="00776D86"/>
    <w:rsid w:val="00776E58"/>
    <w:rsid w:val="00776EBF"/>
    <w:rsid w:val="00776FDD"/>
    <w:rsid w:val="0077709B"/>
    <w:rsid w:val="00777282"/>
    <w:rsid w:val="00777352"/>
    <w:rsid w:val="00777367"/>
    <w:rsid w:val="00777379"/>
    <w:rsid w:val="00777482"/>
    <w:rsid w:val="00777597"/>
    <w:rsid w:val="00777644"/>
    <w:rsid w:val="00777647"/>
    <w:rsid w:val="00777717"/>
    <w:rsid w:val="007777F4"/>
    <w:rsid w:val="0077781E"/>
    <w:rsid w:val="007778E8"/>
    <w:rsid w:val="0077793B"/>
    <w:rsid w:val="00777A0D"/>
    <w:rsid w:val="00777A1E"/>
    <w:rsid w:val="00777A81"/>
    <w:rsid w:val="00777BBF"/>
    <w:rsid w:val="00777D5A"/>
    <w:rsid w:val="00777D69"/>
    <w:rsid w:val="00777E55"/>
    <w:rsid w:val="00777E92"/>
    <w:rsid w:val="00777ECF"/>
    <w:rsid w:val="00777F15"/>
    <w:rsid w:val="00780083"/>
    <w:rsid w:val="00780117"/>
    <w:rsid w:val="00780264"/>
    <w:rsid w:val="007802B3"/>
    <w:rsid w:val="007803BF"/>
    <w:rsid w:val="00780406"/>
    <w:rsid w:val="00780421"/>
    <w:rsid w:val="0078043E"/>
    <w:rsid w:val="007804D4"/>
    <w:rsid w:val="0078063F"/>
    <w:rsid w:val="00780654"/>
    <w:rsid w:val="007806E9"/>
    <w:rsid w:val="00780763"/>
    <w:rsid w:val="007807A0"/>
    <w:rsid w:val="007809E7"/>
    <w:rsid w:val="00780AD6"/>
    <w:rsid w:val="00780AE1"/>
    <w:rsid w:val="00780B5E"/>
    <w:rsid w:val="00780B99"/>
    <w:rsid w:val="00780C5C"/>
    <w:rsid w:val="00780F27"/>
    <w:rsid w:val="00780F9F"/>
    <w:rsid w:val="007810D0"/>
    <w:rsid w:val="00781175"/>
    <w:rsid w:val="007811BE"/>
    <w:rsid w:val="007813FC"/>
    <w:rsid w:val="007814CC"/>
    <w:rsid w:val="00781550"/>
    <w:rsid w:val="00781568"/>
    <w:rsid w:val="007815DB"/>
    <w:rsid w:val="00781634"/>
    <w:rsid w:val="007816DF"/>
    <w:rsid w:val="00781708"/>
    <w:rsid w:val="007817AF"/>
    <w:rsid w:val="0078191A"/>
    <w:rsid w:val="00781925"/>
    <w:rsid w:val="007819A7"/>
    <w:rsid w:val="00781A3E"/>
    <w:rsid w:val="00781B4B"/>
    <w:rsid w:val="00781BEA"/>
    <w:rsid w:val="00781D91"/>
    <w:rsid w:val="00781F5B"/>
    <w:rsid w:val="00781FF7"/>
    <w:rsid w:val="007820A7"/>
    <w:rsid w:val="007820C5"/>
    <w:rsid w:val="0078215A"/>
    <w:rsid w:val="00782264"/>
    <w:rsid w:val="0078226D"/>
    <w:rsid w:val="007823CF"/>
    <w:rsid w:val="00782406"/>
    <w:rsid w:val="00782547"/>
    <w:rsid w:val="007825FF"/>
    <w:rsid w:val="007826E9"/>
    <w:rsid w:val="00782787"/>
    <w:rsid w:val="007828B1"/>
    <w:rsid w:val="007828F5"/>
    <w:rsid w:val="00782953"/>
    <w:rsid w:val="007829E7"/>
    <w:rsid w:val="00782A9B"/>
    <w:rsid w:val="00782C3C"/>
    <w:rsid w:val="00782CC4"/>
    <w:rsid w:val="00782D37"/>
    <w:rsid w:val="00782D62"/>
    <w:rsid w:val="00782DA0"/>
    <w:rsid w:val="00782EC1"/>
    <w:rsid w:val="00782FAA"/>
    <w:rsid w:val="00783024"/>
    <w:rsid w:val="007831FD"/>
    <w:rsid w:val="0078323C"/>
    <w:rsid w:val="00783285"/>
    <w:rsid w:val="00783325"/>
    <w:rsid w:val="00783337"/>
    <w:rsid w:val="00783400"/>
    <w:rsid w:val="007836B7"/>
    <w:rsid w:val="00783754"/>
    <w:rsid w:val="0078394A"/>
    <w:rsid w:val="007839B6"/>
    <w:rsid w:val="00783A38"/>
    <w:rsid w:val="00783B93"/>
    <w:rsid w:val="00783CB9"/>
    <w:rsid w:val="00783D1D"/>
    <w:rsid w:val="00783DB5"/>
    <w:rsid w:val="00783E7E"/>
    <w:rsid w:val="00784021"/>
    <w:rsid w:val="00784057"/>
    <w:rsid w:val="0078428E"/>
    <w:rsid w:val="0078429E"/>
    <w:rsid w:val="007843E0"/>
    <w:rsid w:val="00784461"/>
    <w:rsid w:val="0078451D"/>
    <w:rsid w:val="0078457D"/>
    <w:rsid w:val="007846DC"/>
    <w:rsid w:val="007846E5"/>
    <w:rsid w:val="00784737"/>
    <w:rsid w:val="0078485A"/>
    <w:rsid w:val="00784968"/>
    <w:rsid w:val="00784A09"/>
    <w:rsid w:val="00784C75"/>
    <w:rsid w:val="00784C92"/>
    <w:rsid w:val="00784CF1"/>
    <w:rsid w:val="00784D4C"/>
    <w:rsid w:val="00784E16"/>
    <w:rsid w:val="00784E2D"/>
    <w:rsid w:val="00784F6B"/>
    <w:rsid w:val="007850E9"/>
    <w:rsid w:val="00785334"/>
    <w:rsid w:val="00785452"/>
    <w:rsid w:val="0078560E"/>
    <w:rsid w:val="007856B1"/>
    <w:rsid w:val="007856C9"/>
    <w:rsid w:val="00785947"/>
    <w:rsid w:val="0078594A"/>
    <w:rsid w:val="00785ADE"/>
    <w:rsid w:val="00785B52"/>
    <w:rsid w:val="00785B7B"/>
    <w:rsid w:val="00785E5A"/>
    <w:rsid w:val="007861B0"/>
    <w:rsid w:val="007861DD"/>
    <w:rsid w:val="0078626A"/>
    <w:rsid w:val="007862D5"/>
    <w:rsid w:val="00786302"/>
    <w:rsid w:val="0078633E"/>
    <w:rsid w:val="00786373"/>
    <w:rsid w:val="00786446"/>
    <w:rsid w:val="00786461"/>
    <w:rsid w:val="007864A6"/>
    <w:rsid w:val="007864EB"/>
    <w:rsid w:val="0078674F"/>
    <w:rsid w:val="007867A0"/>
    <w:rsid w:val="00786835"/>
    <w:rsid w:val="00786A04"/>
    <w:rsid w:val="00786A4F"/>
    <w:rsid w:val="00786AAF"/>
    <w:rsid w:val="00786AEC"/>
    <w:rsid w:val="00786B84"/>
    <w:rsid w:val="00786BA9"/>
    <w:rsid w:val="00786D0F"/>
    <w:rsid w:val="00786D1B"/>
    <w:rsid w:val="00786ECA"/>
    <w:rsid w:val="00787052"/>
    <w:rsid w:val="00787128"/>
    <w:rsid w:val="007871AD"/>
    <w:rsid w:val="007871D2"/>
    <w:rsid w:val="007873A9"/>
    <w:rsid w:val="007873AA"/>
    <w:rsid w:val="007873D6"/>
    <w:rsid w:val="007873DB"/>
    <w:rsid w:val="0078774C"/>
    <w:rsid w:val="007877E3"/>
    <w:rsid w:val="00787800"/>
    <w:rsid w:val="00787899"/>
    <w:rsid w:val="007878D6"/>
    <w:rsid w:val="007878D7"/>
    <w:rsid w:val="00787A1C"/>
    <w:rsid w:val="00787A22"/>
    <w:rsid w:val="00787A44"/>
    <w:rsid w:val="00787C53"/>
    <w:rsid w:val="00787E3B"/>
    <w:rsid w:val="00787FF6"/>
    <w:rsid w:val="007900BD"/>
    <w:rsid w:val="00790138"/>
    <w:rsid w:val="0079020F"/>
    <w:rsid w:val="0079038A"/>
    <w:rsid w:val="00790432"/>
    <w:rsid w:val="00790553"/>
    <w:rsid w:val="007906C7"/>
    <w:rsid w:val="00790722"/>
    <w:rsid w:val="00790759"/>
    <w:rsid w:val="007907F8"/>
    <w:rsid w:val="00790B76"/>
    <w:rsid w:val="00790B94"/>
    <w:rsid w:val="00790CFC"/>
    <w:rsid w:val="00790FDB"/>
    <w:rsid w:val="00790FF8"/>
    <w:rsid w:val="0079114F"/>
    <w:rsid w:val="00791154"/>
    <w:rsid w:val="00791258"/>
    <w:rsid w:val="0079126F"/>
    <w:rsid w:val="007913F6"/>
    <w:rsid w:val="007913F8"/>
    <w:rsid w:val="00791584"/>
    <w:rsid w:val="0079162C"/>
    <w:rsid w:val="007916DF"/>
    <w:rsid w:val="007916FE"/>
    <w:rsid w:val="007918AE"/>
    <w:rsid w:val="00791A09"/>
    <w:rsid w:val="00791A62"/>
    <w:rsid w:val="00791B2D"/>
    <w:rsid w:val="00791B7F"/>
    <w:rsid w:val="00791B82"/>
    <w:rsid w:val="00791CD7"/>
    <w:rsid w:val="00791D14"/>
    <w:rsid w:val="00791ECC"/>
    <w:rsid w:val="00791F55"/>
    <w:rsid w:val="0079202F"/>
    <w:rsid w:val="007920D9"/>
    <w:rsid w:val="00792154"/>
    <w:rsid w:val="007921B2"/>
    <w:rsid w:val="007922B3"/>
    <w:rsid w:val="0079236C"/>
    <w:rsid w:val="007923E9"/>
    <w:rsid w:val="00792438"/>
    <w:rsid w:val="007924A0"/>
    <w:rsid w:val="00792535"/>
    <w:rsid w:val="00792622"/>
    <w:rsid w:val="007926A5"/>
    <w:rsid w:val="007926CB"/>
    <w:rsid w:val="00792802"/>
    <w:rsid w:val="0079280A"/>
    <w:rsid w:val="007928E9"/>
    <w:rsid w:val="00792915"/>
    <w:rsid w:val="00792A6B"/>
    <w:rsid w:val="00792AAB"/>
    <w:rsid w:val="00792AAC"/>
    <w:rsid w:val="00792DBA"/>
    <w:rsid w:val="00792E51"/>
    <w:rsid w:val="00792E66"/>
    <w:rsid w:val="00793014"/>
    <w:rsid w:val="00793110"/>
    <w:rsid w:val="007931DA"/>
    <w:rsid w:val="00793289"/>
    <w:rsid w:val="0079329B"/>
    <w:rsid w:val="007932E4"/>
    <w:rsid w:val="00793396"/>
    <w:rsid w:val="00793423"/>
    <w:rsid w:val="00793488"/>
    <w:rsid w:val="007934B8"/>
    <w:rsid w:val="00793507"/>
    <w:rsid w:val="00793622"/>
    <w:rsid w:val="00793A36"/>
    <w:rsid w:val="00793A93"/>
    <w:rsid w:val="00793B2F"/>
    <w:rsid w:val="00793C9C"/>
    <w:rsid w:val="00793CB8"/>
    <w:rsid w:val="00793DB7"/>
    <w:rsid w:val="00793E66"/>
    <w:rsid w:val="00793E86"/>
    <w:rsid w:val="00793F9E"/>
    <w:rsid w:val="007941D5"/>
    <w:rsid w:val="0079430A"/>
    <w:rsid w:val="007944D6"/>
    <w:rsid w:val="00794550"/>
    <w:rsid w:val="0079461A"/>
    <w:rsid w:val="007946A8"/>
    <w:rsid w:val="00794715"/>
    <w:rsid w:val="007947F3"/>
    <w:rsid w:val="007948DC"/>
    <w:rsid w:val="0079491C"/>
    <w:rsid w:val="00794992"/>
    <w:rsid w:val="007949D8"/>
    <w:rsid w:val="00794BC8"/>
    <w:rsid w:val="00794C75"/>
    <w:rsid w:val="00794F3E"/>
    <w:rsid w:val="0079503A"/>
    <w:rsid w:val="00795264"/>
    <w:rsid w:val="00795288"/>
    <w:rsid w:val="007952A0"/>
    <w:rsid w:val="007952D7"/>
    <w:rsid w:val="007952E3"/>
    <w:rsid w:val="007952EE"/>
    <w:rsid w:val="0079538E"/>
    <w:rsid w:val="00795493"/>
    <w:rsid w:val="007954AF"/>
    <w:rsid w:val="00795610"/>
    <w:rsid w:val="0079562D"/>
    <w:rsid w:val="007956E3"/>
    <w:rsid w:val="00795764"/>
    <w:rsid w:val="007957FB"/>
    <w:rsid w:val="00795BC8"/>
    <w:rsid w:val="00795C1A"/>
    <w:rsid w:val="00795C50"/>
    <w:rsid w:val="00795C6B"/>
    <w:rsid w:val="00795C70"/>
    <w:rsid w:val="00795CEB"/>
    <w:rsid w:val="00795D17"/>
    <w:rsid w:val="00795E1F"/>
    <w:rsid w:val="00795E87"/>
    <w:rsid w:val="00795EEF"/>
    <w:rsid w:val="00795F77"/>
    <w:rsid w:val="007960BC"/>
    <w:rsid w:val="007960D2"/>
    <w:rsid w:val="007964D9"/>
    <w:rsid w:val="007964F1"/>
    <w:rsid w:val="007965F9"/>
    <w:rsid w:val="00796604"/>
    <w:rsid w:val="00796620"/>
    <w:rsid w:val="00796627"/>
    <w:rsid w:val="00796670"/>
    <w:rsid w:val="007967CC"/>
    <w:rsid w:val="00796834"/>
    <w:rsid w:val="0079695F"/>
    <w:rsid w:val="007969DA"/>
    <w:rsid w:val="00796BC2"/>
    <w:rsid w:val="00796BCA"/>
    <w:rsid w:val="00796C20"/>
    <w:rsid w:val="00796CEB"/>
    <w:rsid w:val="00796EB6"/>
    <w:rsid w:val="00796FEC"/>
    <w:rsid w:val="00797008"/>
    <w:rsid w:val="007971B3"/>
    <w:rsid w:val="00797273"/>
    <w:rsid w:val="007972C4"/>
    <w:rsid w:val="007973BF"/>
    <w:rsid w:val="007975AD"/>
    <w:rsid w:val="00797633"/>
    <w:rsid w:val="00797721"/>
    <w:rsid w:val="0079779A"/>
    <w:rsid w:val="00797857"/>
    <w:rsid w:val="0079797B"/>
    <w:rsid w:val="00797AD3"/>
    <w:rsid w:val="00797AF4"/>
    <w:rsid w:val="00797B08"/>
    <w:rsid w:val="00797BCB"/>
    <w:rsid w:val="00797CC9"/>
    <w:rsid w:val="00797D66"/>
    <w:rsid w:val="0079A02A"/>
    <w:rsid w:val="007A004A"/>
    <w:rsid w:val="007A00EE"/>
    <w:rsid w:val="007A02E1"/>
    <w:rsid w:val="007A02E5"/>
    <w:rsid w:val="007A0363"/>
    <w:rsid w:val="007A05B0"/>
    <w:rsid w:val="007A0641"/>
    <w:rsid w:val="007A064E"/>
    <w:rsid w:val="007A07AF"/>
    <w:rsid w:val="007A07B3"/>
    <w:rsid w:val="007A08AD"/>
    <w:rsid w:val="007A0996"/>
    <w:rsid w:val="007A09E1"/>
    <w:rsid w:val="007A0A74"/>
    <w:rsid w:val="007A0BA9"/>
    <w:rsid w:val="007A0D52"/>
    <w:rsid w:val="007A0DE0"/>
    <w:rsid w:val="007A0E1B"/>
    <w:rsid w:val="007A106B"/>
    <w:rsid w:val="007A110C"/>
    <w:rsid w:val="007A113F"/>
    <w:rsid w:val="007A1153"/>
    <w:rsid w:val="007A1296"/>
    <w:rsid w:val="007A12C2"/>
    <w:rsid w:val="007A12F5"/>
    <w:rsid w:val="007A1529"/>
    <w:rsid w:val="007A1789"/>
    <w:rsid w:val="007A18A5"/>
    <w:rsid w:val="007A194A"/>
    <w:rsid w:val="007A19B1"/>
    <w:rsid w:val="007A1AC1"/>
    <w:rsid w:val="007A1B1F"/>
    <w:rsid w:val="007A1BEB"/>
    <w:rsid w:val="007A1CD3"/>
    <w:rsid w:val="007A1D69"/>
    <w:rsid w:val="007A1EF0"/>
    <w:rsid w:val="007A1FE5"/>
    <w:rsid w:val="007A2031"/>
    <w:rsid w:val="007A2161"/>
    <w:rsid w:val="007A21AA"/>
    <w:rsid w:val="007A2354"/>
    <w:rsid w:val="007A248D"/>
    <w:rsid w:val="007A2578"/>
    <w:rsid w:val="007A258F"/>
    <w:rsid w:val="007A261A"/>
    <w:rsid w:val="007A2650"/>
    <w:rsid w:val="007A27D2"/>
    <w:rsid w:val="007A281D"/>
    <w:rsid w:val="007A29CD"/>
    <w:rsid w:val="007A2A7C"/>
    <w:rsid w:val="007A2BC6"/>
    <w:rsid w:val="007A2C3A"/>
    <w:rsid w:val="007A2C63"/>
    <w:rsid w:val="007A2CD2"/>
    <w:rsid w:val="007A2D8A"/>
    <w:rsid w:val="007A2DD1"/>
    <w:rsid w:val="007A2F93"/>
    <w:rsid w:val="007A3052"/>
    <w:rsid w:val="007A3121"/>
    <w:rsid w:val="007A3239"/>
    <w:rsid w:val="007A33B4"/>
    <w:rsid w:val="007A3409"/>
    <w:rsid w:val="007A3471"/>
    <w:rsid w:val="007A3544"/>
    <w:rsid w:val="007A359E"/>
    <w:rsid w:val="007A3619"/>
    <w:rsid w:val="007A366F"/>
    <w:rsid w:val="007A367C"/>
    <w:rsid w:val="007A376E"/>
    <w:rsid w:val="007A3824"/>
    <w:rsid w:val="007A38A6"/>
    <w:rsid w:val="007A38DF"/>
    <w:rsid w:val="007A3906"/>
    <w:rsid w:val="007A392A"/>
    <w:rsid w:val="007A3971"/>
    <w:rsid w:val="007A39E2"/>
    <w:rsid w:val="007A3A38"/>
    <w:rsid w:val="007A3B6B"/>
    <w:rsid w:val="007A3BB3"/>
    <w:rsid w:val="007A3CB0"/>
    <w:rsid w:val="007A3E70"/>
    <w:rsid w:val="007A3F2C"/>
    <w:rsid w:val="007A3FF7"/>
    <w:rsid w:val="007A408B"/>
    <w:rsid w:val="007A4285"/>
    <w:rsid w:val="007A42E3"/>
    <w:rsid w:val="007A42E5"/>
    <w:rsid w:val="007A44A2"/>
    <w:rsid w:val="007A44FC"/>
    <w:rsid w:val="007A47C9"/>
    <w:rsid w:val="007A4888"/>
    <w:rsid w:val="007A4923"/>
    <w:rsid w:val="007A4A2C"/>
    <w:rsid w:val="007A4A78"/>
    <w:rsid w:val="007A4A94"/>
    <w:rsid w:val="007A4AC3"/>
    <w:rsid w:val="007A4BAD"/>
    <w:rsid w:val="007A4BBC"/>
    <w:rsid w:val="007A4D9F"/>
    <w:rsid w:val="007A4FA9"/>
    <w:rsid w:val="007A5198"/>
    <w:rsid w:val="007A521F"/>
    <w:rsid w:val="007A5445"/>
    <w:rsid w:val="007A548F"/>
    <w:rsid w:val="007A54F9"/>
    <w:rsid w:val="007A55EC"/>
    <w:rsid w:val="007A5676"/>
    <w:rsid w:val="007A575E"/>
    <w:rsid w:val="007A5899"/>
    <w:rsid w:val="007A591C"/>
    <w:rsid w:val="007A599F"/>
    <w:rsid w:val="007A5C77"/>
    <w:rsid w:val="007A5C83"/>
    <w:rsid w:val="007A5C8A"/>
    <w:rsid w:val="007A5D0F"/>
    <w:rsid w:val="007A5DBA"/>
    <w:rsid w:val="007A5DE4"/>
    <w:rsid w:val="007A5E64"/>
    <w:rsid w:val="007A5EF4"/>
    <w:rsid w:val="007A6093"/>
    <w:rsid w:val="007A611C"/>
    <w:rsid w:val="007A6157"/>
    <w:rsid w:val="007A61BB"/>
    <w:rsid w:val="007A6228"/>
    <w:rsid w:val="007A6402"/>
    <w:rsid w:val="007A6514"/>
    <w:rsid w:val="007A652F"/>
    <w:rsid w:val="007A6533"/>
    <w:rsid w:val="007A653F"/>
    <w:rsid w:val="007A660C"/>
    <w:rsid w:val="007A664F"/>
    <w:rsid w:val="007A6884"/>
    <w:rsid w:val="007A6B49"/>
    <w:rsid w:val="007A6C2F"/>
    <w:rsid w:val="007A6CDC"/>
    <w:rsid w:val="007A6DD7"/>
    <w:rsid w:val="007A6FB4"/>
    <w:rsid w:val="007A7018"/>
    <w:rsid w:val="007A7153"/>
    <w:rsid w:val="007A71A8"/>
    <w:rsid w:val="007A735E"/>
    <w:rsid w:val="007A7371"/>
    <w:rsid w:val="007A7420"/>
    <w:rsid w:val="007A742E"/>
    <w:rsid w:val="007A75D2"/>
    <w:rsid w:val="007A75DC"/>
    <w:rsid w:val="007A7702"/>
    <w:rsid w:val="007A7800"/>
    <w:rsid w:val="007A7830"/>
    <w:rsid w:val="007A7963"/>
    <w:rsid w:val="007A7A24"/>
    <w:rsid w:val="007A7BB0"/>
    <w:rsid w:val="007A7BEC"/>
    <w:rsid w:val="007A7C7A"/>
    <w:rsid w:val="007A7C8B"/>
    <w:rsid w:val="007A7CD5"/>
    <w:rsid w:val="007A7E32"/>
    <w:rsid w:val="007A7FF6"/>
    <w:rsid w:val="007AE685"/>
    <w:rsid w:val="007B010E"/>
    <w:rsid w:val="007B0203"/>
    <w:rsid w:val="007B038B"/>
    <w:rsid w:val="007B03BD"/>
    <w:rsid w:val="007B03C0"/>
    <w:rsid w:val="007B0412"/>
    <w:rsid w:val="007B04E8"/>
    <w:rsid w:val="007B055A"/>
    <w:rsid w:val="007B05C4"/>
    <w:rsid w:val="007B05FC"/>
    <w:rsid w:val="007B062F"/>
    <w:rsid w:val="007B078A"/>
    <w:rsid w:val="007B0883"/>
    <w:rsid w:val="007B08D3"/>
    <w:rsid w:val="007B09E0"/>
    <w:rsid w:val="007B0A73"/>
    <w:rsid w:val="007B0AC5"/>
    <w:rsid w:val="007B0ACD"/>
    <w:rsid w:val="007B0BBD"/>
    <w:rsid w:val="007B0BDF"/>
    <w:rsid w:val="007B0DE1"/>
    <w:rsid w:val="007B0EAB"/>
    <w:rsid w:val="007B0ECA"/>
    <w:rsid w:val="007B0EF1"/>
    <w:rsid w:val="007B0F95"/>
    <w:rsid w:val="007B0FD6"/>
    <w:rsid w:val="007B0FDF"/>
    <w:rsid w:val="007B108F"/>
    <w:rsid w:val="007B10D9"/>
    <w:rsid w:val="007B1150"/>
    <w:rsid w:val="007B12C6"/>
    <w:rsid w:val="007B13F7"/>
    <w:rsid w:val="007B15C0"/>
    <w:rsid w:val="007B164B"/>
    <w:rsid w:val="007B1742"/>
    <w:rsid w:val="007B1833"/>
    <w:rsid w:val="007B18F2"/>
    <w:rsid w:val="007B1A17"/>
    <w:rsid w:val="007B1A50"/>
    <w:rsid w:val="007B1A74"/>
    <w:rsid w:val="007B1B69"/>
    <w:rsid w:val="007B1B8C"/>
    <w:rsid w:val="007B1B95"/>
    <w:rsid w:val="007B1BC2"/>
    <w:rsid w:val="007B1C20"/>
    <w:rsid w:val="007B1C5D"/>
    <w:rsid w:val="007B1CC8"/>
    <w:rsid w:val="007B1D54"/>
    <w:rsid w:val="007B1D8B"/>
    <w:rsid w:val="007B1EC4"/>
    <w:rsid w:val="007B1EE2"/>
    <w:rsid w:val="007B213C"/>
    <w:rsid w:val="007B21E7"/>
    <w:rsid w:val="007B2203"/>
    <w:rsid w:val="007B22EA"/>
    <w:rsid w:val="007B2377"/>
    <w:rsid w:val="007B2505"/>
    <w:rsid w:val="007B2519"/>
    <w:rsid w:val="007B254B"/>
    <w:rsid w:val="007B25CA"/>
    <w:rsid w:val="007B25F7"/>
    <w:rsid w:val="007B2626"/>
    <w:rsid w:val="007B2709"/>
    <w:rsid w:val="007B28B4"/>
    <w:rsid w:val="007B28D2"/>
    <w:rsid w:val="007B29EC"/>
    <w:rsid w:val="007B2C41"/>
    <w:rsid w:val="007B2C4F"/>
    <w:rsid w:val="007B2D5C"/>
    <w:rsid w:val="007B2F0A"/>
    <w:rsid w:val="007B301C"/>
    <w:rsid w:val="007B31CC"/>
    <w:rsid w:val="007B3201"/>
    <w:rsid w:val="007B34A2"/>
    <w:rsid w:val="007B35E6"/>
    <w:rsid w:val="007B3694"/>
    <w:rsid w:val="007B3779"/>
    <w:rsid w:val="007B38F9"/>
    <w:rsid w:val="007B3930"/>
    <w:rsid w:val="007B3976"/>
    <w:rsid w:val="007B39D5"/>
    <w:rsid w:val="007B3AA5"/>
    <w:rsid w:val="007B3AE3"/>
    <w:rsid w:val="007B3B31"/>
    <w:rsid w:val="007B3BE5"/>
    <w:rsid w:val="007B3C33"/>
    <w:rsid w:val="007B3D5F"/>
    <w:rsid w:val="007B3D63"/>
    <w:rsid w:val="007B3DF7"/>
    <w:rsid w:val="007B3E1A"/>
    <w:rsid w:val="007B4018"/>
    <w:rsid w:val="007B4092"/>
    <w:rsid w:val="007B419A"/>
    <w:rsid w:val="007B4284"/>
    <w:rsid w:val="007B42EA"/>
    <w:rsid w:val="007B43CA"/>
    <w:rsid w:val="007B4499"/>
    <w:rsid w:val="007B4515"/>
    <w:rsid w:val="007B45DA"/>
    <w:rsid w:val="007B4652"/>
    <w:rsid w:val="007B4659"/>
    <w:rsid w:val="007B4781"/>
    <w:rsid w:val="007B47B7"/>
    <w:rsid w:val="007B4837"/>
    <w:rsid w:val="007B48D6"/>
    <w:rsid w:val="007B4A75"/>
    <w:rsid w:val="007B4A88"/>
    <w:rsid w:val="007B4BB0"/>
    <w:rsid w:val="007B4D9D"/>
    <w:rsid w:val="007B4DB4"/>
    <w:rsid w:val="007B4E6F"/>
    <w:rsid w:val="007B4F41"/>
    <w:rsid w:val="007B5024"/>
    <w:rsid w:val="007B5243"/>
    <w:rsid w:val="007B55AE"/>
    <w:rsid w:val="007B57E8"/>
    <w:rsid w:val="007B5991"/>
    <w:rsid w:val="007B5994"/>
    <w:rsid w:val="007B5ADD"/>
    <w:rsid w:val="007B5B33"/>
    <w:rsid w:val="007B5CC3"/>
    <w:rsid w:val="007B5D24"/>
    <w:rsid w:val="007B609D"/>
    <w:rsid w:val="007B60F6"/>
    <w:rsid w:val="007B61C2"/>
    <w:rsid w:val="007B6302"/>
    <w:rsid w:val="007B642B"/>
    <w:rsid w:val="007B6539"/>
    <w:rsid w:val="007B67C2"/>
    <w:rsid w:val="007B68C1"/>
    <w:rsid w:val="007B6A78"/>
    <w:rsid w:val="007B6C3A"/>
    <w:rsid w:val="007B6D02"/>
    <w:rsid w:val="007B6D91"/>
    <w:rsid w:val="007B6DFD"/>
    <w:rsid w:val="007B6FF2"/>
    <w:rsid w:val="007B7029"/>
    <w:rsid w:val="007B7054"/>
    <w:rsid w:val="007B70C3"/>
    <w:rsid w:val="007B70DD"/>
    <w:rsid w:val="007B70F8"/>
    <w:rsid w:val="007B7191"/>
    <w:rsid w:val="007B71F8"/>
    <w:rsid w:val="007B7240"/>
    <w:rsid w:val="007B72A7"/>
    <w:rsid w:val="007B7408"/>
    <w:rsid w:val="007B74C9"/>
    <w:rsid w:val="007B7598"/>
    <w:rsid w:val="007B75C5"/>
    <w:rsid w:val="007B7796"/>
    <w:rsid w:val="007B77D3"/>
    <w:rsid w:val="007B78BC"/>
    <w:rsid w:val="007B7976"/>
    <w:rsid w:val="007B7B70"/>
    <w:rsid w:val="007B7F31"/>
    <w:rsid w:val="007B7FA7"/>
    <w:rsid w:val="007B7FB0"/>
    <w:rsid w:val="007BD9B4"/>
    <w:rsid w:val="007C005E"/>
    <w:rsid w:val="007C034A"/>
    <w:rsid w:val="007C04E0"/>
    <w:rsid w:val="007C06DD"/>
    <w:rsid w:val="007C0700"/>
    <w:rsid w:val="007C0753"/>
    <w:rsid w:val="007C076D"/>
    <w:rsid w:val="007C0877"/>
    <w:rsid w:val="007C08B7"/>
    <w:rsid w:val="007C09B0"/>
    <w:rsid w:val="007C0A2B"/>
    <w:rsid w:val="007C0A3F"/>
    <w:rsid w:val="007C0BA6"/>
    <w:rsid w:val="007C0C75"/>
    <w:rsid w:val="007C0D74"/>
    <w:rsid w:val="007C0DE4"/>
    <w:rsid w:val="007C0FAE"/>
    <w:rsid w:val="007C1015"/>
    <w:rsid w:val="007C1202"/>
    <w:rsid w:val="007C14A2"/>
    <w:rsid w:val="007C154A"/>
    <w:rsid w:val="007C1569"/>
    <w:rsid w:val="007C1B0B"/>
    <w:rsid w:val="007C1DD9"/>
    <w:rsid w:val="007C1E4C"/>
    <w:rsid w:val="007C1E94"/>
    <w:rsid w:val="007C1E9D"/>
    <w:rsid w:val="007C1E9F"/>
    <w:rsid w:val="007C1F9C"/>
    <w:rsid w:val="007C1FA2"/>
    <w:rsid w:val="007C21F1"/>
    <w:rsid w:val="007C2215"/>
    <w:rsid w:val="007C2339"/>
    <w:rsid w:val="007C2430"/>
    <w:rsid w:val="007C24C7"/>
    <w:rsid w:val="007C2699"/>
    <w:rsid w:val="007C2750"/>
    <w:rsid w:val="007C2821"/>
    <w:rsid w:val="007C294E"/>
    <w:rsid w:val="007C29BA"/>
    <w:rsid w:val="007C2A3C"/>
    <w:rsid w:val="007C2D2B"/>
    <w:rsid w:val="007C2DC0"/>
    <w:rsid w:val="007C2E03"/>
    <w:rsid w:val="007C2E41"/>
    <w:rsid w:val="007C3251"/>
    <w:rsid w:val="007C32B3"/>
    <w:rsid w:val="007C3373"/>
    <w:rsid w:val="007C3483"/>
    <w:rsid w:val="007C3599"/>
    <w:rsid w:val="007C372F"/>
    <w:rsid w:val="007C377D"/>
    <w:rsid w:val="007C382C"/>
    <w:rsid w:val="007C385A"/>
    <w:rsid w:val="007C395A"/>
    <w:rsid w:val="007C3985"/>
    <w:rsid w:val="007C3A28"/>
    <w:rsid w:val="007C3A44"/>
    <w:rsid w:val="007C3A4B"/>
    <w:rsid w:val="007C3B5C"/>
    <w:rsid w:val="007C3C23"/>
    <w:rsid w:val="007C3C83"/>
    <w:rsid w:val="007C3D8A"/>
    <w:rsid w:val="007C3E13"/>
    <w:rsid w:val="007C428D"/>
    <w:rsid w:val="007C42B5"/>
    <w:rsid w:val="007C4320"/>
    <w:rsid w:val="007C4330"/>
    <w:rsid w:val="007C43C1"/>
    <w:rsid w:val="007C4484"/>
    <w:rsid w:val="007C4492"/>
    <w:rsid w:val="007C44D0"/>
    <w:rsid w:val="007C44D8"/>
    <w:rsid w:val="007C45D8"/>
    <w:rsid w:val="007C45DE"/>
    <w:rsid w:val="007C4731"/>
    <w:rsid w:val="007C4760"/>
    <w:rsid w:val="007C478A"/>
    <w:rsid w:val="007C48C0"/>
    <w:rsid w:val="007C48CF"/>
    <w:rsid w:val="007C4A98"/>
    <w:rsid w:val="007C4AA0"/>
    <w:rsid w:val="007C4BA4"/>
    <w:rsid w:val="007C4BE8"/>
    <w:rsid w:val="007C4D15"/>
    <w:rsid w:val="007C4D34"/>
    <w:rsid w:val="007C4D4F"/>
    <w:rsid w:val="007C4DDB"/>
    <w:rsid w:val="007C4F57"/>
    <w:rsid w:val="007C4F59"/>
    <w:rsid w:val="007C50E2"/>
    <w:rsid w:val="007C5196"/>
    <w:rsid w:val="007C521A"/>
    <w:rsid w:val="007C5316"/>
    <w:rsid w:val="007C534E"/>
    <w:rsid w:val="007C5413"/>
    <w:rsid w:val="007C581F"/>
    <w:rsid w:val="007C5887"/>
    <w:rsid w:val="007C58DF"/>
    <w:rsid w:val="007C58EC"/>
    <w:rsid w:val="007C5911"/>
    <w:rsid w:val="007C5987"/>
    <w:rsid w:val="007C5A1A"/>
    <w:rsid w:val="007C5A98"/>
    <w:rsid w:val="007C5AC4"/>
    <w:rsid w:val="007C5CDA"/>
    <w:rsid w:val="007C5D08"/>
    <w:rsid w:val="007C6153"/>
    <w:rsid w:val="007C6213"/>
    <w:rsid w:val="007C62D7"/>
    <w:rsid w:val="007C63CA"/>
    <w:rsid w:val="007C63ED"/>
    <w:rsid w:val="007C65A6"/>
    <w:rsid w:val="007C65AC"/>
    <w:rsid w:val="007C668D"/>
    <w:rsid w:val="007C68A0"/>
    <w:rsid w:val="007C697D"/>
    <w:rsid w:val="007C69A5"/>
    <w:rsid w:val="007C6ACC"/>
    <w:rsid w:val="007C6E30"/>
    <w:rsid w:val="007C72C3"/>
    <w:rsid w:val="007C72F6"/>
    <w:rsid w:val="007C7383"/>
    <w:rsid w:val="007C7393"/>
    <w:rsid w:val="007C7530"/>
    <w:rsid w:val="007C75DB"/>
    <w:rsid w:val="007C76F1"/>
    <w:rsid w:val="007C778B"/>
    <w:rsid w:val="007C795F"/>
    <w:rsid w:val="007C7961"/>
    <w:rsid w:val="007C7992"/>
    <w:rsid w:val="007C79C8"/>
    <w:rsid w:val="007C7A41"/>
    <w:rsid w:val="007C7A4A"/>
    <w:rsid w:val="007C7A65"/>
    <w:rsid w:val="007C7A7F"/>
    <w:rsid w:val="007C7AAE"/>
    <w:rsid w:val="007C7AB8"/>
    <w:rsid w:val="007C7B8E"/>
    <w:rsid w:val="007C7B95"/>
    <w:rsid w:val="007C7DE5"/>
    <w:rsid w:val="007C7E33"/>
    <w:rsid w:val="007C7EC3"/>
    <w:rsid w:val="007C7EEA"/>
    <w:rsid w:val="007C7FE6"/>
    <w:rsid w:val="007D0281"/>
    <w:rsid w:val="007D0327"/>
    <w:rsid w:val="007D03CE"/>
    <w:rsid w:val="007D0411"/>
    <w:rsid w:val="007D0430"/>
    <w:rsid w:val="007D046E"/>
    <w:rsid w:val="007D0564"/>
    <w:rsid w:val="007D0690"/>
    <w:rsid w:val="007D08F8"/>
    <w:rsid w:val="007D0934"/>
    <w:rsid w:val="007D0978"/>
    <w:rsid w:val="007D09CA"/>
    <w:rsid w:val="007D09DA"/>
    <w:rsid w:val="007D0AE0"/>
    <w:rsid w:val="007D0E54"/>
    <w:rsid w:val="007D0EC4"/>
    <w:rsid w:val="007D1092"/>
    <w:rsid w:val="007D1397"/>
    <w:rsid w:val="007D14A7"/>
    <w:rsid w:val="007D14C2"/>
    <w:rsid w:val="007D14C7"/>
    <w:rsid w:val="007D14F2"/>
    <w:rsid w:val="007D15CC"/>
    <w:rsid w:val="007D1671"/>
    <w:rsid w:val="007D16EF"/>
    <w:rsid w:val="007D17F1"/>
    <w:rsid w:val="007D1A9E"/>
    <w:rsid w:val="007D1B24"/>
    <w:rsid w:val="007D1B99"/>
    <w:rsid w:val="007D1BD2"/>
    <w:rsid w:val="007D1CB9"/>
    <w:rsid w:val="007D1E59"/>
    <w:rsid w:val="007D1FCF"/>
    <w:rsid w:val="007D1FDB"/>
    <w:rsid w:val="007D204F"/>
    <w:rsid w:val="007D2169"/>
    <w:rsid w:val="007D224E"/>
    <w:rsid w:val="007D22B5"/>
    <w:rsid w:val="007D23EE"/>
    <w:rsid w:val="007D242A"/>
    <w:rsid w:val="007D2440"/>
    <w:rsid w:val="007D2731"/>
    <w:rsid w:val="007D2768"/>
    <w:rsid w:val="007D28BC"/>
    <w:rsid w:val="007D2914"/>
    <w:rsid w:val="007D2981"/>
    <w:rsid w:val="007D29E9"/>
    <w:rsid w:val="007D2CC4"/>
    <w:rsid w:val="007D2CCE"/>
    <w:rsid w:val="007D2D16"/>
    <w:rsid w:val="007D2E42"/>
    <w:rsid w:val="007D2F97"/>
    <w:rsid w:val="007D304B"/>
    <w:rsid w:val="007D3150"/>
    <w:rsid w:val="007D324C"/>
    <w:rsid w:val="007D32F8"/>
    <w:rsid w:val="007D330D"/>
    <w:rsid w:val="007D3336"/>
    <w:rsid w:val="007D337B"/>
    <w:rsid w:val="007D33E1"/>
    <w:rsid w:val="007D3445"/>
    <w:rsid w:val="007D34CB"/>
    <w:rsid w:val="007D36E0"/>
    <w:rsid w:val="007D380F"/>
    <w:rsid w:val="007D38BA"/>
    <w:rsid w:val="007D3959"/>
    <w:rsid w:val="007D39CB"/>
    <w:rsid w:val="007D3A3C"/>
    <w:rsid w:val="007D3BC2"/>
    <w:rsid w:val="007D3C15"/>
    <w:rsid w:val="007D3C9B"/>
    <w:rsid w:val="007D3CFF"/>
    <w:rsid w:val="007D3DE4"/>
    <w:rsid w:val="007D3E9B"/>
    <w:rsid w:val="007D3F94"/>
    <w:rsid w:val="007D4008"/>
    <w:rsid w:val="007D403B"/>
    <w:rsid w:val="007D43B4"/>
    <w:rsid w:val="007D4460"/>
    <w:rsid w:val="007D45D5"/>
    <w:rsid w:val="007D461F"/>
    <w:rsid w:val="007D4739"/>
    <w:rsid w:val="007D492F"/>
    <w:rsid w:val="007D4931"/>
    <w:rsid w:val="007D4C93"/>
    <w:rsid w:val="007D4C9B"/>
    <w:rsid w:val="007D4DF1"/>
    <w:rsid w:val="007D4E54"/>
    <w:rsid w:val="007D4E69"/>
    <w:rsid w:val="007D4F03"/>
    <w:rsid w:val="007D4F89"/>
    <w:rsid w:val="007D5055"/>
    <w:rsid w:val="007D513F"/>
    <w:rsid w:val="007D51B7"/>
    <w:rsid w:val="007D5407"/>
    <w:rsid w:val="007D55EB"/>
    <w:rsid w:val="007D5649"/>
    <w:rsid w:val="007D564B"/>
    <w:rsid w:val="007D567A"/>
    <w:rsid w:val="007D5757"/>
    <w:rsid w:val="007D57DC"/>
    <w:rsid w:val="007D5A34"/>
    <w:rsid w:val="007D5B86"/>
    <w:rsid w:val="007D5C30"/>
    <w:rsid w:val="007D5C46"/>
    <w:rsid w:val="007D5D1C"/>
    <w:rsid w:val="007D5E26"/>
    <w:rsid w:val="007D5EB5"/>
    <w:rsid w:val="007D5F3B"/>
    <w:rsid w:val="007D617B"/>
    <w:rsid w:val="007D620B"/>
    <w:rsid w:val="007D633C"/>
    <w:rsid w:val="007D6372"/>
    <w:rsid w:val="007D63B9"/>
    <w:rsid w:val="007D6515"/>
    <w:rsid w:val="007D668B"/>
    <w:rsid w:val="007D6727"/>
    <w:rsid w:val="007D673C"/>
    <w:rsid w:val="007D675B"/>
    <w:rsid w:val="007D67EF"/>
    <w:rsid w:val="007D6831"/>
    <w:rsid w:val="007D6880"/>
    <w:rsid w:val="007D6907"/>
    <w:rsid w:val="007D6A3E"/>
    <w:rsid w:val="007D6C17"/>
    <w:rsid w:val="007D6CFB"/>
    <w:rsid w:val="007D6D46"/>
    <w:rsid w:val="007D6DAB"/>
    <w:rsid w:val="007D6DFC"/>
    <w:rsid w:val="007D6E23"/>
    <w:rsid w:val="007D6EA2"/>
    <w:rsid w:val="007D6EAF"/>
    <w:rsid w:val="007D6EF6"/>
    <w:rsid w:val="007D6F55"/>
    <w:rsid w:val="007D6FD2"/>
    <w:rsid w:val="007D7084"/>
    <w:rsid w:val="007D7102"/>
    <w:rsid w:val="007D7191"/>
    <w:rsid w:val="007D730E"/>
    <w:rsid w:val="007D731C"/>
    <w:rsid w:val="007D7359"/>
    <w:rsid w:val="007D73DF"/>
    <w:rsid w:val="007D745F"/>
    <w:rsid w:val="007D755A"/>
    <w:rsid w:val="007D7688"/>
    <w:rsid w:val="007D7732"/>
    <w:rsid w:val="007D7739"/>
    <w:rsid w:val="007D7802"/>
    <w:rsid w:val="007D7833"/>
    <w:rsid w:val="007D78A8"/>
    <w:rsid w:val="007D7950"/>
    <w:rsid w:val="007D796D"/>
    <w:rsid w:val="007D79A0"/>
    <w:rsid w:val="007D7A03"/>
    <w:rsid w:val="007D7C59"/>
    <w:rsid w:val="007D7D44"/>
    <w:rsid w:val="007D7D61"/>
    <w:rsid w:val="007D7D8B"/>
    <w:rsid w:val="007D7E18"/>
    <w:rsid w:val="007D7EAE"/>
    <w:rsid w:val="007D7EF1"/>
    <w:rsid w:val="007D7F31"/>
    <w:rsid w:val="007D7FE8"/>
    <w:rsid w:val="007E00B9"/>
    <w:rsid w:val="007E00C4"/>
    <w:rsid w:val="007E00D3"/>
    <w:rsid w:val="007E00DB"/>
    <w:rsid w:val="007E0133"/>
    <w:rsid w:val="007E024F"/>
    <w:rsid w:val="007E0403"/>
    <w:rsid w:val="007E0450"/>
    <w:rsid w:val="007E04F5"/>
    <w:rsid w:val="007E04FD"/>
    <w:rsid w:val="007E0580"/>
    <w:rsid w:val="007E05A8"/>
    <w:rsid w:val="007E05D3"/>
    <w:rsid w:val="007E0625"/>
    <w:rsid w:val="007E067D"/>
    <w:rsid w:val="007E0695"/>
    <w:rsid w:val="007E0711"/>
    <w:rsid w:val="007E0A2B"/>
    <w:rsid w:val="007E0A66"/>
    <w:rsid w:val="007E0B5A"/>
    <w:rsid w:val="007E0B64"/>
    <w:rsid w:val="007E0BA0"/>
    <w:rsid w:val="007E0BA5"/>
    <w:rsid w:val="007E0BC6"/>
    <w:rsid w:val="007E0C81"/>
    <w:rsid w:val="007E0D33"/>
    <w:rsid w:val="007E0D6B"/>
    <w:rsid w:val="007E0E97"/>
    <w:rsid w:val="007E0F17"/>
    <w:rsid w:val="007E0F20"/>
    <w:rsid w:val="007E1030"/>
    <w:rsid w:val="007E107A"/>
    <w:rsid w:val="007E125F"/>
    <w:rsid w:val="007E12CD"/>
    <w:rsid w:val="007E12DA"/>
    <w:rsid w:val="007E1321"/>
    <w:rsid w:val="007E1365"/>
    <w:rsid w:val="007E138E"/>
    <w:rsid w:val="007E13DE"/>
    <w:rsid w:val="007E14EA"/>
    <w:rsid w:val="007E156B"/>
    <w:rsid w:val="007E158A"/>
    <w:rsid w:val="007E16C9"/>
    <w:rsid w:val="007E1720"/>
    <w:rsid w:val="007E17C9"/>
    <w:rsid w:val="007E183D"/>
    <w:rsid w:val="007E184A"/>
    <w:rsid w:val="007E1973"/>
    <w:rsid w:val="007E19CF"/>
    <w:rsid w:val="007E1A7A"/>
    <w:rsid w:val="007E1AC3"/>
    <w:rsid w:val="007E1ADB"/>
    <w:rsid w:val="007E1AF0"/>
    <w:rsid w:val="007E1B16"/>
    <w:rsid w:val="007E1BFD"/>
    <w:rsid w:val="007E1D33"/>
    <w:rsid w:val="007E1D3F"/>
    <w:rsid w:val="007E1D44"/>
    <w:rsid w:val="007E1DC6"/>
    <w:rsid w:val="007E1DDF"/>
    <w:rsid w:val="007E1DF3"/>
    <w:rsid w:val="007E1F4C"/>
    <w:rsid w:val="007E205C"/>
    <w:rsid w:val="007E2123"/>
    <w:rsid w:val="007E2193"/>
    <w:rsid w:val="007E220F"/>
    <w:rsid w:val="007E2316"/>
    <w:rsid w:val="007E23A8"/>
    <w:rsid w:val="007E247B"/>
    <w:rsid w:val="007E24DE"/>
    <w:rsid w:val="007E2532"/>
    <w:rsid w:val="007E2633"/>
    <w:rsid w:val="007E2751"/>
    <w:rsid w:val="007E2812"/>
    <w:rsid w:val="007E292D"/>
    <w:rsid w:val="007E2937"/>
    <w:rsid w:val="007E2AAD"/>
    <w:rsid w:val="007E2B60"/>
    <w:rsid w:val="007E2C23"/>
    <w:rsid w:val="007E2C5B"/>
    <w:rsid w:val="007E2DC2"/>
    <w:rsid w:val="007E2DE4"/>
    <w:rsid w:val="007E2E1B"/>
    <w:rsid w:val="007E2EB2"/>
    <w:rsid w:val="007E2ECC"/>
    <w:rsid w:val="007E2F11"/>
    <w:rsid w:val="007E2F5D"/>
    <w:rsid w:val="007E3121"/>
    <w:rsid w:val="007E312A"/>
    <w:rsid w:val="007E313D"/>
    <w:rsid w:val="007E3195"/>
    <w:rsid w:val="007E322D"/>
    <w:rsid w:val="007E323C"/>
    <w:rsid w:val="007E363C"/>
    <w:rsid w:val="007E368A"/>
    <w:rsid w:val="007E36B2"/>
    <w:rsid w:val="007E374A"/>
    <w:rsid w:val="007E38F0"/>
    <w:rsid w:val="007E3988"/>
    <w:rsid w:val="007E3CD4"/>
    <w:rsid w:val="007E3D43"/>
    <w:rsid w:val="007E3DD3"/>
    <w:rsid w:val="007E4035"/>
    <w:rsid w:val="007E412B"/>
    <w:rsid w:val="007E41D4"/>
    <w:rsid w:val="007E42C5"/>
    <w:rsid w:val="007E42F4"/>
    <w:rsid w:val="007E43AB"/>
    <w:rsid w:val="007E44AD"/>
    <w:rsid w:val="007E4529"/>
    <w:rsid w:val="007E45AC"/>
    <w:rsid w:val="007E45B3"/>
    <w:rsid w:val="007E470A"/>
    <w:rsid w:val="007E476F"/>
    <w:rsid w:val="007E480E"/>
    <w:rsid w:val="007E497C"/>
    <w:rsid w:val="007E4A7A"/>
    <w:rsid w:val="007E4AE8"/>
    <w:rsid w:val="007E4BCB"/>
    <w:rsid w:val="007E4C20"/>
    <w:rsid w:val="007E4C3B"/>
    <w:rsid w:val="007E4C65"/>
    <w:rsid w:val="007E4CBC"/>
    <w:rsid w:val="007E4DC0"/>
    <w:rsid w:val="007E4DCC"/>
    <w:rsid w:val="007E4E1A"/>
    <w:rsid w:val="007E5007"/>
    <w:rsid w:val="007E51F6"/>
    <w:rsid w:val="007E5280"/>
    <w:rsid w:val="007E53C5"/>
    <w:rsid w:val="007E5427"/>
    <w:rsid w:val="007E5497"/>
    <w:rsid w:val="007E55DC"/>
    <w:rsid w:val="007E57A4"/>
    <w:rsid w:val="007E57BF"/>
    <w:rsid w:val="007E5AB7"/>
    <w:rsid w:val="007E5ACC"/>
    <w:rsid w:val="007E5B06"/>
    <w:rsid w:val="007E5C41"/>
    <w:rsid w:val="007E5CD4"/>
    <w:rsid w:val="007E5E46"/>
    <w:rsid w:val="007E5ECE"/>
    <w:rsid w:val="007E5EEC"/>
    <w:rsid w:val="007E5F3A"/>
    <w:rsid w:val="007E5F50"/>
    <w:rsid w:val="007E5FE0"/>
    <w:rsid w:val="007E61F6"/>
    <w:rsid w:val="007E6237"/>
    <w:rsid w:val="007E6363"/>
    <w:rsid w:val="007E649B"/>
    <w:rsid w:val="007E64AD"/>
    <w:rsid w:val="007E64D9"/>
    <w:rsid w:val="007E652C"/>
    <w:rsid w:val="007E661D"/>
    <w:rsid w:val="007E67E6"/>
    <w:rsid w:val="007E6839"/>
    <w:rsid w:val="007E68D9"/>
    <w:rsid w:val="007E6914"/>
    <w:rsid w:val="007E69AA"/>
    <w:rsid w:val="007E6AC2"/>
    <w:rsid w:val="007E6B2D"/>
    <w:rsid w:val="007E6B94"/>
    <w:rsid w:val="007E6C5E"/>
    <w:rsid w:val="007E6D06"/>
    <w:rsid w:val="007E6DC3"/>
    <w:rsid w:val="007E6DEA"/>
    <w:rsid w:val="007E6E8B"/>
    <w:rsid w:val="007E6F4E"/>
    <w:rsid w:val="007E6F8B"/>
    <w:rsid w:val="007E6FD5"/>
    <w:rsid w:val="007E708C"/>
    <w:rsid w:val="007E71D1"/>
    <w:rsid w:val="007E7274"/>
    <w:rsid w:val="007E729A"/>
    <w:rsid w:val="007E729B"/>
    <w:rsid w:val="007E72B9"/>
    <w:rsid w:val="007E73D8"/>
    <w:rsid w:val="007E745B"/>
    <w:rsid w:val="007E7548"/>
    <w:rsid w:val="007E78E3"/>
    <w:rsid w:val="007E799C"/>
    <w:rsid w:val="007E79F5"/>
    <w:rsid w:val="007E7A80"/>
    <w:rsid w:val="007E7AED"/>
    <w:rsid w:val="007E7E4C"/>
    <w:rsid w:val="007E7EBA"/>
    <w:rsid w:val="007E7EFE"/>
    <w:rsid w:val="007E7F9F"/>
    <w:rsid w:val="007F0127"/>
    <w:rsid w:val="007F0128"/>
    <w:rsid w:val="007F0165"/>
    <w:rsid w:val="007F0177"/>
    <w:rsid w:val="007F024C"/>
    <w:rsid w:val="007F0549"/>
    <w:rsid w:val="007F068D"/>
    <w:rsid w:val="007F071F"/>
    <w:rsid w:val="007F07B3"/>
    <w:rsid w:val="007F08E4"/>
    <w:rsid w:val="007F08F4"/>
    <w:rsid w:val="007F08FB"/>
    <w:rsid w:val="007F0921"/>
    <w:rsid w:val="007F0A22"/>
    <w:rsid w:val="007F0D7A"/>
    <w:rsid w:val="007F0E3D"/>
    <w:rsid w:val="007F0EB1"/>
    <w:rsid w:val="007F0F68"/>
    <w:rsid w:val="007F0F84"/>
    <w:rsid w:val="007F0FA0"/>
    <w:rsid w:val="007F0FAF"/>
    <w:rsid w:val="007F1036"/>
    <w:rsid w:val="007F1081"/>
    <w:rsid w:val="007F1216"/>
    <w:rsid w:val="007F1280"/>
    <w:rsid w:val="007F128D"/>
    <w:rsid w:val="007F12B5"/>
    <w:rsid w:val="007F1339"/>
    <w:rsid w:val="007F13B6"/>
    <w:rsid w:val="007F157E"/>
    <w:rsid w:val="007F15B8"/>
    <w:rsid w:val="007F15F7"/>
    <w:rsid w:val="007F1641"/>
    <w:rsid w:val="007F1644"/>
    <w:rsid w:val="007F16F8"/>
    <w:rsid w:val="007F17F1"/>
    <w:rsid w:val="007F1B59"/>
    <w:rsid w:val="007F1BD0"/>
    <w:rsid w:val="007F1DA4"/>
    <w:rsid w:val="007F1EBC"/>
    <w:rsid w:val="007F1F01"/>
    <w:rsid w:val="007F1FDC"/>
    <w:rsid w:val="007F1FE2"/>
    <w:rsid w:val="007F2055"/>
    <w:rsid w:val="007F213E"/>
    <w:rsid w:val="007F21B2"/>
    <w:rsid w:val="007F2298"/>
    <w:rsid w:val="007F2416"/>
    <w:rsid w:val="007F2492"/>
    <w:rsid w:val="007F249B"/>
    <w:rsid w:val="007F24FD"/>
    <w:rsid w:val="007F25C3"/>
    <w:rsid w:val="007F25CD"/>
    <w:rsid w:val="007F268F"/>
    <w:rsid w:val="007F26E9"/>
    <w:rsid w:val="007F2AF2"/>
    <w:rsid w:val="007F2BE5"/>
    <w:rsid w:val="007F2E3F"/>
    <w:rsid w:val="007F2F16"/>
    <w:rsid w:val="007F3497"/>
    <w:rsid w:val="007F3600"/>
    <w:rsid w:val="007F36DB"/>
    <w:rsid w:val="007F3762"/>
    <w:rsid w:val="007F37A0"/>
    <w:rsid w:val="007F3811"/>
    <w:rsid w:val="007F3912"/>
    <w:rsid w:val="007F3AA9"/>
    <w:rsid w:val="007F3BA5"/>
    <w:rsid w:val="007F3C5E"/>
    <w:rsid w:val="007F3C8C"/>
    <w:rsid w:val="007F3CA7"/>
    <w:rsid w:val="007F3CCD"/>
    <w:rsid w:val="007F3CD8"/>
    <w:rsid w:val="007F3D7F"/>
    <w:rsid w:val="007F3E4D"/>
    <w:rsid w:val="007F3F5D"/>
    <w:rsid w:val="007F3FE1"/>
    <w:rsid w:val="007F3FE8"/>
    <w:rsid w:val="007F4029"/>
    <w:rsid w:val="007F4049"/>
    <w:rsid w:val="007F4052"/>
    <w:rsid w:val="007F405D"/>
    <w:rsid w:val="007F43CB"/>
    <w:rsid w:val="007F4691"/>
    <w:rsid w:val="007F4784"/>
    <w:rsid w:val="007F481D"/>
    <w:rsid w:val="007F4829"/>
    <w:rsid w:val="007F482C"/>
    <w:rsid w:val="007F4891"/>
    <w:rsid w:val="007F48C3"/>
    <w:rsid w:val="007F4939"/>
    <w:rsid w:val="007F4B5B"/>
    <w:rsid w:val="007F4BE9"/>
    <w:rsid w:val="007F4C88"/>
    <w:rsid w:val="007F4C91"/>
    <w:rsid w:val="007F4D20"/>
    <w:rsid w:val="007F4D4A"/>
    <w:rsid w:val="007F4D65"/>
    <w:rsid w:val="007F4E74"/>
    <w:rsid w:val="007F4EAC"/>
    <w:rsid w:val="007F4ECF"/>
    <w:rsid w:val="007F4FCE"/>
    <w:rsid w:val="007F5558"/>
    <w:rsid w:val="007F558D"/>
    <w:rsid w:val="007F55E6"/>
    <w:rsid w:val="007F56B1"/>
    <w:rsid w:val="007F583A"/>
    <w:rsid w:val="007F58DE"/>
    <w:rsid w:val="007F593C"/>
    <w:rsid w:val="007F59A2"/>
    <w:rsid w:val="007F5A37"/>
    <w:rsid w:val="007F5A49"/>
    <w:rsid w:val="007F5AAF"/>
    <w:rsid w:val="007F5BA6"/>
    <w:rsid w:val="007F5C2E"/>
    <w:rsid w:val="007F5C51"/>
    <w:rsid w:val="007F5D00"/>
    <w:rsid w:val="007F5D43"/>
    <w:rsid w:val="007F5E7E"/>
    <w:rsid w:val="007F5F12"/>
    <w:rsid w:val="007F5FA6"/>
    <w:rsid w:val="007F5FF9"/>
    <w:rsid w:val="007F6026"/>
    <w:rsid w:val="007F6057"/>
    <w:rsid w:val="007F61C4"/>
    <w:rsid w:val="007F62AC"/>
    <w:rsid w:val="007F63C0"/>
    <w:rsid w:val="007F63E2"/>
    <w:rsid w:val="007F6436"/>
    <w:rsid w:val="007F6437"/>
    <w:rsid w:val="007F651C"/>
    <w:rsid w:val="007F65A8"/>
    <w:rsid w:val="007F65F1"/>
    <w:rsid w:val="007F6614"/>
    <w:rsid w:val="007F6740"/>
    <w:rsid w:val="007F6785"/>
    <w:rsid w:val="007F68D5"/>
    <w:rsid w:val="007F693B"/>
    <w:rsid w:val="007F696A"/>
    <w:rsid w:val="007F6AD0"/>
    <w:rsid w:val="007F6F3B"/>
    <w:rsid w:val="007F7091"/>
    <w:rsid w:val="007F72A5"/>
    <w:rsid w:val="007F7358"/>
    <w:rsid w:val="007F7484"/>
    <w:rsid w:val="007F7661"/>
    <w:rsid w:val="007F771D"/>
    <w:rsid w:val="007F7774"/>
    <w:rsid w:val="007F7893"/>
    <w:rsid w:val="007F78CE"/>
    <w:rsid w:val="007F795E"/>
    <w:rsid w:val="007F79BC"/>
    <w:rsid w:val="007F7A25"/>
    <w:rsid w:val="007F7A83"/>
    <w:rsid w:val="007F7AF7"/>
    <w:rsid w:val="007F7C01"/>
    <w:rsid w:val="007F7C55"/>
    <w:rsid w:val="007F7C5F"/>
    <w:rsid w:val="007F7D0E"/>
    <w:rsid w:val="007F7D21"/>
    <w:rsid w:val="007F7D57"/>
    <w:rsid w:val="007F7D9D"/>
    <w:rsid w:val="007F7DE5"/>
    <w:rsid w:val="007F7E3B"/>
    <w:rsid w:val="007F7ECF"/>
    <w:rsid w:val="007FA72B"/>
    <w:rsid w:val="0080005B"/>
    <w:rsid w:val="0080007D"/>
    <w:rsid w:val="008000BE"/>
    <w:rsid w:val="008000E8"/>
    <w:rsid w:val="008001CD"/>
    <w:rsid w:val="008002C6"/>
    <w:rsid w:val="008004E6"/>
    <w:rsid w:val="0080056C"/>
    <w:rsid w:val="00800580"/>
    <w:rsid w:val="008006F6"/>
    <w:rsid w:val="0080074C"/>
    <w:rsid w:val="008007D0"/>
    <w:rsid w:val="00800945"/>
    <w:rsid w:val="00800967"/>
    <w:rsid w:val="008009B1"/>
    <w:rsid w:val="00800BDB"/>
    <w:rsid w:val="00800CD7"/>
    <w:rsid w:val="00800E01"/>
    <w:rsid w:val="00800F35"/>
    <w:rsid w:val="0080104E"/>
    <w:rsid w:val="00801126"/>
    <w:rsid w:val="00801166"/>
    <w:rsid w:val="008013BC"/>
    <w:rsid w:val="00801450"/>
    <w:rsid w:val="008014F2"/>
    <w:rsid w:val="008015D1"/>
    <w:rsid w:val="00801600"/>
    <w:rsid w:val="00801606"/>
    <w:rsid w:val="008016E8"/>
    <w:rsid w:val="0080171D"/>
    <w:rsid w:val="008017DB"/>
    <w:rsid w:val="00801816"/>
    <w:rsid w:val="008018FB"/>
    <w:rsid w:val="00801964"/>
    <w:rsid w:val="00801BB1"/>
    <w:rsid w:val="00801BF8"/>
    <w:rsid w:val="00801BFA"/>
    <w:rsid w:val="00801C09"/>
    <w:rsid w:val="00801C28"/>
    <w:rsid w:val="00801C50"/>
    <w:rsid w:val="00801C5E"/>
    <w:rsid w:val="00801CE2"/>
    <w:rsid w:val="00801D09"/>
    <w:rsid w:val="00801DFD"/>
    <w:rsid w:val="00801E16"/>
    <w:rsid w:val="00801EF3"/>
    <w:rsid w:val="00801F0C"/>
    <w:rsid w:val="00802061"/>
    <w:rsid w:val="008021D0"/>
    <w:rsid w:val="0080221D"/>
    <w:rsid w:val="00802244"/>
    <w:rsid w:val="0080230E"/>
    <w:rsid w:val="0080236D"/>
    <w:rsid w:val="0080240F"/>
    <w:rsid w:val="00802454"/>
    <w:rsid w:val="008024A8"/>
    <w:rsid w:val="0080267D"/>
    <w:rsid w:val="008026D9"/>
    <w:rsid w:val="00802801"/>
    <w:rsid w:val="00802A7D"/>
    <w:rsid w:val="00802B2E"/>
    <w:rsid w:val="00802C57"/>
    <w:rsid w:val="00802DC4"/>
    <w:rsid w:val="00802E98"/>
    <w:rsid w:val="00802F40"/>
    <w:rsid w:val="00802FA0"/>
    <w:rsid w:val="008030E4"/>
    <w:rsid w:val="00803148"/>
    <w:rsid w:val="008031E3"/>
    <w:rsid w:val="008032E2"/>
    <w:rsid w:val="00803396"/>
    <w:rsid w:val="00803525"/>
    <w:rsid w:val="00803895"/>
    <w:rsid w:val="008038A7"/>
    <w:rsid w:val="0080392E"/>
    <w:rsid w:val="0080398A"/>
    <w:rsid w:val="00803A63"/>
    <w:rsid w:val="00803B2F"/>
    <w:rsid w:val="00803C41"/>
    <w:rsid w:val="00803C76"/>
    <w:rsid w:val="00803E0F"/>
    <w:rsid w:val="00803F7F"/>
    <w:rsid w:val="00804007"/>
    <w:rsid w:val="00804042"/>
    <w:rsid w:val="008040AA"/>
    <w:rsid w:val="008040CD"/>
    <w:rsid w:val="0080412E"/>
    <w:rsid w:val="008041B4"/>
    <w:rsid w:val="0080430F"/>
    <w:rsid w:val="00804312"/>
    <w:rsid w:val="00804352"/>
    <w:rsid w:val="008043FE"/>
    <w:rsid w:val="0080442A"/>
    <w:rsid w:val="00804470"/>
    <w:rsid w:val="008044C5"/>
    <w:rsid w:val="0080469E"/>
    <w:rsid w:val="008049CD"/>
    <w:rsid w:val="00804AAB"/>
    <w:rsid w:val="00804BE3"/>
    <w:rsid w:val="00804C2C"/>
    <w:rsid w:val="00804DCF"/>
    <w:rsid w:val="00804E72"/>
    <w:rsid w:val="00804F2E"/>
    <w:rsid w:val="00804F4D"/>
    <w:rsid w:val="00805135"/>
    <w:rsid w:val="00805162"/>
    <w:rsid w:val="00805202"/>
    <w:rsid w:val="00805274"/>
    <w:rsid w:val="00805322"/>
    <w:rsid w:val="008053EF"/>
    <w:rsid w:val="00805402"/>
    <w:rsid w:val="008054B6"/>
    <w:rsid w:val="0080550D"/>
    <w:rsid w:val="008055BF"/>
    <w:rsid w:val="008055C2"/>
    <w:rsid w:val="008055D3"/>
    <w:rsid w:val="0080560A"/>
    <w:rsid w:val="008056C8"/>
    <w:rsid w:val="00805736"/>
    <w:rsid w:val="008058B5"/>
    <w:rsid w:val="008059B4"/>
    <w:rsid w:val="00805A0A"/>
    <w:rsid w:val="00805B3E"/>
    <w:rsid w:val="00805CA0"/>
    <w:rsid w:val="00805D97"/>
    <w:rsid w:val="00805E3B"/>
    <w:rsid w:val="008061E9"/>
    <w:rsid w:val="008061FD"/>
    <w:rsid w:val="008062D8"/>
    <w:rsid w:val="008062ED"/>
    <w:rsid w:val="008063EE"/>
    <w:rsid w:val="00806407"/>
    <w:rsid w:val="0080649D"/>
    <w:rsid w:val="008064FA"/>
    <w:rsid w:val="00806510"/>
    <w:rsid w:val="008066B2"/>
    <w:rsid w:val="008066B5"/>
    <w:rsid w:val="00806807"/>
    <w:rsid w:val="0080685E"/>
    <w:rsid w:val="0080689E"/>
    <w:rsid w:val="00806B32"/>
    <w:rsid w:val="00806B6B"/>
    <w:rsid w:val="00806D68"/>
    <w:rsid w:val="00806DED"/>
    <w:rsid w:val="00806E64"/>
    <w:rsid w:val="00807025"/>
    <w:rsid w:val="0080704D"/>
    <w:rsid w:val="0080717D"/>
    <w:rsid w:val="00807273"/>
    <w:rsid w:val="00807448"/>
    <w:rsid w:val="008074F1"/>
    <w:rsid w:val="0080753A"/>
    <w:rsid w:val="00807557"/>
    <w:rsid w:val="0080775D"/>
    <w:rsid w:val="008078FE"/>
    <w:rsid w:val="0080794B"/>
    <w:rsid w:val="00807AC5"/>
    <w:rsid w:val="00807B02"/>
    <w:rsid w:val="00807B35"/>
    <w:rsid w:val="00807BEA"/>
    <w:rsid w:val="00807C0A"/>
    <w:rsid w:val="00807CAF"/>
    <w:rsid w:val="00807CDD"/>
    <w:rsid w:val="00807F59"/>
    <w:rsid w:val="00810130"/>
    <w:rsid w:val="0081023F"/>
    <w:rsid w:val="0081027A"/>
    <w:rsid w:val="0081030D"/>
    <w:rsid w:val="008103F1"/>
    <w:rsid w:val="008103FC"/>
    <w:rsid w:val="0081040C"/>
    <w:rsid w:val="008104D8"/>
    <w:rsid w:val="008104F0"/>
    <w:rsid w:val="0081065D"/>
    <w:rsid w:val="008106C0"/>
    <w:rsid w:val="00810719"/>
    <w:rsid w:val="008108BD"/>
    <w:rsid w:val="008108EA"/>
    <w:rsid w:val="00810916"/>
    <w:rsid w:val="00810A20"/>
    <w:rsid w:val="00810BB0"/>
    <w:rsid w:val="00810C00"/>
    <w:rsid w:val="00810C55"/>
    <w:rsid w:val="00810D49"/>
    <w:rsid w:val="00810D57"/>
    <w:rsid w:val="00810E4C"/>
    <w:rsid w:val="00810E81"/>
    <w:rsid w:val="00810F30"/>
    <w:rsid w:val="0081108D"/>
    <w:rsid w:val="00811122"/>
    <w:rsid w:val="008111BD"/>
    <w:rsid w:val="00811214"/>
    <w:rsid w:val="00811241"/>
    <w:rsid w:val="008112E1"/>
    <w:rsid w:val="008113E2"/>
    <w:rsid w:val="008115B2"/>
    <w:rsid w:val="00811702"/>
    <w:rsid w:val="00811706"/>
    <w:rsid w:val="00811743"/>
    <w:rsid w:val="00811788"/>
    <w:rsid w:val="00811799"/>
    <w:rsid w:val="008118D7"/>
    <w:rsid w:val="00811975"/>
    <w:rsid w:val="00811A79"/>
    <w:rsid w:val="00811B0F"/>
    <w:rsid w:val="00811B5A"/>
    <w:rsid w:val="00811BE1"/>
    <w:rsid w:val="00811CD5"/>
    <w:rsid w:val="00811D32"/>
    <w:rsid w:val="00811EC4"/>
    <w:rsid w:val="0081209C"/>
    <w:rsid w:val="00812101"/>
    <w:rsid w:val="008122B6"/>
    <w:rsid w:val="008122EA"/>
    <w:rsid w:val="0081231D"/>
    <w:rsid w:val="00812343"/>
    <w:rsid w:val="00812387"/>
    <w:rsid w:val="0081248B"/>
    <w:rsid w:val="008124CA"/>
    <w:rsid w:val="00812512"/>
    <w:rsid w:val="00812662"/>
    <w:rsid w:val="00812727"/>
    <w:rsid w:val="00812732"/>
    <w:rsid w:val="00812738"/>
    <w:rsid w:val="0081276E"/>
    <w:rsid w:val="00812791"/>
    <w:rsid w:val="0081283D"/>
    <w:rsid w:val="008128A1"/>
    <w:rsid w:val="00812A86"/>
    <w:rsid w:val="00812A93"/>
    <w:rsid w:val="00812ACE"/>
    <w:rsid w:val="00812B53"/>
    <w:rsid w:val="00812CA3"/>
    <w:rsid w:val="00812CE9"/>
    <w:rsid w:val="00812D42"/>
    <w:rsid w:val="00812D62"/>
    <w:rsid w:val="00812E59"/>
    <w:rsid w:val="00812EE2"/>
    <w:rsid w:val="00812EED"/>
    <w:rsid w:val="00812F2E"/>
    <w:rsid w:val="00812F34"/>
    <w:rsid w:val="00812F59"/>
    <w:rsid w:val="00813016"/>
    <w:rsid w:val="008130BB"/>
    <w:rsid w:val="008132ED"/>
    <w:rsid w:val="00813360"/>
    <w:rsid w:val="0081338F"/>
    <w:rsid w:val="008133AB"/>
    <w:rsid w:val="008133D9"/>
    <w:rsid w:val="008133F3"/>
    <w:rsid w:val="00813474"/>
    <w:rsid w:val="00813588"/>
    <w:rsid w:val="00813720"/>
    <w:rsid w:val="008137AC"/>
    <w:rsid w:val="008137AF"/>
    <w:rsid w:val="00813814"/>
    <w:rsid w:val="0081392A"/>
    <w:rsid w:val="008139C0"/>
    <w:rsid w:val="008139EE"/>
    <w:rsid w:val="00813A06"/>
    <w:rsid w:val="00813C3D"/>
    <w:rsid w:val="00813D32"/>
    <w:rsid w:val="00813D87"/>
    <w:rsid w:val="00813FAE"/>
    <w:rsid w:val="0081401E"/>
    <w:rsid w:val="0081402A"/>
    <w:rsid w:val="0081403F"/>
    <w:rsid w:val="00814076"/>
    <w:rsid w:val="00814148"/>
    <w:rsid w:val="008141D5"/>
    <w:rsid w:val="0081443A"/>
    <w:rsid w:val="0081448E"/>
    <w:rsid w:val="0081460C"/>
    <w:rsid w:val="00814660"/>
    <w:rsid w:val="00814676"/>
    <w:rsid w:val="0081485E"/>
    <w:rsid w:val="008148DE"/>
    <w:rsid w:val="00814A82"/>
    <w:rsid w:val="00814ABD"/>
    <w:rsid w:val="00814B39"/>
    <w:rsid w:val="00814C05"/>
    <w:rsid w:val="00814C74"/>
    <w:rsid w:val="00814C81"/>
    <w:rsid w:val="00814D60"/>
    <w:rsid w:val="00814DED"/>
    <w:rsid w:val="00814FD9"/>
    <w:rsid w:val="00815024"/>
    <w:rsid w:val="00815071"/>
    <w:rsid w:val="008150A6"/>
    <w:rsid w:val="0081528D"/>
    <w:rsid w:val="008153E5"/>
    <w:rsid w:val="008155B2"/>
    <w:rsid w:val="00815620"/>
    <w:rsid w:val="0081572D"/>
    <w:rsid w:val="00815778"/>
    <w:rsid w:val="00815915"/>
    <w:rsid w:val="00815960"/>
    <w:rsid w:val="008159AA"/>
    <w:rsid w:val="00815A07"/>
    <w:rsid w:val="00815CEA"/>
    <w:rsid w:val="00815DB1"/>
    <w:rsid w:val="00815F56"/>
    <w:rsid w:val="00815FEA"/>
    <w:rsid w:val="00816051"/>
    <w:rsid w:val="008162BA"/>
    <w:rsid w:val="00816412"/>
    <w:rsid w:val="00816491"/>
    <w:rsid w:val="008164AA"/>
    <w:rsid w:val="00816575"/>
    <w:rsid w:val="0081658C"/>
    <w:rsid w:val="008166E8"/>
    <w:rsid w:val="0081671A"/>
    <w:rsid w:val="00816898"/>
    <w:rsid w:val="008168A8"/>
    <w:rsid w:val="00816959"/>
    <w:rsid w:val="008169B7"/>
    <w:rsid w:val="00816A4F"/>
    <w:rsid w:val="00816AAB"/>
    <w:rsid w:val="00816C26"/>
    <w:rsid w:val="00816EB9"/>
    <w:rsid w:val="00816EEF"/>
    <w:rsid w:val="00816F46"/>
    <w:rsid w:val="00816F70"/>
    <w:rsid w:val="00816FE1"/>
    <w:rsid w:val="00817077"/>
    <w:rsid w:val="00817121"/>
    <w:rsid w:val="008171BA"/>
    <w:rsid w:val="00817242"/>
    <w:rsid w:val="0081728C"/>
    <w:rsid w:val="008173E0"/>
    <w:rsid w:val="00817439"/>
    <w:rsid w:val="008174B6"/>
    <w:rsid w:val="008175E0"/>
    <w:rsid w:val="00817619"/>
    <w:rsid w:val="0081764D"/>
    <w:rsid w:val="008178D6"/>
    <w:rsid w:val="00817A75"/>
    <w:rsid w:val="00817BD9"/>
    <w:rsid w:val="00817C76"/>
    <w:rsid w:val="00817CA4"/>
    <w:rsid w:val="00817CAC"/>
    <w:rsid w:val="00817CF0"/>
    <w:rsid w:val="00817D51"/>
    <w:rsid w:val="00817E6E"/>
    <w:rsid w:val="00817F11"/>
    <w:rsid w:val="00817FFC"/>
    <w:rsid w:val="008200E7"/>
    <w:rsid w:val="00820104"/>
    <w:rsid w:val="00820159"/>
    <w:rsid w:val="008202B8"/>
    <w:rsid w:val="008203A4"/>
    <w:rsid w:val="008203C0"/>
    <w:rsid w:val="008203C9"/>
    <w:rsid w:val="008204BF"/>
    <w:rsid w:val="008205A7"/>
    <w:rsid w:val="0082061F"/>
    <w:rsid w:val="00820648"/>
    <w:rsid w:val="00820702"/>
    <w:rsid w:val="0082077F"/>
    <w:rsid w:val="00820ABD"/>
    <w:rsid w:val="00820ACD"/>
    <w:rsid w:val="00820C86"/>
    <w:rsid w:val="00820D57"/>
    <w:rsid w:val="00820D65"/>
    <w:rsid w:val="00820D7A"/>
    <w:rsid w:val="00820DA8"/>
    <w:rsid w:val="00820DD8"/>
    <w:rsid w:val="00820EE7"/>
    <w:rsid w:val="008210D5"/>
    <w:rsid w:val="008210D8"/>
    <w:rsid w:val="008212AD"/>
    <w:rsid w:val="008212D3"/>
    <w:rsid w:val="0082132C"/>
    <w:rsid w:val="00821349"/>
    <w:rsid w:val="0082141A"/>
    <w:rsid w:val="00821550"/>
    <w:rsid w:val="008215A2"/>
    <w:rsid w:val="008216B1"/>
    <w:rsid w:val="0082194A"/>
    <w:rsid w:val="00821A58"/>
    <w:rsid w:val="00821AA9"/>
    <w:rsid w:val="00821BA0"/>
    <w:rsid w:val="00821C9C"/>
    <w:rsid w:val="00821D9F"/>
    <w:rsid w:val="00821DA3"/>
    <w:rsid w:val="00821E41"/>
    <w:rsid w:val="00821E42"/>
    <w:rsid w:val="00821E92"/>
    <w:rsid w:val="00821F0D"/>
    <w:rsid w:val="00821FC2"/>
    <w:rsid w:val="0082212C"/>
    <w:rsid w:val="0082215D"/>
    <w:rsid w:val="008221BB"/>
    <w:rsid w:val="00822237"/>
    <w:rsid w:val="008222C4"/>
    <w:rsid w:val="008222F7"/>
    <w:rsid w:val="008222FF"/>
    <w:rsid w:val="00822475"/>
    <w:rsid w:val="008224D2"/>
    <w:rsid w:val="00822568"/>
    <w:rsid w:val="00822676"/>
    <w:rsid w:val="00822789"/>
    <w:rsid w:val="00822825"/>
    <w:rsid w:val="008228F0"/>
    <w:rsid w:val="0082299A"/>
    <w:rsid w:val="00822A12"/>
    <w:rsid w:val="00822A84"/>
    <w:rsid w:val="00822B67"/>
    <w:rsid w:val="00822BED"/>
    <w:rsid w:val="00822D13"/>
    <w:rsid w:val="00822D77"/>
    <w:rsid w:val="00822EB6"/>
    <w:rsid w:val="00822F5D"/>
    <w:rsid w:val="00822FFA"/>
    <w:rsid w:val="00823000"/>
    <w:rsid w:val="00823049"/>
    <w:rsid w:val="0082316A"/>
    <w:rsid w:val="008231D2"/>
    <w:rsid w:val="008231D4"/>
    <w:rsid w:val="008232D7"/>
    <w:rsid w:val="008233CF"/>
    <w:rsid w:val="008233F8"/>
    <w:rsid w:val="008234FE"/>
    <w:rsid w:val="00823510"/>
    <w:rsid w:val="00823669"/>
    <w:rsid w:val="00823755"/>
    <w:rsid w:val="00823769"/>
    <w:rsid w:val="00823775"/>
    <w:rsid w:val="008237B8"/>
    <w:rsid w:val="008237C0"/>
    <w:rsid w:val="00823808"/>
    <w:rsid w:val="00823873"/>
    <w:rsid w:val="00823953"/>
    <w:rsid w:val="008239BD"/>
    <w:rsid w:val="00823A19"/>
    <w:rsid w:val="00823A4A"/>
    <w:rsid w:val="00823A53"/>
    <w:rsid w:val="00823B3C"/>
    <w:rsid w:val="00823B6C"/>
    <w:rsid w:val="00823C24"/>
    <w:rsid w:val="00823C32"/>
    <w:rsid w:val="00823D67"/>
    <w:rsid w:val="00823E73"/>
    <w:rsid w:val="00823F00"/>
    <w:rsid w:val="00823F34"/>
    <w:rsid w:val="00823FE8"/>
    <w:rsid w:val="0082412A"/>
    <w:rsid w:val="008241A7"/>
    <w:rsid w:val="008241B7"/>
    <w:rsid w:val="0082424D"/>
    <w:rsid w:val="0082428C"/>
    <w:rsid w:val="008243A7"/>
    <w:rsid w:val="008243F0"/>
    <w:rsid w:val="00824498"/>
    <w:rsid w:val="00824571"/>
    <w:rsid w:val="0082467C"/>
    <w:rsid w:val="008246C9"/>
    <w:rsid w:val="00824765"/>
    <w:rsid w:val="00824799"/>
    <w:rsid w:val="008248A3"/>
    <w:rsid w:val="008248BB"/>
    <w:rsid w:val="00824937"/>
    <w:rsid w:val="00824ACB"/>
    <w:rsid w:val="00824BE4"/>
    <w:rsid w:val="00824D31"/>
    <w:rsid w:val="00824F05"/>
    <w:rsid w:val="00824F20"/>
    <w:rsid w:val="0082519B"/>
    <w:rsid w:val="00825208"/>
    <w:rsid w:val="008253D5"/>
    <w:rsid w:val="008254E4"/>
    <w:rsid w:val="00825552"/>
    <w:rsid w:val="008255BE"/>
    <w:rsid w:val="008255C2"/>
    <w:rsid w:val="00825733"/>
    <w:rsid w:val="0082576D"/>
    <w:rsid w:val="0082581C"/>
    <w:rsid w:val="00825936"/>
    <w:rsid w:val="008259A8"/>
    <w:rsid w:val="00825A20"/>
    <w:rsid w:val="00825A40"/>
    <w:rsid w:val="00825A95"/>
    <w:rsid w:val="00825AA3"/>
    <w:rsid w:val="00825AED"/>
    <w:rsid w:val="00825B8B"/>
    <w:rsid w:val="00825C54"/>
    <w:rsid w:val="00825E0F"/>
    <w:rsid w:val="00825FB0"/>
    <w:rsid w:val="00825FDF"/>
    <w:rsid w:val="0082612E"/>
    <w:rsid w:val="00826150"/>
    <w:rsid w:val="008261E0"/>
    <w:rsid w:val="0082645F"/>
    <w:rsid w:val="008264DD"/>
    <w:rsid w:val="00826565"/>
    <w:rsid w:val="0082668C"/>
    <w:rsid w:val="008266E5"/>
    <w:rsid w:val="008268EC"/>
    <w:rsid w:val="00826966"/>
    <w:rsid w:val="00826973"/>
    <w:rsid w:val="00826A07"/>
    <w:rsid w:val="00826A4D"/>
    <w:rsid w:val="00826AF1"/>
    <w:rsid w:val="00826B5A"/>
    <w:rsid w:val="00826D79"/>
    <w:rsid w:val="00826E75"/>
    <w:rsid w:val="00826EED"/>
    <w:rsid w:val="00826F45"/>
    <w:rsid w:val="00826F61"/>
    <w:rsid w:val="008270B7"/>
    <w:rsid w:val="008270CE"/>
    <w:rsid w:val="0082717C"/>
    <w:rsid w:val="008271AE"/>
    <w:rsid w:val="00827315"/>
    <w:rsid w:val="00827379"/>
    <w:rsid w:val="0082739E"/>
    <w:rsid w:val="008273D3"/>
    <w:rsid w:val="0082753E"/>
    <w:rsid w:val="008275CF"/>
    <w:rsid w:val="00827653"/>
    <w:rsid w:val="008277E3"/>
    <w:rsid w:val="00827865"/>
    <w:rsid w:val="00827871"/>
    <w:rsid w:val="008279D6"/>
    <w:rsid w:val="00827A05"/>
    <w:rsid w:val="00827BAB"/>
    <w:rsid w:val="00827DAE"/>
    <w:rsid w:val="00827E8D"/>
    <w:rsid w:val="00827EBD"/>
    <w:rsid w:val="0083005D"/>
    <w:rsid w:val="00830250"/>
    <w:rsid w:val="00830295"/>
    <w:rsid w:val="00830432"/>
    <w:rsid w:val="00830492"/>
    <w:rsid w:val="00830543"/>
    <w:rsid w:val="00830559"/>
    <w:rsid w:val="008305F0"/>
    <w:rsid w:val="008306BE"/>
    <w:rsid w:val="008306C4"/>
    <w:rsid w:val="0083075F"/>
    <w:rsid w:val="00830864"/>
    <w:rsid w:val="00830904"/>
    <w:rsid w:val="008309F1"/>
    <w:rsid w:val="00830AA6"/>
    <w:rsid w:val="00830BBB"/>
    <w:rsid w:val="00830CE0"/>
    <w:rsid w:val="00830D28"/>
    <w:rsid w:val="00830DC9"/>
    <w:rsid w:val="00830DCB"/>
    <w:rsid w:val="00830E21"/>
    <w:rsid w:val="00830E4C"/>
    <w:rsid w:val="00830EDA"/>
    <w:rsid w:val="0083112E"/>
    <w:rsid w:val="00831245"/>
    <w:rsid w:val="008313B4"/>
    <w:rsid w:val="0083144B"/>
    <w:rsid w:val="008314B7"/>
    <w:rsid w:val="00831889"/>
    <w:rsid w:val="00831A6B"/>
    <w:rsid w:val="00831A98"/>
    <w:rsid w:val="00831B2F"/>
    <w:rsid w:val="00831B69"/>
    <w:rsid w:val="00831C10"/>
    <w:rsid w:val="00831C82"/>
    <w:rsid w:val="00831CE2"/>
    <w:rsid w:val="00831DB4"/>
    <w:rsid w:val="00831FCD"/>
    <w:rsid w:val="00832048"/>
    <w:rsid w:val="0083206B"/>
    <w:rsid w:val="00832265"/>
    <w:rsid w:val="0083235F"/>
    <w:rsid w:val="00832397"/>
    <w:rsid w:val="008323B7"/>
    <w:rsid w:val="008323C5"/>
    <w:rsid w:val="008323CE"/>
    <w:rsid w:val="008325E9"/>
    <w:rsid w:val="00832639"/>
    <w:rsid w:val="00832686"/>
    <w:rsid w:val="008326F0"/>
    <w:rsid w:val="0083271A"/>
    <w:rsid w:val="0083280A"/>
    <w:rsid w:val="0083281D"/>
    <w:rsid w:val="008328AD"/>
    <w:rsid w:val="008328DD"/>
    <w:rsid w:val="0083296E"/>
    <w:rsid w:val="008329E6"/>
    <w:rsid w:val="00832A63"/>
    <w:rsid w:val="00832AC3"/>
    <w:rsid w:val="00832B00"/>
    <w:rsid w:val="00832C43"/>
    <w:rsid w:val="00832C69"/>
    <w:rsid w:val="00832EB1"/>
    <w:rsid w:val="00833000"/>
    <w:rsid w:val="00833001"/>
    <w:rsid w:val="0083300B"/>
    <w:rsid w:val="00833283"/>
    <w:rsid w:val="008332CE"/>
    <w:rsid w:val="0083330F"/>
    <w:rsid w:val="00833319"/>
    <w:rsid w:val="008333A7"/>
    <w:rsid w:val="008333F3"/>
    <w:rsid w:val="00833537"/>
    <w:rsid w:val="00833545"/>
    <w:rsid w:val="008335D6"/>
    <w:rsid w:val="0083366F"/>
    <w:rsid w:val="008336A1"/>
    <w:rsid w:val="00833819"/>
    <w:rsid w:val="00833926"/>
    <w:rsid w:val="00833935"/>
    <w:rsid w:val="00833A1C"/>
    <w:rsid w:val="00833AEB"/>
    <w:rsid w:val="00833C26"/>
    <w:rsid w:val="00833C55"/>
    <w:rsid w:val="00833D30"/>
    <w:rsid w:val="00833EF7"/>
    <w:rsid w:val="00834002"/>
    <w:rsid w:val="00834272"/>
    <w:rsid w:val="008343E5"/>
    <w:rsid w:val="008343E8"/>
    <w:rsid w:val="00834413"/>
    <w:rsid w:val="00834461"/>
    <w:rsid w:val="0083453C"/>
    <w:rsid w:val="0083468E"/>
    <w:rsid w:val="008347A8"/>
    <w:rsid w:val="0083482E"/>
    <w:rsid w:val="00834868"/>
    <w:rsid w:val="00834881"/>
    <w:rsid w:val="008348AC"/>
    <w:rsid w:val="008349F3"/>
    <w:rsid w:val="00834ADC"/>
    <w:rsid w:val="00834B12"/>
    <w:rsid w:val="00834CA8"/>
    <w:rsid w:val="00834CF1"/>
    <w:rsid w:val="00834DAA"/>
    <w:rsid w:val="00834E7D"/>
    <w:rsid w:val="00834EAF"/>
    <w:rsid w:val="00834FD5"/>
    <w:rsid w:val="008350D5"/>
    <w:rsid w:val="008353C7"/>
    <w:rsid w:val="008354E6"/>
    <w:rsid w:val="008355C4"/>
    <w:rsid w:val="008355CB"/>
    <w:rsid w:val="008355D5"/>
    <w:rsid w:val="00835649"/>
    <w:rsid w:val="0083568A"/>
    <w:rsid w:val="00835727"/>
    <w:rsid w:val="008359D0"/>
    <w:rsid w:val="00835AC3"/>
    <w:rsid w:val="00835BFD"/>
    <w:rsid w:val="00835C78"/>
    <w:rsid w:val="00835DD0"/>
    <w:rsid w:val="00835F0A"/>
    <w:rsid w:val="00835FA2"/>
    <w:rsid w:val="0083602A"/>
    <w:rsid w:val="008360B8"/>
    <w:rsid w:val="0083614C"/>
    <w:rsid w:val="00836261"/>
    <w:rsid w:val="00836300"/>
    <w:rsid w:val="00836687"/>
    <w:rsid w:val="008366F4"/>
    <w:rsid w:val="008367CD"/>
    <w:rsid w:val="00836A2A"/>
    <w:rsid w:val="00836C21"/>
    <w:rsid w:val="00836DC8"/>
    <w:rsid w:val="00836DEC"/>
    <w:rsid w:val="00836FFE"/>
    <w:rsid w:val="008370B5"/>
    <w:rsid w:val="008371B9"/>
    <w:rsid w:val="00837372"/>
    <w:rsid w:val="00837453"/>
    <w:rsid w:val="00837520"/>
    <w:rsid w:val="00837638"/>
    <w:rsid w:val="00837645"/>
    <w:rsid w:val="00837702"/>
    <w:rsid w:val="00837737"/>
    <w:rsid w:val="00837903"/>
    <w:rsid w:val="0083790E"/>
    <w:rsid w:val="00837930"/>
    <w:rsid w:val="00837BD0"/>
    <w:rsid w:val="00837C7B"/>
    <w:rsid w:val="00837D23"/>
    <w:rsid w:val="00837E87"/>
    <w:rsid w:val="00837EAB"/>
    <w:rsid w:val="00837F23"/>
    <w:rsid w:val="00837F84"/>
    <w:rsid w:val="00840029"/>
    <w:rsid w:val="0084004B"/>
    <w:rsid w:val="008400C1"/>
    <w:rsid w:val="008400EE"/>
    <w:rsid w:val="0084026E"/>
    <w:rsid w:val="00840334"/>
    <w:rsid w:val="00840424"/>
    <w:rsid w:val="00840436"/>
    <w:rsid w:val="00840452"/>
    <w:rsid w:val="00840544"/>
    <w:rsid w:val="008405BB"/>
    <w:rsid w:val="0084075D"/>
    <w:rsid w:val="0084079E"/>
    <w:rsid w:val="008408B0"/>
    <w:rsid w:val="008408FC"/>
    <w:rsid w:val="00840983"/>
    <w:rsid w:val="00840A6E"/>
    <w:rsid w:val="00840A7C"/>
    <w:rsid w:val="00840B6A"/>
    <w:rsid w:val="00840B80"/>
    <w:rsid w:val="00840BC9"/>
    <w:rsid w:val="00840BD2"/>
    <w:rsid w:val="00840D13"/>
    <w:rsid w:val="00840E0D"/>
    <w:rsid w:val="00840F15"/>
    <w:rsid w:val="00840F2E"/>
    <w:rsid w:val="00840F34"/>
    <w:rsid w:val="00841078"/>
    <w:rsid w:val="008410EF"/>
    <w:rsid w:val="0084110D"/>
    <w:rsid w:val="008411FB"/>
    <w:rsid w:val="00841396"/>
    <w:rsid w:val="0084157F"/>
    <w:rsid w:val="00841676"/>
    <w:rsid w:val="008416C1"/>
    <w:rsid w:val="0084176D"/>
    <w:rsid w:val="008417B9"/>
    <w:rsid w:val="0084181A"/>
    <w:rsid w:val="00841924"/>
    <w:rsid w:val="00841932"/>
    <w:rsid w:val="00841A24"/>
    <w:rsid w:val="00841A9C"/>
    <w:rsid w:val="00841AB3"/>
    <w:rsid w:val="00841E58"/>
    <w:rsid w:val="00841E95"/>
    <w:rsid w:val="00842043"/>
    <w:rsid w:val="0084234D"/>
    <w:rsid w:val="008423AD"/>
    <w:rsid w:val="00842511"/>
    <w:rsid w:val="008425A1"/>
    <w:rsid w:val="008425E7"/>
    <w:rsid w:val="008427BD"/>
    <w:rsid w:val="00842801"/>
    <w:rsid w:val="008428A0"/>
    <w:rsid w:val="008428CC"/>
    <w:rsid w:val="008428F9"/>
    <w:rsid w:val="00842987"/>
    <w:rsid w:val="008429B0"/>
    <w:rsid w:val="00842C1A"/>
    <w:rsid w:val="00842C2C"/>
    <w:rsid w:val="00842D6C"/>
    <w:rsid w:val="00842DCE"/>
    <w:rsid w:val="00842E74"/>
    <w:rsid w:val="00842F0B"/>
    <w:rsid w:val="00842F4C"/>
    <w:rsid w:val="00842F7E"/>
    <w:rsid w:val="00842F96"/>
    <w:rsid w:val="00842FD2"/>
    <w:rsid w:val="00843202"/>
    <w:rsid w:val="00843221"/>
    <w:rsid w:val="00843273"/>
    <w:rsid w:val="00843318"/>
    <w:rsid w:val="00843541"/>
    <w:rsid w:val="008435D5"/>
    <w:rsid w:val="008436B9"/>
    <w:rsid w:val="00843707"/>
    <w:rsid w:val="00843A20"/>
    <w:rsid w:val="00843A2E"/>
    <w:rsid w:val="00843ADD"/>
    <w:rsid w:val="00843B9B"/>
    <w:rsid w:val="00843BAB"/>
    <w:rsid w:val="00843BFA"/>
    <w:rsid w:val="00843C2E"/>
    <w:rsid w:val="00843E29"/>
    <w:rsid w:val="00843E50"/>
    <w:rsid w:val="00843E98"/>
    <w:rsid w:val="00843F73"/>
    <w:rsid w:val="00843FF9"/>
    <w:rsid w:val="00844025"/>
    <w:rsid w:val="008440F6"/>
    <w:rsid w:val="008441B7"/>
    <w:rsid w:val="008443D8"/>
    <w:rsid w:val="0084447D"/>
    <w:rsid w:val="008444BE"/>
    <w:rsid w:val="00844529"/>
    <w:rsid w:val="00844644"/>
    <w:rsid w:val="008446AB"/>
    <w:rsid w:val="008446FF"/>
    <w:rsid w:val="00844710"/>
    <w:rsid w:val="008448DB"/>
    <w:rsid w:val="00844939"/>
    <w:rsid w:val="00844987"/>
    <w:rsid w:val="008449A9"/>
    <w:rsid w:val="00844B55"/>
    <w:rsid w:val="00844BBF"/>
    <w:rsid w:val="00844C3D"/>
    <w:rsid w:val="00844D55"/>
    <w:rsid w:val="00844D8D"/>
    <w:rsid w:val="00844E10"/>
    <w:rsid w:val="00844EBE"/>
    <w:rsid w:val="00844EFD"/>
    <w:rsid w:val="00844F6A"/>
    <w:rsid w:val="00844F6D"/>
    <w:rsid w:val="00844FD8"/>
    <w:rsid w:val="008450F4"/>
    <w:rsid w:val="0084512A"/>
    <w:rsid w:val="0084513A"/>
    <w:rsid w:val="0084550C"/>
    <w:rsid w:val="00845641"/>
    <w:rsid w:val="00845823"/>
    <w:rsid w:val="00845855"/>
    <w:rsid w:val="00845891"/>
    <w:rsid w:val="0084594A"/>
    <w:rsid w:val="00845B27"/>
    <w:rsid w:val="00845B44"/>
    <w:rsid w:val="00845BA1"/>
    <w:rsid w:val="00845C6A"/>
    <w:rsid w:val="00845D53"/>
    <w:rsid w:val="00845D55"/>
    <w:rsid w:val="00846076"/>
    <w:rsid w:val="00846124"/>
    <w:rsid w:val="0084613A"/>
    <w:rsid w:val="0084615A"/>
    <w:rsid w:val="00846282"/>
    <w:rsid w:val="008462EE"/>
    <w:rsid w:val="00846499"/>
    <w:rsid w:val="0084660D"/>
    <w:rsid w:val="008466F5"/>
    <w:rsid w:val="00846807"/>
    <w:rsid w:val="00846819"/>
    <w:rsid w:val="00846911"/>
    <w:rsid w:val="00846921"/>
    <w:rsid w:val="0084692F"/>
    <w:rsid w:val="008469D5"/>
    <w:rsid w:val="00846C7C"/>
    <w:rsid w:val="00846D27"/>
    <w:rsid w:val="00846D61"/>
    <w:rsid w:val="00846D7F"/>
    <w:rsid w:val="00846EDB"/>
    <w:rsid w:val="00846F04"/>
    <w:rsid w:val="00846FC2"/>
    <w:rsid w:val="0084706E"/>
    <w:rsid w:val="008470C2"/>
    <w:rsid w:val="00847287"/>
    <w:rsid w:val="0084729F"/>
    <w:rsid w:val="008472EC"/>
    <w:rsid w:val="00847569"/>
    <w:rsid w:val="0084756C"/>
    <w:rsid w:val="008475DA"/>
    <w:rsid w:val="008476D1"/>
    <w:rsid w:val="00847979"/>
    <w:rsid w:val="00847AD0"/>
    <w:rsid w:val="00847B24"/>
    <w:rsid w:val="00847D42"/>
    <w:rsid w:val="00847D52"/>
    <w:rsid w:val="00847DFE"/>
    <w:rsid w:val="0085002B"/>
    <w:rsid w:val="00850080"/>
    <w:rsid w:val="008501B8"/>
    <w:rsid w:val="00850250"/>
    <w:rsid w:val="0085033A"/>
    <w:rsid w:val="00850401"/>
    <w:rsid w:val="00850493"/>
    <w:rsid w:val="0085052A"/>
    <w:rsid w:val="00850582"/>
    <w:rsid w:val="008505FC"/>
    <w:rsid w:val="00850693"/>
    <w:rsid w:val="008506BE"/>
    <w:rsid w:val="00850880"/>
    <w:rsid w:val="00850913"/>
    <w:rsid w:val="00850926"/>
    <w:rsid w:val="008509FF"/>
    <w:rsid w:val="00850AF2"/>
    <w:rsid w:val="00850BBC"/>
    <w:rsid w:val="00850C73"/>
    <w:rsid w:val="00850D0D"/>
    <w:rsid w:val="00850D8A"/>
    <w:rsid w:val="00850DB1"/>
    <w:rsid w:val="00850E2B"/>
    <w:rsid w:val="00850E82"/>
    <w:rsid w:val="00850EA4"/>
    <w:rsid w:val="00850F22"/>
    <w:rsid w:val="00850F60"/>
    <w:rsid w:val="00851143"/>
    <w:rsid w:val="0085119D"/>
    <w:rsid w:val="00851353"/>
    <w:rsid w:val="008513A5"/>
    <w:rsid w:val="008513D0"/>
    <w:rsid w:val="0085141F"/>
    <w:rsid w:val="00851484"/>
    <w:rsid w:val="0085148E"/>
    <w:rsid w:val="008514BA"/>
    <w:rsid w:val="008514FD"/>
    <w:rsid w:val="0085153C"/>
    <w:rsid w:val="00851585"/>
    <w:rsid w:val="0085183C"/>
    <w:rsid w:val="00851951"/>
    <w:rsid w:val="00851952"/>
    <w:rsid w:val="00851971"/>
    <w:rsid w:val="00851A22"/>
    <w:rsid w:val="00851ACB"/>
    <w:rsid w:val="00851B63"/>
    <w:rsid w:val="00851B89"/>
    <w:rsid w:val="00851DFB"/>
    <w:rsid w:val="00851EBC"/>
    <w:rsid w:val="00851F96"/>
    <w:rsid w:val="00851FA1"/>
    <w:rsid w:val="00851FD3"/>
    <w:rsid w:val="0085224C"/>
    <w:rsid w:val="00852255"/>
    <w:rsid w:val="00852295"/>
    <w:rsid w:val="00852428"/>
    <w:rsid w:val="008524EC"/>
    <w:rsid w:val="00852528"/>
    <w:rsid w:val="008525C6"/>
    <w:rsid w:val="008525EA"/>
    <w:rsid w:val="00852732"/>
    <w:rsid w:val="008527D6"/>
    <w:rsid w:val="00852897"/>
    <w:rsid w:val="00852913"/>
    <w:rsid w:val="00852930"/>
    <w:rsid w:val="00852ADE"/>
    <w:rsid w:val="00852AE2"/>
    <w:rsid w:val="00852B76"/>
    <w:rsid w:val="00852BF8"/>
    <w:rsid w:val="00852C46"/>
    <w:rsid w:val="00852D9E"/>
    <w:rsid w:val="00852E93"/>
    <w:rsid w:val="00852F34"/>
    <w:rsid w:val="00853131"/>
    <w:rsid w:val="0085315D"/>
    <w:rsid w:val="008532CD"/>
    <w:rsid w:val="0085342B"/>
    <w:rsid w:val="00853490"/>
    <w:rsid w:val="008534E0"/>
    <w:rsid w:val="00853765"/>
    <w:rsid w:val="008537EA"/>
    <w:rsid w:val="00853A17"/>
    <w:rsid w:val="00853A28"/>
    <w:rsid w:val="00853A38"/>
    <w:rsid w:val="00853ACA"/>
    <w:rsid w:val="00853AED"/>
    <w:rsid w:val="00853C32"/>
    <w:rsid w:val="00853CA6"/>
    <w:rsid w:val="00853CFE"/>
    <w:rsid w:val="00853D36"/>
    <w:rsid w:val="00853D79"/>
    <w:rsid w:val="00853DA8"/>
    <w:rsid w:val="00853F2A"/>
    <w:rsid w:val="00853F69"/>
    <w:rsid w:val="008540BD"/>
    <w:rsid w:val="008540CD"/>
    <w:rsid w:val="0085415A"/>
    <w:rsid w:val="0085416E"/>
    <w:rsid w:val="00854329"/>
    <w:rsid w:val="00854440"/>
    <w:rsid w:val="00854478"/>
    <w:rsid w:val="008544F0"/>
    <w:rsid w:val="00854512"/>
    <w:rsid w:val="008545ED"/>
    <w:rsid w:val="00854600"/>
    <w:rsid w:val="0085482D"/>
    <w:rsid w:val="00854A09"/>
    <w:rsid w:val="00854A9A"/>
    <w:rsid w:val="00854AA6"/>
    <w:rsid w:val="00854AF3"/>
    <w:rsid w:val="00854B3E"/>
    <w:rsid w:val="00854BD3"/>
    <w:rsid w:val="00854CC9"/>
    <w:rsid w:val="00854DF5"/>
    <w:rsid w:val="00854E17"/>
    <w:rsid w:val="00854EBC"/>
    <w:rsid w:val="0085503B"/>
    <w:rsid w:val="00855057"/>
    <w:rsid w:val="0085515E"/>
    <w:rsid w:val="00855236"/>
    <w:rsid w:val="00855237"/>
    <w:rsid w:val="0085528D"/>
    <w:rsid w:val="0085531B"/>
    <w:rsid w:val="00855320"/>
    <w:rsid w:val="008553D4"/>
    <w:rsid w:val="008553EA"/>
    <w:rsid w:val="00855522"/>
    <w:rsid w:val="00855593"/>
    <w:rsid w:val="008555DC"/>
    <w:rsid w:val="0085563E"/>
    <w:rsid w:val="008556EF"/>
    <w:rsid w:val="008556F9"/>
    <w:rsid w:val="0085581F"/>
    <w:rsid w:val="00855A07"/>
    <w:rsid w:val="00855A38"/>
    <w:rsid w:val="00855BA5"/>
    <w:rsid w:val="00855BD6"/>
    <w:rsid w:val="00855D0F"/>
    <w:rsid w:val="00855E66"/>
    <w:rsid w:val="00855EBE"/>
    <w:rsid w:val="00855F46"/>
    <w:rsid w:val="00855FA9"/>
    <w:rsid w:val="008560C8"/>
    <w:rsid w:val="008561DB"/>
    <w:rsid w:val="008564C7"/>
    <w:rsid w:val="008564D3"/>
    <w:rsid w:val="00856518"/>
    <w:rsid w:val="00856576"/>
    <w:rsid w:val="008565CA"/>
    <w:rsid w:val="00856606"/>
    <w:rsid w:val="008567EA"/>
    <w:rsid w:val="008568A1"/>
    <w:rsid w:val="00856938"/>
    <w:rsid w:val="00856A33"/>
    <w:rsid w:val="00856BAA"/>
    <w:rsid w:val="00856C71"/>
    <w:rsid w:val="00856CE4"/>
    <w:rsid w:val="00856E88"/>
    <w:rsid w:val="00856EA8"/>
    <w:rsid w:val="00856ED8"/>
    <w:rsid w:val="00856EF6"/>
    <w:rsid w:val="00856F67"/>
    <w:rsid w:val="0085704D"/>
    <w:rsid w:val="008571FD"/>
    <w:rsid w:val="008572FF"/>
    <w:rsid w:val="00857352"/>
    <w:rsid w:val="0085739C"/>
    <w:rsid w:val="008573C0"/>
    <w:rsid w:val="008573E7"/>
    <w:rsid w:val="00857442"/>
    <w:rsid w:val="0085764B"/>
    <w:rsid w:val="0085766B"/>
    <w:rsid w:val="00857A13"/>
    <w:rsid w:val="00857BB3"/>
    <w:rsid w:val="00857C00"/>
    <w:rsid w:val="00857C07"/>
    <w:rsid w:val="00857C1F"/>
    <w:rsid w:val="00857DD0"/>
    <w:rsid w:val="00857E6D"/>
    <w:rsid w:val="00857EFF"/>
    <w:rsid w:val="00860069"/>
    <w:rsid w:val="00860206"/>
    <w:rsid w:val="00860251"/>
    <w:rsid w:val="008602A5"/>
    <w:rsid w:val="008602BA"/>
    <w:rsid w:val="008603FE"/>
    <w:rsid w:val="00860527"/>
    <w:rsid w:val="00860579"/>
    <w:rsid w:val="0086079B"/>
    <w:rsid w:val="00860872"/>
    <w:rsid w:val="00860BBB"/>
    <w:rsid w:val="00860BD3"/>
    <w:rsid w:val="00860E06"/>
    <w:rsid w:val="00860FE5"/>
    <w:rsid w:val="00861072"/>
    <w:rsid w:val="00861097"/>
    <w:rsid w:val="0086110B"/>
    <w:rsid w:val="00861145"/>
    <w:rsid w:val="00861196"/>
    <w:rsid w:val="0086124A"/>
    <w:rsid w:val="008612B1"/>
    <w:rsid w:val="00861350"/>
    <w:rsid w:val="008613E2"/>
    <w:rsid w:val="0086144A"/>
    <w:rsid w:val="00861482"/>
    <w:rsid w:val="008614D7"/>
    <w:rsid w:val="008614F7"/>
    <w:rsid w:val="008615A0"/>
    <w:rsid w:val="008615EC"/>
    <w:rsid w:val="008616CE"/>
    <w:rsid w:val="0086182E"/>
    <w:rsid w:val="00861951"/>
    <w:rsid w:val="008619F4"/>
    <w:rsid w:val="008619FE"/>
    <w:rsid w:val="00861A5D"/>
    <w:rsid w:val="00861AC4"/>
    <w:rsid w:val="00861AD3"/>
    <w:rsid w:val="00861B6C"/>
    <w:rsid w:val="00861BE5"/>
    <w:rsid w:val="00861D19"/>
    <w:rsid w:val="00861D36"/>
    <w:rsid w:val="00861E15"/>
    <w:rsid w:val="00861F82"/>
    <w:rsid w:val="008620B5"/>
    <w:rsid w:val="0086226B"/>
    <w:rsid w:val="00862402"/>
    <w:rsid w:val="00862449"/>
    <w:rsid w:val="0086244E"/>
    <w:rsid w:val="0086248B"/>
    <w:rsid w:val="008624C7"/>
    <w:rsid w:val="008624FE"/>
    <w:rsid w:val="0086256C"/>
    <w:rsid w:val="00862591"/>
    <w:rsid w:val="00862690"/>
    <w:rsid w:val="00862759"/>
    <w:rsid w:val="00862908"/>
    <w:rsid w:val="00862943"/>
    <w:rsid w:val="008629CB"/>
    <w:rsid w:val="00862A12"/>
    <w:rsid w:val="00862AE8"/>
    <w:rsid w:val="00862B63"/>
    <w:rsid w:val="00862B86"/>
    <w:rsid w:val="00862BD6"/>
    <w:rsid w:val="00862BE2"/>
    <w:rsid w:val="00862D4D"/>
    <w:rsid w:val="00862F9D"/>
    <w:rsid w:val="00863199"/>
    <w:rsid w:val="008631B2"/>
    <w:rsid w:val="0086323C"/>
    <w:rsid w:val="0086327C"/>
    <w:rsid w:val="0086329A"/>
    <w:rsid w:val="00863313"/>
    <w:rsid w:val="0086339A"/>
    <w:rsid w:val="0086357B"/>
    <w:rsid w:val="008635B4"/>
    <w:rsid w:val="008638CB"/>
    <w:rsid w:val="0086396E"/>
    <w:rsid w:val="00863A08"/>
    <w:rsid w:val="00863C3F"/>
    <w:rsid w:val="00863E81"/>
    <w:rsid w:val="00863E8F"/>
    <w:rsid w:val="00863EA2"/>
    <w:rsid w:val="00863EBE"/>
    <w:rsid w:val="00863FAC"/>
    <w:rsid w:val="00864056"/>
    <w:rsid w:val="00864093"/>
    <w:rsid w:val="00864235"/>
    <w:rsid w:val="0086426C"/>
    <w:rsid w:val="0086428F"/>
    <w:rsid w:val="008642A5"/>
    <w:rsid w:val="008642ED"/>
    <w:rsid w:val="008643AC"/>
    <w:rsid w:val="00864473"/>
    <w:rsid w:val="00864508"/>
    <w:rsid w:val="00864579"/>
    <w:rsid w:val="008645FF"/>
    <w:rsid w:val="008647CA"/>
    <w:rsid w:val="00864885"/>
    <w:rsid w:val="008648AC"/>
    <w:rsid w:val="0086497D"/>
    <w:rsid w:val="00864A6B"/>
    <w:rsid w:val="00864AD7"/>
    <w:rsid w:val="00864BC5"/>
    <w:rsid w:val="00864BD3"/>
    <w:rsid w:val="00864C24"/>
    <w:rsid w:val="00864C91"/>
    <w:rsid w:val="00864D52"/>
    <w:rsid w:val="00864E17"/>
    <w:rsid w:val="00864E6C"/>
    <w:rsid w:val="00864E92"/>
    <w:rsid w:val="00864EC0"/>
    <w:rsid w:val="008650CE"/>
    <w:rsid w:val="00865104"/>
    <w:rsid w:val="0086515E"/>
    <w:rsid w:val="00865186"/>
    <w:rsid w:val="008651EC"/>
    <w:rsid w:val="0086534B"/>
    <w:rsid w:val="00865378"/>
    <w:rsid w:val="008653F6"/>
    <w:rsid w:val="008654FA"/>
    <w:rsid w:val="0086555E"/>
    <w:rsid w:val="0086569A"/>
    <w:rsid w:val="00865778"/>
    <w:rsid w:val="00865847"/>
    <w:rsid w:val="00865AC7"/>
    <w:rsid w:val="00865ACD"/>
    <w:rsid w:val="00865C0F"/>
    <w:rsid w:val="00865E80"/>
    <w:rsid w:val="00865EB7"/>
    <w:rsid w:val="00865EC2"/>
    <w:rsid w:val="00865F1A"/>
    <w:rsid w:val="00865FFF"/>
    <w:rsid w:val="00866036"/>
    <w:rsid w:val="0086615B"/>
    <w:rsid w:val="00866165"/>
    <w:rsid w:val="00866339"/>
    <w:rsid w:val="0086666F"/>
    <w:rsid w:val="00866793"/>
    <w:rsid w:val="0086697F"/>
    <w:rsid w:val="00866A3E"/>
    <w:rsid w:val="00866A90"/>
    <w:rsid w:val="00866AD3"/>
    <w:rsid w:val="00866BC1"/>
    <w:rsid w:val="00866C5E"/>
    <w:rsid w:val="00866D1B"/>
    <w:rsid w:val="00866D90"/>
    <w:rsid w:val="00866EF5"/>
    <w:rsid w:val="00866F0E"/>
    <w:rsid w:val="00866F95"/>
    <w:rsid w:val="00866FE1"/>
    <w:rsid w:val="0086700D"/>
    <w:rsid w:val="008672BF"/>
    <w:rsid w:val="008672FB"/>
    <w:rsid w:val="00867332"/>
    <w:rsid w:val="00867450"/>
    <w:rsid w:val="008674F8"/>
    <w:rsid w:val="0086757B"/>
    <w:rsid w:val="008675EF"/>
    <w:rsid w:val="00867803"/>
    <w:rsid w:val="00867848"/>
    <w:rsid w:val="00867850"/>
    <w:rsid w:val="008678E4"/>
    <w:rsid w:val="008679EA"/>
    <w:rsid w:val="00867B2B"/>
    <w:rsid w:val="00867BB8"/>
    <w:rsid w:val="00867C07"/>
    <w:rsid w:val="00867D3E"/>
    <w:rsid w:val="0086D05E"/>
    <w:rsid w:val="0086F445"/>
    <w:rsid w:val="00870059"/>
    <w:rsid w:val="0087014D"/>
    <w:rsid w:val="0087019A"/>
    <w:rsid w:val="00870252"/>
    <w:rsid w:val="008705AE"/>
    <w:rsid w:val="008705C6"/>
    <w:rsid w:val="0087077B"/>
    <w:rsid w:val="00870984"/>
    <w:rsid w:val="00870B21"/>
    <w:rsid w:val="00870B7E"/>
    <w:rsid w:val="00870BCC"/>
    <w:rsid w:val="00870C1E"/>
    <w:rsid w:val="00870C5F"/>
    <w:rsid w:val="00870CA8"/>
    <w:rsid w:val="00870E9A"/>
    <w:rsid w:val="00870F5A"/>
    <w:rsid w:val="00870FD5"/>
    <w:rsid w:val="0087107A"/>
    <w:rsid w:val="008711DF"/>
    <w:rsid w:val="008712BB"/>
    <w:rsid w:val="00871391"/>
    <w:rsid w:val="008713C2"/>
    <w:rsid w:val="00871667"/>
    <w:rsid w:val="008716A4"/>
    <w:rsid w:val="00871731"/>
    <w:rsid w:val="008718DF"/>
    <w:rsid w:val="00871C16"/>
    <w:rsid w:val="00871CBC"/>
    <w:rsid w:val="00871CDC"/>
    <w:rsid w:val="00871DFB"/>
    <w:rsid w:val="00871F22"/>
    <w:rsid w:val="00871F23"/>
    <w:rsid w:val="00872105"/>
    <w:rsid w:val="008721E8"/>
    <w:rsid w:val="00872243"/>
    <w:rsid w:val="008722E6"/>
    <w:rsid w:val="00872369"/>
    <w:rsid w:val="0087249E"/>
    <w:rsid w:val="00872568"/>
    <w:rsid w:val="00872611"/>
    <w:rsid w:val="00872646"/>
    <w:rsid w:val="008727AA"/>
    <w:rsid w:val="00872A4A"/>
    <w:rsid w:val="00872BC5"/>
    <w:rsid w:val="00872BCC"/>
    <w:rsid w:val="00872C05"/>
    <w:rsid w:val="00872C35"/>
    <w:rsid w:val="00872D1F"/>
    <w:rsid w:val="00872D32"/>
    <w:rsid w:val="00872DC3"/>
    <w:rsid w:val="00872DD3"/>
    <w:rsid w:val="00872E18"/>
    <w:rsid w:val="00872E7B"/>
    <w:rsid w:val="00872E98"/>
    <w:rsid w:val="00872EDB"/>
    <w:rsid w:val="00872FAB"/>
    <w:rsid w:val="00872FC5"/>
    <w:rsid w:val="00872FFA"/>
    <w:rsid w:val="00873076"/>
    <w:rsid w:val="008730F7"/>
    <w:rsid w:val="0087315E"/>
    <w:rsid w:val="00873164"/>
    <w:rsid w:val="008732C2"/>
    <w:rsid w:val="00873332"/>
    <w:rsid w:val="008733A6"/>
    <w:rsid w:val="008733DE"/>
    <w:rsid w:val="008734AC"/>
    <w:rsid w:val="00873584"/>
    <w:rsid w:val="00873678"/>
    <w:rsid w:val="008736BF"/>
    <w:rsid w:val="00873907"/>
    <w:rsid w:val="0087399F"/>
    <w:rsid w:val="00873A42"/>
    <w:rsid w:val="00873EB8"/>
    <w:rsid w:val="00873F86"/>
    <w:rsid w:val="00874035"/>
    <w:rsid w:val="008740E2"/>
    <w:rsid w:val="008740FF"/>
    <w:rsid w:val="008741F8"/>
    <w:rsid w:val="008744D8"/>
    <w:rsid w:val="008744F1"/>
    <w:rsid w:val="008745DC"/>
    <w:rsid w:val="00874622"/>
    <w:rsid w:val="008746E6"/>
    <w:rsid w:val="00874888"/>
    <w:rsid w:val="008748CA"/>
    <w:rsid w:val="00874A61"/>
    <w:rsid w:val="00874A8D"/>
    <w:rsid w:val="00874AC5"/>
    <w:rsid w:val="00874B2B"/>
    <w:rsid w:val="00874BC6"/>
    <w:rsid w:val="00874C32"/>
    <w:rsid w:val="00874C40"/>
    <w:rsid w:val="00874C84"/>
    <w:rsid w:val="00874D3A"/>
    <w:rsid w:val="00874DB8"/>
    <w:rsid w:val="00874E72"/>
    <w:rsid w:val="00874F1F"/>
    <w:rsid w:val="00875175"/>
    <w:rsid w:val="00875177"/>
    <w:rsid w:val="008752C8"/>
    <w:rsid w:val="0087537D"/>
    <w:rsid w:val="0087545D"/>
    <w:rsid w:val="008754A8"/>
    <w:rsid w:val="00875594"/>
    <w:rsid w:val="00875854"/>
    <w:rsid w:val="0087585D"/>
    <w:rsid w:val="00875940"/>
    <w:rsid w:val="00875A32"/>
    <w:rsid w:val="00875AE6"/>
    <w:rsid w:val="00875B2D"/>
    <w:rsid w:val="00875B86"/>
    <w:rsid w:val="00875BD3"/>
    <w:rsid w:val="00875D6E"/>
    <w:rsid w:val="00875DF0"/>
    <w:rsid w:val="00875F94"/>
    <w:rsid w:val="00875FA0"/>
    <w:rsid w:val="00875FAF"/>
    <w:rsid w:val="00876002"/>
    <w:rsid w:val="00876015"/>
    <w:rsid w:val="00876216"/>
    <w:rsid w:val="008762BE"/>
    <w:rsid w:val="008762C9"/>
    <w:rsid w:val="008762DC"/>
    <w:rsid w:val="008762F2"/>
    <w:rsid w:val="00876327"/>
    <w:rsid w:val="0087654F"/>
    <w:rsid w:val="008765CF"/>
    <w:rsid w:val="008767A7"/>
    <w:rsid w:val="0087681F"/>
    <w:rsid w:val="0087689A"/>
    <w:rsid w:val="008768C2"/>
    <w:rsid w:val="008768DC"/>
    <w:rsid w:val="0087694D"/>
    <w:rsid w:val="0087698F"/>
    <w:rsid w:val="008769C0"/>
    <w:rsid w:val="00876A34"/>
    <w:rsid w:val="00876A5A"/>
    <w:rsid w:val="00876D27"/>
    <w:rsid w:val="00876D49"/>
    <w:rsid w:val="00876D5D"/>
    <w:rsid w:val="00876E6F"/>
    <w:rsid w:val="00876F64"/>
    <w:rsid w:val="00877069"/>
    <w:rsid w:val="00877099"/>
    <w:rsid w:val="008771DA"/>
    <w:rsid w:val="008771F5"/>
    <w:rsid w:val="00877362"/>
    <w:rsid w:val="0087739A"/>
    <w:rsid w:val="008773C0"/>
    <w:rsid w:val="008773FA"/>
    <w:rsid w:val="00877403"/>
    <w:rsid w:val="00877479"/>
    <w:rsid w:val="0087780A"/>
    <w:rsid w:val="00877829"/>
    <w:rsid w:val="00877858"/>
    <w:rsid w:val="0087792B"/>
    <w:rsid w:val="008779E7"/>
    <w:rsid w:val="00877B23"/>
    <w:rsid w:val="00877B54"/>
    <w:rsid w:val="00877C26"/>
    <w:rsid w:val="00877C46"/>
    <w:rsid w:val="00877EE0"/>
    <w:rsid w:val="00877FF0"/>
    <w:rsid w:val="0087C211"/>
    <w:rsid w:val="00880025"/>
    <w:rsid w:val="00880247"/>
    <w:rsid w:val="008803A6"/>
    <w:rsid w:val="00880463"/>
    <w:rsid w:val="008804E4"/>
    <w:rsid w:val="0088055E"/>
    <w:rsid w:val="008805BB"/>
    <w:rsid w:val="00880746"/>
    <w:rsid w:val="00880803"/>
    <w:rsid w:val="0088091C"/>
    <w:rsid w:val="0088095C"/>
    <w:rsid w:val="00880BA3"/>
    <w:rsid w:val="00880E32"/>
    <w:rsid w:val="00880E4D"/>
    <w:rsid w:val="00880FFA"/>
    <w:rsid w:val="0088108F"/>
    <w:rsid w:val="00881102"/>
    <w:rsid w:val="0088115B"/>
    <w:rsid w:val="0088122B"/>
    <w:rsid w:val="0088129B"/>
    <w:rsid w:val="008813DC"/>
    <w:rsid w:val="0088160D"/>
    <w:rsid w:val="008816C7"/>
    <w:rsid w:val="008817CF"/>
    <w:rsid w:val="0088181D"/>
    <w:rsid w:val="00881B42"/>
    <w:rsid w:val="00881C1F"/>
    <w:rsid w:val="00881C61"/>
    <w:rsid w:val="00881C96"/>
    <w:rsid w:val="00881CFA"/>
    <w:rsid w:val="00881CFF"/>
    <w:rsid w:val="00881D96"/>
    <w:rsid w:val="00881E01"/>
    <w:rsid w:val="00881E57"/>
    <w:rsid w:val="00881EFE"/>
    <w:rsid w:val="00881FE9"/>
    <w:rsid w:val="0088214D"/>
    <w:rsid w:val="00882197"/>
    <w:rsid w:val="00882260"/>
    <w:rsid w:val="008822FA"/>
    <w:rsid w:val="00882406"/>
    <w:rsid w:val="00882612"/>
    <w:rsid w:val="0088266E"/>
    <w:rsid w:val="008826B0"/>
    <w:rsid w:val="00882897"/>
    <w:rsid w:val="00882951"/>
    <w:rsid w:val="00882AC8"/>
    <w:rsid w:val="00882B20"/>
    <w:rsid w:val="00882B25"/>
    <w:rsid w:val="00882C16"/>
    <w:rsid w:val="00882EE7"/>
    <w:rsid w:val="00882F4D"/>
    <w:rsid w:val="00883019"/>
    <w:rsid w:val="00883068"/>
    <w:rsid w:val="00883139"/>
    <w:rsid w:val="008831B3"/>
    <w:rsid w:val="00883201"/>
    <w:rsid w:val="00883253"/>
    <w:rsid w:val="0088345B"/>
    <w:rsid w:val="0088345D"/>
    <w:rsid w:val="00883570"/>
    <w:rsid w:val="0088377E"/>
    <w:rsid w:val="00883787"/>
    <w:rsid w:val="0088378A"/>
    <w:rsid w:val="00883872"/>
    <w:rsid w:val="008838A5"/>
    <w:rsid w:val="00883A70"/>
    <w:rsid w:val="00883B81"/>
    <w:rsid w:val="00883CF8"/>
    <w:rsid w:val="00883D23"/>
    <w:rsid w:val="008840A5"/>
    <w:rsid w:val="008840AB"/>
    <w:rsid w:val="0088431C"/>
    <w:rsid w:val="008844AE"/>
    <w:rsid w:val="008844B7"/>
    <w:rsid w:val="008844BD"/>
    <w:rsid w:val="00884683"/>
    <w:rsid w:val="0088474C"/>
    <w:rsid w:val="00884761"/>
    <w:rsid w:val="00884796"/>
    <w:rsid w:val="008847D1"/>
    <w:rsid w:val="00884A16"/>
    <w:rsid w:val="00884ABD"/>
    <w:rsid w:val="00884BED"/>
    <w:rsid w:val="00884C2A"/>
    <w:rsid w:val="00884CF6"/>
    <w:rsid w:val="00884DF2"/>
    <w:rsid w:val="008852DA"/>
    <w:rsid w:val="00885303"/>
    <w:rsid w:val="00885365"/>
    <w:rsid w:val="0088542C"/>
    <w:rsid w:val="00885496"/>
    <w:rsid w:val="008854D9"/>
    <w:rsid w:val="0088550E"/>
    <w:rsid w:val="0088552C"/>
    <w:rsid w:val="00885649"/>
    <w:rsid w:val="00885801"/>
    <w:rsid w:val="008858C2"/>
    <w:rsid w:val="00885941"/>
    <w:rsid w:val="008859DD"/>
    <w:rsid w:val="00885A14"/>
    <w:rsid w:val="00885A7F"/>
    <w:rsid w:val="00885A82"/>
    <w:rsid w:val="00885C40"/>
    <w:rsid w:val="00885CAA"/>
    <w:rsid w:val="00885E4D"/>
    <w:rsid w:val="00885EA0"/>
    <w:rsid w:val="00885EA3"/>
    <w:rsid w:val="00885F28"/>
    <w:rsid w:val="00885FB9"/>
    <w:rsid w:val="00885FC0"/>
    <w:rsid w:val="00885FD6"/>
    <w:rsid w:val="008860BC"/>
    <w:rsid w:val="008860E4"/>
    <w:rsid w:val="00886122"/>
    <w:rsid w:val="008861AA"/>
    <w:rsid w:val="008861C3"/>
    <w:rsid w:val="00886233"/>
    <w:rsid w:val="008862C0"/>
    <w:rsid w:val="008864A3"/>
    <w:rsid w:val="00886645"/>
    <w:rsid w:val="008866D8"/>
    <w:rsid w:val="00886703"/>
    <w:rsid w:val="00886795"/>
    <w:rsid w:val="00886864"/>
    <w:rsid w:val="008868E5"/>
    <w:rsid w:val="0088695D"/>
    <w:rsid w:val="00886AD0"/>
    <w:rsid w:val="00886B7B"/>
    <w:rsid w:val="00886BA5"/>
    <w:rsid w:val="00886EAD"/>
    <w:rsid w:val="00886F16"/>
    <w:rsid w:val="00886FC8"/>
    <w:rsid w:val="0088705D"/>
    <w:rsid w:val="00887063"/>
    <w:rsid w:val="00887186"/>
    <w:rsid w:val="008871EB"/>
    <w:rsid w:val="008872B6"/>
    <w:rsid w:val="0088742F"/>
    <w:rsid w:val="0088751F"/>
    <w:rsid w:val="00887644"/>
    <w:rsid w:val="0088767F"/>
    <w:rsid w:val="00887783"/>
    <w:rsid w:val="008877C3"/>
    <w:rsid w:val="008877E3"/>
    <w:rsid w:val="008878FA"/>
    <w:rsid w:val="008879B9"/>
    <w:rsid w:val="00887A4D"/>
    <w:rsid w:val="00887B04"/>
    <w:rsid w:val="00887BF6"/>
    <w:rsid w:val="00887C2B"/>
    <w:rsid w:val="00887D9B"/>
    <w:rsid w:val="00887F0D"/>
    <w:rsid w:val="00887F85"/>
    <w:rsid w:val="008900DD"/>
    <w:rsid w:val="00890125"/>
    <w:rsid w:val="00890693"/>
    <w:rsid w:val="008906D1"/>
    <w:rsid w:val="008906D6"/>
    <w:rsid w:val="00890A96"/>
    <w:rsid w:val="00890CA5"/>
    <w:rsid w:val="00890F6E"/>
    <w:rsid w:val="00891116"/>
    <w:rsid w:val="0089127C"/>
    <w:rsid w:val="00891319"/>
    <w:rsid w:val="0089142A"/>
    <w:rsid w:val="00891491"/>
    <w:rsid w:val="008914D8"/>
    <w:rsid w:val="0089157A"/>
    <w:rsid w:val="00891585"/>
    <w:rsid w:val="00891627"/>
    <w:rsid w:val="008916D3"/>
    <w:rsid w:val="00891A07"/>
    <w:rsid w:val="00891AFA"/>
    <w:rsid w:val="00891BBE"/>
    <w:rsid w:val="00891BF6"/>
    <w:rsid w:val="00891FDF"/>
    <w:rsid w:val="00892021"/>
    <w:rsid w:val="00892025"/>
    <w:rsid w:val="008920D5"/>
    <w:rsid w:val="00892143"/>
    <w:rsid w:val="00892163"/>
    <w:rsid w:val="008922B7"/>
    <w:rsid w:val="008922D4"/>
    <w:rsid w:val="0089231D"/>
    <w:rsid w:val="00892365"/>
    <w:rsid w:val="00892434"/>
    <w:rsid w:val="00892497"/>
    <w:rsid w:val="008924EF"/>
    <w:rsid w:val="00892641"/>
    <w:rsid w:val="00892642"/>
    <w:rsid w:val="00892674"/>
    <w:rsid w:val="00892707"/>
    <w:rsid w:val="00892731"/>
    <w:rsid w:val="00892808"/>
    <w:rsid w:val="00892D30"/>
    <w:rsid w:val="00892D67"/>
    <w:rsid w:val="00892E2F"/>
    <w:rsid w:val="00892E71"/>
    <w:rsid w:val="00892E83"/>
    <w:rsid w:val="00892EAE"/>
    <w:rsid w:val="008930E8"/>
    <w:rsid w:val="00893119"/>
    <w:rsid w:val="00893126"/>
    <w:rsid w:val="0089313C"/>
    <w:rsid w:val="00893144"/>
    <w:rsid w:val="00893199"/>
    <w:rsid w:val="008931D6"/>
    <w:rsid w:val="008931FC"/>
    <w:rsid w:val="0089328A"/>
    <w:rsid w:val="00893307"/>
    <w:rsid w:val="00893378"/>
    <w:rsid w:val="00893622"/>
    <w:rsid w:val="0089362E"/>
    <w:rsid w:val="00893648"/>
    <w:rsid w:val="0089365B"/>
    <w:rsid w:val="0089366A"/>
    <w:rsid w:val="00893782"/>
    <w:rsid w:val="008937F8"/>
    <w:rsid w:val="00893866"/>
    <w:rsid w:val="00893AAA"/>
    <w:rsid w:val="00893B25"/>
    <w:rsid w:val="00893B3F"/>
    <w:rsid w:val="00893B84"/>
    <w:rsid w:val="00893C33"/>
    <w:rsid w:val="00893D07"/>
    <w:rsid w:val="00893EAA"/>
    <w:rsid w:val="00894080"/>
    <w:rsid w:val="008940A7"/>
    <w:rsid w:val="00894129"/>
    <w:rsid w:val="00894170"/>
    <w:rsid w:val="00894177"/>
    <w:rsid w:val="0089420F"/>
    <w:rsid w:val="0089421F"/>
    <w:rsid w:val="00894255"/>
    <w:rsid w:val="008943AC"/>
    <w:rsid w:val="0089448D"/>
    <w:rsid w:val="008944EC"/>
    <w:rsid w:val="008944ED"/>
    <w:rsid w:val="0089466D"/>
    <w:rsid w:val="00894767"/>
    <w:rsid w:val="00894955"/>
    <w:rsid w:val="00894AE7"/>
    <w:rsid w:val="00894B1B"/>
    <w:rsid w:val="00894BA2"/>
    <w:rsid w:val="00894C0D"/>
    <w:rsid w:val="00894D28"/>
    <w:rsid w:val="00894E7D"/>
    <w:rsid w:val="00894EF3"/>
    <w:rsid w:val="00895084"/>
    <w:rsid w:val="00895193"/>
    <w:rsid w:val="008951B6"/>
    <w:rsid w:val="008952B6"/>
    <w:rsid w:val="00895334"/>
    <w:rsid w:val="00895564"/>
    <w:rsid w:val="008956C3"/>
    <w:rsid w:val="008956DD"/>
    <w:rsid w:val="00895749"/>
    <w:rsid w:val="0089583D"/>
    <w:rsid w:val="00895873"/>
    <w:rsid w:val="008958F7"/>
    <w:rsid w:val="00895931"/>
    <w:rsid w:val="008959CC"/>
    <w:rsid w:val="00895A43"/>
    <w:rsid w:val="00895A9A"/>
    <w:rsid w:val="00895AA1"/>
    <w:rsid w:val="00895B00"/>
    <w:rsid w:val="00895B75"/>
    <w:rsid w:val="00895C5F"/>
    <w:rsid w:val="00895C9F"/>
    <w:rsid w:val="00895D1D"/>
    <w:rsid w:val="00895D33"/>
    <w:rsid w:val="00895DE8"/>
    <w:rsid w:val="00895E0C"/>
    <w:rsid w:val="00895E75"/>
    <w:rsid w:val="00895F7C"/>
    <w:rsid w:val="00895FD1"/>
    <w:rsid w:val="0089606A"/>
    <w:rsid w:val="008962BF"/>
    <w:rsid w:val="008963B4"/>
    <w:rsid w:val="008964FF"/>
    <w:rsid w:val="00896700"/>
    <w:rsid w:val="00896853"/>
    <w:rsid w:val="00896885"/>
    <w:rsid w:val="008968A4"/>
    <w:rsid w:val="008969AF"/>
    <w:rsid w:val="008969E3"/>
    <w:rsid w:val="00896AAF"/>
    <w:rsid w:val="00896AF5"/>
    <w:rsid w:val="00896B09"/>
    <w:rsid w:val="00896B4C"/>
    <w:rsid w:val="00896D2B"/>
    <w:rsid w:val="00896D6C"/>
    <w:rsid w:val="00896E01"/>
    <w:rsid w:val="00896E41"/>
    <w:rsid w:val="00896E47"/>
    <w:rsid w:val="00896EE9"/>
    <w:rsid w:val="00897116"/>
    <w:rsid w:val="0089712F"/>
    <w:rsid w:val="00897252"/>
    <w:rsid w:val="008972AE"/>
    <w:rsid w:val="008972AF"/>
    <w:rsid w:val="0089738E"/>
    <w:rsid w:val="00897457"/>
    <w:rsid w:val="008975B4"/>
    <w:rsid w:val="008977AE"/>
    <w:rsid w:val="00897842"/>
    <w:rsid w:val="00897898"/>
    <w:rsid w:val="00897914"/>
    <w:rsid w:val="008979AF"/>
    <w:rsid w:val="00897A00"/>
    <w:rsid w:val="00897A69"/>
    <w:rsid w:val="00897AD7"/>
    <w:rsid w:val="00897C8F"/>
    <w:rsid w:val="00897CD0"/>
    <w:rsid w:val="00897D17"/>
    <w:rsid w:val="00897D2A"/>
    <w:rsid w:val="00897EFA"/>
    <w:rsid w:val="008A011A"/>
    <w:rsid w:val="008A0170"/>
    <w:rsid w:val="008A026B"/>
    <w:rsid w:val="008A02A2"/>
    <w:rsid w:val="008A04CB"/>
    <w:rsid w:val="008A062D"/>
    <w:rsid w:val="008A07A6"/>
    <w:rsid w:val="008A07CC"/>
    <w:rsid w:val="008A07F0"/>
    <w:rsid w:val="008A0837"/>
    <w:rsid w:val="008A0910"/>
    <w:rsid w:val="008A0A20"/>
    <w:rsid w:val="008A0A5D"/>
    <w:rsid w:val="008A0AA8"/>
    <w:rsid w:val="008A0ACC"/>
    <w:rsid w:val="008A0B41"/>
    <w:rsid w:val="008A0BB2"/>
    <w:rsid w:val="008A0C0E"/>
    <w:rsid w:val="008A0CF7"/>
    <w:rsid w:val="008A0E33"/>
    <w:rsid w:val="008A0EA1"/>
    <w:rsid w:val="008A0F57"/>
    <w:rsid w:val="008A0FE5"/>
    <w:rsid w:val="008A108C"/>
    <w:rsid w:val="008A12DA"/>
    <w:rsid w:val="008A18CB"/>
    <w:rsid w:val="008A1C64"/>
    <w:rsid w:val="008A1EAC"/>
    <w:rsid w:val="008A1EDF"/>
    <w:rsid w:val="008A1F0F"/>
    <w:rsid w:val="008A1F72"/>
    <w:rsid w:val="008A21F3"/>
    <w:rsid w:val="008A2210"/>
    <w:rsid w:val="008A2286"/>
    <w:rsid w:val="008A23B0"/>
    <w:rsid w:val="008A2530"/>
    <w:rsid w:val="008A25FF"/>
    <w:rsid w:val="008A2744"/>
    <w:rsid w:val="008A274D"/>
    <w:rsid w:val="008A27F6"/>
    <w:rsid w:val="008A2815"/>
    <w:rsid w:val="008A2861"/>
    <w:rsid w:val="008A28BE"/>
    <w:rsid w:val="008A29D3"/>
    <w:rsid w:val="008A2A29"/>
    <w:rsid w:val="008A2A83"/>
    <w:rsid w:val="008A2B30"/>
    <w:rsid w:val="008A2BEF"/>
    <w:rsid w:val="008A2C81"/>
    <w:rsid w:val="008A2D34"/>
    <w:rsid w:val="008A2E2F"/>
    <w:rsid w:val="008A2FC7"/>
    <w:rsid w:val="008A2FE2"/>
    <w:rsid w:val="008A2FE8"/>
    <w:rsid w:val="008A3310"/>
    <w:rsid w:val="008A33CB"/>
    <w:rsid w:val="008A3447"/>
    <w:rsid w:val="008A34B8"/>
    <w:rsid w:val="008A34E0"/>
    <w:rsid w:val="008A34ED"/>
    <w:rsid w:val="008A3589"/>
    <w:rsid w:val="008A35D3"/>
    <w:rsid w:val="008A3635"/>
    <w:rsid w:val="008A365C"/>
    <w:rsid w:val="008A36D5"/>
    <w:rsid w:val="008A36F1"/>
    <w:rsid w:val="008A36F8"/>
    <w:rsid w:val="008A3804"/>
    <w:rsid w:val="008A395A"/>
    <w:rsid w:val="008A39E9"/>
    <w:rsid w:val="008A39F9"/>
    <w:rsid w:val="008A3AB6"/>
    <w:rsid w:val="008A3CDA"/>
    <w:rsid w:val="008A3D05"/>
    <w:rsid w:val="008A3DE4"/>
    <w:rsid w:val="008A3DED"/>
    <w:rsid w:val="008A3E50"/>
    <w:rsid w:val="008A3EB6"/>
    <w:rsid w:val="008A3F4B"/>
    <w:rsid w:val="008A4110"/>
    <w:rsid w:val="008A42B8"/>
    <w:rsid w:val="008A4529"/>
    <w:rsid w:val="008A4599"/>
    <w:rsid w:val="008A467F"/>
    <w:rsid w:val="008A4929"/>
    <w:rsid w:val="008A4994"/>
    <w:rsid w:val="008A4A15"/>
    <w:rsid w:val="008A4B62"/>
    <w:rsid w:val="008A4BBE"/>
    <w:rsid w:val="008A4C9A"/>
    <w:rsid w:val="008A4DFA"/>
    <w:rsid w:val="008A4E7A"/>
    <w:rsid w:val="008A4ED2"/>
    <w:rsid w:val="008A4EF9"/>
    <w:rsid w:val="008A4F5C"/>
    <w:rsid w:val="008A4F9F"/>
    <w:rsid w:val="008A5020"/>
    <w:rsid w:val="008A52C8"/>
    <w:rsid w:val="008A53F1"/>
    <w:rsid w:val="008A54FF"/>
    <w:rsid w:val="008A556F"/>
    <w:rsid w:val="008A558F"/>
    <w:rsid w:val="008A5704"/>
    <w:rsid w:val="008A5833"/>
    <w:rsid w:val="008A584F"/>
    <w:rsid w:val="008A5964"/>
    <w:rsid w:val="008A59A4"/>
    <w:rsid w:val="008A5A89"/>
    <w:rsid w:val="008A5AE6"/>
    <w:rsid w:val="008A5B1F"/>
    <w:rsid w:val="008A5BAE"/>
    <w:rsid w:val="008A5C8B"/>
    <w:rsid w:val="008A5D5C"/>
    <w:rsid w:val="008A5E32"/>
    <w:rsid w:val="008A5E73"/>
    <w:rsid w:val="008A5EF0"/>
    <w:rsid w:val="008A6005"/>
    <w:rsid w:val="008A6115"/>
    <w:rsid w:val="008A612D"/>
    <w:rsid w:val="008A619A"/>
    <w:rsid w:val="008A61D2"/>
    <w:rsid w:val="008A6426"/>
    <w:rsid w:val="008A650D"/>
    <w:rsid w:val="008A654A"/>
    <w:rsid w:val="008A6653"/>
    <w:rsid w:val="008A6677"/>
    <w:rsid w:val="008A6936"/>
    <w:rsid w:val="008A693B"/>
    <w:rsid w:val="008A696A"/>
    <w:rsid w:val="008A696F"/>
    <w:rsid w:val="008A6AA3"/>
    <w:rsid w:val="008A6AD7"/>
    <w:rsid w:val="008A6B1A"/>
    <w:rsid w:val="008A6B21"/>
    <w:rsid w:val="008A6B25"/>
    <w:rsid w:val="008A6B84"/>
    <w:rsid w:val="008A6D1B"/>
    <w:rsid w:val="008A6D48"/>
    <w:rsid w:val="008A6DAD"/>
    <w:rsid w:val="008A6F16"/>
    <w:rsid w:val="008A7032"/>
    <w:rsid w:val="008A7076"/>
    <w:rsid w:val="008A70F7"/>
    <w:rsid w:val="008A72C4"/>
    <w:rsid w:val="008A7339"/>
    <w:rsid w:val="008A74AF"/>
    <w:rsid w:val="008A74C3"/>
    <w:rsid w:val="008A76FA"/>
    <w:rsid w:val="008A7817"/>
    <w:rsid w:val="008A7925"/>
    <w:rsid w:val="008A7B17"/>
    <w:rsid w:val="008A7B67"/>
    <w:rsid w:val="008A7B89"/>
    <w:rsid w:val="008A7C26"/>
    <w:rsid w:val="008A7C6D"/>
    <w:rsid w:val="008A7CD1"/>
    <w:rsid w:val="008A7CE9"/>
    <w:rsid w:val="008A7DB8"/>
    <w:rsid w:val="008A7DCF"/>
    <w:rsid w:val="008A7DD4"/>
    <w:rsid w:val="008A7EC2"/>
    <w:rsid w:val="008A7FCD"/>
    <w:rsid w:val="008B016B"/>
    <w:rsid w:val="008B027B"/>
    <w:rsid w:val="008B0280"/>
    <w:rsid w:val="008B038C"/>
    <w:rsid w:val="008B043F"/>
    <w:rsid w:val="008B04C5"/>
    <w:rsid w:val="008B0690"/>
    <w:rsid w:val="008B0790"/>
    <w:rsid w:val="008B087B"/>
    <w:rsid w:val="008B08B8"/>
    <w:rsid w:val="008B0903"/>
    <w:rsid w:val="008B09D2"/>
    <w:rsid w:val="008B0A25"/>
    <w:rsid w:val="008B0A3F"/>
    <w:rsid w:val="008B0AD1"/>
    <w:rsid w:val="008B0B76"/>
    <w:rsid w:val="008B0CE6"/>
    <w:rsid w:val="008B0D0F"/>
    <w:rsid w:val="008B0FC0"/>
    <w:rsid w:val="008B104D"/>
    <w:rsid w:val="008B10C7"/>
    <w:rsid w:val="008B110F"/>
    <w:rsid w:val="008B1125"/>
    <w:rsid w:val="008B128D"/>
    <w:rsid w:val="008B152C"/>
    <w:rsid w:val="008B170B"/>
    <w:rsid w:val="008B17F6"/>
    <w:rsid w:val="008B18B4"/>
    <w:rsid w:val="008B1960"/>
    <w:rsid w:val="008B19E2"/>
    <w:rsid w:val="008B1A5D"/>
    <w:rsid w:val="008B1B86"/>
    <w:rsid w:val="008B1C66"/>
    <w:rsid w:val="008B1C9B"/>
    <w:rsid w:val="008B1CBC"/>
    <w:rsid w:val="008B1D17"/>
    <w:rsid w:val="008B1DCD"/>
    <w:rsid w:val="008B1DFB"/>
    <w:rsid w:val="008B1E75"/>
    <w:rsid w:val="008B1F99"/>
    <w:rsid w:val="008B1FBE"/>
    <w:rsid w:val="008B21EA"/>
    <w:rsid w:val="008B24EE"/>
    <w:rsid w:val="008B25E7"/>
    <w:rsid w:val="008B2727"/>
    <w:rsid w:val="008B277B"/>
    <w:rsid w:val="008B2819"/>
    <w:rsid w:val="008B2958"/>
    <w:rsid w:val="008B29C3"/>
    <w:rsid w:val="008B2B3E"/>
    <w:rsid w:val="008B2D17"/>
    <w:rsid w:val="008B2D2F"/>
    <w:rsid w:val="008B2D5E"/>
    <w:rsid w:val="008B2D9B"/>
    <w:rsid w:val="008B2DC2"/>
    <w:rsid w:val="008B2E36"/>
    <w:rsid w:val="008B2E59"/>
    <w:rsid w:val="008B2F28"/>
    <w:rsid w:val="008B2F31"/>
    <w:rsid w:val="008B319B"/>
    <w:rsid w:val="008B31B2"/>
    <w:rsid w:val="008B3253"/>
    <w:rsid w:val="008B328A"/>
    <w:rsid w:val="008B328B"/>
    <w:rsid w:val="008B3380"/>
    <w:rsid w:val="008B3553"/>
    <w:rsid w:val="008B3563"/>
    <w:rsid w:val="008B35FA"/>
    <w:rsid w:val="008B35FF"/>
    <w:rsid w:val="008B36D4"/>
    <w:rsid w:val="008B374F"/>
    <w:rsid w:val="008B375A"/>
    <w:rsid w:val="008B37C6"/>
    <w:rsid w:val="008B395D"/>
    <w:rsid w:val="008B3AA1"/>
    <w:rsid w:val="008B3CA0"/>
    <w:rsid w:val="008B3E58"/>
    <w:rsid w:val="008B3E6E"/>
    <w:rsid w:val="008B41FF"/>
    <w:rsid w:val="008B4265"/>
    <w:rsid w:val="008B42DB"/>
    <w:rsid w:val="008B437A"/>
    <w:rsid w:val="008B459D"/>
    <w:rsid w:val="008B45CF"/>
    <w:rsid w:val="008B46FC"/>
    <w:rsid w:val="008B4877"/>
    <w:rsid w:val="008B4B27"/>
    <w:rsid w:val="008B4C68"/>
    <w:rsid w:val="008B4CF1"/>
    <w:rsid w:val="008B4E19"/>
    <w:rsid w:val="008B4EBA"/>
    <w:rsid w:val="008B4F48"/>
    <w:rsid w:val="008B4FDC"/>
    <w:rsid w:val="008B503E"/>
    <w:rsid w:val="008B5083"/>
    <w:rsid w:val="008B50C3"/>
    <w:rsid w:val="008B50D8"/>
    <w:rsid w:val="008B50F3"/>
    <w:rsid w:val="008B5132"/>
    <w:rsid w:val="008B5184"/>
    <w:rsid w:val="008B51B4"/>
    <w:rsid w:val="008B51D5"/>
    <w:rsid w:val="008B520E"/>
    <w:rsid w:val="008B543E"/>
    <w:rsid w:val="008B5504"/>
    <w:rsid w:val="008B553D"/>
    <w:rsid w:val="008B565E"/>
    <w:rsid w:val="008B5B49"/>
    <w:rsid w:val="008B5C9A"/>
    <w:rsid w:val="008B5CCD"/>
    <w:rsid w:val="008B5E8F"/>
    <w:rsid w:val="008B5EC4"/>
    <w:rsid w:val="008B601F"/>
    <w:rsid w:val="008B6313"/>
    <w:rsid w:val="008B638A"/>
    <w:rsid w:val="008B63A2"/>
    <w:rsid w:val="008B63E4"/>
    <w:rsid w:val="008B64BA"/>
    <w:rsid w:val="008B659F"/>
    <w:rsid w:val="008B6686"/>
    <w:rsid w:val="008B673A"/>
    <w:rsid w:val="008B675C"/>
    <w:rsid w:val="008B6930"/>
    <w:rsid w:val="008B6ACC"/>
    <w:rsid w:val="008B6D27"/>
    <w:rsid w:val="008B6D5D"/>
    <w:rsid w:val="008B6DB3"/>
    <w:rsid w:val="008B6DF4"/>
    <w:rsid w:val="008B6F11"/>
    <w:rsid w:val="008B6F8E"/>
    <w:rsid w:val="008B6FAE"/>
    <w:rsid w:val="008B70DB"/>
    <w:rsid w:val="008B70ED"/>
    <w:rsid w:val="008B727B"/>
    <w:rsid w:val="008B7351"/>
    <w:rsid w:val="008B7452"/>
    <w:rsid w:val="008B7586"/>
    <w:rsid w:val="008B75A1"/>
    <w:rsid w:val="008B7687"/>
    <w:rsid w:val="008B76B8"/>
    <w:rsid w:val="008B7716"/>
    <w:rsid w:val="008B7861"/>
    <w:rsid w:val="008B7893"/>
    <w:rsid w:val="008B79AA"/>
    <w:rsid w:val="008B79D9"/>
    <w:rsid w:val="008B7A1A"/>
    <w:rsid w:val="008B7B4A"/>
    <w:rsid w:val="008B7B9B"/>
    <w:rsid w:val="008B7BE2"/>
    <w:rsid w:val="008B7BE7"/>
    <w:rsid w:val="008B7C5C"/>
    <w:rsid w:val="008B7CBC"/>
    <w:rsid w:val="008B7CDE"/>
    <w:rsid w:val="008B7D76"/>
    <w:rsid w:val="008B7E0C"/>
    <w:rsid w:val="008B7F8D"/>
    <w:rsid w:val="008C0115"/>
    <w:rsid w:val="008C01F1"/>
    <w:rsid w:val="008C0354"/>
    <w:rsid w:val="008C0580"/>
    <w:rsid w:val="008C059E"/>
    <w:rsid w:val="008C05D2"/>
    <w:rsid w:val="008C09F2"/>
    <w:rsid w:val="008C0A3C"/>
    <w:rsid w:val="008C0AA3"/>
    <w:rsid w:val="008C0AF1"/>
    <w:rsid w:val="008C0B48"/>
    <w:rsid w:val="008C0C59"/>
    <w:rsid w:val="008C0C89"/>
    <w:rsid w:val="008C0CB9"/>
    <w:rsid w:val="008C0CEC"/>
    <w:rsid w:val="008C0D23"/>
    <w:rsid w:val="008C0DCB"/>
    <w:rsid w:val="008C0F22"/>
    <w:rsid w:val="008C0F4E"/>
    <w:rsid w:val="008C0F90"/>
    <w:rsid w:val="008C1036"/>
    <w:rsid w:val="008C11AE"/>
    <w:rsid w:val="008C11F3"/>
    <w:rsid w:val="008C1241"/>
    <w:rsid w:val="008C1391"/>
    <w:rsid w:val="008C1495"/>
    <w:rsid w:val="008C153C"/>
    <w:rsid w:val="008C1627"/>
    <w:rsid w:val="008C16AD"/>
    <w:rsid w:val="008C1778"/>
    <w:rsid w:val="008C1858"/>
    <w:rsid w:val="008C1882"/>
    <w:rsid w:val="008C1891"/>
    <w:rsid w:val="008C1960"/>
    <w:rsid w:val="008C19B1"/>
    <w:rsid w:val="008C1A4B"/>
    <w:rsid w:val="008C1A50"/>
    <w:rsid w:val="008C1B65"/>
    <w:rsid w:val="008C1BCE"/>
    <w:rsid w:val="008C1CD1"/>
    <w:rsid w:val="008C1CFD"/>
    <w:rsid w:val="008C1EFB"/>
    <w:rsid w:val="008C1FA2"/>
    <w:rsid w:val="008C1FA5"/>
    <w:rsid w:val="008C218A"/>
    <w:rsid w:val="008C21CF"/>
    <w:rsid w:val="008C21FF"/>
    <w:rsid w:val="008C2268"/>
    <w:rsid w:val="008C22D9"/>
    <w:rsid w:val="008C2335"/>
    <w:rsid w:val="008C2391"/>
    <w:rsid w:val="008C23B1"/>
    <w:rsid w:val="008C243C"/>
    <w:rsid w:val="008C2454"/>
    <w:rsid w:val="008C2554"/>
    <w:rsid w:val="008C25E7"/>
    <w:rsid w:val="008C2850"/>
    <w:rsid w:val="008C2856"/>
    <w:rsid w:val="008C28E4"/>
    <w:rsid w:val="008C290A"/>
    <w:rsid w:val="008C295E"/>
    <w:rsid w:val="008C2BAF"/>
    <w:rsid w:val="008C2CCF"/>
    <w:rsid w:val="008C2D5B"/>
    <w:rsid w:val="008C2D9C"/>
    <w:rsid w:val="008C2E0E"/>
    <w:rsid w:val="008C2E9D"/>
    <w:rsid w:val="008C2EEF"/>
    <w:rsid w:val="008C2F01"/>
    <w:rsid w:val="008C2F20"/>
    <w:rsid w:val="008C2F28"/>
    <w:rsid w:val="008C2F3B"/>
    <w:rsid w:val="008C2F9A"/>
    <w:rsid w:val="008C301D"/>
    <w:rsid w:val="008C30DF"/>
    <w:rsid w:val="008C3109"/>
    <w:rsid w:val="008C3147"/>
    <w:rsid w:val="008C3337"/>
    <w:rsid w:val="008C3366"/>
    <w:rsid w:val="008C3466"/>
    <w:rsid w:val="008C3525"/>
    <w:rsid w:val="008C35E1"/>
    <w:rsid w:val="008C366C"/>
    <w:rsid w:val="008C369D"/>
    <w:rsid w:val="008C372F"/>
    <w:rsid w:val="008C379F"/>
    <w:rsid w:val="008C37E1"/>
    <w:rsid w:val="008C3824"/>
    <w:rsid w:val="008C3938"/>
    <w:rsid w:val="008C3956"/>
    <w:rsid w:val="008C3A7B"/>
    <w:rsid w:val="008C3A81"/>
    <w:rsid w:val="008C3ADF"/>
    <w:rsid w:val="008C3B81"/>
    <w:rsid w:val="008C3C93"/>
    <w:rsid w:val="008C3D78"/>
    <w:rsid w:val="008C3ECA"/>
    <w:rsid w:val="008C3F93"/>
    <w:rsid w:val="008C400D"/>
    <w:rsid w:val="008C40F5"/>
    <w:rsid w:val="008C4143"/>
    <w:rsid w:val="008C4414"/>
    <w:rsid w:val="008C4560"/>
    <w:rsid w:val="008C4624"/>
    <w:rsid w:val="008C4895"/>
    <w:rsid w:val="008C48FD"/>
    <w:rsid w:val="008C492B"/>
    <w:rsid w:val="008C498F"/>
    <w:rsid w:val="008C4AC9"/>
    <w:rsid w:val="008C4B51"/>
    <w:rsid w:val="008C4C55"/>
    <w:rsid w:val="008C4CC5"/>
    <w:rsid w:val="008C4D66"/>
    <w:rsid w:val="008C4EC3"/>
    <w:rsid w:val="008C50E0"/>
    <w:rsid w:val="008C50EE"/>
    <w:rsid w:val="008C516B"/>
    <w:rsid w:val="008C51BE"/>
    <w:rsid w:val="008C523B"/>
    <w:rsid w:val="008C5300"/>
    <w:rsid w:val="008C542B"/>
    <w:rsid w:val="008C546D"/>
    <w:rsid w:val="008C54C1"/>
    <w:rsid w:val="008C54F2"/>
    <w:rsid w:val="008C5556"/>
    <w:rsid w:val="008C55CE"/>
    <w:rsid w:val="008C55D8"/>
    <w:rsid w:val="008C56FD"/>
    <w:rsid w:val="008C573E"/>
    <w:rsid w:val="008C57AA"/>
    <w:rsid w:val="008C58E0"/>
    <w:rsid w:val="008C5A3D"/>
    <w:rsid w:val="008C5A55"/>
    <w:rsid w:val="008C5BCA"/>
    <w:rsid w:val="008C5C9E"/>
    <w:rsid w:val="008C5DB4"/>
    <w:rsid w:val="008C5E6A"/>
    <w:rsid w:val="008C5E9A"/>
    <w:rsid w:val="008C5F3B"/>
    <w:rsid w:val="008C5F52"/>
    <w:rsid w:val="008C5FC6"/>
    <w:rsid w:val="008C6105"/>
    <w:rsid w:val="008C612B"/>
    <w:rsid w:val="008C61F8"/>
    <w:rsid w:val="008C6257"/>
    <w:rsid w:val="008C62EB"/>
    <w:rsid w:val="008C62FD"/>
    <w:rsid w:val="008C6307"/>
    <w:rsid w:val="008C6350"/>
    <w:rsid w:val="008C6384"/>
    <w:rsid w:val="008C6433"/>
    <w:rsid w:val="008C6458"/>
    <w:rsid w:val="008C6581"/>
    <w:rsid w:val="008C65DE"/>
    <w:rsid w:val="008C6610"/>
    <w:rsid w:val="008C6695"/>
    <w:rsid w:val="008C66D5"/>
    <w:rsid w:val="008C6758"/>
    <w:rsid w:val="008C6814"/>
    <w:rsid w:val="008C6A37"/>
    <w:rsid w:val="008C6A7B"/>
    <w:rsid w:val="008C6AD8"/>
    <w:rsid w:val="008C6C39"/>
    <w:rsid w:val="008C6C68"/>
    <w:rsid w:val="008C70D8"/>
    <w:rsid w:val="008C715D"/>
    <w:rsid w:val="008C736A"/>
    <w:rsid w:val="008C73C5"/>
    <w:rsid w:val="008C73C9"/>
    <w:rsid w:val="008C73DC"/>
    <w:rsid w:val="008C7406"/>
    <w:rsid w:val="008C747F"/>
    <w:rsid w:val="008C74A6"/>
    <w:rsid w:val="008C74B5"/>
    <w:rsid w:val="008C75A1"/>
    <w:rsid w:val="008C7649"/>
    <w:rsid w:val="008C7712"/>
    <w:rsid w:val="008C7787"/>
    <w:rsid w:val="008C780F"/>
    <w:rsid w:val="008C7838"/>
    <w:rsid w:val="008C7906"/>
    <w:rsid w:val="008C79C4"/>
    <w:rsid w:val="008C7B88"/>
    <w:rsid w:val="008C7C34"/>
    <w:rsid w:val="008C7C5C"/>
    <w:rsid w:val="008C7C97"/>
    <w:rsid w:val="008C7CD4"/>
    <w:rsid w:val="008C7DE0"/>
    <w:rsid w:val="008C7E8D"/>
    <w:rsid w:val="008C7F88"/>
    <w:rsid w:val="008C7FDA"/>
    <w:rsid w:val="008D0045"/>
    <w:rsid w:val="008D0082"/>
    <w:rsid w:val="008D0138"/>
    <w:rsid w:val="008D0149"/>
    <w:rsid w:val="008D01F1"/>
    <w:rsid w:val="008D0297"/>
    <w:rsid w:val="008D0419"/>
    <w:rsid w:val="008D0484"/>
    <w:rsid w:val="008D04B7"/>
    <w:rsid w:val="008D05C4"/>
    <w:rsid w:val="008D062B"/>
    <w:rsid w:val="008D06CB"/>
    <w:rsid w:val="008D06F1"/>
    <w:rsid w:val="008D0731"/>
    <w:rsid w:val="008D0885"/>
    <w:rsid w:val="008D089A"/>
    <w:rsid w:val="008D08DF"/>
    <w:rsid w:val="008D08E0"/>
    <w:rsid w:val="008D0912"/>
    <w:rsid w:val="008D0B6A"/>
    <w:rsid w:val="008D0C78"/>
    <w:rsid w:val="008D0D6E"/>
    <w:rsid w:val="008D0EDE"/>
    <w:rsid w:val="008D0F93"/>
    <w:rsid w:val="008D0F94"/>
    <w:rsid w:val="008D0FBB"/>
    <w:rsid w:val="008D0FC7"/>
    <w:rsid w:val="008D115D"/>
    <w:rsid w:val="008D119F"/>
    <w:rsid w:val="008D11B9"/>
    <w:rsid w:val="008D11C0"/>
    <w:rsid w:val="008D12BC"/>
    <w:rsid w:val="008D1342"/>
    <w:rsid w:val="008D1524"/>
    <w:rsid w:val="008D159F"/>
    <w:rsid w:val="008D15B3"/>
    <w:rsid w:val="008D15C2"/>
    <w:rsid w:val="008D162F"/>
    <w:rsid w:val="008D1651"/>
    <w:rsid w:val="008D1705"/>
    <w:rsid w:val="008D1856"/>
    <w:rsid w:val="008D1911"/>
    <w:rsid w:val="008D1AA2"/>
    <w:rsid w:val="008D1CCF"/>
    <w:rsid w:val="008D1E5F"/>
    <w:rsid w:val="008D204A"/>
    <w:rsid w:val="008D2051"/>
    <w:rsid w:val="008D20BA"/>
    <w:rsid w:val="008D2153"/>
    <w:rsid w:val="008D21D6"/>
    <w:rsid w:val="008D226D"/>
    <w:rsid w:val="008D23CF"/>
    <w:rsid w:val="008D23E1"/>
    <w:rsid w:val="008D23E4"/>
    <w:rsid w:val="008D241B"/>
    <w:rsid w:val="008D24B0"/>
    <w:rsid w:val="008D252B"/>
    <w:rsid w:val="008D2557"/>
    <w:rsid w:val="008D25A8"/>
    <w:rsid w:val="008D25C0"/>
    <w:rsid w:val="008D2627"/>
    <w:rsid w:val="008D2648"/>
    <w:rsid w:val="008D273D"/>
    <w:rsid w:val="008D27A8"/>
    <w:rsid w:val="008D2805"/>
    <w:rsid w:val="008D2841"/>
    <w:rsid w:val="008D29AE"/>
    <w:rsid w:val="008D2ABF"/>
    <w:rsid w:val="008D2BAE"/>
    <w:rsid w:val="008D2D45"/>
    <w:rsid w:val="008D2DA8"/>
    <w:rsid w:val="008D2DAE"/>
    <w:rsid w:val="008D2E5E"/>
    <w:rsid w:val="008D3115"/>
    <w:rsid w:val="008D3163"/>
    <w:rsid w:val="008D316D"/>
    <w:rsid w:val="008D346E"/>
    <w:rsid w:val="008D35FB"/>
    <w:rsid w:val="008D36CA"/>
    <w:rsid w:val="008D3766"/>
    <w:rsid w:val="008D3867"/>
    <w:rsid w:val="008D39D0"/>
    <w:rsid w:val="008D3BD8"/>
    <w:rsid w:val="008D3BDF"/>
    <w:rsid w:val="008D3D64"/>
    <w:rsid w:val="008D3EB5"/>
    <w:rsid w:val="008D4011"/>
    <w:rsid w:val="008D4058"/>
    <w:rsid w:val="008D40D8"/>
    <w:rsid w:val="008D42EE"/>
    <w:rsid w:val="008D4324"/>
    <w:rsid w:val="008D4356"/>
    <w:rsid w:val="008D4360"/>
    <w:rsid w:val="008D449A"/>
    <w:rsid w:val="008D457F"/>
    <w:rsid w:val="008D477C"/>
    <w:rsid w:val="008D4895"/>
    <w:rsid w:val="008D48FB"/>
    <w:rsid w:val="008D49D3"/>
    <w:rsid w:val="008D4B69"/>
    <w:rsid w:val="008D4BC0"/>
    <w:rsid w:val="008D4BD4"/>
    <w:rsid w:val="008D4BD6"/>
    <w:rsid w:val="008D4BFC"/>
    <w:rsid w:val="008D4C43"/>
    <w:rsid w:val="008D4CF1"/>
    <w:rsid w:val="008D4CF2"/>
    <w:rsid w:val="008D4D3B"/>
    <w:rsid w:val="008D4E45"/>
    <w:rsid w:val="008D4E7B"/>
    <w:rsid w:val="008D4F9A"/>
    <w:rsid w:val="008D5132"/>
    <w:rsid w:val="008D520F"/>
    <w:rsid w:val="008D53D9"/>
    <w:rsid w:val="008D5412"/>
    <w:rsid w:val="008D5440"/>
    <w:rsid w:val="008D5443"/>
    <w:rsid w:val="008D55A6"/>
    <w:rsid w:val="008D57BC"/>
    <w:rsid w:val="008D5849"/>
    <w:rsid w:val="008D592F"/>
    <w:rsid w:val="008D5AA5"/>
    <w:rsid w:val="008D5B00"/>
    <w:rsid w:val="008D5B03"/>
    <w:rsid w:val="008D5B4F"/>
    <w:rsid w:val="008D5B76"/>
    <w:rsid w:val="008D5D67"/>
    <w:rsid w:val="008D5D95"/>
    <w:rsid w:val="008D5DDB"/>
    <w:rsid w:val="008D5E33"/>
    <w:rsid w:val="008D5E55"/>
    <w:rsid w:val="008D5EBD"/>
    <w:rsid w:val="008D5FA9"/>
    <w:rsid w:val="008D608E"/>
    <w:rsid w:val="008D6215"/>
    <w:rsid w:val="008D625D"/>
    <w:rsid w:val="008D62BB"/>
    <w:rsid w:val="008D63DF"/>
    <w:rsid w:val="008D6533"/>
    <w:rsid w:val="008D6552"/>
    <w:rsid w:val="008D65E9"/>
    <w:rsid w:val="008D663A"/>
    <w:rsid w:val="008D681C"/>
    <w:rsid w:val="008D6841"/>
    <w:rsid w:val="008D68D9"/>
    <w:rsid w:val="008D69A0"/>
    <w:rsid w:val="008D6A2F"/>
    <w:rsid w:val="008D6B5D"/>
    <w:rsid w:val="008D6C47"/>
    <w:rsid w:val="008D6CEC"/>
    <w:rsid w:val="008D6E32"/>
    <w:rsid w:val="008D7027"/>
    <w:rsid w:val="008D7124"/>
    <w:rsid w:val="008D71B7"/>
    <w:rsid w:val="008D71EE"/>
    <w:rsid w:val="008D725F"/>
    <w:rsid w:val="008D7338"/>
    <w:rsid w:val="008D7363"/>
    <w:rsid w:val="008D7395"/>
    <w:rsid w:val="008D73BD"/>
    <w:rsid w:val="008D743F"/>
    <w:rsid w:val="008D7505"/>
    <w:rsid w:val="008D75CE"/>
    <w:rsid w:val="008D7627"/>
    <w:rsid w:val="008D7699"/>
    <w:rsid w:val="008D7724"/>
    <w:rsid w:val="008D7799"/>
    <w:rsid w:val="008D781E"/>
    <w:rsid w:val="008D7840"/>
    <w:rsid w:val="008D7A00"/>
    <w:rsid w:val="008D7B1D"/>
    <w:rsid w:val="008D7B53"/>
    <w:rsid w:val="008D7DAE"/>
    <w:rsid w:val="008D7E1E"/>
    <w:rsid w:val="008D7E56"/>
    <w:rsid w:val="008D7F57"/>
    <w:rsid w:val="008E0107"/>
    <w:rsid w:val="008E011A"/>
    <w:rsid w:val="008E0140"/>
    <w:rsid w:val="008E0182"/>
    <w:rsid w:val="008E01A8"/>
    <w:rsid w:val="008E02D9"/>
    <w:rsid w:val="008E052B"/>
    <w:rsid w:val="008E0530"/>
    <w:rsid w:val="008E059B"/>
    <w:rsid w:val="008E05D6"/>
    <w:rsid w:val="008E05DF"/>
    <w:rsid w:val="008E076B"/>
    <w:rsid w:val="008E08F6"/>
    <w:rsid w:val="008E0B1F"/>
    <w:rsid w:val="008E0BCE"/>
    <w:rsid w:val="008E0D69"/>
    <w:rsid w:val="008E0D93"/>
    <w:rsid w:val="008E0FAF"/>
    <w:rsid w:val="008E0FB2"/>
    <w:rsid w:val="008E105C"/>
    <w:rsid w:val="008E10B5"/>
    <w:rsid w:val="008E1174"/>
    <w:rsid w:val="008E1201"/>
    <w:rsid w:val="008E12AE"/>
    <w:rsid w:val="008E138D"/>
    <w:rsid w:val="008E149A"/>
    <w:rsid w:val="008E15EA"/>
    <w:rsid w:val="008E1616"/>
    <w:rsid w:val="008E165F"/>
    <w:rsid w:val="008E16E9"/>
    <w:rsid w:val="008E1737"/>
    <w:rsid w:val="008E1779"/>
    <w:rsid w:val="008E1807"/>
    <w:rsid w:val="008E192A"/>
    <w:rsid w:val="008E19E0"/>
    <w:rsid w:val="008E1A7B"/>
    <w:rsid w:val="008E1B2F"/>
    <w:rsid w:val="008E1C92"/>
    <w:rsid w:val="008E1DFD"/>
    <w:rsid w:val="008E1E22"/>
    <w:rsid w:val="008E1F1E"/>
    <w:rsid w:val="008E1F68"/>
    <w:rsid w:val="008E2105"/>
    <w:rsid w:val="008E22A3"/>
    <w:rsid w:val="008E22E2"/>
    <w:rsid w:val="008E24D9"/>
    <w:rsid w:val="008E2502"/>
    <w:rsid w:val="008E2515"/>
    <w:rsid w:val="008E2659"/>
    <w:rsid w:val="008E2749"/>
    <w:rsid w:val="008E2838"/>
    <w:rsid w:val="008E28C0"/>
    <w:rsid w:val="008E291F"/>
    <w:rsid w:val="008E2926"/>
    <w:rsid w:val="008E29CA"/>
    <w:rsid w:val="008E2AAA"/>
    <w:rsid w:val="008E2AAF"/>
    <w:rsid w:val="008E2B33"/>
    <w:rsid w:val="008E2B69"/>
    <w:rsid w:val="008E2D2A"/>
    <w:rsid w:val="008E2D47"/>
    <w:rsid w:val="008E2E5D"/>
    <w:rsid w:val="008E2F94"/>
    <w:rsid w:val="008E2FD4"/>
    <w:rsid w:val="008E3015"/>
    <w:rsid w:val="008E3045"/>
    <w:rsid w:val="008E3126"/>
    <w:rsid w:val="008E3328"/>
    <w:rsid w:val="008E33E0"/>
    <w:rsid w:val="008E33FD"/>
    <w:rsid w:val="008E360B"/>
    <w:rsid w:val="008E36EF"/>
    <w:rsid w:val="008E37EE"/>
    <w:rsid w:val="008E3A70"/>
    <w:rsid w:val="008E3B31"/>
    <w:rsid w:val="008E3B32"/>
    <w:rsid w:val="008E3B3A"/>
    <w:rsid w:val="008E3B54"/>
    <w:rsid w:val="008E3B84"/>
    <w:rsid w:val="008E3B9B"/>
    <w:rsid w:val="008E3C0C"/>
    <w:rsid w:val="008E3D54"/>
    <w:rsid w:val="008E3E0B"/>
    <w:rsid w:val="008E3E91"/>
    <w:rsid w:val="008E3EAA"/>
    <w:rsid w:val="008E4044"/>
    <w:rsid w:val="008E4199"/>
    <w:rsid w:val="008E41DC"/>
    <w:rsid w:val="008E4217"/>
    <w:rsid w:val="008E4240"/>
    <w:rsid w:val="008E4290"/>
    <w:rsid w:val="008E43A4"/>
    <w:rsid w:val="008E43E3"/>
    <w:rsid w:val="008E4449"/>
    <w:rsid w:val="008E457C"/>
    <w:rsid w:val="008E45F3"/>
    <w:rsid w:val="008E47CD"/>
    <w:rsid w:val="008E4846"/>
    <w:rsid w:val="008E4871"/>
    <w:rsid w:val="008E4983"/>
    <w:rsid w:val="008E49DA"/>
    <w:rsid w:val="008E4E7B"/>
    <w:rsid w:val="008E4F0D"/>
    <w:rsid w:val="008E5031"/>
    <w:rsid w:val="008E5162"/>
    <w:rsid w:val="008E518F"/>
    <w:rsid w:val="008E5193"/>
    <w:rsid w:val="008E5307"/>
    <w:rsid w:val="008E530D"/>
    <w:rsid w:val="008E5518"/>
    <w:rsid w:val="008E55D5"/>
    <w:rsid w:val="008E55D8"/>
    <w:rsid w:val="008E55F5"/>
    <w:rsid w:val="008E562D"/>
    <w:rsid w:val="008E568B"/>
    <w:rsid w:val="008E5742"/>
    <w:rsid w:val="008E5845"/>
    <w:rsid w:val="008E5861"/>
    <w:rsid w:val="008E5990"/>
    <w:rsid w:val="008E5A26"/>
    <w:rsid w:val="008E5A8F"/>
    <w:rsid w:val="008E5CE4"/>
    <w:rsid w:val="008E5D87"/>
    <w:rsid w:val="008E5D9D"/>
    <w:rsid w:val="008E5DBB"/>
    <w:rsid w:val="008E5EC5"/>
    <w:rsid w:val="008E5EF5"/>
    <w:rsid w:val="008E5F05"/>
    <w:rsid w:val="008E5FE3"/>
    <w:rsid w:val="008E60A9"/>
    <w:rsid w:val="008E6105"/>
    <w:rsid w:val="008E61E7"/>
    <w:rsid w:val="008E633C"/>
    <w:rsid w:val="008E63E6"/>
    <w:rsid w:val="008E6531"/>
    <w:rsid w:val="008E654D"/>
    <w:rsid w:val="008E668B"/>
    <w:rsid w:val="008E66D1"/>
    <w:rsid w:val="008E6720"/>
    <w:rsid w:val="008E6825"/>
    <w:rsid w:val="008E68FB"/>
    <w:rsid w:val="008E692E"/>
    <w:rsid w:val="008E6933"/>
    <w:rsid w:val="008E6968"/>
    <w:rsid w:val="008E6A70"/>
    <w:rsid w:val="008E6BB5"/>
    <w:rsid w:val="008E6C4F"/>
    <w:rsid w:val="008E6E4A"/>
    <w:rsid w:val="008E6F8F"/>
    <w:rsid w:val="008E7002"/>
    <w:rsid w:val="008E7140"/>
    <w:rsid w:val="008E7160"/>
    <w:rsid w:val="008E72D4"/>
    <w:rsid w:val="008E73AB"/>
    <w:rsid w:val="008E74D0"/>
    <w:rsid w:val="008E756B"/>
    <w:rsid w:val="008E75B5"/>
    <w:rsid w:val="008E768D"/>
    <w:rsid w:val="008E7699"/>
    <w:rsid w:val="008E7802"/>
    <w:rsid w:val="008E7891"/>
    <w:rsid w:val="008E79CD"/>
    <w:rsid w:val="008E7A28"/>
    <w:rsid w:val="008E7B5F"/>
    <w:rsid w:val="008E7C3A"/>
    <w:rsid w:val="008E7C6D"/>
    <w:rsid w:val="008E7CFA"/>
    <w:rsid w:val="008E7EA6"/>
    <w:rsid w:val="008ED487"/>
    <w:rsid w:val="008F0066"/>
    <w:rsid w:val="008F0267"/>
    <w:rsid w:val="008F0371"/>
    <w:rsid w:val="008F0479"/>
    <w:rsid w:val="008F04A7"/>
    <w:rsid w:val="008F05CD"/>
    <w:rsid w:val="008F05DB"/>
    <w:rsid w:val="008F0938"/>
    <w:rsid w:val="008F099A"/>
    <w:rsid w:val="008F09DD"/>
    <w:rsid w:val="008F0A1A"/>
    <w:rsid w:val="008F0B8A"/>
    <w:rsid w:val="008F0C11"/>
    <w:rsid w:val="008F0D82"/>
    <w:rsid w:val="008F0E01"/>
    <w:rsid w:val="008F0EA0"/>
    <w:rsid w:val="008F0F26"/>
    <w:rsid w:val="008F1094"/>
    <w:rsid w:val="008F1245"/>
    <w:rsid w:val="008F12B0"/>
    <w:rsid w:val="008F135B"/>
    <w:rsid w:val="008F1511"/>
    <w:rsid w:val="008F153F"/>
    <w:rsid w:val="008F156B"/>
    <w:rsid w:val="008F16ED"/>
    <w:rsid w:val="008F17AF"/>
    <w:rsid w:val="008F17E3"/>
    <w:rsid w:val="008F1877"/>
    <w:rsid w:val="008F1909"/>
    <w:rsid w:val="008F1B11"/>
    <w:rsid w:val="008F1B7A"/>
    <w:rsid w:val="008F1BC9"/>
    <w:rsid w:val="008F1E43"/>
    <w:rsid w:val="008F1E9A"/>
    <w:rsid w:val="008F1EB0"/>
    <w:rsid w:val="008F1EB3"/>
    <w:rsid w:val="008F1ED2"/>
    <w:rsid w:val="008F1F26"/>
    <w:rsid w:val="008F1F4E"/>
    <w:rsid w:val="008F1F52"/>
    <w:rsid w:val="008F1F66"/>
    <w:rsid w:val="008F20D9"/>
    <w:rsid w:val="008F21C5"/>
    <w:rsid w:val="008F2358"/>
    <w:rsid w:val="008F239C"/>
    <w:rsid w:val="008F23BB"/>
    <w:rsid w:val="008F2462"/>
    <w:rsid w:val="008F248A"/>
    <w:rsid w:val="008F24E2"/>
    <w:rsid w:val="008F25B6"/>
    <w:rsid w:val="008F267B"/>
    <w:rsid w:val="008F2695"/>
    <w:rsid w:val="008F298D"/>
    <w:rsid w:val="008F29DB"/>
    <w:rsid w:val="008F29DE"/>
    <w:rsid w:val="008F2B64"/>
    <w:rsid w:val="008F2D21"/>
    <w:rsid w:val="008F2E27"/>
    <w:rsid w:val="008F2F36"/>
    <w:rsid w:val="008F2FE6"/>
    <w:rsid w:val="008F2FFB"/>
    <w:rsid w:val="008F321D"/>
    <w:rsid w:val="008F32CD"/>
    <w:rsid w:val="008F33CF"/>
    <w:rsid w:val="008F3474"/>
    <w:rsid w:val="008F34BE"/>
    <w:rsid w:val="008F34C6"/>
    <w:rsid w:val="008F36B4"/>
    <w:rsid w:val="008F37B0"/>
    <w:rsid w:val="008F3963"/>
    <w:rsid w:val="008F3A22"/>
    <w:rsid w:val="008F3A89"/>
    <w:rsid w:val="008F3A9B"/>
    <w:rsid w:val="008F3CAE"/>
    <w:rsid w:val="008F3CC1"/>
    <w:rsid w:val="008F3D3D"/>
    <w:rsid w:val="008F3DE6"/>
    <w:rsid w:val="008F3E0B"/>
    <w:rsid w:val="008F3E50"/>
    <w:rsid w:val="008F4073"/>
    <w:rsid w:val="008F4110"/>
    <w:rsid w:val="008F4206"/>
    <w:rsid w:val="008F4215"/>
    <w:rsid w:val="008F42FB"/>
    <w:rsid w:val="008F4309"/>
    <w:rsid w:val="008F435C"/>
    <w:rsid w:val="008F4496"/>
    <w:rsid w:val="008F44EA"/>
    <w:rsid w:val="008F45AE"/>
    <w:rsid w:val="008F475C"/>
    <w:rsid w:val="008F4873"/>
    <w:rsid w:val="008F48E2"/>
    <w:rsid w:val="008F4963"/>
    <w:rsid w:val="008F497A"/>
    <w:rsid w:val="008F4AA1"/>
    <w:rsid w:val="008F4B5C"/>
    <w:rsid w:val="008F4B87"/>
    <w:rsid w:val="008F4B8E"/>
    <w:rsid w:val="008F4CDB"/>
    <w:rsid w:val="008F4CF4"/>
    <w:rsid w:val="008F4D76"/>
    <w:rsid w:val="008F4DFF"/>
    <w:rsid w:val="008F4F21"/>
    <w:rsid w:val="008F4F3C"/>
    <w:rsid w:val="008F4FD9"/>
    <w:rsid w:val="008F51C3"/>
    <w:rsid w:val="008F51CE"/>
    <w:rsid w:val="008F5313"/>
    <w:rsid w:val="008F5317"/>
    <w:rsid w:val="008F5330"/>
    <w:rsid w:val="008F539F"/>
    <w:rsid w:val="008F545C"/>
    <w:rsid w:val="008F5591"/>
    <w:rsid w:val="008F57A3"/>
    <w:rsid w:val="008F57B2"/>
    <w:rsid w:val="008F582B"/>
    <w:rsid w:val="008F595F"/>
    <w:rsid w:val="008F5973"/>
    <w:rsid w:val="008F5BEF"/>
    <w:rsid w:val="008F5C37"/>
    <w:rsid w:val="008F5CB0"/>
    <w:rsid w:val="008F5D09"/>
    <w:rsid w:val="008F5D4C"/>
    <w:rsid w:val="008F5E7B"/>
    <w:rsid w:val="008F604E"/>
    <w:rsid w:val="008F6119"/>
    <w:rsid w:val="008F6282"/>
    <w:rsid w:val="008F63B2"/>
    <w:rsid w:val="008F640B"/>
    <w:rsid w:val="008F6482"/>
    <w:rsid w:val="008F6497"/>
    <w:rsid w:val="008F6506"/>
    <w:rsid w:val="008F65A7"/>
    <w:rsid w:val="008F65DF"/>
    <w:rsid w:val="008F65EA"/>
    <w:rsid w:val="008F6629"/>
    <w:rsid w:val="008F69CF"/>
    <w:rsid w:val="008F6B9C"/>
    <w:rsid w:val="008F6BA8"/>
    <w:rsid w:val="008F6C5C"/>
    <w:rsid w:val="008F6D2B"/>
    <w:rsid w:val="008F6D52"/>
    <w:rsid w:val="008F6E91"/>
    <w:rsid w:val="008F6EA2"/>
    <w:rsid w:val="008F6EA5"/>
    <w:rsid w:val="008F7048"/>
    <w:rsid w:val="008F71A1"/>
    <w:rsid w:val="008F724D"/>
    <w:rsid w:val="008F7312"/>
    <w:rsid w:val="008F7404"/>
    <w:rsid w:val="008F746B"/>
    <w:rsid w:val="008F74D9"/>
    <w:rsid w:val="008F74DE"/>
    <w:rsid w:val="008F7560"/>
    <w:rsid w:val="008F7562"/>
    <w:rsid w:val="008F79A9"/>
    <w:rsid w:val="008F79BA"/>
    <w:rsid w:val="008F7B74"/>
    <w:rsid w:val="008F7BFA"/>
    <w:rsid w:val="008F7C4C"/>
    <w:rsid w:val="008F7D78"/>
    <w:rsid w:val="008F7F33"/>
    <w:rsid w:val="008F7F69"/>
    <w:rsid w:val="008F7F7B"/>
    <w:rsid w:val="008F7F88"/>
    <w:rsid w:val="00900165"/>
    <w:rsid w:val="009001A2"/>
    <w:rsid w:val="0090021B"/>
    <w:rsid w:val="0090028B"/>
    <w:rsid w:val="009002EF"/>
    <w:rsid w:val="00900334"/>
    <w:rsid w:val="009003DB"/>
    <w:rsid w:val="00900464"/>
    <w:rsid w:val="009005F4"/>
    <w:rsid w:val="009006FE"/>
    <w:rsid w:val="00900782"/>
    <w:rsid w:val="0090085F"/>
    <w:rsid w:val="009009BB"/>
    <w:rsid w:val="00900AE5"/>
    <w:rsid w:val="00900AE8"/>
    <w:rsid w:val="00900C45"/>
    <w:rsid w:val="00900C47"/>
    <w:rsid w:val="00900D86"/>
    <w:rsid w:val="00900DA1"/>
    <w:rsid w:val="00900DAD"/>
    <w:rsid w:val="00900FDB"/>
    <w:rsid w:val="009010C2"/>
    <w:rsid w:val="00901145"/>
    <w:rsid w:val="00901383"/>
    <w:rsid w:val="009015C0"/>
    <w:rsid w:val="009015D2"/>
    <w:rsid w:val="00901624"/>
    <w:rsid w:val="00901657"/>
    <w:rsid w:val="009016B3"/>
    <w:rsid w:val="00901A4E"/>
    <w:rsid w:val="00901AB5"/>
    <w:rsid w:val="00901CAC"/>
    <w:rsid w:val="00901FA7"/>
    <w:rsid w:val="00902009"/>
    <w:rsid w:val="00902056"/>
    <w:rsid w:val="009020E5"/>
    <w:rsid w:val="009021AF"/>
    <w:rsid w:val="00902231"/>
    <w:rsid w:val="0090233F"/>
    <w:rsid w:val="0090254A"/>
    <w:rsid w:val="0090260D"/>
    <w:rsid w:val="0090271A"/>
    <w:rsid w:val="00902873"/>
    <w:rsid w:val="009029D0"/>
    <w:rsid w:val="00902B31"/>
    <w:rsid w:val="00902B5E"/>
    <w:rsid w:val="00902BC7"/>
    <w:rsid w:val="00902C18"/>
    <w:rsid w:val="00902CB4"/>
    <w:rsid w:val="00902CD2"/>
    <w:rsid w:val="00902D3A"/>
    <w:rsid w:val="00902E22"/>
    <w:rsid w:val="00902F2C"/>
    <w:rsid w:val="00902F56"/>
    <w:rsid w:val="00903099"/>
    <w:rsid w:val="009030B9"/>
    <w:rsid w:val="00903305"/>
    <w:rsid w:val="009033A0"/>
    <w:rsid w:val="009036C4"/>
    <w:rsid w:val="00903724"/>
    <w:rsid w:val="00903740"/>
    <w:rsid w:val="0090378A"/>
    <w:rsid w:val="009037F1"/>
    <w:rsid w:val="0090385F"/>
    <w:rsid w:val="009038D1"/>
    <w:rsid w:val="0090396C"/>
    <w:rsid w:val="00903A55"/>
    <w:rsid w:val="00903AD6"/>
    <w:rsid w:val="00903B18"/>
    <w:rsid w:val="00903C48"/>
    <w:rsid w:val="00903DAC"/>
    <w:rsid w:val="00903DB2"/>
    <w:rsid w:val="00903DDD"/>
    <w:rsid w:val="00903E53"/>
    <w:rsid w:val="00903F44"/>
    <w:rsid w:val="00903FE4"/>
    <w:rsid w:val="009040E4"/>
    <w:rsid w:val="00904347"/>
    <w:rsid w:val="009043CF"/>
    <w:rsid w:val="00904515"/>
    <w:rsid w:val="0090456A"/>
    <w:rsid w:val="009045BD"/>
    <w:rsid w:val="009046AF"/>
    <w:rsid w:val="00904754"/>
    <w:rsid w:val="0090478E"/>
    <w:rsid w:val="009049CF"/>
    <w:rsid w:val="00904A18"/>
    <w:rsid w:val="00904A36"/>
    <w:rsid w:val="00904C5D"/>
    <w:rsid w:val="00904D4C"/>
    <w:rsid w:val="00904DA7"/>
    <w:rsid w:val="00904DB7"/>
    <w:rsid w:val="00904E1F"/>
    <w:rsid w:val="00904F88"/>
    <w:rsid w:val="00905135"/>
    <w:rsid w:val="009052B8"/>
    <w:rsid w:val="00905382"/>
    <w:rsid w:val="0090551A"/>
    <w:rsid w:val="00905546"/>
    <w:rsid w:val="0090556A"/>
    <w:rsid w:val="0090557C"/>
    <w:rsid w:val="009055CA"/>
    <w:rsid w:val="00905652"/>
    <w:rsid w:val="00905674"/>
    <w:rsid w:val="0090585B"/>
    <w:rsid w:val="009058F2"/>
    <w:rsid w:val="009059C1"/>
    <w:rsid w:val="00905A44"/>
    <w:rsid w:val="00905B06"/>
    <w:rsid w:val="00905FE0"/>
    <w:rsid w:val="009060A5"/>
    <w:rsid w:val="00906107"/>
    <w:rsid w:val="00906109"/>
    <w:rsid w:val="009061E7"/>
    <w:rsid w:val="0090631B"/>
    <w:rsid w:val="0090638D"/>
    <w:rsid w:val="009063AE"/>
    <w:rsid w:val="00906459"/>
    <w:rsid w:val="0090646E"/>
    <w:rsid w:val="009064BC"/>
    <w:rsid w:val="0090651B"/>
    <w:rsid w:val="009065CC"/>
    <w:rsid w:val="009066DF"/>
    <w:rsid w:val="00906793"/>
    <w:rsid w:val="00906872"/>
    <w:rsid w:val="00906B6F"/>
    <w:rsid w:val="00906C5A"/>
    <w:rsid w:val="00906D73"/>
    <w:rsid w:val="00907081"/>
    <w:rsid w:val="0090710C"/>
    <w:rsid w:val="0090715C"/>
    <w:rsid w:val="0090737F"/>
    <w:rsid w:val="0090738B"/>
    <w:rsid w:val="009073AA"/>
    <w:rsid w:val="00907564"/>
    <w:rsid w:val="0090762B"/>
    <w:rsid w:val="009076AA"/>
    <w:rsid w:val="009076F9"/>
    <w:rsid w:val="00907714"/>
    <w:rsid w:val="00907773"/>
    <w:rsid w:val="00907785"/>
    <w:rsid w:val="009077A5"/>
    <w:rsid w:val="00907A7F"/>
    <w:rsid w:val="00907B1F"/>
    <w:rsid w:val="00907BB5"/>
    <w:rsid w:val="00907CBE"/>
    <w:rsid w:val="00907DFC"/>
    <w:rsid w:val="00907EDF"/>
    <w:rsid w:val="00907F1A"/>
    <w:rsid w:val="009100A1"/>
    <w:rsid w:val="009100E3"/>
    <w:rsid w:val="009101E0"/>
    <w:rsid w:val="0091022C"/>
    <w:rsid w:val="00910365"/>
    <w:rsid w:val="0091057E"/>
    <w:rsid w:val="009105AE"/>
    <w:rsid w:val="009106B9"/>
    <w:rsid w:val="0091073F"/>
    <w:rsid w:val="0091075F"/>
    <w:rsid w:val="009108F4"/>
    <w:rsid w:val="00910999"/>
    <w:rsid w:val="00910A7E"/>
    <w:rsid w:val="00910B9E"/>
    <w:rsid w:val="00910BA6"/>
    <w:rsid w:val="00910CD1"/>
    <w:rsid w:val="00910D18"/>
    <w:rsid w:val="00910E24"/>
    <w:rsid w:val="00910E7A"/>
    <w:rsid w:val="00910E7C"/>
    <w:rsid w:val="00910F98"/>
    <w:rsid w:val="00910FC7"/>
    <w:rsid w:val="009110E1"/>
    <w:rsid w:val="0091116B"/>
    <w:rsid w:val="0091129F"/>
    <w:rsid w:val="00911337"/>
    <w:rsid w:val="00911353"/>
    <w:rsid w:val="00911643"/>
    <w:rsid w:val="0091182D"/>
    <w:rsid w:val="0091195E"/>
    <w:rsid w:val="009119B2"/>
    <w:rsid w:val="00911A33"/>
    <w:rsid w:val="00911A37"/>
    <w:rsid w:val="00911A5C"/>
    <w:rsid w:val="00911ACA"/>
    <w:rsid w:val="00911B3E"/>
    <w:rsid w:val="00911BFB"/>
    <w:rsid w:val="00911C06"/>
    <w:rsid w:val="00911E55"/>
    <w:rsid w:val="00911EA4"/>
    <w:rsid w:val="00911EAB"/>
    <w:rsid w:val="00912071"/>
    <w:rsid w:val="0091209D"/>
    <w:rsid w:val="00912125"/>
    <w:rsid w:val="00912187"/>
    <w:rsid w:val="009121B2"/>
    <w:rsid w:val="00912241"/>
    <w:rsid w:val="009122B4"/>
    <w:rsid w:val="009122C9"/>
    <w:rsid w:val="00912326"/>
    <w:rsid w:val="009123F5"/>
    <w:rsid w:val="00912534"/>
    <w:rsid w:val="0091293C"/>
    <w:rsid w:val="009129A0"/>
    <w:rsid w:val="009129B5"/>
    <w:rsid w:val="00912B54"/>
    <w:rsid w:val="00912BB4"/>
    <w:rsid w:val="00912BD9"/>
    <w:rsid w:val="00912CCE"/>
    <w:rsid w:val="00912CDB"/>
    <w:rsid w:val="00912E76"/>
    <w:rsid w:val="00912E79"/>
    <w:rsid w:val="00912E7C"/>
    <w:rsid w:val="00912F2C"/>
    <w:rsid w:val="00913009"/>
    <w:rsid w:val="0091303E"/>
    <w:rsid w:val="009130B4"/>
    <w:rsid w:val="009130F8"/>
    <w:rsid w:val="00913137"/>
    <w:rsid w:val="009131DC"/>
    <w:rsid w:val="009131FA"/>
    <w:rsid w:val="0091323A"/>
    <w:rsid w:val="00913304"/>
    <w:rsid w:val="00913424"/>
    <w:rsid w:val="009134B1"/>
    <w:rsid w:val="009136AE"/>
    <w:rsid w:val="009136DF"/>
    <w:rsid w:val="009138DD"/>
    <w:rsid w:val="00913955"/>
    <w:rsid w:val="009139F0"/>
    <w:rsid w:val="00913A5E"/>
    <w:rsid w:val="00913A98"/>
    <w:rsid w:val="00913AB5"/>
    <w:rsid w:val="00913C0B"/>
    <w:rsid w:val="00913C85"/>
    <w:rsid w:val="00913CA4"/>
    <w:rsid w:val="00913E4E"/>
    <w:rsid w:val="00913E82"/>
    <w:rsid w:val="00913EAD"/>
    <w:rsid w:val="00913EC5"/>
    <w:rsid w:val="0091402B"/>
    <w:rsid w:val="0091411A"/>
    <w:rsid w:val="00914149"/>
    <w:rsid w:val="009142F1"/>
    <w:rsid w:val="0091446E"/>
    <w:rsid w:val="009146F5"/>
    <w:rsid w:val="00914994"/>
    <w:rsid w:val="00914A67"/>
    <w:rsid w:val="00914AC4"/>
    <w:rsid w:val="00914BF3"/>
    <w:rsid w:val="00914BFA"/>
    <w:rsid w:val="00914C74"/>
    <w:rsid w:val="00914D16"/>
    <w:rsid w:val="00914DFE"/>
    <w:rsid w:val="00914FBF"/>
    <w:rsid w:val="00914FC6"/>
    <w:rsid w:val="00915036"/>
    <w:rsid w:val="00915146"/>
    <w:rsid w:val="00915187"/>
    <w:rsid w:val="00915400"/>
    <w:rsid w:val="009154A5"/>
    <w:rsid w:val="00915573"/>
    <w:rsid w:val="0091570D"/>
    <w:rsid w:val="0091580E"/>
    <w:rsid w:val="009158C3"/>
    <w:rsid w:val="00915928"/>
    <w:rsid w:val="00915943"/>
    <w:rsid w:val="00915B3B"/>
    <w:rsid w:val="00915C52"/>
    <w:rsid w:val="00915D96"/>
    <w:rsid w:val="00915F9D"/>
    <w:rsid w:val="00916059"/>
    <w:rsid w:val="00916151"/>
    <w:rsid w:val="00916198"/>
    <w:rsid w:val="009161A9"/>
    <w:rsid w:val="0091631A"/>
    <w:rsid w:val="00916326"/>
    <w:rsid w:val="00916333"/>
    <w:rsid w:val="00916352"/>
    <w:rsid w:val="009163A2"/>
    <w:rsid w:val="009164B8"/>
    <w:rsid w:val="009165F5"/>
    <w:rsid w:val="00916614"/>
    <w:rsid w:val="00916695"/>
    <w:rsid w:val="00916715"/>
    <w:rsid w:val="00916741"/>
    <w:rsid w:val="00916804"/>
    <w:rsid w:val="00916921"/>
    <w:rsid w:val="00916A0E"/>
    <w:rsid w:val="00916B16"/>
    <w:rsid w:val="00916CBB"/>
    <w:rsid w:val="00916D7C"/>
    <w:rsid w:val="00916DD6"/>
    <w:rsid w:val="00916E68"/>
    <w:rsid w:val="00916F25"/>
    <w:rsid w:val="00916F52"/>
    <w:rsid w:val="00916F80"/>
    <w:rsid w:val="00916FA7"/>
    <w:rsid w:val="0091704C"/>
    <w:rsid w:val="00917050"/>
    <w:rsid w:val="009174DF"/>
    <w:rsid w:val="00917511"/>
    <w:rsid w:val="00917588"/>
    <w:rsid w:val="0091776F"/>
    <w:rsid w:val="00917792"/>
    <w:rsid w:val="009177E9"/>
    <w:rsid w:val="00917BA2"/>
    <w:rsid w:val="00917BD8"/>
    <w:rsid w:val="00917CB6"/>
    <w:rsid w:val="00917CB9"/>
    <w:rsid w:val="00917D34"/>
    <w:rsid w:val="00917D56"/>
    <w:rsid w:val="00917ECE"/>
    <w:rsid w:val="00917FB8"/>
    <w:rsid w:val="0092003C"/>
    <w:rsid w:val="00920060"/>
    <w:rsid w:val="009200DF"/>
    <w:rsid w:val="009200E3"/>
    <w:rsid w:val="00920112"/>
    <w:rsid w:val="00920189"/>
    <w:rsid w:val="009201C2"/>
    <w:rsid w:val="009201F6"/>
    <w:rsid w:val="00920376"/>
    <w:rsid w:val="009203D2"/>
    <w:rsid w:val="009203EF"/>
    <w:rsid w:val="009204F8"/>
    <w:rsid w:val="0092076F"/>
    <w:rsid w:val="00920817"/>
    <w:rsid w:val="00920902"/>
    <w:rsid w:val="00920B7C"/>
    <w:rsid w:val="00920C33"/>
    <w:rsid w:val="00920C3E"/>
    <w:rsid w:val="00920CB9"/>
    <w:rsid w:val="00920D1A"/>
    <w:rsid w:val="00920D23"/>
    <w:rsid w:val="00920DED"/>
    <w:rsid w:val="009210C3"/>
    <w:rsid w:val="00921123"/>
    <w:rsid w:val="00921146"/>
    <w:rsid w:val="00921191"/>
    <w:rsid w:val="009212D3"/>
    <w:rsid w:val="009212D7"/>
    <w:rsid w:val="00921392"/>
    <w:rsid w:val="0092150D"/>
    <w:rsid w:val="00921574"/>
    <w:rsid w:val="009215DC"/>
    <w:rsid w:val="00921638"/>
    <w:rsid w:val="00921687"/>
    <w:rsid w:val="0092169C"/>
    <w:rsid w:val="009217B2"/>
    <w:rsid w:val="009217BB"/>
    <w:rsid w:val="00921BAF"/>
    <w:rsid w:val="00921C60"/>
    <w:rsid w:val="00921CF1"/>
    <w:rsid w:val="00921D43"/>
    <w:rsid w:val="00921DB6"/>
    <w:rsid w:val="00922132"/>
    <w:rsid w:val="009221AA"/>
    <w:rsid w:val="00922200"/>
    <w:rsid w:val="009222B0"/>
    <w:rsid w:val="0092234A"/>
    <w:rsid w:val="00922683"/>
    <w:rsid w:val="00922816"/>
    <w:rsid w:val="0092282E"/>
    <w:rsid w:val="00922843"/>
    <w:rsid w:val="00922919"/>
    <w:rsid w:val="00922B48"/>
    <w:rsid w:val="00922D03"/>
    <w:rsid w:val="00922D4D"/>
    <w:rsid w:val="00922DB3"/>
    <w:rsid w:val="00922DD9"/>
    <w:rsid w:val="00922EFE"/>
    <w:rsid w:val="00922F32"/>
    <w:rsid w:val="00922F8E"/>
    <w:rsid w:val="0092302E"/>
    <w:rsid w:val="009232A4"/>
    <w:rsid w:val="00923301"/>
    <w:rsid w:val="00923326"/>
    <w:rsid w:val="009233CB"/>
    <w:rsid w:val="0092351B"/>
    <w:rsid w:val="009235CF"/>
    <w:rsid w:val="009235D6"/>
    <w:rsid w:val="00923707"/>
    <w:rsid w:val="00923775"/>
    <w:rsid w:val="0092379A"/>
    <w:rsid w:val="0092385F"/>
    <w:rsid w:val="009238B6"/>
    <w:rsid w:val="00923907"/>
    <w:rsid w:val="00923947"/>
    <w:rsid w:val="00923A3E"/>
    <w:rsid w:val="00923A41"/>
    <w:rsid w:val="00923A53"/>
    <w:rsid w:val="00923A5C"/>
    <w:rsid w:val="00923B3A"/>
    <w:rsid w:val="00923B9A"/>
    <w:rsid w:val="00923C20"/>
    <w:rsid w:val="00923C5E"/>
    <w:rsid w:val="00923D8A"/>
    <w:rsid w:val="00924018"/>
    <w:rsid w:val="009240DA"/>
    <w:rsid w:val="009240E5"/>
    <w:rsid w:val="00924190"/>
    <w:rsid w:val="009241A9"/>
    <w:rsid w:val="00924230"/>
    <w:rsid w:val="0092423F"/>
    <w:rsid w:val="0092427B"/>
    <w:rsid w:val="0092433E"/>
    <w:rsid w:val="009243A0"/>
    <w:rsid w:val="0092444F"/>
    <w:rsid w:val="009245B0"/>
    <w:rsid w:val="00924765"/>
    <w:rsid w:val="0092493A"/>
    <w:rsid w:val="00924BDB"/>
    <w:rsid w:val="00924BE9"/>
    <w:rsid w:val="00924C6F"/>
    <w:rsid w:val="00924C8B"/>
    <w:rsid w:val="00924CB0"/>
    <w:rsid w:val="00924CD0"/>
    <w:rsid w:val="00924DB0"/>
    <w:rsid w:val="00924E44"/>
    <w:rsid w:val="00924E47"/>
    <w:rsid w:val="00924E54"/>
    <w:rsid w:val="00924E7F"/>
    <w:rsid w:val="00925027"/>
    <w:rsid w:val="00925043"/>
    <w:rsid w:val="00925085"/>
    <w:rsid w:val="009255ED"/>
    <w:rsid w:val="009256B3"/>
    <w:rsid w:val="00925853"/>
    <w:rsid w:val="009259A3"/>
    <w:rsid w:val="00925A0B"/>
    <w:rsid w:val="00925BC1"/>
    <w:rsid w:val="00925E74"/>
    <w:rsid w:val="00925F7F"/>
    <w:rsid w:val="00925F8A"/>
    <w:rsid w:val="009260C7"/>
    <w:rsid w:val="009260D5"/>
    <w:rsid w:val="00926241"/>
    <w:rsid w:val="0092627A"/>
    <w:rsid w:val="009262DC"/>
    <w:rsid w:val="00926311"/>
    <w:rsid w:val="00926362"/>
    <w:rsid w:val="0092636E"/>
    <w:rsid w:val="00926546"/>
    <w:rsid w:val="009267C5"/>
    <w:rsid w:val="0092680A"/>
    <w:rsid w:val="0092685C"/>
    <w:rsid w:val="00926928"/>
    <w:rsid w:val="00926B0C"/>
    <w:rsid w:val="00926B4B"/>
    <w:rsid w:val="00926C3D"/>
    <w:rsid w:val="00926D91"/>
    <w:rsid w:val="00926E2C"/>
    <w:rsid w:val="00926E5C"/>
    <w:rsid w:val="00926EC7"/>
    <w:rsid w:val="00927035"/>
    <w:rsid w:val="009270C5"/>
    <w:rsid w:val="009270F3"/>
    <w:rsid w:val="009274FE"/>
    <w:rsid w:val="009274FF"/>
    <w:rsid w:val="00927508"/>
    <w:rsid w:val="0092753D"/>
    <w:rsid w:val="0092757A"/>
    <w:rsid w:val="0092759F"/>
    <w:rsid w:val="0092767D"/>
    <w:rsid w:val="00927690"/>
    <w:rsid w:val="00927708"/>
    <w:rsid w:val="00927751"/>
    <w:rsid w:val="009277F8"/>
    <w:rsid w:val="00927923"/>
    <w:rsid w:val="0092799C"/>
    <w:rsid w:val="00927A66"/>
    <w:rsid w:val="00927AD7"/>
    <w:rsid w:val="00927B10"/>
    <w:rsid w:val="00927B8D"/>
    <w:rsid w:val="00927B9D"/>
    <w:rsid w:val="00927C4A"/>
    <w:rsid w:val="00927D6C"/>
    <w:rsid w:val="00927D8C"/>
    <w:rsid w:val="00927E6F"/>
    <w:rsid w:val="00927EFA"/>
    <w:rsid w:val="00927F5E"/>
    <w:rsid w:val="0093004E"/>
    <w:rsid w:val="009300CA"/>
    <w:rsid w:val="0093016E"/>
    <w:rsid w:val="00930222"/>
    <w:rsid w:val="00930240"/>
    <w:rsid w:val="00930377"/>
    <w:rsid w:val="00930411"/>
    <w:rsid w:val="00930429"/>
    <w:rsid w:val="0093059F"/>
    <w:rsid w:val="009305D6"/>
    <w:rsid w:val="0093074B"/>
    <w:rsid w:val="009308CA"/>
    <w:rsid w:val="009308D9"/>
    <w:rsid w:val="00930955"/>
    <w:rsid w:val="009309DA"/>
    <w:rsid w:val="009309E6"/>
    <w:rsid w:val="00930A00"/>
    <w:rsid w:val="00930AEF"/>
    <w:rsid w:val="00930B06"/>
    <w:rsid w:val="00930B64"/>
    <w:rsid w:val="00930D4C"/>
    <w:rsid w:val="009311C8"/>
    <w:rsid w:val="0093125D"/>
    <w:rsid w:val="00931264"/>
    <w:rsid w:val="0093134D"/>
    <w:rsid w:val="009314CF"/>
    <w:rsid w:val="009314D3"/>
    <w:rsid w:val="009315AD"/>
    <w:rsid w:val="009315C0"/>
    <w:rsid w:val="009315D0"/>
    <w:rsid w:val="00931634"/>
    <w:rsid w:val="0093167D"/>
    <w:rsid w:val="009316D1"/>
    <w:rsid w:val="0093173F"/>
    <w:rsid w:val="00931997"/>
    <w:rsid w:val="009319A0"/>
    <w:rsid w:val="009319B5"/>
    <w:rsid w:val="00931A6C"/>
    <w:rsid w:val="00931AD5"/>
    <w:rsid w:val="00931AD9"/>
    <w:rsid w:val="00931AF6"/>
    <w:rsid w:val="00931B00"/>
    <w:rsid w:val="00931B5F"/>
    <w:rsid w:val="00931BA3"/>
    <w:rsid w:val="00931BE7"/>
    <w:rsid w:val="00931D8C"/>
    <w:rsid w:val="00931EA7"/>
    <w:rsid w:val="00931EFF"/>
    <w:rsid w:val="00931F90"/>
    <w:rsid w:val="00931FB6"/>
    <w:rsid w:val="00932006"/>
    <w:rsid w:val="0093202E"/>
    <w:rsid w:val="00932070"/>
    <w:rsid w:val="009320A3"/>
    <w:rsid w:val="00932110"/>
    <w:rsid w:val="0093219D"/>
    <w:rsid w:val="009321B8"/>
    <w:rsid w:val="0093224B"/>
    <w:rsid w:val="00932278"/>
    <w:rsid w:val="0093252E"/>
    <w:rsid w:val="00932723"/>
    <w:rsid w:val="00932726"/>
    <w:rsid w:val="00932797"/>
    <w:rsid w:val="009327E7"/>
    <w:rsid w:val="0093283C"/>
    <w:rsid w:val="0093287D"/>
    <w:rsid w:val="00932946"/>
    <w:rsid w:val="0093297C"/>
    <w:rsid w:val="00932995"/>
    <w:rsid w:val="00932C19"/>
    <w:rsid w:val="00932CA5"/>
    <w:rsid w:val="00932D0D"/>
    <w:rsid w:val="00932D6F"/>
    <w:rsid w:val="00932E52"/>
    <w:rsid w:val="00932E8D"/>
    <w:rsid w:val="00932F5B"/>
    <w:rsid w:val="009330ED"/>
    <w:rsid w:val="009333F9"/>
    <w:rsid w:val="0093342D"/>
    <w:rsid w:val="00933519"/>
    <w:rsid w:val="00933540"/>
    <w:rsid w:val="00933722"/>
    <w:rsid w:val="00933732"/>
    <w:rsid w:val="0093397F"/>
    <w:rsid w:val="009339A7"/>
    <w:rsid w:val="00933A01"/>
    <w:rsid w:val="00933A38"/>
    <w:rsid w:val="00933A7B"/>
    <w:rsid w:val="00933B80"/>
    <w:rsid w:val="00933C9D"/>
    <w:rsid w:val="00933D97"/>
    <w:rsid w:val="00933F05"/>
    <w:rsid w:val="00933F6F"/>
    <w:rsid w:val="009340B0"/>
    <w:rsid w:val="0093417F"/>
    <w:rsid w:val="0093439E"/>
    <w:rsid w:val="00934570"/>
    <w:rsid w:val="009345D6"/>
    <w:rsid w:val="00934607"/>
    <w:rsid w:val="009346DF"/>
    <w:rsid w:val="00934772"/>
    <w:rsid w:val="009347A7"/>
    <w:rsid w:val="0093480F"/>
    <w:rsid w:val="009348C4"/>
    <w:rsid w:val="00934986"/>
    <w:rsid w:val="00934A65"/>
    <w:rsid w:val="00934AF9"/>
    <w:rsid w:val="00934CC7"/>
    <w:rsid w:val="00934CD1"/>
    <w:rsid w:val="00934D61"/>
    <w:rsid w:val="00934D92"/>
    <w:rsid w:val="00934E06"/>
    <w:rsid w:val="00934E70"/>
    <w:rsid w:val="00934F9C"/>
    <w:rsid w:val="009350A4"/>
    <w:rsid w:val="00935183"/>
    <w:rsid w:val="00935224"/>
    <w:rsid w:val="009352AD"/>
    <w:rsid w:val="009352F8"/>
    <w:rsid w:val="0093538F"/>
    <w:rsid w:val="0093562A"/>
    <w:rsid w:val="0093565F"/>
    <w:rsid w:val="009357F9"/>
    <w:rsid w:val="009358E5"/>
    <w:rsid w:val="00935949"/>
    <w:rsid w:val="00935956"/>
    <w:rsid w:val="00935A28"/>
    <w:rsid w:val="00935A73"/>
    <w:rsid w:val="00935B71"/>
    <w:rsid w:val="00935C08"/>
    <w:rsid w:val="00935CAB"/>
    <w:rsid w:val="00935E37"/>
    <w:rsid w:val="00935EFE"/>
    <w:rsid w:val="00936019"/>
    <w:rsid w:val="009360B4"/>
    <w:rsid w:val="00936257"/>
    <w:rsid w:val="00936298"/>
    <w:rsid w:val="0093630B"/>
    <w:rsid w:val="009363C5"/>
    <w:rsid w:val="00936414"/>
    <w:rsid w:val="009364B5"/>
    <w:rsid w:val="009365D4"/>
    <w:rsid w:val="009367C3"/>
    <w:rsid w:val="009367D7"/>
    <w:rsid w:val="009368F8"/>
    <w:rsid w:val="00936A24"/>
    <w:rsid w:val="00936A53"/>
    <w:rsid w:val="00936C4F"/>
    <w:rsid w:val="00936CF8"/>
    <w:rsid w:val="00936EA8"/>
    <w:rsid w:val="00936F75"/>
    <w:rsid w:val="0093714D"/>
    <w:rsid w:val="0093723D"/>
    <w:rsid w:val="009372F7"/>
    <w:rsid w:val="009373D0"/>
    <w:rsid w:val="0093754F"/>
    <w:rsid w:val="00937619"/>
    <w:rsid w:val="00937631"/>
    <w:rsid w:val="0093769F"/>
    <w:rsid w:val="009376E1"/>
    <w:rsid w:val="0093788A"/>
    <w:rsid w:val="0093790D"/>
    <w:rsid w:val="00937936"/>
    <w:rsid w:val="009379B9"/>
    <w:rsid w:val="00937A99"/>
    <w:rsid w:val="00937AC0"/>
    <w:rsid w:val="00937D81"/>
    <w:rsid w:val="00937D86"/>
    <w:rsid w:val="00937D92"/>
    <w:rsid w:val="00937DD5"/>
    <w:rsid w:val="00937E53"/>
    <w:rsid w:val="00937EB4"/>
    <w:rsid w:val="00937F03"/>
    <w:rsid w:val="00937FCE"/>
    <w:rsid w:val="00937FD3"/>
    <w:rsid w:val="0094002E"/>
    <w:rsid w:val="0094014B"/>
    <w:rsid w:val="0094029F"/>
    <w:rsid w:val="009402A5"/>
    <w:rsid w:val="0094031D"/>
    <w:rsid w:val="0094033A"/>
    <w:rsid w:val="009405E1"/>
    <w:rsid w:val="00940637"/>
    <w:rsid w:val="009409EE"/>
    <w:rsid w:val="00940A78"/>
    <w:rsid w:val="00940C20"/>
    <w:rsid w:val="00940C87"/>
    <w:rsid w:val="00940D54"/>
    <w:rsid w:val="00940DBE"/>
    <w:rsid w:val="00940E10"/>
    <w:rsid w:val="00940E90"/>
    <w:rsid w:val="00941188"/>
    <w:rsid w:val="009411A0"/>
    <w:rsid w:val="00941203"/>
    <w:rsid w:val="0094145F"/>
    <w:rsid w:val="009414C8"/>
    <w:rsid w:val="009414E2"/>
    <w:rsid w:val="00941548"/>
    <w:rsid w:val="009416EE"/>
    <w:rsid w:val="00941703"/>
    <w:rsid w:val="00941746"/>
    <w:rsid w:val="00941755"/>
    <w:rsid w:val="00941A08"/>
    <w:rsid w:val="00941A33"/>
    <w:rsid w:val="00941A3F"/>
    <w:rsid w:val="00941A6C"/>
    <w:rsid w:val="00941B94"/>
    <w:rsid w:val="00941D2B"/>
    <w:rsid w:val="00941EB9"/>
    <w:rsid w:val="00941F75"/>
    <w:rsid w:val="00941FB9"/>
    <w:rsid w:val="0094207E"/>
    <w:rsid w:val="0094208C"/>
    <w:rsid w:val="009420A5"/>
    <w:rsid w:val="00942222"/>
    <w:rsid w:val="0094227E"/>
    <w:rsid w:val="00942280"/>
    <w:rsid w:val="009422D7"/>
    <w:rsid w:val="00942303"/>
    <w:rsid w:val="009423D4"/>
    <w:rsid w:val="00942408"/>
    <w:rsid w:val="00942447"/>
    <w:rsid w:val="009425B4"/>
    <w:rsid w:val="00942680"/>
    <w:rsid w:val="00942891"/>
    <w:rsid w:val="009429D6"/>
    <w:rsid w:val="00942CC8"/>
    <w:rsid w:val="00942CEB"/>
    <w:rsid w:val="00942D0D"/>
    <w:rsid w:val="00942DD3"/>
    <w:rsid w:val="00942DE8"/>
    <w:rsid w:val="00942F5C"/>
    <w:rsid w:val="00942FB8"/>
    <w:rsid w:val="00943048"/>
    <w:rsid w:val="009431B1"/>
    <w:rsid w:val="00943241"/>
    <w:rsid w:val="009432EF"/>
    <w:rsid w:val="0094340C"/>
    <w:rsid w:val="009436AA"/>
    <w:rsid w:val="00943713"/>
    <w:rsid w:val="00943798"/>
    <w:rsid w:val="0094382C"/>
    <w:rsid w:val="009438D9"/>
    <w:rsid w:val="009438E9"/>
    <w:rsid w:val="0094395B"/>
    <w:rsid w:val="00943A7D"/>
    <w:rsid w:val="00943B65"/>
    <w:rsid w:val="00943B94"/>
    <w:rsid w:val="00943CDA"/>
    <w:rsid w:val="00943D8A"/>
    <w:rsid w:val="00943DF0"/>
    <w:rsid w:val="00943FD9"/>
    <w:rsid w:val="009442AB"/>
    <w:rsid w:val="00944335"/>
    <w:rsid w:val="00944385"/>
    <w:rsid w:val="009443CB"/>
    <w:rsid w:val="009443CC"/>
    <w:rsid w:val="0094445F"/>
    <w:rsid w:val="00944467"/>
    <w:rsid w:val="0094447F"/>
    <w:rsid w:val="009445BA"/>
    <w:rsid w:val="00944640"/>
    <w:rsid w:val="0094468C"/>
    <w:rsid w:val="0094468E"/>
    <w:rsid w:val="00944723"/>
    <w:rsid w:val="00944729"/>
    <w:rsid w:val="00944766"/>
    <w:rsid w:val="00944909"/>
    <w:rsid w:val="00944939"/>
    <w:rsid w:val="0094496F"/>
    <w:rsid w:val="00944988"/>
    <w:rsid w:val="00944A45"/>
    <w:rsid w:val="00944B6D"/>
    <w:rsid w:val="00944BA2"/>
    <w:rsid w:val="00944BB2"/>
    <w:rsid w:val="00944BEE"/>
    <w:rsid w:val="00944EDB"/>
    <w:rsid w:val="00944EF7"/>
    <w:rsid w:val="00944F00"/>
    <w:rsid w:val="00944F54"/>
    <w:rsid w:val="00944F95"/>
    <w:rsid w:val="00944FA8"/>
    <w:rsid w:val="00945082"/>
    <w:rsid w:val="009450E0"/>
    <w:rsid w:val="009450F8"/>
    <w:rsid w:val="009454A0"/>
    <w:rsid w:val="00945565"/>
    <w:rsid w:val="00945581"/>
    <w:rsid w:val="00945645"/>
    <w:rsid w:val="009456E2"/>
    <w:rsid w:val="00945826"/>
    <w:rsid w:val="00945A03"/>
    <w:rsid w:val="00945A10"/>
    <w:rsid w:val="00945A2C"/>
    <w:rsid w:val="00945AEB"/>
    <w:rsid w:val="00945C34"/>
    <w:rsid w:val="00945D3D"/>
    <w:rsid w:val="00945D64"/>
    <w:rsid w:val="00945E2B"/>
    <w:rsid w:val="00946227"/>
    <w:rsid w:val="0094626A"/>
    <w:rsid w:val="0094636D"/>
    <w:rsid w:val="00946550"/>
    <w:rsid w:val="009465E6"/>
    <w:rsid w:val="00946611"/>
    <w:rsid w:val="009466D7"/>
    <w:rsid w:val="009466DD"/>
    <w:rsid w:val="009467B5"/>
    <w:rsid w:val="009469B5"/>
    <w:rsid w:val="00946AC9"/>
    <w:rsid w:val="00946E4F"/>
    <w:rsid w:val="00946E6A"/>
    <w:rsid w:val="00946FA1"/>
    <w:rsid w:val="0094706F"/>
    <w:rsid w:val="00947368"/>
    <w:rsid w:val="009474F9"/>
    <w:rsid w:val="00947516"/>
    <w:rsid w:val="0094765D"/>
    <w:rsid w:val="009477B2"/>
    <w:rsid w:val="009477BF"/>
    <w:rsid w:val="009477E3"/>
    <w:rsid w:val="0094784A"/>
    <w:rsid w:val="00947890"/>
    <w:rsid w:val="0094796E"/>
    <w:rsid w:val="00947A09"/>
    <w:rsid w:val="00947ADA"/>
    <w:rsid w:val="00947BAD"/>
    <w:rsid w:val="00947BB4"/>
    <w:rsid w:val="00947CB9"/>
    <w:rsid w:val="00947CD5"/>
    <w:rsid w:val="00947DED"/>
    <w:rsid w:val="00947E07"/>
    <w:rsid w:val="00947EAF"/>
    <w:rsid w:val="00947F61"/>
    <w:rsid w:val="00950061"/>
    <w:rsid w:val="009500E9"/>
    <w:rsid w:val="0095017F"/>
    <w:rsid w:val="009503AA"/>
    <w:rsid w:val="009503C0"/>
    <w:rsid w:val="00950475"/>
    <w:rsid w:val="009505D3"/>
    <w:rsid w:val="00950603"/>
    <w:rsid w:val="00950609"/>
    <w:rsid w:val="00950676"/>
    <w:rsid w:val="009506BD"/>
    <w:rsid w:val="009506D3"/>
    <w:rsid w:val="009507F8"/>
    <w:rsid w:val="0095084A"/>
    <w:rsid w:val="00950923"/>
    <w:rsid w:val="0095092A"/>
    <w:rsid w:val="009509BA"/>
    <w:rsid w:val="00950A3B"/>
    <w:rsid w:val="00950A8D"/>
    <w:rsid w:val="00950B9E"/>
    <w:rsid w:val="00950C24"/>
    <w:rsid w:val="00950C5C"/>
    <w:rsid w:val="00950C86"/>
    <w:rsid w:val="00950D68"/>
    <w:rsid w:val="00950E97"/>
    <w:rsid w:val="00950F00"/>
    <w:rsid w:val="00951059"/>
    <w:rsid w:val="009510B4"/>
    <w:rsid w:val="00951133"/>
    <w:rsid w:val="0095113F"/>
    <w:rsid w:val="009511F4"/>
    <w:rsid w:val="00951223"/>
    <w:rsid w:val="00951288"/>
    <w:rsid w:val="009513BC"/>
    <w:rsid w:val="00951400"/>
    <w:rsid w:val="00951539"/>
    <w:rsid w:val="00951560"/>
    <w:rsid w:val="00951896"/>
    <w:rsid w:val="009519EC"/>
    <w:rsid w:val="00951CE9"/>
    <w:rsid w:val="00951DF0"/>
    <w:rsid w:val="00951ED2"/>
    <w:rsid w:val="00951F06"/>
    <w:rsid w:val="00951F2E"/>
    <w:rsid w:val="00951F99"/>
    <w:rsid w:val="00951FE8"/>
    <w:rsid w:val="0095201D"/>
    <w:rsid w:val="00952041"/>
    <w:rsid w:val="0095215A"/>
    <w:rsid w:val="009522F1"/>
    <w:rsid w:val="0095231D"/>
    <w:rsid w:val="00952325"/>
    <w:rsid w:val="00952381"/>
    <w:rsid w:val="0095238E"/>
    <w:rsid w:val="0095243D"/>
    <w:rsid w:val="0095267C"/>
    <w:rsid w:val="0095271F"/>
    <w:rsid w:val="00952775"/>
    <w:rsid w:val="0095284A"/>
    <w:rsid w:val="00952859"/>
    <w:rsid w:val="00952BA6"/>
    <w:rsid w:val="00952CEC"/>
    <w:rsid w:val="00952F6E"/>
    <w:rsid w:val="009531B6"/>
    <w:rsid w:val="009531C9"/>
    <w:rsid w:val="00953216"/>
    <w:rsid w:val="00953304"/>
    <w:rsid w:val="009533B9"/>
    <w:rsid w:val="00953461"/>
    <w:rsid w:val="0095351F"/>
    <w:rsid w:val="00953556"/>
    <w:rsid w:val="0095356D"/>
    <w:rsid w:val="009535C9"/>
    <w:rsid w:val="00953603"/>
    <w:rsid w:val="00953696"/>
    <w:rsid w:val="009536C7"/>
    <w:rsid w:val="00953702"/>
    <w:rsid w:val="0095384B"/>
    <w:rsid w:val="00953924"/>
    <w:rsid w:val="009539F0"/>
    <w:rsid w:val="00953A26"/>
    <w:rsid w:val="00953A93"/>
    <w:rsid w:val="00953AE2"/>
    <w:rsid w:val="00953C07"/>
    <w:rsid w:val="00953CD2"/>
    <w:rsid w:val="00953D99"/>
    <w:rsid w:val="00953DFE"/>
    <w:rsid w:val="00953F4F"/>
    <w:rsid w:val="00953F83"/>
    <w:rsid w:val="00953FAE"/>
    <w:rsid w:val="00954061"/>
    <w:rsid w:val="00954153"/>
    <w:rsid w:val="009542C6"/>
    <w:rsid w:val="009542FE"/>
    <w:rsid w:val="00954425"/>
    <w:rsid w:val="00954562"/>
    <w:rsid w:val="00954593"/>
    <w:rsid w:val="00954650"/>
    <w:rsid w:val="009546A8"/>
    <w:rsid w:val="0095474D"/>
    <w:rsid w:val="00954779"/>
    <w:rsid w:val="00954781"/>
    <w:rsid w:val="0095480C"/>
    <w:rsid w:val="00954836"/>
    <w:rsid w:val="009548F1"/>
    <w:rsid w:val="009549A5"/>
    <w:rsid w:val="00954ABC"/>
    <w:rsid w:val="00954B20"/>
    <w:rsid w:val="00954B5A"/>
    <w:rsid w:val="00954E29"/>
    <w:rsid w:val="00954EAE"/>
    <w:rsid w:val="00954EC1"/>
    <w:rsid w:val="00954F9C"/>
    <w:rsid w:val="0095525B"/>
    <w:rsid w:val="00955402"/>
    <w:rsid w:val="00955567"/>
    <w:rsid w:val="009555FD"/>
    <w:rsid w:val="00955647"/>
    <w:rsid w:val="0095579D"/>
    <w:rsid w:val="0095582F"/>
    <w:rsid w:val="00955898"/>
    <w:rsid w:val="00955910"/>
    <w:rsid w:val="00955969"/>
    <w:rsid w:val="00955AAA"/>
    <w:rsid w:val="00955B4F"/>
    <w:rsid w:val="00955C92"/>
    <w:rsid w:val="00955D38"/>
    <w:rsid w:val="00955ED4"/>
    <w:rsid w:val="0095609E"/>
    <w:rsid w:val="009560E4"/>
    <w:rsid w:val="009561B9"/>
    <w:rsid w:val="009562E8"/>
    <w:rsid w:val="009563AF"/>
    <w:rsid w:val="00956459"/>
    <w:rsid w:val="00956653"/>
    <w:rsid w:val="0095669A"/>
    <w:rsid w:val="00956856"/>
    <w:rsid w:val="0095685F"/>
    <w:rsid w:val="0095687B"/>
    <w:rsid w:val="00956AA8"/>
    <w:rsid w:val="00956AD0"/>
    <w:rsid w:val="00956B26"/>
    <w:rsid w:val="00956C44"/>
    <w:rsid w:val="00956C5A"/>
    <w:rsid w:val="00956CFB"/>
    <w:rsid w:val="00956D3F"/>
    <w:rsid w:val="00956DC5"/>
    <w:rsid w:val="00956F8E"/>
    <w:rsid w:val="00957011"/>
    <w:rsid w:val="0095704E"/>
    <w:rsid w:val="00957078"/>
    <w:rsid w:val="009570BE"/>
    <w:rsid w:val="00957146"/>
    <w:rsid w:val="00957168"/>
    <w:rsid w:val="009572D4"/>
    <w:rsid w:val="009572FC"/>
    <w:rsid w:val="00957359"/>
    <w:rsid w:val="009573F7"/>
    <w:rsid w:val="0095784D"/>
    <w:rsid w:val="0095789E"/>
    <w:rsid w:val="009579AF"/>
    <w:rsid w:val="00957A88"/>
    <w:rsid w:val="00957AAA"/>
    <w:rsid w:val="00957C35"/>
    <w:rsid w:val="00957D41"/>
    <w:rsid w:val="00957E51"/>
    <w:rsid w:val="00957F27"/>
    <w:rsid w:val="00957FA4"/>
    <w:rsid w:val="00957FEC"/>
    <w:rsid w:val="0096017E"/>
    <w:rsid w:val="0096034C"/>
    <w:rsid w:val="00960537"/>
    <w:rsid w:val="0096053E"/>
    <w:rsid w:val="009607C0"/>
    <w:rsid w:val="0096096A"/>
    <w:rsid w:val="0096098F"/>
    <w:rsid w:val="00960A45"/>
    <w:rsid w:val="00960B5E"/>
    <w:rsid w:val="00960B87"/>
    <w:rsid w:val="00960C30"/>
    <w:rsid w:val="00960C5C"/>
    <w:rsid w:val="00960E9E"/>
    <w:rsid w:val="009610C1"/>
    <w:rsid w:val="009610F4"/>
    <w:rsid w:val="009611FA"/>
    <w:rsid w:val="00961229"/>
    <w:rsid w:val="00961414"/>
    <w:rsid w:val="009615DC"/>
    <w:rsid w:val="009615F3"/>
    <w:rsid w:val="00961692"/>
    <w:rsid w:val="009616EB"/>
    <w:rsid w:val="009616FE"/>
    <w:rsid w:val="0096179B"/>
    <w:rsid w:val="00961872"/>
    <w:rsid w:val="00961886"/>
    <w:rsid w:val="0096190C"/>
    <w:rsid w:val="00961941"/>
    <w:rsid w:val="009619AE"/>
    <w:rsid w:val="009619F3"/>
    <w:rsid w:val="009619FE"/>
    <w:rsid w:val="00961ABC"/>
    <w:rsid w:val="00961BFD"/>
    <w:rsid w:val="00961C07"/>
    <w:rsid w:val="00961C34"/>
    <w:rsid w:val="00961CD8"/>
    <w:rsid w:val="00961CDF"/>
    <w:rsid w:val="00961D23"/>
    <w:rsid w:val="00961DBF"/>
    <w:rsid w:val="00961EB9"/>
    <w:rsid w:val="00961ED0"/>
    <w:rsid w:val="00961F00"/>
    <w:rsid w:val="00962037"/>
    <w:rsid w:val="00962041"/>
    <w:rsid w:val="0096205F"/>
    <w:rsid w:val="00962098"/>
    <w:rsid w:val="0096209D"/>
    <w:rsid w:val="009620F8"/>
    <w:rsid w:val="009621CD"/>
    <w:rsid w:val="0096234A"/>
    <w:rsid w:val="00962389"/>
    <w:rsid w:val="00962404"/>
    <w:rsid w:val="009624AA"/>
    <w:rsid w:val="00962797"/>
    <w:rsid w:val="00962829"/>
    <w:rsid w:val="00962917"/>
    <w:rsid w:val="009629F1"/>
    <w:rsid w:val="00962A43"/>
    <w:rsid w:val="00962A49"/>
    <w:rsid w:val="00962AE6"/>
    <w:rsid w:val="00962BF5"/>
    <w:rsid w:val="00962D6F"/>
    <w:rsid w:val="00962DBB"/>
    <w:rsid w:val="00962E29"/>
    <w:rsid w:val="00962FFA"/>
    <w:rsid w:val="0096308C"/>
    <w:rsid w:val="00963141"/>
    <w:rsid w:val="00963229"/>
    <w:rsid w:val="00963356"/>
    <w:rsid w:val="0096344D"/>
    <w:rsid w:val="0096356D"/>
    <w:rsid w:val="009635F0"/>
    <w:rsid w:val="009635FD"/>
    <w:rsid w:val="0096361F"/>
    <w:rsid w:val="009637AE"/>
    <w:rsid w:val="00963912"/>
    <w:rsid w:val="00963B83"/>
    <w:rsid w:val="00963D26"/>
    <w:rsid w:val="00963D4A"/>
    <w:rsid w:val="00963DDD"/>
    <w:rsid w:val="00964054"/>
    <w:rsid w:val="009640C5"/>
    <w:rsid w:val="009640EB"/>
    <w:rsid w:val="009643E8"/>
    <w:rsid w:val="009643ED"/>
    <w:rsid w:val="00964598"/>
    <w:rsid w:val="009645D8"/>
    <w:rsid w:val="00964611"/>
    <w:rsid w:val="00964843"/>
    <w:rsid w:val="00964847"/>
    <w:rsid w:val="00964902"/>
    <w:rsid w:val="0096497F"/>
    <w:rsid w:val="00964980"/>
    <w:rsid w:val="009649A4"/>
    <w:rsid w:val="009649F7"/>
    <w:rsid w:val="00964A42"/>
    <w:rsid w:val="00964B17"/>
    <w:rsid w:val="00964C06"/>
    <w:rsid w:val="00964D1B"/>
    <w:rsid w:val="00964EBE"/>
    <w:rsid w:val="00965017"/>
    <w:rsid w:val="00965098"/>
    <w:rsid w:val="009650AB"/>
    <w:rsid w:val="00965109"/>
    <w:rsid w:val="00965223"/>
    <w:rsid w:val="00965243"/>
    <w:rsid w:val="00965350"/>
    <w:rsid w:val="009653E8"/>
    <w:rsid w:val="0096546D"/>
    <w:rsid w:val="009655A9"/>
    <w:rsid w:val="00965602"/>
    <w:rsid w:val="0096575D"/>
    <w:rsid w:val="0096586A"/>
    <w:rsid w:val="009658A8"/>
    <w:rsid w:val="009658B1"/>
    <w:rsid w:val="00965930"/>
    <w:rsid w:val="009659A1"/>
    <w:rsid w:val="009659C5"/>
    <w:rsid w:val="00965A88"/>
    <w:rsid w:val="00965AC1"/>
    <w:rsid w:val="00965BCE"/>
    <w:rsid w:val="00965BF8"/>
    <w:rsid w:val="00965CF7"/>
    <w:rsid w:val="00965D51"/>
    <w:rsid w:val="00965DAE"/>
    <w:rsid w:val="00965FDE"/>
    <w:rsid w:val="00965FEC"/>
    <w:rsid w:val="00966133"/>
    <w:rsid w:val="0096618C"/>
    <w:rsid w:val="00966190"/>
    <w:rsid w:val="0096623E"/>
    <w:rsid w:val="009663B5"/>
    <w:rsid w:val="00966451"/>
    <w:rsid w:val="00966462"/>
    <w:rsid w:val="00966467"/>
    <w:rsid w:val="00966478"/>
    <w:rsid w:val="0096659C"/>
    <w:rsid w:val="0096672B"/>
    <w:rsid w:val="0096679C"/>
    <w:rsid w:val="009667C6"/>
    <w:rsid w:val="009668BE"/>
    <w:rsid w:val="00966978"/>
    <w:rsid w:val="00966B24"/>
    <w:rsid w:val="00966B66"/>
    <w:rsid w:val="00966C1C"/>
    <w:rsid w:val="00966C89"/>
    <w:rsid w:val="00966CC1"/>
    <w:rsid w:val="00966D33"/>
    <w:rsid w:val="00966DE1"/>
    <w:rsid w:val="00966EA6"/>
    <w:rsid w:val="00967189"/>
    <w:rsid w:val="00967291"/>
    <w:rsid w:val="009672A9"/>
    <w:rsid w:val="009672B3"/>
    <w:rsid w:val="009672CA"/>
    <w:rsid w:val="0096736A"/>
    <w:rsid w:val="0096738A"/>
    <w:rsid w:val="0096741B"/>
    <w:rsid w:val="0096743F"/>
    <w:rsid w:val="0096744E"/>
    <w:rsid w:val="0096754E"/>
    <w:rsid w:val="00967584"/>
    <w:rsid w:val="0096765F"/>
    <w:rsid w:val="00967686"/>
    <w:rsid w:val="00967689"/>
    <w:rsid w:val="0096772F"/>
    <w:rsid w:val="009677DA"/>
    <w:rsid w:val="00967861"/>
    <w:rsid w:val="0096787F"/>
    <w:rsid w:val="00967995"/>
    <w:rsid w:val="00967A64"/>
    <w:rsid w:val="00967C04"/>
    <w:rsid w:val="00967D66"/>
    <w:rsid w:val="00967DA1"/>
    <w:rsid w:val="00967EF0"/>
    <w:rsid w:val="00967FC1"/>
    <w:rsid w:val="00967FF6"/>
    <w:rsid w:val="0097008C"/>
    <w:rsid w:val="00970109"/>
    <w:rsid w:val="00970145"/>
    <w:rsid w:val="009701C6"/>
    <w:rsid w:val="0097021F"/>
    <w:rsid w:val="009702D6"/>
    <w:rsid w:val="00970368"/>
    <w:rsid w:val="009703BC"/>
    <w:rsid w:val="00970413"/>
    <w:rsid w:val="009706E2"/>
    <w:rsid w:val="00970758"/>
    <w:rsid w:val="009707C5"/>
    <w:rsid w:val="0097092C"/>
    <w:rsid w:val="00970945"/>
    <w:rsid w:val="009709D9"/>
    <w:rsid w:val="00970A02"/>
    <w:rsid w:val="00970A0E"/>
    <w:rsid w:val="00970C60"/>
    <w:rsid w:val="00970C6E"/>
    <w:rsid w:val="00970D3C"/>
    <w:rsid w:val="00970FC2"/>
    <w:rsid w:val="0097103E"/>
    <w:rsid w:val="0097127C"/>
    <w:rsid w:val="0097127D"/>
    <w:rsid w:val="0097133D"/>
    <w:rsid w:val="00971377"/>
    <w:rsid w:val="009713DD"/>
    <w:rsid w:val="00971410"/>
    <w:rsid w:val="0097147D"/>
    <w:rsid w:val="00971571"/>
    <w:rsid w:val="0097159B"/>
    <w:rsid w:val="00971613"/>
    <w:rsid w:val="0097173A"/>
    <w:rsid w:val="009718C0"/>
    <w:rsid w:val="00971937"/>
    <w:rsid w:val="00971A4F"/>
    <w:rsid w:val="00971AE1"/>
    <w:rsid w:val="00971B76"/>
    <w:rsid w:val="00971BCD"/>
    <w:rsid w:val="00971CAA"/>
    <w:rsid w:val="00971D4E"/>
    <w:rsid w:val="00972020"/>
    <w:rsid w:val="0097205A"/>
    <w:rsid w:val="00972101"/>
    <w:rsid w:val="009721BB"/>
    <w:rsid w:val="00972211"/>
    <w:rsid w:val="009722D7"/>
    <w:rsid w:val="00972385"/>
    <w:rsid w:val="00972398"/>
    <w:rsid w:val="00972489"/>
    <w:rsid w:val="009725E8"/>
    <w:rsid w:val="00972738"/>
    <w:rsid w:val="00972830"/>
    <w:rsid w:val="0097286B"/>
    <w:rsid w:val="00972ADB"/>
    <w:rsid w:val="00972CA7"/>
    <w:rsid w:val="00972D09"/>
    <w:rsid w:val="00972ED1"/>
    <w:rsid w:val="00972FA0"/>
    <w:rsid w:val="00972FF8"/>
    <w:rsid w:val="00973036"/>
    <w:rsid w:val="00973122"/>
    <w:rsid w:val="009731DC"/>
    <w:rsid w:val="009732A2"/>
    <w:rsid w:val="009732CE"/>
    <w:rsid w:val="009732EC"/>
    <w:rsid w:val="0097331F"/>
    <w:rsid w:val="0097333E"/>
    <w:rsid w:val="009733D9"/>
    <w:rsid w:val="00973448"/>
    <w:rsid w:val="009737A7"/>
    <w:rsid w:val="00973865"/>
    <w:rsid w:val="00973881"/>
    <w:rsid w:val="00973886"/>
    <w:rsid w:val="00973B7E"/>
    <w:rsid w:val="00973C00"/>
    <w:rsid w:val="00973C0F"/>
    <w:rsid w:val="00973E36"/>
    <w:rsid w:val="00974041"/>
    <w:rsid w:val="009740FB"/>
    <w:rsid w:val="00974117"/>
    <w:rsid w:val="00974136"/>
    <w:rsid w:val="009741E8"/>
    <w:rsid w:val="00974214"/>
    <w:rsid w:val="009744A8"/>
    <w:rsid w:val="00974569"/>
    <w:rsid w:val="0097466D"/>
    <w:rsid w:val="0097469F"/>
    <w:rsid w:val="00974797"/>
    <w:rsid w:val="009747A6"/>
    <w:rsid w:val="00974839"/>
    <w:rsid w:val="009748A7"/>
    <w:rsid w:val="00974A5B"/>
    <w:rsid w:val="00974A63"/>
    <w:rsid w:val="00974AF7"/>
    <w:rsid w:val="00974C4A"/>
    <w:rsid w:val="00974C80"/>
    <w:rsid w:val="00974C88"/>
    <w:rsid w:val="00974D5E"/>
    <w:rsid w:val="00974E1E"/>
    <w:rsid w:val="00974F5B"/>
    <w:rsid w:val="00974FA7"/>
    <w:rsid w:val="00975090"/>
    <w:rsid w:val="0097516E"/>
    <w:rsid w:val="009752BA"/>
    <w:rsid w:val="00975326"/>
    <w:rsid w:val="00975374"/>
    <w:rsid w:val="009754E5"/>
    <w:rsid w:val="009754E9"/>
    <w:rsid w:val="0097553C"/>
    <w:rsid w:val="009757A0"/>
    <w:rsid w:val="009757E9"/>
    <w:rsid w:val="0097585C"/>
    <w:rsid w:val="00975A0A"/>
    <w:rsid w:val="00975A4A"/>
    <w:rsid w:val="00975A99"/>
    <w:rsid w:val="00975C0B"/>
    <w:rsid w:val="00975C10"/>
    <w:rsid w:val="00975C6C"/>
    <w:rsid w:val="00975CD5"/>
    <w:rsid w:val="00975E43"/>
    <w:rsid w:val="0097608C"/>
    <w:rsid w:val="009760B0"/>
    <w:rsid w:val="009760D2"/>
    <w:rsid w:val="00976366"/>
    <w:rsid w:val="009763B1"/>
    <w:rsid w:val="009763BE"/>
    <w:rsid w:val="00976410"/>
    <w:rsid w:val="0097641E"/>
    <w:rsid w:val="00976487"/>
    <w:rsid w:val="00976601"/>
    <w:rsid w:val="00976680"/>
    <w:rsid w:val="009768A3"/>
    <w:rsid w:val="009768D3"/>
    <w:rsid w:val="00976904"/>
    <w:rsid w:val="0097690E"/>
    <w:rsid w:val="009769B1"/>
    <w:rsid w:val="009769D0"/>
    <w:rsid w:val="00976A26"/>
    <w:rsid w:val="00976AA2"/>
    <w:rsid w:val="00976B5D"/>
    <w:rsid w:val="00976BA5"/>
    <w:rsid w:val="00976C7C"/>
    <w:rsid w:val="00976CF1"/>
    <w:rsid w:val="00976D9F"/>
    <w:rsid w:val="00976DDE"/>
    <w:rsid w:val="00976DE3"/>
    <w:rsid w:val="00976EA3"/>
    <w:rsid w:val="00976FFB"/>
    <w:rsid w:val="0097709B"/>
    <w:rsid w:val="009770A3"/>
    <w:rsid w:val="009770DC"/>
    <w:rsid w:val="0097715B"/>
    <w:rsid w:val="00977562"/>
    <w:rsid w:val="0097765A"/>
    <w:rsid w:val="0097770E"/>
    <w:rsid w:val="00977814"/>
    <w:rsid w:val="0097788A"/>
    <w:rsid w:val="00977940"/>
    <w:rsid w:val="00977976"/>
    <w:rsid w:val="00977A3F"/>
    <w:rsid w:val="00977A71"/>
    <w:rsid w:val="00977AD0"/>
    <w:rsid w:val="00977BC1"/>
    <w:rsid w:val="00977C95"/>
    <w:rsid w:val="00977DEA"/>
    <w:rsid w:val="00977E05"/>
    <w:rsid w:val="00977E0A"/>
    <w:rsid w:val="00977E51"/>
    <w:rsid w:val="00977EA6"/>
    <w:rsid w:val="00977F4F"/>
    <w:rsid w:val="00977F71"/>
    <w:rsid w:val="00977FCF"/>
    <w:rsid w:val="009800D9"/>
    <w:rsid w:val="009805E5"/>
    <w:rsid w:val="0098070E"/>
    <w:rsid w:val="00980795"/>
    <w:rsid w:val="00980C42"/>
    <w:rsid w:val="00980CA1"/>
    <w:rsid w:val="00980CE0"/>
    <w:rsid w:val="00980D0F"/>
    <w:rsid w:val="00980EA0"/>
    <w:rsid w:val="00980F63"/>
    <w:rsid w:val="00980FBF"/>
    <w:rsid w:val="0098101D"/>
    <w:rsid w:val="009810B9"/>
    <w:rsid w:val="009810D8"/>
    <w:rsid w:val="009813CE"/>
    <w:rsid w:val="009815DE"/>
    <w:rsid w:val="00981647"/>
    <w:rsid w:val="0098169C"/>
    <w:rsid w:val="009816B2"/>
    <w:rsid w:val="009816E0"/>
    <w:rsid w:val="00981824"/>
    <w:rsid w:val="00981906"/>
    <w:rsid w:val="0098193B"/>
    <w:rsid w:val="00981A3C"/>
    <w:rsid w:val="00981A82"/>
    <w:rsid w:val="00981B5D"/>
    <w:rsid w:val="00981DFD"/>
    <w:rsid w:val="00981E1A"/>
    <w:rsid w:val="00981F87"/>
    <w:rsid w:val="009820B1"/>
    <w:rsid w:val="009822B1"/>
    <w:rsid w:val="0098233A"/>
    <w:rsid w:val="00982381"/>
    <w:rsid w:val="00982472"/>
    <w:rsid w:val="00982502"/>
    <w:rsid w:val="0098265B"/>
    <w:rsid w:val="0098271A"/>
    <w:rsid w:val="009827AC"/>
    <w:rsid w:val="00982845"/>
    <w:rsid w:val="009828DE"/>
    <w:rsid w:val="00982B34"/>
    <w:rsid w:val="00982B91"/>
    <w:rsid w:val="00982B94"/>
    <w:rsid w:val="00982EBF"/>
    <w:rsid w:val="00983283"/>
    <w:rsid w:val="009833B1"/>
    <w:rsid w:val="00983535"/>
    <w:rsid w:val="0098358C"/>
    <w:rsid w:val="00983620"/>
    <w:rsid w:val="00983676"/>
    <w:rsid w:val="0098371E"/>
    <w:rsid w:val="00983788"/>
    <w:rsid w:val="009837C2"/>
    <w:rsid w:val="0098395C"/>
    <w:rsid w:val="0098396A"/>
    <w:rsid w:val="009839D0"/>
    <w:rsid w:val="009839E6"/>
    <w:rsid w:val="00983BC4"/>
    <w:rsid w:val="00983F1B"/>
    <w:rsid w:val="0098409A"/>
    <w:rsid w:val="009841C2"/>
    <w:rsid w:val="00984527"/>
    <w:rsid w:val="0098468A"/>
    <w:rsid w:val="009846D1"/>
    <w:rsid w:val="00984710"/>
    <w:rsid w:val="00984718"/>
    <w:rsid w:val="009847CB"/>
    <w:rsid w:val="00984882"/>
    <w:rsid w:val="00984892"/>
    <w:rsid w:val="009849C8"/>
    <w:rsid w:val="00984A9D"/>
    <w:rsid w:val="00984E5A"/>
    <w:rsid w:val="00984F40"/>
    <w:rsid w:val="00985065"/>
    <w:rsid w:val="0098533D"/>
    <w:rsid w:val="009853C7"/>
    <w:rsid w:val="009854EA"/>
    <w:rsid w:val="0098556D"/>
    <w:rsid w:val="0098573C"/>
    <w:rsid w:val="00985743"/>
    <w:rsid w:val="0098579D"/>
    <w:rsid w:val="009858EE"/>
    <w:rsid w:val="00985A1A"/>
    <w:rsid w:val="00985B2F"/>
    <w:rsid w:val="00985CC9"/>
    <w:rsid w:val="00985E0F"/>
    <w:rsid w:val="00985E63"/>
    <w:rsid w:val="00985F14"/>
    <w:rsid w:val="00985F35"/>
    <w:rsid w:val="00985F4A"/>
    <w:rsid w:val="00985FD0"/>
    <w:rsid w:val="00986126"/>
    <w:rsid w:val="00986195"/>
    <w:rsid w:val="0098619E"/>
    <w:rsid w:val="009864F9"/>
    <w:rsid w:val="00986522"/>
    <w:rsid w:val="009865BC"/>
    <w:rsid w:val="009867B3"/>
    <w:rsid w:val="0098680E"/>
    <w:rsid w:val="00986829"/>
    <w:rsid w:val="00986A3D"/>
    <w:rsid w:val="00986BDE"/>
    <w:rsid w:val="00986D58"/>
    <w:rsid w:val="00986D8D"/>
    <w:rsid w:val="00986FFF"/>
    <w:rsid w:val="009871EB"/>
    <w:rsid w:val="00987215"/>
    <w:rsid w:val="009872EC"/>
    <w:rsid w:val="00987563"/>
    <w:rsid w:val="00987615"/>
    <w:rsid w:val="0098765C"/>
    <w:rsid w:val="009876D4"/>
    <w:rsid w:val="009879CC"/>
    <w:rsid w:val="00987A9E"/>
    <w:rsid w:val="00987B57"/>
    <w:rsid w:val="00987C23"/>
    <w:rsid w:val="00987C7A"/>
    <w:rsid w:val="00987CB6"/>
    <w:rsid w:val="00987E6A"/>
    <w:rsid w:val="00987F28"/>
    <w:rsid w:val="0098D2F1"/>
    <w:rsid w:val="00990257"/>
    <w:rsid w:val="00990377"/>
    <w:rsid w:val="00990593"/>
    <w:rsid w:val="009908A2"/>
    <w:rsid w:val="00990949"/>
    <w:rsid w:val="00990979"/>
    <w:rsid w:val="00990A0D"/>
    <w:rsid w:val="00990A19"/>
    <w:rsid w:val="00990A68"/>
    <w:rsid w:val="00990B97"/>
    <w:rsid w:val="00990BD7"/>
    <w:rsid w:val="00990C47"/>
    <w:rsid w:val="00990DD2"/>
    <w:rsid w:val="00990E61"/>
    <w:rsid w:val="00990FD3"/>
    <w:rsid w:val="00991004"/>
    <w:rsid w:val="00991036"/>
    <w:rsid w:val="00991283"/>
    <w:rsid w:val="00991376"/>
    <w:rsid w:val="009913DA"/>
    <w:rsid w:val="009914D1"/>
    <w:rsid w:val="0099152B"/>
    <w:rsid w:val="009916F0"/>
    <w:rsid w:val="009917DA"/>
    <w:rsid w:val="009917E4"/>
    <w:rsid w:val="00991A4C"/>
    <w:rsid w:val="00991B11"/>
    <w:rsid w:val="00991B7F"/>
    <w:rsid w:val="00991CD7"/>
    <w:rsid w:val="00991D15"/>
    <w:rsid w:val="00991DFA"/>
    <w:rsid w:val="00991E6B"/>
    <w:rsid w:val="00991E8D"/>
    <w:rsid w:val="00991EA3"/>
    <w:rsid w:val="00991F81"/>
    <w:rsid w:val="0099208D"/>
    <w:rsid w:val="00992284"/>
    <w:rsid w:val="009922BD"/>
    <w:rsid w:val="009923E1"/>
    <w:rsid w:val="009924DF"/>
    <w:rsid w:val="0099260E"/>
    <w:rsid w:val="0099274A"/>
    <w:rsid w:val="00992831"/>
    <w:rsid w:val="009928C8"/>
    <w:rsid w:val="00992A4D"/>
    <w:rsid w:val="00992ADC"/>
    <w:rsid w:val="00992B49"/>
    <w:rsid w:val="00992BC0"/>
    <w:rsid w:val="00992BEB"/>
    <w:rsid w:val="00992CBA"/>
    <w:rsid w:val="00992D26"/>
    <w:rsid w:val="00992D4B"/>
    <w:rsid w:val="00992EAB"/>
    <w:rsid w:val="00992EC4"/>
    <w:rsid w:val="0099310B"/>
    <w:rsid w:val="00993197"/>
    <w:rsid w:val="009931A8"/>
    <w:rsid w:val="009931DA"/>
    <w:rsid w:val="00993236"/>
    <w:rsid w:val="00993238"/>
    <w:rsid w:val="009932C4"/>
    <w:rsid w:val="009934CB"/>
    <w:rsid w:val="00993586"/>
    <w:rsid w:val="009935C1"/>
    <w:rsid w:val="00993664"/>
    <w:rsid w:val="00993675"/>
    <w:rsid w:val="00993716"/>
    <w:rsid w:val="00993746"/>
    <w:rsid w:val="009938BC"/>
    <w:rsid w:val="00993966"/>
    <w:rsid w:val="00993A05"/>
    <w:rsid w:val="00993AE4"/>
    <w:rsid w:val="00993AE9"/>
    <w:rsid w:val="00993C00"/>
    <w:rsid w:val="00993D73"/>
    <w:rsid w:val="009940D4"/>
    <w:rsid w:val="00994108"/>
    <w:rsid w:val="009942FB"/>
    <w:rsid w:val="00994362"/>
    <w:rsid w:val="009943D5"/>
    <w:rsid w:val="00994403"/>
    <w:rsid w:val="0099444F"/>
    <w:rsid w:val="00994466"/>
    <w:rsid w:val="009944D5"/>
    <w:rsid w:val="009944EF"/>
    <w:rsid w:val="0099452D"/>
    <w:rsid w:val="00994556"/>
    <w:rsid w:val="009945B7"/>
    <w:rsid w:val="00994693"/>
    <w:rsid w:val="0099478C"/>
    <w:rsid w:val="00994827"/>
    <w:rsid w:val="0099485B"/>
    <w:rsid w:val="00994A04"/>
    <w:rsid w:val="00994B50"/>
    <w:rsid w:val="00994C32"/>
    <w:rsid w:val="00994D03"/>
    <w:rsid w:val="00994D3B"/>
    <w:rsid w:val="00994DB6"/>
    <w:rsid w:val="00994E14"/>
    <w:rsid w:val="0099501A"/>
    <w:rsid w:val="00995214"/>
    <w:rsid w:val="0099527E"/>
    <w:rsid w:val="009954F0"/>
    <w:rsid w:val="00995779"/>
    <w:rsid w:val="009957DB"/>
    <w:rsid w:val="009957F6"/>
    <w:rsid w:val="0099595F"/>
    <w:rsid w:val="00995A09"/>
    <w:rsid w:val="00995A4D"/>
    <w:rsid w:val="00995AAB"/>
    <w:rsid w:val="00995B0F"/>
    <w:rsid w:val="00995B46"/>
    <w:rsid w:val="00995BE2"/>
    <w:rsid w:val="00995C3F"/>
    <w:rsid w:val="00995C5E"/>
    <w:rsid w:val="00995D10"/>
    <w:rsid w:val="00995D51"/>
    <w:rsid w:val="00995D7F"/>
    <w:rsid w:val="00995D85"/>
    <w:rsid w:val="00995E5A"/>
    <w:rsid w:val="00995F5B"/>
    <w:rsid w:val="00995F75"/>
    <w:rsid w:val="009961BA"/>
    <w:rsid w:val="009961FC"/>
    <w:rsid w:val="00996237"/>
    <w:rsid w:val="00996355"/>
    <w:rsid w:val="00996405"/>
    <w:rsid w:val="0099641E"/>
    <w:rsid w:val="009964D0"/>
    <w:rsid w:val="0099652C"/>
    <w:rsid w:val="00996581"/>
    <w:rsid w:val="009965FD"/>
    <w:rsid w:val="0099669F"/>
    <w:rsid w:val="009966E9"/>
    <w:rsid w:val="009966F5"/>
    <w:rsid w:val="00996796"/>
    <w:rsid w:val="0099685D"/>
    <w:rsid w:val="009968A8"/>
    <w:rsid w:val="00996914"/>
    <w:rsid w:val="009969AC"/>
    <w:rsid w:val="009969E2"/>
    <w:rsid w:val="00996B45"/>
    <w:rsid w:val="00996B83"/>
    <w:rsid w:val="00996BC3"/>
    <w:rsid w:val="00996D3A"/>
    <w:rsid w:val="00996DFA"/>
    <w:rsid w:val="00997005"/>
    <w:rsid w:val="00997024"/>
    <w:rsid w:val="00997196"/>
    <w:rsid w:val="009971BB"/>
    <w:rsid w:val="009972C9"/>
    <w:rsid w:val="009973CD"/>
    <w:rsid w:val="009973D5"/>
    <w:rsid w:val="00997479"/>
    <w:rsid w:val="0099747E"/>
    <w:rsid w:val="009974EC"/>
    <w:rsid w:val="00997567"/>
    <w:rsid w:val="009975DA"/>
    <w:rsid w:val="009977D5"/>
    <w:rsid w:val="0099780B"/>
    <w:rsid w:val="0099780E"/>
    <w:rsid w:val="00997879"/>
    <w:rsid w:val="009978CA"/>
    <w:rsid w:val="00997992"/>
    <w:rsid w:val="00997A5A"/>
    <w:rsid w:val="00997AC5"/>
    <w:rsid w:val="00997B21"/>
    <w:rsid w:val="00997B35"/>
    <w:rsid w:val="00997B71"/>
    <w:rsid w:val="00997C6C"/>
    <w:rsid w:val="00997C7F"/>
    <w:rsid w:val="00997DD8"/>
    <w:rsid w:val="00997E9F"/>
    <w:rsid w:val="00997F2E"/>
    <w:rsid w:val="0099D200"/>
    <w:rsid w:val="009A009F"/>
    <w:rsid w:val="009A00D2"/>
    <w:rsid w:val="009A01D5"/>
    <w:rsid w:val="009A02F3"/>
    <w:rsid w:val="009A04C7"/>
    <w:rsid w:val="009A04F2"/>
    <w:rsid w:val="009A058D"/>
    <w:rsid w:val="009A071C"/>
    <w:rsid w:val="009A0776"/>
    <w:rsid w:val="009A07F4"/>
    <w:rsid w:val="009A0862"/>
    <w:rsid w:val="009A095B"/>
    <w:rsid w:val="009A09A2"/>
    <w:rsid w:val="009A0B19"/>
    <w:rsid w:val="009A0C8A"/>
    <w:rsid w:val="009A0D72"/>
    <w:rsid w:val="009A0E14"/>
    <w:rsid w:val="009A0E29"/>
    <w:rsid w:val="009A0E4C"/>
    <w:rsid w:val="009A0E75"/>
    <w:rsid w:val="009A0FBC"/>
    <w:rsid w:val="009A105C"/>
    <w:rsid w:val="009A10A7"/>
    <w:rsid w:val="009A11E7"/>
    <w:rsid w:val="009A127E"/>
    <w:rsid w:val="009A158B"/>
    <w:rsid w:val="009A15D2"/>
    <w:rsid w:val="009A15FA"/>
    <w:rsid w:val="009A16F2"/>
    <w:rsid w:val="009A181D"/>
    <w:rsid w:val="009A1859"/>
    <w:rsid w:val="009A19AC"/>
    <w:rsid w:val="009A1C74"/>
    <w:rsid w:val="009A1C96"/>
    <w:rsid w:val="009A1D23"/>
    <w:rsid w:val="009A1D36"/>
    <w:rsid w:val="009A1D8A"/>
    <w:rsid w:val="009A1DD4"/>
    <w:rsid w:val="009A1E46"/>
    <w:rsid w:val="009A1EDE"/>
    <w:rsid w:val="009A1F10"/>
    <w:rsid w:val="009A209C"/>
    <w:rsid w:val="009A20C1"/>
    <w:rsid w:val="009A2118"/>
    <w:rsid w:val="009A211F"/>
    <w:rsid w:val="009A216B"/>
    <w:rsid w:val="009A2193"/>
    <w:rsid w:val="009A224D"/>
    <w:rsid w:val="009A2254"/>
    <w:rsid w:val="009A2288"/>
    <w:rsid w:val="009A22BA"/>
    <w:rsid w:val="009A22E1"/>
    <w:rsid w:val="009A2351"/>
    <w:rsid w:val="009A248E"/>
    <w:rsid w:val="009A24DF"/>
    <w:rsid w:val="009A2822"/>
    <w:rsid w:val="009A28CF"/>
    <w:rsid w:val="009A2989"/>
    <w:rsid w:val="009A298A"/>
    <w:rsid w:val="009A2AFD"/>
    <w:rsid w:val="009A2B46"/>
    <w:rsid w:val="009A2C28"/>
    <w:rsid w:val="009A2D1E"/>
    <w:rsid w:val="009A2E1A"/>
    <w:rsid w:val="009A2ECA"/>
    <w:rsid w:val="009A2F52"/>
    <w:rsid w:val="009A2F6A"/>
    <w:rsid w:val="009A2FA9"/>
    <w:rsid w:val="009A327E"/>
    <w:rsid w:val="009A3501"/>
    <w:rsid w:val="009A3531"/>
    <w:rsid w:val="009A35BC"/>
    <w:rsid w:val="009A369F"/>
    <w:rsid w:val="009A378D"/>
    <w:rsid w:val="009A39C5"/>
    <w:rsid w:val="009A3AD2"/>
    <w:rsid w:val="009A3D1C"/>
    <w:rsid w:val="009A3DFB"/>
    <w:rsid w:val="009A3EDB"/>
    <w:rsid w:val="009A3EE0"/>
    <w:rsid w:val="009A402E"/>
    <w:rsid w:val="009A40B8"/>
    <w:rsid w:val="009A4109"/>
    <w:rsid w:val="009A4207"/>
    <w:rsid w:val="009A4279"/>
    <w:rsid w:val="009A42E0"/>
    <w:rsid w:val="009A4322"/>
    <w:rsid w:val="009A433F"/>
    <w:rsid w:val="009A44CB"/>
    <w:rsid w:val="009A4509"/>
    <w:rsid w:val="009A4510"/>
    <w:rsid w:val="009A453E"/>
    <w:rsid w:val="009A480D"/>
    <w:rsid w:val="009A4D1F"/>
    <w:rsid w:val="009A4D35"/>
    <w:rsid w:val="009A4DEB"/>
    <w:rsid w:val="009A5039"/>
    <w:rsid w:val="009A50F0"/>
    <w:rsid w:val="009A5239"/>
    <w:rsid w:val="009A5296"/>
    <w:rsid w:val="009A52B0"/>
    <w:rsid w:val="009A547E"/>
    <w:rsid w:val="009A54A7"/>
    <w:rsid w:val="009A5566"/>
    <w:rsid w:val="009A5610"/>
    <w:rsid w:val="009A5613"/>
    <w:rsid w:val="009A5657"/>
    <w:rsid w:val="009A5795"/>
    <w:rsid w:val="009A5809"/>
    <w:rsid w:val="009A59EB"/>
    <w:rsid w:val="009A5B70"/>
    <w:rsid w:val="009A5D9A"/>
    <w:rsid w:val="009A5DA0"/>
    <w:rsid w:val="009A5E55"/>
    <w:rsid w:val="009A5E6B"/>
    <w:rsid w:val="009A5F50"/>
    <w:rsid w:val="009A5F62"/>
    <w:rsid w:val="009A600A"/>
    <w:rsid w:val="009A6015"/>
    <w:rsid w:val="009A60A1"/>
    <w:rsid w:val="009A61D0"/>
    <w:rsid w:val="009A6225"/>
    <w:rsid w:val="009A622B"/>
    <w:rsid w:val="009A62FD"/>
    <w:rsid w:val="009A634A"/>
    <w:rsid w:val="009A64F7"/>
    <w:rsid w:val="009A6516"/>
    <w:rsid w:val="009A676A"/>
    <w:rsid w:val="009A67D3"/>
    <w:rsid w:val="009A6855"/>
    <w:rsid w:val="009A6A15"/>
    <w:rsid w:val="009A6BDC"/>
    <w:rsid w:val="009A6D51"/>
    <w:rsid w:val="009A6DB5"/>
    <w:rsid w:val="009A6E5C"/>
    <w:rsid w:val="009A6E95"/>
    <w:rsid w:val="009A6FD4"/>
    <w:rsid w:val="009A7041"/>
    <w:rsid w:val="009A7075"/>
    <w:rsid w:val="009A70D2"/>
    <w:rsid w:val="009A7126"/>
    <w:rsid w:val="009A71B4"/>
    <w:rsid w:val="009A71B6"/>
    <w:rsid w:val="009A721B"/>
    <w:rsid w:val="009A7221"/>
    <w:rsid w:val="009A72F8"/>
    <w:rsid w:val="009A7682"/>
    <w:rsid w:val="009A768B"/>
    <w:rsid w:val="009A7774"/>
    <w:rsid w:val="009A77CA"/>
    <w:rsid w:val="009A77F3"/>
    <w:rsid w:val="009A7911"/>
    <w:rsid w:val="009A798D"/>
    <w:rsid w:val="009A7A77"/>
    <w:rsid w:val="009A7BE9"/>
    <w:rsid w:val="009A7C88"/>
    <w:rsid w:val="009A7D9D"/>
    <w:rsid w:val="009A7DD7"/>
    <w:rsid w:val="009A7ED9"/>
    <w:rsid w:val="009B00A5"/>
    <w:rsid w:val="009B00FB"/>
    <w:rsid w:val="009B0170"/>
    <w:rsid w:val="009B019D"/>
    <w:rsid w:val="009B02A8"/>
    <w:rsid w:val="009B030D"/>
    <w:rsid w:val="009B03CF"/>
    <w:rsid w:val="009B079B"/>
    <w:rsid w:val="009B07D6"/>
    <w:rsid w:val="009B087A"/>
    <w:rsid w:val="009B0930"/>
    <w:rsid w:val="009B0939"/>
    <w:rsid w:val="009B09BB"/>
    <w:rsid w:val="009B0BC3"/>
    <w:rsid w:val="009B0CA2"/>
    <w:rsid w:val="009B0D0F"/>
    <w:rsid w:val="009B0D63"/>
    <w:rsid w:val="009B0F31"/>
    <w:rsid w:val="009B0F6E"/>
    <w:rsid w:val="009B0F78"/>
    <w:rsid w:val="009B107A"/>
    <w:rsid w:val="009B10B5"/>
    <w:rsid w:val="009B10C7"/>
    <w:rsid w:val="009B126E"/>
    <w:rsid w:val="009B138D"/>
    <w:rsid w:val="009B13BC"/>
    <w:rsid w:val="009B143D"/>
    <w:rsid w:val="009B14DD"/>
    <w:rsid w:val="009B15CA"/>
    <w:rsid w:val="009B16F1"/>
    <w:rsid w:val="009B1791"/>
    <w:rsid w:val="009B1829"/>
    <w:rsid w:val="009B19A3"/>
    <w:rsid w:val="009B1A0D"/>
    <w:rsid w:val="009B1A44"/>
    <w:rsid w:val="009B1A4F"/>
    <w:rsid w:val="009B1A8F"/>
    <w:rsid w:val="009B1B8F"/>
    <w:rsid w:val="009B1BA2"/>
    <w:rsid w:val="009B1D1D"/>
    <w:rsid w:val="009B1D5A"/>
    <w:rsid w:val="009B1E66"/>
    <w:rsid w:val="009B1E73"/>
    <w:rsid w:val="009B1E80"/>
    <w:rsid w:val="009B1F6A"/>
    <w:rsid w:val="009B1F9A"/>
    <w:rsid w:val="009B20A1"/>
    <w:rsid w:val="009B212C"/>
    <w:rsid w:val="009B225F"/>
    <w:rsid w:val="009B230C"/>
    <w:rsid w:val="009B261B"/>
    <w:rsid w:val="009B2875"/>
    <w:rsid w:val="009B298D"/>
    <w:rsid w:val="009B2996"/>
    <w:rsid w:val="009B2B6E"/>
    <w:rsid w:val="009B2B72"/>
    <w:rsid w:val="009B2C89"/>
    <w:rsid w:val="009B2CA2"/>
    <w:rsid w:val="009B2CF4"/>
    <w:rsid w:val="009B2D61"/>
    <w:rsid w:val="009B2DBF"/>
    <w:rsid w:val="009B2E48"/>
    <w:rsid w:val="009B2E67"/>
    <w:rsid w:val="009B2F35"/>
    <w:rsid w:val="009B3000"/>
    <w:rsid w:val="009B3048"/>
    <w:rsid w:val="009B3067"/>
    <w:rsid w:val="009B3177"/>
    <w:rsid w:val="009B31A4"/>
    <w:rsid w:val="009B3445"/>
    <w:rsid w:val="009B344E"/>
    <w:rsid w:val="009B355A"/>
    <w:rsid w:val="009B366E"/>
    <w:rsid w:val="009B3770"/>
    <w:rsid w:val="009B384F"/>
    <w:rsid w:val="009B387E"/>
    <w:rsid w:val="009B38DC"/>
    <w:rsid w:val="009B3987"/>
    <w:rsid w:val="009B3E17"/>
    <w:rsid w:val="009B3E42"/>
    <w:rsid w:val="009B3E98"/>
    <w:rsid w:val="009B3F00"/>
    <w:rsid w:val="009B3FA3"/>
    <w:rsid w:val="009B406F"/>
    <w:rsid w:val="009B40FA"/>
    <w:rsid w:val="009B41CF"/>
    <w:rsid w:val="009B4219"/>
    <w:rsid w:val="009B449E"/>
    <w:rsid w:val="009B456F"/>
    <w:rsid w:val="009B458E"/>
    <w:rsid w:val="009B4608"/>
    <w:rsid w:val="009B46E8"/>
    <w:rsid w:val="009B4721"/>
    <w:rsid w:val="009B47DB"/>
    <w:rsid w:val="009B47EE"/>
    <w:rsid w:val="009B487C"/>
    <w:rsid w:val="009B48C0"/>
    <w:rsid w:val="009B4A75"/>
    <w:rsid w:val="009B4B46"/>
    <w:rsid w:val="009B4B49"/>
    <w:rsid w:val="009B4DF3"/>
    <w:rsid w:val="009B500D"/>
    <w:rsid w:val="009B508C"/>
    <w:rsid w:val="009B520B"/>
    <w:rsid w:val="009B5226"/>
    <w:rsid w:val="009B535C"/>
    <w:rsid w:val="009B53BB"/>
    <w:rsid w:val="009B53C3"/>
    <w:rsid w:val="009B55DC"/>
    <w:rsid w:val="009B561C"/>
    <w:rsid w:val="009B5666"/>
    <w:rsid w:val="009B57A6"/>
    <w:rsid w:val="009B5908"/>
    <w:rsid w:val="009B5B57"/>
    <w:rsid w:val="009B5C7A"/>
    <w:rsid w:val="009B5DA8"/>
    <w:rsid w:val="009B5E6B"/>
    <w:rsid w:val="009B5E71"/>
    <w:rsid w:val="009B6028"/>
    <w:rsid w:val="009B6039"/>
    <w:rsid w:val="009B6056"/>
    <w:rsid w:val="009B60DF"/>
    <w:rsid w:val="009B60FA"/>
    <w:rsid w:val="009B6177"/>
    <w:rsid w:val="009B61BA"/>
    <w:rsid w:val="009B6277"/>
    <w:rsid w:val="009B6331"/>
    <w:rsid w:val="009B6429"/>
    <w:rsid w:val="009B648B"/>
    <w:rsid w:val="009B64AF"/>
    <w:rsid w:val="009B6512"/>
    <w:rsid w:val="009B65A3"/>
    <w:rsid w:val="009B6688"/>
    <w:rsid w:val="009B68B6"/>
    <w:rsid w:val="009B68D2"/>
    <w:rsid w:val="009B694A"/>
    <w:rsid w:val="009B6997"/>
    <w:rsid w:val="009B6B14"/>
    <w:rsid w:val="009B6B75"/>
    <w:rsid w:val="009B6BDF"/>
    <w:rsid w:val="009B6D4F"/>
    <w:rsid w:val="009B6D71"/>
    <w:rsid w:val="009B6E01"/>
    <w:rsid w:val="009B6E4B"/>
    <w:rsid w:val="009B6F8B"/>
    <w:rsid w:val="009B6F9E"/>
    <w:rsid w:val="009B70B3"/>
    <w:rsid w:val="009B70E6"/>
    <w:rsid w:val="009B70F0"/>
    <w:rsid w:val="009B7145"/>
    <w:rsid w:val="009B71A7"/>
    <w:rsid w:val="009B71E3"/>
    <w:rsid w:val="009B740C"/>
    <w:rsid w:val="009B7541"/>
    <w:rsid w:val="009B7699"/>
    <w:rsid w:val="009B778F"/>
    <w:rsid w:val="009B77E3"/>
    <w:rsid w:val="009B7869"/>
    <w:rsid w:val="009B7977"/>
    <w:rsid w:val="009B7AD2"/>
    <w:rsid w:val="009B7B21"/>
    <w:rsid w:val="009B7B6C"/>
    <w:rsid w:val="009B7C7E"/>
    <w:rsid w:val="009B7C88"/>
    <w:rsid w:val="009B7DCA"/>
    <w:rsid w:val="009B7E14"/>
    <w:rsid w:val="009B7F3C"/>
    <w:rsid w:val="009BFC9A"/>
    <w:rsid w:val="009C017A"/>
    <w:rsid w:val="009C01F4"/>
    <w:rsid w:val="009C02A7"/>
    <w:rsid w:val="009C02CB"/>
    <w:rsid w:val="009C0374"/>
    <w:rsid w:val="009C0520"/>
    <w:rsid w:val="009C0604"/>
    <w:rsid w:val="009C0648"/>
    <w:rsid w:val="009C06D8"/>
    <w:rsid w:val="009C0819"/>
    <w:rsid w:val="009C081D"/>
    <w:rsid w:val="009C08E0"/>
    <w:rsid w:val="009C095D"/>
    <w:rsid w:val="009C09BA"/>
    <w:rsid w:val="009C0A6D"/>
    <w:rsid w:val="009C0A78"/>
    <w:rsid w:val="009C0AC2"/>
    <w:rsid w:val="009C0B1C"/>
    <w:rsid w:val="009C0B4F"/>
    <w:rsid w:val="009C0C4C"/>
    <w:rsid w:val="009C0D61"/>
    <w:rsid w:val="009C0E26"/>
    <w:rsid w:val="009C0F26"/>
    <w:rsid w:val="009C0FA0"/>
    <w:rsid w:val="009C0FB7"/>
    <w:rsid w:val="009C10BA"/>
    <w:rsid w:val="009C1107"/>
    <w:rsid w:val="009C1185"/>
    <w:rsid w:val="009C11FA"/>
    <w:rsid w:val="009C135D"/>
    <w:rsid w:val="009C13EF"/>
    <w:rsid w:val="009C147E"/>
    <w:rsid w:val="009C155C"/>
    <w:rsid w:val="009C173C"/>
    <w:rsid w:val="009C1836"/>
    <w:rsid w:val="009C1918"/>
    <w:rsid w:val="009C1967"/>
    <w:rsid w:val="009C19B6"/>
    <w:rsid w:val="009C19C0"/>
    <w:rsid w:val="009C1A03"/>
    <w:rsid w:val="009C1A15"/>
    <w:rsid w:val="009C1A2A"/>
    <w:rsid w:val="009C1AD0"/>
    <w:rsid w:val="009C1B4C"/>
    <w:rsid w:val="009C1ED4"/>
    <w:rsid w:val="009C205E"/>
    <w:rsid w:val="009C21F7"/>
    <w:rsid w:val="009C2300"/>
    <w:rsid w:val="009C24E3"/>
    <w:rsid w:val="009C253E"/>
    <w:rsid w:val="009C2565"/>
    <w:rsid w:val="009C2636"/>
    <w:rsid w:val="009C2699"/>
    <w:rsid w:val="009C26E8"/>
    <w:rsid w:val="009C273C"/>
    <w:rsid w:val="009C2767"/>
    <w:rsid w:val="009C2799"/>
    <w:rsid w:val="009C27F2"/>
    <w:rsid w:val="009C2A9B"/>
    <w:rsid w:val="009C2B14"/>
    <w:rsid w:val="009C2B18"/>
    <w:rsid w:val="009C2BA7"/>
    <w:rsid w:val="009C2BA9"/>
    <w:rsid w:val="009C2BC4"/>
    <w:rsid w:val="009C2DE5"/>
    <w:rsid w:val="009C2F10"/>
    <w:rsid w:val="009C2F71"/>
    <w:rsid w:val="009C2FA7"/>
    <w:rsid w:val="009C2FBD"/>
    <w:rsid w:val="009C3021"/>
    <w:rsid w:val="009C3088"/>
    <w:rsid w:val="009C30AF"/>
    <w:rsid w:val="009C3195"/>
    <w:rsid w:val="009C31A5"/>
    <w:rsid w:val="009C31CE"/>
    <w:rsid w:val="009C3252"/>
    <w:rsid w:val="009C33BD"/>
    <w:rsid w:val="009C340D"/>
    <w:rsid w:val="009C3548"/>
    <w:rsid w:val="009C354A"/>
    <w:rsid w:val="009C35F0"/>
    <w:rsid w:val="009C371F"/>
    <w:rsid w:val="009C372C"/>
    <w:rsid w:val="009C37A6"/>
    <w:rsid w:val="009C37F0"/>
    <w:rsid w:val="009C3845"/>
    <w:rsid w:val="009C3902"/>
    <w:rsid w:val="009C39B4"/>
    <w:rsid w:val="009C39DF"/>
    <w:rsid w:val="009C3AD9"/>
    <w:rsid w:val="009C3BF6"/>
    <w:rsid w:val="009C3D3F"/>
    <w:rsid w:val="009C3E06"/>
    <w:rsid w:val="009C4128"/>
    <w:rsid w:val="009C41A0"/>
    <w:rsid w:val="009C4354"/>
    <w:rsid w:val="009C441E"/>
    <w:rsid w:val="009C4490"/>
    <w:rsid w:val="009C4499"/>
    <w:rsid w:val="009C4525"/>
    <w:rsid w:val="009C4644"/>
    <w:rsid w:val="009C465B"/>
    <w:rsid w:val="009C46C8"/>
    <w:rsid w:val="009C4703"/>
    <w:rsid w:val="009C473A"/>
    <w:rsid w:val="009C4869"/>
    <w:rsid w:val="009C4930"/>
    <w:rsid w:val="009C4A90"/>
    <w:rsid w:val="009C4B35"/>
    <w:rsid w:val="009C4C16"/>
    <w:rsid w:val="009C4C78"/>
    <w:rsid w:val="009C4DCE"/>
    <w:rsid w:val="009C502B"/>
    <w:rsid w:val="009C5066"/>
    <w:rsid w:val="009C5068"/>
    <w:rsid w:val="009C50C2"/>
    <w:rsid w:val="009C50EB"/>
    <w:rsid w:val="009C528E"/>
    <w:rsid w:val="009C5346"/>
    <w:rsid w:val="009C5504"/>
    <w:rsid w:val="009C5765"/>
    <w:rsid w:val="009C58EE"/>
    <w:rsid w:val="009C5928"/>
    <w:rsid w:val="009C5AC8"/>
    <w:rsid w:val="009C5AD2"/>
    <w:rsid w:val="009C5C3A"/>
    <w:rsid w:val="009C5C73"/>
    <w:rsid w:val="009C5D1E"/>
    <w:rsid w:val="009C5D72"/>
    <w:rsid w:val="009C5E4C"/>
    <w:rsid w:val="009C5F25"/>
    <w:rsid w:val="009C6142"/>
    <w:rsid w:val="009C61EA"/>
    <w:rsid w:val="009C624B"/>
    <w:rsid w:val="009C626D"/>
    <w:rsid w:val="009C6297"/>
    <w:rsid w:val="009C63EB"/>
    <w:rsid w:val="009C64C4"/>
    <w:rsid w:val="009C64F6"/>
    <w:rsid w:val="009C65DB"/>
    <w:rsid w:val="009C6640"/>
    <w:rsid w:val="009C6778"/>
    <w:rsid w:val="009C679E"/>
    <w:rsid w:val="009C683E"/>
    <w:rsid w:val="009C68AF"/>
    <w:rsid w:val="009C6937"/>
    <w:rsid w:val="009C6952"/>
    <w:rsid w:val="009C6A2F"/>
    <w:rsid w:val="009C6D46"/>
    <w:rsid w:val="009C6F38"/>
    <w:rsid w:val="009C6F3F"/>
    <w:rsid w:val="009C6FA2"/>
    <w:rsid w:val="009C7008"/>
    <w:rsid w:val="009C7023"/>
    <w:rsid w:val="009C70DE"/>
    <w:rsid w:val="009C713F"/>
    <w:rsid w:val="009C73C2"/>
    <w:rsid w:val="009C747F"/>
    <w:rsid w:val="009C74BF"/>
    <w:rsid w:val="009C75E4"/>
    <w:rsid w:val="009C76CC"/>
    <w:rsid w:val="009C7709"/>
    <w:rsid w:val="009C7761"/>
    <w:rsid w:val="009C777A"/>
    <w:rsid w:val="009C796A"/>
    <w:rsid w:val="009C79FE"/>
    <w:rsid w:val="009C7A1E"/>
    <w:rsid w:val="009C7A2A"/>
    <w:rsid w:val="009C7CBF"/>
    <w:rsid w:val="009C7CD7"/>
    <w:rsid w:val="009C7E07"/>
    <w:rsid w:val="009C7E25"/>
    <w:rsid w:val="009C7EBB"/>
    <w:rsid w:val="009C7ECA"/>
    <w:rsid w:val="009C7EF5"/>
    <w:rsid w:val="009C7F16"/>
    <w:rsid w:val="009C7F99"/>
    <w:rsid w:val="009D0059"/>
    <w:rsid w:val="009D01E5"/>
    <w:rsid w:val="009D0348"/>
    <w:rsid w:val="009D03D6"/>
    <w:rsid w:val="009D0487"/>
    <w:rsid w:val="009D0545"/>
    <w:rsid w:val="009D05AE"/>
    <w:rsid w:val="009D0699"/>
    <w:rsid w:val="009D077E"/>
    <w:rsid w:val="009D08D5"/>
    <w:rsid w:val="009D0B84"/>
    <w:rsid w:val="009D0D5F"/>
    <w:rsid w:val="009D0ECF"/>
    <w:rsid w:val="009D0F47"/>
    <w:rsid w:val="009D0F50"/>
    <w:rsid w:val="009D0FCD"/>
    <w:rsid w:val="009D1031"/>
    <w:rsid w:val="009D1101"/>
    <w:rsid w:val="009D12A1"/>
    <w:rsid w:val="009D1348"/>
    <w:rsid w:val="009D1572"/>
    <w:rsid w:val="009D1620"/>
    <w:rsid w:val="009D166C"/>
    <w:rsid w:val="009D1725"/>
    <w:rsid w:val="009D1754"/>
    <w:rsid w:val="009D1784"/>
    <w:rsid w:val="009D18A2"/>
    <w:rsid w:val="009D19EA"/>
    <w:rsid w:val="009D1CF0"/>
    <w:rsid w:val="009D1E38"/>
    <w:rsid w:val="009D1E3D"/>
    <w:rsid w:val="009D1EFF"/>
    <w:rsid w:val="009D1F3F"/>
    <w:rsid w:val="009D1F6F"/>
    <w:rsid w:val="009D1FFC"/>
    <w:rsid w:val="009D2011"/>
    <w:rsid w:val="009D206A"/>
    <w:rsid w:val="009D20C1"/>
    <w:rsid w:val="009D2158"/>
    <w:rsid w:val="009D2164"/>
    <w:rsid w:val="009D217E"/>
    <w:rsid w:val="009D21B4"/>
    <w:rsid w:val="009D2220"/>
    <w:rsid w:val="009D2258"/>
    <w:rsid w:val="009D2310"/>
    <w:rsid w:val="009D244F"/>
    <w:rsid w:val="009D24AE"/>
    <w:rsid w:val="009D24B1"/>
    <w:rsid w:val="009D2506"/>
    <w:rsid w:val="009D254A"/>
    <w:rsid w:val="009D25BF"/>
    <w:rsid w:val="009D2661"/>
    <w:rsid w:val="009D2735"/>
    <w:rsid w:val="009D277E"/>
    <w:rsid w:val="009D2966"/>
    <w:rsid w:val="009D2ACC"/>
    <w:rsid w:val="009D2BAA"/>
    <w:rsid w:val="009D2CA0"/>
    <w:rsid w:val="009D2D87"/>
    <w:rsid w:val="009D3030"/>
    <w:rsid w:val="009D307A"/>
    <w:rsid w:val="009D30C5"/>
    <w:rsid w:val="009D30F5"/>
    <w:rsid w:val="009D3122"/>
    <w:rsid w:val="009D31DA"/>
    <w:rsid w:val="009D325D"/>
    <w:rsid w:val="009D33AD"/>
    <w:rsid w:val="009D3431"/>
    <w:rsid w:val="009D3494"/>
    <w:rsid w:val="009D3623"/>
    <w:rsid w:val="009D37B4"/>
    <w:rsid w:val="009D39BF"/>
    <w:rsid w:val="009D39E7"/>
    <w:rsid w:val="009D3A12"/>
    <w:rsid w:val="009D3A45"/>
    <w:rsid w:val="009D3A5C"/>
    <w:rsid w:val="009D3B45"/>
    <w:rsid w:val="009D3B92"/>
    <w:rsid w:val="009D3C89"/>
    <w:rsid w:val="009D3E3D"/>
    <w:rsid w:val="009D3EAD"/>
    <w:rsid w:val="009D3F28"/>
    <w:rsid w:val="009D40BD"/>
    <w:rsid w:val="009D40E2"/>
    <w:rsid w:val="009D415C"/>
    <w:rsid w:val="009D4300"/>
    <w:rsid w:val="009D448E"/>
    <w:rsid w:val="009D456F"/>
    <w:rsid w:val="009D4934"/>
    <w:rsid w:val="009D4B04"/>
    <w:rsid w:val="009D4D99"/>
    <w:rsid w:val="009D4E02"/>
    <w:rsid w:val="009D4E15"/>
    <w:rsid w:val="009D4F1D"/>
    <w:rsid w:val="009D4F44"/>
    <w:rsid w:val="009D5080"/>
    <w:rsid w:val="009D518C"/>
    <w:rsid w:val="009D5206"/>
    <w:rsid w:val="009D52F8"/>
    <w:rsid w:val="009D538D"/>
    <w:rsid w:val="009D54BB"/>
    <w:rsid w:val="009D5515"/>
    <w:rsid w:val="009D55A6"/>
    <w:rsid w:val="009D5620"/>
    <w:rsid w:val="009D5693"/>
    <w:rsid w:val="009D5965"/>
    <w:rsid w:val="009D5BAB"/>
    <w:rsid w:val="009D5CE0"/>
    <w:rsid w:val="009D5DE0"/>
    <w:rsid w:val="009D5F7E"/>
    <w:rsid w:val="009D5F85"/>
    <w:rsid w:val="009D609A"/>
    <w:rsid w:val="009D61D0"/>
    <w:rsid w:val="009D6204"/>
    <w:rsid w:val="009D630F"/>
    <w:rsid w:val="009D6389"/>
    <w:rsid w:val="009D644B"/>
    <w:rsid w:val="009D6657"/>
    <w:rsid w:val="009D66CA"/>
    <w:rsid w:val="009D66FF"/>
    <w:rsid w:val="009D6705"/>
    <w:rsid w:val="009D6773"/>
    <w:rsid w:val="009D6854"/>
    <w:rsid w:val="009D6857"/>
    <w:rsid w:val="009D686B"/>
    <w:rsid w:val="009D68CB"/>
    <w:rsid w:val="009D6A88"/>
    <w:rsid w:val="009D6B24"/>
    <w:rsid w:val="009D6B6C"/>
    <w:rsid w:val="009D6B97"/>
    <w:rsid w:val="009D6C43"/>
    <w:rsid w:val="009D6C83"/>
    <w:rsid w:val="009D6D99"/>
    <w:rsid w:val="009D6F8F"/>
    <w:rsid w:val="009D7030"/>
    <w:rsid w:val="009D7105"/>
    <w:rsid w:val="009D71DA"/>
    <w:rsid w:val="009D7329"/>
    <w:rsid w:val="009D73F9"/>
    <w:rsid w:val="009D73FC"/>
    <w:rsid w:val="009D759B"/>
    <w:rsid w:val="009D75E3"/>
    <w:rsid w:val="009D7732"/>
    <w:rsid w:val="009D776A"/>
    <w:rsid w:val="009D7964"/>
    <w:rsid w:val="009D7B04"/>
    <w:rsid w:val="009D7E4F"/>
    <w:rsid w:val="009D7E6E"/>
    <w:rsid w:val="009D7FA7"/>
    <w:rsid w:val="009E00A8"/>
    <w:rsid w:val="009E01B0"/>
    <w:rsid w:val="009E01BC"/>
    <w:rsid w:val="009E0237"/>
    <w:rsid w:val="009E02DC"/>
    <w:rsid w:val="009E0527"/>
    <w:rsid w:val="009E05A6"/>
    <w:rsid w:val="009E05DF"/>
    <w:rsid w:val="009E05E0"/>
    <w:rsid w:val="009E0679"/>
    <w:rsid w:val="009E0787"/>
    <w:rsid w:val="009E09FA"/>
    <w:rsid w:val="009E0AAD"/>
    <w:rsid w:val="009E0BB3"/>
    <w:rsid w:val="009E0BF1"/>
    <w:rsid w:val="009E0C0F"/>
    <w:rsid w:val="009E0C7B"/>
    <w:rsid w:val="009E0D55"/>
    <w:rsid w:val="009E10BC"/>
    <w:rsid w:val="009E1140"/>
    <w:rsid w:val="009E1142"/>
    <w:rsid w:val="009E14CC"/>
    <w:rsid w:val="009E1562"/>
    <w:rsid w:val="009E15F8"/>
    <w:rsid w:val="009E17C7"/>
    <w:rsid w:val="009E1928"/>
    <w:rsid w:val="009E19E3"/>
    <w:rsid w:val="009E1ABB"/>
    <w:rsid w:val="009E1BB3"/>
    <w:rsid w:val="009E1E60"/>
    <w:rsid w:val="009E1E74"/>
    <w:rsid w:val="009E201B"/>
    <w:rsid w:val="009E2037"/>
    <w:rsid w:val="009E2106"/>
    <w:rsid w:val="009E2129"/>
    <w:rsid w:val="009E230F"/>
    <w:rsid w:val="009E24D3"/>
    <w:rsid w:val="009E2650"/>
    <w:rsid w:val="009E2767"/>
    <w:rsid w:val="009E27E0"/>
    <w:rsid w:val="009E29D9"/>
    <w:rsid w:val="009E2AD7"/>
    <w:rsid w:val="009E2D8A"/>
    <w:rsid w:val="009E2DEE"/>
    <w:rsid w:val="009E2E57"/>
    <w:rsid w:val="009E2EA9"/>
    <w:rsid w:val="009E2F74"/>
    <w:rsid w:val="009E33BE"/>
    <w:rsid w:val="009E349F"/>
    <w:rsid w:val="009E3572"/>
    <w:rsid w:val="009E358C"/>
    <w:rsid w:val="009E359E"/>
    <w:rsid w:val="009E35D2"/>
    <w:rsid w:val="009E35F4"/>
    <w:rsid w:val="009E370D"/>
    <w:rsid w:val="009E373E"/>
    <w:rsid w:val="009E377D"/>
    <w:rsid w:val="009E37F7"/>
    <w:rsid w:val="009E3813"/>
    <w:rsid w:val="009E3948"/>
    <w:rsid w:val="009E3982"/>
    <w:rsid w:val="009E3A9A"/>
    <w:rsid w:val="009E3B3A"/>
    <w:rsid w:val="009E3C5F"/>
    <w:rsid w:val="009E3D32"/>
    <w:rsid w:val="009E3DFA"/>
    <w:rsid w:val="009E3ECE"/>
    <w:rsid w:val="009E3F47"/>
    <w:rsid w:val="009E3F62"/>
    <w:rsid w:val="009E4000"/>
    <w:rsid w:val="009E4052"/>
    <w:rsid w:val="009E40A2"/>
    <w:rsid w:val="009E4104"/>
    <w:rsid w:val="009E4269"/>
    <w:rsid w:val="009E4344"/>
    <w:rsid w:val="009E4382"/>
    <w:rsid w:val="009E4621"/>
    <w:rsid w:val="009E464C"/>
    <w:rsid w:val="009E46F6"/>
    <w:rsid w:val="009E4A79"/>
    <w:rsid w:val="009E4AF5"/>
    <w:rsid w:val="009E4BAF"/>
    <w:rsid w:val="009E4C51"/>
    <w:rsid w:val="009E4CC5"/>
    <w:rsid w:val="009E4E0B"/>
    <w:rsid w:val="009E4E67"/>
    <w:rsid w:val="009E4F0B"/>
    <w:rsid w:val="009E4F6B"/>
    <w:rsid w:val="009E4F92"/>
    <w:rsid w:val="009E5114"/>
    <w:rsid w:val="009E5174"/>
    <w:rsid w:val="009E5358"/>
    <w:rsid w:val="009E5567"/>
    <w:rsid w:val="009E5677"/>
    <w:rsid w:val="009E575D"/>
    <w:rsid w:val="009E57F1"/>
    <w:rsid w:val="009E58AD"/>
    <w:rsid w:val="009E58F6"/>
    <w:rsid w:val="009E5CD5"/>
    <w:rsid w:val="009E5E4C"/>
    <w:rsid w:val="009E5ED5"/>
    <w:rsid w:val="009E61FE"/>
    <w:rsid w:val="009E623E"/>
    <w:rsid w:val="009E629C"/>
    <w:rsid w:val="009E632D"/>
    <w:rsid w:val="009E63FE"/>
    <w:rsid w:val="009E641D"/>
    <w:rsid w:val="009E642B"/>
    <w:rsid w:val="009E643F"/>
    <w:rsid w:val="009E6462"/>
    <w:rsid w:val="009E6476"/>
    <w:rsid w:val="009E64F1"/>
    <w:rsid w:val="009E657E"/>
    <w:rsid w:val="009E65A8"/>
    <w:rsid w:val="009E6647"/>
    <w:rsid w:val="009E6685"/>
    <w:rsid w:val="009E67E8"/>
    <w:rsid w:val="009E6952"/>
    <w:rsid w:val="009E6A9B"/>
    <w:rsid w:val="009E6B3A"/>
    <w:rsid w:val="009E6B47"/>
    <w:rsid w:val="009E6B74"/>
    <w:rsid w:val="009E6C58"/>
    <w:rsid w:val="009E6D46"/>
    <w:rsid w:val="009E6E13"/>
    <w:rsid w:val="009E6E84"/>
    <w:rsid w:val="009E6F72"/>
    <w:rsid w:val="009E7011"/>
    <w:rsid w:val="009E7029"/>
    <w:rsid w:val="009E715B"/>
    <w:rsid w:val="009E7289"/>
    <w:rsid w:val="009E732C"/>
    <w:rsid w:val="009E73EE"/>
    <w:rsid w:val="009E74D3"/>
    <w:rsid w:val="009E751A"/>
    <w:rsid w:val="009E7581"/>
    <w:rsid w:val="009E75F7"/>
    <w:rsid w:val="009E7601"/>
    <w:rsid w:val="009E761E"/>
    <w:rsid w:val="009E7624"/>
    <w:rsid w:val="009E77C9"/>
    <w:rsid w:val="009E7A9B"/>
    <w:rsid w:val="009E7B31"/>
    <w:rsid w:val="009E7B84"/>
    <w:rsid w:val="009E7CAC"/>
    <w:rsid w:val="009E7D4B"/>
    <w:rsid w:val="009E7D6E"/>
    <w:rsid w:val="009E7D92"/>
    <w:rsid w:val="009E7EA1"/>
    <w:rsid w:val="009E7F9C"/>
    <w:rsid w:val="009F025E"/>
    <w:rsid w:val="009F02D7"/>
    <w:rsid w:val="009F03C8"/>
    <w:rsid w:val="009F03F2"/>
    <w:rsid w:val="009F0525"/>
    <w:rsid w:val="009F058D"/>
    <w:rsid w:val="009F059C"/>
    <w:rsid w:val="009F05CA"/>
    <w:rsid w:val="009F0687"/>
    <w:rsid w:val="009F06DA"/>
    <w:rsid w:val="009F07C7"/>
    <w:rsid w:val="009F08CA"/>
    <w:rsid w:val="009F08D3"/>
    <w:rsid w:val="009F08FF"/>
    <w:rsid w:val="009F0904"/>
    <w:rsid w:val="009F0915"/>
    <w:rsid w:val="009F09C2"/>
    <w:rsid w:val="009F0A4C"/>
    <w:rsid w:val="009F0AE5"/>
    <w:rsid w:val="009F0B16"/>
    <w:rsid w:val="009F0B24"/>
    <w:rsid w:val="009F0B84"/>
    <w:rsid w:val="009F0BC0"/>
    <w:rsid w:val="009F0BEA"/>
    <w:rsid w:val="009F0C34"/>
    <w:rsid w:val="009F0CAD"/>
    <w:rsid w:val="009F0D67"/>
    <w:rsid w:val="009F0FA6"/>
    <w:rsid w:val="009F1172"/>
    <w:rsid w:val="009F1203"/>
    <w:rsid w:val="009F1318"/>
    <w:rsid w:val="009F1385"/>
    <w:rsid w:val="009F14B4"/>
    <w:rsid w:val="009F14BA"/>
    <w:rsid w:val="009F1558"/>
    <w:rsid w:val="009F15BB"/>
    <w:rsid w:val="009F15E2"/>
    <w:rsid w:val="009F16A0"/>
    <w:rsid w:val="009F1769"/>
    <w:rsid w:val="009F18ED"/>
    <w:rsid w:val="009F197D"/>
    <w:rsid w:val="009F1E0A"/>
    <w:rsid w:val="009F1FD1"/>
    <w:rsid w:val="009F206E"/>
    <w:rsid w:val="009F20D5"/>
    <w:rsid w:val="009F2133"/>
    <w:rsid w:val="009F2297"/>
    <w:rsid w:val="009F22DC"/>
    <w:rsid w:val="009F241B"/>
    <w:rsid w:val="009F2434"/>
    <w:rsid w:val="009F24B6"/>
    <w:rsid w:val="009F2650"/>
    <w:rsid w:val="009F2685"/>
    <w:rsid w:val="009F26B6"/>
    <w:rsid w:val="009F280E"/>
    <w:rsid w:val="009F2877"/>
    <w:rsid w:val="009F28D8"/>
    <w:rsid w:val="009F2A07"/>
    <w:rsid w:val="009F2A94"/>
    <w:rsid w:val="009F2B8E"/>
    <w:rsid w:val="009F2C75"/>
    <w:rsid w:val="009F2CB1"/>
    <w:rsid w:val="009F2EFE"/>
    <w:rsid w:val="009F2F47"/>
    <w:rsid w:val="009F2FDA"/>
    <w:rsid w:val="009F31A8"/>
    <w:rsid w:val="009F357F"/>
    <w:rsid w:val="009F39A4"/>
    <w:rsid w:val="009F3A53"/>
    <w:rsid w:val="009F3A93"/>
    <w:rsid w:val="009F3AA7"/>
    <w:rsid w:val="009F3B1C"/>
    <w:rsid w:val="009F3C2C"/>
    <w:rsid w:val="009F3D0D"/>
    <w:rsid w:val="009F3D93"/>
    <w:rsid w:val="009F3E11"/>
    <w:rsid w:val="009F3E89"/>
    <w:rsid w:val="009F3FE1"/>
    <w:rsid w:val="009F40F2"/>
    <w:rsid w:val="009F415C"/>
    <w:rsid w:val="009F41BC"/>
    <w:rsid w:val="009F4239"/>
    <w:rsid w:val="009F424B"/>
    <w:rsid w:val="009F43E7"/>
    <w:rsid w:val="009F4430"/>
    <w:rsid w:val="009F45A2"/>
    <w:rsid w:val="009F45F0"/>
    <w:rsid w:val="009F4611"/>
    <w:rsid w:val="009F462C"/>
    <w:rsid w:val="009F469F"/>
    <w:rsid w:val="009F46FC"/>
    <w:rsid w:val="009F4843"/>
    <w:rsid w:val="009F4971"/>
    <w:rsid w:val="009F497A"/>
    <w:rsid w:val="009F4ABB"/>
    <w:rsid w:val="009F4C6F"/>
    <w:rsid w:val="009F4F78"/>
    <w:rsid w:val="009F50AA"/>
    <w:rsid w:val="009F5167"/>
    <w:rsid w:val="009F51CE"/>
    <w:rsid w:val="009F5212"/>
    <w:rsid w:val="009F529D"/>
    <w:rsid w:val="009F52AD"/>
    <w:rsid w:val="009F536B"/>
    <w:rsid w:val="009F53B1"/>
    <w:rsid w:val="009F5451"/>
    <w:rsid w:val="009F5535"/>
    <w:rsid w:val="009F55E8"/>
    <w:rsid w:val="009F56BF"/>
    <w:rsid w:val="009F57BA"/>
    <w:rsid w:val="009F598E"/>
    <w:rsid w:val="009F5A16"/>
    <w:rsid w:val="009F5A62"/>
    <w:rsid w:val="009F5B15"/>
    <w:rsid w:val="009F5B5F"/>
    <w:rsid w:val="009F5B74"/>
    <w:rsid w:val="009F5BB3"/>
    <w:rsid w:val="009F5BC7"/>
    <w:rsid w:val="009F5BF8"/>
    <w:rsid w:val="009F5C49"/>
    <w:rsid w:val="009F5DEE"/>
    <w:rsid w:val="009F5F20"/>
    <w:rsid w:val="009F5F79"/>
    <w:rsid w:val="009F5FB1"/>
    <w:rsid w:val="009F5FBE"/>
    <w:rsid w:val="009F6356"/>
    <w:rsid w:val="009F63F3"/>
    <w:rsid w:val="009F6525"/>
    <w:rsid w:val="009F6598"/>
    <w:rsid w:val="009F65FB"/>
    <w:rsid w:val="009F664B"/>
    <w:rsid w:val="009F672C"/>
    <w:rsid w:val="009F675A"/>
    <w:rsid w:val="009F6766"/>
    <w:rsid w:val="009F6788"/>
    <w:rsid w:val="009F6852"/>
    <w:rsid w:val="009F68B1"/>
    <w:rsid w:val="009F69A9"/>
    <w:rsid w:val="009F69C8"/>
    <w:rsid w:val="009F6C55"/>
    <w:rsid w:val="009F6CAD"/>
    <w:rsid w:val="009F6D3B"/>
    <w:rsid w:val="009F6D87"/>
    <w:rsid w:val="009F6DAE"/>
    <w:rsid w:val="009F6F14"/>
    <w:rsid w:val="009F6F73"/>
    <w:rsid w:val="009F6F75"/>
    <w:rsid w:val="009F7091"/>
    <w:rsid w:val="009F70EB"/>
    <w:rsid w:val="009F71A7"/>
    <w:rsid w:val="009F723A"/>
    <w:rsid w:val="009F73AD"/>
    <w:rsid w:val="009F73C3"/>
    <w:rsid w:val="009F74F2"/>
    <w:rsid w:val="009F75E1"/>
    <w:rsid w:val="009F7603"/>
    <w:rsid w:val="009F7665"/>
    <w:rsid w:val="009F76E0"/>
    <w:rsid w:val="009F7867"/>
    <w:rsid w:val="009F7A19"/>
    <w:rsid w:val="009F7A76"/>
    <w:rsid w:val="009F7B6A"/>
    <w:rsid w:val="009F7BD5"/>
    <w:rsid w:val="009F7CCD"/>
    <w:rsid w:val="009F7E2D"/>
    <w:rsid w:val="009F7E3D"/>
    <w:rsid w:val="009F7F77"/>
    <w:rsid w:val="009F7FF5"/>
    <w:rsid w:val="009F9448"/>
    <w:rsid w:val="00A001C6"/>
    <w:rsid w:val="00A0021A"/>
    <w:rsid w:val="00A002EA"/>
    <w:rsid w:val="00A0046E"/>
    <w:rsid w:val="00A004F0"/>
    <w:rsid w:val="00A005EE"/>
    <w:rsid w:val="00A005EF"/>
    <w:rsid w:val="00A00602"/>
    <w:rsid w:val="00A00631"/>
    <w:rsid w:val="00A00699"/>
    <w:rsid w:val="00A0071B"/>
    <w:rsid w:val="00A007DB"/>
    <w:rsid w:val="00A007F9"/>
    <w:rsid w:val="00A00994"/>
    <w:rsid w:val="00A00A0B"/>
    <w:rsid w:val="00A00A28"/>
    <w:rsid w:val="00A00A99"/>
    <w:rsid w:val="00A00B1E"/>
    <w:rsid w:val="00A00B5F"/>
    <w:rsid w:val="00A00B65"/>
    <w:rsid w:val="00A00C99"/>
    <w:rsid w:val="00A00CE2"/>
    <w:rsid w:val="00A00F58"/>
    <w:rsid w:val="00A00F90"/>
    <w:rsid w:val="00A00FAA"/>
    <w:rsid w:val="00A0105B"/>
    <w:rsid w:val="00A0106B"/>
    <w:rsid w:val="00A0129B"/>
    <w:rsid w:val="00A01302"/>
    <w:rsid w:val="00A0155D"/>
    <w:rsid w:val="00A01604"/>
    <w:rsid w:val="00A0169B"/>
    <w:rsid w:val="00A0170B"/>
    <w:rsid w:val="00A017EC"/>
    <w:rsid w:val="00A0183A"/>
    <w:rsid w:val="00A018D1"/>
    <w:rsid w:val="00A019C8"/>
    <w:rsid w:val="00A019FA"/>
    <w:rsid w:val="00A01A0F"/>
    <w:rsid w:val="00A01A44"/>
    <w:rsid w:val="00A01A48"/>
    <w:rsid w:val="00A01ABF"/>
    <w:rsid w:val="00A01B47"/>
    <w:rsid w:val="00A01BE3"/>
    <w:rsid w:val="00A01E97"/>
    <w:rsid w:val="00A01F05"/>
    <w:rsid w:val="00A01F85"/>
    <w:rsid w:val="00A01FBE"/>
    <w:rsid w:val="00A01FEA"/>
    <w:rsid w:val="00A02092"/>
    <w:rsid w:val="00A0209B"/>
    <w:rsid w:val="00A020A3"/>
    <w:rsid w:val="00A020B8"/>
    <w:rsid w:val="00A02183"/>
    <w:rsid w:val="00A0226A"/>
    <w:rsid w:val="00A02323"/>
    <w:rsid w:val="00A02326"/>
    <w:rsid w:val="00A0234D"/>
    <w:rsid w:val="00A02395"/>
    <w:rsid w:val="00A02943"/>
    <w:rsid w:val="00A0299F"/>
    <w:rsid w:val="00A029A2"/>
    <w:rsid w:val="00A02BE5"/>
    <w:rsid w:val="00A02C4A"/>
    <w:rsid w:val="00A02D5C"/>
    <w:rsid w:val="00A02E9B"/>
    <w:rsid w:val="00A02F29"/>
    <w:rsid w:val="00A02F4E"/>
    <w:rsid w:val="00A02F7A"/>
    <w:rsid w:val="00A02FA1"/>
    <w:rsid w:val="00A02FF5"/>
    <w:rsid w:val="00A03166"/>
    <w:rsid w:val="00A03297"/>
    <w:rsid w:val="00A032BE"/>
    <w:rsid w:val="00A034DF"/>
    <w:rsid w:val="00A036F3"/>
    <w:rsid w:val="00A037B3"/>
    <w:rsid w:val="00A0381F"/>
    <w:rsid w:val="00A03889"/>
    <w:rsid w:val="00A03933"/>
    <w:rsid w:val="00A03A65"/>
    <w:rsid w:val="00A03A8E"/>
    <w:rsid w:val="00A03BB1"/>
    <w:rsid w:val="00A03BD5"/>
    <w:rsid w:val="00A03BD9"/>
    <w:rsid w:val="00A03C57"/>
    <w:rsid w:val="00A03C98"/>
    <w:rsid w:val="00A03CD6"/>
    <w:rsid w:val="00A03EE4"/>
    <w:rsid w:val="00A04060"/>
    <w:rsid w:val="00A040FF"/>
    <w:rsid w:val="00A04163"/>
    <w:rsid w:val="00A041CC"/>
    <w:rsid w:val="00A04295"/>
    <w:rsid w:val="00A0430C"/>
    <w:rsid w:val="00A043E7"/>
    <w:rsid w:val="00A0444F"/>
    <w:rsid w:val="00A044B6"/>
    <w:rsid w:val="00A04537"/>
    <w:rsid w:val="00A046D8"/>
    <w:rsid w:val="00A04807"/>
    <w:rsid w:val="00A04B0F"/>
    <w:rsid w:val="00A04B6A"/>
    <w:rsid w:val="00A04C39"/>
    <w:rsid w:val="00A04D9C"/>
    <w:rsid w:val="00A04DA8"/>
    <w:rsid w:val="00A04F44"/>
    <w:rsid w:val="00A04F7E"/>
    <w:rsid w:val="00A04FFA"/>
    <w:rsid w:val="00A0500A"/>
    <w:rsid w:val="00A05075"/>
    <w:rsid w:val="00A050C4"/>
    <w:rsid w:val="00A050F2"/>
    <w:rsid w:val="00A05142"/>
    <w:rsid w:val="00A0525B"/>
    <w:rsid w:val="00A0533B"/>
    <w:rsid w:val="00A0534D"/>
    <w:rsid w:val="00A05417"/>
    <w:rsid w:val="00A0544B"/>
    <w:rsid w:val="00A05463"/>
    <w:rsid w:val="00A054D5"/>
    <w:rsid w:val="00A05544"/>
    <w:rsid w:val="00A0556F"/>
    <w:rsid w:val="00A058FD"/>
    <w:rsid w:val="00A05986"/>
    <w:rsid w:val="00A05A97"/>
    <w:rsid w:val="00A05C6E"/>
    <w:rsid w:val="00A05CF6"/>
    <w:rsid w:val="00A05D65"/>
    <w:rsid w:val="00A05DED"/>
    <w:rsid w:val="00A05E18"/>
    <w:rsid w:val="00A06098"/>
    <w:rsid w:val="00A060C2"/>
    <w:rsid w:val="00A060DB"/>
    <w:rsid w:val="00A061EB"/>
    <w:rsid w:val="00A06307"/>
    <w:rsid w:val="00A063D5"/>
    <w:rsid w:val="00A06429"/>
    <w:rsid w:val="00A0651E"/>
    <w:rsid w:val="00A0656F"/>
    <w:rsid w:val="00A067CD"/>
    <w:rsid w:val="00A06875"/>
    <w:rsid w:val="00A0698E"/>
    <w:rsid w:val="00A0699E"/>
    <w:rsid w:val="00A069F8"/>
    <w:rsid w:val="00A06AF1"/>
    <w:rsid w:val="00A06AFE"/>
    <w:rsid w:val="00A06B35"/>
    <w:rsid w:val="00A06B57"/>
    <w:rsid w:val="00A06B7C"/>
    <w:rsid w:val="00A06DC4"/>
    <w:rsid w:val="00A06F50"/>
    <w:rsid w:val="00A06FA1"/>
    <w:rsid w:val="00A0711D"/>
    <w:rsid w:val="00A07268"/>
    <w:rsid w:val="00A07277"/>
    <w:rsid w:val="00A07338"/>
    <w:rsid w:val="00A0733A"/>
    <w:rsid w:val="00A07418"/>
    <w:rsid w:val="00A0748B"/>
    <w:rsid w:val="00A07505"/>
    <w:rsid w:val="00A07526"/>
    <w:rsid w:val="00A0753B"/>
    <w:rsid w:val="00A07602"/>
    <w:rsid w:val="00A0761B"/>
    <w:rsid w:val="00A07744"/>
    <w:rsid w:val="00A077C9"/>
    <w:rsid w:val="00A078FE"/>
    <w:rsid w:val="00A07AF5"/>
    <w:rsid w:val="00A07B40"/>
    <w:rsid w:val="00A07BB0"/>
    <w:rsid w:val="00A07C50"/>
    <w:rsid w:val="00A07CB5"/>
    <w:rsid w:val="00A07CDD"/>
    <w:rsid w:val="00A07E35"/>
    <w:rsid w:val="00A07E5C"/>
    <w:rsid w:val="00A07EA5"/>
    <w:rsid w:val="00A07EA8"/>
    <w:rsid w:val="00A07EE4"/>
    <w:rsid w:val="00A07F47"/>
    <w:rsid w:val="00A10059"/>
    <w:rsid w:val="00A1009C"/>
    <w:rsid w:val="00A100D2"/>
    <w:rsid w:val="00A100EF"/>
    <w:rsid w:val="00A10134"/>
    <w:rsid w:val="00A101F3"/>
    <w:rsid w:val="00A103E3"/>
    <w:rsid w:val="00A10412"/>
    <w:rsid w:val="00A1056A"/>
    <w:rsid w:val="00A1056B"/>
    <w:rsid w:val="00A10660"/>
    <w:rsid w:val="00A10684"/>
    <w:rsid w:val="00A1070E"/>
    <w:rsid w:val="00A1071C"/>
    <w:rsid w:val="00A10732"/>
    <w:rsid w:val="00A1088F"/>
    <w:rsid w:val="00A10903"/>
    <w:rsid w:val="00A10946"/>
    <w:rsid w:val="00A10AD0"/>
    <w:rsid w:val="00A10BEC"/>
    <w:rsid w:val="00A10EE6"/>
    <w:rsid w:val="00A10FCE"/>
    <w:rsid w:val="00A1100F"/>
    <w:rsid w:val="00A11044"/>
    <w:rsid w:val="00A1111B"/>
    <w:rsid w:val="00A11248"/>
    <w:rsid w:val="00A11274"/>
    <w:rsid w:val="00A1128B"/>
    <w:rsid w:val="00A112E1"/>
    <w:rsid w:val="00A1134B"/>
    <w:rsid w:val="00A11517"/>
    <w:rsid w:val="00A1163F"/>
    <w:rsid w:val="00A116DC"/>
    <w:rsid w:val="00A1175D"/>
    <w:rsid w:val="00A1180A"/>
    <w:rsid w:val="00A11909"/>
    <w:rsid w:val="00A11A16"/>
    <w:rsid w:val="00A11AE2"/>
    <w:rsid w:val="00A11CAE"/>
    <w:rsid w:val="00A11D63"/>
    <w:rsid w:val="00A11EE7"/>
    <w:rsid w:val="00A11F03"/>
    <w:rsid w:val="00A11F2F"/>
    <w:rsid w:val="00A11F35"/>
    <w:rsid w:val="00A11FA6"/>
    <w:rsid w:val="00A1210A"/>
    <w:rsid w:val="00A121A1"/>
    <w:rsid w:val="00A1233B"/>
    <w:rsid w:val="00A1240C"/>
    <w:rsid w:val="00A12479"/>
    <w:rsid w:val="00A124CE"/>
    <w:rsid w:val="00A124E6"/>
    <w:rsid w:val="00A1255E"/>
    <w:rsid w:val="00A125FE"/>
    <w:rsid w:val="00A12793"/>
    <w:rsid w:val="00A12831"/>
    <w:rsid w:val="00A128CC"/>
    <w:rsid w:val="00A1296F"/>
    <w:rsid w:val="00A129D5"/>
    <w:rsid w:val="00A12A22"/>
    <w:rsid w:val="00A12A79"/>
    <w:rsid w:val="00A12EC9"/>
    <w:rsid w:val="00A12ED4"/>
    <w:rsid w:val="00A12EFB"/>
    <w:rsid w:val="00A12F09"/>
    <w:rsid w:val="00A12F78"/>
    <w:rsid w:val="00A131ED"/>
    <w:rsid w:val="00A13279"/>
    <w:rsid w:val="00A13377"/>
    <w:rsid w:val="00A134C2"/>
    <w:rsid w:val="00A134C9"/>
    <w:rsid w:val="00A1361D"/>
    <w:rsid w:val="00A1367A"/>
    <w:rsid w:val="00A137F4"/>
    <w:rsid w:val="00A13842"/>
    <w:rsid w:val="00A13997"/>
    <w:rsid w:val="00A13BA2"/>
    <w:rsid w:val="00A13C6E"/>
    <w:rsid w:val="00A13CF6"/>
    <w:rsid w:val="00A13DBC"/>
    <w:rsid w:val="00A13E99"/>
    <w:rsid w:val="00A1400C"/>
    <w:rsid w:val="00A14047"/>
    <w:rsid w:val="00A14121"/>
    <w:rsid w:val="00A14129"/>
    <w:rsid w:val="00A14272"/>
    <w:rsid w:val="00A14296"/>
    <w:rsid w:val="00A142C1"/>
    <w:rsid w:val="00A144A5"/>
    <w:rsid w:val="00A145BC"/>
    <w:rsid w:val="00A145C6"/>
    <w:rsid w:val="00A145D2"/>
    <w:rsid w:val="00A146C5"/>
    <w:rsid w:val="00A1495E"/>
    <w:rsid w:val="00A14AAF"/>
    <w:rsid w:val="00A14BA9"/>
    <w:rsid w:val="00A14D03"/>
    <w:rsid w:val="00A14D74"/>
    <w:rsid w:val="00A14D9F"/>
    <w:rsid w:val="00A14EDA"/>
    <w:rsid w:val="00A150D7"/>
    <w:rsid w:val="00A151BB"/>
    <w:rsid w:val="00A153DB"/>
    <w:rsid w:val="00A15458"/>
    <w:rsid w:val="00A15489"/>
    <w:rsid w:val="00A15519"/>
    <w:rsid w:val="00A15667"/>
    <w:rsid w:val="00A156B2"/>
    <w:rsid w:val="00A156D6"/>
    <w:rsid w:val="00A15733"/>
    <w:rsid w:val="00A15826"/>
    <w:rsid w:val="00A159F2"/>
    <w:rsid w:val="00A15A65"/>
    <w:rsid w:val="00A15C82"/>
    <w:rsid w:val="00A15CB9"/>
    <w:rsid w:val="00A15D30"/>
    <w:rsid w:val="00A15DA7"/>
    <w:rsid w:val="00A15E56"/>
    <w:rsid w:val="00A15E5D"/>
    <w:rsid w:val="00A15E75"/>
    <w:rsid w:val="00A16026"/>
    <w:rsid w:val="00A160AA"/>
    <w:rsid w:val="00A16157"/>
    <w:rsid w:val="00A1622E"/>
    <w:rsid w:val="00A1652A"/>
    <w:rsid w:val="00A16635"/>
    <w:rsid w:val="00A169B9"/>
    <w:rsid w:val="00A169C9"/>
    <w:rsid w:val="00A16B2D"/>
    <w:rsid w:val="00A16B92"/>
    <w:rsid w:val="00A16BB1"/>
    <w:rsid w:val="00A16C25"/>
    <w:rsid w:val="00A16C86"/>
    <w:rsid w:val="00A16CAA"/>
    <w:rsid w:val="00A16D44"/>
    <w:rsid w:val="00A16E44"/>
    <w:rsid w:val="00A16F60"/>
    <w:rsid w:val="00A16FF2"/>
    <w:rsid w:val="00A17010"/>
    <w:rsid w:val="00A17036"/>
    <w:rsid w:val="00A17064"/>
    <w:rsid w:val="00A170AF"/>
    <w:rsid w:val="00A17179"/>
    <w:rsid w:val="00A1717A"/>
    <w:rsid w:val="00A17277"/>
    <w:rsid w:val="00A17395"/>
    <w:rsid w:val="00A17456"/>
    <w:rsid w:val="00A174C9"/>
    <w:rsid w:val="00A174DD"/>
    <w:rsid w:val="00A17570"/>
    <w:rsid w:val="00A177F4"/>
    <w:rsid w:val="00A17A6F"/>
    <w:rsid w:val="00A17AA8"/>
    <w:rsid w:val="00A17AD6"/>
    <w:rsid w:val="00A17B11"/>
    <w:rsid w:val="00A17D33"/>
    <w:rsid w:val="00A20043"/>
    <w:rsid w:val="00A20068"/>
    <w:rsid w:val="00A2013E"/>
    <w:rsid w:val="00A20275"/>
    <w:rsid w:val="00A20302"/>
    <w:rsid w:val="00A20324"/>
    <w:rsid w:val="00A20361"/>
    <w:rsid w:val="00A204F1"/>
    <w:rsid w:val="00A20768"/>
    <w:rsid w:val="00A20861"/>
    <w:rsid w:val="00A208C5"/>
    <w:rsid w:val="00A20BE7"/>
    <w:rsid w:val="00A20D06"/>
    <w:rsid w:val="00A20DFD"/>
    <w:rsid w:val="00A20E64"/>
    <w:rsid w:val="00A20F37"/>
    <w:rsid w:val="00A20F5A"/>
    <w:rsid w:val="00A2105C"/>
    <w:rsid w:val="00A2112D"/>
    <w:rsid w:val="00A211A6"/>
    <w:rsid w:val="00A21211"/>
    <w:rsid w:val="00A212C2"/>
    <w:rsid w:val="00A21427"/>
    <w:rsid w:val="00A2144B"/>
    <w:rsid w:val="00A21484"/>
    <w:rsid w:val="00A214F6"/>
    <w:rsid w:val="00A21585"/>
    <w:rsid w:val="00A215FD"/>
    <w:rsid w:val="00A2160B"/>
    <w:rsid w:val="00A21656"/>
    <w:rsid w:val="00A21762"/>
    <w:rsid w:val="00A21823"/>
    <w:rsid w:val="00A2183B"/>
    <w:rsid w:val="00A218A6"/>
    <w:rsid w:val="00A2197F"/>
    <w:rsid w:val="00A21A5B"/>
    <w:rsid w:val="00A21A6F"/>
    <w:rsid w:val="00A21AE6"/>
    <w:rsid w:val="00A21B06"/>
    <w:rsid w:val="00A21B87"/>
    <w:rsid w:val="00A21E28"/>
    <w:rsid w:val="00A21F91"/>
    <w:rsid w:val="00A2202D"/>
    <w:rsid w:val="00A220BC"/>
    <w:rsid w:val="00A220F4"/>
    <w:rsid w:val="00A2222A"/>
    <w:rsid w:val="00A222E5"/>
    <w:rsid w:val="00A22331"/>
    <w:rsid w:val="00A223AA"/>
    <w:rsid w:val="00A223B4"/>
    <w:rsid w:val="00A22605"/>
    <w:rsid w:val="00A22613"/>
    <w:rsid w:val="00A22647"/>
    <w:rsid w:val="00A22896"/>
    <w:rsid w:val="00A228AD"/>
    <w:rsid w:val="00A228EB"/>
    <w:rsid w:val="00A229C5"/>
    <w:rsid w:val="00A22B9D"/>
    <w:rsid w:val="00A22BD7"/>
    <w:rsid w:val="00A22C25"/>
    <w:rsid w:val="00A22CAA"/>
    <w:rsid w:val="00A22CDE"/>
    <w:rsid w:val="00A22D0F"/>
    <w:rsid w:val="00A22D18"/>
    <w:rsid w:val="00A22DB2"/>
    <w:rsid w:val="00A22E7F"/>
    <w:rsid w:val="00A22EF0"/>
    <w:rsid w:val="00A22F8C"/>
    <w:rsid w:val="00A2305A"/>
    <w:rsid w:val="00A2306E"/>
    <w:rsid w:val="00A230B8"/>
    <w:rsid w:val="00A2318E"/>
    <w:rsid w:val="00A231CA"/>
    <w:rsid w:val="00A2320C"/>
    <w:rsid w:val="00A23240"/>
    <w:rsid w:val="00A23359"/>
    <w:rsid w:val="00A2346F"/>
    <w:rsid w:val="00A235F7"/>
    <w:rsid w:val="00A235F9"/>
    <w:rsid w:val="00A237E4"/>
    <w:rsid w:val="00A23801"/>
    <w:rsid w:val="00A23833"/>
    <w:rsid w:val="00A23842"/>
    <w:rsid w:val="00A23A76"/>
    <w:rsid w:val="00A23AC4"/>
    <w:rsid w:val="00A23BDC"/>
    <w:rsid w:val="00A23C0C"/>
    <w:rsid w:val="00A23E29"/>
    <w:rsid w:val="00A23E9E"/>
    <w:rsid w:val="00A23ED3"/>
    <w:rsid w:val="00A23F0D"/>
    <w:rsid w:val="00A23F5E"/>
    <w:rsid w:val="00A24115"/>
    <w:rsid w:val="00A2418A"/>
    <w:rsid w:val="00A24335"/>
    <w:rsid w:val="00A2437F"/>
    <w:rsid w:val="00A24557"/>
    <w:rsid w:val="00A2482D"/>
    <w:rsid w:val="00A2489B"/>
    <w:rsid w:val="00A24920"/>
    <w:rsid w:val="00A24AEF"/>
    <w:rsid w:val="00A24BBE"/>
    <w:rsid w:val="00A24D9D"/>
    <w:rsid w:val="00A24F15"/>
    <w:rsid w:val="00A24FE3"/>
    <w:rsid w:val="00A25057"/>
    <w:rsid w:val="00A2511D"/>
    <w:rsid w:val="00A251F5"/>
    <w:rsid w:val="00A252AF"/>
    <w:rsid w:val="00A254BD"/>
    <w:rsid w:val="00A254E1"/>
    <w:rsid w:val="00A254FA"/>
    <w:rsid w:val="00A2556F"/>
    <w:rsid w:val="00A2580B"/>
    <w:rsid w:val="00A25847"/>
    <w:rsid w:val="00A2589F"/>
    <w:rsid w:val="00A258A0"/>
    <w:rsid w:val="00A258D3"/>
    <w:rsid w:val="00A25998"/>
    <w:rsid w:val="00A259B1"/>
    <w:rsid w:val="00A25AB0"/>
    <w:rsid w:val="00A25B01"/>
    <w:rsid w:val="00A25B72"/>
    <w:rsid w:val="00A25C87"/>
    <w:rsid w:val="00A25CCD"/>
    <w:rsid w:val="00A25D01"/>
    <w:rsid w:val="00A25DDA"/>
    <w:rsid w:val="00A25EF4"/>
    <w:rsid w:val="00A25FB2"/>
    <w:rsid w:val="00A2619E"/>
    <w:rsid w:val="00A261D7"/>
    <w:rsid w:val="00A262D0"/>
    <w:rsid w:val="00A2632A"/>
    <w:rsid w:val="00A2642E"/>
    <w:rsid w:val="00A2653E"/>
    <w:rsid w:val="00A26583"/>
    <w:rsid w:val="00A266AF"/>
    <w:rsid w:val="00A26700"/>
    <w:rsid w:val="00A267AE"/>
    <w:rsid w:val="00A26898"/>
    <w:rsid w:val="00A268BC"/>
    <w:rsid w:val="00A26916"/>
    <w:rsid w:val="00A2696A"/>
    <w:rsid w:val="00A26975"/>
    <w:rsid w:val="00A26A8B"/>
    <w:rsid w:val="00A26BD4"/>
    <w:rsid w:val="00A26C31"/>
    <w:rsid w:val="00A26CE3"/>
    <w:rsid w:val="00A26D18"/>
    <w:rsid w:val="00A27012"/>
    <w:rsid w:val="00A2726A"/>
    <w:rsid w:val="00A2730E"/>
    <w:rsid w:val="00A27442"/>
    <w:rsid w:val="00A2744F"/>
    <w:rsid w:val="00A274DD"/>
    <w:rsid w:val="00A275A9"/>
    <w:rsid w:val="00A277A1"/>
    <w:rsid w:val="00A277A4"/>
    <w:rsid w:val="00A27CAC"/>
    <w:rsid w:val="00A27D82"/>
    <w:rsid w:val="00A27DBA"/>
    <w:rsid w:val="00A27E0C"/>
    <w:rsid w:val="00A27FD5"/>
    <w:rsid w:val="00A27FFB"/>
    <w:rsid w:val="00A300EC"/>
    <w:rsid w:val="00A301D1"/>
    <w:rsid w:val="00A30330"/>
    <w:rsid w:val="00A30433"/>
    <w:rsid w:val="00A30488"/>
    <w:rsid w:val="00A304C1"/>
    <w:rsid w:val="00A30658"/>
    <w:rsid w:val="00A30780"/>
    <w:rsid w:val="00A3086F"/>
    <w:rsid w:val="00A309EE"/>
    <w:rsid w:val="00A30A69"/>
    <w:rsid w:val="00A30B82"/>
    <w:rsid w:val="00A30BAB"/>
    <w:rsid w:val="00A30D87"/>
    <w:rsid w:val="00A30F22"/>
    <w:rsid w:val="00A310D4"/>
    <w:rsid w:val="00A310DC"/>
    <w:rsid w:val="00A31128"/>
    <w:rsid w:val="00A311A2"/>
    <w:rsid w:val="00A3122C"/>
    <w:rsid w:val="00A31317"/>
    <w:rsid w:val="00A313A6"/>
    <w:rsid w:val="00A313E3"/>
    <w:rsid w:val="00A31442"/>
    <w:rsid w:val="00A315E8"/>
    <w:rsid w:val="00A3166C"/>
    <w:rsid w:val="00A3169C"/>
    <w:rsid w:val="00A3172F"/>
    <w:rsid w:val="00A31740"/>
    <w:rsid w:val="00A317FD"/>
    <w:rsid w:val="00A31805"/>
    <w:rsid w:val="00A31838"/>
    <w:rsid w:val="00A318CF"/>
    <w:rsid w:val="00A31914"/>
    <w:rsid w:val="00A31A7A"/>
    <w:rsid w:val="00A31A82"/>
    <w:rsid w:val="00A31AD2"/>
    <w:rsid w:val="00A31B87"/>
    <w:rsid w:val="00A31C16"/>
    <w:rsid w:val="00A31C75"/>
    <w:rsid w:val="00A31D51"/>
    <w:rsid w:val="00A31D5B"/>
    <w:rsid w:val="00A31D5C"/>
    <w:rsid w:val="00A31E42"/>
    <w:rsid w:val="00A31ECC"/>
    <w:rsid w:val="00A31FAD"/>
    <w:rsid w:val="00A32097"/>
    <w:rsid w:val="00A32158"/>
    <w:rsid w:val="00A3228F"/>
    <w:rsid w:val="00A323BD"/>
    <w:rsid w:val="00A324AB"/>
    <w:rsid w:val="00A324DD"/>
    <w:rsid w:val="00A324F5"/>
    <w:rsid w:val="00A324FB"/>
    <w:rsid w:val="00A3251A"/>
    <w:rsid w:val="00A3255E"/>
    <w:rsid w:val="00A327D2"/>
    <w:rsid w:val="00A327F8"/>
    <w:rsid w:val="00A327FE"/>
    <w:rsid w:val="00A32920"/>
    <w:rsid w:val="00A329A1"/>
    <w:rsid w:val="00A32A1B"/>
    <w:rsid w:val="00A32B95"/>
    <w:rsid w:val="00A32C7A"/>
    <w:rsid w:val="00A32D3F"/>
    <w:rsid w:val="00A32D41"/>
    <w:rsid w:val="00A3302B"/>
    <w:rsid w:val="00A33057"/>
    <w:rsid w:val="00A330D4"/>
    <w:rsid w:val="00A33232"/>
    <w:rsid w:val="00A334F8"/>
    <w:rsid w:val="00A3355A"/>
    <w:rsid w:val="00A3356F"/>
    <w:rsid w:val="00A335BB"/>
    <w:rsid w:val="00A335F2"/>
    <w:rsid w:val="00A337FB"/>
    <w:rsid w:val="00A33965"/>
    <w:rsid w:val="00A33A0C"/>
    <w:rsid w:val="00A33BC2"/>
    <w:rsid w:val="00A33C93"/>
    <w:rsid w:val="00A33D6B"/>
    <w:rsid w:val="00A34195"/>
    <w:rsid w:val="00A34307"/>
    <w:rsid w:val="00A3432F"/>
    <w:rsid w:val="00A3436C"/>
    <w:rsid w:val="00A346E9"/>
    <w:rsid w:val="00A34734"/>
    <w:rsid w:val="00A34894"/>
    <w:rsid w:val="00A3489D"/>
    <w:rsid w:val="00A34920"/>
    <w:rsid w:val="00A34948"/>
    <w:rsid w:val="00A34A19"/>
    <w:rsid w:val="00A34A32"/>
    <w:rsid w:val="00A34A4B"/>
    <w:rsid w:val="00A34CB1"/>
    <w:rsid w:val="00A34D52"/>
    <w:rsid w:val="00A34DE0"/>
    <w:rsid w:val="00A34EBB"/>
    <w:rsid w:val="00A34F44"/>
    <w:rsid w:val="00A34F5D"/>
    <w:rsid w:val="00A34FF2"/>
    <w:rsid w:val="00A35063"/>
    <w:rsid w:val="00A351A5"/>
    <w:rsid w:val="00A352B2"/>
    <w:rsid w:val="00A352D2"/>
    <w:rsid w:val="00A35342"/>
    <w:rsid w:val="00A3550B"/>
    <w:rsid w:val="00A3551C"/>
    <w:rsid w:val="00A355CA"/>
    <w:rsid w:val="00A35726"/>
    <w:rsid w:val="00A35983"/>
    <w:rsid w:val="00A35A2E"/>
    <w:rsid w:val="00A35A71"/>
    <w:rsid w:val="00A35BCE"/>
    <w:rsid w:val="00A35BEB"/>
    <w:rsid w:val="00A35DA5"/>
    <w:rsid w:val="00A35E8B"/>
    <w:rsid w:val="00A35EB0"/>
    <w:rsid w:val="00A35F6F"/>
    <w:rsid w:val="00A36116"/>
    <w:rsid w:val="00A3619A"/>
    <w:rsid w:val="00A361C8"/>
    <w:rsid w:val="00A36257"/>
    <w:rsid w:val="00A362A8"/>
    <w:rsid w:val="00A36397"/>
    <w:rsid w:val="00A36434"/>
    <w:rsid w:val="00A364B8"/>
    <w:rsid w:val="00A365BA"/>
    <w:rsid w:val="00A3662E"/>
    <w:rsid w:val="00A3667E"/>
    <w:rsid w:val="00A366B0"/>
    <w:rsid w:val="00A3682D"/>
    <w:rsid w:val="00A368F8"/>
    <w:rsid w:val="00A36958"/>
    <w:rsid w:val="00A369E2"/>
    <w:rsid w:val="00A36B35"/>
    <w:rsid w:val="00A36B78"/>
    <w:rsid w:val="00A36BC4"/>
    <w:rsid w:val="00A36C0E"/>
    <w:rsid w:val="00A36C10"/>
    <w:rsid w:val="00A36D3E"/>
    <w:rsid w:val="00A36D97"/>
    <w:rsid w:val="00A36DB9"/>
    <w:rsid w:val="00A36EA7"/>
    <w:rsid w:val="00A36FC5"/>
    <w:rsid w:val="00A37031"/>
    <w:rsid w:val="00A37141"/>
    <w:rsid w:val="00A372C6"/>
    <w:rsid w:val="00A372CE"/>
    <w:rsid w:val="00A37454"/>
    <w:rsid w:val="00A3759E"/>
    <w:rsid w:val="00A37624"/>
    <w:rsid w:val="00A376AB"/>
    <w:rsid w:val="00A3773C"/>
    <w:rsid w:val="00A37A72"/>
    <w:rsid w:val="00A37AA4"/>
    <w:rsid w:val="00A37B00"/>
    <w:rsid w:val="00A37BE7"/>
    <w:rsid w:val="00A37C3E"/>
    <w:rsid w:val="00A37C52"/>
    <w:rsid w:val="00A37D91"/>
    <w:rsid w:val="00A37DE5"/>
    <w:rsid w:val="00A40050"/>
    <w:rsid w:val="00A4005E"/>
    <w:rsid w:val="00A40196"/>
    <w:rsid w:val="00A402F8"/>
    <w:rsid w:val="00A403BF"/>
    <w:rsid w:val="00A404AC"/>
    <w:rsid w:val="00A405F1"/>
    <w:rsid w:val="00A4073B"/>
    <w:rsid w:val="00A407AE"/>
    <w:rsid w:val="00A407B1"/>
    <w:rsid w:val="00A407B2"/>
    <w:rsid w:val="00A4089F"/>
    <w:rsid w:val="00A40926"/>
    <w:rsid w:val="00A40944"/>
    <w:rsid w:val="00A4096D"/>
    <w:rsid w:val="00A409E5"/>
    <w:rsid w:val="00A40A17"/>
    <w:rsid w:val="00A40A5D"/>
    <w:rsid w:val="00A40A79"/>
    <w:rsid w:val="00A40AE0"/>
    <w:rsid w:val="00A40B49"/>
    <w:rsid w:val="00A40C17"/>
    <w:rsid w:val="00A40C6A"/>
    <w:rsid w:val="00A40CED"/>
    <w:rsid w:val="00A40D71"/>
    <w:rsid w:val="00A40D87"/>
    <w:rsid w:val="00A40D9C"/>
    <w:rsid w:val="00A40E2D"/>
    <w:rsid w:val="00A40FCD"/>
    <w:rsid w:val="00A410B0"/>
    <w:rsid w:val="00A41308"/>
    <w:rsid w:val="00A4130D"/>
    <w:rsid w:val="00A41343"/>
    <w:rsid w:val="00A41344"/>
    <w:rsid w:val="00A414A8"/>
    <w:rsid w:val="00A41717"/>
    <w:rsid w:val="00A417CA"/>
    <w:rsid w:val="00A41888"/>
    <w:rsid w:val="00A41BF7"/>
    <w:rsid w:val="00A41C37"/>
    <w:rsid w:val="00A41D59"/>
    <w:rsid w:val="00A41DB1"/>
    <w:rsid w:val="00A41E0C"/>
    <w:rsid w:val="00A41F97"/>
    <w:rsid w:val="00A41F9A"/>
    <w:rsid w:val="00A4203C"/>
    <w:rsid w:val="00A420C8"/>
    <w:rsid w:val="00A4211C"/>
    <w:rsid w:val="00A421DD"/>
    <w:rsid w:val="00A4236E"/>
    <w:rsid w:val="00A423A3"/>
    <w:rsid w:val="00A423CF"/>
    <w:rsid w:val="00A423D6"/>
    <w:rsid w:val="00A423D9"/>
    <w:rsid w:val="00A4242F"/>
    <w:rsid w:val="00A42565"/>
    <w:rsid w:val="00A4256E"/>
    <w:rsid w:val="00A425FB"/>
    <w:rsid w:val="00A42676"/>
    <w:rsid w:val="00A4267F"/>
    <w:rsid w:val="00A426EC"/>
    <w:rsid w:val="00A426F1"/>
    <w:rsid w:val="00A42781"/>
    <w:rsid w:val="00A4284F"/>
    <w:rsid w:val="00A42BAF"/>
    <w:rsid w:val="00A42C13"/>
    <w:rsid w:val="00A42CDD"/>
    <w:rsid w:val="00A42DF2"/>
    <w:rsid w:val="00A42EE2"/>
    <w:rsid w:val="00A42F49"/>
    <w:rsid w:val="00A4300F"/>
    <w:rsid w:val="00A430E4"/>
    <w:rsid w:val="00A43123"/>
    <w:rsid w:val="00A431DA"/>
    <w:rsid w:val="00A433A2"/>
    <w:rsid w:val="00A433FD"/>
    <w:rsid w:val="00A4342E"/>
    <w:rsid w:val="00A435F1"/>
    <w:rsid w:val="00A4366C"/>
    <w:rsid w:val="00A43677"/>
    <w:rsid w:val="00A436E6"/>
    <w:rsid w:val="00A437A8"/>
    <w:rsid w:val="00A4380E"/>
    <w:rsid w:val="00A43A7C"/>
    <w:rsid w:val="00A43B4E"/>
    <w:rsid w:val="00A43C65"/>
    <w:rsid w:val="00A43ECE"/>
    <w:rsid w:val="00A43F59"/>
    <w:rsid w:val="00A440FB"/>
    <w:rsid w:val="00A4414D"/>
    <w:rsid w:val="00A44389"/>
    <w:rsid w:val="00A4438C"/>
    <w:rsid w:val="00A44487"/>
    <w:rsid w:val="00A444FC"/>
    <w:rsid w:val="00A444FD"/>
    <w:rsid w:val="00A44577"/>
    <w:rsid w:val="00A44639"/>
    <w:rsid w:val="00A446BE"/>
    <w:rsid w:val="00A446F5"/>
    <w:rsid w:val="00A44719"/>
    <w:rsid w:val="00A44763"/>
    <w:rsid w:val="00A44901"/>
    <w:rsid w:val="00A4498A"/>
    <w:rsid w:val="00A44B36"/>
    <w:rsid w:val="00A44C04"/>
    <w:rsid w:val="00A44C14"/>
    <w:rsid w:val="00A44EF5"/>
    <w:rsid w:val="00A44FCA"/>
    <w:rsid w:val="00A45119"/>
    <w:rsid w:val="00A45131"/>
    <w:rsid w:val="00A452A8"/>
    <w:rsid w:val="00A452D1"/>
    <w:rsid w:val="00A45382"/>
    <w:rsid w:val="00A45635"/>
    <w:rsid w:val="00A4585A"/>
    <w:rsid w:val="00A45868"/>
    <w:rsid w:val="00A458E6"/>
    <w:rsid w:val="00A459D5"/>
    <w:rsid w:val="00A45A84"/>
    <w:rsid w:val="00A45B15"/>
    <w:rsid w:val="00A45D25"/>
    <w:rsid w:val="00A45ED1"/>
    <w:rsid w:val="00A45FDA"/>
    <w:rsid w:val="00A4601F"/>
    <w:rsid w:val="00A46076"/>
    <w:rsid w:val="00A4607E"/>
    <w:rsid w:val="00A46288"/>
    <w:rsid w:val="00A462BE"/>
    <w:rsid w:val="00A462E8"/>
    <w:rsid w:val="00A4647B"/>
    <w:rsid w:val="00A464B9"/>
    <w:rsid w:val="00A4655D"/>
    <w:rsid w:val="00A465FF"/>
    <w:rsid w:val="00A46A40"/>
    <w:rsid w:val="00A46DC3"/>
    <w:rsid w:val="00A46DE4"/>
    <w:rsid w:val="00A46DF0"/>
    <w:rsid w:val="00A46EAE"/>
    <w:rsid w:val="00A46EDD"/>
    <w:rsid w:val="00A46F6F"/>
    <w:rsid w:val="00A47036"/>
    <w:rsid w:val="00A4705A"/>
    <w:rsid w:val="00A470E7"/>
    <w:rsid w:val="00A47164"/>
    <w:rsid w:val="00A47294"/>
    <w:rsid w:val="00A4732C"/>
    <w:rsid w:val="00A47379"/>
    <w:rsid w:val="00A473E7"/>
    <w:rsid w:val="00A474AE"/>
    <w:rsid w:val="00A474C7"/>
    <w:rsid w:val="00A47582"/>
    <w:rsid w:val="00A475E7"/>
    <w:rsid w:val="00A47681"/>
    <w:rsid w:val="00A476DA"/>
    <w:rsid w:val="00A476F2"/>
    <w:rsid w:val="00A4776A"/>
    <w:rsid w:val="00A47956"/>
    <w:rsid w:val="00A4798B"/>
    <w:rsid w:val="00A47998"/>
    <w:rsid w:val="00A47A32"/>
    <w:rsid w:val="00A47ACC"/>
    <w:rsid w:val="00A47BA4"/>
    <w:rsid w:val="00A50090"/>
    <w:rsid w:val="00A500DF"/>
    <w:rsid w:val="00A501A2"/>
    <w:rsid w:val="00A501BE"/>
    <w:rsid w:val="00A50331"/>
    <w:rsid w:val="00A50359"/>
    <w:rsid w:val="00A50367"/>
    <w:rsid w:val="00A50378"/>
    <w:rsid w:val="00A5041D"/>
    <w:rsid w:val="00A50644"/>
    <w:rsid w:val="00A506A2"/>
    <w:rsid w:val="00A50741"/>
    <w:rsid w:val="00A507BB"/>
    <w:rsid w:val="00A50813"/>
    <w:rsid w:val="00A5093D"/>
    <w:rsid w:val="00A50986"/>
    <w:rsid w:val="00A50996"/>
    <w:rsid w:val="00A50A7D"/>
    <w:rsid w:val="00A50BDD"/>
    <w:rsid w:val="00A50C70"/>
    <w:rsid w:val="00A50CDC"/>
    <w:rsid w:val="00A50CE7"/>
    <w:rsid w:val="00A50D2A"/>
    <w:rsid w:val="00A50E11"/>
    <w:rsid w:val="00A51162"/>
    <w:rsid w:val="00A51260"/>
    <w:rsid w:val="00A512DF"/>
    <w:rsid w:val="00A512E6"/>
    <w:rsid w:val="00A513A2"/>
    <w:rsid w:val="00A51497"/>
    <w:rsid w:val="00A514B7"/>
    <w:rsid w:val="00A51518"/>
    <w:rsid w:val="00A51563"/>
    <w:rsid w:val="00A516C3"/>
    <w:rsid w:val="00A516E0"/>
    <w:rsid w:val="00A51745"/>
    <w:rsid w:val="00A51833"/>
    <w:rsid w:val="00A518BD"/>
    <w:rsid w:val="00A5193E"/>
    <w:rsid w:val="00A519A7"/>
    <w:rsid w:val="00A519BE"/>
    <w:rsid w:val="00A51C51"/>
    <w:rsid w:val="00A51CCA"/>
    <w:rsid w:val="00A51D08"/>
    <w:rsid w:val="00A51F0D"/>
    <w:rsid w:val="00A520FC"/>
    <w:rsid w:val="00A52332"/>
    <w:rsid w:val="00A5235A"/>
    <w:rsid w:val="00A5251A"/>
    <w:rsid w:val="00A526BE"/>
    <w:rsid w:val="00A526D4"/>
    <w:rsid w:val="00A526FE"/>
    <w:rsid w:val="00A52933"/>
    <w:rsid w:val="00A52959"/>
    <w:rsid w:val="00A52B08"/>
    <w:rsid w:val="00A52B85"/>
    <w:rsid w:val="00A52BA5"/>
    <w:rsid w:val="00A52BF5"/>
    <w:rsid w:val="00A52C35"/>
    <w:rsid w:val="00A52C5D"/>
    <w:rsid w:val="00A52C97"/>
    <w:rsid w:val="00A52CC4"/>
    <w:rsid w:val="00A5307A"/>
    <w:rsid w:val="00A530BC"/>
    <w:rsid w:val="00A53234"/>
    <w:rsid w:val="00A533BE"/>
    <w:rsid w:val="00A53563"/>
    <w:rsid w:val="00A535B6"/>
    <w:rsid w:val="00A535F6"/>
    <w:rsid w:val="00A53795"/>
    <w:rsid w:val="00A53856"/>
    <w:rsid w:val="00A5389F"/>
    <w:rsid w:val="00A53A11"/>
    <w:rsid w:val="00A53A2F"/>
    <w:rsid w:val="00A53A8E"/>
    <w:rsid w:val="00A53A99"/>
    <w:rsid w:val="00A53ABC"/>
    <w:rsid w:val="00A53BA8"/>
    <w:rsid w:val="00A53C53"/>
    <w:rsid w:val="00A53C5E"/>
    <w:rsid w:val="00A53CC2"/>
    <w:rsid w:val="00A53E18"/>
    <w:rsid w:val="00A53FFB"/>
    <w:rsid w:val="00A540F3"/>
    <w:rsid w:val="00A54199"/>
    <w:rsid w:val="00A541A3"/>
    <w:rsid w:val="00A542AB"/>
    <w:rsid w:val="00A542F8"/>
    <w:rsid w:val="00A543F5"/>
    <w:rsid w:val="00A543FA"/>
    <w:rsid w:val="00A5442C"/>
    <w:rsid w:val="00A54566"/>
    <w:rsid w:val="00A54671"/>
    <w:rsid w:val="00A5469A"/>
    <w:rsid w:val="00A547A6"/>
    <w:rsid w:val="00A54A56"/>
    <w:rsid w:val="00A54AB7"/>
    <w:rsid w:val="00A54B96"/>
    <w:rsid w:val="00A54BEE"/>
    <w:rsid w:val="00A54C7D"/>
    <w:rsid w:val="00A54D4E"/>
    <w:rsid w:val="00A54DCD"/>
    <w:rsid w:val="00A54F37"/>
    <w:rsid w:val="00A54F38"/>
    <w:rsid w:val="00A54F6C"/>
    <w:rsid w:val="00A550DD"/>
    <w:rsid w:val="00A551A0"/>
    <w:rsid w:val="00A5526B"/>
    <w:rsid w:val="00A5527B"/>
    <w:rsid w:val="00A55302"/>
    <w:rsid w:val="00A55358"/>
    <w:rsid w:val="00A55495"/>
    <w:rsid w:val="00A55520"/>
    <w:rsid w:val="00A5555C"/>
    <w:rsid w:val="00A556B8"/>
    <w:rsid w:val="00A557DD"/>
    <w:rsid w:val="00A55816"/>
    <w:rsid w:val="00A55827"/>
    <w:rsid w:val="00A558DC"/>
    <w:rsid w:val="00A55A22"/>
    <w:rsid w:val="00A55A6D"/>
    <w:rsid w:val="00A55AA1"/>
    <w:rsid w:val="00A55AF5"/>
    <w:rsid w:val="00A55B2B"/>
    <w:rsid w:val="00A55CCE"/>
    <w:rsid w:val="00A55DC9"/>
    <w:rsid w:val="00A55E37"/>
    <w:rsid w:val="00A55F85"/>
    <w:rsid w:val="00A561D4"/>
    <w:rsid w:val="00A56216"/>
    <w:rsid w:val="00A563CF"/>
    <w:rsid w:val="00A5663D"/>
    <w:rsid w:val="00A56845"/>
    <w:rsid w:val="00A5692B"/>
    <w:rsid w:val="00A5696E"/>
    <w:rsid w:val="00A56B42"/>
    <w:rsid w:val="00A56D19"/>
    <w:rsid w:val="00A56D85"/>
    <w:rsid w:val="00A56F27"/>
    <w:rsid w:val="00A5723A"/>
    <w:rsid w:val="00A5726A"/>
    <w:rsid w:val="00A57274"/>
    <w:rsid w:val="00A5744C"/>
    <w:rsid w:val="00A574D2"/>
    <w:rsid w:val="00A57583"/>
    <w:rsid w:val="00A57635"/>
    <w:rsid w:val="00A577AA"/>
    <w:rsid w:val="00A577CA"/>
    <w:rsid w:val="00A57A44"/>
    <w:rsid w:val="00A57ACE"/>
    <w:rsid w:val="00A57AE3"/>
    <w:rsid w:val="00A57BC2"/>
    <w:rsid w:val="00A57CE8"/>
    <w:rsid w:val="00A57D91"/>
    <w:rsid w:val="00A57E76"/>
    <w:rsid w:val="00A57FC4"/>
    <w:rsid w:val="00A60082"/>
    <w:rsid w:val="00A600FE"/>
    <w:rsid w:val="00A60104"/>
    <w:rsid w:val="00A60128"/>
    <w:rsid w:val="00A60220"/>
    <w:rsid w:val="00A60239"/>
    <w:rsid w:val="00A6032A"/>
    <w:rsid w:val="00A60435"/>
    <w:rsid w:val="00A60497"/>
    <w:rsid w:val="00A604D9"/>
    <w:rsid w:val="00A6054B"/>
    <w:rsid w:val="00A6054F"/>
    <w:rsid w:val="00A6072D"/>
    <w:rsid w:val="00A60794"/>
    <w:rsid w:val="00A6099D"/>
    <w:rsid w:val="00A60A32"/>
    <w:rsid w:val="00A60A7B"/>
    <w:rsid w:val="00A60B07"/>
    <w:rsid w:val="00A60C6E"/>
    <w:rsid w:val="00A60C7D"/>
    <w:rsid w:val="00A60CDD"/>
    <w:rsid w:val="00A60D98"/>
    <w:rsid w:val="00A60E3E"/>
    <w:rsid w:val="00A60E62"/>
    <w:rsid w:val="00A61107"/>
    <w:rsid w:val="00A61128"/>
    <w:rsid w:val="00A611F2"/>
    <w:rsid w:val="00A6132A"/>
    <w:rsid w:val="00A613E3"/>
    <w:rsid w:val="00A6142D"/>
    <w:rsid w:val="00A6158A"/>
    <w:rsid w:val="00A616CC"/>
    <w:rsid w:val="00A618FC"/>
    <w:rsid w:val="00A61905"/>
    <w:rsid w:val="00A61A0A"/>
    <w:rsid w:val="00A61AC5"/>
    <w:rsid w:val="00A61AF9"/>
    <w:rsid w:val="00A61B59"/>
    <w:rsid w:val="00A61B7B"/>
    <w:rsid w:val="00A61C5C"/>
    <w:rsid w:val="00A61CE1"/>
    <w:rsid w:val="00A61CFB"/>
    <w:rsid w:val="00A61D0A"/>
    <w:rsid w:val="00A61E12"/>
    <w:rsid w:val="00A61E86"/>
    <w:rsid w:val="00A61ED1"/>
    <w:rsid w:val="00A6200D"/>
    <w:rsid w:val="00A6210A"/>
    <w:rsid w:val="00A621E9"/>
    <w:rsid w:val="00A62293"/>
    <w:rsid w:val="00A62332"/>
    <w:rsid w:val="00A6246B"/>
    <w:rsid w:val="00A62535"/>
    <w:rsid w:val="00A62589"/>
    <w:rsid w:val="00A625C5"/>
    <w:rsid w:val="00A62656"/>
    <w:rsid w:val="00A62776"/>
    <w:rsid w:val="00A6290C"/>
    <w:rsid w:val="00A62A42"/>
    <w:rsid w:val="00A62AB8"/>
    <w:rsid w:val="00A62BAB"/>
    <w:rsid w:val="00A62C15"/>
    <w:rsid w:val="00A62CDA"/>
    <w:rsid w:val="00A62D21"/>
    <w:rsid w:val="00A62D74"/>
    <w:rsid w:val="00A62DA1"/>
    <w:rsid w:val="00A62DE6"/>
    <w:rsid w:val="00A62E85"/>
    <w:rsid w:val="00A62ECA"/>
    <w:rsid w:val="00A62FF5"/>
    <w:rsid w:val="00A6308D"/>
    <w:rsid w:val="00A6309C"/>
    <w:rsid w:val="00A630BA"/>
    <w:rsid w:val="00A63150"/>
    <w:rsid w:val="00A631BE"/>
    <w:rsid w:val="00A6334B"/>
    <w:rsid w:val="00A63384"/>
    <w:rsid w:val="00A633F1"/>
    <w:rsid w:val="00A63455"/>
    <w:rsid w:val="00A637A5"/>
    <w:rsid w:val="00A637C8"/>
    <w:rsid w:val="00A6383B"/>
    <w:rsid w:val="00A6388A"/>
    <w:rsid w:val="00A63AA6"/>
    <w:rsid w:val="00A63ACF"/>
    <w:rsid w:val="00A63B54"/>
    <w:rsid w:val="00A63B55"/>
    <w:rsid w:val="00A63CA5"/>
    <w:rsid w:val="00A63D34"/>
    <w:rsid w:val="00A63ED2"/>
    <w:rsid w:val="00A63EDE"/>
    <w:rsid w:val="00A64172"/>
    <w:rsid w:val="00A64185"/>
    <w:rsid w:val="00A64370"/>
    <w:rsid w:val="00A643AF"/>
    <w:rsid w:val="00A643FC"/>
    <w:rsid w:val="00A644FE"/>
    <w:rsid w:val="00A64687"/>
    <w:rsid w:val="00A6472E"/>
    <w:rsid w:val="00A647FA"/>
    <w:rsid w:val="00A6480D"/>
    <w:rsid w:val="00A648A1"/>
    <w:rsid w:val="00A648F7"/>
    <w:rsid w:val="00A649B1"/>
    <w:rsid w:val="00A649FC"/>
    <w:rsid w:val="00A64A34"/>
    <w:rsid w:val="00A64A38"/>
    <w:rsid w:val="00A64C40"/>
    <w:rsid w:val="00A64CA6"/>
    <w:rsid w:val="00A64EBE"/>
    <w:rsid w:val="00A6510E"/>
    <w:rsid w:val="00A651B2"/>
    <w:rsid w:val="00A651C8"/>
    <w:rsid w:val="00A65231"/>
    <w:rsid w:val="00A653AC"/>
    <w:rsid w:val="00A65431"/>
    <w:rsid w:val="00A6548A"/>
    <w:rsid w:val="00A654CB"/>
    <w:rsid w:val="00A6551A"/>
    <w:rsid w:val="00A65679"/>
    <w:rsid w:val="00A656D5"/>
    <w:rsid w:val="00A65732"/>
    <w:rsid w:val="00A6586C"/>
    <w:rsid w:val="00A65975"/>
    <w:rsid w:val="00A659AF"/>
    <w:rsid w:val="00A65ACA"/>
    <w:rsid w:val="00A65D40"/>
    <w:rsid w:val="00A65E6F"/>
    <w:rsid w:val="00A660C0"/>
    <w:rsid w:val="00A660C1"/>
    <w:rsid w:val="00A6611F"/>
    <w:rsid w:val="00A661C6"/>
    <w:rsid w:val="00A6626A"/>
    <w:rsid w:val="00A662DD"/>
    <w:rsid w:val="00A663E1"/>
    <w:rsid w:val="00A663F7"/>
    <w:rsid w:val="00A66519"/>
    <w:rsid w:val="00A6672F"/>
    <w:rsid w:val="00A667D9"/>
    <w:rsid w:val="00A668B5"/>
    <w:rsid w:val="00A668D3"/>
    <w:rsid w:val="00A668E4"/>
    <w:rsid w:val="00A66921"/>
    <w:rsid w:val="00A66983"/>
    <w:rsid w:val="00A66AD9"/>
    <w:rsid w:val="00A66B24"/>
    <w:rsid w:val="00A66B8F"/>
    <w:rsid w:val="00A66BC7"/>
    <w:rsid w:val="00A66C88"/>
    <w:rsid w:val="00A66D07"/>
    <w:rsid w:val="00A66D1C"/>
    <w:rsid w:val="00A66D2E"/>
    <w:rsid w:val="00A66E14"/>
    <w:rsid w:val="00A66E2E"/>
    <w:rsid w:val="00A66E52"/>
    <w:rsid w:val="00A66F89"/>
    <w:rsid w:val="00A67054"/>
    <w:rsid w:val="00A67070"/>
    <w:rsid w:val="00A671B2"/>
    <w:rsid w:val="00A672CB"/>
    <w:rsid w:val="00A673AC"/>
    <w:rsid w:val="00A67838"/>
    <w:rsid w:val="00A67890"/>
    <w:rsid w:val="00A6798D"/>
    <w:rsid w:val="00A67998"/>
    <w:rsid w:val="00A67A1B"/>
    <w:rsid w:val="00A67A55"/>
    <w:rsid w:val="00A67A92"/>
    <w:rsid w:val="00A67ABD"/>
    <w:rsid w:val="00A67B63"/>
    <w:rsid w:val="00A67DDD"/>
    <w:rsid w:val="00A67E4F"/>
    <w:rsid w:val="00A67EDB"/>
    <w:rsid w:val="00A6F5AC"/>
    <w:rsid w:val="00A70098"/>
    <w:rsid w:val="00A700B0"/>
    <w:rsid w:val="00A70285"/>
    <w:rsid w:val="00A7038D"/>
    <w:rsid w:val="00A7047F"/>
    <w:rsid w:val="00A70719"/>
    <w:rsid w:val="00A7071C"/>
    <w:rsid w:val="00A70A2D"/>
    <w:rsid w:val="00A70A5E"/>
    <w:rsid w:val="00A70C04"/>
    <w:rsid w:val="00A70D8F"/>
    <w:rsid w:val="00A70DFC"/>
    <w:rsid w:val="00A70E70"/>
    <w:rsid w:val="00A71110"/>
    <w:rsid w:val="00A71236"/>
    <w:rsid w:val="00A71252"/>
    <w:rsid w:val="00A712BC"/>
    <w:rsid w:val="00A71330"/>
    <w:rsid w:val="00A71445"/>
    <w:rsid w:val="00A71474"/>
    <w:rsid w:val="00A7155B"/>
    <w:rsid w:val="00A71670"/>
    <w:rsid w:val="00A717AC"/>
    <w:rsid w:val="00A7181B"/>
    <w:rsid w:val="00A7184B"/>
    <w:rsid w:val="00A71A5F"/>
    <w:rsid w:val="00A71A6A"/>
    <w:rsid w:val="00A71AF0"/>
    <w:rsid w:val="00A71B26"/>
    <w:rsid w:val="00A71B88"/>
    <w:rsid w:val="00A71BC1"/>
    <w:rsid w:val="00A71BD7"/>
    <w:rsid w:val="00A71C5A"/>
    <w:rsid w:val="00A71D0A"/>
    <w:rsid w:val="00A71E59"/>
    <w:rsid w:val="00A71E82"/>
    <w:rsid w:val="00A71EBC"/>
    <w:rsid w:val="00A71ECA"/>
    <w:rsid w:val="00A71F6A"/>
    <w:rsid w:val="00A7221D"/>
    <w:rsid w:val="00A7231F"/>
    <w:rsid w:val="00A723FF"/>
    <w:rsid w:val="00A72420"/>
    <w:rsid w:val="00A72495"/>
    <w:rsid w:val="00A72501"/>
    <w:rsid w:val="00A72510"/>
    <w:rsid w:val="00A72514"/>
    <w:rsid w:val="00A725A8"/>
    <w:rsid w:val="00A72677"/>
    <w:rsid w:val="00A726FE"/>
    <w:rsid w:val="00A727AE"/>
    <w:rsid w:val="00A72838"/>
    <w:rsid w:val="00A7297D"/>
    <w:rsid w:val="00A729AD"/>
    <w:rsid w:val="00A729FB"/>
    <w:rsid w:val="00A72A3E"/>
    <w:rsid w:val="00A72E49"/>
    <w:rsid w:val="00A72E61"/>
    <w:rsid w:val="00A73060"/>
    <w:rsid w:val="00A7312E"/>
    <w:rsid w:val="00A73176"/>
    <w:rsid w:val="00A73320"/>
    <w:rsid w:val="00A73363"/>
    <w:rsid w:val="00A7352E"/>
    <w:rsid w:val="00A73597"/>
    <w:rsid w:val="00A73665"/>
    <w:rsid w:val="00A7370E"/>
    <w:rsid w:val="00A73713"/>
    <w:rsid w:val="00A73746"/>
    <w:rsid w:val="00A7379F"/>
    <w:rsid w:val="00A73802"/>
    <w:rsid w:val="00A73A33"/>
    <w:rsid w:val="00A73B1C"/>
    <w:rsid w:val="00A73B90"/>
    <w:rsid w:val="00A73BB3"/>
    <w:rsid w:val="00A73CE9"/>
    <w:rsid w:val="00A73CF0"/>
    <w:rsid w:val="00A73DFA"/>
    <w:rsid w:val="00A740CE"/>
    <w:rsid w:val="00A741E7"/>
    <w:rsid w:val="00A741F2"/>
    <w:rsid w:val="00A74272"/>
    <w:rsid w:val="00A74423"/>
    <w:rsid w:val="00A745F8"/>
    <w:rsid w:val="00A74686"/>
    <w:rsid w:val="00A74692"/>
    <w:rsid w:val="00A746AB"/>
    <w:rsid w:val="00A74765"/>
    <w:rsid w:val="00A747FB"/>
    <w:rsid w:val="00A74812"/>
    <w:rsid w:val="00A74840"/>
    <w:rsid w:val="00A74C7F"/>
    <w:rsid w:val="00A74CB1"/>
    <w:rsid w:val="00A74D6F"/>
    <w:rsid w:val="00A74DE8"/>
    <w:rsid w:val="00A74EB3"/>
    <w:rsid w:val="00A74EBA"/>
    <w:rsid w:val="00A74F98"/>
    <w:rsid w:val="00A74FAB"/>
    <w:rsid w:val="00A750C0"/>
    <w:rsid w:val="00A75242"/>
    <w:rsid w:val="00A7527F"/>
    <w:rsid w:val="00A752D9"/>
    <w:rsid w:val="00A7545C"/>
    <w:rsid w:val="00A75598"/>
    <w:rsid w:val="00A755F9"/>
    <w:rsid w:val="00A7567F"/>
    <w:rsid w:val="00A756A4"/>
    <w:rsid w:val="00A75795"/>
    <w:rsid w:val="00A759BF"/>
    <w:rsid w:val="00A75A5D"/>
    <w:rsid w:val="00A75BB7"/>
    <w:rsid w:val="00A75BF6"/>
    <w:rsid w:val="00A75C38"/>
    <w:rsid w:val="00A75EC5"/>
    <w:rsid w:val="00A75F09"/>
    <w:rsid w:val="00A76017"/>
    <w:rsid w:val="00A760D5"/>
    <w:rsid w:val="00A76204"/>
    <w:rsid w:val="00A76338"/>
    <w:rsid w:val="00A764BE"/>
    <w:rsid w:val="00A76512"/>
    <w:rsid w:val="00A76541"/>
    <w:rsid w:val="00A765A2"/>
    <w:rsid w:val="00A76622"/>
    <w:rsid w:val="00A76679"/>
    <w:rsid w:val="00A766E9"/>
    <w:rsid w:val="00A76729"/>
    <w:rsid w:val="00A76772"/>
    <w:rsid w:val="00A769BA"/>
    <w:rsid w:val="00A769D7"/>
    <w:rsid w:val="00A76A0B"/>
    <w:rsid w:val="00A76A1C"/>
    <w:rsid w:val="00A76A7E"/>
    <w:rsid w:val="00A76AD4"/>
    <w:rsid w:val="00A76B59"/>
    <w:rsid w:val="00A76BB7"/>
    <w:rsid w:val="00A76BBC"/>
    <w:rsid w:val="00A76BE8"/>
    <w:rsid w:val="00A76BF6"/>
    <w:rsid w:val="00A76D52"/>
    <w:rsid w:val="00A76EA4"/>
    <w:rsid w:val="00A76EC3"/>
    <w:rsid w:val="00A76F1F"/>
    <w:rsid w:val="00A76F48"/>
    <w:rsid w:val="00A76F6C"/>
    <w:rsid w:val="00A76F7A"/>
    <w:rsid w:val="00A77013"/>
    <w:rsid w:val="00A77081"/>
    <w:rsid w:val="00A77261"/>
    <w:rsid w:val="00A7731F"/>
    <w:rsid w:val="00A77419"/>
    <w:rsid w:val="00A77528"/>
    <w:rsid w:val="00A7760C"/>
    <w:rsid w:val="00A7767E"/>
    <w:rsid w:val="00A77747"/>
    <w:rsid w:val="00A7779F"/>
    <w:rsid w:val="00A7780F"/>
    <w:rsid w:val="00A778FD"/>
    <w:rsid w:val="00A77A4A"/>
    <w:rsid w:val="00A77B87"/>
    <w:rsid w:val="00A77C9F"/>
    <w:rsid w:val="00A77DDB"/>
    <w:rsid w:val="00A77E8B"/>
    <w:rsid w:val="00A77FD9"/>
    <w:rsid w:val="00A77FEB"/>
    <w:rsid w:val="00A7AE1D"/>
    <w:rsid w:val="00A80082"/>
    <w:rsid w:val="00A800BC"/>
    <w:rsid w:val="00A8014B"/>
    <w:rsid w:val="00A8032E"/>
    <w:rsid w:val="00A80427"/>
    <w:rsid w:val="00A80449"/>
    <w:rsid w:val="00A804B6"/>
    <w:rsid w:val="00A804F4"/>
    <w:rsid w:val="00A805ED"/>
    <w:rsid w:val="00A806B3"/>
    <w:rsid w:val="00A808A3"/>
    <w:rsid w:val="00A808AB"/>
    <w:rsid w:val="00A808B8"/>
    <w:rsid w:val="00A80953"/>
    <w:rsid w:val="00A80A9D"/>
    <w:rsid w:val="00A80AB7"/>
    <w:rsid w:val="00A80ACF"/>
    <w:rsid w:val="00A80BE0"/>
    <w:rsid w:val="00A80D33"/>
    <w:rsid w:val="00A80D3D"/>
    <w:rsid w:val="00A80DA5"/>
    <w:rsid w:val="00A80DEC"/>
    <w:rsid w:val="00A80E43"/>
    <w:rsid w:val="00A80F29"/>
    <w:rsid w:val="00A80F39"/>
    <w:rsid w:val="00A81053"/>
    <w:rsid w:val="00A810AD"/>
    <w:rsid w:val="00A811DB"/>
    <w:rsid w:val="00A811E8"/>
    <w:rsid w:val="00A8128D"/>
    <w:rsid w:val="00A81366"/>
    <w:rsid w:val="00A814FE"/>
    <w:rsid w:val="00A816D2"/>
    <w:rsid w:val="00A818CA"/>
    <w:rsid w:val="00A81C1C"/>
    <w:rsid w:val="00A81E5A"/>
    <w:rsid w:val="00A81E6F"/>
    <w:rsid w:val="00A81FDF"/>
    <w:rsid w:val="00A82068"/>
    <w:rsid w:val="00A821D2"/>
    <w:rsid w:val="00A8229D"/>
    <w:rsid w:val="00A822A4"/>
    <w:rsid w:val="00A8230C"/>
    <w:rsid w:val="00A823EC"/>
    <w:rsid w:val="00A8243E"/>
    <w:rsid w:val="00A82459"/>
    <w:rsid w:val="00A828D1"/>
    <w:rsid w:val="00A82A70"/>
    <w:rsid w:val="00A82AC3"/>
    <w:rsid w:val="00A82B8A"/>
    <w:rsid w:val="00A82D57"/>
    <w:rsid w:val="00A82E0A"/>
    <w:rsid w:val="00A82E3C"/>
    <w:rsid w:val="00A82F6E"/>
    <w:rsid w:val="00A82FDE"/>
    <w:rsid w:val="00A8318F"/>
    <w:rsid w:val="00A8319A"/>
    <w:rsid w:val="00A832B9"/>
    <w:rsid w:val="00A83515"/>
    <w:rsid w:val="00A8352F"/>
    <w:rsid w:val="00A835A6"/>
    <w:rsid w:val="00A835DA"/>
    <w:rsid w:val="00A8362D"/>
    <w:rsid w:val="00A83691"/>
    <w:rsid w:val="00A836B8"/>
    <w:rsid w:val="00A836E1"/>
    <w:rsid w:val="00A836E3"/>
    <w:rsid w:val="00A83758"/>
    <w:rsid w:val="00A83815"/>
    <w:rsid w:val="00A83821"/>
    <w:rsid w:val="00A838A3"/>
    <w:rsid w:val="00A8392F"/>
    <w:rsid w:val="00A8393F"/>
    <w:rsid w:val="00A83971"/>
    <w:rsid w:val="00A839D7"/>
    <w:rsid w:val="00A83B42"/>
    <w:rsid w:val="00A83B95"/>
    <w:rsid w:val="00A83C5D"/>
    <w:rsid w:val="00A83C6A"/>
    <w:rsid w:val="00A83CD2"/>
    <w:rsid w:val="00A83DAF"/>
    <w:rsid w:val="00A83DFD"/>
    <w:rsid w:val="00A83E59"/>
    <w:rsid w:val="00A83E8E"/>
    <w:rsid w:val="00A84107"/>
    <w:rsid w:val="00A841D6"/>
    <w:rsid w:val="00A842E9"/>
    <w:rsid w:val="00A842F8"/>
    <w:rsid w:val="00A84352"/>
    <w:rsid w:val="00A843C2"/>
    <w:rsid w:val="00A84400"/>
    <w:rsid w:val="00A8440D"/>
    <w:rsid w:val="00A84662"/>
    <w:rsid w:val="00A84A03"/>
    <w:rsid w:val="00A84A60"/>
    <w:rsid w:val="00A84AC9"/>
    <w:rsid w:val="00A84D09"/>
    <w:rsid w:val="00A84DB8"/>
    <w:rsid w:val="00A84EEC"/>
    <w:rsid w:val="00A84F1F"/>
    <w:rsid w:val="00A84F82"/>
    <w:rsid w:val="00A85156"/>
    <w:rsid w:val="00A85378"/>
    <w:rsid w:val="00A853E4"/>
    <w:rsid w:val="00A85477"/>
    <w:rsid w:val="00A8552A"/>
    <w:rsid w:val="00A85591"/>
    <w:rsid w:val="00A855AD"/>
    <w:rsid w:val="00A856DA"/>
    <w:rsid w:val="00A856E4"/>
    <w:rsid w:val="00A856F0"/>
    <w:rsid w:val="00A857B7"/>
    <w:rsid w:val="00A85882"/>
    <w:rsid w:val="00A859BD"/>
    <w:rsid w:val="00A85ACD"/>
    <w:rsid w:val="00A85B64"/>
    <w:rsid w:val="00A85B70"/>
    <w:rsid w:val="00A85BB5"/>
    <w:rsid w:val="00A85BB9"/>
    <w:rsid w:val="00A85D2E"/>
    <w:rsid w:val="00A85DBB"/>
    <w:rsid w:val="00A85DC8"/>
    <w:rsid w:val="00A85DD6"/>
    <w:rsid w:val="00A85E4D"/>
    <w:rsid w:val="00A86083"/>
    <w:rsid w:val="00A861BE"/>
    <w:rsid w:val="00A86208"/>
    <w:rsid w:val="00A86347"/>
    <w:rsid w:val="00A8643F"/>
    <w:rsid w:val="00A864AB"/>
    <w:rsid w:val="00A86547"/>
    <w:rsid w:val="00A86626"/>
    <w:rsid w:val="00A8666E"/>
    <w:rsid w:val="00A8686E"/>
    <w:rsid w:val="00A86968"/>
    <w:rsid w:val="00A869E4"/>
    <w:rsid w:val="00A86A95"/>
    <w:rsid w:val="00A86B10"/>
    <w:rsid w:val="00A86BAD"/>
    <w:rsid w:val="00A86CE1"/>
    <w:rsid w:val="00A86DB5"/>
    <w:rsid w:val="00A86E7E"/>
    <w:rsid w:val="00A86E85"/>
    <w:rsid w:val="00A8716C"/>
    <w:rsid w:val="00A871A4"/>
    <w:rsid w:val="00A871D8"/>
    <w:rsid w:val="00A872C7"/>
    <w:rsid w:val="00A87442"/>
    <w:rsid w:val="00A874A2"/>
    <w:rsid w:val="00A8771E"/>
    <w:rsid w:val="00A8784F"/>
    <w:rsid w:val="00A87873"/>
    <w:rsid w:val="00A8789C"/>
    <w:rsid w:val="00A878C1"/>
    <w:rsid w:val="00A8791F"/>
    <w:rsid w:val="00A8794F"/>
    <w:rsid w:val="00A87A59"/>
    <w:rsid w:val="00A87A8F"/>
    <w:rsid w:val="00A87ABB"/>
    <w:rsid w:val="00A87B7A"/>
    <w:rsid w:val="00A87C73"/>
    <w:rsid w:val="00A87D71"/>
    <w:rsid w:val="00A87DC3"/>
    <w:rsid w:val="00A87E0F"/>
    <w:rsid w:val="00A87F2B"/>
    <w:rsid w:val="00A87F31"/>
    <w:rsid w:val="00A87FE0"/>
    <w:rsid w:val="00A90323"/>
    <w:rsid w:val="00A904FF"/>
    <w:rsid w:val="00A90503"/>
    <w:rsid w:val="00A90506"/>
    <w:rsid w:val="00A90510"/>
    <w:rsid w:val="00A90533"/>
    <w:rsid w:val="00A9058D"/>
    <w:rsid w:val="00A905ED"/>
    <w:rsid w:val="00A905FF"/>
    <w:rsid w:val="00A90691"/>
    <w:rsid w:val="00A906B2"/>
    <w:rsid w:val="00A907A0"/>
    <w:rsid w:val="00A907E8"/>
    <w:rsid w:val="00A908AB"/>
    <w:rsid w:val="00A9091E"/>
    <w:rsid w:val="00A90953"/>
    <w:rsid w:val="00A909C9"/>
    <w:rsid w:val="00A909F1"/>
    <w:rsid w:val="00A90A0B"/>
    <w:rsid w:val="00A90A81"/>
    <w:rsid w:val="00A90AD8"/>
    <w:rsid w:val="00A90B10"/>
    <w:rsid w:val="00A90B38"/>
    <w:rsid w:val="00A90B92"/>
    <w:rsid w:val="00A90C38"/>
    <w:rsid w:val="00A90D17"/>
    <w:rsid w:val="00A90D51"/>
    <w:rsid w:val="00A90DDD"/>
    <w:rsid w:val="00A90E6C"/>
    <w:rsid w:val="00A90EFF"/>
    <w:rsid w:val="00A90FA2"/>
    <w:rsid w:val="00A90FB9"/>
    <w:rsid w:val="00A91024"/>
    <w:rsid w:val="00A91060"/>
    <w:rsid w:val="00A91196"/>
    <w:rsid w:val="00A912C8"/>
    <w:rsid w:val="00A913F2"/>
    <w:rsid w:val="00A915D8"/>
    <w:rsid w:val="00A91646"/>
    <w:rsid w:val="00A916DC"/>
    <w:rsid w:val="00A916EE"/>
    <w:rsid w:val="00A91708"/>
    <w:rsid w:val="00A91899"/>
    <w:rsid w:val="00A918AC"/>
    <w:rsid w:val="00A919D0"/>
    <w:rsid w:val="00A91A25"/>
    <w:rsid w:val="00A91AA5"/>
    <w:rsid w:val="00A91CB5"/>
    <w:rsid w:val="00A91CC5"/>
    <w:rsid w:val="00A91D04"/>
    <w:rsid w:val="00A91D08"/>
    <w:rsid w:val="00A91DDF"/>
    <w:rsid w:val="00A91E00"/>
    <w:rsid w:val="00A91E1F"/>
    <w:rsid w:val="00A91E55"/>
    <w:rsid w:val="00A91F68"/>
    <w:rsid w:val="00A92056"/>
    <w:rsid w:val="00A9212E"/>
    <w:rsid w:val="00A92290"/>
    <w:rsid w:val="00A924EC"/>
    <w:rsid w:val="00A9252C"/>
    <w:rsid w:val="00A925E5"/>
    <w:rsid w:val="00A92625"/>
    <w:rsid w:val="00A926C9"/>
    <w:rsid w:val="00A9271B"/>
    <w:rsid w:val="00A9288C"/>
    <w:rsid w:val="00A9299C"/>
    <w:rsid w:val="00A92D83"/>
    <w:rsid w:val="00A92D87"/>
    <w:rsid w:val="00A92D9A"/>
    <w:rsid w:val="00A92E8B"/>
    <w:rsid w:val="00A92E9B"/>
    <w:rsid w:val="00A92EB2"/>
    <w:rsid w:val="00A92ED6"/>
    <w:rsid w:val="00A92F2C"/>
    <w:rsid w:val="00A92F47"/>
    <w:rsid w:val="00A92FB9"/>
    <w:rsid w:val="00A92FD5"/>
    <w:rsid w:val="00A93037"/>
    <w:rsid w:val="00A93043"/>
    <w:rsid w:val="00A93050"/>
    <w:rsid w:val="00A93074"/>
    <w:rsid w:val="00A930A4"/>
    <w:rsid w:val="00A93170"/>
    <w:rsid w:val="00A933EA"/>
    <w:rsid w:val="00A93483"/>
    <w:rsid w:val="00A934E7"/>
    <w:rsid w:val="00A93657"/>
    <w:rsid w:val="00A9373B"/>
    <w:rsid w:val="00A93785"/>
    <w:rsid w:val="00A937AE"/>
    <w:rsid w:val="00A937E7"/>
    <w:rsid w:val="00A9383A"/>
    <w:rsid w:val="00A93872"/>
    <w:rsid w:val="00A938BE"/>
    <w:rsid w:val="00A938E2"/>
    <w:rsid w:val="00A939E0"/>
    <w:rsid w:val="00A939EA"/>
    <w:rsid w:val="00A93A9C"/>
    <w:rsid w:val="00A93ACA"/>
    <w:rsid w:val="00A93AE9"/>
    <w:rsid w:val="00A93B12"/>
    <w:rsid w:val="00A93B47"/>
    <w:rsid w:val="00A93BD4"/>
    <w:rsid w:val="00A93C62"/>
    <w:rsid w:val="00A93C68"/>
    <w:rsid w:val="00A93DFB"/>
    <w:rsid w:val="00A93F36"/>
    <w:rsid w:val="00A93F51"/>
    <w:rsid w:val="00A94025"/>
    <w:rsid w:val="00A94050"/>
    <w:rsid w:val="00A94115"/>
    <w:rsid w:val="00A941F8"/>
    <w:rsid w:val="00A94261"/>
    <w:rsid w:val="00A9429F"/>
    <w:rsid w:val="00A942B7"/>
    <w:rsid w:val="00A94321"/>
    <w:rsid w:val="00A94350"/>
    <w:rsid w:val="00A943DD"/>
    <w:rsid w:val="00A943FF"/>
    <w:rsid w:val="00A9442F"/>
    <w:rsid w:val="00A946D7"/>
    <w:rsid w:val="00A946E5"/>
    <w:rsid w:val="00A948EB"/>
    <w:rsid w:val="00A94983"/>
    <w:rsid w:val="00A949C9"/>
    <w:rsid w:val="00A94A41"/>
    <w:rsid w:val="00A94A7C"/>
    <w:rsid w:val="00A94C14"/>
    <w:rsid w:val="00A94CE4"/>
    <w:rsid w:val="00A94D1E"/>
    <w:rsid w:val="00A94D33"/>
    <w:rsid w:val="00A94D97"/>
    <w:rsid w:val="00A94DE8"/>
    <w:rsid w:val="00A94DF3"/>
    <w:rsid w:val="00A94E48"/>
    <w:rsid w:val="00A94E56"/>
    <w:rsid w:val="00A9505C"/>
    <w:rsid w:val="00A95083"/>
    <w:rsid w:val="00A95122"/>
    <w:rsid w:val="00A951C5"/>
    <w:rsid w:val="00A95288"/>
    <w:rsid w:val="00A9538A"/>
    <w:rsid w:val="00A953CD"/>
    <w:rsid w:val="00A954DE"/>
    <w:rsid w:val="00A955BA"/>
    <w:rsid w:val="00A95651"/>
    <w:rsid w:val="00A956FE"/>
    <w:rsid w:val="00A95751"/>
    <w:rsid w:val="00A957EF"/>
    <w:rsid w:val="00A95854"/>
    <w:rsid w:val="00A95957"/>
    <w:rsid w:val="00A9597E"/>
    <w:rsid w:val="00A959D8"/>
    <w:rsid w:val="00A95A8C"/>
    <w:rsid w:val="00A95ACB"/>
    <w:rsid w:val="00A95B14"/>
    <w:rsid w:val="00A95B71"/>
    <w:rsid w:val="00A95C76"/>
    <w:rsid w:val="00A95D65"/>
    <w:rsid w:val="00A95D67"/>
    <w:rsid w:val="00A95D89"/>
    <w:rsid w:val="00A95DA1"/>
    <w:rsid w:val="00A95F01"/>
    <w:rsid w:val="00A9610D"/>
    <w:rsid w:val="00A96250"/>
    <w:rsid w:val="00A9628A"/>
    <w:rsid w:val="00A962F9"/>
    <w:rsid w:val="00A9637E"/>
    <w:rsid w:val="00A963F2"/>
    <w:rsid w:val="00A96428"/>
    <w:rsid w:val="00A96634"/>
    <w:rsid w:val="00A966F4"/>
    <w:rsid w:val="00A96798"/>
    <w:rsid w:val="00A96880"/>
    <w:rsid w:val="00A9694D"/>
    <w:rsid w:val="00A96987"/>
    <w:rsid w:val="00A96B1D"/>
    <w:rsid w:val="00A96BA9"/>
    <w:rsid w:val="00A96D02"/>
    <w:rsid w:val="00A96D7F"/>
    <w:rsid w:val="00A96E6A"/>
    <w:rsid w:val="00A96F64"/>
    <w:rsid w:val="00A96FA9"/>
    <w:rsid w:val="00A96FB3"/>
    <w:rsid w:val="00A97007"/>
    <w:rsid w:val="00A97028"/>
    <w:rsid w:val="00A9703B"/>
    <w:rsid w:val="00A972F9"/>
    <w:rsid w:val="00A97363"/>
    <w:rsid w:val="00A973CA"/>
    <w:rsid w:val="00A975CD"/>
    <w:rsid w:val="00A977A7"/>
    <w:rsid w:val="00A97810"/>
    <w:rsid w:val="00A978EF"/>
    <w:rsid w:val="00A9796C"/>
    <w:rsid w:val="00A9798A"/>
    <w:rsid w:val="00A97A96"/>
    <w:rsid w:val="00A97B7D"/>
    <w:rsid w:val="00A97CFA"/>
    <w:rsid w:val="00A97D11"/>
    <w:rsid w:val="00A97D9A"/>
    <w:rsid w:val="00A97DAE"/>
    <w:rsid w:val="00A97E2B"/>
    <w:rsid w:val="00AA0101"/>
    <w:rsid w:val="00AA0192"/>
    <w:rsid w:val="00AA0193"/>
    <w:rsid w:val="00AA020D"/>
    <w:rsid w:val="00AA0214"/>
    <w:rsid w:val="00AA0217"/>
    <w:rsid w:val="00AA026E"/>
    <w:rsid w:val="00AA0329"/>
    <w:rsid w:val="00AA0333"/>
    <w:rsid w:val="00AA0397"/>
    <w:rsid w:val="00AA03F4"/>
    <w:rsid w:val="00AA065B"/>
    <w:rsid w:val="00AA06B1"/>
    <w:rsid w:val="00AA095F"/>
    <w:rsid w:val="00AA0970"/>
    <w:rsid w:val="00AA09F7"/>
    <w:rsid w:val="00AA0A0F"/>
    <w:rsid w:val="00AA0AA7"/>
    <w:rsid w:val="00AA0C35"/>
    <w:rsid w:val="00AA0CB4"/>
    <w:rsid w:val="00AA0EF2"/>
    <w:rsid w:val="00AA0FDF"/>
    <w:rsid w:val="00AA10C7"/>
    <w:rsid w:val="00AA11B4"/>
    <w:rsid w:val="00AA1219"/>
    <w:rsid w:val="00AA12E0"/>
    <w:rsid w:val="00AA133D"/>
    <w:rsid w:val="00AA14C4"/>
    <w:rsid w:val="00AA14E8"/>
    <w:rsid w:val="00AA15EB"/>
    <w:rsid w:val="00AA16C7"/>
    <w:rsid w:val="00AA16EB"/>
    <w:rsid w:val="00AA1828"/>
    <w:rsid w:val="00AA18AA"/>
    <w:rsid w:val="00AA1934"/>
    <w:rsid w:val="00AA19B5"/>
    <w:rsid w:val="00AA19FF"/>
    <w:rsid w:val="00AA1A9A"/>
    <w:rsid w:val="00AA1C99"/>
    <w:rsid w:val="00AA1CFC"/>
    <w:rsid w:val="00AA1E44"/>
    <w:rsid w:val="00AA1EC3"/>
    <w:rsid w:val="00AA1F94"/>
    <w:rsid w:val="00AA1FB8"/>
    <w:rsid w:val="00AA21A7"/>
    <w:rsid w:val="00AA227F"/>
    <w:rsid w:val="00AA232A"/>
    <w:rsid w:val="00AA2408"/>
    <w:rsid w:val="00AA2551"/>
    <w:rsid w:val="00AA25C7"/>
    <w:rsid w:val="00AA2627"/>
    <w:rsid w:val="00AA2639"/>
    <w:rsid w:val="00AA2676"/>
    <w:rsid w:val="00AA275E"/>
    <w:rsid w:val="00AA2811"/>
    <w:rsid w:val="00AA291A"/>
    <w:rsid w:val="00AA2B28"/>
    <w:rsid w:val="00AA2B4B"/>
    <w:rsid w:val="00AA2B99"/>
    <w:rsid w:val="00AA2BCA"/>
    <w:rsid w:val="00AA2C57"/>
    <w:rsid w:val="00AA2CAC"/>
    <w:rsid w:val="00AA2D7F"/>
    <w:rsid w:val="00AA2D8B"/>
    <w:rsid w:val="00AA2DCB"/>
    <w:rsid w:val="00AA2DF9"/>
    <w:rsid w:val="00AA2E55"/>
    <w:rsid w:val="00AA2E86"/>
    <w:rsid w:val="00AA2FC8"/>
    <w:rsid w:val="00AA32DE"/>
    <w:rsid w:val="00AA3321"/>
    <w:rsid w:val="00AA3461"/>
    <w:rsid w:val="00AA3476"/>
    <w:rsid w:val="00AA3494"/>
    <w:rsid w:val="00AA349A"/>
    <w:rsid w:val="00AA3507"/>
    <w:rsid w:val="00AA35B4"/>
    <w:rsid w:val="00AA3633"/>
    <w:rsid w:val="00AA365B"/>
    <w:rsid w:val="00AA36C2"/>
    <w:rsid w:val="00AA371F"/>
    <w:rsid w:val="00AA374F"/>
    <w:rsid w:val="00AA3754"/>
    <w:rsid w:val="00AA3815"/>
    <w:rsid w:val="00AA38C7"/>
    <w:rsid w:val="00AA3950"/>
    <w:rsid w:val="00AA39E8"/>
    <w:rsid w:val="00AA3A7D"/>
    <w:rsid w:val="00AA3A91"/>
    <w:rsid w:val="00AA3AB8"/>
    <w:rsid w:val="00AA3B4D"/>
    <w:rsid w:val="00AA3BEA"/>
    <w:rsid w:val="00AA3BFD"/>
    <w:rsid w:val="00AA3D0D"/>
    <w:rsid w:val="00AA3D85"/>
    <w:rsid w:val="00AA3EF2"/>
    <w:rsid w:val="00AA3F09"/>
    <w:rsid w:val="00AA3F17"/>
    <w:rsid w:val="00AA3F4A"/>
    <w:rsid w:val="00AA4071"/>
    <w:rsid w:val="00AA40EA"/>
    <w:rsid w:val="00AA410F"/>
    <w:rsid w:val="00AA4133"/>
    <w:rsid w:val="00AA4137"/>
    <w:rsid w:val="00AA415F"/>
    <w:rsid w:val="00AA41A8"/>
    <w:rsid w:val="00AA42BF"/>
    <w:rsid w:val="00AA43FC"/>
    <w:rsid w:val="00AA44E2"/>
    <w:rsid w:val="00AA4642"/>
    <w:rsid w:val="00AA465B"/>
    <w:rsid w:val="00AA4765"/>
    <w:rsid w:val="00AA47BC"/>
    <w:rsid w:val="00AA4868"/>
    <w:rsid w:val="00AA48D5"/>
    <w:rsid w:val="00AA4AA4"/>
    <w:rsid w:val="00AA4AC5"/>
    <w:rsid w:val="00AA4D7E"/>
    <w:rsid w:val="00AA4E15"/>
    <w:rsid w:val="00AA4E3E"/>
    <w:rsid w:val="00AA4EBA"/>
    <w:rsid w:val="00AA4EDE"/>
    <w:rsid w:val="00AA5065"/>
    <w:rsid w:val="00AA506E"/>
    <w:rsid w:val="00AA5131"/>
    <w:rsid w:val="00AA51A0"/>
    <w:rsid w:val="00AA51C9"/>
    <w:rsid w:val="00AA52C8"/>
    <w:rsid w:val="00AA5378"/>
    <w:rsid w:val="00AA539D"/>
    <w:rsid w:val="00AA53E4"/>
    <w:rsid w:val="00AA5410"/>
    <w:rsid w:val="00AA54EF"/>
    <w:rsid w:val="00AA5541"/>
    <w:rsid w:val="00AA56F8"/>
    <w:rsid w:val="00AA576C"/>
    <w:rsid w:val="00AA58D8"/>
    <w:rsid w:val="00AA5A47"/>
    <w:rsid w:val="00AA5A99"/>
    <w:rsid w:val="00AA5B20"/>
    <w:rsid w:val="00AA5B95"/>
    <w:rsid w:val="00AA5CB4"/>
    <w:rsid w:val="00AA5CD4"/>
    <w:rsid w:val="00AA609B"/>
    <w:rsid w:val="00AA622B"/>
    <w:rsid w:val="00AA6233"/>
    <w:rsid w:val="00AA6266"/>
    <w:rsid w:val="00AA629A"/>
    <w:rsid w:val="00AA62DF"/>
    <w:rsid w:val="00AA6309"/>
    <w:rsid w:val="00AA6478"/>
    <w:rsid w:val="00AA6502"/>
    <w:rsid w:val="00AA6553"/>
    <w:rsid w:val="00AA656B"/>
    <w:rsid w:val="00AA65FD"/>
    <w:rsid w:val="00AA6625"/>
    <w:rsid w:val="00AA669E"/>
    <w:rsid w:val="00AA6973"/>
    <w:rsid w:val="00AA69AA"/>
    <w:rsid w:val="00AA6A73"/>
    <w:rsid w:val="00AA6ACF"/>
    <w:rsid w:val="00AA6DC2"/>
    <w:rsid w:val="00AA6E01"/>
    <w:rsid w:val="00AA6E47"/>
    <w:rsid w:val="00AA70F1"/>
    <w:rsid w:val="00AA7187"/>
    <w:rsid w:val="00AA71AD"/>
    <w:rsid w:val="00AA71E9"/>
    <w:rsid w:val="00AA73A3"/>
    <w:rsid w:val="00AA73E2"/>
    <w:rsid w:val="00AA7533"/>
    <w:rsid w:val="00AA7538"/>
    <w:rsid w:val="00AA759C"/>
    <w:rsid w:val="00AA7648"/>
    <w:rsid w:val="00AA76C6"/>
    <w:rsid w:val="00AA785B"/>
    <w:rsid w:val="00AA7873"/>
    <w:rsid w:val="00AA78C8"/>
    <w:rsid w:val="00AA7956"/>
    <w:rsid w:val="00AA7A97"/>
    <w:rsid w:val="00AA7B81"/>
    <w:rsid w:val="00AA7EB3"/>
    <w:rsid w:val="00AA7EBF"/>
    <w:rsid w:val="00AA7F66"/>
    <w:rsid w:val="00AB0033"/>
    <w:rsid w:val="00AB00D5"/>
    <w:rsid w:val="00AB00E5"/>
    <w:rsid w:val="00AB0270"/>
    <w:rsid w:val="00AB043F"/>
    <w:rsid w:val="00AB060E"/>
    <w:rsid w:val="00AB06FA"/>
    <w:rsid w:val="00AB0713"/>
    <w:rsid w:val="00AB071A"/>
    <w:rsid w:val="00AB0779"/>
    <w:rsid w:val="00AB0AC7"/>
    <w:rsid w:val="00AB0AE6"/>
    <w:rsid w:val="00AB0B66"/>
    <w:rsid w:val="00AB0CB3"/>
    <w:rsid w:val="00AB0DA7"/>
    <w:rsid w:val="00AB0DDC"/>
    <w:rsid w:val="00AB0E16"/>
    <w:rsid w:val="00AB1010"/>
    <w:rsid w:val="00AB1060"/>
    <w:rsid w:val="00AB1169"/>
    <w:rsid w:val="00AB154A"/>
    <w:rsid w:val="00AB1746"/>
    <w:rsid w:val="00AB178C"/>
    <w:rsid w:val="00AB18E8"/>
    <w:rsid w:val="00AB1932"/>
    <w:rsid w:val="00AB1945"/>
    <w:rsid w:val="00AB1974"/>
    <w:rsid w:val="00AB1A8F"/>
    <w:rsid w:val="00AB1A9F"/>
    <w:rsid w:val="00AB1AF9"/>
    <w:rsid w:val="00AB1B02"/>
    <w:rsid w:val="00AB1C3C"/>
    <w:rsid w:val="00AB1E58"/>
    <w:rsid w:val="00AB1E8C"/>
    <w:rsid w:val="00AB1EF6"/>
    <w:rsid w:val="00AB1EF7"/>
    <w:rsid w:val="00AB20B2"/>
    <w:rsid w:val="00AB215C"/>
    <w:rsid w:val="00AB22B6"/>
    <w:rsid w:val="00AB23AE"/>
    <w:rsid w:val="00AB23D8"/>
    <w:rsid w:val="00AB25FA"/>
    <w:rsid w:val="00AB2716"/>
    <w:rsid w:val="00AB29DF"/>
    <w:rsid w:val="00AB2B8F"/>
    <w:rsid w:val="00AB2C04"/>
    <w:rsid w:val="00AB2C79"/>
    <w:rsid w:val="00AB2C9F"/>
    <w:rsid w:val="00AB2DAE"/>
    <w:rsid w:val="00AB2E45"/>
    <w:rsid w:val="00AB2EAC"/>
    <w:rsid w:val="00AB2F68"/>
    <w:rsid w:val="00AB30B2"/>
    <w:rsid w:val="00AB30DC"/>
    <w:rsid w:val="00AB31CC"/>
    <w:rsid w:val="00AB3238"/>
    <w:rsid w:val="00AB326B"/>
    <w:rsid w:val="00AB32DA"/>
    <w:rsid w:val="00AB344B"/>
    <w:rsid w:val="00AB344D"/>
    <w:rsid w:val="00AB34E9"/>
    <w:rsid w:val="00AB3507"/>
    <w:rsid w:val="00AB3554"/>
    <w:rsid w:val="00AB3771"/>
    <w:rsid w:val="00AB3797"/>
    <w:rsid w:val="00AB37B3"/>
    <w:rsid w:val="00AB37B6"/>
    <w:rsid w:val="00AB3A38"/>
    <w:rsid w:val="00AB3B3E"/>
    <w:rsid w:val="00AB3B97"/>
    <w:rsid w:val="00AB3BF4"/>
    <w:rsid w:val="00AB3DB0"/>
    <w:rsid w:val="00AB3F73"/>
    <w:rsid w:val="00AB3F81"/>
    <w:rsid w:val="00AB4014"/>
    <w:rsid w:val="00AB4204"/>
    <w:rsid w:val="00AB4299"/>
    <w:rsid w:val="00AB4319"/>
    <w:rsid w:val="00AB4370"/>
    <w:rsid w:val="00AB43EC"/>
    <w:rsid w:val="00AB4449"/>
    <w:rsid w:val="00AB445D"/>
    <w:rsid w:val="00AB44FA"/>
    <w:rsid w:val="00AB4566"/>
    <w:rsid w:val="00AB45F1"/>
    <w:rsid w:val="00AB4950"/>
    <w:rsid w:val="00AB498B"/>
    <w:rsid w:val="00AB49A8"/>
    <w:rsid w:val="00AB4B88"/>
    <w:rsid w:val="00AB4C3C"/>
    <w:rsid w:val="00AB4CA0"/>
    <w:rsid w:val="00AB4CD5"/>
    <w:rsid w:val="00AB4DA9"/>
    <w:rsid w:val="00AB4E2A"/>
    <w:rsid w:val="00AB4E6C"/>
    <w:rsid w:val="00AB4FC1"/>
    <w:rsid w:val="00AB5059"/>
    <w:rsid w:val="00AB518F"/>
    <w:rsid w:val="00AB51E2"/>
    <w:rsid w:val="00AB52D4"/>
    <w:rsid w:val="00AB5373"/>
    <w:rsid w:val="00AB5376"/>
    <w:rsid w:val="00AB546F"/>
    <w:rsid w:val="00AB54AE"/>
    <w:rsid w:val="00AB54FD"/>
    <w:rsid w:val="00AB5592"/>
    <w:rsid w:val="00AB55AD"/>
    <w:rsid w:val="00AB574E"/>
    <w:rsid w:val="00AB5802"/>
    <w:rsid w:val="00AB58D9"/>
    <w:rsid w:val="00AB593A"/>
    <w:rsid w:val="00AB59A1"/>
    <w:rsid w:val="00AB5C54"/>
    <w:rsid w:val="00AB5DB0"/>
    <w:rsid w:val="00AB5E1B"/>
    <w:rsid w:val="00AB5E3A"/>
    <w:rsid w:val="00AB5E3C"/>
    <w:rsid w:val="00AB5E6F"/>
    <w:rsid w:val="00AB60C1"/>
    <w:rsid w:val="00AB60E1"/>
    <w:rsid w:val="00AB6126"/>
    <w:rsid w:val="00AB62D6"/>
    <w:rsid w:val="00AB62E9"/>
    <w:rsid w:val="00AB651E"/>
    <w:rsid w:val="00AB654D"/>
    <w:rsid w:val="00AB6576"/>
    <w:rsid w:val="00AB6614"/>
    <w:rsid w:val="00AB6621"/>
    <w:rsid w:val="00AB6664"/>
    <w:rsid w:val="00AB6700"/>
    <w:rsid w:val="00AB6709"/>
    <w:rsid w:val="00AB68CA"/>
    <w:rsid w:val="00AB695A"/>
    <w:rsid w:val="00AB69BD"/>
    <w:rsid w:val="00AB69FE"/>
    <w:rsid w:val="00AB6BF8"/>
    <w:rsid w:val="00AB6CBE"/>
    <w:rsid w:val="00AB6CCF"/>
    <w:rsid w:val="00AB6E18"/>
    <w:rsid w:val="00AB6EB1"/>
    <w:rsid w:val="00AB6EF2"/>
    <w:rsid w:val="00AB6F1C"/>
    <w:rsid w:val="00AB6FBC"/>
    <w:rsid w:val="00AB6FCC"/>
    <w:rsid w:val="00AB726E"/>
    <w:rsid w:val="00AB7302"/>
    <w:rsid w:val="00AB7336"/>
    <w:rsid w:val="00AB734E"/>
    <w:rsid w:val="00AB73C8"/>
    <w:rsid w:val="00AB7469"/>
    <w:rsid w:val="00AB749E"/>
    <w:rsid w:val="00AB76A6"/>
    <w:rsid w:val="00AB7A55"/>
    <w:rsid w:val="00AB7C9A"/>
    <w:rsid w:val="00AB7E79"/>
    <w:rsid w:val="00AB7FA5"/>
    <w:rsid w:val="00AC0079"/>
    <w:rsid w:val="00AC0083"/>
    <w:rsid w:val="00AC00E3"/>
    <w:rsid w:val="00AC014D"/>
    <w:rsid w:val="00AC014F"/>
    <w:rsid w:val="00AC019E"/>
    <w:rsid w:val="00AC022C"/>
    <w:rsid w:val="00AC03CF"/>
    <w:rsid w:val="00AC05BB"/>
    <w:rsid w:val="00AC06B9"/>
    <w:rsid w:val="00AC07D2"/>
    <w:rsid w:val="00AC0816"/>
    <w:rsid w:val="00AC0834"/>
    <w:rsid w:val="00AC0886"/>
    <w:rsid w:val="00AC08A8"/>
    <w:rsid w:val="00AC08AE"/>
    <w:rsid w:val="00AC08BD"/>
    <w:rsid w:val="00AC0907"/>
    <w:rsid w:val="00AC090E"/>
    <w:rsid w:val="00AC0985"/>
    <w:rsid w:val="00AC0BC6"/>
    <w:rsid w:val="00AC0CE1"/>
    <w:rsid w:val="00AC0D05"/>
    <w:rsid w:val="00AC0D17"/>
    <w:rsid w:val="00AC0E40"/>
    <w:rsid w:val="00AC0E60"/>
    <w:rsid w:val="00AC0F9B"/>
    <w:rsid w:val="00AC0FF2"/>
    <w:rsid w:val="00AC132C"/>
    <w:rsid w:val="00AC1433"/>
    <w:rsid w:val="00AC1441"/>
    <w:rsid w:val="00AC155B"/>
    <w:rsid w:val="00AC15E6"/>
    <w:rsid w:val="00AC1706"/>
    <w:rsid w:val="00AC174B"/>
    <w:rsid w:val="00AC17E9"/>
    <w:rsid w:val="00AC180F"/>
    <w:rsid w:val="00AC1811"/>
    <w:rsid w:val="00AC1900"/>
    <w:rsid w:val="00AC1915"/>
    <w:rsid w:val="00AC19D4"/>
    <w:rsid w:val="00AC1A66"/>
    <w:rsid w:val="00AC1AC4"/>
    <w:rsid w:val="00AC1AEA"/>
    <w:rsid w:val="00AC1D3F"/>
    <w:rsid w:val="00AC1EB0"/>
    <w:rsid w:val="00AC1FE2"/>
    <w:rsid w:val="00AC207E"/>
    <w:rsid w:val="00AC2155"/>
    <w:rsid w:val="00AC2195"/>
    <w:rsid w:val="00AC223C"/>
    <w:rsid w:val="00AC22D4"/>
    <w:rsid w:val="00AC22F9"/>
    <w:rsid w:val="00AC2327"/>
    <w:rsid w:val="00AC238F"/>
    <w:rsid w:val="00AC2495"/>
    <w:rsid w:val="00AC250D"/>
    <w:rsid w:val="00AC265F"/>
    <w:rsid w:val="00AC279A"/>
    <w:rsid w:val="00AC27A4"/>
    <w:rsid w:val="00AC29D7"/>
    <w:rsid w:val="00AC2C8A"/>
    <w:rsid w:val="00AC2DC9"/>
    <w:rsid w:val="00AC2E26"/>
    <w:rsid w:val="00AC2F7F"/>
    <w:rsid w:val="00AC3078"/>
    <w:rsid w:val="00AC308E"/>
    <w:rsid w:val="00AC30FD"/>
    <w:rsid w:val="00AC312F"/>
    <w:rsid w:val="00AC3408"/>
    <w:rsid w:val="00AC3492"/>
    <w:rsid w:val="00AC36B5"/>
    <w:rsid w:val="00AC39A6"/>
    <w:rsid w:val="00AC3A6F"/>
    <w:rsid w:val="00AC3B12"/>
    <w:rsid w:val="00AC3B93"/>
    <w:rsid w:val="00AC3BCE"/>
    <w:rsid w:val="00AC3CF8"/>
    <w:rsid w:val="00AC3D11"/>
    <w:rsid w:val="00AC3D15"/>
    <w:rsid w:val="00AC3D6E"/>
    <w:rsid w:val="00AC3D9E"/>
    <w:rsid w:val="00AC3EF6"/>
    <w:rsid w:val="00AC3F3E"/>
    <w:rsid w:val="00AC3F5A"/>
    <w:rsid w:val="00AC41CE"/>
    <w:rsid w:val="00AC42D4"/>
    <w:rsid w:val="00AC449A"/>
    <w:rsid w:val="00AC44BA"/>
    <w:rsid w:val="00AC4572"/>
    <w:rsid w:val="00AC463C"/>
    <w:rsid w:val="00AC4657"/>
    <w:rsid w:val="00AC46EA"/>
    <w:rsid w:val="00AC47FA"/>
    <w:rsid w:val="00AC487D"/>
    <w:rsid w:val="00AC48F8"/>
    <w:rsid w:val="00AC49B9"/>
    <w:rsid w:val="00AC4B9C"/>
    <w:rsid w:val="00AC4BE8"/>
    <w:rsid w:val="00AC4CF5"/>
    <w:rsid w:val="00AC4D65"/>
    <w:rsid w:val="00AC4E4B"/>
    <w:rsid w:val="00AC4E50"/>
    <w:rsid w:val="00AC4E9C"/>
    <w:rsid w:val="00AC5016"/>
    <w:rsid w:val="00AC51A9"/>
    <w:rsid w:val="00AC52B7"/>
    <w:rsid w:val="00AC5350"/>
    <w:rsid w:val="00AC54D8"/>
    <w:rsid w:val="00AC5780"/>
    <w:rsid w:val="00AC583E"/>
    <w:rsid w:val="00AC5874"/>
    <w:rsid w:val="00AC58BD"/>
    <w:rsid w:val="00AC59D1"/>
    <w:rsid w:val="00AC5A2F"/>
    <w:rsid w:val="00AC5A4F"/>
    <w:rsid w:val="00AC5C84"/>
    <w:rsid w:val="00AC5C97"/>
    <w:rsid w:val="00AC5C9D"/>
    <w:rsid w:val="00AC5CD9"/>
    <w:rsid w:val="00AC5F4A"/>
    <w:rsid w:val="00AC5F5B"/>
    <w:rsid w:val="00AC6033"/>
    <w:rsid w:val="00AC60A6"/>
    <w:rsid w:val="00AC62C0"/>
    <w:rsid w:val="00AC6316"/>
    <w:rsid w:val="00AC636B"/>
    <w:rsid w:val="00AC6373"/>
    <w:rsid w:val="00AC63D4"/>
    <w:rsid w:val="00AC640E"/>
    <w:rsid w:val="00AC6472"/>
    <w:rsid w:val="00AC6632"/>
    <w:rsid w:val="00AC6695"/>
    <w:rsid w:val="00AC66B3"/>
    <w:rsid w:val="00AC66C7"/>
    <w:rsid w:val="00AC6905"/>
    <w:rsid w:val="00AC6975"/>
    <w:rsid w:val="00AC69AD"/>
    <w:rsid w:val="00AC6B88"/>
    <w:rsid w:val="00AC6BE5"/>
    <w:rsid w:val="00AC6BE9"/>
    <w:rsid w:val="00AC6CCC"/>
    <w:rsid w:val="00AC6D71"/>
    <w:rsid w:val="00AC6F3B"/>
    <w:rsid w:val="00AC6FEF"/>
    <w:rsid w:val="00AC70A9"/>
    <w:rsid w:val="00AC70F0"/>
    <w:rsid w:val="00AC71B4"/>
    <w:rsid w:val="00AC71E1"/>
    <w:rsid w:val="00AC7465"/>
    <w:rsid w:val="00AC778C"/>
    <w:rsid w:val="00AC77DC"/>
    <w:rsid w:val="00AC7C29"/>
    <w:rsid w:val="00AC7C68"/>
    <w:rsid w:val="00AC7C93"/>
    <w:rsid w:val="00AC7CBE"/>
    <w:rsid w:val="00AC7DCC"/>
    <w:rsid w:val="00AC7FA9"/>
    <w:rsid w:val="00AC7FDA"/>
    <w:rsid w:val="00AD005E"/>
    <w:rsid w:val="00AD006A"/>
    <w:rsid w:val="00AD0156"/>
    <w:rsid w:val="00AD01F7"/>
    <w:rsid w:val="00AD022B"/>
    <w:rsid w:val="00AD02BB"/>
    <w:rsid w:val="00AD033B"/>
    <w:rsid w:val="00AD0423"/>
    <w:rsid w:val="00AD0442"/>
    <w:rsid w:val="00AD04AB"/>
    <w:rsid w:val="00AD05A3"/>
    <w:rsid w:val="00AD05CE"/>
    <w:rsid w:val="00AD060D"/>
    <w:rsid w:val="00AD0638"/>
    <w:rsid w:val="00AD068D"/>
    <w:rsid w:val="00AD0708"/>
    <w:rsid w:val="00AD0727"/>
    <w:rsid w:val="00AD0767"/>
    <w:rsid w:val="00AD0773"/>
    <w:rsid w:val="00AD09FE"/>
    <w:rsid w:val="00AD0AE1"/>
    <w:rsid w:val="00AD0B36"/>
    <w:rsid w:val="00AD0CA2"/>
    <w:rsid w:val="00AD0CED"/>
    <w:rsid w:val="00AD0D4A"/>
    <w:rsid w:val="00AD0DB4"/>
    <w:rsid w:val="00AD0E16"/>
    <w:rsid w:val="00AD0E43"/>
    <w:rsid w:val="00AD0FC0"/>
    <w:rsid w:val="00AD1019"/>
    <w:rsid w:val="00AD113F"/>
    <w:rsid w:val="00AD1245"/>
    <w:rsid w:val="00AD1278"/>
    <w:rsid w:val="00AD12B9"/>
    <w:rsid w:val="00AD1318"/>
    <w:rsid w:val="00AD132F"/>
    <w:rsid w:val="00AD1343"/>
    <w:rsid w:val="00AD1486"/>
    <w:rsid w:val="00AD15E6"/>
    <w:rsid w:val="00AD165E"/>
    <w:rsid w:val="00AD19E1"/>
    <w:rsid w:val="00AD1A42"/>
    <w:rsid w:val="00AD1AE6"/>
    <w:rsid w:val="00AD1C10"/>
    <w:rsid w:val="00AD1D8F"/>
    <w:rsid w:val="00AD1D99"/>
    <w:rsid w:val="00AD2166"/>
    <w:rsid w:val="00AD23A9"/>
    <w:rsid w:val="00AD23BB"/>
    <w:rsid w:val="00AD2441"/>
    <w:rsid w:val="00AD24FA"/>
    <w:rsid w:val="00AD26CA"/>
    <w:rsid w:val="00AD2782"/>
    <w:rsid w:val="00AD2783"/>
    <w:rsid w:val="00AD27FD"/>
    <w:rsid w:val="00AD283D"/>
    <w:rsid w:val="00AD2B15"/>
    <w:rsid w:val="00AD2C06"/>
    <w:rsid w:val="00AD2DF1"/>
    <w:rsid w:val="00AD2E99"/>
    <w:rsid w:val="00AD2FA6"/>
    <w:rsid w:val="00AD3075"/>
    <w:rsid w:val="00AD308C"/>
    <w:rsid w:val="00AD30A2"/>
    <w:rsid w:val="00AD31D6"/>
    <w:rsid w:val="00AD3223"/>
    <w:rsid w:val="00AD32B1"/>
    <w:rsid w:val="00AD3461"/>
    <w:rsid w:val="00AD3552"/>
    <w:rsid w:val="00AD3557"/>
    <w:rsid w:val="00AD35A3"/>
    <w:rsid w:val="00AD35CD"/>
    <w:rsid w:val="00AD35CF"/>
    <w:rsid w:val="00AD363B"/>
    <w:rsid w:val="00AD36C3"/>
    <w:rsid w:val="00AD38E7"/>
    <w:rsid w:val="00AD3916"/>
    <w:rsid w:val="00AD3A07"/>
    <w:rsid w:val="00AD3D9C"/>
    <w:rsid w:val="00AD3E21"/>
    <w:rsid w:val="00AD3E6E"/>
    <w:rsid w:val="00AD3EE2"/>
    <w:rsid w:val="00AD40E0"/>
    <w:rsid w:val="00AD4126"/>
    <w:rsid w:val="00AD417F"/>
    <w:rsid w:val="00AD41E2"/>
    <w:rsid w:val="00AD4297"/>
    <w:rsid w:val="00AD42B0"/>
    <w:rsid w:val="00AD4503"/>
    <w:rsid w:val="00AD45E7"/>
    <w:rsid w:val="00AD4657"/>
    <w:rsid w:val="00AD497F"/>
    <w:rsid w:val="00AD4983"/>
    <w:rsid w:val="00AD49F1"/>
    <w:rsid w:val="00AD4B85"/>
    <w:rsid w:val="00AD4BE0"/>
    <w:rsid w:val="00AD4D36"/>
    <w:rsid w:val="00AD4D58"/>
    <w:rsid w:val="00AD4D96"/>
    <w:rsid w:val="00AD4FE9"/>
    <w:rsid w:val="00AD5022"/>
    <w:rsid w:val="00AD5045"/>
    <w:rsid w:val="00AD50C0"/>
    <w:rsid w:val="00AD511E"/>
    <w:rsid w:val="00AD512A"/>
    <w:rsid w:val="00AD5192"/>
    <w:rsid w:val="00AD521B"/>
    <w:rsid w:val="00AD54BA"/>
    <w:rsid w:val="00AD5657"/>
    <w:rsid w:val="00AD56D4"/>
    <w:rsid w:val="00AD572C"/>
    <w:rsid w:val="00AD575E"/>
    <w:rsid w:val="00AD57E8"/>
    <w:rsid w:val="00AD57ED"/>
    <w:rsid w:val="00AD594C"/>
    <w:rsid w:val="00AD5967"/>
    <w:rsid w:val="00AD5989"/>
    <w:rsid w:val="00AD59EE"/>
    <w:rsid w:val="00AD5A05"/>
    <w:rsid w:val="00AD5A88"/>
    <w:rsid w:val="00AD5BFB"/>
    <w:rsid w:val="00AD5ED3"/>
    <w:rsid w:val="00AD60D2"/>
    <w:rsid w:val="00AD6219"/>
    <w:rsid w:val="00AD623A"/>
    <w:rsid w:val="00AD6249"/>
    <w:rsid w:val="00AD62A7"/>
    <w:rsid w:val="00AD62B4"/>
    <w:rsid w:val="00AD6353"/>
    <w:rsid w:val="00AD63BF"/>
    <w:rsid w:val="00AD63FC"/>
    <w:rsid w:val="00AD654E"/>
    <w:rsid w:val="00AD6706"/>
    <w:rsid w:val="00AD682B"/>
    <w:rsid w:val="00AD696C"/>
    <w:rsid w:val="00AD6987"/>
    <w:rsid w:val="00AD698F"/>
    <w:rsid w:val="00AD6991"/>
    <w:rsid w:val="00AD69F7"/>
    <w:rsid w:val="00AD6B8E"/>
    <w:rsid w:val="00AD6BAF"/>
    <w:rsid w:val="00AD6C56"/>
    <w:rsid w:val="00AD7077"/>
    <w:rsid w:val="00AD716E"/>
    <w:rsid w:val="00AD7198"/>
    <w:rsid w:val="00AD7232"/>
    <w:rsid w:val="00AD72EA"/>
    <w:rsid w:val="00AD7350"/>
    <w:rsid w:val="00AD74E0"/>
    <w:rsid w:val="00AD7516"/>
    <w:rsid w:val="00AD76AF"/>
    <w:rsid w:val="00AD7719"/>
    <w:rsid w:val="00AD7760"/>
    <w:rsid w:val="00AD77FB"/>
    <w:rsid w:val="00AD7826"/>
    <w:rsid w:val="00AD7837"/>
    <w:rsid w:val="00AD7855"/>
    <w:rsid w:val="00AD787F"/>
    <w:rsid w:val="00AD7A69"/>
    <w:rsid w:val="00AD7CA8"/>
    <w:rsid w:val="00AD7D15"/>
    <w:rsid w:val="00AD7F1A"/>
    <w:rsid w:val="00AE000B"/>
    <w:rsid w:val="00AE016A"/>
    <w:rsid w:val="00AE01F8"/>
    <w:rsid w:val="00AE0311"/>
    <w:rsid w:val="00AE034E"/>
    <w:rsid w:val="00AE0398"/>
    <w:rsid w:val="00AE05A9"/>
    <w:rsid w:val="00AE05E4"/>
    <w:rsid w:val="00AE06AD"/>
    <w:rsid w:val="00AE06F0"/>
    <w:rsid w:val="00AE07F7"/>
    <w:rsid w:val="00AE086D"/>
    <w:rsid w:val="00AE0886"/>
    <w:rsid w:val="00AE0892"/>
    <w:rsid w:val="00AE09B0"/>
    <w:rsid w:val="00AE09BD"/>
    <w:rsid w:val="00AE0AFE"/>
    <w:rsid w:val="00AE0B89"/>
    <w:rsid w:val="00AE0C2D"/>
    <w:rsid w:val="00AE10A8"/>
    <w:rsid w:val="00AE10CB"/>
    <w:rsid w:val="00AE1148"/>
    <w:rsid w:val="00AE121C"/>
    <w:rsid w:val="00AE121E"/>
    <w:rsid w:val="00AE1300"/>
    <w:rsid w:val="00AE1310"/>
    <w:rsid w:val="00AE1423"/>
    <w:rsid w:val="00AE14F9"/>
    <w:rsid w:val="00AE1843"/>
    <w:rsid w:val="00AE1974"/>
    <w:rsid w:val="00AE1B23"/>
    <w:rsid w:val="00AE1CD6"/>
    <w:rsid w:val="00AE1D86"/>
    <w:rsid w:val="00AE1E6B"/>
    <w:rsid w:val="00AE1F8B"/>
    <w:rsid w:val="00AE1FF7"/>
    <w:rsid w:val="00AE203D"/>
    <w:rsid w:val="00AE2068"/>
    <w:rsid w:val="00AE2213"/>
    <w:rsid w:val="00AE2255"/>
    <w:rsid w:val="00AE22C3"/>
    <w:rsid w:val="00AE2345"/>
    <w:rsid w:val="00AE2386"/>
    <w:rsid w:val="00AE24B4"/>
    <w:rsid w:val="00AE24D4"/>
    <w:rsid w:val="00AE26DF"/>
    <w:rsid w:val="00AE2839"/>
    <w:rsid w:val="00AE286E"/>
    <w:rsid w:val="00AE287F"/>
    <w:rsid w:val="00AE28FC"/>
    <w:rsid w:val="00AE2939"/>
    <w:rsid w:val="00AE2949"/>
    <w:rsid w:val="00AE2CBA"/>
    <w:rsid w:val="00AE2DE3"/>
    <w:rsid w:val="00AE3086"/>
    <w:rsid w:val="00AE3099"/>
    <w:rsid w:val="00AE309B"/>
    <w:rsid w:val="00AE323F"/>
    <w:rsid w:val="00AE3304"/>
    <w:rsid w:val="00AE3343"/>
    <w:rsid w:val="00AE360C"/>
    <w:rsid w:val="00AE3619"/>
    <w:rsid w:val="00AE3790"/>
    <w:rsid w:val="00AE37A0"/>
    <w:rsid w:val="00AE3843"/>
    <w:rsid w:val="00AE38A9"/>
    <w:rsid w:val="00AE38B5"/>
    <w:rsid w:val="00AE38C6"/>
    <w:rsid w:val="00AE38D6"/>
    <w:rsid w:val="00AE38F7"/>
    <w:rsid w:val="00AE3A07"/>
    <w:rsid w:val="00AE3A32"/>
    <w:rsid w:val="00AE3AD5"/>
    <w:rsid w:val="00AE3BF3"/>
    <w:rsid w:val="00AE3C2F"/>
    <w:rsid w:val="00AE3C98"/>
    <w:rsid w:val="00AE3CA7"/>
    <w:rsid w:val="00AE3D06"/>
    <w:rsid w:val="00AE3D46"/>
    <w:rsid w:val="00AE3E58"/>
    <w:rsid w:val="00AE3EA2"/>
    <w:rsid w:val="00AE3F10"/>
    <w:rsid w:val="00AE415E"/>
    <w:rsid w:val="00AE419D"/>
    <w:rsid w:val="00AE442E"/>
    <w:rsid w:val="00AE44CD"/>
    <w:rsid w:val="00AE453F"/>
    <w:rsid w:val="00AE4589"/>
    <w:rsid w:val="00AE45C1"/>
    <w:rsid w:val="00AE45EA"/>
    <w:rsid w:val="00AE45F7"/>
    <w:rsid w:val="00AE468B"/>
    <w:rsid w:val="00AE469B"/>
    <w:rsid w:val="00AE46B6"/>
    <w:rsid w:val="00AE476F"/>
    <w:rsid w:val="00AE47D6"/>
    <w:rsid w:val="00AE4880"/>
    <w:rsid w:val="00AE48C4"/>
    <w:rsid w:val="00AE495D"/>
    <w:rsid w:val="00AE498E"/>
    <w:rsid w:val="00AE4AFF"/>
    <w:rsid w:val="00AE4C43"/>
    <w:rsid w:val="00AE4CD2"/>
    <w:rsid w:val="00AE4CFF"/>
    <w:rsid w:val="00AE4DBD"/>
    <w:rsid w:val="00AE4DC1"/>
    <w:rsid w:val="00AE4E91"/>
    <w:rsid w:val="00AE4F44"/>
    <w:rsid w:val="00AE512C"/>
    <w:rsid w:val="00AE5139"/>
    <w:rsid w:val="00AE516F"/>
    <w:rsid w:val="00AE523F"/>
    <w:rsid w:val="00AE5279"/>
    <w:rsid w:val="00AE54AC"/>
    <w:rsid w:val="00AE54F0"/>
    <w:rsid w:val="00AE55AC"/>
    <w:rsid w:val="00AE55AE"/>
    <w:rsid w:val="00AE57B3"/>
    <w:rsid w:val="00AE581C"/>
    <w:rsid w:val="00AE5834"/>
    <w:rsid w:val="00AE58CC"/>
    <w:rsid w:val="00AE5991"/>
    <w:rsid w:val="00AE599D"/>
    <w:rsid w:val="00AE59FD"/>
    <w:rsid w:val="00AE5A06"/>
    <w:rsid w:val="00AE5A13"/>
    <w:rsid w:val="00AE5A88"/>
    <w:rsid w:val="00AE5B4C"/>
    <w:rsid w:val="00AE5BB4"/>
    <w:rsid w:val="00AE5D5C"/>
    <w:rsid w:val="00AE5EB6"/>
    <w:rsid w:val="00AE5EC4"/>
    <w:rsid w:val="00AE5F0D"/>
    <w:rsid w:val="00AE6133"/>
    <w:rsid w:val="00AE61EA"/>
    <w:rsid w:val="00AE6218"/>
    <w:rsid w:val="00AE6300"/>
    <w:rsid w:val="00AE6320"/>
    <w:rsid w:val="00AE641A"/>
    <w:rsid w:val="00AE6507"/>
    <w:rsid w:val="00AE651D"/>
    <w:rsid w:val="00AE6785"/>
    <w:rsid w:val="00AE67B6"/>
    <w:rsid w:val="00AE6878"/>
    <w:rsid w:val="00AE6902"/>
    <w:rsid w:val="00AE691B"/>
    <w:rsid w:val="00AE6953"/>
    <w:rsid w:val="00AE6969"/>
    <w:rsid w:val="00AE69DD"/>
    <w:rsid w:val="00AE6A64"/>
    <w:rsid w:val="00AE6AED"/>
    <w:rsid w:val="00AE6C9E"/>
    <w:rsid w:val="00AE6E74"/>
    <w:rsid w:val="00AE6ECA"/>
    <w:rsid w:val="00AE6FE2"/>
    <w:rsid w:val="00AE7058"/>
    <w:rsid w:val="00AE706A"/>
    <w:rsid w:val="00AE715C"/>
    <w:rsid w:val="00AE7203"/>
    <w:rsid w:val="00AE73EF"/>
    <w:rsid w:val="00AE7451"/>
    <w:rsid w:val="00AE74F5"/>
    <w:rsid w:val="00AE77F9"/>
    <w:rsid w:val="00AE787B"/>
    <w:rsid w:val="00AE78F3"/>
    <w:rsid w:val="00AE794F"/>
    <w:rsid w:val="00AE79FB"/>
    <w:rsid w:val="00AE7B0B"/>
    <w:rsid w:val="00AE7B8B"/>
    <w:rsid w:val="00AE7BB8"/>
    <w:rsid w:val="00AE7BBB"/>
    <w:rsid w:val="00AE7CD3"/>
    <w:rsid w:val="00AE7D1D"/>
    <w:rsid w:val="00AE7DBF"/>
    <w:rsid w:val="00AE7E00"/>
    <w:rsid w:val="00AE7F20"/>
    <w:rsid w:val="00AF0073"/>
    <w:rsid w:val="00AF01E8"/>
    <w:rsid w:val="00AF0295"/>
    <w:rsid w:val="00AF0362"/>
    <w:rsid w:val="00AF0494"/>
    <w:rsid w:val="00AF0557"/>
    <w:rsid w:val="00AF05B7"/>
    <w:rsid w:val="00AF06C4"/>
    <w:rsid w:val="00AF0791"/>
    <w:rsid w:val="00AF082E"/>
    <w:rsid w:val="00AF08B7"/>
    <w:rsid w:val="00AF0905"/>
    <w:rsid w:val="00AF0988"/>
    <w:rsid w:val="00AF0BD2"/>
    <w:rsid w:val="00AF0C1E"/>
    <w:rsid w:val="00AF0CAA"/>
    <w:rsid w:val="00AF0D2B"/>
    <w:rsid w:val="00AF0D3F"/>
    <w:rsid w:val="00AF0D56"/>
    <w:rsid w:val="00AF0E04"/>
    <w:rsid w:val="00AF0FBA"/>
    <w:rsid w:val="00AF1078"/>
    <w:rsid w:val="00AF1110"/>
    <w:rsid w:val="00AF11D0"/>
    <w:rsid w:val="00AF11DB"/>
    <w:rsid w:val="00AF121D"/>
    <w:rsid w:val="00AF12AF"/>
    <w:rsid w:val="00AF1301"/>
    <w:rsid w:val="00AF1580"/>
    <w:rsid w:val="00AF16F4"/>
    <w:rsid w:val="00AF1709"/>
    <w:rsid w:val="00AF18A6"/>
    <w:rsid w:val="00AF1976"/>
    <w:rsid w:val="00AF1A3D"/>
    <w:rsid w:val="00AF1B06"/>
    <w:rsid w:val="00AF1B0D"/>
    <w:rsid w:val="00AF1B78"/>
    <w:rsid w:val="00AF1D20"/>
    <w:rsid w:val="00AF1DA3"/>
    <w:rsid w:val="00AF1E0B"/>
    <w:rsid w:val="00AF1EB7"/>
    <w:rsid w:val="00AF1EEC"/>
    <w:rsid w:val="00AF1F44"/>
    <w:rsid w:val="00AF200A"/>
    <w:rsid w:val="00AF2083"/>
    <w:rsid w:val="00AF2201"/>
    <w:rsid w:val="00AF24FD"/>
    <w:rsid w:val="00AF285D"/>
    <w:rsid w:val="00AF2889"/>
    <w:rsid w:val="00AF2B15"/>
    <w:rsid w:val="00AF2B39"/>
    <w:rsid w:val="00AF2B4A"/>
    <w:rsid w:val="00AF2B65"/>
    <w:rsid w:val="00AF2B9C"/>
    <w:rsid w:val="00AF2BBC"/>
    <w:rsid w:val="00AF2C60"/>
    <w:rsid w:val="00AF301A"/>
    <w:rsid w:val="00AF3092"/>
    <w:rsid w:val="00AF318E"/>
    <w:rsid w:val="00AF3190"/>
    <w:rsid w:val="00AF3319"/>
    <w:rsid w:val="00AF331B"/>
    <w:rsid w:val="00AF33BC"/>
    <w:rsid w:val="00AF34AB"/>
    <w:rsid w:val="00AF3635"/>
    <w:rsid w:val="00AF36D1"/>
    <w:rsid w:val="00AF3733"/>
    <w:rsid w:val="00AF37A7"/>
    <w:rsid w:val="00AF37E4"/>
    <w:rsid w:val="00AF380A"/>
    <w:rsid w:val="00AF381D"/>
    <w:rsid w:val="00AF3852"/>
    <w:rsid w:val="00AF39FB"/>
    <w:rsid w:val="00AF3AC4"/>
    <w:rsid w:val="00AF3B19"/>
    <w:rsid w:val="00AF3B3E"/>
    <w:rsid w:val="00AF3B95"/>
    <w:rsid w:val="00AF3C94"/>
    <w:rsid w:val="00AF3DBA"/>
    <w:rsid w:val="00AF3E7A"/>
    <w:rsid w:val="00AF3ED4"/>
    <w:rsid w:val="00AF3F2C"/>
    <w:rsid w:val="00AF3F46"/>
    <w:rsid w:val="00AF3FC1"/>
    <w:rsid w:val="00AF4042"/>
    <w:rsid w:val="00AF40F0"/>
    <w:rsid w:val="00AF4135"/>
    <w:rsid w:val="00AF4360"/>
    <w:rsid w:val="00AF436F"/>
    <w:rsid w:val="00AF4372"/>
    <w:rsid w:val="00AF44A5"/>
    <w:rsid w:val="00AF44C1"/>
    <w:rsid w:val="00AF45A4"/>
    <w:rsid w:val="00AF45E9"/>
    <w:rsid w:val="00AF46A7"/>
    <w:rsid w:val="00AF46CC"/>
    <w:rsid w:val="00AF4729"/>
    <w:rsid w:val="00AF4771"/>
    <w:rsid w:val="00AF49D1"/>
    <w:rsid w:val="00AF4A02"/>
    <w:rsid w:val="00AF4A2A"/>
    <w:rsid w:val="00AF4A43"/>
    <w:rsid w:val="00AF4AA3"/>
    <w:rsid w:val="00AF4AF1"/>
    <w:rsid w:val="00AF4B94"/>
    <w:rsid w:val="00AF4BFB"/>
    <w:rsid w:val="00AF4D54"/>
    <w:rsid w:val="00AF4DC4"/>
    <w:rsid w:val="00AF4F27"/>
    <w:rsid w:val="00AF4F6A"/>
    <w:rsid w:val="00AF4F99"/>
    <w:rsid w:val="00AF5042"/>
    <w:rsid w:val="00AF5086"/>
    <w:rsid w:val="00AF5190"/>
    <w:rsid w:val="00AF5236"/>
    <w:rsid w:val="00AF52CE"/>
    <w:rsid w:val="00AF52F9"/>
    <w:rsid w:val="00AF552A"/>
    <w:rsid w:val="00AF5708"/>
    <w:rsid w:val="00AF5795"/>
    <w:rsid w:val="00AF57B9"/>
    <w:rsid w:val="00AF57BA"/>
    <w:rsid w:val="00AF57FF"/>
    <w:rsid w:val="00AF588D"/>
    <w:rsid w:val="00AF589D"/>
    <w:rsid w:val="00AF5B51"/>
    <w:rsid w:val="00AF5C1E"/>
    <w:rsid w:val="00AF5C2D"/>
    <w:rsid w:val="00AF5E76"/>
    <w:rsid w:val="00AF5EB3"/>
    <w:rsid w:val="00AF5F0C"/>
    <w:rsid w:val="00AF5F2C"/>
    <w:rsid w:val="00AF6193"/>
    <w:rsid w:val="00AF61BE"/>
    <w:rsid w:val="00AF61FC"/>
    <w:rsid w:val="00AF62F5"/>
    <w:rsid w:val="00AF6442"/>
    <w:rsid w:val="00AF6453"/>
    <w:rsid w:val="00AF6498"/>
    <w:rsid w:val="00AF64EC"/>
    <w:rsid w:val="00AF656D"/>
    <w:rsid w:val="00AF65FB"/>
    <w:rsid w:val="00AF662F"/>
    <w:rsid w:val="00AF6632"/>
    <w:rsid w:val="00AF6656"/>
    <w:rsid w:val="00AF6823"/>
    <w:rsid w:val="00AF6905"/>
    <w:rsid w:val="00AF6908"/>
    <w:rsid w:val="00AF6B2E"/>
    <w:rsid w:val="00AF6C70"/>
    <w:rsid w:val="00AF6D5F"/>
    <w:rsid w:val="00AF6D88"/>
    <w:rsid w:val="00AF6F5B"/>
    <w:rsid w:val="00AF7064"/>
    <w:rsid w:val="00AF7240"/>
    <w:rsid w:val="00AF72E6"/>
    <w:rsid w:val="00AF7581"/>
    <w:rsid w:val="00AF75B1"/>
    <w:rsid w:val="00AF75CD"/>
    <w:rsid w:val="00AF75EB"/>
    <w:rsid w:val="00AF7639"/>
    <w:rsid w:val="00AF778E"/>
    <w:rsid w:val="00AF7832"/>
    <w:rsid w:val="00AF788B"/>
    <w:rsid w:val="00AF79B9"/>
    <w:rsid w:val="00AF7AAA"/>
    <w:rsid w:val="00AF7B6E"/>
    <w:rsid w:val="00AF7BF5"/>
    <w:rsid w:val="00AF7CC0"/>
    <w:rsid w:val="00AF7CCE"/>
    <w:rsid w:val="00AF7D4B"/>
    <w:rsid w:val="00AF7E60"/>
    <w:rsid w:val="00AF7F19"/>
    <w:rsid w:val="00AF7F1C"/>
    <w:rsid w:val="00B00006"/>
    <w:rsid w:val="00B000B3"/>
    <w:rsid w:val="00B00213"/>
    <w:rsid w:val="00B00228"/>
    <w:rsid w:val="00B003FF"/>
    <w:rsid w:val="00B0049A"/>
    <w:rsid w:val="00B004F1"/>
    <w:rsid w:val="00B005C0"/>
    <w:rsid w:val="00B007F0"/>
    <w:rsid w:val="00B0082D"/>
    <w:rsid w:val="00B00A76"/>
    <w:rsid w:val="00B00AB8"/>
    <w:rsid w:val="00B00ABA"/>
    <w:rsid w:val="00B00AC9"/>
    <w:rsid w:val="00B00AD2"/>
    <w:rsid w:val="00B00D1C"/>
    <w:rsid w:val="00B00E53"/>
    <w:rsid w:val="00B00E7A"/>
    <w:rsid w:val="00B00F1A"/>
    <w:rsid w:val="00B00F2E"/>
    <w:rsid w:val="00B00FF0"/>
    <w:rsid w:val="00B010BA"/>
    <w:rsid w:val="00B012D0"/>
    <w:rsid w:val="00B01328"/>
    <w:rsid w:val="00B0142D"/>
    <w:rsid w:val="00B014CC"/>
    <w:rsid w:val="00B01671"/>
    <w:rsid w:val="00B01829"/>
    <w:rsid w:val="00B01885"/>
    <w:rsid w:val="00B01CED"/>
    <w:rsid w:val="00B01D2A"/>
    <w:rsid w:val="00B01D93"/>
    <w:rsid w:val="00B01E0E"/>
    <w:rsid w:val="00B01F64"/>
    <w:rsid w:val="00B02007"/>
    <w:rsid w:val="00B0209E"/>
    <w:rsid w:val="00B020DF"/>
    <w:rsid w:val="00B0210F"/>
    <w:rsid w:val="00B02239"/>
    <w:rsid w:val="00B022C8"/>
    <w:rsid w:val="00B0249A"/>
    <w:rsid w:val="00B02505"/>
    <w:rsid w:val="00B02816"/>
    <w:rsid w:val="00B0281B"/>
    <w:rsid w:val="00B02866"/>
    <w:rsid w:val="00B02938"/>
    <w:rsid w:val="00B0295E"/>
    <w:rsid w:val="00B029B8"/>
    <w:rsid w:val="00B029B9"/>
    <w:rsid w:val="00B02A3E"/>
    <w:rsid w:val="00B02A77"/>
    <w:rsid w:val="00B02B2F"/>
    <w:rsid w:val="00B02CC6"/>
    <w:rsid w:val="00B02D9D"/>
    <w:rsid w:val="00B02E76"/>
    <w:rsid w:val="00B03150"/>
    <w:rsid w:val="00B0318C"/>
    <w:rsid w:val="00B03191"/>
    <w:rsid w:val="00B03193"/>
    <w:rsid w:val="00B032BF"/>
    <w:rsid w:val="00B03306"/>
    <w:rsid w:val="00B03452"/>
    <w:rsid w:val="00B0349F"/>
    <w:rsid w:val="00B035D4"/>
    <w:rsid w:val="00B03880"/>
    <w:rsid w:val="00B03893"/>
    <w:rsid w:val="00B038BE"/>
    <w:rsid w:val="00B039BF"/>
    <w:rsid w:val="00B039EE"/>
    <w:rsid w:val="00B03B85"/>
    <w:rsid w:val="00B03C28"/>
    <w:rsid w:val="00B03C72"/>
    <w:rsid w:val="00B03C94"/>
    <w:rsid w:val="00B03CF8"/>
    <w:rsid w:val="00B03D51"/>
    <w:rsid w:val="00B03DB5"/>
    <w:rsid w:val="00B03F5E"/>
    <w:rsid w:val="00B0421F"/>
    <w:rsid w:val="00B04303"/>
    <w:rsid w:val="00B0430D"/>
    <w:rsid w:val="00B04371"/>
    <w:rsid w:val="00B0437D"/>
    <w:rsid w:val="00B043C1"/>
    <w:rsid w:val="00B04403"/>
    <w:rsid w:val="00B0473F"/>
    <w:rsid w:val="00B048D8"/>
    <w:rsid w:val="00B048F9"/>
    <w:rsid w:val="00B04B27"/>
    <w:rsid w:val="00B04D4F"/>
    <w:rsid w:val="00B04F71"/>
    <w:rsid w:val="00B051C1"/>
    <w:rsid w:val="00B0542A"/>
    <w:rsid w:val="00B055E4"/>
    <w:rsid w:val="00B056B2"/>
    <w:rsid w:val="00B056EA"/>
    <w:rsid w:val="00B059B9"/>
    <w:rsid w:val="00B05B36"/>
    <w:rsid w:val="00B05C0B"/>
    <w:rsid w:val="00B05C9A"/>
    <w:rsid w:val="00B05CB8"/>
    <w:rsid w:val="00B05D1C"/>
    <w:rsid w:val="00B05E6E"/>
    <w:rsid w:val="00B05F3B"/>
    <w:rsid w:val="00B06171"/>
    <w:rsid w:val="00B061C1"/>
    <w:rsid w:val="00B06276"/>
    <w:rsid w:val="00B0629B"/>
    <w:rsid w:val="00B0631F"/>
    <w:rsid w:val="00B06357"/>
    <w:rsid w:val="00B06457"/>
    <w:rsid w:val="00B065C4"/>
    <w:rsid w:val="00B06787"/>
    <w:rsid w:val="00B06B13"/>
    <w:rsid w:val="00B06B72"/>
    <w:rsid w:val="00B06BDC"/>
    <w:rsid w:val="00B06DBE"/>
    <w:rsid w:val="00B06F01"/>
    <w:rsid w:val="00B07090"/>
    <w:rsid w:val="00B070A5"/>
    <w:rsid w:val="00B070AE"/>
    <w:rsid w:val="00B0710F"/>
    <w:rsid w:val="00B0713D"/>
    <w:rsid w:val="00B0718A"/>
    <w:rsid w:val="00B0740A"/>
    <w:rsid w:val="00B074DD"/>
    <w:rsid w:val="00B07552"/>
    <w:rsid w:val="00B0777C"/>
    <w:rsid w:val="00B077AD"/>
    <w:rsid w:val="00B077BD"/>
    <w:rsid w:val="00B07B14"/>
    <w:rsid w:val="00B07B9E"/>
    <w:rsid w:val="00B07BFD"/>
    <w:rsid w:val="00B07C3A"/>
    <w:rsid w:val="00B07C6C"/>
    <w:rsid w:val="00B07CA5"/>
    <w:rsid w:val="00B07D7A"/>
    <w:rsid w:val="00B07D7D"/>
    <w:rsid w:val="00B07DC1"/>
    <w:rsid w:val="00B07F02"/>
    <w:rsid w:val="00B07FB5"/>
    <w:rsid w:val="00B07FC1"/>
    <w:rsid w:val="00B10081"/>
    <w:rsid w:val="00B102F8"/>
    <w:rsid w:val="00B1037A"/>
    <w:rsid w:val="00B10405"/>
    <w:rsid w:val="00B104BA"/>
    <w:rsid w:val="00B104D8"/>
    <w:rsid w:val="00B1062A"/>
    <w:rsid w:val="00B10692"/>
    <w:rsid w:val="00B106B8"/>
    <w:rsid w:val="00B107FF"/>
    <w:rsid w:val="00B10833"/>
    <w:rsid w:val="00B108A1"/>
    <w:rsid w:val="00B10996"/>
    <w:rsid w:val="00B109B1"/>
    <w:rsid w:val="00B10B55"/>
    <w:rsid w:val="00B10C6E"/>
    <w:rsid w:val="00B11189"/>
    <w:rsid w:val="00B1129F"/>
    <w:rsid w:val="00B11429"/>
    <w:rsid w:val="00B11430"/>
    <w:rsid w:val="00B11494"/>
    <w:rsid w:val="00B1163F"/>
    <w:rsid w:val="00B11683"/>
    <w:rsid w:val="00B116C6"/>
    <w:rsid w:val="00B117BE"/>
    <w:rsid w:val="00B11835"/>
    <w:rsid w:val="00B11882"/>
    <w:rsid w:val="00B118DB"/>
    <w:rsid w:val="00B119C9"/>
    <w:rsid w:val="00B11A4E"/>
    <w:rsid w:val="00B11B6A"/>
    <w:rsid w:val="00B11D8C"/>
    <w:rsid w:val="00B11DCE"/>
    <w:rsid w:val="00B11DFD"/>
    <w:rsid w:val="00B11E0C"/>
    <w:rsid w:val="00B12003"/>
    <w:rsid w:val="00B120A2"/>
    <w:rsid w:val="00B121CA"/>
    <w:rsid w:val="00B12256"/>
    <w:rsid w:val="00B1229E"/>
    <w:rsid w:val="00B123B6"/>
    <w:rsid w:val="00B123D5"/>
    <w:rsid w:val="00B12469"/>
    <w:rsid w:val="00B12602"/>
    <w:rsid w:val="00B12682"/>
    <w:rsid w:val="00B12840"/>
    <w:rsid w:val="00B12923"/>
    <w:rsid w:val="00B12AB8"/>
    <w:rsid w:val="00B12C80"/>
    <w:rsid w:val="00B12D38"/>
    <w:rsid w:val="00B12E0F"/>
    <w:rsid w:val="00B12F1C"/>
    <w:rsid w:val="00B12F66"/>
    <w:rsid w:val="00B132F3"/>
    <w:rsid w:val="00B13381"/>
    <w:rsid w:val="00B133FB"/>
    <w:rsid w:val="00B13536"/>
    <w:rsid w:val="00B13540"/>
    <w:rsid w:val="00B13683"/>
    <w:rsid w:val="00B136A7"/>
    <w:rsid w:val="00B13866"/>
    <w:rsid w:val="00B13942"/>
    <w:rsid w:val="00B13A7F"/>
    <w:rsid w:val="00B13A82"/>
    <w:rsid w:val="00B13B63"/>
    <w:rsid w:val="00B13F33"/>
    <w:rsid w:val="00B14041"/>
    <w:rsid w:val="00B140C1"/>
    <w:rsid w:val="00B140D6"/>
    <w:rsid w:val="00B14112"/>
    <w:rsid w:val="00B14166"/>
    <w:rsid w:val="00B1429F"/>
    <w:rsid w:val="00B14396"/>
    <w:rsid w:val="00B144A7"/>
    <w:rsid w:val="00B144B3"/>
    <w:rsid w:val="00B144DF"/>
    <w:rsid w:val="00B147B0"/>
    <w:rsid w:val="00B14821"/>
    <w:rsid w:val="00B14851"/>
    <w:rsid w:val="00B14A8C"/>
    <w:rsid w:val="00B14C4A"/>
    <w:rsid w:val="00B14D3C"/>
    <w:rsid w:val="00B14DCF"/>
    <w:rsid w:val="00B14DDD"/>
    <w:rsid w:val="00B14EE5"/>
    <w:rsid w:val="00B14F36"/>
    <w:rsid w:val="00B14F4E"/>
    <w:rsid w:val="00B14FE8"/>
    <w:rsid w:val="00B14FF0"/>
    <w:rsid w:val="00B1506B"/>
    <w:rsid w:val="00B150EE"/>
    <w:rsid w:val="00B1514B"/>
    <w:rsid w:val="00B151CF"/>
    <w:rsid w:val="00B1528C"/>
    <w:rsid w:val="00B15299"/>
    <w:rsid w:val="00B15523"/>
    <w:rsid w:val="00B15638"/>
    <w:rsid w:val="00B156D0"/>
    <w:rsid w:val="00B15835"/>
    <w:rsid w:val="00B15909"/>
    <w:rsid w:val="00B1592A"/>
    <w:rsid w:val="00B15970"/>
    <w:rsid w:val="00B159DB"/>
    <w:rsid w:val="00B15A42"/>
    <w:rsid w:val="00B15B13"/>
    <w:rsid w:val="00B15BCB"/>
    <w:rsid w:val="00B15ED3"/>
    <w:rsid w:val="00B15F11"/>
    <w:rsid w:val="00B15F43"/>
    <w:rsid w:val="00B1609A"/>
    <w:rsid w:val="00B160E7"/>
    <w:rsid w:val="00B160FD"/>
    <w:rsid w:val="00B161A8"/>
    <w:rsid w:val="00B161B5"/>
    <w:rsid w:val="00B16271"/>
    <w:rsid w:val="00B16289"/>
    <w:rsid w:val="00B16457"/>
    <w:rsid w:val="00B164EA"/>
    <w:rsid w:val="00B16506"/>
    <w:rsid w:val="00B167D1"/>
    <w:rsid w:val="00B1680D"/>
    <w:rsid w:val="00B16812"/>
    <w:rsid w:val="00B168E3"/>
    <w:rsid w:val="00B169CE"/>
    <w:rsid w:val="00B16B0C"/>
    <w:rsid w:val="00B16B1E"/>
    <w:rsid w:val="00B16B5E"/>
    <w:rsid w:val="00B16CD2"/>
    <w:rsid w:val="00B16E1B"/>
    <w:rsid w:val="00B16E43"/>
    <w:rsid w:val="00B16EF3"/>
    <w:rsid w:val="00B16F24"/>
    <w:rsid w:val="00B16F60"/>
    <w:rsid w:val="00B1704D"/>
    <w:rsid w:val="00B17288"/>
    <w:rsid w:val="00B172DD"/>
    <w:rsid w:val="00B1737F"/>
    <w:rsid w:val="00B173B1"/>
    <w:rsid w:val="00B17400"/>
    <w:rsid w:val="00B176C4"/>
    <w:rsid w:val="00B1779F"/>
    <w:rsid w:val="00B177C2"/>
    <w:rsid w:val="00B17816"/>
    <w:rsid w:val="00B1784C"/>
    <w:rsid w:val="00B178C8"/>
    <w:rsid w:val="00B17A0E"/>
    <w:rsid w:val="00B17BC5"/>
    <w:rsid w:val="00B17CA7"/>
    <w:rsid w:val="00B17D8E"/>
    <w:rsid w:val="00B17DCF"/>
    <w:rsid w:val="00B17EC3"/>
    <w:rsid w:val="00B17F48"/>
    <w:rsid w:val="00B17F79"/>
    <w:rsid w:val="00B17FE6"/>
    <w:rsid w:val="00B200D6"/>
    <w:rsid w:val="00B20267"/>
    <w:rsid w:val="00B20268"/>
    <w:rsid w:val="00B202B0"/>
    <w:rsid w:val="00B203CB"/>
    <w:rsid w:val="00B206CA"/>
    <w:rsid w:val="00B206EC"/>
    <w:rsid w:val="00B207A9"/>
    <w:rsid w:val="00B208FA"/>
    <w:rsid w:val="00B2093A"/>
    <w:rsid w:val="00B20B40"/>
    <w:rsid w:val="00B20E7F"/>
    <w:rsid w:val="00B20F33"/>
    <w:rsid w:val="00B20FA8"/>
    <w:rsid w:val="00B20FD8"/>
    <w:rsid w:val="00B2102D"/>
    <w:rsid w:val="00B21038"/>
    <w:rsid w:val="00B210FA"/>
    <w:rsid w:val="00B21118"/>
    <w:rsid w:val="00B21122"/>
    <w:rsid w:val="00B2117F"/>
    <w:rsid w:val="00B212C0"/>
    <w:rsid w:val="00B215C7"/>
    <w:rsid w:val="00B2175A"/>
    <w:rsid w:val="00B218E6"/>
    <w:rsid w:val="00B2196A"/>
    <w:rsid w:val="00B2196B"/>
    <w:rsid w:val="00B21985"/>
    <w:rsid w:val="00B21A30"/>
    <w:rsid w:val="00B21A78"/>
    <w:rsid w:val="00B21AA6"/>
    <w:rsid w:val="00B21B82"/>
    <w:rsid w:val="00B21C96"/>
    <w:rsid w:val="00B21D9F"/>
    <w:rsid w:val="00B21DEA"/>
    <w:rsid w:val="00B21F09"/>
    <w:rsid w:val="00B21F46"/>
    <w:rsid w:val="00B21F56"/>
    <w:rsid w:val="00B2202A"/>
    <w:rsid w:val="00B22069"/>
    <w:rsid w:val="00B220F1"/>
    <w:rsid w:val="00B22168"/>
    <w:rsid w:val="00B221BF"/>
    <w:rsid w:val="00B22239"/>
    <w:rsid w:val="00B222B0"/>
    <w:rsid w:val="00B22338"/>
    <w:rsid w:val="00B2234A"/>
    <w:rsid w:val="00B223AB"/>
    <w:rsid w:val="00B2243C"/>
    <w:rsid w:val="00B2245E"/>
    <w:rsid w:val="00B22509"/>
    <w:rsid w:val="00B22621"/>
    <w:rsid w:val="00B22668"/>
    <w:rsid w:val="00B226EA"/>
    <w:rsid w:val="00B22829"/>
    <w:rsid w:val="00B2282F"/>
    <w:rsid w:val="00B22AA5"/>
    <w:rsid w:val="00B22AF4"/>
    <w:rsid w:val="00B22C15"/>
    <w:rsid w:val="00B22D0F"/>
    <w:rsid w:val="00B23031"/>
    <w:rsid w:val="00B2303A"/>
    <w:rsid w:val="00B230F8"/>
    <w:rsid w:val="00B2318A"/>
    <w:rsid w:val="00B2326F"/>
    <w:rsid w:val="00B232D5"/>
    <w:rsid w:val="00B2336B"/>
    <w:rsid w:val="00B2339C"/>
    <w:rsid w:val="00B233B6"/>
    <w:rsid w:val="00B233D5"/>
    <w:rsid w:val="00B233FA"/>
    <w:rsid w:val="00B235AC"/>
    <w:rsid w:val="00B235B7"/>
    <w:rsid w:val="00B235C3"/>
    <w:rsid w:val="00B23651"/>
    <w:rsid w:val="00B23772"/>
    <w:rsid w:val="00B237F3"/>
    <w:rsid w:val="00B23904"/>
    <w:rsid w:val="00B23A79"/>
    <w:rsid w:val="00B23B73"/>
    <w:rsid w:val="00B23CA3"/>
    <w:rsid w:val="00B23D6E"/>
    <w:rsid w:val="00B23E4F"/>
    <w:rsid w:val="00B23E55"/>
    <w:rsid w:val="00B23EC1"/>
    <w:rsid w:val="00B23F0D"/>
    <w:rsid w:val="00B23FB7"/>
    <w:rsid w:val="00B24041"/>
    <w:rsid w:val="00B2406D"/>
    <w:rsid w:val="00B240C8"/>
    <w:rsid w:val="00B24153"/>
    <w:rsid w:val="00B245F7"/>
    <w:rsid w:val="00B2461F"/>
    <w:rsid w:val="00B247CF"/>
    <w:rsid w:val="00B248CF"/>
    <w:rsid w:val="00B24A0C"/>
    <w:rsid w:val="00B24AFF"/>
    <w:rsid w:val="00B24BC7"/>
    <w:rsid w:val="00B24EBF"/>
    <w:rsid w:val="00B24F83"/>
    <w:rsid w:val="00B24FA4"/>
    <w:rsid w:val="00B25083"/>
    <w:rsid w:val="00B2511C"/>
    <w:rsid w:val="00B25138"/>
    <w:rsid w:val="00B251DD"/>
    <w:rsid w:val="00B25202"/>
    <w:rsid w:val="00B25292"/>
    <w:rsid w:val="00B252AC"/>
    <w:rsid w:val="00B2530F"/>
    <w:rsid w:val="00B25315"/>
    <w:rsid w:val="00B25367"/>
    <w:rsid w:val="00B253BF"/>
    <w:rsid w:val="00B25434"/>
    <w:rsid w:val="00B255DA"/>
    <w:rsid w:val="00B25701"/>
    <w:rsid w:val="00B25755"/>
    <w:rsid w:val="00B2579E"/>
    <w:rsid w:val="00B257B6"/>
    <w:rsid w:val="00B257CD"/>
    <w:rsid w:val="00B2585E"/>
    <w:rsid w:val="00B258CD"/>
    <w:rsid w:val="00B25909"/>
    <w:rsid w:val="00B2590C"/>
    <w:rsid w:val="00B25965"/>
    <w:rsid w:val="00B25B53"/>
    <w:rsid w:val="00B25DEE"/>
    <w:rsid w:val="00B25EA6"/>
    <w:rsid w:val="00B261B7"/>
    <w:rsid w:val="00B26230"/>
    <w:rsid w:val="00B2630C"/>
    <w:rsid w:val="00B2635C"/>
    <w:rsid w:val="00B26376"/>
    <w:rsid w:val="00B26504"/>
    <w:rsid w:val="00B2663F"/>
    <w:rsid w:val="00B266CE"/>
    <w:rsid w:val="00B266D6"/>
    <w:rsid w:val="00B266D7"/>
    <w:rsid w:val="00B26831"/>
    <w:rsid w:val="00B26867"/>
    <w:rsid w:val="00B2686C"/>
    <w:rsid w:val="00B268C0"/>
    <w:rsid w:val="00B26A1E"/>
    <w:rsid w:val="00B26A96"/>
    <w:rsid w:val="00B26A9A"/>
    <w:rsid w:val="00B26B4C"/>
    <w:rsid w:val="00B26C37"/>
    <w:rsid w:val="00B26E3D"/>
    <w:rsid w:val="00B26ECA"/>
    <w:rsid w:val="00B26F1C"/>
    <w:rsid w:val="00B27114"/>
    <w:rsid w:val="00B2722E"/>
    <w:rsid w:val="00B27384"/>
    <w:rsid w:val="00B27419"/>
    <w:rsid w:val="00B2749A"/>
    <w:rsid w:val="00B27580"/>
    <w:rsid w:val="00B2767C"/>
    <w:rsid w:val="00B27725"/>
    <w:rsid w:val="00B27786"/>
    <w:rsid w:val="00B27891"/>
    <w:rsid w:val="00B278FE"/>
    <w:rsid w:val="00B27938"/>
    <w:rsid w:val="00B2794E"/>
    <w:rsid w:val="00B27990"/>
    <w:rsid w:val="00B27A00"/>
    <w:rsid w:val="00B27B5D"/>
    <w:rsid w:val="00B27BBC"/>
    <w:rsid w:val="00B27C0C"/>
    <w:rsid w:val="00B27C7A"/>
    <w:rsid w:val="00B27C93"/>
    <w:rsid w:val="00B27DD8"/>
    <w:rsid w:val="00B27EB1"/>
    <w:rsid w:val="00B27EF0"/>
    <w:rsid w:val="00B27EFA"/>
    <w:rsid w:val="00B27F02"/>
    <w:rsid w:val="00B27FC5"/>
    <w:rsid w:val="00B30028"/>
    <w:rsid w:val="00B300EB"/>
    <w:rsid w:val="00B300F4"/>
    <w:rsid w:val="00B300F9"/>
    <w:rsid w:val="00B30264"/>
    <w:rsid w:val="00B30327"/>
    <w:rsid w:val="00B3037B"/>
    <w:rsid w:val="00B303A8"/>
    <w:rsid w:val="00B30557"/>
    <w:rsid w:val="00B30683"/>
    <w:rsid w:val="00B306CC"/>
    <w:rsid w:val="00B30803"/>
    <w:rsid w:val="00B308F5"/>
    <w:rsid w:val="00B30982"/>
    <w:rsid w:val="00B3099D"/>
    <w:rsid w:val="00B30A01"/>
    <w:rsid w:val="00B30BA3"/>
    <w:rsid w:val="00B30C63"/>
    <w:rsid w:val="00B30D2D"/>
    <w:rsid w:val="00B30E18"/>
    <w:rsid w:val="00B30E64"/>
    <w:rsid w:val="00B30E89"/>
    <w:rsid w:val="00B30EA1"/>
    <w:rsid w:val="00B30F1C"/>
    <w:rsid w:val="00B310A3"/>
    <w:rsid w:val="00B3112E"/>
    <w:rsid w:val="00B3132E"/>
    <w:rsid w:val="00B313C2"/>
    <w:rsid w:val="00B314DB"/>
    <w:rsid w:val="00B31528"/>
    <w:rsid w:val="00B31535"/>
    <w:rsid w:val="00B3163B"/>
    <w:rsid w:val="00B316CE"/>
    <w:rsid w:val="00B31748"/>
    <w:rsid w:val="00B317B8"/>
    <w:rsid w:val="00B319D9"/>
    <w:rsid w:val="00B31AAA"/>
    <w:rsid w:val="00B31AEB"/>
    <w:rsid w:val="00B31B33"/>
    <w:rsid w:val="00B31D5F"/>
    <w:rsid w:val="00B31D73"/>
    <w:rsid w:val="00B31E31"/>
    <w:rsid w:val="00B31FC8"/>
    <w:rsid w:val="00B32019"/>
    <w:rsid w:val="00B320A7"/>
    <w:rsid w:val="00B32130"/>
    <w:rsid w:val="00B321B4"/>
    <w:rsid w:val="00B321CA"/>
    <w:rsid w:val="00B32370"/>
    <w:rsid w:val="00B325A9"/>
    <w:rsid w:val="00B325C7"/>
    <w:rsid w:val="00B32769"/>
    <w:rsid w:val="00B327F4"/>
    <w:rsid w:val="00B328E4"/>
    <w:rsid w:val="00B329FF"/>
    <w:rsid w:val="00B32B4E"/>
    <w:rsid w:val="00B32B77"/>
    <w:rsid w:val="00B32BA6"/>
    <w:rsid w:val="00B32F89"/>
    <w:rsid w:val="00B32F8C"/>
    <w:rsid w:val="00B3329B"/>
    <w:rsid w:val="00B333DD"/>
    <w:rsid w:val="00B3352D"/>
    <w:rsid w:val="00B336C8"/>
    <w:rsid w:val="00B3385D"/>
    <w:rsid w:val="00B33940"/>
    <w:rsid w:val="00B33959"/>
    <w:rsid w:val="00B33AF6"/>
    <w:rsid w:val="00B33C1E"/>
    <w:rsid w:val="00B33CB0"/>
    <w:rsid w:val="00B33DDE"/>
    <w:rsid w:val="00B33F4C"/>
    <w:rsid w:val="00B33FAA"/>
    <w:rsid w:val="00B34051"/>
    <w:rsid w:val="00B3416D"/>
    <w:rsid w:val="00B3424A"/>
    <w:rsid w:val="00B342E9"/>
    <w:rsid w:val="00B3430B"/>
    <w:rsid w:val="00B34336"/>
    <w:rsid w:val="00B34380"/>
    <w:rsid w:val="00B343B0"/>
    <w:rsid w:val="00B34581"/>
    <w:rsid w:val="00B34699"/>
    <w:rsid w:val="00B347AE"/>
    <w:rsid w:val="00B3481A"/>
    <w:rsid w:val="00B3486E"/>
    <w:rsid w:val="00B34B30"/>
    <w:rsid w:val="00B34CC5"/>
    <w:rsid w:val="00B34DFA"/>
    <w:rsid w:val="00B34EE6"/>
    <w:rsid w:val="00B34F51"/>
    <w:rsid w:val="00B34FA3"/>
    <w:rsid w:val="00B3530E"/>
    <w:rsid w:val="00B3542B"/>
    <w:rsid w:val="00B3550B"/>
    <w:rsid w:val="00B3551A"/>
    <w:rsid w:val="00B35670"/>
    <w:rsid w:val="00B356FE"/>
    <w:rsid w:val="00B35820"/>
    <w:rsid w:val="00B3584D"/>
    <w:rsid w:val="00B35866"/>
    <w:rsid w:val="00B35869"/>
    <w:rsid w:val="00B35A97"/>
    <w:rsid w:val="00B35BD5"/>
    <w:rsid w:val="00B35C8B"/>
    <w:rsid w:val="00B35CE9"/>
    <w:rsid w:val="00B35DE9"/>
    <w:rsid w:val="00B35E15"/>
    <w:rsid w:val="00B35EF5"/>
    <w:rsid w:val="00B35F63"/>
    <w:rsid w:val="00B35FB3"/>
    <w:rsid w:val="00B360D6"/>
    <w:rsid w:val="00B36298"/>
    <w:rsid w:val="00B36372"/>
    <w:rsid w:val="00B363C7"/>
    <w:rsid w:val="00B364F7"/>
    <w:rsid w:val="00B36524"/>
    <w:rsid w:val="00B36665"/>
    <w:rsid w:val="00B36727"/>
    <w:rsid w:val="00B36779"/>
    <w:rsid w:val="00B367D0"/>
    <w:rsid w:val="00B36929"/>
    <w:rsid w:val="00B36969"/>
    <w:rsid w:val="00B36AF7"/>
    <w:rsid w:val="00B36B7B"/>
    <w:rsid w:val="00B36B88"/>
    <w:rsid w:val="00B36BAE"/>
    <w:rsid w:val="00B36C19"/>
    <w:rsid w:val="00B36D05"/>
    <w:rsid w:val="00B36D7C"/>
    <w:rsid w:val="00B36D82"/>
    <w:rsid w:val="00B36E8D"/>
    <w:rsid w:val="00B36F0C"/>
    <w:rsid w:val="00B37088"/>
    <w:rsid w:val="00B37146"/>
    <w:rsid w:val="00B3717F"/>
    <w:rsid w:val="00B37196"/>
    <w:rsid w:val="00B371DA"/>
    <w:rsid w:val="00B371F1"/>
    <w:rsid w:val="00B37200"/>
    <w:rsid w:val="00B3724E"/>
    <w:rsid w:val="00B37262"/>
    <w:rsid w:val="00B37346"/>
    <w:rsid w:val="00B37376"/>
    <w:rsid w:val="00B373DA"/>
    <w:rsid w:val="00B3744D"/>
    <w:rsid w:val="00B37459"/>
    <w:rsid w:val="00B3749D"/>
    <w:rsid w:val="00B374D6"/>
    <w:rsid w:val="00B374F9"/>
    <w:rsid w:val="00B376DF"/>
    <w:rsid w:val="00B376E5"/>
    <w:rsid w:val="00B37A79"/>
    <w:rsid w:val="00B37C37"/>
    <w:rsid w:val="00B37C9C"/>
    <w:rsid w:val="00B37D42"/>
    <w:rsid w:val="00B37D79"/>
    <w:rsid w:val="00B37E8E"/>
    <w:rsid w:val="00B37FA3"/>
    <w:rsid w:val="00B400F3"/>
    <w:rsid w:val="00B40269"/>
    <w:rsid w:val="00B403C1"/>
    <w:rsid w:val="00B403F3"/>
    <w:rsid w:val="00B4051B"/>
    <w:rsid w:val="00B40531"/>
    <w:rsid w:val="00B4058E"/>
    <w:rsid w:val="00B405DD"/>
    <w:rsid w:val="00B4060A"/>
    <w:rsid w:val="00B4060B"/>
    <w:rsid w:val="00B40741"/>
    <w:rsid w:val="00B407D7"/>
    <w:rsid w:val="00B408CE"/>
    <w:rsid w:val="00B409EF"/>
    <w:rsid w:val="00B40A18"/>
    <w:rsid w:val="00B40AD3"/>
    <w:rsid w:val="00B40B0B"/>
    <w:rsid w:val="00B40B2A"/>
    <w:rsid w:val="00B40B65"/>
    <w:rsid w:val="00B40B88"/>
    <w:rsid w:val="00B40BB1"/>
    <w:rsid w:val="00B40BD0"/>
    <w:rsid w:val="00B40CB3"/>
    <w:rsid w:val="00B40D03"/>
    <w:rsid w:val="00B40D1E"/>
    <w:rsid w:val="00B40ED1"/>
    <w:rsid w:val="00B40F85"/>
    <w:rsid w:val="00B40FA8"/>
    <w:rsid w:val="00B41030"/>
    <w:rsid w:val="00B4106F"/>
    <w:rsid w:val="00B410B1"/>
    <w:rsid w:val="00B410DA"/>
    <w:rsid w:val="00B410E9"/>
    <w:rsid w:val="00B41111"/>
    <w:rsid w:val="00B411FE"/>
    <w:rsid w:val="00B412A6"/>
    <w:rsid w:val="00B41396"/>
    <w:rsid w:val="00B414BE"/>
    <w:rsid w:val="00B414F5"/>
    <w:rsid w:val="00B4154A"/>
    <w:rsid w:val="00B41718"/>
    <w:rsid w:val="00B4188C"/>
    <w:rsid w:val="00B41A63"/>
    <w:rsid w:val="00B41AEE"/>
    <w:rsid w:val="00B41CB5"/>
    <w:rsid w:val="00B41D9C"/>
    <w:rsid w:val="00B41E18"/>
    <w:rsid w:val="00B41EA6"/>
    <w:rsid w:val="00B41EA8"/>
    <w:rsid w:val="00B4201D"/>
    <w:rsid w:val="00B422E2"/>
    <w:rsid w:val="00B42351"/>
    <w:rsid w:val="00B4238A"/>
    <w:rsid w:val="00B423CC"/>
    <w:rsid w:val="00B424F7"/>
    <w:rsid w:val="00B425E4"/>
    <w:rsid w:val="00B426ED"/>
    <w:rsid w:val="00B428B0"/>
    <w:rsid w:val="00B429E2"/>
    <w:rsid w:val="00B429ED"/>
    <w:rsid w:val="00B42ABC"/>
    <w:rsid w:val="00B42B05"/>
    <w:rsid w:val="00B42C08"/>
    <w:rsid w:val="00B42C8B"/>
    <w:rsid w:val="00B42DB8"/>
    <w:rsid w:val="00B42DC6"/>
    <w:rsid w:val="00B42DC8"/>
    <w:rsid w:val="00B42DD5"/>
    <w:rsid w:val="00B42F34"/>
    <w:rsid w:val="00B42F85"/>
    <w:rsid w:val="00B42FC6"/>
    <w:rsid w:val="00B431CF"/>
    <w:rsid w:val="00B43204"/>
    <w:rsid w:val="00B4329B"/>
    <w:rsid w:val="00B432FB"/>
    <w:rsid w:val="00B43378"/>
    <w:rsid w:val="00B43581"/>
    <w:rsid w:val="00B4359E"/>
    <w:rsid w:val="00B435EC"/>
    <w:rsid w:val="00B4366C"/>
    <w:rsid w:val="00B436D3"/>
    <w:rsid w:val="00B43992"/>
    <w:rsid w:val="00B439AD"/>
    <w:rsid w:val="00B43A06"/>
    <w:rsid w:val="00B43A25"/>
    <w:rsid w:val="00B43A5A"/>
    <w:rsid w:val="00B43A85"/>
    <w:rsid w:val="00B43AD9"/>
    <w:rsid w:val="00B43B95"/>
    <w:rsid w:val="00B43BA9"/>
    <w:rsid w:val="00B43DE5"/>
    <w:rsid w:val="00B43E31"/>
    <w:rsid w:val="00B43E49"/>
    <w:rsid w:val="00B43EEF"/>
    <w:rsid w:val="00B43FF0"/>
    <w:rsid w:val="00B43FFB"/>
    <w:rsid w:val="00B4403B"/>
    <w:rsid w:val="00B4406D"/>
    <w:rsid w:val="00B440A7"/>
    <w:rsid w:val="00B4418B"/>
    <w:rsid w:val="00B4421F"/>
    <w:rsid w:val="00B44369"/>
    <w:rsid w:val="00B443CC"/>
    <w:rsid w:val="00B4441F"/>
    <w:rsid w:val="00B44425"/>
    <w:rsid w:val="00B444CD"/>
    <w:rsid w:val="00B4451D"/>
    <w:rsid w:val="00B445B6"/>
    <w:rsid w:val="00B445C5"/>
    <w:rsid w:val="00B44628"/>
    <w:rsid w:val="00B4467C"/>
    <w:rsid w:val="00B446BC"/>
    <w:rsid w:val="00B4485E"/>
    <w:rsid w:val="00B44895"/>
    <w:rsid w:val="00B448D7"/>
    <w:rsid w:val="00B449EB"/>
    <w:rsid w:val="00B44A73"/>
    <w:rsid w:val="00B44CB6"/>
    <w:rsid w:val="00B44CC3"/>
    <w:rsid w:val="00B44CE3"/>
    <w:rsid w:val="00B44D0C"/>
    <w:rsid w:val="00B44D60"/>
    <w:rsid w:val="00B44D76"/>
    <w:rsid w:val="00B44D96"/>
    <w:rsid w:val="00B44DD4"/>
    <w:rsid w:val="00B44E57"/>
    <w:rsid w:val="00B44E94"/>
    <w:rsid w:val="00B44F86"/>
    <w:rsid w:val="00B44FBD"/>
    <w:rsid w:val="00B45053"/>
    <w:rsid w:val="00B45211"/>
    <w:rsid w:val="00B453BF"/>
    <w:rsid w:val="00B453EF"/>
    <w:rsid w:val="00B45587"/>
    <w:rsid w:val="00B4563D"/>
    <w:rsid w:val="00B4585B"/>
    <w:rsid w:val="00B4588D"/>
    <w:rsid w:val="00B45B85"/>
    <w:rsid w:val="00B45B8F"/>
    <w:rsid w:val="00B45B99"/>
    <w:rsid w:val="00B45C32"/>
    <w:rsid w:val="00B45C60"/>
    <w:rsid w:val="00B45DDF"/>
    <w:rsid w:val="00B45E13"/>
    <w:rsid w:val="00B45ECB"/>
    <w:rsid w:val="00B45F32"/>
    <w:rsid w:val="00B45FAF"/>
    <w:rsid w:val="00B45FF7"/>
    <w:rsid w:val="00B46022"/>
    <w:rsid w:val="00B4602C"/>
    <w:rsid w:val="00B460C8"/>
    <w:rsid w:val="00B461B1"/>
    <w:rsid w:val="00B4624D"/>
    <w:rsid w:val="00B463CC"/>
    <w:rsid w:val="00B464B1"/>
    <w:rsid w:val="00B4650E"/>
    <w:rsid w:val="00B465C1"/>
    <w:rsid w:val="00B46604"/>
    <w:rsid w:val="00B46628"/>
    <w:rsid w:val="00B46798"/>
    <w:rsid w:val="00B46AB2"/>
    <w:rsid w:val="00B46C25"/>
    <w:rsid w:val="00B46C65"/>
    <w:rsid w:val="00B46D0E"/>
    <w:rsid w:val="00B46F4F"/>
    <w:rsid w:val="00B46F82"/>
    <w:rsid w:val="00B46F93"/>
    <w:rsid w:val="00B47076"/>
    <w:rsid w:val="00B470D5"/>
    <w:rsid w:val="00B47153"/>
    <w:rsid w:val="00B47194"/>
    <w:rsid w:val="00B471D8"/>
    <w:rsid w:val="00B47211"/>
    <w:rsid w:val="00B472B8"/>
    <w:rsid w:val="00B472FA"/>
    <w:rsid w:val="00B472FB"/>
    <w:rsid w:val="00B47326"/>
    <w:rsid w:val="00B47329"/>
    <w:rsid w:val="00B473D5"/>
    <w:rsid w:val="00B47416"/>
    <w:rsid w:val="00B4767C"/>
    <w:rsid w:val="00B47720"/>
    <w:rsid w:val="00B47798"/>
    <w:rsid w:val="00B47804"/>
    <w:rsid w:val="00B478D9"/>
    <w:rsid w:val="00B478E2"/>
    <w:rsid w:val="00B47932"/>
    <w:rsid w:val="00B47969"/>
    <w:rsid w:val="00B4799F"/>
    <w:rsid w:val="00B479C9"/>
    <w:rsid w:val="00B47A2E"/>
    <w:rsid w:val="00B47AA0"/>
    <w:rsid w:val="00B47B2B"/>
    <w:rsid w:val="00B47B64"/>
    <w:rsid w:val="00B47CA6"/>
    <w:rsid w:val="00B47D34"/>
    <w:rsid w:val="00B47F96"/>
    <w:rsid w:val="00B47FA0"/>
    <w:rsid w:val="00B47FB6"/>
    <w:rsid w:val="00B47FC8"/>
    <w:rsid w:val="00B501D8"/>
    <w:rsid w:val="00B5036E"/>
    <w:rsid w:val="00B50439"/>
    <w:rsid w:val="00B504B7"/>
    <w:rsid w:val="00B50626"/>
    <w:rsid w:val="00B5067E"/>
    <w:rsid w:val="00B50786"/>
    <w:rsid w:val="00B50862"/>
    <w:rsid w:val="00B509CD"/>
    <w:rsid w:val="00B50A7A"/>
    <w:rsid w:val="00B50BD6"/>
    <w:rsid w:val="00B50C64"/>
    <w:rsid w:val="00B50D08"/>
    <w:rsid w:val="00B50D46"/>
    <w:rsid w:val="00B50E4F"/>
    <w:rsid w:val="00B50EA0"/>
    <w:rsid w:val="00B50F8D"/>
    <w:rsid w:val="00B50FC9"/>
    <w:rsid w:val="00B50FD8"/>
    <w:rsid w:val="00B50FF1"/>
    <w:rsid w:val="00B51004"/>
    <w:rsid w:val="00B51144"/>
    <w:rsid w:val="00B51181"/>
    <w:rsid w:val="00B51329"/>
    <w:rsid w:val="00B5133C"/>
    <w:rsid w:val="00B5139E"/>
    <w:rsid w:val="00B5140F"/>
    <w:rsid w:val="00B5152C"/>
    <w:rsid w:val="00B5161A"/>
    <w:rsid w:val="00B51726"/>
    <w:rsid w:val="00B51752"/>
    <w:rsid w:val="00B51880"/>
    <w:rsid w:val="00B518A4"/>
    <w:rsid w:val="00B518EB"/>
    <w:rsid w:val="00B518FA"/>
    <w:rsid w:val="00B51AB1"/>
    <w:rsid w:val="00B51B55"/>
    <w:rsid w:val="00B51BAE"/>
    <w:rsid w:val="00B51D06"/>
    <w:rsid w:val="00B51DF5"/>
    <w:rsid w:val="00B51E14"/>
    <w:rsid w:val="00B51E75"/>
    <w:rsid w:val="00B51E94"/>
    <w:rsid w:val="00B51F50"/>
    <w:rsid w:val="00B51F69"/>
    <w:rsid w:val="00B5202E"/>
    <w:rsid w:val="00B52186"/>
    <w:rsid w:val="00B52188"/>
    <w:rsid w:val="00B5218F"/>
    <w:rsid w:val="00B52228"/>
    <w:rsid w:val="00B52247"/>
    <w:rsid w:val="00B523EF"/>
    <w:rsid w:val="00B524DC"/>
    <w:rsid w:val="00B52524"/>
    <w:rsid w:val="00B5260C"/>
    <w:rsid w:val="00B52670"/>
    <w:rsid w:val="00B52674"/>
    <w:rsid w:val="00B527F0"/>
    <w:rsid w:val="00B52908"/>
    <w:rsid w:val="00B529B8"/>
    <w:rsid w:val="00B529C4"/>
    <w:rsid w:val="00B52A21"/>
    <w:rsid w:val="00B52AAA"/>
    <w:rsid w:val="00B52B4D"/>
    <w:rsid w:val="00B52C08"/>
    <w:rsid w:val="00B52C16"/>
    <w:rsid w:val="00B52C8A"/>
    <w:rsid w:val="00B52D4A"/>
    <w:rsid w:val="00B52E32"/>
    <w:rsid w:val="00B52EE1"/>
    <w:rsid w:val="00B52F17"/>
    <w:rsid w:val="00B5313A"/>
    <w:rsid w:val="00B5319F"/>
    <w:rsid w:val="00B531FE"/>
    <w:rsid w:val="00B53228"/>
    <w:rsid w:val="00B532FD"/>
    <w:rsid w:val="00B53353"/>
    <w:rsid w:val="00B533AF"/>
    <w:rsid w:val="00B5348C"/>
    <w:rsid w:val="00B5364A"/>
    <w:rsid w:val="00B53702"/>
    <w:rsid w:val="00B538C1"/>
    <w:rsid w:val="00B53AA4"/>
    <w:rsid w:val="00B53B7D"/>
    <w:rsid w:val="00B53C10"/>
    <w:rsid w:val="00B53CBF"/>
    <w:rsid w:val="00B53DA6"/>
    <w:rsid w:val="00B53DE1"/>
    <w:rsid w:val="00B53EA9"/>
    <w:rsid w:val="00B53F13"/>
    <w:rsid w:val="00B53F6A"/>
    <w:rsid w:val="00B5413B"/>
    <w:rsid w:val="00B541F3"/>
    <w:rsid w:val="00B5424F"/>
    <w:rsid w:val="00B542CB"/>
    <w:rsid w:val="00B543A6"/>
    <w:rsid w:val="00B5447E"/>
    <w:rsid w:val="00B5472A"/>
    <w:rsid w:val="00B548B0"/>
    <w:rsid w:val="00B54A22"/>
    <w:rsid w:val="00B54A80"/>
    <w:rsid w:val="00B54AD1"/>
    <w:rsid w:val="00B54B67"/>
    <w:rsid w:val="00B54E3F"/>
    <w:rsid w:val="00B5500F"/>
    <w:rsid w:val="00B55153"/>
    <w:rsid w:val="00B55283"/>
    <w:rsid w:val="00B55290"/>
    <w:rsid w:val="00B55315"/>
    <w:rsid w:val="00B554AA"/>
    <w:rsid w:val="00B554C9"/>
    <w:rsid w:val="00B556EC"/>
    <w:rsid w:val="00B55704"/>
    <w:rsid w:val="00B5576E"/>
    <w:rsid w:val="00B5580C"/>
    <w:rsid w:val="00B5586C"/>
    <w:rsid w:val="00B55A14"/>
    <w:rsid w:val="00B55A43"/>
    <w:rsid w:val="00B55A8F"/>
    <w:rsid w:val="00B55B28"/>
    <w:rsid w:val="00B55E13"/>
    <w:rsid w:val="00B55EED"/>
    <w:rsid w:val="00B55F29"/>
    <w:rsid w:val="00B55FDF"/>
    <w:rsid w:val="00B56042"/>
    <w:rsid w:val="00B56417"/>
    <w:rsid w:val="00B56455"/>
    <w:rsid w:val="00B56482"/>
    <w:rsid w:val="00B566C5"/>
    <w:rsid w:val="00B566F0"/>
    <w:rsid w:val="00B56AB4"/>
    <w:rsid w:val="00B56ADA"/>
    <w:rsid w:val="00B56AE3"/>
    <w:rsid w:val="00B56B04"/>
    <w:rsid w:val="00B56C55"/>
    <w:rsid w:val="00B56C85"/>
    <w:rsid w:val="00B56CCE"/>
    <w:rsid w:val="00B56D5A"/>
    <w:rsid w:val="00B56E4C"/>
    <w:rsid w:val="00B57017"/>
    <w:rsid w:val="00B57049"/>
    <w:rsid w:val="00B57074"/>
    <w:rsid w:val="00B5718E"/>
    <w:rsid w:val="00B571EF"/>
    <w:rsid w:val="00B572EB"/>
    <w:rsid w:val="00B57332"/>
    <w:rsid w:val="00B57383"/>
    <w:rsid w:val="00B574A4"/>
    <w:rsid w:val="00B575F4"/>
    <w:rsid w:val="00B5761D"/>
    <w:rsid w:val="00B5767D"/>
    <w:rsid w:val="00B5779B"/>
    <w:rsid w:val="00B577C6"/>
    <w:rsid w:val="00B577CA"/>
    <w:rsid w:val="00B577ED"/>
    <w:rsid w:val="00B5785E"/>
    <w:rsid w:val="00B57996"/>
    <w:rsid w:val="00B57B98"/>
    <w:rsid w:val="00B601D4"/>
    <w:rsid w:val="00B6045A"/>
    <w:rsid w:val="00B604A2"/>
    <w:rsid w:val="00B604AA"/>
    <w:rsid w:val="00B60586"/>
    <w:rsid w:val="00B605D6"/>
    <w:rsid w:val="00B606AD"/>
    <w:rsid w:val="00B60721"/>
    <w:rsid w:val="00B607A9"/>
    <w:rsid w:val="00B60914"/>
    <w:rsid w:val="00B6099C"/>
    <w:rsid w:val="00B60A95"/>
    <w:rsid w:val="00B60A9B"/>
    <w:rsid w:val="00B60B1B"/>
    <w:rsid w:val="00B60C16"/>
    <w:rsid w:val="00B60D09"/>
    <w:rsid w:val="00B60D3C"/>
    <w:rsid w:val="00B60E6E"/>
    <w:rsid w:val="00B60F2B"/>
    <w:rsid w:val="00B60F7D"/>
    <w:rsid w:val="00B60F91"/>
    <w:rsid w:val="00B6100D"/>
    <w:rsid w:val="00B61116"/>
    <w:rsid w:val="00B611C1"/>
    <w:rsid w:val="00B611D2"/>
    <w:rsid w:val="00B612EE"/>
    <w:rsid w:val="00B6138E"/>
    <w:rsid w:val="00B613DE"/>
    <w:rsid w:val="00B61419"/>
    <w:rsid w:val="00B6142D"/>
    <w:rsid w:val="00B61539"/>
    <w:rsid w:val="00B61551"/>
    <w:rsid w:val="00B616A9"/>
    <w:rsid w:val="00B617AC"/>
    <w:rsid w:val="00B617B8"/>
    <w:rsid w:val="00B6182E"/>
    <w:rsid w:val="00B61927"/>
    <w:rsid w:val="00B6194F"/>
    <w:rsid w:val="00B61971"/>
    <w:rsid w:val="00B61D06"/>
    <w:rsid w:val="00B61D4A"/>
    <w:rsid w:val="00B61E0F"/>
    <w:rsid w:val="00B62004"/>
    <w:rsid w:val="00B6217D"/>
    <w:rsid w:val="00B62377"/>
    <w:rsid w:val="00B623B9"/>
    <w:rsid w:val="00B62424"/>
    <w:rsid w:val="00B62475"/>
    <w:rsid w:val="00B624A5"/>
    <w:rsid w:val="00B624B3"/>
    <w:rsid w:val="00B62515"/>
    <w:rsid w:val="00B62555"/>
    <w:rsid w:val="00B6255D"/>
    <w:rsid w:val="00B625F0"/>
    <w:rsid w:val="00B62618"/>
    <w:rsid w:val="00B626AE"/>
    <w:rsid w:val="00B62709"/>
    <w:rsid w:val="00B6276E"/>
    <w:rsid w:val="00B62961"/>
    <w:rsid w:val="00B629BD"/>
    <w:rsid w:val="00B62A8A"/>
    <w:rsid w:val="00B62ABD"/>
    <w:rsid w:val="00B62B78"/>
    <w:rsid w:val="00B62BB2"/>
    <w:rsid w:val="00B62CA2"/>
    <w:rsid w:val="00B62CB9"/>
    <w:rsid w:val="00B62ED0"/>
    <w:rsid w:val="00B63003"/>
    <w:rsid w:val="00B63023"/>
    <w:rsid w:val="00B630F0"/>
    <w:rsid w:val="00B63174"/>
    <w:rsid w:val="00B631CD"/>
    <w:rsid w:val="00B6327D"/>
    <w:rsid w:val="00B632A0"/>
    <w:rsid w:val="00B635A8"/>
    <w:rsid w:val="00B6363E"/>
    <w:rsid w:val="00B63849"/>
    <w:rsid w:val="00B639FF"/>
    <w:rsid w:val="00B63B44"/>
    <w:rsid w:val="00B63BA4"/>
    <w:rsid w:val="00B63C0A"/>
    <w:rsid w:val="00B63C31"/>
    <w:rsid w:val="00B63CA3"/>
    <w:rsid w:val="00B63CDF"/>
    <w:rsid w:val="00B63DC0"/>
    <w:rsid w:val="00B63E08"/>
    <w:rsid w:val="00B63EF3"/>
    <w:rsid w:val="00B640EE"/>
    <w:rsid w:val="00B64274"/>
    <w:rsid w:val="00B64296"/>
    <w:rsid w:val="00B64305"/>
    <w:rsid w:val="00B64378"/>
    <w:rsid w:val="00B643B3"/>
    <w:rsid w:val="00B64403"/>
    <w:rsid w:val="00B64422"/>
    <w:rsid w:val="00B6445A"/>
    <w:rsid w:val="00B644FE"/>
    <w:rsid w:val="00B6468C"/>
    <w:rsid w:val="00B64719"/>
    <w:rsid w:val="00B64758"/>
    <w:rsid w:val="00B648F8"/>
    <w:rsid w:val="00B64931"/>
    <w:rsid w:val="00B64947"/>
    <w:rsid w:val="00B6495F"/>
    <w:rsid w:val="00B64A69"/>
    <w:rsid w:val="00B64AAD"/>
    <w:rsid w:val="00B64AE9"/>
    <w:rsid w:val="00B64CFE"/>
    <w:rsid w:val="00B64F21"/>
    <w:rsid w:val="00B64F7B"/>
    <w:rsid w:val="00B64FF0"/>
    <w:rsid w:val="00B65035"/>
    <w:rsid w:val="00B65171"/>
    <w:rsid w:val="00B6517A"/>
    <w:rsid w:val="00B651D3"/>
    <w:rsid w:val="00B65300"/>
    <w:rsid w:val="00B65339"/>
    <w:rsid w:val="00B65430"/>
    <w:rsid w:val="00B657D9"/>
    <w:rsid w:val="00B6588E"/>
    <w:rsid w:val="00B658EB"/>
    <w:rsid w:val="00B65906"/>
    <w:rsid w:val="00B6592C"/>
    <w:rsid w:val="00B65992"/>
    <w:rsid w:val="00B659DC"/>
    <w:rsid w:val="00B659F6"/>
    <w:rsid w:val="00B65A43"/>
    <w:rsid w:val="00B65AE6"/>
    <w:rsid w:val="00B65BE4"/>
    <w:rsid w:val="00B65C92"/>
    <w:rsid w:val="00B65CD0"/>
    <w:rsid w:val="00B65D0E"/>
    <w:rsid w:val="00B65E5A"/>
    <w:rsid w:val="00B65EE8"/>
    <w:rsid w:val="00B65F35"/>
    <w:rsid w:val="00B65FC6"/>
    <w:rsid w:val="00B66153"/>
    <w:rsid w:val="00B662F2"/>
    <w:rsid w:val="00B66304"/>
    <w:rsid w:val="00B663CA"/>
    <w:rsid w:val="00B663E3"/>
    <w:rsid w:val="00B66434"/>
    <w:rsid w:val="00B66499"/>
    <w:rsid w:val="00B664F9"/>
    <w:rsid w:val="00B666D7"/>
    <w:rsid w:val="00B666DB"/>
    <w:rsid w:val="00B66770"/>
    <w:rsid w:val="00B667B3"/>
    <w:rsid w:val="00B66813"/>
    <w:rsid w:val="00B668BE"/>
    <w:rsid w:val="00B6691E"/>
    <w:rsid w:val="00B66A60"/>
    <w:rsid w:val="00B66B0F"/>
    <w:rsid w:val="00B66C2E"/>
    <w:rsid w:val="00B66D9E"/>
    <w:rsid w:val="00B66E0F"/>
    <w:rsid w:val="00B66E2A"/>
    <w:rsid w:val="00B66EFD"/>
    <w:rsid w:val="00B66F58"/>
    <w:rsid w:val="00B66FB3"/>
    <w:rsid w:val="00B66FEC"/>
    <w:rsid w:val="00B67051"/>
    <w:rsid w:val="00B670A5"/>
    <w:rsid w:val="00B671EF"/>
    <w:rsid w:val="00B6723B"/>
    <w:rsid w:val="00B672A2"/>
    <w:rsid w:val="00B67378"/>
    <w:rsid w:val="00B6741A"/>
    <w:rsid w:val="00B674B7"/>
    <w:rsid w:val="00B675D9"/>
    <w:rsid w:val="00B67701"/>
    <w:rsid w:val="00B67777"/>
    <w:rsid w:val="00B677EA"/>
    <w:rsid w:val="00B677F5"/>
    <w:rsid w:val="00B6780E"/>
    <w:rsid w:val="00B678A8"/>
    <w:rsid w:val="00B678E6"/>
    <w:rsid w:val="00B67939"/>
    <w:rsid w:val="00B67997"/>
    <w:rsid w:val="00B67A77"/>
    <w:rsid w:val="00B67B0B"/>
    <w:rsid w:val="00B67B4D"/>
    <w:rsid w:val="00B67B95"/>
    <w:rsid w:val="00B67BA9"/>
    <w:rsid w:val="00B67C3B"/>
    <w:rsid w:val="00B67CB2"/>
    <w:rsid w:val="00B67D34"/>
    <w:rsid w:val="00B67DEC"/>
    <w:rsid w:val="00B67E11"/>
    <w:rsid w:val="00B67E44"/>
    <w:rsid w:val="00B67E52"/>
    <w:rsid w:val="00B67E7A"/>
    <w:rsid w:val="00B67EB7"/>
    <w:rsid w:val="00B67F79"/>
    <w:rsid w:val="00B70001"/>
    <w:rsid w:val="00B70129"/>
    <w:rsid w:val="00B70164"/>
    <w:rsid w:val="00B701DE"/>
    <w:rsid w:val="00B70236"/>
    <w:rsid w:val="00B702C1"/>
    <w:rsid w:val="00B70350"/>
    <w:rsid w:val="00B7044D"/>
    <w:rsid w:val="00B70483"/>
    <w:rsid w:val="00B704F3"/>
    <w:rsid w:val="00B70686"/>
    <w:rsid w:val="00B70748"/>
    <w:rsid w:val="00B70795"/>
    <w:rsid w:val="00B708A7"/>
    <w:rsid w:val="00B70BA8"/>
    <w:rsid w:val="00B70BBB"/>
    <w:rsid w:val="00B70BE3"/>
    <w:rsid w:val="00B70BFD"/>
    <w:rsid w:val="00B70C56"/>
    <w:rsid w:val="00B70C7E"/>
    <w:rsid w:val="00B70EA9"/>
    <w:rsid w:val="00B70FCA"/>
    <w:rsid w:val="00B71051"/>
    <w:rsid w:val="00B7112A"/>
    <w:rsid w:val="00B71137"/>
    <w:rsid w:val="00B71171"/>
    <w:rsid w:val="00B711FB"/>
    <w:rsid w:val="00B7131D"/>
    <w:rsid w:val="00B7133F"/>
    <w:rsid w:val="00B71389"/>
    <w:rsid w:val="00B71427"/>
    <w:rsid w:val="00B714F6"/>
    <w:rsid w:val="00B715F9"/>
    <w:rsid w:val="00B7163E"/>
    <w:rsid w:val="00B7166A"/>
    <w:rsid w:val="00B71775"/>
    <w:rsid w:val="00B71937"/>
    <w:rsid w:val="00B71A96"/>
    <w:rsid w:val="00B71C1A"/>
    <w:rsid w:val="00B71DAF"/>
    <w:rsid w:val="00B71E76"/>
    <w:rsid w:val="00B71F8D"/>
    <w:rsid w:val="00B71FF7"/>
    <w:rsid w:val="00B72001"/>
    <w:rsid w:val="00B721F1"/>
    <w:rsid w:val="00B721FA"/>
    <w:rsid w:val="00B72224"/>
    <w:rsid w:val="00B722B3"/>
    <w:rsid w:val="00B7249F"/>
    <w:rsid w:val="00B724B6"/>
    <w:rsid w:val="00B724D0"/>
    <w:rsid w:val="00B725CE"/>
    <w:rsid w:val="00B72666"/>
    <w:rsid w:val="00B7270E"/>
    <w:rsid w:val="00B72978"/>
    <w:rsid w:val="00B729AA"/>
    <w:rsid w:val="00B72B6D"/>
    <w:rsid w:val="00B72BC6"/>
    <w:rsid w:val="00B72C47"/>
    <w:rsid w:val="00B72DB3"/>
    <w:rsid w:val="00B72E31"/>
    <w:rsid w:val="00B72ED9"/>
    <w:rsid w:val="00B730AD"/>
    <w:rsid w:val="00B730B0"/>
    <w:rsid w:val="00B7311A"/>
    <w:rsid w:val="00B73228"/>
    <w:rsid w:val="00B7334A"/>
    <w:rsid w:val="00B7352C"/>
    <w:rsid w:val="00B73660"/>
    <w:rsid w:val="00B73681"/>
    <w:rsid w:val="00B736FD"/>
    <w:rsid w:val="00B7370A"/>
    <w:rsid w:val="00B73840"/>
    <w:rsid w:val="00B73A79"/>
    <w:rsid w:val="00B73C70"/>
    <w:rsid w:val="00B73D4F"/>
    <w:rsid w:val="00B73EFE"/>
    <w:rsid w:val="00B74047"/>
    <w:rsid w:val="00B7416E"/>
    <w:rsid w:val="00B742B2"/>
    <w:rsid w:val="00B74421"/>
    <w:rsid w:val="00B74574"/>
    <w:rsid w:val="00B74679"/>
    <w:rsid w:val="00B7477E"/>
    <w:rsid w:val="00B74793"/>
    <w:rsid w:val="00B7479F"/>
    <w:rsid w:val="00B7480B"/>
    <w:rsid w:val="00B748AF"/>
    <w:rsid w:val="00B74952"/>
    <w:rsid w:val="00B74AF4"/>
    <w:rsid w:val="00B74B7A"/>
    <w:rsid w:val="00B74B7C"/>
    <w:rsid w:val="00B74C0A"/>
    <w:rsid w:val="00B74CD3"/>
    <w:rsid w:val="00B74E3D"/>
    <w:rsid w:val="00B74F42"/>
    <w:rsid w:val="00B74FCC"/>
    <w:rsid w:val="00B7502C"/>
    <w:rsid w:val="00B75065"/>
    <w:rsid w:val="00B750D5"/>
    <w:rsid w:val="00B752AA"/>
    <w:rsid w:val="00B75393"/>
    <w:rsid w:val="00B755EA"/>
    <w:rsid w:val="00B75AAF"/>
    <w:rsid w:val="00B75AE5"/>
    <w:rsid w:val="00B75B6D"/>
    <w:rsid w:val="00B75C8D"/>
    <w:rsid w:val="00B75D86"/>
    <w:rsid w:val="00B75DF6"/>
    <w:rsid w:val="00B75E35"/>
    <w:rsid w:val="00B75E42"/>
    <w:rsid w:val="00B761A9"/>
    <w:rsid w:val="00B76292"/>
    <w:rsid w:val="00B76311"/>
    <w:rsid w:val="00B763CE"/>
    <w:rsid w:val="00B76405"/>
    <w:rsid w:val="00B764B2"/>
    <w:rsid w:val="00B764D4"/>
    <w:rsid w:val="00B7683E"/>
    <w:rsid w:val="00B76843"/>
    <w:rsid w:val="00B7692A"/>
    <w:rsid w:val="00B76941"/>
    <w:rsid w:val="00B76AC0"/>
    <w:rsid w:val="00B76BB3"/>
    <w:rsid w:val="00B76DD3"/>
    <w:rsid w:val="00B76E67"/>
    <w:rsid w:val="00B76F10"/>
    <w:rsid w:val="00B76F2E"/>
    <w:rsid w:val="00B76F78"/>
    <w:rsid w:val="00B7703C"/>
    <w:rsid w:val="00B7707A"/>
    <w:rsid w:val="00B77095"/>
    <w:rsid w:val="00B771B2"/>
    <w:rsid w:val="00B771FE"/>
    <w:rsid w:val="00B7722B"/>
    <w:rsid w:val="00B77240"/>
    <w:rsid w:val="00B77244"/>
    <w:rsid w:val="00B7755B"/>
    <w:rsid w:val="00B775B3"/>
    <w:rsid w:val="00B775DC"/>
    <w:rsid w:val="00B775FA"/>
    <w:rsid w:val="00B77830"/>
    <w:rsid w:val="00B778C0"/>
    <w:rsid w:val="00B7798B"/>
    <w:rsid w:val="00B77991"/>
    <w:rsid w:val="00B7799E"/>
    <w:rsid w:val="00B77A9A"/>
    <w:rsid w:val="00B77AB4"/>
    <w:rsid w:val="00B77AD7"/>
    <w:rsid w:val="00B77B88"/>
    <w:rsid w:val="00B77C36"/>
    <w:rsid w:val="00B77EA0"/>
    <w:rsid w:val="00B77F4D"/>
    <w:rsid w:val="00B8017F"/>
    <w:rsid w:val="00B802B3"/>
    <w:rsid w:val="00B8045F"/>
    <w:rsid w:val="00B806FE"/>
    <w:rsid w:val="00B808A7"/>
    <w:rsid w:val="00B809B0"/>
    <w:rsid w:val="00B80B05"/>
    <w:rsid w:val="00B80B38"/>
    <w:rsid w:val="00B80BDE"/>
    <w:rsid w:val="00B80D88"/>
    <w:rsid w:val="00B80D8C"/>
    <w:rsid w:val="00B80DA1"/>
    <w:rsid w:val="00B80DB2"/>
    <w:rsid w:val="00B80ED6"/>
    <w:rsid w:val="00B80EDD"/>
    <w:rsid w:val="00B8103D"/>
    <w:rsid w:val="00B8109B"/>
    <w:rsid w:val="00B810DD"/>
    <w:rsid w:val="00B81145"/>
    <w:rsid w:val="00B8121C"/>
    <w:rsid w:val="00B812FA"/>
    <w:rsid w:val="00B813FF"/>
    <w:rsid w:val="00B81405"/>
    <w:rsid w:val="00B8164D"/>
    <w:rsid w:val="00B81678"/>
    <w:rsid w:val="00B81704"/>
    <w:rsid w:val="00B81709"/>
    <w:rsid w:val="00B81760"/>
    <w:rsid w:val="00B817B1"/>
    <w:rsid w:val="00B81858"/>
    <w:rsid w:val="00B819CA"/>
    <w:rsid w:val="00B819D4"/>
    <w:rsid w:val="00B81A37"/>
    <w:rsid w:val="00B81D0E"/>
    <w:rsid w:val="00B81F58"/>
    <w:rsid w:val="00B81F6D"/>
    <w:rsid w:val="00B81F8E"/>
    <w:rsid w:val="00B81FED"/>
    <w:rsid w:val="00B820A2"/>
    <w:rsid w:val="00B82118"/>
    <w:rsid w:val="00B82299"/>
    <w:rsid w:val="00B823FA"/>
    <w:rsid w:val="00B82419"/>
    <w:rsid w:val="00B82424"/>
    <w:rsid w:val="00B824C4"/>
    <w:rsid w:val="00B8258F"/>
    <w:rsid w:val="00B826BC"/>
    <w:rsid w:val="00B827EA"/>
    <w:rsid w:val="00B82835"/>
    <w:rsid w:val="00B8283D"/>
    <w:rsid w:val="00B82891"/>
    <w:rsid w:val="00B828CE"/>
    <w:rsid w:val="00B828EE"/>
    <w:rsid w:val="00B829BB"/>
    <w:rsid w:val="00B82A28"/>
    <w:rsid w:val="00B82AF8"/>
    <w:rsid w:val="00B82B19"/>
    <w:rsid w:val="00B82B3F"/>
    <w:rsid w:val="00B82D52"/>
    <w:rsid w:val="00B82F00"/>
    <w:rsid w:val="00B82F80"/>
    <w:rsid w:val="00B83036"/>
    <w:rsid w:val="00B83073"/>
    <w:rsid w:val="00B83147"/>
    <w:rsid w:val="00B832EE"/>
    <w:rsid w:val="00B834A2"/>
    <w:rsid w:val="00B8357A"/>
    <w:rsid w:val="00B835F6"/>
    <w:rsid w:val="00B835F8"/>
    <w:rsid w:val="00B83645"/>
    <w:rsid w:val="00B837BB"/>
    <w:rsid w:val="00B83902"/>
    <w:rsid w:val="00B83A81"/>
    <w:rsid w:val="00B83ABF"/>
    <w:rsid w:val="00B83B24"/>
    <w:rsid w:val="00B83CAE"/>
    <w:rsid w:val="00B83D25"/>
    <w:rsid w:val="00B83E5F"/>
    <w:rsid w:val="00B83EB6"/>
    <w:rsid w:val="00B8405C"/>
    <w:rsid w:val="00B840C8"/>
    <w:rsid w:val="00B840D4"/>
    <w:rsid w:val="00B84124"/>
    <w:rsid w:val="00B84127"/>
    <w:rsid w:val="00B8413D"/>
    <w:rsid w:val="00B84246"/>
    <w:rsid w:val="00B843AC"/>
    <w:rsid w:val="00B843D2"/>
    <w:rsid w:val="00B84453"/>
    <w:rsid w:val="00B84547"/>
    <w:rsid w:val="00B8456C"/>
    <w:rsid w:val="00B845ED"/>
    <w:rsid w:val="00B8460E"/>
    <w:rsid w:val="00B84834"/>
    <w:rsid w:val="00B849B1"/>
    <w:rsid w:val="00B84A22"/>
    <w:rsid w:val="00B84A47"/>
    <w:rsid w:val="00B84A61"/>
    <w:rsid w:val="00B84C82"/>
    <w:rsid w:val="00B84E7F"/>
    <w:rsid w:val="00B84F26"/>
    <w:rsid w:val="00B85008"/>
    <w:rsid w:val="00B851E8"/>
    <w:rsid w:val="00B85230"/>
    <w:rsid w:val="00B85270"/>
    <w:rsid w:val="00B852D0"/>
    <w:rsid w:val="00B852F6"/>
    <w:rsid w:val="00B85309"/>
    <w:rsid w:val="00B85562"/>
    <w:rsid w:val="00B85693"/>
    <w:rsid w:val="00B856EB"/>
    <w:rsid w:val="00B858C4"/>
    <w:rsid w:val="00B858CC"/>
    <w:rsid w:val="00B858CF"/>
    <w:rsid w:val="00B85912"/>
    <w:rsid w:val="00B85924"/>
    <w:rsid w:val="00B8597A"/>
    <w:rsid w:val="00B8597E"/>
    <w:rsid w:val="00B85A48"/>
    <w:rsid w:val="00B85AAB"/>
    <w:rsid w:val="00B85CC3"/>
    <w:rsid w:val="00B85D8F"/>
    <w:rsid w:val="00B85E5F"/>
    <w:rsid w:val="00B85EA3"/>
    <w:rsid w:val="00B85FA0"/>
    <w:rsid w:val="00B860E8"/>
    <w:rsid w:val="00B86386"/>
    <w:rsid w:val="00B864FF"/>
    <w:rsid w:val="00B865AC"/>
    <w:rsid w:val="00B86636"/>
    <w:rsid w:val="00B8671E"/>
    <w:rsid w:val="00B869AC"/>
    <w:rsid w:val="00B86B68"/>
    <w:rsid w:val="00B86B82"/>
    <w:rsid w:val="00B86BE9"/>
    <w:rsid w:val="00B86BEC"/>
    <w:rsid w:val="00B86D59"/>
    <w:rsid w:val="00B86DAD"/>
    <w:rsid w:val="00B86DD1"/>
    <w:rsid w:val="00B86E35"/>
    <w:rsid w:val="00B8702F"/>
    <w:rsid w:val="00B8715C"/>
    <w:rsid w:val="00B8723E"/>
    <w:rsid w:val="00B873F9"/>
    <w:rsid w:val="00B87754"/>
    <w:rsid w:val="00B877C6"/>
    <w:rsid w:val="00B87830"/>
    <w:rsid w:val="00B878F3"/>
    <w:rsid w:val="00B87A02"/>
    <w:rsid w:val="00B87A56"/>
    <w:rsid w:val="00B87C47"/>
    <w:rsid w:val="00B87D10"/>
    <w:rsid w:val="00B87E45"/>
    <w:rsid w:val="00B900EA"/>
    <w:rsid w:val="00B90161"/>
    <w:rsid w:val="00B902C8"/>
    <w:rsid w:val="00B90317"/>
    <w:rsid w:val="00B9033E"/>
    <w:rsid w:val="00B905E7"/>
    <w:rsid w:val="00B906FF"/>
    <w:rsid w:val="00B9083E"/>
    <w:rsid w:val="00B9087C"/>
    <w:rsid w:val="00B908AA"/>
    <w:rsid w:val="00B908C0"/>
    <w:rsid w:val="00B90975"/>
    <w:rsid w:val="00B90995"/>
    <w:rsid w:val="00B909A8"/>
    <w:rsid w:val="00B90B2C"/>
    <w:rsid w:val="00B90B68"/>
    <w:rsid w:val="00B90BCD"/>
    <w:rsid w:val="00B90C08"/>
    <w:rsid w:val="00B90C34"/>
    <w:rsid w:val="00B90DAB"/>
    <w:rsid w:val="00B90EAC"/>
    <w:rsid w:val="00B90F5A"/>
    <w:rsid w:val="00B90F74"/>
    <w:rsid w:val="00B90F95"/>
    <w:rsid w:val="00B910A8"/>
    <w:rsid w:val="00B9120E"/>
    <w:rsid w:val="00B9125B"/>
    <w:rsid w:val="00B912F8"/>
    <w:rsid w:val="00B91327"/>
    <w:rsid w:val="00B913EB"/>
    <w:rsid w:val="00B91634"/>
    <w:rsid w:val="00B91830"/>
    <w:rsid w:val="00B918D5"/>
    <w:rsid w:val="00B9194D"/>
    <w:rsid w:val="00B91AC5"/>
    <w:rsid w:val="00B91B8D"/>
    <w:rsid w:val="00B91D52"/>
    <w:rsid w:val="00B91EB3"/>
    <w:rsid w:val="00B91EEC"/>
    <w:rsid w:val="00B9208F"/>
    <w:rsid w:val="00B921EA"/>
    <w:rsid w:val="00B921F7"/>
    <w:rsid w:val="00B92305"/>
    <w:rsid w:val="00B92366"/>
    <w:rsid w:val="00B9242D"/>
    <w:rsid w:val="00B92518"/>
    <w:rsid w:val="00B92598"/>
    <w:rsid w:val="00B925D1"/>
    <w:rsid w:val="00B92612"/>
    <w:rsid w:val="00B92654"/>
    <w:rsid w:val="00B92905"/>
    <w:rsid w:val="00B92B95"/>
    <w:rsid w:val="00B92C05"/>
    <w:rsid w:val="00B92C08"/>
    <w:rsid w:val="00B92DBC"/>
    <w:rsid w:val="00B92E1E"/>
    <w:rsid w:val="00B92E7F"/>
    <w:rsid w:val="00B92F07"/>
    <w:rsid w:val="00B92F1C"/>
    <w:rsid w:val="00B92F7F"/>
    <w:rsid w:val="00B92F94"/>
    <w:rsid w:val="00B9304C"/>
    <w:rsid w:val="00B93086"/>
    <w:rsid w:val="00B93097"/>
    <w:rsid w:val="00B93102"/>
    <w:rsid w:val="00B93119"/>
    <w:rsid w:val="00B93164"/>
    <w:rsid w:val="00B933F3"/>
    <w:rsid w:val="00B93440"/>
    <w:rsid w:val="00B934F4"/>
    <w:rsid w:val="00B935A9"/>
    <w:rsid w:val="00B936F3"/>
    <w:rsid w:val="00B937A9"/>
    <w:rsid w:val="00B9383B"/>
    <w:rsid w:val="00B9384E"/>
    <w:rsid w:val="00B93852"/>
    <w:rsid w:val="00B93853"/>
    <w:rsid w:val="00B93866"/>
    <w:rsid w:val="00B938FE"/>
    <w:rsid w:val="00B9399C"/>
    <w:rsid w:val="00B93A04"/>
    <w:rsid w:val="00B93A1E"/>
    <w:rsid w:val="00B93A43"/>
    <w:rsid w:val="00B93A77"/>
    <w:rsid w:val="00B93C3B"/>
    <w:rsid w:val="00B93C84"/>
    <w:rsid w:val="00B93CA8"/>
    <w:rsid w:val="00B93CDA"/>
    <w:rsid w:val="00B93D69"/>
    <w:rsid w:val="00B93E9A"/>
    <w:rsid w:val="00B93F64"/>
    <w:rsid w:val="00B93FE6"/>
    <w:rsid w:val="00B9406D"/>
    <w:rsid w:val="00B941EF"/>
    <w:rsid w:val="00B94222"/>
    <w:rsid w:val="00B94271"/>
    <w:rsid w:val="00B9447E"/>
    <w:rsid w:val="00B9454F"/>
    <w:rsid w:val="00B94672"/>
    <w:rsid w:val="00B9479B"/>
    <w:rsid w:val="00B947EC"/>
    <w:rsid w:val="00B9480E"/>
    <w:rsid w:val="00B94906"/>
    <w:rsid w:val="00B9494F"/>
    <w:rsid w:val="00B94955"/>
    <w:rsid w:val="00B949FC"/>
    <w:rsid w:val="00B94A0E"/>
    <w:rsid w:val="00B94C1B"/>
    <w:rsid w:val="00B94D77"/>
    <w:rsid w:val="00B94E40"/>
    <w:rsid w:val="00B95056"/>
    <w:rsid w:val="00B95060"/>
    <w:rsid w:val="00B95086"/>
    <w:rsid w:val="00B95144"/>
    <w:rsid w:val="00B952C4"/>
    <w:rsid w:val="00B9536B"/>
    <w:rsid w:val="00B953C5"/>
    <w:rsid w:val="00B9547E"/>
    <w:rsid w:val="00B95604"/>
    <w:rsid w:val="00B95670"/>
    <w:rsid w:val="00B9567C"/>
    <w:rsid w:val="00B956BD"/>
    <w:rsid w:val="00B9578D"/>
    <w:rsid w:val="00B957F8"/>
    <w:rsid w:val="00B95819"/>
    <w:rsid w:val="00B95872"/>
    <w:rsid w:val="00B95873"/>
    <w:rsid w:val="00B959B3"/>
    <w:rsid w:val="00B95AEA"/>
    <w:rsid w:val="00B95CDD"/>
    <w:rsid w:val="00B95E1F"/>
    <w:rsid w:val="00B95E74"/>
    <w:rsid w:val="00B95F0C"/>
    <w:rsid w:val="00B96191"/>
    <w:rsid w:val="00B96304"/>
    <w:rsid w:val="00B96314"/>
    <w:rsid w:val="00B9641F"/>
    <w:rsid w:val="00B9643F"/>
    <w:rsid w:val="00B9647B"/>
    <w:rsid w:val="00B9652D"/>
    <w:rsid w:val="00B965AE"/>
    <w:rsid w:val="00B965B8"/>
    <w:rsid w:val="00B965C9"/>
    <w:rsid w:val="00B965F4"/>
    <w:rsid w:val="00B96602"/>
    <w:rsid w:val="00B96865"/>
    <w:rsid w:val="00B968EB"/>
    <w:rsid w:val="00B9690D"/>
    <w:rsid w:val="00B96960"/>
    <w:rsid w:val="00B96977"/>
    <w:rsid w:val="00B96A3A"/>
    <w:rsid w:val="00B96A6A"/>
    <w:rsid w:val="00B96AAA"/>
    <w:rsid w:val="00B96B79"/>
    <w:rsid w:val="00B96CE9"/>
    <w:rsid w:val="00B96D8A"/>
    <w:rsid w:val="00B96EF6"/>
    <w:rsid w:val="00B96F2E"/>
    <w:rsid w:val="00B9706F"/>
    <w:rsid w:val="00B970BA"/>
    <w:rsid w:val="00B97145"/>
    <w:rsid w:val="00B9720B"/>
    <w:rsid w:val="00B97218"/>
    <w:rsid w:val="00B9741A"/>
    <w:rsid w:val="00B9752E"/>
    <w:rsid w:val="00B9754D"/>
    <w:rsid w:val="00B975F0"/>
    <w:rsid w:val="00B9761D"/>
    <w:rsid w:val="00B977F5"/>
    <w:rsid w:val="00B9782D"/>
    <w:rsid w:val="00B97850"/>
    <w:rsid w:val="00B979B5"/>
    <w:rsid w:val="00B97A55"/>
    <w:rsid w:val="00B97B10"/>
    <w:rsid w:val="00B97B81"/>
    <w:rsid w:val="00B97D01"/>
    <w:rsid w:val="00B97DFB"/>
    <w:rsid w:val="00B97E48"/>
    <w:rsid w:val="00B97EE8"/>
    <w:rsid w:val="00B97F7A"/>
    <w:rsid w:val="00BA0012"/>
    <w:rsid w:val="00BA0050"/>
    <w:rsid w:val="00BA0109"/>
    <w:rsid w:val="00BA017C"/>
    <w:rsid w:val="00BA0326"/>
    <w:rsid w:val="00BA0507"/>
    <w:rsid w:val="00BA0579"/>
    <w:rsid w:val="00BA05FA"/>
    <w:rsid w:val="00BA07A7"/>
    <w:rsid w:val="00BA07D5"/>
    <w:rsid w:val="00BA089A"/>
    <w:rsid w:val="00BA08BB"/>
    <w:rsid w:val="00BA0AA3"/>
    <w:rsid w:val="00BA0C13"/>
    <w:rsid w:val="00BA0C45"/>
    <w:rsid w:val="00BA0C9E"/>
    <w:rsid w:val="00BA0CC3"/>
    <w:rsid w:val="00BA0F34"/>
    <w:rsid w:val="00BA0F83"/>
    <w:rsid w:val="00BA0FB8"/>
    <w:rsid w:val="00BA0FCA"/>
    <w:rsid w:val="00BA14BF"/>
    <w:rsid w:val="00BA163A"/>
    <w:rsid w:val="00BA163C"/>
    <w:rsid w:val="00BA167D"/>
    <w:rsid w:val="00BA1781"/>
    <w:rsid w:val="00BA17B9"/>
    <w:rsid w:val="00BA1804"/>
    <w:rsid w:val="00BA183C"/>
    <w:rsid w:val="00BA1866"/>
    <w:rsid w:val="00BA18E0"/>
    <w:rsid w:val="00BA1980"/>
    <w:rsid w:val="00BA19AC"/>
    <w:rsid w:val="00BA1AA6"/>
    <w:rsid w:val="00BA1AAD"/>
    <w:rsid w:val="00BA1AC2"/>
    <w:rsid w:val="00BA1C87"/>
    <w:rsid w:val="00BA1DBA"/>
    <w:rsid w:val="00BA1DD1"/>
    <w:rsid w:val="00BA1E38"/>
    <w:rsid w:val="00BA1FB0"/>
    <w:rsid w:val="00BA201E"/>
    <w:rsid w:val="00BA218F"/>
    <w:rsid w:val="00BA21F2"/>
    <w:rsid w:val="00BA2390"/>
    <w:rsid w:val="00BA258C"/>
    <w:rsid w:val="00BA2595"/>
    <w:rsid w:val="00BA26DA"/>
    <w:rsid w:val="00BA2732"/>
    <w:rsid w:val="00BA2829"/>
    <w:rsid w:val="00BA284F"/>
    <w:rsid w:val="00BA2A44"/>
    <w:rsid w:val="00BA2B17"/>
    <w:rsid w:val="00BA2B35"/>
    <w:rsid w:val="00BA2B5D"/>
    <w:rsid w:val="00BA2BC4"/>
    <w:rsid w:val="00BA2BE6"/>
    <w:rsid w:val="00BA2C93"/>
    <w:rsid w:val="00BA2EC1"/>
    <w:rsid w:val="00BA3063"/>
    <w:rsid w:val="00BA3109"/>
    <w:rsid w:val="00BA3168"/>
    <w:rsid w:val="00BA3185"/>
    <w:rsid w:val="00BA323E"/>
    <w:rsid w:val="00BA32BE"/>
    <w:rsid w:val="00BA3345"/>
    <w:rsid w:val="00BA3376"/>
    <w:rsid w:val="00BA33CA"/>
    <w:rsid w:val="00BA352D"/>
    <w:rsid w:val="00BA3567"/>
    <w:rsid w:val="00BA3718"/>
    <w:rsid w:val="00BA3781"/>
    <w:rsid w:val="00BA37AD"/>
    <w:rsid w:val="00BA380C"/>
    <w:rsid w:val="00BA3A4A"/>
    <w:rsid w:val="00BA3AB2"/>
    <w:rsid w:val="00BA3B26"/>
    <w:rsid w:val="00BA3D1E"/>
    <w:rsid w:val="00BA3D8A"/>
    <w:rsid w:val="00BA3DD5"/>
    <w:rsid w:val="00BA3EB2"/>
    <w:rsid w:val="00BA3EFE"/>
    <w:rsid w:val="00BA3F95"/>
    <w:rsid w:val="00BA40D4"/>
    <w:rsid w:val="00BA413B"/>
    <w:rsid w:val="00BA4148"/>
    <w:rsid w:val="00BA415D"/>
    <w:rsid w:val="00BA4231"/>
    <w:rsid w:val="00BA43D3"/>
    <w:rsid w:val="00BA4514"/>
    <w:rsid w:val="00BA45D3"/>
    <w:rsid w:val="00BA46C6"/>
    <w:rsid w:val="00BA4873"/>
    <w:rsid w:val="00BA4A08"/>
    <w:rsid w:val="00BA4AB3"/>
    <w:rsid w:val="00BA4B1F"/>
    <w:rsid w:val="00BA4B23"/>
    <w:rsid w:val="00BA4B5A"/>
    <w:rsid w:val="00BA4CFE"/>
    <w:rsid w:val="00BA4D89"/>
    <w:rsid w:val="00BA4E1D"/>
    <w:rsid w:val="00BA4F75"/>
    <w:rsid w:val="00BA5095"/>
    <w:rsid w:val="00BA5140"/>
    <w:rsid w:val="00BA51B3"/>
    <w:rsid w:val="00BA51E1"/>
    <w:rsid w:val="00BA520D"/>
    <w:rsid w:val="00BA5242"/>
    <w:rsid w:val="00BA52D6"/>
    <w:rsid w:val="00BA5326"/>
    <w:rsid w:val="00BA541F"/>
    <w:rsid w:val="00BA54ED"/>
    <w:rsid w:val="00BA5781"/>
    <w:rsid w:val="00BA57F0"/>
    <w:rsid w:val="00BA5894"/>
    <w:rsid w:val="00BA58D4"/>
    <w:rsid w:val="00BA5A1A"/>
    <w:rsid w:val="00BA5ACB"/>
    <w:rsid w:val="00BA5C38"/>
    <w:rsid w:val="00BA5D90"/>
    <w:rsid w:val="00BA5DC4"/>
    <w:rsid w:val="00BA5E02"/>
    <w:rsid w:val="00BA5F9F"/>
    <w:rsid w:val="00BA5FDB"/>
    <w:rsid w:val="00BA6144"/>
    <w:rsid w:val="00BA61DA"/>
    <w:rsid w:val="00BA61F2"/>
    <w:rsid w:val="00BA62A2"/>
    <w:rsid w:val="00BA6499"/>
    <w:rsid w:val="00BA6608"/>
    <w:rsid w:val="00BA660B"/>
    <w:rsid w:val="00BA66C3"/>
    <w:rsid w:val="00BA66CB"/>
    <w:rsid w:val="00BA66FC"/>
    <w:rsid w:val="00BA6712"/>
    <w:rsid w:val="00BA67EA"/>
    <w:rsid w:val="00BA6804"/>
    <w:rsid w:val="00BA69AE"/>
    <w:rsid w:val="00BA6A0D"/>
    <w:rsid w:val="00BA6B8A"/>
    <w:rsid w:val="00BA6DAE"/>
    <w:rsid w:val="00BA6DB8"/>
    <w:rsid w:val="00BA6E4A"/>
    <w:rsid w:val="00BA6EA1"/>
    <w:rsid w:val="00BA6F22"/>
    <w:rsid w:val="00BA6FDB"/>
    <w:rsid w:val="00BA703E"/>
    <w:rsid w:val="00BA7067"/>
    <w:rsid w:val="00BA70D9"/>
    <w:rsid w:val="00BA70ED"/>
    <w:rsid w:val="00BA71A8"/>
    <w:rsid w:val="00BA7203"/>
    <w:rsid w:val="00BA72AB"/>
    <w:rsid w:val="00BA7381"/>
    <w:rsid w:val="00BA74FD"/>
    <w:rsid w:val="00BA772A"/>
    <w:rsid w:val="00BA7743"/>
    <w:rsid w:val="00BA7855"/>
    <w:rsid w:val="00BA78B0"/>
    <w:rsid w:val="00BA78E5"/>
    <w:rsid w:val="00BA7948"/>
    <w:rsid w:val="00BA7A92"/>
    <w:rsid w:val="00BA7C9E"/>
    <w:rsid w:val="00BA7CF7"/>
    <w:rsid w:val="00BA7F78"/>
    <w:rsid w:val="00BA7FC6"/>
    <w:rsid w:val="00BAC011"/>
    <w:rsid w:val="00BB0012"/>
    <w:rsid w:val="00BB006A"/>
    <w:rsid w:val="00BB0280"/>
    <w:rsid w:val="00BB04E2"/>
    <w:rsid w:val="00BB050C"/>
    <w:rsid w:val="00BB0607"/>
    <w:rsid w:val="00BB0623"/>
    <w:rsid w:val="00BB0637"/>
    <w:rsid w:val="00BB0704"/>
    <w:rsid w:val="00BB0733"/>
    <w:rsid w:val="00BB07E6"/>
    <w:rsid w:val="00BB07F7"/>
    <w:rsid w:val="00BB0864"/>
    <w:rsid w:val="00BB08C5"/>
    <w:rsid w:val="00BB094C"/>
    <w:rsid w:val="00BB0B7C"/>
    <w:rsid w:val="00BB0CE8"/>
    <w:rsid w:val="00BB0D06"/>
    <w:rsid w:val="00BB0E44"/>
    <w:rsid w:val="00BB1202"/>
    <w:rsid w:val="00BB1217"/>
    <w:rsid w:val="00BB124D"/>
    <w:rsid w:val="00BB12D1"/>
    <w:rsid w:val="00BB1392"/>
    <w:rsid w:val="00BB13C3"/>
    <w:rsid w:val="00BB144A"/>
    <w:rsid w:val="00BB15E6"/>
    <w:rsid w:val="00BB15EA"/>
    <w:rsid w:val="00BB1669"/>
    <w:rsid w:val="00BB179E"/>
    <w:rsid w:val="00BB17EB"/>
    <w:rsid w:val="00BB18AD"/>
    <w:rsid w:val="00BB1988"/>
    <w:rsid w:val="00BB19EC"/>
    <w:rsid w:val="00BB1A0C"/>
    <w:rsid w:val="00BB1B17"/>
    <w:rsid w:val="00BB1B8B"/>
    <w:rsid w:val="00BB1CA0"/>
    <w:rsid w:val="00BB1DB4"/>
    <w:rsid w:val="00BB1E3E"/>
    <w:rsid w:val="00BB1F0A"/>
    <w:rsid w:val="00BB1F69"/>
    <w:rsid w:val="00BB1F95"/>
    <w:rsid w:val="00BB1FB8"/>
    <w:rsid w:val="00BB2084"/>
    <w:rsid w:val="00BB21F0"/>
    <w:rsid w:val="00BB2297"/>
    <w:rsid w:val="00BB235F"/>
    <w:rsid w:val="00BB23B5"/>
    <w:rsid w:val="00BB2464"/>
    <w:rsid w:val="00BB2614"/>
    <w:rsid w:val="00BB26FA"/>
    <w:rsid w:val="00BB2791"/>
    <w:rsid w:val="00BB2841"/>
    <w:rsid w:val="00BB2921"/>
    <w:rsid w:val="00BB29DD"/>
    <w:rsid w:val="00BB29F7"/>
    <w:rsid w:val="00BB2AD4"/>
    <w:rsid w:val="00BB2B89"/>
    <w:rsid w:val="00BB2C38"/>
    <w:rsid w:val="00BB2C4D"/>
    <w:rsid w:val="00BB2CCA"/>
    <w:rsid w:val="00BB2D0B"/>
    <w:rsid w:val="00BB2D4A"/>
    <w:rsid w:val="00BB2D7F"/>
    <w:rsid w:val="00BB2DBA"/>
    <w:rsid w:val="00BB2DC4"/>
    <w:rsid w:val="00BB2E01"/>
    <w:rsid w:val="00BB2FB5"/>
    <w:rsid w:val="00BB3156"/>
    <w:rsid w:val="00BB317A"/>
    <w:rsid w:val="00BB31E4"/>
    <w:rsid w:val="00BB31F4"/>
    <w:rsid w:val="00BB34B6"/>
    <w:rsid w:val="00BB34B8"/>
    <w:rsid w:val="00BB34DF"/>
    <w:rsid w:val="00BB3618"/>
    <w:rsid w:val="00BB370A"/>
    <w:rsid w:val="00BB3799"/>
    <w:rsid w:val="00BB3CE7"/>
    <w:rsid w:val="00BB3D8F"/>
    <w:rsid w:val="00BB40CA"/>
    <w:rsid w:val="00BB4145"/>
    <w:rsid w:val="00BB4174"/>
    <w:rsid w:val="00BB42B0"/>
    <w:rsid w:val="00BB436B"/>
    <w:rsid w:val="00BB440D"/>
    <w:rsid w:val="00BB442E"/>
    <w:rsid w:val="00BB4454"/>
    <w:rsid w:val="00BB44BC"/>
    <w:rsid w:val="00BB44DE"/>
    <w:rsid w:val="00BB46F1"/>
    <w:rsid w:val="00BB4773"/>
    <w:rsid w:val="00BB4A41"/>
    <w:rsid w:val="00BB4A42"/>
    <w:rsid w:val="00BB4AB0"/>
    <w:rsid w:val="00BB4B36"/>
    <w:rsid w:val="00BB4B7A"/>
    <w:rsid w:val="00BB4D79"/>
    <w:rsid w:val="00BB4E31"/>
    <w:rsid w:val="00BB4E45"/>
    <w:rsid w:val="00BB4EEF"/>
    <w:rsid w:val="00BB4F57"/>
    <w:rsid w:val="00BB5195"/>
    <w:rsid w:val="00BB51A0"/>
    <w:rsid w:val="00BB5270"/>
    <w:rsid w:val="00BB5300"/>
    <w:rsid w:val="00BB54CF"/>
    <w:rsid w:val="00BB556C"/>
    <w:rsid w:val="00BB564C"/>
    <w:rsid w:val="00BB5663"/>
    <w:rsid w:val="00BB56D1"/>
    <w:rsid w:val="00BB5A5B"/>
    <w:rsid w:val="00BB5A72"/>
    <w:rsid w:val="00BB5B36"/>
    <w:rsid w:val="00BB5BD7"/>
    <w:rsid w:val="00BB5D01"/>
    <w:rsid w:val="00BB5DA1"/>
    <w:rsid w:val="00BB5DAF"/>
    <w:rsid w:val="00BB5DB5"/>
    <w:rsid w:val="00BB5E47"/>
    <w:rsid w:val="00BB5F09"/>
    <w:rsid w:val="00BB5F9D"/>
    <w:rsid w:val="00BB63C1"/>
    <w:rsid w:val="00BB65DF"/>
    <w:rsid w:val="00BB662D"/>
    <w:rsid w:val="00BB6704"/>
    <w:rsid w:val="00BB67E4"/>
    <w:rsid w:val="00BB6899"/>
    <w:rsid w:val="00BB69EB"/>
    <w:rsid w:val="00BB69F8"/>
    <w:rsid w:val="00BB6AB7"/>
    <w:rsid w:val="00BB6CE2"/>
    <w:rsid w:val="00BB6D45"/>
    <w:rsid w:val="00BB6D9A"/>
    <w:rsid w:val="00BB6DFC"/>
    <w:rsid w:val="00BB6E2D"/>
    <w:rsid w:val="00BB6F00"/>
    <w:rsid w:val="00BB6F23"/>
    <w:rsid w:val="00BB6FA1"/>
    <w:rsid w:val="00BB701E"/>
    <w:rsid w:val="00BB70C6"/>
    <w:rsid w:val="00BB7245"/>
    <w:rsid w:val="00BB7317"/>
    <w:rsid w:val="00BB75BE"/>
    <w:rsid w:val="00BB7660"/>
    <w:rsid w:val="00BB7719"/>
    <w:rsid w:val="00BB780F"/>
    <w:rsid w:val="00BB78F5"/>
    <w:rsid w:val="00BB79FA"/>
    <w:rsid w:val="00BB7B59"/>
    <w:rsid w:val="00BB7B64"/>
    <w:rsid w:val="00BB7BFD"/>
    <w:rsid w:val="00BB7CAB"/>
    <w:rsid w:val="00BB7DD5"/>
    <w:rsid w:val="00BB7DDA"/>
    <w:rsid w:val="00BC008F"/>
    <w:rsid w:val="00BC0104"/>
    <w:rsid w:val="00BC01F5"/>
    <w:rsid w:val="00BC020B"/>
    <w:rsid w:val="00BC0362"/>
    <w:rsid w:val="00BC03FA"/>
    <w:rsid w:val="00BC042B"/>
    <w:rsid w:val="00BC050B"/>
    <w:rsid w:val="00BC0522"/>
    <w:rsid w:val="00BC061B"/>
    <w:rsid w:val="00BC06F1"/>
    <w:rsid w:val="00BC07B3"/>
    <w:rsid w:val="00BC086D"/>
    <w:rsid w:val="00BC08CE"/>
    <w:rsid w:val="00BC098E"/>
    <w:rsid w:val="00BC0B24"/>
    <w:rsid w:val="00BC0E0D"/>
    <w:rsid w:val="00BC0EE6"/>
    <w:rsid w:val="00BC0F49"/>
    <w:rsid w:val="00BC1001"/>
    <w:rsid w:val="00BC1080"/>
    <w:rsid w:val="00BC10E8"/>
    <w:rsid w:val="00BC11F3"/>
    <w:rsid w:val="00BC1320"/>
    <w:rsid w:val="00BC1342"/>
    <w:rsid w:val="00BC143F"/>
    <w:rsid w:val="00BC145B"/>
    <w:rsid w:val="00BC14B3"/>
    <w:rsid w:val="00BC1532"/>
    <w:rsid w:val="00BC15C3"/>
    <w:rsid w:val="00BC162B"/>
    <w:rsid w:val="00BC1990"/>
    <w:rsid w:val="00BC1A3F"/>
    <w:rsid w:val="00BC1B31"/>
    <w:rsid w:val="00BC1DEC"/>
    <w:rsid w:val="00BC1E5F"/>
    <w:rsid w:val="00BC2063"/>
    <w:rsid w:val="00BC2090"/>
    <w:rsid w:val="00BC20B7"/>
    <w:rsid w:val="00BC22A2"/>
    <w:rsid w:val="00BC2372"/>
    <w:rsid w:val="00BC24D3"/>
    <w:rsid w:val="00BC2742"/>
    <w:rsid w:val="00BC275C"/>
    <w:rsid w:val="00BC2944"/>
    <w:rsid w:val="00BC2967"/>
    <w:rsid w:val="00BC29F5"/>
    <w:rsid w:val="00BC2A67"/>
    <w:rsid w:val="00BC2AA9"/>
    <w:rsid w:val="00BC2BC4"/>
    <w:rsid w:val="00BC2C10"/>
    <w:rsid w:val="00BC2C59"/>
    <w:rsid w:val="00BC2DE1"/>
    <w:rsid w:val="00BC2EC1"/>
    <w:rsid w:val="00BC2FA6"/>
    <w:rsid w:val="00BC3091"/>
    <w:rsid w:val="00BC318E"/>
    <w:rsid w:val="00BC3198"/>
    <w:rsid w:val="00BC33D5"/>
    <w:rsid w:val="00BC33F9"/>
    <w:rsid w:val="00BC343E"/>
    <w:rsid w:val="00BC35F2"/>
    <w:rsid w:val="00BC3607"/>
    <w:rsid w:val="00BC361C"/>
    <w:rsid w:val="00BC3779"/>
    <w:rsid w:val="00BC3790"/>
    <w:rsid w:val="00BC38EE"/>
    <w:rsid w:val="00BC3939"/>
    <w:rsid w:val="00BC3948"/>
    <w:rsid w:val="00BC3A96"/>
    <w:rsid w:val="00BC3C07"/>
    <w:rsid w:val="00BC3C3D"/>
    <w:rsid w:val="00BC3CF6"/>
    <w:rsid w:val="00BC3E19"/>
    <w:rsid w:val="00BC3E72"/>
    <w:rsid w:val="00BC3F87"/>
    <w:rsid w:val="00BC4297"/>
    <w:rsid w:val="00BC430D"/>
    <w:rsid w:val="00BC439A"/>
    <w:rsid w:val="00BC43A7"/>
    <w:rsid w:val="00BC4610"/>
    <w:rsid w:val="00BC4710"/>
    <w:rsid w:val="00BC47A4"/>
    <w:rsid w:val="00BC47F4"/>
    <w:rsid w:val="00BC48EF"/>
    <w:rsid w:val="00BC4922"/>
    <w:rsid w:val="00BC49DF"/>
    <w:rsid w:val="00BC49EB"/>
    <w:rsid w:val="00BC4AD9"/>
    <w:rsid w:val="00BC4AEB"/>
    <w:rsid w:val="00BC4D13"/>
    <w:rsid w:val="00BC4E56"/>
    <w:rsid w:val="00BC4F48"/>
    <w:rsid w:val="00BC5033"/>
    <w:rsid w:val="00BC5106"/>
    <w:rsid w:val="00BC5108"/>
    <w:rsid w:val="00BC5363"/>
    <w:rsid w:val="00BC53F6"/>
    <w:rsid w:val="00BC5449"/>
    <w:rsid w:val="00BC54B3"/>
    <w:rsid w:val="00BC54BF"/>
    <w:rsid w:val="00BC54DE"/>
    <w:rsid w:val="00BC56E6"/>
    <w:rsid w:val="00BC5778"/>
    <w:rsid w:val="00BC5A5E"/>
    <w:rsid w:val="00BC5BE9"/>
    <w:rsid w:val="00BC5E50"/>
    <w:rsid w:val="00BC5F6F"/>
    <w:rsid w:val="00BC5FB0"/>
    <w:rsid w:val="00BC5FC4"/>
    <w:rsid w:val="00BC61CF"/>
    <w:rsid w:val="00BC628F"/>
    <w:rsid w:val="00BC62DF"/>
    <w:rsid w:val="00BC6342"/>
    <w:rsid w:val="00BC6504"/>
    <w:rsid w:val="00BC6585"/>
    <w:rsid w:val="00BC65E6"/>
    <w:rsid w:val="00BC6639"/>
    <w:rsid w:val="00BC6667"/>
    <w:rsid w:val="00BC66C7"/>
    <w:rsid w:val="00BC6727"/>
    <w:rsid w:val="00BC6906"/>
    <w:rsid w:val="00BC691C"/>
    <w:rsid w:val="00BC6993"/>
    <w:rsid w:val="00BC6ADA"/>
    <w:rsid w:val="00BC6B3E"/>
    <w:rsid w:val="00BC6B54"/>
    <w:rsid w:val="00BC6BE1"/>
    <w:rsid w:val="00BC7021"/>
    <w:rsid w:val="00BC70C2"/>
    <w:rsid w:val="00BC70C7"/>
    <w:rsid w:val="00BC7149"/>
    <w:rsid w:val="00BC71E1"/>
    <w:rsid w:val="00BC73D8"/>
    <w:rsid w:val="00BC747D"/>
    <w:rsid w:val="00BC76E6"/>
    <w:rsid w:val="00BC7798"/>
    <w:rsid w:val="00BC77EA"/>
    <w:rsid w:val="00BC78B9"/>
    <w:rsid w:val="00BC78BD"/>
    <w:rsid w:val="00BC7903"/>
    <w:rsid w:val="00BC7927"/>
    <w:rsid w:val="00BC79DC"/>
    <w:rsid w:val="00BC7B05"/>
    <w:rsid w:val="00BC7B4E"/>
    <w:rsid w:val="00BC7B6E"/>
    <w:rsid w:val="00BC7BC5"/>
    <w:rsid w:val="00BC7BDD"/>
    <w:rsid w:val="00BC7ED5"/>
    <w:rsid w:val="00BC7EFB"/>
    <w:rsid w:val="00BC7F9F"/>
    <w:rsid w:val="00BD0056"/>
    <w:rsid w:val="00BD005D"/>
    <w:rsid w:val="00BD0099"/>
    <w:rsid w:val="00BD022A"/>
    <w:rsid w:val="00BD0401"/>
    <w:rsid w:val="00BD045C"/>
    <w:rsid w:val="00BD0617"/>
    <w:rsid w:val="00BD068E"/>
    <w:rsid w:val="00BD07E7"/>
    <w:rsid w:val="00BD09AB"/>
    <w:rsid w:val="00BD0A8C"/>
    <w:rsid w:val="00BD0B99"/>
    <w:rsid w:val="00BD0BC3"/>
    <w:rsid w:val="00BD0D45"/>
    <w:rsid w:val="00BD0D66"/>
    <w:rsid w:val="00BD0EC5"/>
    <w:rsid w:val="00BD0F0C"/>
    <w:rsid w:val="00BD0F4D"/>
    <w:rsid w:val="00BD105F"/>
    <w:rsid w:val="00BD1136"/>
    <w:rsid w:val="00BD11DB"/>
    <w:rsid w:val="00BD123A"/>
    <w:rsid w:val="00BD129A"/>
    <w:rsid w:val="00BD13A4"/>
    <w:rsid w:val="00BD1441"/>
    <w:rsid w:val="00BD1466"/>
    <w:rsid w:val="00BD1508"/>
    <w:rsid w:val="00BD1523"/>
    <w:rsid w:val="00BD1626"/>
    <w:rsid w:val="00BD1645"/>
    <w:rsid w:val="00BD165F"/>
    <w:rsid w:val="00BD167F"/>
    <w:rsid w:val="00BD1691"/>
    <w:rsid w:val="00BD169B"/>
    <w:rsid w:val="00BD16AC"/>
    <w:rsid w:val="00BD16D3"/>
    <w:rsid w:val="00BD1740"/>
    <w:rsid w:val="00BD1A3A"/>
    <w:rsid w:val="00BD1D9F"/>
    <w:rsid w:val="00BD2015"/>
    <w:rsid w:val="00BD2036"/>
    <w:rsid w:val="00BD2139"/>
    <w:rsid w:val="00BD21AE"/>
    <w:rsid w:val="00BD2301"/>
    <w:rsid w:val="00BD2316"/>
    <w:rsid w:val="00BD2319"/>
    <w:rsid w:val="00BD238D"/>
    <w:rsid w:val="00BD23A9"/>
    <w:rsid w:val="00BD241B"/>
    <w:rsid w:val="00BD24A7"/>
    <w:rsid w:val="00BD24A9"/>
    <w:rsid w:val="00BD24B6"/>
    <w:rsid w:val="00BD25D0"/>
    <w:rsid w:val="00BD268B"/>
    <w:rsid w:val="00BD270F"/>
    <w:rsid w:val="00BD2771"/>
    <w:rsid w:val="00BD27E7"/>
    <w:rsid w:val="00BD28DD"/>
    <w:rsid w:val="00BD2A17"/>
    <w:rsid w:val="00BD2A1D"/>
    <w:rsid w:val="00BD2B62"/>
    <w:rsid w:val="00BD2C82"/>
    <w:rsid w:val="00BD2C94"/>
    <w:rsid w:val="00BD2D87"/>
    <w:rsid w:val="00BD2DA9"/>
    <w:rsid w:val="00BD2DDF"/>
    <w:rsid w:val="00BD2DF9"/>
    <w:rsid w:val="00BD2E36"/>
    <w:rsid w:val="00BD2EDA"/>
    <w:rsid w:val="00BD2F37"/>
    <w:rsid w:val="00BD2FC8"/>
    <w:rsid w:val="00BD319B"/>
    <w:rsid w:val="00BD3269"/>
    <w:rsid w:val="00BD330D"/>
    <w:rsid w:val="00BD33C5"/>
    <w:rsid w:val="00BD34F4"/>
    <w:rsid w:val="00BD3512"/>
    <w:rsid w:val="00BD35FF"/>
    <w:rsid w:val="00BD3672"/>
    <w:rsid w:val="00BD36DA"/>
    <w:rsid w:val="00BD3779"/>
    <w:rsid w:val="00BD38BB"/>
    <w:rsid w:val="00BD3A30"/>
    <w:rsid w:val="00BD3A52"/>
    <w:rsid w:val="00BD3A91"/>
    <w:rsid w:val="00BD3AB6"/>
    <w:rsid w:val="00BD3B26"/>
    <w:rsid w:val="00BD3BED"/>
    <w:rsid w:val="00BD3C05"/>
    <w:rsid w:val="00BD3C50"/>
    <w:rsid w:val="00BD3D19"/>
    <w:rsid w:val="00BD3D6F"/>
    <w:rsid w:val="00BD3D83"/>
    <w:rsid w:val="00BD3EB2"/>
    <w:rsid w:val="00BD3F4D"/>
    <w:rsid w:val="00BD3FCE"/>
    <w:rsid w:val="00BD4187"/>
    <w:rsid w:val="00BD431C"/>
    <w:rsid w:val="00BD4609"/>
    <w:rsid w:val="00BD46FD"/>
    <w:rsid w:val="00BD478B"/>
    <w:rsid w:val="00BD4909"/>
    <w:rsid w:val="00BD4A5F"/>
    <w:rsid w:val="00BD4AFD"/>
    <w:rsid w:val="00BD4B62"/>
    <w:rsid w:val="00BD4C03"/>
    <w:rsid w:val="00BD5039"/>
    <w:rsid w:val="00BD5040"/>
    <w:rsid w:val="00BD526D"/>
    <w:rsid w:val="00BD54B5"/>
    <w:rsid w:val="00BD5523"/>
    <w:rsid w:val="00BD5540"/>
    <w:rsid w:val="00BD55D4"/>
    <w:rsid w:val="00BD55E3"/>
    <w:rsid w:val="00BD5625"/>
    <w:rsid w:val="00BD5765"/>
    <w:rsid w:val="00BD57B1"/>
    <w:rsid w:val="00BD5868"/>
    <w:rsid w:val="00BD5A27"/>
    <w:rsid w:val="00BD5AF6"/>
    <w:rsid w:val="00BD5B5B"/>
    <w:rsid w:val="00BD5D9C"/>
    <w:rsid w:val="00BD5E37"/>
    <w:rsid w:val="00BD5E44"/>
    <w:rsid w:val="00BD5E8F"/>
    <w:rsid w:val="00BD5E97"/>
    <w:rsid w:val="00BD5EF6"/>
    <w:rsid w:val="00BD5F3A"/>
    <w:rsid w:val="00BD5F93"/>
    <w:rsid w:val="00BD5FB4"/>
    <w:rsid w:val="00BD613B"/>
    <w:rsid w:val="00BD613E"/>
    <w:rsid w:val="00BD615C"/>
    <w:rsid w:val="00BD619A"/>
    <w:rsid w:val="00BD61E1"/>
    <w:rsid w:val="00BD6266"/>
    <w:rsid w:val="00BD63CE"/>
    <w:rsid w:val="00BD64CD"/>
    <w:rsid w:val="00BD655A"/>
    <w:rsid w:val="00BD668C"/>
    <w:rsid w:val="00BD66B3"/>
    <w:rsid w:val="00BD66CC"/>
    <w:rsid w:val="00BD67C1"/>
    <w:rsid w:val="00BD67E6"/>
    <w:rsid w:val="00BD6848"/>
    <w:rsid w:val="00BD684A"/>
    <w:rsid w:val="00BD685F"/>
    <w:rsid w:val="00BD6A04"/>
    <w:rsid w:val="00BD6A89"/>
    <w:rsid w:val="00BD6AFF"/>
    <w:rsid w:val="00BD6D13"/>
    <w:rsid w:val="00BD6E43"/>
    <w:rsid w:val="00BD6E79"/>
    <w:rsid w:val="00BD6EA2"/>
    <w:rsid w:val="00BD7016"/>
    <w:rsid w:val="00BD7084"/>
    <w:rsid w:val="00BD70F6"/>
    <w:rsid w:val="00BD70FF"/>
    <w:rsid w:val="00BD7143"/>
    <w:rsid w:val="00BD7402"/>
    <w:rsid w:val="00BD762E"/>
    <w:rsid w:val="00BD7769"/>
    <w:rsid w:val="00BD777B"/>
    <w:rsid w:val="00BD78EE"/>
    <w:rsid w:val="00BD7901"/>
    <w:rsid w:val="00BD795E"/>
    <w:rsid w:val="00BD7991"/>
    <w:rsid w:val="00BD79D8"/>
    <w:rsid w:val="00BD7AD7"/>
    <w:rsid w:val="00BD7AF9"/>
    <w:rsid w:val="00BD7B14"/>
    <w:rsid w:val="00BD7B82"/>
    <w:rsid w:val="00BD7B9D"/>
    <w:rsid w:val="00BD7C4B"/>
    <w:rsid w:val="00BD7DA4"/>
    <w:rsid w:val="00BD7EE3"/>
    <w:rsid w:val="00BE0073"/>
    <w:rsid w:val="00BE00A7"/>
    <w:rsid w:val="00BE00C1"/>
    <w:rsid w:val="00BE00F9"/>
    <w:rsid w:val="00BE016B"/>
    <w:rsid w:val="00BE0174"/>
    <w:rsid w:val="00BE0196"/>
    <w:rsid w:val="00BE02E7"/>
    <w:rsid w:val="00BE031D"/>
    <w:rsid w:val="00BE0352"/>
    <w:rsid w:val="00BE0387"/>
    <w:rsid w:val="00BE0390"/>
    <w:rsid w:val="00BE0510"/>
    <w:rsid w:val="00BE0533"/>
    <w:rsid w:val="00BE0587"/>
    <w:rsid w:val="00BE058F"/>
    <w:rsid w:val="00BE05E4"/>
    <w:rsid w:val="00BE0669"/>
    <w:rsid w:val="00BE07F5"/>
    <w:rsid w:val="00BE091B"/>
    <w:rsid w:val="00BE099B"/>
    <w:rsid w:val="00BE0A01"/>
    <w:rsid w:val="00BE0A4E"/>
    <w:rsid w:val="00BE0A76"/>
    <w:rsid w:val="00BE0AA4"/>
    <w:rsid w:val="00BE0B05"/>
    <w:rsid w:val="00BE0B10"/>
    <w:rsid w:val="00BE0BF7"/>
    <w:rsid w:val="00BE0C33"/>
    <w:rsid w:val="00BE0D34"/>
    <w:rsid w:val="00BE0D8B"/>
    <w:rsid w:val="00BE10D1"/>
    <w:rsid w:val="00BE10F3"/>
    <w:rsid w:val="00BE12C9"/>
    <w:rsid w:val="00BE1363"/>
    <w:rsid w:val="00BE137B"/>
    <w:rsid w:val="00BE13C3"/>
    <w:rsid w:val="00BE1456"/>
    <w:rsid w:val="00BE1597"/>
    <w:rsid w:val="00BE167A"/>
    <w:rsid w:val="00BE16AA"/>
    <w:rsid w:val="00BE1704"/>
    <w:rsid w:val="00BE1756"/>
    <w:rsid w:val="00BE1761"/>
    <w:rsid w:val="00BE179D"/>
    <w:rsid w:val="00BE179F"/>
    <w:rsid w:val="00BE17CD"/>
    <w:rsid w:val="00BE1850"/>
    <w:rsid w:val="00BE1961"/>
    <w:rsid w:val="00BE19F5"/>
    <w:rsid w:val="00BE1A4F"/>
    <w:rsid w:val="00BE1A8C"/>
    <w:rsid w:val="00BE1AE5"/>
    <w:rsid w:val="00BE1B0A"/>
    <w:rsid w:val="00BE1C55"/>
    <w:rsid w:val="00BE1CBB"/>
    <w:rsid w:val="00BE1CBC"/>
    <w:rsid w:val="00BE1D32"/>
    <w:rsid w:val="00BE1D40"/>
    <w:rsid w:val="00BE1E6C"/>
    <w:rsid w:val="00BE1EAA"/>
    <w:rsid w:val="00BE1EEB"/>
    <w:rsid w:val="00BE1EFB"/>
    <w:rsid w:val="00BE1FAB"/>
    <w:rsid w:val="00BE2026"/>
    <w:rsid w:val="00BE2027"/>
    <w:rsid w:val="00BE204B"/>
    <w:rsid w:val="00BE20F6"/>
    <w:rsid w:val="00BE23B8"/>
    <w:rsid w:val="00BE24F7"/>
    <w:rsid w:val="00BE2551"/>
    <w:rsid w:val="00BE259C"/>
    <w:rsid w:val="00BE2604"/>
    <w:rsid w:val="00BE2715"/>
    <w:rsid w:val="00BE2A50"/>
    <w:rsid w:val="00BE2AA2"/>
    <w:rsid w:val="00BE2BA8"/>
    <w:rsid w:val="00BE2BB1"/>
    <w:rsid w:val="00BE2C27"/>
    <w:rsid w:val="00BE2C4E"/>
    <w:rsid w:val="00BE2D3F"/>
    <w:rsid w:val="00BE2DB9"/>
    <w:rsid w:val="00BE2DC9"/>
    <w:rsid w:val="00BE2EB4"/>
    <w:rsid w:val="00BE2F19"/>
    <w:rsid w:val="00BE3019"/>
    <w:rsid w:val="00BE30A0"/>
    <w:rsid w:val="00BE313C"/>
    <w:rsid w:val="00BE3188"/>
    <w:rsid w:val="00BE31EB"/>
    <w:rsid w:val="00BE3428"/>
    <w:rsid w:val="00BE35D4"/>
    <w:rsid w:val="00BE35E6"/>
    <w:rsid w:val="00BE35F5"/>
    <w:rsid w:val="00BE377D"/>
    <w:rsid w:val="00BE37EB"/>
    <w:rsid w:val="00BE38D2"/>
    <w:rsid w:val="00BE396D"/>
    <w:rsid w:val="00BE39B8"/>
    <w:rsid w:val="00BE3AC5"/>
    <w:rsid w:val="00BE3CE9"/>
    <w:rsid w:val="00BE3D38"/>
    <w:rsid w:val="00BE3D6A"/>
    <w:rsid w:val="00BE3D83"/>
    <w:rsid w:val="00BE3D86"/>
    <w:rsid w:val="00BE3E93"/>
    <w:rsid w:val="00BE3EB4"/>
    <w:rsid w:val="00BE3F2C"/>
    <w:rsid w:val="00BE3FCE"/>
    <w:rsid w:val="00BE3FF6"/>
    <w:rsid w:val="00BE4011"/>
    <w:rsid w:val="00BE420B"/>
    <w:rsid w:val="00BE430F"/>
    <w:rsid w:val="00BE4337"/>
    <w:rsid w:val="00BE4537"/>
    <w:rsid w:val="00BE4574"/>
    <w:rsid w:val="00BE459C"/>
    <w:rsid w:val="00BE45A1"/>
    <w:rsid w:val="00BE45D3"/>
    <w:rsid w:val="00BE463A"/>
    <w:rsid w:val="00BE4695"/>
    <w:rsid w:val="00BE475C"/>
    <w:rsid w:val="00BE47FA"/>
    <w:rsid w:val="00BE4803"/>
    <w:rsid w:val="00BE4A9E"/>
    <w:rsid w:val="00BE4D08"/>
    <w:rsid w:val="00BE4D1A"/>
    <w:rsid w:val="00BE4DBC"/>
    <w:rsid w:val="00BE4DBE"/>
    <w:rsid w:val="00BE4DC6"/>
    <w:rsid w:val="00BE50F2"/>
    <w:rsid w:val="00BE5270"/>
    <w:rsid w:val="00BE5300"/>
    <w:rsid w:val="00BE547B"/>
    <w:rsid w:val="00BE55C8"/>
    <w:rsid w:val="00BE55EA"/>
    <w:rsid w:val="00BE5986"/>
    <w:rsid w:val="00BE5AE3"/>
    <w:rsid w:val="00BE5B2C"/>
    <w:rsid w:val="00BE5B63"/>
    <w:rsid w:val="00BE5DDA"/>
    <w:rsid w:val="00BE5E5A"/>
    <w:rsid w:val="00BE5F23"/>
    <w:rsid w:val="00BE5FD1"/>
    <w:rsid w:val="00BE6104"/>
    <w:rsid w:val="00BE61DC"/>
    <w:rsid w:val="00BE6270"/>
    <w:rsid w:val="00BE63BD"/>
    <w:rsid w:val="00BE6653"/>
    <w:rsid w:val="00BE668D"/>
    <w:rsid w:val="00BE6708"/>
    <w:rsid w:val="00BE688B"/>
    <w:rsid w:val="00BE68E0"/>
    <w:rsid w:val="00BE6989"/>
    <w:rsid w:val="00BE6AAD"/>
    <w:rsid w:val="00BE6C39"/>
    <w:rsid w:val="00BE6CFA"/>
    <w:rsid w:val="00BE6F47"/>
    <w:rsid w:val="00BE6F7F"/>
    <w:rsid w:val="00BE7004"/>
    <w:rsid w:val="00BE7059"/>
    <w:rsid w:val="00BE7360"/>
    <w:rsid w:val="00BE7401"/>
    <w:rsid w:val="00BE7577"/>
    <w:rsid w:val="00BE75A2"/>
    <w:rsid w:val="00BE76DD"/>
    <w:rsid w:val="00BE7960"/>
    <w:rsid w:val="00BE79E4"/>
    <w:rsid w:val="00BE7A68"/>
    <w:rsid w:val="00BE7AE8"/>
    <w:rsid w:val="00BE7BED"/>
    <w:rsid w:val="00BE7BF5"/>
    <w:rsid w:val="00BE7C29"/>
    <w:rsid w:val="00BE7C9A"/>
    <w:rsid w:val="00BE7D8B"/>
    <w:rsid w:val="00BE7DCF"/>
    <w:rsid w:val="00BE7E3D"/>
    <w:rsid w:val="00BF0093"/>
    <w:rsid w:val="00BF009F"/>
    <w:rsid w:val="00BF037B"/>
    <w:rsid w:val="00BF042D"/>
    <w:rsid w:val="00BF058D"/>
    <w:rsid w:val="00BF05DF"/>
    <w:rsid w:val="00BF062D"/>
    <w:rsid w:val="00BF0880"/>
    <w:rsid w:val="00BF089B"/>
    <w:rsid w:val="00BF08C7"/>
    <w:rsid w:val="00BF094B"/>
    <w:rsid w:val="00BF09D4"/>
    <w:rsid w:val="00BF0A41"/>
    <w:rsid w:val="00BF0A5D"/>
    <w:rsid w:val="00BF0BB5"/>
    <w:rsid w:val="00BF0C2D"/>
    <w:rsid w:val="00BF0C8F"/>
    <w:rsid w:val="00BF0E3F"/>
    <w:rsid w:val="00BF109D"/>
    <w:rsid w:val="00BF10D1"/>
    <w:rsid w:val="00BF1121"/>
    <w:rsid w:val="00BF1172"/>
    <w:rsid w:val="00BF11F2"/>
    <w:rsid w:val="00BF122B"/>
    <w:rsid w:val="00BF1314"/>
    <w:rsid w:val="00BF135A"/>
    <w:rsid w:val="00BF1450"/>
    <w:rsid w:val="00BF149E"/>
    <w:rsid w:val="00BF1503"/>
    <w:rsid w:val="00BF153E"/>
    <w:rsid w:val="00BF15DC"/>
    <w:rsid w:val="00BF15E5"/>
    <w:rsid w:val="00BF1665"/>
    <w:rsid w:val="00BF166C"/>
    <w:rsid w:val="00BF16A7"/>
    <w:rsid w:val="00BF17D6"/>
    <w:rsid w:val="00BF1875"/>
    <w:rsid w:val="00BF1878"/>
    <w:rsid w:val="00BF18CA"/>
    <w:rsid w:val="00BF1E21"/>
    <w:rsid w:val="00BF1E29"/>
    <w:rsid w:val="00BF1F96"/>
    <w:rsid w:val="00BF202F"/>
    <w:rsid w:val="00BF2094"/>
    <w:rsid w:val="00BF2120"/>
    <w:rsid w:val="00BF2224"/>
    <w:rsid w:val="00BF227B"/>
    <w:rsid w:val="00BF2359"/>
    <w:rsid w:val="00BF2696"/>
    <w:rsid w:val="00BF2A35"/>
    <w:rsid w:val="00BF2AD7"/>
    <w:rsid w:val="00BF2B65"/>
    <w:rsid w:val="00BF2C63"/>
    <w:rsid w:val="00BF2D3C"/>
    <w:rsid w:val="00BF2DD3"/>
    <w:rsid w:val="00BF2DEA"/>
    <w:rsid w:val="00BF2E83"/>
    <w:rsid w:val="00BF2F20"/>
    <w:rsid w:val="00BF2FA3"/>
    <w:rsid w:val="00BF303E"/>
    <w:rsid w:val="00BF30D5"/>
    <w:rsid w:val="00BF30EC"/>
    <w:rsid w:val="00BF31E7"/>
    <w:rsid w:val="00BF3289"/>
    <w:rsid w:val="00BF328E"/>
    <w:rsid w:val="00BF32A2"/>
    <w:rsid w:val="00BF32CB"/>
    <w:rsid w:val="00BF3492"/>
    <w:rsid w:val="00BF357F"/>
    <w:rsid w:val="00BF358B"/>
    <w:rsid w:val="00BF3598"/>
    <w:rsid w:val="00BF35F3"/>
    <w:rsid w:val="00BF3725"/>
    <w:rsid w:val="00BF3749"/>
    <w:rsid w:val="00BF37A4"/>
    <w:rsid w:val="00BF3942"/>
    <w:rsid w:val="00BF3A62"/>
    <w:rsid w:val="00BF3B11"/>
    <w:rsid w:val="00BF3B1E"/>
    <w:rsid w:val="00BF3D47"/>
    <w:rsid w:val="00BF3D80"/>
    <w:rsid w:val="00BF3D88"/>
    <w:rsid w:val="00BF3DA3"/>
    <w:rsid w:val="00BF3E38"/>
    <w:rsid w:val="00BF3F1D"/>
    <w:rsid w:val="00BF3FAD"/>
    <w:rsid w:val="00BF3FFE"/>
    <w:rsid w:val="00BF4020"/>
    <w:rsid w:val="00BF407A"/>
    <w:rsid w:val="00BF424B"/>
    <w:rsid w:val="00BF4333"/>
    <w:rsid w:val="00BF436E"/>
    <w:rsid w:val="00BF463D"/>
    <w:rsid w:val="00BF4696"/>
    <w:rsid w:val="00BF4711"/>
    <w:rsid w:val="00BF4760"/>
    <w:rsid w:val="00BF47A5"/>
    <w:rsid w:val="00BF47F1"/>
    <w:rsid w:val="00BF484D"/>
    <w:rsid w:val="00BF491C"/>
    <w:rsid w:val="00BF4946"/>
    <w:rsid w:val="00BF4984"/>
    <w:rsid w:val="00BF4B3D"/>
    <w:rsid w:val="00BF4DAA"/>
    <w:rsid w:val="00BF4E99"/>
    <w:rsid w:val="00BF4EE0"/>
    <w:rsid w:val="00BF4EF8"/>
    <w:rsid w:val="00BF4F42"/>
    <w:rsid w:val="00BF4F4C"/>
    <w:rsid w:val="00BF504B"/>
    <w:rsid w:val="00BF507A"/>
    <w:rsid w:val="00BF5122"/>
    <w:rsid w:val="00BF513B"/>
    <w:rsid w:val="00BF518A"/>
    <w:rsid w:val="00BF53DF"/>
    <w:rsid w:val="00BF53FE"/>
    <w:rsid w:val="00BF5452"/>
    <w:rsid w:val="00BF54FD"/>
    <w:rsid w:val="00BF55CA"/>
    <w:rsid w:val="00BF55DF"/>
    <w:rsid w:val="00BF5795"/>
    <w:rsid w:val="00BF5803"/>
    <w:rsid w:val="00BF582A"/>
    <w:rsid w:val="00BF5960"/>
    <w:rsid w:val="00BF5983"/>
    <w:rsid w:val="00BF5997"/>
    <w:rsid w:val="00BF5A15"/>
    <w:rsid w:val="00BF5A2A"/>
    <w:rsid w:val="00BF5AF5"/>
    <w:rsid w:val="00BF5BA9"/>
    <w:rsid w:val="00BF5BCC"/>
    <w:rsid w:val="00BF5E83"/>
    <w:rsid w:val="00BF5EEB"/>
    <w:rsid w:val="00BF607E"/>
    <w:rsid w:val="00BF6135"/>
    <w:rsid w:val="00BF6190"/>
    <w:rsid w:val="00BF61FB"/>
    <w:rsid w:val="00BF6214"/>
    <w:rsid w:val="00BF6269"/>
    <w:rsid w:val="00BF6323"/>
    <w:rsid w:val="00BF634E"/>
    <w:rsid w:val="00BF638F"/>
    <w:rsid w:val="00BF6404"/>
    <w:rsid w:val="00BF645E"/>
    <w:rsid w:val="00BF6499"/>
    <w:rsid w:val="00BF6536"/>
    <w:rsid w:val="00BF656E"/>
    <w:rsid w:val="00BF6591"/>
    <w:rsid w:val="00BF67A6"/>
    <w:rsid w:val="00BF6999"/>
    <w:rsid w:val="00BF69A4"/>
    <w:rsid w:val="00BF6B6E"/>
    <w:rsid w:val="00BF6BE7"/>
    <w:rsid w:val="00BF6DD7"/>
    <w:rsid w:val="00BF6EDF"/>
    <w:rsid w:val="00BF704E"/>
    <w:rsid w:val="00BF715B"/>
    <w:rsid w:val="00BF7217"/>
    <w:rsid w:val="00BF7254"/>
    <w:rsid w:val="00BF7259"/>
    <w:rsid w:val="00BF72F5"/>
    <w:rsid w:val="00BF737F"/>
    <w:rsid w:val="00BF7436"/>
    <w:rsid w:val="00BF74E6"/>
    <w:rsid w:val="00BF751B"/>
    <w:rsid w:val="00BF7556"/>
    <w:rsid w:val="00BF75E6"/>
    <w:rsid w:val="00BF765D"/>
    <w:rsid w:val="00BF770E"/>
    <w:rsid w:val="00BF7916"/>
    <w:rsid w:val="00BF7955"/>
    <w:rsid w:val="00BF7A29"/>
    <w:rsid w:val="00BF7A44"/>
    <w:rsid w:val="00BF7E37"/>
    <w:rsid w:val="00BF7EEE"/>
    <w:rsid w:val="00BF7EFE"/>
    <w:rsid w:val="00C00096"/>
    <w:rsid w:val="00C000E0"/>
    <w:rsid w:val="00C000E5"/>
    <w:rsid w:val="00C001B4"/>
    <w:rsid w:val="00C003E4"/>
    <w:rsid w:val="00C00545"/>
    <w:rsid w:val="00C00585"/>
    <w:rsid w:val="00C007A4"/>
    <w:rsid w:val="00C007D6"/>
    <w:rsid w:val="00C00896"/>
    <w:rsid w:val="00C008A0"/>
    <w:rsid w:val="00C00C2D"/>
    <w:rsid w:val="00C00C46"/>
    <w:rsid w:val="00C00CE7"/>
    <w:rsid w:val="00C00E2A"/>
    <w:rsid w:val="00C00E42"/>
    <w:rsid w:val="00C00E9F"/>
    <w:rsid w:val="00C00F09"/>
    <w:rsid w:val="00C00FAF"/>
    <w:rsid w:val="00C010AD"/>
    <w:rsid w:val="00C0118D"/>
    <w:rsid w:val="00C01287"/>
    <w:rsid w:val="00C012D9"/>
    <w:rsid w:val="00C01314"/>
    <w:rsid w:val="00C013AD"/>
    <w:rsid w:val="00C013FD"/>
    <w:rsid w:val="00C014B9"/>
    <w:rsid w:val="00C0159E"/>
    <w:rsid w:val="00C01628"/>
    <w:rsid w:val="00C01773"/>
    <w:rsid w:val="00C01817"/>
    <w:rsid w:val="00C0189D"/>
    <w:rsid w:val="00C01A85"/>
    <w:rsid w:val="00C01AFA"/>
    <w:rsid w:val="00C01CCB"/>
    <w:rsid w:val="00C01D96"/>
    <w:rsid w:val="00C01DBB"/>
    <w:rsid w:val="00C01EE2"/>
    <w:rsid w:val="00C01F56"/>
    <w:rsid w:val="00C01F75"/>
    <w:rsid w:val="00C02059"/>
    <w:rsid w:val="00C02170"/>
    <w:rsid w:val="00C0217D"/>
    <w:rsid w:val="00C02326"/>
    <w:rsid w:val="00C023C6"/>
    <w:rsid w:val="00C023EF"/>
    <w:rsid w:val="00C0257B"/>
    <w:rsid w:val="00C0270B"/>
    <w:rsid w:val="00C02729"/>
    <w:rsid w:val="00C02798"/>
    <w:rsid w:val="00C0294F"/>
    <w:rsid w:val="00C02A32"/>
    <w:rsid w:val="00C02A85"/>
    <w:rsid w:val="00C02AC8"/>
    <w:rsid w:val="00C02B01"/>
    <w:rsid w:val="00C02C1E"/>
    <w:rsid w:val="00C02CD9"/>
    <w:rsid w:val="00C02D04"/>
    <w:rsid w:val="00C02D23"/>
    <w:rsid w:val="00C02E1A"/>
    <w:rsid w:val="00C02E6F"/>
    <w:rsid w:val="00C02FC2"/>
    <w:rsid w:val="00C0301F"/>
    <w:rsid w:val="00C032B9"/>
    <w:rsid w:val="00C033B0"/>
    <w:rsid w:val="00C0341A"/>
    <w:rsid w:val="00C03424"/>
    <w:rsid w:val="00C036AF"/>
    <w:rsid w:val="00C036ED"/>
    <w:rsid w:val="00C037B2"/>
    <w:rsid w:val="00C03990"/>
    <w:rsid w:val="00C039E2"/>
    <w:rsid w:val="00C03AB4"/>
    <w:rsid w:val="00C03BFF"/>
    <w:rsid w:val="00C03C27"/>
    <w:rsid w:val="00C03CC4"/>
    <w:rsid w:val="00C03CE1"/>
    <w:rsid w:val="00C03FC5"/>
    <w:rsid w:val="00C03FFC"/>
    <w:rsid w:val="00C04044"/>
    <w:rsid w:val="00C04144"/>
    <w:rsid w:val="00C0422B"/>
    <w:rsid w:val="00C04284"/>
    <w:rsid w:val="00C0459E"/>
    <w:rsid w:val="00C045DB"/>
    <w:rsid w:val="00C04784"/>
    <w:rsid w:val="00C047E9"/>
    <w:rsid w:val="00C048F5"/>
    <w:rsid w:val="00C04991"/>
    <w:rsid w:val="00C049C1"/>
    <w:rsid w:val="00C049FF"/>
    <w:rsid w:val="00C04B2B"/>
    <w:rsid w:val="00C04B85"/>
    <w:rsid w:val="00C04C77"/>
    <w:rsid w:val="00C04CCF"/>
    <w:rsid w:val="00C04D40"/>
    <w:rsid w:val="00C04D5F"/>
    <w:rsid w:val="00C04DB2"/>
    <w:rsid w:val="00C04E14"/>
    <w:rsid w:val="00C04F88"/>
    <w:rsid w:val="00C04FF5"/>
    <w:rsid w:val="00C05079"/>
    <w:rsid w:val="00C051CA"/>
    <w:rsid w:val="00C0534F"/>
    <w:rsid w:val="00C05352"/>
    <w:rsid w:val="00C05375"/>
    <w:rsid w:val="00C0539D"/>
    <w:rsid w:val="00C0551A"/>
    <w:rsid w:val="00C055E0"/>
    <w:rsid w:val="00C0574C"/>
    <w:rsid w:val="00C05764"/>
    <w:rsid w:val="00C057BB"/>
    <w:rsid w:val="00C058B7"/>
    <w:rsid w:val="00C05964"/>
    <w:rsid w:val="00C05A85"/>
    <w:rsid w:val="00C05AED"/>
    <w:rsid w:val="00C05BBE"/>
    <w:rsid w:val="00C05BF2"/>
    <w:rsid w:val="00C05D00"/>
    <w:rsid w:val="00C05DFD"/>
    <w:rsid w:val="00C05DFE"/>
    <w:rsid w:val="00C05E98"/>
    <w:rsid w:val="00C05FCB"/>
    <w:rsid w:val="00C060CF"/>
    <w:rsid w:val="00C0628F"/>
    <w:rsid w:val="00C0633D"/>
    <w:rsid w:val="00C06383"/>
    <w:rsid w:val="00C063A2"/>
    <w:rsid w:val="00C0646E"/>
    <w:rsid w:val="00C06514"/>
    <w:rsid w:val="00C06546"/>
    <w:rsid w:val="00C0660F"/>
    <w:rsid w:val="00C06792"/>
    <w:rsid w:val="00C06886"/>
    <w:rsid w:val="00C068BF"/>
    <w:rsid w:val="00C06AB1"/>
    <w:rsid w:val="00C06B3E"/>
    <w:rsid w:val="00C06D68"/>
    <w:rsid w:val="00C06E02"/>
    <w:rsid w:val="00C06E17"/>
    <w:rsid w:val="00C06F00"/>
    <w:rsid w:val="00C06F02"/>
    <w:rsid w:val="00C06F23"/>
    <w:rsid w:val="00C06F25"/>
    <w:rsid w:val="00C06FA6"/>
    <w:rsid w:val="00C07019"/>
    <w:rsid w:val="00C070DD"/>
    <w:rsid w:val="00C0710F"/>
    <w:rsid w:val="00C0716F"/>
    <w:rsid w:val="00C071F1"/>
    <w:rsid w:val="00C07355"/>
    <w:rsid w:val="00C0779A"/>
    <w:rsid w:val="00C07856"/>
    <w:rsid w:val="00C07871"/>
    <w:rsid w:val="00C07969"/>
    <w:rsid w:val="00C07A42"/>
    <w:rsid w:val="00C07AA6"/>
    <w:rsid w:val="00C07B38"/>
    <w:rsid w:val="00C07BF8"/>
    <w:rsid w:val="00C07C2D"/>
    <w:rsid w:val="00C07C54"/>
    <w:rsid w:val="00C07CD0"/>
    <w:rsid w:val="00C07E40"/>
    <w:rsid w:val="00C07FE1"/>
    <w:rsid w:val="00C10017"/>
    <w:rsid w:val="00C10018"/>
    <w:rsid w:val="00C100D4"/>
    <w:rsid w:val="00C10130"/>
    <w:rsid w:val="00C10140"/>
    <w:rsid w:val="00C1018B"/>
    <w:rsid w:val="00C10192"/>
    <w:rsid w:val="00C1025C"/>
    <w:rsid w:val="00C103FB"/>
    <w:rsid w:val="00C10427"/>
    <w:rsid w:val="00C106E4"/>
    <w:rsid w:val="00C106FD"/>
    <w:rsid w:val="00C1073A"/>
    <w:rsid w:val="00C108FE"/>
    <w:rsid w:val="00C1093F"/>
    <w:rsid w:val="00C10A7A"/>
    <w:rsid w:val="00C10A82"/>
    <w:rsid w:val="00C10AA6"/>
    <w:rsid w:val="00C10B05"/>
    <w:rsid w:val="00C10CF3"/>
    <w:rsid w:val="00C10D1A"/>
    <w:rsid w:val="00C10DDB"/>
    <w:rsid w:val="00C10E66"/>
    <w:rsid w:val="00C10F2E"/>
    <w:rsid w:val="00C10F54"/>
    <w:rsid w:val="00C11086"/>
    <w:rsid w:val="00C111B0"/>
    <w:rsid w:val="00C111C1"/>
    <w:rsid w:val="00C11384"/>
    <w:rsid w:val="00C113D0"/>
    <w:rsid w:val="00C114AD"/>
    <w:rsid w:val="00C114C2"/>
    <w:rsid w:val="00C11593"/>
    <w:rsid w:val="00C115CF"/>
    <w:rsid w:val="00C115FF"/>
    <w:rsid w:val="00C117BD"/>
    <w:rsid w:val="00C11818"/>
    <w:rsid w:val="00C11962"/>
    <w:rsid w:val="00C11A01"/>
    <w:rsid w:val="00C11A3F"/>
    <w:rsid w:val="00C11B3D"/>
    <w:rsid w:val="00C11B5B"/>
    <w:rsid w:val="00C11CA5"/>
    <w:rsid w:val="00C11D9E"/>
    <w:rsid w:val="00C11E55"/>
    <w:rsid w:val="00C120DE"/>
    <w:rsid w:val="00C12108"/>
    <w:rsid w:val="00C1234E"/>
    <w:rsid w:val="00C123B7"/>
    <w:rsid w:val="00C123DF"/>
    <w:rsid w:val="00C12535"/>
    <w:rsid w:val="00C12620"/>
    <w:rsid w:val="00C12667"/>
    <w:rsid w:val="00C126D0"/>
    <w:rsid w:val="00C12773"/>
    <w:rsid w:val="00C12782"/>
    <w:rsid w:val="00C127AF"/>
    <w:rsid w:val="00C12927"/>
    <w:rsid w:val="00C12A2A"/>
    <w:rsid w:val="00C12A3D"/>
    <w:rsid w:val="00C12BBA"/>
    <w:rsid w:val="00C12C11"/>
    <w:rsid w:val="00C12C29"/>
    <w:rsid w:val="00C12CAE"/>
    <w:rsid w:val="00C12F9F"/>
    <w:rsid w:val="00C1302B"/>
    <w:rsid w:val="00C13581"/>
    <w:rsid w:val="00C135CD"/>
    <w:rsid w:val="00C1385A"/>
    <w:rsid w:val="00C138D8"/>
    <w:rsid w:val="00C1390E"/>
    <w:rsid w:val="00C1399E"/>
    <w:rsid w:val="00C13A96"/>
    <w:rsid w:val="00C13B09"/>
    <w:rsid w:val="00C13B33"/>
    <w:rsid w:val="00C13CF8"/>
    <w:rsid w:val="00C13D2B"/>
    <w:rsid w:val="00C13FEE"/>
    <w:rsid w:val="00C140F7"/>
    <w:rsid w:val="00C142CC"/>
    <w:rsid w:val="00C14382"/>
    <w:rsid w:val="00C143C9"/>
    <w:rsid w:val="00C143E7"/>
    <w:rsid w:val="00C14474"/>
    <w:rsid w:val="00C145C8"/>
    <w:rsid w:val="00C14691"/>
    <w:rsid w:val="00C14862"/>
    <w:rsid w:val="00C1495F"/>
    <w:rsid w:val="00C14B8F"/>
    <w:rsid w:val="00C14C57"/>
    <w:rsid w:val="00C14CD0"/>
    <w:rsid w:val="00C14ECE"/>
    <w:rsid w:val="00C14FDB"/>
    <w:rsid w:val="00C1519F"/>
    <w:rsid w:val="00C151C1"/>
    <w:rsid w:val="00C151D4"/>
    <w:rsid w:val="00C15321"/>
    <w:rsid w:val="00C15428"/>
    <w:rsid w:val="00C1546B"/>
    <w:rsid w:val="00C15592"/>
    <w:rsid w:val="00C15688"/>
    <w:rsid w:val="00C158BE"/>
    <w:rsid w:val="00C15A96"/>
    <w:rsid w:val="00C15B26"/>
    <w:rsid w:val="00C15BB8"/>
    <w:rsid w:val="00C15CF4"/>
    <w:rsid w:val="00C15CFD"/>
    <w:rsid w:val="00C15F97"/>
    <w:rsid w:val="00C15FC8"/>
    <w:rsid w:val="00C15FEE"/>
    <w:rsid w:val="00C1603B"/>
    <w:rsid w:val="00C16066"/>
    <w:rsid w:val="00C160D8"/>
    <w:rsid w:val="00C160E7"/>
    <w:rsid w:val="00C160FA"/>
    <w:rsid w:val="00C1618C"/>
    <w:rsid w:val="00C161C3"/>
    <w:rsid w:val="00C16337"/>
    <w:rsid w:val="00C1635D"/>
    <w:rsid w:val="00C164C5"/>
    <w:rsid w:val="00C1650D"/>
    <w:rsid w:val="00C16527"/>
    <w:rsid w:val="00C16616"/>
    <w:rsid w:val="00C16646"/>
    <w:rsid w:val="00C1671C"/>
    <w:rsid w:val="00C1673D"/>
    <w:rsid w:val="00C1676C"/>
    <w:rsid w:val="00C167DB"/>
    <w:rsid w:val="00C167E1"/>
    <w:rsid w:val="00C1686A"/>
    <w:rsid w:val="00C16A2F"/>
    <w:rsid w:val="00C16B93"/>
    <w:rsid w:val="00C16C3C"/>
    <w:rsid w:val="00C16C7B"/>
    <w:rsid w:val="00C16DC4"/>
    <w:rsid w:val="00C16F57"/>
    <w:rsid w:val="00C170DA"/>
    <w:rsid w:val="00C171F5"/>
    <w:rsid w:val="00C1722E"/>
    <w:rsid w:val="00C172F0"/>
    <w:rsid w:val="00C17487"/>
    <w:rsid w:val="00C174FA"/>
    <w:rsid w:val="00C175E8"/>
    <w:rsid w:val="00C17747"/>
    <w:rsid w:val="00C1778A"/>
    <w:rsid w:val="00C1781B"/>
    <w:rsid w:val="00C17904"/>
    <w:rsid w:val="00C17BFA"/>
    <w:rsid w:val="00C17C06"/>
    <w:rsid w:val="00C17C36"/>
    <w:rsid w:val="00C17CC1"/>
    <w:rsid w:val="00C17D1A"/>
    <w:rsid w:val="00C20223"/>
    <w:rsid w:val="00C20338"/>
    <w:rsid w:val="00C20505"/>
    <w:rsid w:val="00C20525"/>
    <w:rsid w:val="00C2058E"/>
    <w:rsid w:val="00C20615"/>
    <w:rsid w:val="00C20694"/>
    <w:rsid w:val="00C206BB"/>
    <w:rsid w:val="00C20A00"/>
    <w:rsid w:val="00C20B55"/>
    <w:rsid w:val="00C20BB4"/>
    <w:rsid w:val="00C20C32"/>
    <w:rsid w:val="00C20E8B"/>
    <w:rsid w:val="00C20E9D"/>
    <w:rsid w:val="00C20F91"/>
    <w:rsid w:val="00C20FE1"/>
    <w:rsid w:val="00C210D6"/>
    <w:rsid w:val="00C2113F"/>
    <w:rsid w:val="00C2119A"/>
    <w:rsid w:val="00C2128F"/>
    <w:rsid w:val="00C21459"/>
    <w:rsid w:val="00C214FE"/>
    <w:rsid w:val="00C21596"/>
    <w:rsid w:val="00C215A9"/>
    <w:rsid w:val="00C2176A"/>
    <w:rsid w:val="00C217B6"/>
    <w:rsid w:val="00C218DA"/>
    <w:rsid w:val="00C218FA"/>
    <w:rsid w:val="00C21900"/>
    <w:rsid w:val="00C2191D"/>
    <w:rsid w:val="00C2194E"/>
    <w:rsid w:val="00C219A3"/>
    <w:rsid w:val="00C219BF"/>
    <w:rsid w:val="00C21B01"/>
    <w:rsid w:val="00C21C42"/>
    <w:rsid w:val="00C21CE2"/>
    <w:rsid w:val="00C21D9F"/>
    <w:rsid w:val="00C21DBA"/>
    <w:rsid w:val="00C21DC0"/>
    <w:rsid w:val="00C21DE5"/>
    <w:rsid w:val="00C21DEE"/>
    <w:rsid w:val="00C21E0C"/>
    <w:rsid w:val="00C21EBC"/>
    <w:rsid w:val="00C21EFC"/>
    <w:rsid w:val="00C21FEB"/>
    <w:rsid w:val="00C22081"/>
    <w:rsid w:val="00C22253"/>
    <w:rsid w:val="00C222F0"/>
    <w:rsid w:val="00C2251E"/>
    <w:rsid w:val="00C22595"/>
    <w:rsid w:val="00C225DF"/>
    <w:rsid w:val="00C227D0"/>
    <w:rsid w:val="00C227DA"/>
    <w:rsid w:val="00C2287B"/>
    <w:rsid w:val="00C228CF"/>
    <w:rsid w:val="00C22A45"/>
    <w:rsid w:val="00C22B5D"/>
    <w:rsid w:val="00C22B6D"/>
    <w:rsid w:val="00C22CFC"/>
    <w:rsid w:val="00C22D80"/>
    <w:rsid w:val="00C22E88"/>
    <w:rsid w:val="00C22F88"/>
    <w:rsid w:val="00C2308B"/>
    <w:rsid w:val="00C232AF"/>
    <w:rsid w:val="00C23354"/>
    <w:rsid w:val="00C23769"/>
    <w:rsid w:val="00C23788"/>
    <w:rsid w:val="00C238AA"/>
    <w:rsid w:val="00C239E7"/>
    <w:rsid w:val="00C23A0D"/>
    <w:rsid w:val="00C23A60"/>
    <w:rsid w:val="00C23ADC"/>
    <w:rsid w:val="00C23AFC"/>
    <w:rsid w:val="00C23BC0"/>
    <w:rsid w:val="00C23D72"/>
    <w:rsid w:val="00C23DB5"/>
    <w:rsid w:val="00C23DCF"/>
    <w:rsid w:val="00C23E76"/>
    <w:rsid w:val="00C23EE2"/>
    <w:rsid w:val="00C23EE3"/>
    <w:rsid w:val="00C2409E"/>
    <w:rsid w:val="00C24165"/>
    <w:rsid w:val="00C243EF"/>
    <w:rsid w:val="00C24483"/>
    <w:rsid w:val="00C24596"/>
    <w:rsid w:val="00C245EE"/>
    <w:rsid w:val="00C24615"/>
    <w:rsid w:val="00C246DB"/>
    <w:rsid w:val="00C246EC"/>
    <w:rsid w:val="00C246F3"/>
    <w:rsid w:val="00C24703"/>
    <w:rsid w:val="00C24734"/>
    <w:rsid w:val="00C247BD"/>
    <w:rsid w:val="00C24989"/>
    <w:rsid w:val="00C249DA"/>
    <w:rsid w:val="00C24A5A"/>
    <w:rsid w:val="00C24A8A"/>
    <w:rsid w:val="00C24A8E"/>
    <w:rsid w:val="00C24B14"/>
    <w:rsid w:val="00C24CC6"/>
    <w:rsid w:val="00C24EA3"/>
    <w:rsid w:val="00C24EBC"/>
    <w:rsid w:val="00C24F64"/>
    <w:rsid w:val="00C24FB8"/>
    <w:rsid w:val="00C25167"/>
    <w:rsid w:val="00C251A7"/>
    <w:rsid w:val="00C25289"/>
    <w:rsid w:val="00C252BF"/>
    <w:rsid w:val="00C2541A"/>
    <w:rsid w:val="00C25426"/>
    <w:rsid w:val="00C25659"/>
    <w:rsid w:val="00C2566F"/>
    <w:rsid w:val="00C25680"/>
    <w:rsid w:val="00C25715"/>
    <w:rsid w:val="00C257C5"/>
    <w:rsid w:val="00C25903"/>
    <w:rsid w:val="00C25989"/>
    <w:rsid w:val="00C2599A"/>
    <w:rsid w:val="00C25B36"/>
    <w:rsid w:val="00C25DE4"/>
    <w:rsid w:val="00C25E9E"/>
    <w:rsid w:val="00C26136"/>
    <w:rsid w:val="00C261B6"/>
    <w:rsid w:val="00C26283"/>
    <w:rsid w:val="00C26324"/>
    <w:rsid w:val="00C26325"/>
    <w:rsid w:val="00C2641C"/>
    <w:rsid w:val="00C26523"/>
    <w:rsid w:val="00C26603"/>
    <w:rsid w:val="00C26739"/>
    <w:rsid w:val="00C267F2"/>
    <w:rsid w:val="00C268C5"/>
    <w:rsid w:val="00C268F5"/>
    <w:rsid w:val="00C26ADD"/>
    <w:rsid w:val="00C26B70"/>
    <w:rsid w:val="00C26BE3"/>
    <w:rsid w:val="00C26BE9"/>
    <w:rsid w:val="00C26D00"/>
    <w:rsid w:val="00C26F01"/>
    <w:rsid w:val="00C26F04"/>
    <w:rsid w:val="00C27029"/>
    <w:rsid w:val="00C27061"/>
    <w:rsid w:val="00C270AB"/>
    <w:rsid w:val="00C270C3"/>
    <w:rsid w:val="00C271A0"/>
    <w:rsid w:val="00C27244"/>
    <w:rsid w:val="00C2738A"/>
    <w:rsid w:val="00C2755A"/>
    <w:rsid w:val="00C2757E"/>
    <w:rsid w:val="00C275A1"/>
    <w:rsid w:val="00C275F3"/>
    <w:rsid w:val="00C2768C"/>
    <w:rsid w:val="00C2772D"/>
    <w:rsid w:val="00C277F2"/>
    <w:rsid w:val="00C2780F"/>
    <w:rsid w:val="00C27827"/>
    <w:rsid w:val="00C278DE"/>
    <w:rsid w:val="00C27912"/>
    <w:rsid w:val="00C27948"/>
    <w:rsid w:val="00C27ABF"/>
    <w:rsid w:val="00C27B44"/>
    <w:rsid w:val="00C27C3E"/>
    <w:rsid w:val="00C27C7B"/>
    <w:rsid w:val="00C27DBD"/>
    <w:rsid w:val="00C27F5C"/>
    <w:rsid w:val="00C301CA"/>
    <w:rsid w:val="00C3026D"/>
    <w:rsid w:val="00C302B9"/>
    <w:rsid w:val="00C306C6"/>
    <w:rsid w:val="00C308D0"/>
    <w:rsid w:val="00C30A85"/>
    <w:rsid w:val="00C30ABC"/>
    <w:rsid w:val="00C30CF1"/>
    <w:rsid w:val="00C30E5A"/>
    <w:rsid w:val="00C30F00"/>
    <w:rsid w:val="00C30F41"/>
    <w:rsid w:val="00C30FC7"/>
    <w:rsid w:val="00C31002"/>
    <w:rsid w:val="00C31228"/>
    <w:rsid w:val="00C312A6"/>
    <w:rsid w:val="00C313B1"/>
    <w:rsid w:val="00C3149E"/>
    <w:rsid w:val="00C314B1"/>
    <w:rsid w:val="00C31561"/>
    <w:rsid w:val="00C3158A"/>
    <w:rsid w:val="00C315AC"/>
    <w:rsid w:val="00C315B5"/>
    <w:rsid w:val="00C3165C"/>
    <w:rsid w:val="00C31715"/>
    <w:rsid w:val="00C3176E"/>
    <w:rsid w:val="00C31884"/>
    <w:rsid w:val="00C31928"/>
    <w:rsid w:val="00C319BF"/>
    <w:rsid w:val="00C31A2D"/>
    <w:rsid w:val="00C31AFB"/>
    <w:rsid w:val="00C31BDB"/>
    <w:rsid w:val="00C31C61"/>
    <w:rsid w:val="00C31D16"/>
    <w:rsid w:val="00C31D5E"/>
    <w:rsid w:val="00C31EC1"/>
    <w:rsid w:val="00C31F8F"/>
    <w:rsid w:val="00C3208D"/>
    <w:rsid w:val="00C321E1"/>
    <w:rsid w:val="00C32281"/>
    <w:rsid w:val="00C32492"/>
    <w:rsid w:val="00C324DE"/>
    <w:rsid w:val="00C3250B"/>
    <w:rsid w:val="00C325EF"/>
    <w:rsid w:val="00C32622"/>
    <w:rsid w:val="00C32697"/>
    <w:rsid w:val="00C32737"/>
    <w:rsid w:val="00C32813"/>
    <w:rsid w:val="00C329EF"/>
    <w:rsid w:val="00C32A2B"/>
    <w:rsid w:val="00C32A34"/>
    <w:rsid w:val="00C32B33"/>
    <w:rsid w:val="00C32B68"/>
    <w:rsid w:val="00C32C82"/>
    <w:rsid w:val="00C32DA1"/>
    <w:rsid w:val="00C32F3B"/>
    <w:rsid w:val="00C3306A"/>
    <w:rsid w:val="00C33309"/>
    <w:rsid w:val="00C3338C"/>
    <w:rsid w:val="00C33391"/>
    <w:rsid w:val="00C334AD"/>
    <w:rsid w:val="00C3351B"/>
    <w:rsid w:val="00C3357E"/>
    <w:rsid w:val="00C33945"/>
    <w:rsid w:val="00C3399B"/>
    <w:rsid w:val="00C33AA9"/>
    <w:rsid w:val="00C33B8B"/>
    <w:rsid w:val="00C33BAA"/>
    <w:rsid w:val="00C33C31"/>
    <w:rsid w:val="00C33C3D"/>
    <w:rsid w:val="00C33CB5"/>
    <w:rsid w:val="00C33CC8"/>
    <w:rsid w:val="00C33CF0"/>
    <w:rsid w:val="00C33D88"/>
    <w:rsid w:val="00C33FB8"/>
    <w:rsid w:val="00C342A5"/>
    <w:rsid w:val="00C3448E"/>
    <w:rsid w:val="00C34655"/>
    <w:rsid w:val="00C34732"/>
    <w:rsid w:val="00C347CA"/>
    <w:rsid w:val="00C348AF"/>
    <w:rsid w:val="00C349FD"/>
    <w:rsid w:val="00C34B42"/>
    <w:rsid w:val="00C34B89"/>
    <w:rsid w:val="00C34C3F"/>
    <w:rsid w:val="00C34C70"/>
    <w:rsid w:val="00C34CC8"/>
    <w:rsid w:val="00C34D99"/>
    <w:rsid w:val="00C34F8D"/>
    <w:rsid w:val="00C34F93"/>
    <w:rsid w:val="00C34FB1"/>
    <w:rsid w:val="00C34FC2"/>
    <w:rsid w:val="00C34FE0"/>
    <w:rsid w:val="00C350DF"/>
    <w:rsid w:val="00C351D7"/>
    <w:rsid w:val="00C351FD"/>
    <w:rsid w:val="00C35208"/>
    <w:rsid w:val="00C35527"/>
    <w:rsid w:val="00C35751"/>
    <w:rsid w:val="00C357B4"/>
    <w:rsid w:val="00C3582E"/>
    <w:rsid w:val="00C358DA"/>
    <w:rsid w:val="00C359A3"/>
    <w:rsid w:val="00C359C7"/>
    <w:rsid w:val="00C35A4C"/>
    <w:rsid w:val="00C35A5F"/>
    <w:rsid w:val="00C35A97"/>
    <w:rsid w:val="00C36013"/>
    <w:rsid w:val="00C3609F"/>
    <w:rsid w:val="00C360E5"/>
    <w:rsid w:val="00C36157"/>
    <w:rsid w:val="00C362D9"/>
    <w:rsid w:val="00C3644B"/>
    <w:rsid w:val="00C36497"/>
    <w:rsid w:val="00C364A9"/>
    <w:rsid w:val="00C36535"/>
    <w:rsid w:val="00C3654B"/>
    <w:rsid w:val="00C36586"/>
    <w:rsid w:val="00C3658B"/>
    <w:rsid w:val="00C36694"/>
    <w:rsid w:val="00C366A7"/>
    <w:rsid w:val="00C366B2"/>
    <w:rsid w:val="00C366D4"/>
    <w:rsid w:val="00C366EA"/>
    <w:rsid w:val="00C36831"/>
    <w:rsid w:val="00C368E0"/>
    <w:rsid w:val="00C368E7"/>
    <w:rsid w:val="00C368FE"/>
    <w:rsid w:val="00C36AFB"/>
    <w:rsid w:val="00C36B01"/>
    <w:rsid w:val="00C36B09"/>
    <w:rsid w:val="00C36CB7"/>
    <w:rsid w:val="00C36D24"/>
    <w:rsid w:val="00C36E75"/>
    <w:rsid w:val="00C36EA7"/>
    <w:rsid w:val="00C36FFB"/>
    <w:rsid w:val="00C371F6"/>
    <w:rsid w:val="00C37235"/>
    <w:rsid w:val="00C3729F"/>
    <w:rsid w:val="00C372E1"/>
    <w:rsid w:val="00C37416"/>
    <w:rsid w:val="00C374EC"/>
    <w:rsid w:val="00C37573"/>
    <w:rsid w:val="00C375E7"/>
    <w:rsid w:val="00C376C4"/>
    <w:rsid w:val="00C37963"/>
    <w:rsid w:val="00C37AF3"/>
    <w:rsid w:val="00C37B16"/>
    <w:rsid w:val="00C37B52"/>
    <w:rsid w:val="00C37C04"/>
    <w:rsid w:val="00C37C4F"/>
    <w:rsid w:val="00C37D00"/>
    <w:rsid w:val="00C37D19"/>
    <w:rsid w:val="00C40125"/>
    <w:rsid w:val="00C4013A"/>
    <w:rsid w:val="00C40316"/>
    <w:rsid w:val="00C40454"/>
    <w:rsid w:val="00C40487"/>
    <w:rsid w:val="00C40504"/>
    <w:rsid w:val="00C4052B"/>
    <w:rsid w:val="00C40634"/>
    <w:rsid w:val="00C407CF"/>
    <w:rsid w:val="00C40888"/>
    <w:rsid w:val="00C408F5"/>
    <w:rsid w:val="00C409EB"/>
    <w:rsid w:val="00C40A91"/>
    <w:rsid w:val="00C40B34"/>
    <w:rsid w:val="00C40C0C"/>
    <w:rsid w:val="00C40CA6"/>
    <w:rsid w:val="00C40CD3"/>
    <w:rsid w:val="00C40DA1"/>
    <w:rsid w:val="00C40F20"/>
    <w:rsid w:val="00C40FAD"/>
    <w:rsid w:val="00C41057"/>
    <w:rsid w:val="00C414C1"/>
    <w:rsid w:val="00C41578"/>
    <w:rsid w:val="00C415A2"/>
    <w:rsid w:val="00C416FD"/>
    <w:rsid w:val="00C4184A"/>
    <w:rsid w:val="00C41884"/>
    <w:rsid w:val="00C418C3"/>
    <w:rsid w:val="00C419A5"/>
    <w:rsid w:val="00C41B90"/>
    <w:rsid w:val="00C41CB7"/>
    <w:rsid w:val="00C41D42"/>
    <w:rsid w:val="00C41D9E"/>
    <w:rsid w:val="00C41E52"/>
    <w:rsid w:val="00C41E89"/>
    <w:rsid w:val="00C41E96"/>
    <w:rsid w:val="00C41E9C"/>
    <w:rsid w:val="00C41E9F"/>
    <w:rsid w:val="00C41F29"/>
    <w:rsid w:val="00C41F3C"/>
    <w:rsid w:val="00C4200D"/>
    <w:rsid w:val="00C420D7"/>
    <w:rsid w:val="00C422DB"/>
    <w:rsid w:val="00C423F4"/>
    <w:rsid w:val="00C42484"/>
    <w:rsid w:val="00C42706"/>
    <w:rsid w:val="00C4277B"/>
    <w:rsid w:val="00C4279D"/>
    <w:rsid w:val="00C427E3"/>
    <w:rsid w:val="00C42961"/>
    <w:rsid w:val="00C42A65"/>
    <w:rsid w:val="00C42ACC"/>
    <w:rsid w:val="00C42BB7"/>
    <w:rsid w:val="00C42C7E"/>
    <w:rsid w:val="00C42CBC"/>
    <w:rsid w:val="00C42D4A"/>
    <w:rsid w:val="00C42DB6"/>
    <w:rsid w:val="00C42E51"/>
    <w:rsid w:val="00C432F2"/>
    <w:rsid w:val="00C4356B"/>
    <w:rsid w:val="00C43592"/>
    <w:rsid w:val="00C43607"/>
    <w:rsid w:val="00C436AE"/>
    <w:rsid w:val="00C437FD"/>
    <w:rsid w:val="00C43840"/>
    <w:rsid w:val="00C43934"/>
    <w:rsid w:val="00C439DF"/>
    <w:rsid w:val="00C43A8A"/>
    <w:rsid w:val="00C43AB3"/>
    <w:rsid w:val="00C43BCC"/>
    <w:rsid w:val="00C43C07"/>
    <w:rsid w:val="00C43C43"/>
    <w:rsid w:val="00C43C4D"/>
    <w:rsid w:val="00C43C79"/>
    <w:rsid w:val="00C43D6C"/>
    <w:rsid w:val="00C43E89"/>
    <w:rsid w:val="00C43F72"/>
    <w:rsid w:val="00C4406B"/>
    <w:rsid w:val="00C440A0"/>
    <w:rsid w:val="00C440F8"/>
    <w:rsid w:val="00C4420D"/>
    <w:rsid w:val="00C442E1"/>
    <w:rsid w:val="00C44334"/>
    <w:rsid w:val="00C445A7"/>
    <w:rsid w:val="00C445C9"/>
    <w:rsid w:val="00C446AB"/>
    <w:rsid w:val="00C447DB"/>
    <w:rsid w:val="00C448C7"/>
    <w:rsid w:val="00C44AA2"/>
    <w:rsid w:val="00C44ACD"/>
    <w:rsid w:val="00C44C42"/>
    <w:rsid w:val="00C44D6D"/>
    <w:rsid w:val="00C44EBE"/>
    <w:rsid w:val="00C44F66"/>
    <w:rsid w:val="00C450B2"/>
    <w:rsid w:val="00C450C0"/>
    <w:rsid w:val="00C45172"/>
    <w:rsid w:val="00C45561"/>
    <w:rsid w:val="00C455E3"/>
    <w:rsid w:val="00C45769"/>
    <w:rsid w:val="00C457A5"/>
    <w:rsid w:val="00C45836"/>
    <w:rsid w:val="00C4595E"/>
    <w:rsid w:val="00C45998"/>
    <w:rsid w:val="00C459CF"/>
    <w:rsid w:val="00C45C19"/>
    <w:rsid w:val="00C45EA2"/>
    <w:rsid w:val="00C461A1"/>
    <w:rsid w:val="00C461D3"/>
    <w:rsid w:val="00C461F0"/>
    <w:rsid w:val="00C462AB"/>
    <w:rsid w:val="00C4635B"/>
    <w:rsid w:val="00C464E2"/>
    <w:rsid w:val="00C46516"/>
    <w:rsid w:val="00C46519"/>
    <w:rsid w:val="00C46591"/>
    <w:rsid w:val="00C46695"/>
    <w:rsid w:val="00C466D9"/>
    <w:rsid w:val="00C46739"/>
    <w:rsid w:val="00C467AB"/>
    <w:rsid w:val="00C468DD"/>
    <w:rsid w:val="00C46911"/>
    <w:rsid w:val="00C46986"/>
    <w:rsid w:val="00C46B0B"/>
    <w:rsid w:val="00C46B83"/>
    <w:rsid w:val="00C46BE0"/>
    <w:rsid w:val="00C46C00"/>
    <w:rsid w:val="00C46DED"/>
    <w:rsid w:val="00C46E92"/>
    <w:rsid w:val="00C46EF9"/>
    <w:rsid w:val="00C46FA5"/>
    <w:rsid w:val="00C46FC5"/>
    <w:rsid w:val="00C47059"/>
    <w:rsid w:val="00C471F7"/>
    <w:rsid w:val="00C471FF"/>
    <w:rsid w:val="00C472B1"/>
    <w:rsid w:val="00C47311"/>
    <w:rsid w:val="00C473C0"/>
    <w:rsid w:val="00C47422"/>
    <w:rsid w:val="00C47453"/>
    <w:rsid w:val="00C474ED"/>
    <w:rsid w:val="00C47571"/>
    <w:rsid w:val="00C4757A"/>
    <w:rsid w:val="00C47594"/>
    <w:rsid w:val="00C47744"/>
    <w:rsid w:val="00C47765"/>
    <w:rsid w:val="00C4784A"/>
    <w:rsid w:val="00C47A33"/>
    <w:rsid w:val="00C47D78"/>
    <w:rsid w:val="00C47E7D"/>
    <w:rsid w:val="00C5032D"/>
    <w:rsid w:val="00C50333"/>
    <w:rsid w:val="00C50370"/>
    <w:rsid w:val="00C50703"/>
    <w:rsid w:val="00C5074D"/>
    <w:rsid w:val="00C50757"/>
    <w:rsid w:val="00C507F3"/>
    <w:rsid w:val="00C50914"/>
    <w:rsid w:val="00C50A23"/>
    <w:rsid w:val="00C50A58"/>
    <w:rsid w:val="00C50D07"/>
    <w:rsid w:val="00C50D96"/>
    <w:rsid w:val="00C50DB4"/>
    <w:rsid w:val="00C50DD0"/>
    <w:rsid w:val="00C50E57"/>
    <w:rsid w:val="00C51143"/>
    <w:rsid w:val="00C51175"/>
    <w:rsid w:val="00C51292"/>
    <w:rsid w:val="00C512B2"/>
    <w:rsid w:val="00C512CB"/>
    <w:rsid w:val="00C513F1"/>
    <w:rsid w:val="00C5142A"/>
    <w:rsid w:val="00C5145E"/>
    <w:rsid w:val="00C514CC"/>
    <w:rsid w:val="00C514F6"/>
    <w:rsid w:val="00C51548"/>
    <w:rsid w:val="00C51564"/>
    <w:rsid w:val="00C51779"/>
    <w:rsid w:val="00C517D5"/>
    <w:rsid w:val="00C5185B"/>
    <w:rsid w:val="00C518A0"/>
    <w:rsid w:val="00C51A97"/>
    <w:rsid w:val="00C51BD9"/>
    <w:rsid w:val="00C51CBB"/>
    <w:rsid w:val="00C51D0D"/>
    <w:rsid w:val="00C51EDE"/>
    <w:rsid w:val="00C51F81"/>
    <w:rsid w:val="00C51FC5"/>
    <w:rsid w:val="00C51FF1"/>
    <w:rsid w:val="00C52064"/>
    <w:rsid w:val="00C520E6"/>
    <w:rsid w:val="00C5228A"/>
    <w:rsid w:val="00C52304"/>
    <w:rsid w:val="00C52349"/>
    <w:rsid w:val="00C52368"/>
    <w:rsid w:val="00C52420"/>
    <w:rsid w:val="00C52481"/>
    <w:rsid w:val="00C52513"/>
    <w:rsid w:val="00C52630"/>
    <w:rsid w:val="00C527C8"/>
    <w:rsid w:val="00C52830"/>
    <w:rsid w:val="00C52985"/>
    <w:rsid w:val="00C529A8"/>
    <w:rsid w:val="00C52AD7"/>
    <w:rsid w:val="00C52B27"/>
    <w:rsid w:val="00C52C87"/>
    <w:rsid w:val="00C52D06"/>
    <w:rsid w:val="00C52D45"/>
    <w:rsid w:val="00C52EA2"/>
    <w:rsid w:val="00C52FD9"/>
    <w:rsid w:val="00C5304A"/>
    <w:rsid w:val="00C5309B"/>
    <w:rsid w:val="00C53113"/>
    <w:rsid w:val="00C532E5"/>
    <w:rsid w:val="00C53387"/>
    <w:rsid w:val="00C53492"/>
    <w:rsid w:val="00C534D9"/>
    <w:rsid w:val="00C534E6"/>
    <w:rsid w:val="00C53527"/>
    <w:rsid w:val="00C53588"/>
    <w:rsid w:val="00C53634"/>
    <w:rsid w:val="00C5366E"/>
    <w:rsid w:val="00C53750"/>
    <w:rsid w:val="00C53792"/>
    <w:rsid w:val="00C537B2"/>
    <w:rsid w:val="00C537E0"/>
    <w:rsid w:val="00C538DA"/>
    <w:rsid w:val="00C539C8"/>
    <w:rsid w:val="00C539FC"/>
    <w:rsid w:val="00C53C6F"/>
    <w:rsid w:val="00C53DDB"/>
    <w:rsid w:val="00C53E47"/>
    <w:rsid w:val="00C53E8C"/>
    <w:rsid w:val="00C53ECA"/>
    <w:rsid w:val="00C53F2D"/>
    <w:rsid w:val="00C53F66"/>
    <w:rsid w:val="00C53FFC"/>
    <w:rsid w:val="00C5405F"/>
    <w:rsid w:val="00C5410F"/>
    <w:rsid w:val="00C54125"/>
    <w:rsid w:val="00C54146"/>
    <w:rsid w:val="00C541FC"/>
    <w:rsid w:val="00C5424E"/>
    <w:rsid w:val="00C5437E"/>
    <w:rsid w:val="00C54443"/>
    <w:rsid w:val="00C5456D"/>
    <w:rsid w:val="00C54665"/>
    <w:rsid w:val="00C54678"/>
    <w:rsid w:val="00C546C5"/>
    <w:rsid w:val="00C54725"/>
    <w:rsid w:val="00C5487E"/>
    <w:rsid w:val="00C5494A"/>
    <w:rsid w:val="00C549ED"/>
    <w:rsid w:val="00C549F5"/>
    <w:rsid w:val="00C54A31"/>
    <w:rsid w:val="00C54ADB"/>
    <w:rsid w:val="00C54B02"/>
    <w:rsid w:val="00C54B10"/>
    <w:rsid w:val="00C54B1E"/>
    <w:rsid w:val="00C54B82"/>
    <w:rsid w:val="00C54B87"/>
    <w:rsid w:val="00C54B9A"/>
    <w:rsid w:val="00C54BE5"/>
    <w:rsid w:val="00C54CE0"/>
    <w:rsid w:val="00C54E13"/>
    <w:rsid w:val="00C54EC6"/>
    <w:rsid w:val="00C54F1D"/>
    <w:rsid w:val="00C55153"/>
    <w:rsid w:val="00C551E3"/>
    <w:rsid w:val="00C55411"/>
    <w:rsid w:val="00C5553E"/>
    <w:rsid w:val="00C556CA"/>
    <w:rsid w:val="00C556D9"/>
    <w:rsid w:val="00C55794"/>
    <w:rsid w:val="00C558C6"/>
    <w:rsid w:val="00C55900"/>
    <w:rsid w:val="00C55914"/>
    <w:rsid w:val="00C55AB6"/>
    <w:rsid w:val="00C55AF4"/>
    <w:rsid w:val="00C55BCB"/>
    <w:rsid w:val="00C55CD0"/>
    <w:rsid w:val="00C55CF5"/>
    <w:rsid w:val="00C55DA7"/>
    <w:rsid w:val="00C55F0E"/>
    <w:rsid w:val="00C55F9E"/>
    <w:rsid w:val="00C55FB5"/>
    <w:rsid w:val="00C56045"/>
    <w:rsid w:val="00C56071"/>
    <w:rsid w:val="00C560A9"/>
    <w:rsid w:val="00C5653E"/>
    <w:rsid w:val="00C565C2"/>
    <w:rsid w:val="00C56628"/>
    <w:rsid w:val="00C566D2"/>
    <w:rsid w:val="00C56829"/>
    <w:rsid w:val="00C568C4"/>
    <w:rsid w:val="00C568F5"/>
    <w:rsid w:val="00C56928"/>
    <w:rsid w:val="00C56AE0"/>
    <w:rsid w:val="00C56FD3"/>
    <w:rsid w:val="00C5707C"/>
    <w:rsid w:val="00C57138"/>
    <w:rsid w:val="00C572D1"/>
    <w:rsid w:val="00C5746E"/>
    <w:rsid w:val="00C574D1"/>
    <w:rsid w:val="00C5757C"/>
    <w:rsid w:val="00C57626"/>
    <w:rsid w:val="00C57679"/>
    <w:rsid w:val="00C576D8"/>
    <w:rsid w:val="00C57774"/>
    <w:rsid w:val="00C577A7"/>
    <w:rsid w:val="00C578D7"/>
    <w:rsid w:val="00C578F6"/>
    <w:rsid w:val="00C57998"/>
    <w:rsid w:val="00C57A06"/>
    <w:rsid w:val="00C57CC0"/>
    <w:rsid w:val="00C57D00"/>
    <w:rsid w:val="00C57DC0"/>
    <w:rsid w:val="00C57E54"/>
    <w:rsid w:val="00C57EEF"/>
    <w:rsid w:val="00C57FFB"/>
    <w:rsid w:val="00C60186"/>
    <w:rsid w:val="00C60355"/>
    <w:rsid w:val="00C60378"/>
    <w:rsid w:val="00C60445"/>
    <w:rsid w:val="00C60661"/>
    <w:rsid w:val="00C6066F"/>
    <w:rsid w:val="00C60A64"/>
    <w:rsid w:val="00C60B4B"/>
    <w:rsid w:val="00C60BC9"/>
    <w:rsid w:val="00C60BD8"/>
    <w:rsid w:val="00C60C12"/>
    <w:rsid w:val="00C60CF4"/>
    <w:rsid w:val="00C60F0C"/>
    <w:rsid w:val="00C60F9B"/>
    <w:rsid w:val="00C60FBE"/>
    <w:rsid w:val="00C610CD"/>
    <w:rsid w:val="00C61326"/>
    <w:rsid w:val="00C6139D"/>
    <w:rsid w:val="00C613BA"/>
    <w:rsid w:val="00C613C5"/>
    <w:rsid w:val="00C613F0"/>
    <w:rsid w:val="00C613F4"/>
    <w:rsid w:val="00C61415"/>
    <w:rsid w:val="00C61445"/>
    <w:rsid w:val="00C61675"/>
    <w:rsid w:val="00C61686"/>
    <w:rsid w:val="00C616A3"/>
    <w:rsid w:val="00C61872"/>
    <w:rsid w:val="00C618D5"/>
    <w:rsid w:val="00C6192A"/>
    <w:rsid w:val="00C619D6"/>
    <w:rsid w:val="00C619EB"/>
    <w:rsid w:val="00C61A4C"/>
    <w:rsid w:val="00C61A5E"/>
    <w:rsid w:val="00C61AAF"/>
    <w:rsid w:val="00C61B1D"/>
    <w:rsid w:val="00C61CCC"/>
    <w:rsid w:val="00C61CCD"/>
    <w:rsid w:val="00C61CCE"/>
    <w:rsid w:val="00C61D10"/>
    <w:rsid w:val="00C61DA1"/>
    <w:rsid w:val="00C61DAE"/>
    <w:rsid w:val="00C61E8D"/>
    <w:rsid w:val="00C61EF9"/>
    <w:rsid w:val="00C61F9C"/>
    <w:rsid w:val="00C62039"/>
    <w:rsid w:val="00C62150"/>
    <w:rsid w:val="00C62279"/>
    <w:rsid w:val="00C623E3"/>
    <w:rsid w:val="00C623F6"/>
    <w:rsid w:val="00C625D7"/>
    <w:rsid w:val="00C62617"/>
    <w:rsid w:val="00C626AB"/>
    <w:rsid w:val="00C6272B"/>
    <w:rsid w:val="00C627C6"/>
    <w:rsid w:val="00C629FB"/>
    <w:rsid w:val="00C62A4A"/>
    <w:rsid w:val="00C62BF4"/>
    <w:rsid w:val="00C62D32"/>
    <w:rsid w:val="00C62F75"/>
    <w:rsid w:val="00C62FDD"/>
    <w:rsid w:val="00C6328E"/>
    <w:rsid w:val="00C632ED"/>
    <w:rsid w:val="00C63354"/>
    <w:rsid w:val="00C63374"/>
    <w:rsid w:val="00C63407"/>
    <w:rsid w:val="00C63446"/>
    <w:rsid w:val="00C634A1"/>
    <w:rsid w:val="00C63525"/>
    <w:rsid w:val="00C63533"/>
    <w:rsid w:val="00C6371B"/>
    <w:rsid w:val="00C637E9"/>
    <w:rsid w:val="00C63912"/>
    <w:rsid w:val="00C63BF9"/>
    <w:rsid w:val="00C63C11"/>
    <w:rsid w:val="00C63CE0"/>
    <w:rsid w:val="00C63D8C"/>
    <w:rsid w:val="00C63E02"/>
    <w:rsid w:val="00C64224"/>
    <w:rsid w:val="00C643C5"/>
    <w:rsid w:val="00C6456A"/>
    <w:rsid w:val="00C6468A"/>
    <w:rsid w:val="00C6468B"/>
    <w:rsid w:val="00C646C1"/>
    <w:rsid w:val="00C6478D"/>
    <w:rsid w:val="00C647ED"/>
    <w:rsid w:val="00C64851"/>
    <w:rsid w:val="00C649AE"/>
    <w:rsid w:val="00C64B8C"/>
    <w:rsid w:val="00C64CED"/>
    <w:rsid w:val="00C64D6D"/>
    <w:rsid w:val="00C64E22"/>
    <w:rsid w:val="00C64EC7"/>
    <w:rsid w:val="00C6506B"/>
    <w:rsid w:val="00C6507A"/>
    <w:rsid w:val="00C650C8"/>
    <w:rsid w:val="00C65127"/>
    <w:rsid w:val="00C6518B"/>
    <w:rsid w:val="00C651B5"/>
    <w:rsid w:val="00C651BC"/>
    <w:rsid w:val="00C651E3"/>
    <w:rsid w:val="00C651E7"/>
    <w:rsid w:val="00C65207"/>
    <w:rsid w:val="00C65262"/>
    <w:rsid w:val="00C6526B"/>
    <w:rsid w:val="00C652C8"/>
    <w:rsid w:val="00C653E5"/>
    <w:rsid w:val="00C655FE"/>
    <w:rsid w:val="00C6561C"/>
    <w:rsid w:val="00C6572F"/>
    <w:rsid w:val="00C65743"/>
    <w:rsid w:val="00C657B5"/>
    <w:rsid w:val="00C657BE"/>
    <w:rsid w:val="00C65835"/>
    <w:rsid w:val="00C659AF"/>
    <w:rsid w:val="00C65BC9"/>
    <w:rsid w:val="00C65C9C"/>
    <w:rsid w:val="00C65CDD"/>
    <w:rsid w:val="00C65D44"/>
    <w:rsid w:val="00C65E44"/>
    <w:rsid w:val="00C65FEE"/>
    <w:rsid w:val="00C6602D"/>
    <w:rsid w:val="00C66074"/>
    <w:rsid w:val="00C661D8"/>
    <w:rsid w:val="00C661DD"/>
    <w:rsid w:val="00C6620E"/>
    <w:rsid w:val="00C66234"/>
    <w:rsid w:val="00C6629E"/>
    <w:rsid w:val="00C663B9"/>
    <w:rsid w:val="00C663EB"/>
    <w:rsid w:val="00C66545"/>
    <w:rsid w:val="00C66550"/>
    <w:rsid w:val="00C66560"/>
    <w:rsid w:val="00C66737"/>
    <w:rsid w:val="00C667C5"/>
    <w:rsid w:val="00C667E9"/>
    <w:rsid w:val="00C667FF"/>
    <w:rsid w:val="00C66803"/>
    <w:rsid w:val="00C668A5"/>
    <w:rsid w:val="00C66AE9"/>
    <w:rsid w:val="00C66B0C"/>
    <w:rsid w:val="00C66BB6"/>
    <w:rsid w:val="00C66BE2"/>
    <w:rsid w:val="00C66C63"/>
    <w:rsid w:val="00C66D0D"/>
    <w:rsid w:val="00C66D90"/>
    <w:rsid w:val="00C66DA7"/>
    <w:rsid w:val="00C66EAC"/>
    <w:rsid w:val="00C66ECD"/>
    <w:rsid w:val="00C66FC9"/>
    <w:rsid w:val="00C67002"/>
    <w:rsid w:val="00C671FA"/>
    <w:rsid w:val="00C673D6"/>
    <w:rsid w:val="00C6741E"/>
    <w:rsid w:val="00C67427"/>
    <w:rsid w:val="00C674B5"/>
    <w:rsid w:val="00C675CA"/>
    <w:rsid w:val="00C6768E"/>
    <w:rsid w:val="00C67712"/>
    <w:rsid w:val="00C677BE"/>
    <w:rsid w:val="00C677DB"/>
    <w:rsid w:val="00C677FE"/>
    <w:rsid w:val="00C67830"/>
    <w:rsid w:val="00C67855"/>
    <w:rsid w:val="00C67A31"/>
    <w:rsid w:val="00C67A78"/>
    <w:rsid w:val="00C67AEC"/>
    <w:rsid w:val="00C67B06"/>
    <w:rsid w:val="00C67B5C"/>
    <w:rsid w:val="00C67B5D"/>
    <w:rsid w:val="00C67C79"/>
    <w:rsid w:val="00C67C8B"/>
    <w:rsid w:val="00C67CAB"/>
    <w:rsid w:val="00C67D97"/>
    <w:rsid w:val="00C67E7F"/>
    <w:rsid w:val="00C70048"/>
    <w:rsid w:val="00C700B5"/>
    <w:rsid w:val="00C70132"/>
    <w:rsid w:val="00C70146"/>
    <w:rsid w:val="00C701F7"/>
    <w:rsid w:val="00C704EA"/>
    <w:rsid w:val="00C70517"/>
    <w:rsid w:val="00C7053B"/>
    <w:rsid w:val="00C705C0"/>
    <w:rsid w:val="00C70657"/>
    <w:rsid w:val="00C70704"/>
    <w:rsid w:val="00C7081D"/>
    <w:rsid w:val="00C70B1D"/>
    <w:rsid w:val="00C70BBB"/>
    <w:rsid w:val="00C70C4B"/>
    <w:rsid w:val="00C70EC1"/>
    <w:rsid w:val="00C70EED"/>
    <w:rsid w:val="00C7109A"/>
    <w:rsid w:val="00C711C2"/>
    <w:rsid w:val="00C713A0"/>
    <w:rsid w:val="00C713C4"/>
    <w:rsid w:val="00C713DE"/>
    <w:rsid w:val="00C71671"/>
    <w:rsid w:val="00C718CA"/>
    <w:rsid w:val="00C719DF"/>
    <w:rsid w:val="00C71A0D"/>
    <w:rsid w:val="00C71AF0"/>
    <w:rsid w:val="00C71BF7"/>
    <w:rsid w:val="00C71C2F"/>
    <w:rsid w:val="00C71C36"/>
    <w:rsid w:val="00C71E07"/>
    <w:rsid w:val="00C7202A"/>
    <w:rsid w:val="00C72065"/>
    <w:rsid w:val="00C720DA"/>
    <w:rsid w:val="00C720E1"/>
    <w:rsid w:val="00C720E2"/>
    <w:rsid w:val="00C7216E"/>
    <w:rsid w:val="00C72380"/>
    <w:rsid w:val="00C723E4"/>
    <w:rsid w:val="00C7241F"/>
    <w:rsid w:val="00C72518"/>
    <w:rsid w:val="00C72597"/>
    <w:rsid w:val="00C726D4"/>
    <w:rsid w:val="00C72901"/>
    <w:rsid w:val="00C72C95"/>
    <w:rsid w:val="00C72D5F"/>
    <w:rsid w:val="00C72FBE"/>
    <w:rsid w:val="00C73060"/>
    <w:rsid w:val="00C73084"/>
    <w:rsid w:val="00C730ED"/>
    <w:rsid w:val="00C731EF"/>
    <w:rsid w:val="00C73230"/>
    <w:rsid w:val="00C7335A"/>
    <w:rsid w:val="00C73458"/>
    <w:rsid w:val="00C73534"/>
    <w:rsid w:val="00C73629"/>
    <w:rsid w:val="00C7395E"/>
    <w:rsid w:val="00C73A00"/>
    <w:rsid w:val="00C73A73"/>
    <w:rsid w:val="00C73B7D"/>
    <w:rsid w:val="00C73BD5"/>
    <w:rsid w:val="00C73CA4"/>
    <w:rsid w:val="00C73E6A"/>
    <w:rsid w:val="00C73E77"/>
    <w:rsid w:val="00C73EF5"/>
    <w:rsid w:val="00C73F30"/>
    <w:rsid w:val="00C73FF8"/>
    <w:rsid w:val="00C74073"/>
    <w:rsid w:val="00C742D3"/>
    <w:rsid w:val="00C74380"/>
    <w:rsid w:val="00C74480"/>
    <w:rsid w:val="00C7456E"/>
    <w:rsid w:val="00C74768"/>
    <w:rsid w:val="00C747EC"/>
    <w:rsid w:val="00C749B2"/>
    <w:rsid w:val="00C74A1E"/>
    <w:rsid w:val="00C74A7F"/>
    <w:rsid w:val="00C74AA8"/>
    <w:rsid w:val="00C74B66"/>
    <w:rsid w:val="00C74BC2"/>
    <w:rsid w:val="00C74C3A"/>
    <w:rsid w:val="00C74D15"/>
    <w:rsid w:val="00C74D65"/>
    <w:rsid w:val="00C7500C"/>
    <w:rsid w:val="00C75056"/>
    <w:rsid w:val="00C752FC"/>
    <w:rsid w:val="00C75302"/>
    <w:rsid w:val="00C7531E"/>
    <w:rsid w:val="00C7531F"/>
    <w:rsid w:val="00C75498"/>
    <w:rsid w:val="00C754A3"/>
    <w:rsid w:val="00C755D3"/>
    <w:rsid w:val="00C7560C"/>
    <w:rsid w:val="00C7573D"/>
    <w:rsid w:val="00C759C7"/>
    <w:rsid w:val="00C75A9B"/>
    <w:rsid w:val="00C75AA9"/>
    <w:rsid w:val="00C75AFA"/>
    <w:rsid w:val="00C75B75"/>
    <w:rsid w:val="00C75C59"/>
    <w:rsid w:val="00C75C8D"/>
    <w:rsid w:val="00C75F59"/>
    <w:rsid w:val="00C763A0"/>
    <w:rsid w:val="00C76494"/>
    <w:rsid w:val="00C766B2"/>
    <w:rsid w:val="00C766C1"/>
    <w:rsid w:val="00C767C4"/>
    <w:rsid w:val="00C767D4"/>
    <w:rsid w:val="00C76805"/>
    <w:rsid w:val="00C76962"/>
    <w:rsid w:val="00C76A85"/>
    <w:rsid w:val="00C76ACA"/>
    <w:rsid w:val="00C76C8F"/>
    <w:rsid w:val="00C76DB9"/>
    <w:rsid w:val="00C76E4F"/>
    <w:rsid w:val="00C7709C"/>
    <w:rsid w:val="00C770B3"/>
    <w:rsid w:val="00C77166"/>
    <w:rsid w:val="00C772D8"/>
    <w:rsid w:val="00C774AE"/>
    <w:rsid w:val="00C774B7"/>
    <w:rsid w:val="00C774CE"/>
    <w:rsid w:val="00C77527"/>
    <w:rsid w:val="00C77569"/>
    <w:rsid w:val="00C7757D"/>
    <w:rsid w:val="00C77619"/>
    <w:rsid w:val="00C7765A"/>
    <w:rsid w:val="00C777C9"/>
    <w:rsid w:val="00C77822"/>
    <w:rsid w:val="00C77B0A"/>
    <w:rsid w:val="00C77B6B"/>
    <w:rsid w:val="00C77C56"/>
    <w:rsid w:val="00C77CEC"/>
    <w:rsid w:val="00C77D35"/>
    <w:rsid w:val="00C77DB1"/>
    <w:rsid w:val="00C77E56"/>
    <w:rsid w:val="00C77E69"/>
    <w:rsid w:val="00C77EA7"/>
    <w:rsid w:val="00C77F1E"/>
    <w:rsid w:val="00C800E9"/>
    <w:rsid w:val="00C801F6"/>
    <w:rsid w:val="00C802BD"/>
    <w:rsid w:val="00C802F8"/>
    <w:rsid w:val="00C80361"/>
    <w:rsid w:val="00C8038D"/>
    <w:rsid w:val="00C80428"/>
    <w:rsid w:val="00C806A1"/>
    <w:rsid w:val="00C807FD"/>
    <w:rsid w:val="00C808C3"/>
    <w:rsid w:val="00C809D4"/>
    <w:rsid w:val="00C80C53"/>
    <w:rsid w:val="00C80C62"/>
    <w:rsid w:val="00C80CE3"/>
    <w:rsid w:val="00C80DF9"/>
    <w:rsid w:val="00C80E23"/>
    <w:rsid w:val="00C80E77"/>
    <w:rsid w:val="00C80EF7"/>
    <w:rsid w:val="00C810A0"/>
    <w:rsid w:val="00C81141"/>
    <w:rsid w:val="00C811DC"/>
    <w:rsid w:val="00C8128E"/>
    <w:rsid w:val="00C81381"/>
    <w:rsid w:val="00C81395"/>
    <w:rsid w:val="00C813A2"/>
    <w:rsid w:val="00C8145B"/>
    <w:rsid w:val="00C81573"/>
    <w:rsid w:val="00C816D2"/>
    <w:rsid w:val="00C816DE"/>
    <w:rsid w:val="00C8170B"/>
    <w:rsid w:val="00C817F3"/>
    <w:rsid w:val="00C81934"/>
    <w:rsid w:val="00C81966"/>
    <w:rsid w:val="00C8197D"/>
    <w:rsid w:val="00C8198A"/>
    <w:rsid w:val="00C81AC2"/>
    <w:rsid w:val="00C81B02"/>
    <w:rsid w:val="00C81B35"/>
    <w:rsid w:val="00C81B64"/>
    <w:rsid w:val="00C81B70"/>
    <w:rsid w:val="00C81B75"/>
    <w:rsid w:val="00C81BB5"/>
    <w:rsid w:val="00C81C7E"/>
    <w:rsid w:val="00C81D02"/>
    <w:rsid w:val="00C81DAB"/>
    <w:rsid w:val="00C81DDE"/>
    <w:rsid w:val="00C81DE2"/>
    <w:rsid w:val="00C81E82"/>
    <w:rsid w:val="00C81F18"/>
    <w:rsid w:val="00C81F6A"/>
    <w:rsid w:val="00C81FF1"/>
    <w:rsid w:val="00C821B4"/>
    <w:rsid w:val="00C82205"/>
    <w:rsid w:val="00C82482"/>
    <w:rsid w:val="00C82527"/>
    <w:rsid w:val="00C825AC"/>
    <w:rsid w:val="00C82799"/>
    <w:rsid w:val="00C827FF"/>
    <w:rsid w:val="00C82846"/>
    <w:rsid w:val="00C828E5"/>
    <w:rsid w:val="00C82A09"/>
    <w:rsid w:val="00C82A69"/>
    <w:rsid w:val="00C82B53"/>
    <w:rsid w:val="00C82E3E"/>
    <w:rsid w:val="00C82E74"/>
    <w:rsid w:val="00C82EED"/>
    <w:rsid w:val="00C82F7A"/>
    <w:rsid w:val="00C82FF7"/>
    <w:rsid w:val="00C831AC"/>
    <w:rsid w:val="00C831B9"/>
    <w:rsid w:val="00C83255"/>
    <w:rsid w:val="00C83396"/>
    <w:rsid w:val="00C833BB"/>
    <w:rsid w:val="00C833C7"/>
    <w:rsid w:val="00C833D4"/>
    <w:rsid w:val="00C834C6"/>
    <w:rsid w:val="00C8359B"/>
    <w:rsid w:val="00C83668"/>
    <w:rsid w:val="00C838D6"/>
    <w:rsid w:val="00C83918"/>
    <w:rsid w:val="00C8397F"/>
    <w:rsid w:val="00C839EA"/>
    <w:rsid w:val="00C83B83"/>
    <w:rsid w:val="00C83BE6"/>
    <w:rsid w:val="00C83C1D"/>
    <w:rsid w:val="00C83CE0"/>
    <w:rsid w:val="00C83D49"/>
    <w:rsid w:val="00C83D73"/>
    <w:rsid w:val="00C83DC5"/>
    <w:rsid w:val="00C83EF3"/>
    <w:rsid w:val="00C83FA2"/>
    <w:rsid w:val="00C84037"/>
    <w:rsid w:val="00C84066"/>
    <w:rsid w:val="00C840E1"/>
    <w:rsid w:val="00C8410C"/>
    <w:rsid w:val="00C842C6"/>
    <w:rsid w:val="00C84332"/>
    <w:rsid w:val="00C84391"/>
    <w:rsid w:val="00C8443B"/>
    <w:rsid w:val="00C8460D"/>
    <w:rsid w:val="00C846AA"/>
    <w:rsid w:val="00C846F6"/>
    <w:rsid w:val="00C84886"/>
    <w:rsid w:val="00C8491A"/>
    <w:rsid w:val="00C84C4E"/>
    <w:rsid w:val="00C84D2F"/>
    <w:rsid w:val="00C84FC1"/>
    <w:rsid w:val="00C85038"/>
    <w:rsid w:val="00C850D4"/>
    <w:rsid w:val="00C85149"/>
    <w:rsid w:val="00C8520D"/>
    <w:rsid w:val="00C852C6"/>
    <w:rsid w:val="00C852C9"/>
    <w:rsid w:val="00C85481"/>
    <w:rsid w:val="00C85537"/>
    <w:rsid w:val="00C8579A"/>
    <w:rsid w:val="00C857C5"/>
    <w:rsid w:val="00C85831"/>
    <w:rsid w:val="00C8588C"/>
    <w:rsid w:val="00C8593C"/>
    <w:rsid w:val="00C85B22"/>
    <w:rsid w:val="00C85B8E"/>
    <w:rsid w:val="00C85DEE"/>
    <w:rsid w:val="00C85F3F"/>
    <w:rsid w:val="00C86086"/>
    <w:rsid w:val="00C863B2"/>
    <w:rsid w:val="00C863D9"/>
    <w:rsid w:val="00C863F2"/>
    <w:rsid w:val="00C8643E"/>
    <w:rsid w:val="00C8646E"/>
    <w:rsid w:val="00C864CA"/>
    <w:rsid w:val="00C866C0"/>
    <w:rsid w:val="00C866F5"/>
    <w:rsid w:val="00C867ED"/>
    <w:rsid w:val="00C86823"/>
    <w:rsid w:val="00C86869"/>
    <w:rsid w:val="00C8691B"/>
    <w:rsid w:val="00C8691C"/>
    <w:rsid w:val="00C8699C"/>
    <w:rsid w:val="00C869AB"/>
    <w:rsid w:val="00C869DF"/>
    <w:rsid w:val="00C86A1E"/>
    <w:rsid w:val="00C86B51"/>
    <w:rsid w:val="00C86B95"/>
    <w:rsid w:val="00C86C0F"/>
    <w:rsid w:val="00C86DCF"/>
    <w:rsid w:val="00C86E21"/>
    <w:rsid w:val="00C86E76"/>
    <w:rsid w:val="00C86F6B"/>
    <w:rsid w:val="00C8706C"/>
    <w:rsid w:val="00C87079"/>
    <w:rsid w:val="00C870C8"/>
    <w:rsid w:val="00C87162"/>
    <w:rsid w:val="00C872F3"/>
    <w:rsid w:val="00C87327"/>
    <w:rsid w:val="00C87387"/>
    <w:rsid w:val="00C87494"/>
    <w:rsid w:val="00C87504"/>
    <w:rsid w:val="00C87888"/>
    <w:rsid w:val="00C879B7"/>
    <w:rsid w:val="00C87BC4"/>
    <w:rsid w:val="00C87BF6"/>
    <w:rsid w:val="00C87C08"/>
    <w:rsid w:val="00C87D54"/>
    <w:rsid w:val="00C87DB0"/>
    <w:rsid w:val="00C87DF6"/>
    <w:rsid w:val="00C87E17"/>
    <w:rsid w:val="00C87ECF"/>
    <w:rsid w:val="00C87FA3"/>
    <w:rsid w:val="00C87FEE"/>
    <w:rsid w:val="00C9008F"/>
    <w:rsid w:val="00C900D2"/>
    <w:rsid w:val="00C90165"/>
    <w:rsid w:val="00C9019D"/>
    <w:rsid w:val="00C901C7"/>
    <w:rsid w:val="00C9023B"/>
    <w:rsid w:val="00C902EA"/>
    <w:rsid w:val="00C9037B"/>
    <w:rsid w:val="00C9049F"/>
    <w:rsid w:val="00C9061F"/>
    <w:rsid w:val="00C90916"/>
    <w:rsid w:val="00C9095B"/>
    <w:rsid w:val="00C90A22"/>
    <w:rsid w:val="00C90C54"/>
    <w:rsid w:val="00C90CFC"/>
    <w:rsid w:val="00C90DEE"/>
    <w:rsid w:val="00C90E6E"/>
    <w:rsid w:val="00C90EB7"/>
    <w:rsid w:val="00C91076"/>
    <w:rsid w:val="00C9107B"/>
    <w:rsid w:val="00C9114A"/>
    <w:rsid w:val="00C91244"/>
    <w:rsid w:val="00C91254"/>
    <w:rsid w:val="00C91302"/>
    <w:rsid w:val="00C913C5"/>
    <w:rsid w:val="00C913DE"/>
    <w:rsid w:val="00C915FD"/>
    <w:rsid w:val="00C91623"/>
    <w:rsid w:val="00C9170A"/>
    <w:rsid w:val="00C91732"/>
    <w:rsid w:val="00C9179E"/>
    <w:rsid w:val="00C917B6"/>
    <w:rsid w:val="00C918A7"/>
    <w:rsid w:val="00C918D3"/>
    <w:rsid w:val="00C91915"/>
    <w:rsid w:val="00C91992"/>
    <w:rsid w:val="00C919D4"/>
    <w:rsid w:val="00C91BF2"/>
    <w:rsid w:val="00C91E2F"/>
    <w:rsid w:val="00C91E93"/>
    <w:rsid w:val="00C91ECA"/>
    <w:rsid w:val="00C91F5B"/>
    <w:rsid w:val="00C92047"/>
    <w:rsid w:val="00C92079"/>
    <w:rsid w:val="00C92158"/>
    <w:rsid w:val="00C92180"/>
    <w:rsid w:val="00C921F5"/>
    <w:rsid w:val="00C92248"/>
    <w:rsid w:val="00C92361"/>
    <w:rsid w:val="00C925EE"/>
    <w:rsid w:val="00C925F0"/>
    <w:rsid w:val="00C92843"/>
    <w:rsid w:val="00C928C5"/>
    <w:rsid w:val="00C928D0"/>
    <w:rsid w:val="00C92A84"/>
    <w:rsid w:val="00C92AFE"/>
    <w:rsid w:val="00C92B63"/>
    <w:rsid w:val="00C92C31"/>
    <w:rsid w:val="00C92CCA"/>
    <w:rsid w:val="00C92DC0"/>
    <w:rsid w:val="00C92E64"/>
    <w:rsid w:val="00C92ECE"/>
    <w:rsid w:val="00C930B9"/>
    <w:rsid w:val="00C93119"/>
    <w:rsid w:val="00C932C1"/>
    <w:rsid w:val="00C933EF"/>
    <w:rsid w:val="00C9340E"/>
    <w:rsid w:val="00C93456"/>
    <w:rsid w:val="00C934A0"/>
    <w:rsid w:val="00C93651"/>
    <w:rsid w:val="00C93742"/>
    <w:rsid w:val="00C937CD"/>
    <w:rsid w:val="00C937FC"/>
    <w:rsid w:val="00C93844"/>
    <w:rsid w:val="00C9386D"/>
    <w:rsid w:val="00C93AB9"/>
    <w:rsid w:val="00C93B56"/>
    <w:rsid w:val="00C93B7E"/>
    <w:rsid w:val="00C93CAB"/>
    <w:rsid w:val="00C93CD1"/>
    <w:rsid w:val="00C93CD3"/>
    <w:rsid w:val="00C93DFE"/>
    <w:rsid w:val="00C93E32"/>
    <w:rsid w:val="00C93E8B"/>
    <w:rsid w:val="00C93EFE"/>
    <w:rsid w:val="00C93F1C"/>
    <w:rsid w:val="00C93FB0"/>
    <w:rsid w:val="00C94039"/>
    <w:rsid w:val="00C94223"/>
    <w:rsid w:val="00C942BB"/>
    <w:rsid w:val="00C94326"/>
    <w:rsid w:val="00C94514"/>
    <w:rsid w:val="00C945A2"/>
    <w:rsid w:val="00C945CC"/>
    <w:rsid w:val="00C945D3"/>
    <w:rsid w:val="00C945FC"/>
    <w:rsid w:val="00C94611"/>
    <w:rsid w:val="00C9461D"/>
    <w:rsid w:val="00C9484F"/>
    <w:rsid w:val="00C94912"/>
    <w:rsid w:val="00C9494A"/>
    <w:rsid w:val="00C94C18"/>
    <w:rsid w:val="00C94CF0"/>
    <w:rsid w:val="00C94DF0"/>
    <w:rsid w:val="00C94EC2"/>
    <w:rsid w:val="00C94ED1"/>
    <w:rsid w:val="00C950A4"/>
    <w:rsid w:val="00C950E9"/>
    <w:rsid w:val="00C9519E"/>
    <w:rsid w:val="00C951A0"/>
    <w:rsid w:val="00C951A2"/>
    <w:rsid w:val="00C951BD"/>
    <w:rsid w:val="00C9523A"/>
    <w:rsid w:val="00C95367"/>
    <w:rsid w:val="00C953B4"/>
    <w:rsid w:val="00C95494"/>
    <w:rsid w:val="00C9552F"/>
    <w:rsid w:val="00C956BE"/>
    <w:rsid w:val="00C956C7"/>
    <w:rsid w:val="00C95706"/>
    <w:rsid w:val="00C95735"/>
    <w:rsid w:val="00C957EC"/>
    <w:rsid w:val="00C958FE"/>
    <w:rsid w:val="00C95974"/>
    <w:rsid w:val="00C95975"/>
    <w:rsid w:val="00C959A2"/>
    <w:rsid w:val="00C959BC"/>
    <w:rsid w:val="00C95B2D"/>
    <w:rsid w:val="00C95BB5"/>
    <w:rsid w:val="00C95BB6"/>
    <w:rsid w:val="00C95BC1"/>
    <w:rsid w:val="00C95BF3"/>
    <w:rsid w:val="00C95CD2"/>
    <w:rsid w:val="00C95D70"/>
    <w:rsid w:val="00C95E4B"/>
    <w:rsid w:val="00C95E6C"/>
    <w:rsid w:val="00C95EC3"/>
    <w:rsid w:val="00C95F0D"/>
    <w:rsid w:val="00C95F9E"/>
    <w:rsid w:val="00C96007"/>
    <w:rsid w:val="00C9607A"/>
    <w:rsid w:val="00C96189"/>
    <w:rsid w:val="00C96222"/>
    <w:rsid w:val="00C963B7"/>
    <w:rsid w:val="00C966AA"/>
    <w:rsid w:val="00C966F6"/>
    <w:rsid w:val="00C969AE"/>
    <w:rsid w:val="00C96BC4"/>
    <w:rsid w:val="00C96C2E"/>
    <w:rsid w:val="00C96C30"/>
    <w:rsid w:val="00C96D12"/>
    <w:rsid w:val="00C96D9B"/>
    <w:rsid w:val="00C970CE"/>
    <w:rsid w:val="00C970E5"/>
    <w:rsid w:val="00C97192"/>
    <w:rsid w:val="00C9719C"/>
    <w:rsid w:val="00C97284"/>
    <w:rsid w:val="00C973F2"/>
    <w:rsid w:val="00C974A0"/>
    <w:rsid w:val="00C975D6"/>
    <w:rsid w:val="00C9762A"/>
    <w:rsid w:val="00C9768C"/>
    <w:rsid w:val="00C976EF"/>
    <w:rsid w:val="00C97929"/>
    <w:rsid w:val="00C979BB"/>
    <w:rsid w:val="00C979DA"/>
    <w:rsid w:val="00C97A34"/>
    <w:rsid w:val="00C97B7E"/>
    <w:rsid w:val="00C97B83"/>
    <w:rsid w:val="00C97B89"/>
    <w:rsid w:val="00C97D3F"/>
    <w:rsid w:val="00C97DDA"/>
    <w:rsid w:val="00C97F2C"/>
    <w:rsid w:val="00C97F48"/>
    <w:rsid w:val="00C9E6E9"/>
    <w:rsid w:val="00CA001A"/>
    <w:rsid w:val="00CA0171"/>
    <w:rsid w:val="00CA02EF"/>
    <w:rsid w:val="00CA030E"/>
    <w:rsid w:val="00CA03DE"/>
    <w:rsid w:val="00CA0442"/>
    <w:rsid w:val="00CA046D"/>
    <w:rsid w:val="00CA051B"/>
    <w:rsid w:val="00CA060F"/>
    <w:rsid w:val="00CA0641"/>
    <w:rsid w:val="00CA06FF"/>
    <w:rsid w:val="00CA07DF"/>
    <w:rsid w:val="00CA08B3"/>
    <w:rsid w:val="00CA0C93"/>
    <w:rsid w:val="00CA0CB7"/>
    <w:rsid w:val="00CA0D57"/>
    <w:rsid w:val="00CA0D69"/>
    <w:rsid w:val="00CA0DF0"/>
    <w:rsid w:val="00CA0E41"/>
    <w:rsid w:val="00CA0F1B"/>
    <w:rsid w:val="00CA0FA3"/>
    <w:rsid w:val="00CA0FCE"/>
    <w:rsid w:val="00CA1195"/>
    <w:rsid w:val="00CA12E3"/>
    <w:rsid w:val="00CA162F"/>
    <w:rsid w:val="00CA1763"/>
    <w:rsid w:val="00CA1863"/>
    <w:rsid w:val="00CA1983"/>
    <w:rsid w:val="00CA1C10"/>
    <w:rsid w:val="00CA1C23"/>
    <w:rsid w:val="00CA1C60"/>
    <w:rsid w:val="00CA1C6D"/>
    <w:rsid w:val="00CA1CCA"/>
    <w:rsid w:val="00CA1CCB"/>
    <w:rsid w:val="00CA1F36"/>
    <w:rsid w:val="00CA1F41"/>
    <w:rsid w:val="00CA1FFD"/>
    <w:rsid w:val="00CA2026"/>
    <w:rsid w:val="00CA2067"/>
    <w:rsid w:val="00CA2165"/>
    <w:rsid w:val="00CA216D"/>
    <w:rsid w:val="00CA230B"/>
    <w:rsid w:val="00CA2484"/>
    <w:rsid w:val="00CA2540"/>
    <w:rsid w:val="00CA27A3"/>
    <w:rsid w:val="00CA298C"/>
    <w:rsid w:val="00CA2B53"/>
    <w:rsid w:val="00CA2CF2"/>
    <w:rsid w:val="00CA2D81"/>
    <w:rsid w:val="00CA2DED"/>
    <w:rsid w:val="00CA2E12"/>
    <w:rsid w:val="00CA2E28"/>
    <w:rsid w:val="00CA2F07"/>
    <w:rsid w:val="00CA2F82"/>
    <w:rsid w:val="00CA304A"/>
    <w:rsid w:val="00CA305E"/>
    <w:rsid w:val="00CA308D"/>
    <w:rsid w:val="00CA30D7"/>
    <w:rsid w:val="00CA313C"/>
    <w:rsid w:val="00CA3220"/>
    <w:rsid w:val="00CA322E"/>
    <w:rsid w:val="00CA32CA"/>
    <w:rsid w:val="00CA32D8"/>
    <w:rsid w:val="00CA3352"/>
    <w:rsid w:val="00CA34B4"/>
    <w:rsid w:val="00CA34E6"/>
    <w:rsid w:val="00CA35AD"/>
    <w:rsid w:val="00CA35B6"/>
    <w:rsid w:val="00CA3792"/>
    <w:rsid w:val="00CA383F"/>
    <w:rsid w:val="00CA3883"/>
    <w:rsid w:val="00CA3981"/>
    <w:rsid w:val="00CA3AD8"/>
    <w:rsid w:val="00CA3B0B"/>
    <w:rsid w:val="00CA3B52"/>
    <w:rsid w:val="00CA3C48"/>
    <w:rsid w:val="00CA3C5F"/>
    <w:rsid w:val="00CA3C8E"/>
    <w:rsid w:val="00CA3C9D"/>
    <w:rsid w:val="00CA3CD4"/>
    <w:rsid w:val="00CA3D26"/>
    <w:rsid w:val="00CA3D5B"/>
    <w:rsid w:val="00CA3D64"/>
    <w:rsid w:val="00CA3D97"/>
    <w:rsid w:val="00CA3E98"/>
    <w:rsid w:val="00CA3EB2"/>
    <w:rsid w:val="00CA3EFC"/>
    <w:rsid w:val="00CA3F1E"/>
    <w:rsid w:val="00CA4009"/>
    <w:rsid w:val="00CA40E2"/>
    <w:rsid w:val="00CA40E5"/>
    <w:rsid w:val="00CA4185"/>
    <w:rsid w:val="00CA4222"/>
    <w:rsid w:val="00CA4446"/>
    <w:rsid w:val="00CA4489"/>
    <w:rsid w:val="00CA461D"/>
    <w:rsid w:val="00CA4628"/>
    <w:rsid w:val="00CA467A"/>
    <w:rsid w:val="00CA470F"/>
    <w:rsid w:val="00CA4727"/>
    <w:rsid w:val="00CA4750"/>
    <w:rsid w:val="00CA475C"/>
    <w:rsid w:val="00CA497B"/>
    <w:rsid w:val="00CA4987"/>
    <w:rsid w:val="00CA49C7"/>
    <w:rsid w:val="00CA49CA"/>
    <w:rsid w:val="00CA4AA7"/>
    <w:rsid w:val="00CA4B00"/>
    <w:rsid w:val="00CA4C5A"/>
    <w:rsid w:val="00CA4D99"/>
    <w:rsid w:val="00CA4DAF"/>
    <w:rsid w:val="00CA4F17"/>
    <w:rsid w:val="00CA5014"/>
    <w:rsid w:val="00CA5089"/>
    <w:rsid w:val="00CA50BB"/>
    <w:rsid w:val="00CA5158"/>
    <w:rsid w:val="00CA524B"/>
    <w:rsid w:val="00CA52FA"/>
    <w:rsid w:val="00CA5669"/>
    <w:rsid w:val="00CA57A0"/>
    <w:rsid w:val="00CA57F7"/>
    <w:rsid w:val="00CA5950"/>
    <w:rsid w:val="00CA5984"/>
    <w:rsid w:val="00CA59AA"/>
    <w:rsid w:val="00CA59D3"/>
    <w:rsid w:val="00CA5B22"/>
    <w:rsid w:val="00CA5C81"/>
    <w:rsid w:val="00CA5CED"/>
    <w:rsid w:val="00CA5D28"/>
    <w:rsid w:val="00CA5D5D"/>
    <w:rsid w:val="00CA5FEB"/>
    <w:rsid w:val="00CA600D"/>
    <w:rsid w:val="00CA60F5"/>
    <w:rsid w:val="00CA6194"/>
    <w:rsid w:val="00CA6287"/>
    <w:rsid w:val="00CA633F"/>
    <w:rsid w:val="00CA63B9"/>
    <w:rsid w:val="00CA6611"/>
    <w:rsid w:val="00CA66AF"/>
    <w:rsid w:val="00CA6823"/>
    <w:rsid w:val="00CA6888"/>
    <w:rsid w:val="00CA69F1"/>
    <w:rsid w:val="00CA6A0D"/>
    <w:rsid w:val="00CA6AC5"/>
    <w:rsid w:val="00CA6AFB"/>
    <w:rsid w:val="00CA6B3E"/>
    <w:rsid w:val="00CA6B74"/>
    <w:rsid w:val="00CA6C1F"/>
    <w:rsid w:val="00CA6CE8"/>
    <w:rsid w:val="00CA6D10"/>
    <w:rsid w:val="00CA6D22"/>
    <w:rsid w:val="00CA6ECD"/>
    <w:rsid w:val="00CA6F64"/>
    <w:rsid w:val="00CA712B"/>
    <w:rsid w:val="00CA71D5"/>
    <w:rsid w:val="00CA71F6"/>
    <w:rsid w:val="00CA72E4"/>
    <w:rsid w:val="00CA7333"/>
    <w:rsid w:val="00CA75A7"/>
    <w:rsid w:val="00CA76CF"/>
    <w:rsid w:val="00CA7791"/>
    <w:rsid w:val="00CA7895"/>
    <w:rsid w:val="00CA792D"/>
    <w:rsid w:val="00CA7A8A"/>
    <w:rsid w:val="00CA7AB6"/>
    <w:rsid w:val="00CA7AD4"/>
    <w:rsid w:val="00CA7B62"/>
    <w:rsid w:val="00CA7BFB"/>
    <w:rsid w:val="00CA7C45"/>
    <w:rsid w:val="00CA7D74"/>
    <w:rsid w:val="00CA7E61"/>
    <w:rsid w:val="00CA7EFC"/>
    <w:rsid w:val="00CA7F14"/>
    <w:rsid w:val="00CA7F33"/>
    <w:rsid w:val="00CB00E5"/>
    <w:rsid w:val="00CB0154"/>
    <w:rsid w:val="00CB02C9"/>
    <w:rsid w:val="00CB02E1"/>
    <w:rsid w:val="00CB0397"/>
    <w:rsid w:val="00CB042F"/>
    <w:rsid w:val="00CB04CC"/>
    <w:rsid w:val="00CB052F"/>
    <w:rsid w:val="00CB05BF"/>
    <w:rsid w:val="00CB067C"/>
    <w:rsid w:val="00CB0703"/>
    <w:rsid w:val="00CB0738"/>
    <w:rsid w:val="00CB0769"/>
    <w:rsid w:val="00CB0779"/>
    <w:rsid w:val="00CB0817"/>
    <w:rsid w:val="00CB08BB"/>
    <w:rsid w:val="00CB09C1"/>
    <w:rsid w:val="00CB0A2A"/>
    <w:rsid w:val="00CB0D66"/>
    <w:rsid w:val="00CB0D9D"/>
    <w:rsid w:val="00CB0E55"/>
    <w:rsid w:val="00CB0E7D"/>
    <w:rsid w:val="00CB0E93"/>
    <w:rsid w:val="00CB0ECA"/>
    <w:rsid w:val="00CB0F46"/>
    <w:rsid w:val="00CB0F8D"/>
    <w:rsid w:val="00CB0FD3"/>
    <w:rsid w:val="00CB10AB"/>
    <w:rsid w:val="00CB123F"/>
    <w:rsid w:val="00CB12FF"/>
    <w:rsid w:val="00CB1367"/>
    <w:rsid w:val="00CB13B9"/>
    <w:rsid w:val="00CB150C"/>
    <w:rsid w:val="00CB15B5"/>
    <w:rsid w:val="00CB15C6"/>
    <w:rsid w:val="00CB15E4"/>
    <w:rsid w:val="00CB16BD"/>
    <w:rsid w:val="00CB1748"/>
    <w:rsid w:val="00CB1786"/>
    <w:rsid w:val="00CB1C44"/>
    <w:rsid w:val="00CB1C9D"/>
    <w:rsid w:val="00CB1D92"/>
    <w:rsid w:val="00CB1EBE"/>
    <w:rsid w:val="00CB1F12"/>
    <w:rsid w:val="00CB1F5F"/>
    <w:rsid w:val="00CB1F94"/>
    <w:rsid w:val="00CB2021"/>
    <w:rsid w:val="00CB206B"/>
    <w:rsid w:val="00CB2196"/>
    <w:rsid w:val="00CB21D5"/>
    <w:rsid w:val="00CB225A"/>
    <w:rsid w:val="00CB22C3"/>
    <w:rsid w:val="00CB22EC"/>
    <w:rsid w:val="00CB2394"/>
    <w:rsid w:val="00CB23EC"/>
    <w:rsid w:val="00CB27BA"/>
    <w:rsid w:val="00CB28C4"/>
    <w:rsid w:val="00CB28D7"/>
    <w:rsid w:val="00CB2900"/>
    <w:rsid w:val="00CB2995"/>
    <w:rsid w:val="00CB2998"/>
    <w:rsid w:val="00CB29F2"/>
    <w:rsid w:val="00CB2AA1"/>
    <w:rsid w:val="00CB2AE1"/>
    <w:rsid w:val="00CB2B33"/>
    <w:rsid w:val="00CB2B88"/>
    <w:rsid w:val="00CB2BE2"/>
    <w:rsid w:val="00CB2CAB"/>
    <w:rsid w:val="00CB2CE1"/>
    <w:rsid w:val="00CB2D8C"/>
    <w:rsid w:val="00CB2ECB"/>
    <w:rsid w:val="00CB2F16"/>
    <w:rsid w:val="00CB2F7F"/>
    <w:rsid w:val="00CB2FF5"/>
    <w:rsid w:val="00CB3028"/>
    <w:rsid w:val="00CB310B"/>
    <w:rsid w:val="00CB3164"/>
    <w:rsid w:val="00CB3192"/>
    <w:rsid w:val="00CB31DB"/>
    <w:rsid w:val="00CB31F9"/>
    <w:rsid w:val="00CB321E"/>
    <w:rsid w:val="00CB3232"/>
    <w:rsid w:val="00CB3242"/>
    <w:rsid w:val="00CB3307"/>
    <w:rsid w:val="00CB33A3"/>
    <w:rsid w:val="00CB345E"/>
    <w:rsid w:val="00CB34D6"/>
    <w:rsid w:val="00CB363C"/>
    <w:rsid w:val="00CB36B5"/>
    <w:rsid w:val="00CB36F0"/>
    <w:rsid w:val="00CB3779"/>
    <w:rsid w:val="00CB382D"/>
    <w:rsid w:val="00CB3862"/>
    <w:rsid w:val="00CB386B"/>
    <w:rsid w:val="00CB3A06"/>
    <w:rsid w:val="00CB3A25"/>
    <w:rsid w:val="00CB3B11"/>
    <w:rsid w:val="00CB3BDD"/>
    <w:rsid w:val="00CB3CAD"/>
    <w:rsid w:val="00CB3DCD"/>
    <w:rsid w:val="00CB3DEF"/>
    <w:rsid w:val="00CB3F03"/>
    <w:rsid w:val="00CB3F0E"/>
    <w:rsid w:val="00CB3F28"/>
    <w:rsid w:val="00CB3F6D"/>
    <w:rsid w:val="00CB404E"/>
    <w:rsid w:val="00CB422B"/>
    <w:rsid w:val="00CB42D0"/>
    <w:rsid w:val="00CB43C2"/>
    <w:rsid w:val="00CB4463"/>
    <w:rsid w:val="00CB449A"/>
    <w:rsid w:val="00CB44B0"/>
    <w:rsid w:val="00CB451C"/>
    <w:rsid w:val="00CB45A9"/>
    <w:rsid w:val="00CB46B0"/>
    <w:rsid w:val="00CB4706"/>
    <w:rsid w:val="00CB4731"/>
    <w:rsid w:val="00CB4776"/>
    <w:rsid w:val="00CB4919"/>
    <w:rsid w:val="00CB4966"/>
    <w:rsid w:val="00CB4ADE"/>
    <w:rsid w:val="00CB4C28"/>
    <w:rsid w:val="00CB4C3E"/>
    <w:rsid w:val="00CB4C9C"/>
    <w:rsid w:val="00CB4CD1"/>
    <w:rsid w:val="00CB4F8F"/>
    <w:rsid w:val="00CB5090"/>
    <w:rsid w:val="00CB5216"/>
    <w:rsid w:val="00CB5269"/>
    <w:rsid w:val="00CB52C5"/>
    <w:rsid w:val="00CB538F"/>
    <w:rsid w:val="00CB53B9"/>
    <w:rsid w:val="00CB5447"/>
    <w:rsid w:val="00CB54CA"/>
    <w:rsid w:val="00CB5573"/>
    <w:rsid w:val="00CB55F0"/>
    <w:rsid w:val="00CB57DF"/>
    <w:rsid w:val="00CB5940"/>
    <w:rsid w:val="00CB598B"/>
    <w:rsid w:val="00CB5A06"/>
    <w:rsid w:val="00CB5AAA"/>
    <w:rsid w:val="00CB5B15"/>
    <w:rsid w:val="00CB5B7B"/>
    <w:rsid w:val="00CB5C10"/>
    <w:rsid w:val="00CB5E61"/>
    <w:rsid w:val="00CB6020"/>
    <w:rsid w:val="00CB6161"/>
    <w:rsid w:val="00CB6245"/>
    <w:rsid w:val="00CB6267"/>
    <w:rsid w:val="00CB6324"/>
    <w:rsid w:val="00CB636A"/>
    <w:rsid w:val="00CB6375"/>
    <w:rsid w:val="00CB6382"/>
    <w:rsid w:val="00CB6446"/>
    <w:rsid w:val="00CB6461"/>
    <w:rsid w:val="00CB649A"/>
    <w:rsid w:val="00CB65C2"/>
    <w:rsid w:val="00CB6653"/>
    <w:rsid w:val="00CB667D"/>
    <w:rsid w:val="00CB66E4"/>
    <w:rsid w:val="00CB6805"/>
    <w:rsid w:val="00CB6900"/>
    <w:rsid w:val="00CB6910"/>
    <w:rsid w:val="00CB6945"/>
    <w:rsid w:val="00CB695D"/>
    <w:rsid w:val="00CB697F"/>
    <w:rsid w:val="00CB6A91"/>
    <w:rsid w:val="00CB6B76"/>
    <w:rsid w:val="00CB6D1B"/>
    <w:rsid w:val="00CB6D65"/>
    <w:rsid w:val="00CB6E5F"/>
    <w:rsid w:val="00CB6FB9"/>
    <w:rsid w:val="00CB7077"/>
    <w:rsid w:val="00CB71AA"/>
    <w:rsid w:val="00CB7492"/>
    <w:rsid w:val="00CB749F"/>
    <w:rsid w:val="00CB752D"/>
    <w:rsid w:val="00CB759C"/>
    <w:rsid w:val="00CB761D"/>
    <w:rsid w:val="00CB7673"/>
    <w:rsid w:val="00CB76F8"/>
    <w:rsid w:val="00CB7754"/>
    <w:rsid w:val="00CB77D3"/>
    <w:rsid w:val="00CB7813"/>
    <w:rsid w:val="00CB7955"/>
    <w:rsid w:val="00CB7A76"/>
    <w:rsid w:val="00CB7B5E"/>
    <w:rsid w:val="00CB7B60"/>
    <w:rsid w:val="00CB7CE5"/>
    <w:rsid w:val="00CB7D29"/>
    <w:rsid w:val="00CB7E14"/>
    <w:rsid w:val="00CB7E29"/>
    <w:rsid w:val="00CB7E70"/>
    <w:rsid w:val="00CB7EC1"/>
    <w:rsid w:val="00CC01AA"/>
    <w:rsid w:val="00CC021D"/>
    <w:rsid w:val="00CC027C"/>
    <w:rsid w:val="00CC02B7"/>
    <w:rsid w:val="00CC03B4"/>
    <w:rsid w:val="00CC041B"/>
    <w:rsid w:val="00CC0538"/>
    <w:rsid w:val="00CC0673"/>
    <w:rsid w:val="00CC075A"/>
    <w:rsid w:val="00CC0789"/>
    <w:rsid w:val="00CC0936"/>
    <w:rsid w:val="00CC0948"/>
    <w:rsid w:val="00CC09FB"/>
    <w:rsid w:val="00CC0A41"/>
    <w:rsid w:val="00CC0A6B"/>
    <w:rsid w:val="00CC0B0F"/>
    <w:rsid w:val="00CC0C51"/>
    <w:rsid w:val="00CC0CDA"/>
    <w:rsid w:val="00CC0DCA"/>
    <w:rsid w:val="00CC0E6E"/>
    <w:rsid w:val="00CC0EF0"/>
    <w:rsid w:val="00CC0F7A"/>
    <w:rsid w:val="00CC0FFD"/>
    <w:rsid w:val="00CC1073"/>
    <w:rsid w:val="00CC10C8"/>
    <w:rsid w:val="00CC1130"/>
    <w:rsid w:val="00CC11A3"/>
    <w:rsid w:val="00CC1310"/>
    <w:rsid w:val="00CC1371"/>
    <w:rsid w:val="00CC1470"/>
    <w:rsid w:val="00CC14F8"/>
    <w:rsid w:val="00CC1503"/>
    <w:rsid w:val="00CC157A"/>
    <w:rsid w:val="00CC164A"/>
    <w:rsid w:val="00CC164F"/>
    <w:rsid w:val="00CC16BE"/>
    <w:rsid w:val="00CC170F"/>
    <w:rsid w:val="00CC1871"/>
    <w:rsid w:val="00CC1951"/>
    <w:rsid w:val="00CC19C8"/>
    <w:rsid w:val="00CC19D6"/>
    <w:rsid w:val="00CC1A0D"/>
    <w:rsid w:val="00CC1AA8"/>
    <w:rsid w:val="00CC1BC6"/>
    <w:rsid w:val="00CC1CE8"/>
    <w:rsid w:val="00CC1D29"/>
    <w:rsid w:val="00CC1E79"/>
    <w:rsid w:val="00CC1FCF"/>
    <w:rsid w:val="00CC2128"/>
    <w:rsid w:val="00CC2201"/>
    <w:rsid w:val="00CC2262"/>
    <w:rsid w:val="00CC23BC"/>
    <w:rsid w:val="00CC24A2"/>
    <w:rsid w:val="00CC2566"/>
    <w:rsid w:val="00CC2592"/>
    <w:rsid w:val="00CC2677"/>
    <w:rsid w:val="00CC269F"/>
    <w:rsid w:val="00CC26E4"/>
    <w:rsid w:val="00CC2797"/>
    <w:rsid w:val="00CC2819"/>
    <w:rsid w:val="00CC2887"/>
    <w:rsid w:val="00CC2920"/>
    <w:rsid w:val="00CC2B66"/>
    <w:rsid w:val="00CC2B6A"/>
    <w:rsid w:val="00CC2B8B"/>
    <w:rsid w:val="00CC2B8F"/>
    <w:rsid w:val="00CC2DB4"/>
    <w:rsid w:val="00CC2DE4"/>
    <w:rsid w:val="00CC2ED9"/>
    <w:rsid w:val="00CC2F40"/>
    <w:rsid w:val="00CC3000"/>
    <w:rsid w:val="00CC3146"/>
    <w:rsid w:val="00CC31D7"/>
    <w:rsid w:val="00CC323D"/>
    <w:rsid w:val="00CC3267"/>
    <w:rsid w:val="00CC32B9"/>
    <w:rsid w:val="00CC3310"/>
    <w:rsid w:val="00CC3375"/>
    <w:rsid w:val="00CC33CA"/>
    <w:rsid w:val="00CC34AE"/>
    <w:rsid w:val="00CC353C"/>
    <w:rsid w:val="00CC3746"/>
    <w:rsid w:val="00CC3750"/>
    <w:rsid w:val="00CC37BF"/>
    <w:rsid w:val="00CC37F0"/>
    <w:rsid w:val="00CC3897"/>
    <w:rsid w:val="00CC3905"/>
    <w:rsid w:val="00CC3971"/>
    <w:rsid w:val="00CC3A28"/>
    <w:rsid w:val="00CC3BA9"/>
    <w:rsid w:val="00CC3C61"/>
    <w:rsid w:val="00CC3C8E"/>
    <w:rsid w:val="00CC3CD2"/>
    <w:rsid w:val="00CC3F38"/>
    <w:rsid w:val="00CC406F"/>
    <w:rsid w:val="00CC4244"/>
    <w:rsid w:val="00CC4338"/>
    <w:rsid w:val="00CC446E"/>
    <w:rsid w:val="00CC44D3"/>
    <w:rsid w:val="00CC44D8"/>
    <w:rsid w:val="00CC459A"/>
    <w:rsid w:val="00CC4756"/>
    <w:rsid w:val="00CC47F1"/>
    <w:rsid w:val="00CC481D"/>
    <w:rsid w:val="00CC487D"/>
    <w:rsid w:val="00CC48AA"/>
    <w:rsid w:val="00CC48F2"/>
    <w:rsid w:val="00CC492B"/>
    <w:rsid w:val="00CC49E3"/>
    <w:rsid w:val="00CC4A59"/>
    <w:rsid w:val="00CC4AE9"/>
    <w:rsid w:val="00CC4B33"/>
    <w:rsid w:val="00CC4B6E"/>
    <w:rsid w:val="00CC4B77"/>
    <w:rsid w:val="00CC4D13"/>
    <w:rsid w:val="00CC4DA3"/>
    <w:rsid w:val="00CC4F85"/>
    <w:rsid w:val="00CC4FCB"/>
    <w:rsid w:val="00CC5015"/>
    <w:rsid w:val="00CC5037"/>
    <w:rsid w:val="00CC506F"/>
    <w:rsid w:val="00CC508E"/>
    <w:rsid w:val="00CC5147"/>
    <w:rsid w:val="00CC5233"/>
    <w:rsid w:val="00CC5260"/>
    <w:rsid w:val="00CC5356"/>
    <w:rsid w:val="00CC5455"/>
    <w:rsid w:val="00CC559B"/>
    <w:rsid w:val="00CC5670"/>
    <w:rsid w:val="00CC56A5"/>
    <w:rsid w:val="00CC5745"/>
    <w:rsid w:val="00CC574E"/>
    <w:rsid w:val="00CC5829"/>
    <w:rsid w:val="00CC58FC"/>
    <w:rsid w:val="00CC594F"/>
    <w:rsid w:val="00CC5962"/>
    <w:rsid w:val="00CC596A"/>
    <w:rsid w:val="00CC597D"/>
    <w:rsid w:val="00CC5AAC"/>
    <w:rsid w:val="00CC5B3F"/>
    <w:rsid w:val="00CC5C6A"/>
    <w:rsid w:val="00CC5CCA"/>
    <w:rsid w:val="00CC5CDC"/>
    <w:rsid w:val="00CC5D13"/>
    <w:rsid w:val="00CC5D3B"/>
    <w:rsid w:val="00CC5DFD"/>
    <w:rsid w:val="00CC5E4F"/>
    <w:rsid w:val="00CC5FAC"/>
    <w:rsid w:val="00CC6034"/>
    <w:rsid w:val="00CC60AE"/>
    <w:rsid w:val="00CC61B3"/>
    <w:rsid w:val="00CC6382"/>
    <w:rsid w:val="00CC645B"/>
    <w:rsid w:val="00CC645D"/>
    <w:rsid w:val="00CC654D"/>
    <w:rsid w:val="00CC6592"/>
    <w:rsid w:val="00CC677D"/>
    <w:rsid w:val="00CC69EE"/>
    <w:rsid w:val="00CC6A8B"/>
    <w:rsid w:val="00CC6D54"/>
    <w:rsid w:val="00CC6DB6"/>
    <w:rsid w:val="00CC6FC2"/>
    <w:rsid w:val="00CC7144"/>
    <w:rsid w:val="00CC7280"/>
    <w:rsid w:val="00CC728E"/>
    <w:rsid w:val="00CC732E"/>
    <w:rsid w:val="00CC73C1"/>
    <w:rsid w:val="00CC743F"/>
    <w:rsid w:val="00CC75FA"/>
    <w:rsid w:val="00CC7690"/>
    <w:rsid w:val="00CC76EE"/>
    <w:rsid w:val="00CC776E"/>
    <w:rsid w:val="00CC7958"/>
    <w:rsid w:val="00CC7A57"/>
    <w:rsid w:val="00CC7A70"/>
    <w:rsid w:val="00CC7B16"/>
    <w:rsid w:val="00CC7C18"/>
    <w:rsid w:val="00CC7D9B"/>
    <w:rsid w:val="00CD018C"/>
    <w:rsid w:val="00CD0192"/>
    <w:rsid w:val="00CD01E2"/>
    <w:rsid w:val="00CD0200"/>
    <w:rsid w:val="00CD02CD"/>
    <w:rsid w:val="00CD02D6"/>
    <w:rsid w:val="00CD02EF"/>
    <w:rsid w:val="00CD0339"/>
    <w:rsid w:val="00CD037B"/>
    <w:rsid w:val="00CD03BE"/>
    <w:rsid w:val="00CD03BF"/>
    <w:rsid w:val="00CD0524"/>
    <w:rsid w:val="00CD076C"/>
    <w:rsid w:val="00CD08F8"/>
    <w:rsid w:val="00CD0967"/>
    <w:rsid w:val="00CD097C"/>
    <w:rsid w:val="00CD0A53"/>
    <w:rsid w:val="00CD0ADD"/>
    <w:rsid w:val="00CD0BC0"/>
    <w:rsid w:val="00CD0BDD"/>
    <w:rsid w:val="00CD0BF3"/>
    <w:rsid w:val="00CD0BFA"/>
    <w:rsid w:val="00CD0F29"/>
    <w:rsid w:val="00CD106B"/>
    <w:rsid w:val="00CD1145"/>
    <w:rsid w:val="00CD11D8"/>
    <w:rsid w:val="00CD1229"/>
    <w:rsid w:val="00CD1306"/>
    <w:rsid w:val="00CD1397"/>
    <w:rsid w:val="00CD13FA"/>
    <w:rsid w:val="00CD143F"/>
    <w:rsid w:val="00CD14ED"/>
    <w:rsid w:val="00CD1592"/>
    <w:rsid w:val="00CD17C3"/>
    <w:rsid w:val="00CD1941"/>
    <w:rsid w:val="00CD1A22"/>
    <w:rsid w:val="00CD1AE1"/>
    <w:rsid w:val="00CD1B10"/>
    <w:rsid w:val="00CD1C1F"/>
    <w:rsid w:val="00CD1C74"/>
    <w:rsid w:val="00CD1CA4"/>
    <w:rsid w:val="00CD1D1D"/>
    <w:rsid w:val="00CD1E93"/>
    <w:rsid w:val="00CD1EDE"/>
    <w:rsid w:val="00CD2202"/>
    <w:rsid w:val="00CD22B4"/>
    <w:rsid w:val="00CD2388"/>
    <w:rsid w:val="00CD23A6"/>
    <w:rsid w:val="00CD273E"/>
    <w:rsid w:val="00CD276E"/>
    <w:rsid w:val="00CD27C5"/>
    <w:rsid w:val="00CD289C"/>
    <w:rsid w:val="00CD2931"/>
    <w:rsid w:val="00CD293B"/>
    <w:rsid w:val="00CD2955"/>
    <w:rsid w:val="00CD299F"/>
    <w:rsid w:val="00CD2A1E"/>
    <w:rsid w:val="00CD2A42"/>
    <w:rsid w:val="00CD2B60"/>
    <w:rsid w:val="00CD2BFA"/>
    <w:rsid w:val="00CD2C31"/>
    <w:rsid w:val="00CD2D5A"/>
    <w:rsid w:val="00CD2E03"/>
    <w:rsid w:val="00CD2E7F"/>
    <w:rsid w:val="00CD2EFA"/>
    <w:rsid w:val="00CD2F0F"/>
    <w:rsid w:val="00CD3037"/>
    <w:rsid w:val="00CD30A6"/>
    <w:rsid w:val="00CD320A"/>
    <w:rsid w:val="00CD3469"/>
    <w:rsid w:val="00CD34E3"/>
    <w:rsid w:val="00CD34FB"/>
    <w:rsid w:val="00CD3582"/>
    <w:rsid w:val="00CD3585"/>
    <w:rsid w:val="00CD3595"/>
    <w:rsid w:val="00CD366C"/>
    <w:rsid w:val="00CD36FB"/>
    <w:rsid w:val="00CD3850"/>
    <w:rsid w:val="00CD3894"/>
    <w:rsid w:val="00CD38CC"/>
    <w:rsid w:val="00CD3997"/>
    <w:rsid w:val="00CD39B2"/>
    <w:rsid w:val="00CD3AEA"/>
    <w:rsid w:val="00CD3BD9"/>
    <w:rsid w:val="00CD3D09"/>
    <w:rsid w:val="00CD3E35"/>
    <w:rsid w:val="00CD3E79"/>
    <w:rsid w:val="00CD3EF7"/>
    <w:rsid w:val="00CD40FA"/>
    <w:rsid w:val="00CD4118"/>
    <w:rsid w:val="00CD4282"/>
    <w:rsid w:val="00CD43E9"/>
    <w:rsid w:val="00CD4459"/>
    <w:rsid w:val="00CD4815"/>
    <w:rsid w:val="00CD4995"/>
    <w:rsid w:val="00CD49D0"/>
    <w:rsid w:val="00CD4A83"/>
    <w:rsid w:val="00CD4AB3"/>
    <w:rsid w:val="00CD4B62"/>
    <w:rsid w:val="00CD4C06"/>
    <w:rsid w:val="00CD4CAC"/>
    <w:rsid w:val="00CD4CB2"/>
    <w:rsid w:val="00CD4DAE"/>
    <w:rsid w:val="00CD4E5E"/>
    <w:rsid w:val="00CD4E93"/>
    <w:rsid w:val="00CD5104"/>
    <w:rsid w:val="00CD5282"/>
    <w:rsid w:val="00CD53EF"/>
    <w:rsid w:val="00CD545E"/>
    <w:rsid w:val="00CD5462"/>
    <w:rsid w:val="00CD5559"/>
    <w:rsid w:val="00CD569D"/>
    <w:rsid w:val="00CD58C1"/>
    <w:rsid w:val="00CD58D9"/>
    <w:rsid w:val="00CD595D"/>
    <w:rsid w:val="00CD5995"/>
    <w:rsid w:val="00CD5AAB"/>
    <w:rsid w:val="00CD5ACF"/>
    <w:rsid w:val="00CD5DCD"/>
    <w:rsid w:val="00CD5F91"/>
    <w:rsid w:val="00CD600B"/>
    <w:rsid w:val="00CD6017"/>
    <w:rsid w:val="00CD6177"/>
    <w:rsid w:val="00CD61C9"/>
    <w:rsid w:val="00CD61DC"/>
    <w:rsid w:val="00CD6305"/>
    <w:rsid w:val="00CD6327"/>
    <w:rsid w:val="00CD6369"/>
    <w:rsid w:val="00CD6385"/>
    <w:rsid w:val="00CD6398"/>
    <w:rsid w:val="00CD63B4"/>
    <w:rsid w:val="00CD64B0"/>
    <w:rsid w:val="00CD656C"/>
    <w:rsid w:val="00CD6666"/>
    <w:rsid w:val="00CD66BB"/>
    <w:rsid w:val="00CD66DB"/>
    <w:rsid w:val="00CD66FF"/>
    <w:rsid w:val="00CD67B9"/>
    <w:rsid w:val="00CD687B"/>
    <w:rsid w:val="00CD6913"/>
    <w:rsid w:val="00CD6A1E"/>
    <w:rsid w:val="00CD6AB4"/>
    <w:rsid w:val="00CD6AC0"/>
    <w:rsid w:val="00CD6C20"/>
    <w:rsid w:val="00CD6D53"/>
    <w:rsid w:val="00CD6EB5"/>
    <w:rsid w:val="00CD6EC5"/>
    <w:rsid w:val="00CD6F6C"/>
    <w:rsid w:val="00CD7165"/>
    <w:rsid w:val="00CD719C"/>
    <w:rsid w:val="00CD71E1"/>
    <w:rsid w:val="00CD722C"/>
    <w:rsid w:val="00CD726D"/>
    <w:rsid w:val="00CD741E"/>
    <w:rsid w:val="00CD742E"/>
    <w:rsid w:val="00CD7507"/>
    <w:rsid w:val="00CD7567"/>
    <w:rsid w:val="00CD7651"/>
    <w:rsid w:val="00CD7691"/>
    <w:rsid w:val="00CD7789"/>
    <w:rsid w:val="00CD77DE"/>
    <w:rsid w:val="00CD7910"/>
    <w:rsid w:val="00CD7944"/>
    <w:rsid w:val="00CD7951"/>
    <w:rsid w:val="00CD79C2"/>
    <w:rsid w:val="00CD7AC3"/>
    <w:rsid w:val="00CD7B28"/>
    <w:rsid w:val="00CD7B70"/>
    <w:rsid w:val="00CD7B87"/>
    <w:rsid w:val="00CD7C41"/>
    <w:rsid w:val="00CD7C61"/>
    <w:rsid w:val="00CD7D8B"/>
    <w:rsid w:val="00CD7DDB"/>
    <w:rsid w:val="00CD7EC0"/>
    <w:rsid w:val="00CD7FA3"/>
    <w:rsid w:val="00CD7FFA"/>
    <w:rsid w:val="00CE0039"/>
    <w:rsid w:val="00CE0099"/>
    <w:rsid w:val="00CE0145"/>
    <w:rsid w:val="00CE014B"/>
    <w:rsid w:val="00CE019E"/>
    <w:rsid w:val="00CE02DB"/>
    <w:rsid w:val="00CE03DF"/>
    <w:rsid w:val="00CE044E"/>
    <w:rsid w:val="00CE04F7"/>
    <w:rsid w:val="00CE05E3"/>
    <w:rsid w:val="00CE05FF"/>
    <w:rsid w:val="00CE06CF"/>
    <w:rsid w:val="00CE0720"/>
    <w:rsid w:val="00CE084F"/>
    <w:rsid w:val="00CE08D0"/>
    <w:rsid w:val="00CE09A1"/>
    <w:rsid w:val="00CE09DB"/>
    <w:rsid w:val="00CE0A7A"/>
    <w:rsid w:val="00CE0AA8"/>
    <w:rsid w:val="00CE0B53"/>
    <w:rsid w:val="00CE0E9B"/>
    <w:rsid w:val="00CE0ECB"/>
    <w:rsid w:val="00CE0EEF"/>
    <w:rsid w:val="00CE1063"/>
    <w:rsid w:val="00CE119E"/>
    <w:rsid w:val="00CE11D6"/>
    <w:rsid w:val="00CE120C"/>
    <w:rsid w:val="00CE13AF"/>
    <w:rsid w:val="00CE14C6"/>
    <w:rsid w:val="00CE153E"/>
    <w:rsid w:val="00CE15DC"/>
    <w:rsid w:val="00CE169B"/>
    <w:rsid w:val="00CE16A7"/>
    <w:rsid w:val="00CE1753"/>
    <w:rsid w:val="00CE1836"/>
    <w:rsid w:val="00CE18B1"/>
    <w:rsid w:val="00CE18C2"/>
    <w:rsid w:val="00CE1B1D"/>
    <w:rsid w:val="00CE1E11"/>
    <w:rsid w:val="00CE1EC6"/>
    <w:rsid w:val="00CE1F00"/>
    <w:rsid w:val="00CE1F62"/>
    <w:rsid w:val="00CE20FF"/>
    <w:rsid w:val="00CE2221"/>
    <w:rsid w:val="00CE2252"/>
    <w:rsid w:val="00CE226D"/>
    <w:rsid w:val="00CE23A6"/>
    <w:rsid w:val="00CE246A"/>
    <w:rsid w:val="00CE248A"/>
    <w:rsid w:val="00CE2589"/>
    <w:rsid w:val="00CE2645"/>
    <w:rsid w:val="00CE265B"/>
    <w:rsid w:val="00CE28CB"/>
    <w:rsid w:val="00CE2A94"/>
    <w:rsid w:val="00CE2BD1"/>
    <w:rsid w:val="00CE2C4A"/>
    <w:rsid w:val="00CE2CA5"/>
    <w:rsid w:val="00CE2CAE"/>
    <w:rsid w:val="00CE2D3D"/>
    <w:rsid w:val="00CE2DBC"/>
    <w:rsid w:val="00CE2F14"/>
    <w:rsid w:val="00CE2F49"/>
    <w:rsid w:val="00CE2F5E"/>
    <w:rsid w:val="00CE3023"/>
    <w:rsid w:val="00CE309C"/>
    <w:rsid w:val="00CE30AB"/>
    <w:rsid w:val="00CE3155"/>
    <w:rsid w:val="00CE31D3"/>
    <w:rsid w:val="00CE31F8"/>
    <w:rsid w:val="00CE3203"/>
    <w:rsid w:val="00CE3241"/>
    <w:rsid w:val="00CE3368"/>
    <w:rsid w:val="00CE3434"/>
    <w:rsid w:val="00CE3466"/>
    <w:rsid w:val="00CE350B"/>
    <w:rsid w:val="00CE3566"/>
    <w:rsid w:val="00CE356A"/>
    <w:rsid w:val="00CE386C"/>
    <w:rsid w:val="00CE3968"/>
    <w:rsid w:val="00CE3A42"/>
    <w:rsid w:val="00CE3B1A"/>
    <w:rsid w:val="00CE3B2D"/>
    <w:rsid w:val="00CE3E3A"/>
    <w:rsid w:val="00CE3E76"/>
    <w:rsid w:val="00CE3E81"/>
    <w:rsid w:val="00CE4016"/>
    <w:rsid w:val="00CE424F"/>
    <w:rsid w:val="00CE454D"/>
    <w:rsid w:val="00CE455C"/>
    <w:rsid w:val="00CE45CF"/>
    <w:rsid w:val="00CE46DA"/>
    <w:rsid w:val="00CE4797"/>
    <w:rsid w:val="00CE4A1E"/>
    <w:rsid w:val="00CE4A4D"/>
    <w:rsid w:val="00CE4A8A"/>
    <w:rsid w:val="00CE4ACC"/>
    <w:rsid w:val="00CE4AEC"/>
    <w:rsid w:val="00CE4C08"/>
    <w:rsid w:val="00CE4CAD"/>
    <w:rsid w:val="00CE4DD2"/>
    <w:rsid w:val="00CE4DEB"/>
    <w:rsid w:val="00CE5020"/>
    <w:rsid w:val="00CE5241"/>
    <w:rsid w:val="00CE53AF"/>
    <w:rsid w:val="00CE53B3"/>
    <w:rsid w:val="00CE53B4"/>
    <w:rsid w:val="00CE53BB"/>
    <w:rsid w:val="00CE54CA"/>
    <w:rsid w:val="00CE5560"/>
    <w:rsid w:val="00CE5766"/>
    <w:rsid w:val="00CE5853"/>
    <w:rsid w:val="00CE596A"/>
    <w:rsid w:val="00CE5B1B"/>
    <w:rsid w:val="00CE5CDE"/>
    <w:rsid w:val="00CE5CE9"/>
    <w:rsid w:val="00CE5D11"/>
    <w:rsid w:val="00CE5D2B"/>
    <w:rsid w:val="00CE5DED"/>
    <w:rsid w:val="00CE5E39"/>
    <w:rsid w:val="00CE62EC"/>
    <w:rsid w:val="00CE632B"/>
    <w:rsid w:val="00CE64C2"/>
    <w:rsid w:val="00CE64CB"/>
    <w:rsid w:val="00CE64DB"/>
    <w:rsid w:val="00CE650A"/>
    <w:rsid w:val="00CE6602"/>
    <w:rsid w:val="00CE666A"/>
    <w:rsid w:val="00CE6696"/>
    <w:rsid w:val="00CE6698"/>
    <w:rsid w:val="00CE6763"/>
    <w:rsid w:val="00CE6883"/>
    <w:rsid w:val="00CE6909"/>
    <w:rsid w:val="00CE6ACD"/>
    <w:rsid w:val="00CE6D7D"/>
    <w:rsid w:val="00CE6E17"/>
    <w:rsid w:val="00CE6E42"/>
    <w:rsid w:val="00CE6E96"/>
    <w:rsid w:val="00CE7126"/>
    <w:rsid w:val="00CE71EE"/>
    <w:rsid w:val="00CE728F"/>
    <w:rsid w:val="00CE7354"/>
    <w:rsid w:val="00CE751C"/>
    <w:rsid w:val="00CE7536"/>
    <w:rsid w:val="00CE757E"/>
    <w:rsid w:val="00CE75BF"/>
    <w:rsid w:val="00CE75CF"/>
    <w:rsid w:val="00CE772B"/>
    <w:rsid w:val="00CE772D"/>
    <w:rsid w:val="00CE7751"/>
    <w:rsid w:val="00CE7779"/>
    <w:rsid w:val="00CE779F"/>
    <w:rsid w:val="00CE7868"/>
    <w:rsid w:val="00CE788E"/>
    <w:rsid w:val="00CE78C6"/>
    <w:rsid w:val="00CE7A68"/>
    <w:rsid w:val="00CE7B27"/>
    <w:rsid w:val="00CE7C9D"/>
    <w:rsid w:val="00CE7D00"/>
    <w:rsid w:val="00CE7D47"/>
    <w:rsid w:val="00CE7E46"/>
    <w:rsid w:val="00CE7EC8"/>
    <w:rsid w:val="00CE7F33"/>
    <w:rsid w:val="00CE7F7E"/>
    <w:rsid w:val="00CF00D2"/>
    <w:rsid w:val="00CF01CC"/>
    <w:rsid w:val="00CF01F6"/>
    <w:rsid w:val="00CF021B"/>
    <w:rsid w:val="00CF027C"/>
    <w:rsid w:val="00CF045D"/>
    <w:rsid w:val="00CF0476"/>
    <w:rsid w:val="00CF0628"/>
    <w:rsid w:val="00CF071A"/>
    <w:rsid w:val="00CF078D"/>
    <w:rsid w:val="00CF0925"/>
    <w:rsid w:val="00CF0ABC"/>
    <w:rsid w:val="00CF0AC2"/>
    <w:rsid w:val="00CF0AFC"/>
    <w:rsid w:val="00CF0B4A"/>
    <w:rsid w:val="00CF0C2C"/>
    <w:rsid w:val="00CF0DB2"/>
    <w:rsid w:val="00CF1128"/>
    <w:rsid w:val="00CF1164"/>
    <w:rsid w:val="00CF130F"/>
    <w:rsid w:val="00CF1310"/>
    <w:rsid w:val="00CF131D"/>
    <w:rsid w:val="00CF14E2"/>
    <w:rsid w:val="00CF15F3"/>
    <w:rsid w:val="00CF169C"/>
    <w:rsid w:val="00CF16B5"/>
    <w:rsid w:val="00CF17AC"/>
    <w:rsid w:val="00CF17E2"/>
    <w:rsid w:val="00CF192B"/>
    <w:rsid w:val="00CF198C"/>
    <w:rsid w:val="00CF1BB4"/>
    <w:rsid w:val="00CF1BCA"/>
    <w:rsid w:val="00CF1C30"/>
    <w:rsid w:val="00CF1D57"/>
    <w:rsid w:val="00CF1DF7"/>
    <w:rsid w:val="00CF1EE1"/>
    <w:rsid w:val="00CF1FBB"/>
    <w:rsid w:val="00CF21AB"/>
    <w:rsid w:val="00CF23D7"/>
    <w:rsid w:val="00CF2432"/>
    <w:rsid w:val="00CF24E1"/>
    <w:rsid w:val="00CF279F"/>
    <w:rsid w:val="00CF2827"/>
    <w:rsid w:val="00CF2893"/>
    <w:rsid w:val="00CF2961"/>
    <w:rsid w:val="00CF29AE"/>
    <w:rsid w:val="00CF29B1"/>
    <w:rsid w:val="00CF2A6A"/>
    <w:rsid w:val="00CF2AD5"/>
    <w:rsid w:val="00CF2BC7"/>
    <w:rsid w:val="00CF2C8D"/>
    <w:rsid w:val="00CF2D05"/>
    <w:rsid w:val="00CF2D8B"/>
    <w:rsid w:val="00CF2EFC"/>
    <w:rsid w:val="00CF3007"/>
    <w:rsid w:val="00CF3147"/>
    <w:rsid w:val="00CF32BC"/>
    <w:rsid w:val="00CF331F"/>
    <w:rsid w:val="00CF344D"/>
    <w:rsid w:val="00CF345D"/>
    <w:rsid w:val="00CF347B"/>
    <w:rsid w:val="00CF365B"/>
    <w:rsid w:val="00CF37BA"/>
    <w:rsid w:val="00CF387B"/>
    <w:rsid w:val="00CF3978"/>
    <w:rsid w:val="00CF39E4"/>
    <w:rsid w:val="00CF3A24"/>
    <w:rsid w:val="00CF3A3A"/>
    <w:rsid w:val="00CF3A71"/>
    <w:rsid w:val="00CF3AFA"/>
    <w:rsid w:val="00CF3BF0"/>
    <w:rsid w:val="00CF3CCE"/>
    <w:rsid w:val="00CF3D91"/>
    <w:rsid w:val="00CF3EBB"/>
    <w:rsid w:val="00CF3F12"/>
    <w:rsid w:val="00CF3F14"/>
    <w:rsid w:val="00CF404D"/>
    <w:rsid w:val="00CF445A"/>
    <w:rsid w:val="00CF448A"/>
    <w:rsid w:val="00CF459A"/>
    <w:rsid w:val="00CF45B5"/>
    <w:rsid w:val="00CF45DB"/>
    <w:rsid w:val="00CF48CA"/>
    <w:rsid w:val="00CF4990"/>
    <w:rsid w:val="00CF49DD"/>
    <w:rsid w:val="00CF4A8E"/>
    <w:rsid w:val="00CF4B28"/>
    <w:rsid w:val="00CF4BD4"/>
    <w:rsid w:val="00CF4D05"/>
    <w:rsid w:val="00CF4D44"/>
    <w:rsid w:val="00CF4D85"/>
    <w:rsid w:val="00CF4E25"/>
    <w:rsid w:val="00CF4E3D"/>
    <w:rsid w:val="00CF4EA6"/>
    <w:rsid w:val="00CF4EE0"/>
    <w:rsid w:val="00CF4F7F"/>
    <w:rsid w:val="00CF5012"/>
    <w:rsid w:val="00CF503F"/>
    <w:rsid w:val="00CF50A0"/>
    <w:rsid w:val="00CF534D"/>
    <w:rsid w:val="00CF53DA"/>
    <w:rsid w:val="00CF54DA"/>
    <w:rsid w:val="00CF5519"/>
    <w:rsid w:val="00CF5575"/>
    <w:rsid w:val="00CF559D"/>
    <w:rsid w:val="00CF5795"/>
    <w:rsid w:val="00CF5883"/>
    <w:rsid w:val="00CF58BC"/>
    <w:rsid w:val="00CF5907"/>
    <w:rsid w:val="00CF59EC"/>
    <w:rsid w:val="00CF5A15"/>
    <w:rsid w:val="00CF5BB6"/>
    <w:rsid w:val="00CF5D0C"/>
    <w:rsid w:val="00CF5D6F"/>
    <w:rsid w:val="00CF5D80"/>
    <w:rsid w:val="00CF5E5D"/>
    <w:rsid w:val="00CF5E60"/>
    <w:rsid w:val="00CF5E75"/>
    <w:rsid w:val="00CF5F25"/>
    <w:rsid w:val="00CF5F38"/>
    <w:rsid w:val="00CF6006"/>
    <w:rsid w:val="00CF60C9"/>
    <w:rsid w:val="00CF60E3"/>
    <w:rsid w:val="00CF61AA"/>
    <w:rsid w:val="00CF6275"/>
    <w:rsid w:val="00CF632C"/>
    <w:rsid w:val="00CF641D"/>
    <w:rsid w:val="00CF662F"/>
    <w:rsid w:val="00CF664D"/>
    <w:rsid w:val="00CF671D"/>
    <w:rsid w:val="00CF67B6"/>
    <w:rsid w:val="00CF6A9C"/>
    <w:rsid w:val="00CF6AC8"/>
    <w:rsid w:val="00CF6B4F"/>
    <w:rsid w:val="00CF6BCE"/>
    <w:rsid w:val="00CF6C20"/>
    <w:rsid w:val="00CF6CE2"/>
    <w:rsid w:val="00CF6D49"/>
    <w:rsid w:val="00CF6DE1"/>
    <w:rsid w:val="00CF6E37"/>
    <w:rsid w:val="00CF6F02"/>
    <w:rsid w:val="00CF6FB4"/>
    <w:rsid w:val="00CF6FF2"/>
    <w:rsid w:val="00CF71BB"/>
    <w:rsid w:val="00CF72BE"/>
    <w:rsid w:val="00CF7348"/>
    <w:rsid w:val="00CF734F"/>
    <w:rsid w:val="00CF7565"/>
    <w:rsid w:val="00CF75DE"/>
    <w:rsid w:val="00CF75E0"/>
    <w:rsid w:val="00CF7611"/>
    <w:rsid w:val="00CF7638"/>
    <w:rsid w:val="00CF772F"/>
    <w:rsid w:val="00CF77AF"/>
    <w:rsid w:val="00CF79DD"/>
    <w:rsid w:val="00CF79EB"/>
    <w:rsid w:val="00CF79FD"/>
    <w:rsid w:val="00CF7C1A"/>
    <w:rsid w:val="00CF7CBF"/>
    <w:rsid w:val="00CF7D42"/>
    <w:rsid w:val="00CF7D6D"/>
    <w:rsid w:val="00CF7E14"/>
    <w:rsid w:val="00CF7F1F"/>
    <w:rsid w:val="00CF7F28"/>
    <w:rsid w:val="00CF7F3C"/>
    <w:rsid w:val="00D0007B"/>
    <w:rsid w:val="00D000F3"/>
    <w:rsid w:val="00D00104"/>
    <w:rsid w:val="00D0039A"/>
    <w:rsid w:val="00D00515"/>
    <w:rsid w:val="00D0051E"/>
    <w:rsid w:val="00D005D1"/>
    <w:rsid w:val="00D006DB"/>
    <w:rsid w:val="00D0070D"/>
    <w:rsid w:val="00D00816"/>
    <w:rsid w:val="00D0094D"/>
    <w:rsid w:val="00D009FA"/>
    <w:rsid w:val="00D00B6B"/>
    <w:rsid w:val="00D00CB8"/>
    <w:rsid w:val="00D00E09"/>
    <w:rsid w:val="00D00F71"/>
    <w:rsid w:val="00D00FE1"/>
    <w:rsid w:val="00D00FFC"/>
    <w:rsid w:val="00D01027"/>
    <w:rsid w:val="00D01028"/>
    <w:rsid w:val="00D01051"/>
    <w:rsid w:val="00D0105A"/>
    <w:rsid w:val="00D0113F"/>
    <w:rsid w:val="00D011CA"/>
    <w:rsid w:val="00D011E6"/>
    <w:rsid w:val="00D012B7"/>
    <w:rsid w:val="00D013C6"/>
    <w:rsid w:val="00D01545"/>
    <w:rsid w:val="00D01565"/>
    <w:rsid w:val="00D015B5"/>
    <w:rsid w:val="00D015D0"/>
    <w:rsid w:val="00D01695"/>
    <w:rsid w:val="00D017F4"/>
    <w:rsid w:val="00D0181A"/>
    <w:rsid w:val="00D018D4"/>
    <w:rsid w:val="00D0190D"/>
    <w:rsid w:val="00D0192F"/>
    <w:rsid w:val="00D019AC"/>
    <w:rsid w:val="00D019C3"/>
    <w:rsid w:val="00D01A06"/>
    <w:rsid w:val="00D01A1F"/>
    <w:rsid w:val="00D01A24"/>
    <w:rsid w:val="00D01B10"/>
    <w:rsid w:val="00D01D42"/>
    <w:rsid w:val="00D01D56"/>
    <w:rsid w:val="00D01E75"/>
    <w:rsid w:val="00D01EA6"/>
    <w:rsid w:val="00D01EAA"/>
    <w:rsid w:val="00D01F04"/>
    <w:rsid w:val="00D01F91"/>
    <w:rsid w:val="00D01FC2"/>
    <w:rsid w:val="00D020EA"/>
    <w:rsid w:val="00D022DC"/>
    <w:rsid w:val="00D023BD"/>
    <w:rsid w:val="00D0243F"/>
    <w:rsid w:val="00D024D9"/>
    <w:rsid w:val="00D02589"/>
    <w:rsid w:val="00D025D8"/>
    <w:rsid w:val="00D02672"/>
    <w:rsid w:val="00D02757"/>
    <w:rsid w:val="00D028DD"/>
    <w:rsid w:val="00D02904"/>
    <w:rsid w:val="00D02A75"/>
    <w:rsid w:val="00D02BFA"/>
    <w:rsid w:val="00D02C94"/>
    <w:rsid w:val="00D02DB6"/>
    <w:rsid w:val="00D02E21"/>
    <w:rsid w:val="00D02E40"/>
    <w:rsid w:val="00D02E5F"/>
    <w:rsid w:val="00D0323A"/>
    <w:rsid w:val="00D03247"/>
    <w:rsid w:val="00D033BE"/>
    <w:rsid w:val="00D033D9"/>
    <w:rsid w:val="00D0346A"/>
    <w:rsid w:val="00D03472"/>
    <w:rsid w:val="00D034EB"/>
    <w:rsid w:val="00D03560"/>
    <w:rsid w:val="00D035CD"/>
    <w:rsid w:val="00D03601"/>
    <w:rsid w:val="00D03627"/>
    <w:rsid w:val="00D03705"/>
    <w:rsid w:val="00D0375E"/>
    <w:rsid w:val="00D03798"/>
    <w:rsid w:val="00D037CF"/>
    <w:rsid w:val="00D03856"/>
    <w:rsid w:val="00D03864"/>
    <w:rsid w:val="00D0387F"/>
    <w:rsid w:val="00D0389E"/>
    <w:rsid w:val="00D03934"/>
    <w:rsid w:val="00D0396B"/>
    <w:rsid w:val="00D03B17"/>
    <w:rsid w:val="00D03C4B"/>
    <w:rsid w:val="00D03DC7"/>
    <w:rsid w:val="00D03E44"/>
    <w:rsid w:val="00D03E4B"/>
    <w:rsid w:val="00D03E99"/>
    <w:rsid w:val="00D03E9F"/>
    <w:rsid w:val="00D03ED5"/>
    <w:rsid w:val="00D03EE3"/>
    <w:rsid w:val="00D03FC1"/>
    <w:rsid w:val="00D03FD0"/>
    <w:rsid w:val="00D04062"/>
    <w:rsid w:val="00D0411E"/>
    <w:rsid w:val="00D04262"/>
    <w:rsid w:val="00D043E6"/>
    <w:rsid w:val="00D0462B"/>
    <w:rsid w:val="00D04759"/>
    <w:rsid w:val="00D04871"/>
    <w:rsid w:val="00D04B7C"/>
    <w:rsid w:val="00D04D38"/>
    <w:rsid w:val="00D050E9"/>
    <w:rsid w:val="00D050F0"/>
    <w:rsid w:val="00D0526B"/>
    <w:rsid w:val="00D0544E"/>
    <w:rsid w:val="00D0556F"/>
    <w:rsid w:val="00D0564C"/>
    <w:rsid w:val="00D05735"/>
    <w:rsid w:val="00D0580B"/>
    <w:rsid w:val="00D058BB"/>
    <w:rsid w:val="00D05906"/>
    <w:rsid w:val="00D05A60"/>
    <w:rsid w:val="00D05C1F"/>
    <w:rsid w:val="00D05E00"/>
    <w:rsid w:val="00D06045"/>
    <w:rsid w:val="00D060F1"/>
    <w:rsid w:val="00D06153"/>
    <w:rsid w:val="00D0621E"/>
    <w:rsid w:val="00D062C4"/>
    <w:rsid w:val="00D063EC"/>
    <w:rsid w:val="00D0654F"/>
    <w:rsid w:val="00D065B9"/>
    <w:rsid w:val="00D06647"/>
    <w:rsid w:val="00D066C0"/>
    <w:rsid w:val="00D06709"/>
    <w:rsid w:val="00D06804"/>
    <w:rsid w:val="00D06859"/>
    <w:rsid w:val="00D0688F"/>
    <w:rsid w:val="00D068C9"/>
    <w:rsid w:val="00D069A8"/>
    <w:rsid w:val="00D069C8"/>
    <w:rsid w:val="00D06AC4"/>
    <w:rsid w:val="00D06B12"/>
    <w:rsid w:val="00D06B17"/>
    <w:rsid w:val="00D06F0C"/>
    <w:rsid w:val="00D06F56"/>
    <w:rsid w:val="00D07087"/>
    <w:rsid w:val="00D0739A"/>
    <w:rsid w:val="00D073B1"/>
    <w:rsid w:val="00D0744A"/>
    <w:rsid w:val="00D0746B"/>
    <w:rsid w:val="00D074D2"/>
    <w:rsid w:val="00D0753D"/>
    <w:rsid w:val="00D0759C"/>
    <w:rsid w:val="00D075B8"/>
    <w:rsid w:val="00D075C7"/>
    <w:rsid w:val="00D0768B"/>
    <w:rsid w:val="00D078D3"/>
    <w:rsid w:val="00D07995"/>
    <w:rsid w:val="00D07A56"/>
    <w:rsid w:val="00D07B66"/>
    <w:rsid w:val="00D07BF4"/>
    <w:rsid w:val="00D07E51"/>
    <w:rsid w:val="00D07E99"/>
    <w:rsid w:val="00D07F33"/>
    <w:rsid w:val="00D07F52"/>
    <w:rsid w:val="00D100C3"/>
    <w:rsid w:val="00D10186"/>
    <w:rsid w:val="00D101E9"/>
    <w:rsid w:val="00D102A0"/>
    <w:rsid w:val="00D102AF"/>
    <w:rsid w:val="00D103EF"/>
    <w:rsid w:val="00D104A3"/>
    <w:rsid w:val="00D104C3"/>
    <w:rsid w:val="00D10723"/>
    <w:rsid w:val="00D10859"/>
    <w:rsid w:val="00D1099D"/>
    <w:rsid w:val="00D10A28"/>
    <w:rsid w:val="00D10C25"/>
    <w:rsid w:val="00D10E2E"/>
    <w:rsid w:val="00D11068"/>
    <w:rsid w:val="00D1119A"/>
    <w:rsid w:val="00D111ED"/>
    <w:rsid w:val="00D1135F"/>
    <w:rsid w:val="00D11392"/>
    <w:rsid w:val="00D113C5"/>
    <w:rsid w:val="00D114D5"/>
    <w:rsid w:val="00D1159B"/>
    <w:rsid w:val="00D116D4"/>
    <w:rsid w:val="00D11727"/>
    <w:rsid w:val="00D117F6"/>
    <w:rsid w:val="00D11814"/>
    <w:rsid w:val="00D11867"/>
    <w:rsid w:val="00D118EF"/>
    <w:rsid w:val="00D11A09"/>
    <w:rsid w:val="00D11A59"/>
    <w:rsid w:val="00D11AE7"/>
    <w:rsid w:val="00D11B0F"/>
    <w:rsid w:val="00D11B52"/>
    <w:rsid w:val="00D11B93"/>
    <w:rsid w:val="00D11C91"/>
    <w:rsid w:val="00D11E5E"/>
    <w:rsid w:val="00D11F6B"/>
    <w:rsid w:val="00D11FE1"/>
    <w:rsid w:val="00D11FEC"/>
    <w:rsid w:val="00D12013"/>
    <w:rsid w:val="00D12059"/>
    <w:rsid w:val="00D120B8"/>
    <w:rsid w:val="00D12147"/>
    <w:rsid w:val="00D1218F"/>
    <w:rsid w:val="00D12231"/>
    <w:rsid w:val="00D123E9"/>
    <w:rsid w:val="00D12429"/>
    <w:rsid w:val="00D12514"/>
    <w:rsid w:val="00D127EC"/>
    <w:rsid w:val="00D12854"/>
    <w:rsid w:val="00D12A76"/>
    <w:rsid w:val="00D12B74"/>
    <w:rsid w:val="00D12C22"/>
    <w:rsid w:val="00D12C76"/>
    <w:rsid w:val="00D12D3D"/>
    <w:rsid w:val="00D12F5D"/>
    <w:rsid w:val="00D13288"/>
    <w:rsid w:val="00D13323"/>
    <w:rsid w:val="00D133B0"/>
    <w:rsid w:val="00D13573"/>
    <w:rsid w:val="00D137AD"/>
    <w:rsid w:val="00D137D6"/>
    <w:rsid w:val="00D1384F"/>
    <w:rsid w:val="00D138AD"/>
    <w:rsid w:val="00D13A1B"/>
    <w:rsid w:val="00D13A49"/>
    <w:rsid w:val="00D13AEC"/>
    <w:rsid w:val="00D13B43"/>
    <w:rsid w:val="00D13BCB"/>
    <w:rsid w:val="00D13C05"/>
    <w:rsid w:val="00D13DDC"/>
    <w:rsid w:val="00D13EAF"/>
    <w:rsid w:val="00D13FA4"/>
    <w:rsid w:val="00D1411D"/>
    <w:rsid w:val="00D14179"/>
    <w:rsid w:val="00D141A3"/>
    <w:rsid w:val="00D142F1"/>
    <w:rsid w:val="00D14419"/>
    <w:rsid w:val="00D1445B"/>
    <w:rsid w:val="00D144E2"/>
    <w:rsid w:val="00D14621"/>
    <w:rsid w:val="00D1491E"/>
    <w:rsid w:val="00D14A1B"/>
    <w:rsid w:val="00D14AD2"/>
    <w:rsid w:val="00D14B10"/>
    <w:rsid w:val="00D14C48"/>
    <w:rsid w:val="00D14CB1"/>
    <w:rsid w:val="00D14E53"/>
    <w:rsid w:val="00D14EA6"/>
    <w:rsid w:val="00D14F0C"/>
    <w:rsid w:val="00D14FEA"/>
    <w:rsid w:val="00D150F7"/>
    <w:rsid w:val="00D151C5"/>
    <w:rsid w:val="00D15209"/>
    <w:rsid w:val="00D15226"/>
    <w:rsid w:val="00D15228"/>
    <w:rsid w:val="00D15288"/>
    <w:rsid w:val="00D152D8"/>
    <w:rsid w:val="00D1530F"/>
    <w:rsid w:val="00D153DC"/>
    <w:rsid w:val="00D154C0"/>
    <w:rsid w:val="00D155F9"/>
    <w:rsid w:val="00D1566C"/>
    <w:rsid w:val="00D157A5"/>
    <w:rsid w:val="00D15820"/>
    <w:rsid w:val="00D15A1C"/>
    <w:rsid w:val="00D15A6F"/>
    <w:rsid w:val="00D15BAE"/>
    <w:rsid w:val="00D15D29"/>
    <w:rsid w:val="00D15D62"/>
    <w:rsid w:val="00D15F30"/>
    <w:rsid w:val="00D160AC"/>
    <w:rsid w:val="00D160BE"/>
    <w:rsid w:val="00D16105"/>
    <w:rsid w:val="00D162AA"/>
    <w:rsid w:val="00D162D8"/>
    <w:rsid w:val="00D163AD"/>
    <w:rsid w:val="00D163E8"/>
    <w:rsid w:val="00D16495"/>
    <w:rsid w:val="00D164CF"/>
    <w:rsid w:val="00D1650B"/>
    <w:rsid w:val="00D1655C"/>
    <w:rsid w:val="00D16714"/>
    <w:rsid w:val="00D16825"/>
    <w:rsid w:val="00D1686B"/>
    <w:rsid w:val="00D169CE"/>
    <w:rsid w:val="00D16A56"/>
    <w:rsid w:val="00D16A5B"/>
    <w:rsid w:val="00D16AAD"/>
    <w:rsid w:val="00D16B64"/>
    <w:rsid w:val="00D16C64"/>
    <w:rsid w:val="00D16C88"/>
    <w:rsid w:val="00D16D9B"/>
    <w:rsid w:val="00D16DE2"/>
    <w:rsid w:val="00D16DF4"/>
    <w:rsid w:val="00D16E8C"/>
    <w:rsid w:val="00D17015"/>
    <w:rsid w:val="00D170BB"/>
    <w:rsid w:val="00D171D4"/>
    <w:rsid w:val="00D17322"/>
    <w:rsid w:val="00D173B5"/>
    <w:rsid w:val="00D17468"/>
    <w:rsid w:val="00D174C7"/>
    <w:rsid w:val="00D176D0"/>
    <w:rsid w:val="00D1784A"/>
    <w:rsid w:val="00D178DC"/>
    <w:rsid w:val="00D17986"/>
    <w:rsid w:val="00D179A5"/>
    <w:rsid w:val="00D17A4A"/>
    <w:rsid w:val="00D17AB7"/>
    <w:rsid w:val="00D17B09"/>
    <w:rsid w:val="00D17D72"/>
    <w:rsid w:val="00D17D8E"/>
    <w:rsid w:val="00D17D93"/>
    <w:rsid w:val="00D17DBE"/>
    <w:rsid w:val="00D17EDC"/>
    <w:rsid w:val="00D20299"/>
    <w:rsid w:val="00D205A8"/>
    <w:rsid w:val="00D20749"/>
    <w:rsid w:val="00D2080A"/>
    <w:rsid w:val="00D2089F"/>
    <w:rsid w:val="00D208C3"/>
    <w:rsid w:val="00D208F0"/>
    <w:rsid w:val="00D2091B"/>
    <w:rsid w:val="00D20AC3"/>
    <w:rsid w:val="00D20D9C"/>
    <w:rsid w:val="00D20DEF"/>
    <w:rsid w:val="00D20E3C"/>
    <w:rsid w:val="00D20F7F"/>
    <w:rsid w:val="00D210E7"/>
    <w:rsid w:val="00D21101"/>
    <w:rsid w:val="00D2113E"/>
    <w:rsid w:val="00D21178"/>
    <w:rsid w:val="00D2135A"/>
    <w:rsid w:val="00D213A5"/>
    <w:rsid w:val="00D213D3"/>
    <w:rsid w:val="00D2146A"/>
    <w:rsid w:val="00D214A7"/>
    <w:rsid w:val="00D214B2"/>
    <w:rsid w:val="00D214DB"/>
    <w:rsid w:val="00D21685"/>
    <w:rsid w:val="00D21731"/>
    <w:rsid w:val="00D2191E"/>
    <w:rsid w:val="00D2194A"/>
    <w:rsid w:val="00D21A2D"/>
    <w:rsid w:val="00D21A4B"/>
    <w:rsid w:val="00D21DA7"/>
    <w:rsid w:val="00D2207E"/>
    <w:rsid w:val="00D220FB"/>
    <w:rsid w:val="00D2215B"/>
    <w:rsid w:val="00D2217C"/>
    <w:rsid w:val="00D221B0"/>
    <w:rsid w:val="00D22239"/>
    <w:rsid w:val="00D2224B"/>
    <w:rsid w:val="00D22285"/>
    <w:rsid w:val="00D222EC"/>
    <w:rsid w:val="00D2237E"/>
    <w:rsid w:val="00D224D3"/>
    <w:rsid w:val="00D2256C"/>
    <w:rsid w:val="00D22892"/>
    <w:rsid w:val="00D22908"/>
    <w:rsid w:val="00D22A2D"/>
    <w:rsid w:val="00D22A2F"/>
    <w:rsid w:val="00D22AC4"/>
    <w:rsid w:val="00D22B8F"/>
    <w:rsid w:val="00D22D5A"/>
    <w:rsid w:val="00D22E3D"/>
    <w:rsid w:val="00D22E8C"/>
    <w:rsid w:val="00D22FD3"/>
    <w:rsid w:val="00D2304C"/>
    <w:rsid w:val="00D2326F"/>
    <w:rsid w:val="00D2331F"/>
    <w:rsid w:val="00D23522"/>
    <w:rsid w:val="00D2356D"/>
    <w:rsid w:val="00D236B5"/>
    <w:rsid w:val="00D2394C"/>
    <w:rsid w:val="00D23BBC"/>
    <w:rsid w:val="00D23CF7"/>
    <w:rsid w:val="00D23D40"/>
    <w:rsid w:val="00D23E0F"/>
    <w:rsid w:val="00D23F85"/>
    <w:rsid w:val="00D23FFC"/>
    <w:rsid w:val="00D24174"/>
    <w:rsid w:val="00D241B7"/>
    <w:rsid w:val="00D2437C"/>
    <w:rsid w:val="00D243F4"/>
    <w:rsid w:val="00D24517"/>
    <w:rsid w:val="00D24525"/>
    <w:rsid w:val="00D2453E"/>
    <w:rsid w:val="00D24571"/>
    <w:rsid w:val="00D2473D"/>
    <w:rsid w:val="00D248EF"/>
    <w:rsid w:val="00D249CD"/>
    <w:rsid w:val="00D249F1"/>
    <w:rsid w:val="00D24A13"/>
    <w:rsid w:val="00D24AC5"/>
    <w:rsid w:val="00D24B20"/>
    <w:rsid w:val="00D24B47"/>
    <w:rsid w:val="00D24C43"/>
    <w:rsid w:val="00D24CD0"/>
    <w:rsid w:val="00D24CEF"/>
    <w:rsid w:val="00D24D83"/>
    <w:rsid w:val="00D24D8D"/>
    <w:rsid w:val="00D24DF7"/>
    <w:rsid w:val="00D24E8E"/>
    <w:rsid w:val="00D25075"/>
    <w:rsid w:val="00D25136"/>
    <w:rsid w:val="00D2515F"/>
    <w:rsid w:val="00D25186"/>
    <w:rsid w:val="00D253E4"/>
    <w:rsid w:val="00D254A4"/>
    <w:rsid w:val="00D254A7"/>
    <w:rsid w:val="00D254D8"/>
    <w:rsid w:val="00D255C2"/>
    <w:rsid w:val="00D2571D"/>
    <w:rsid w:val="00D25763"/>
    <w:rsid w:val="00D25795"/>
    <w:rsid w:val="00D25934"/>
    <w:rsid w:val="00D25945"/>
    <w:rsid w:val="00D2594D"/>
    <w:rsid w:val="00D259EE"/>
    <w:rsid w:val="00D25A79"/>
    <w:rsid w:val="00D25ADB"/>
    <w:rsid w:val="00D25B8E"/>
    <w:rsid w:val="00D25BA0"/>
    <w:rsid w:val="00D25C7F"/>
    <w:rsid w:val="00D25C9E"/>
    <w:rsid w:val="00D25CF2"/>
    <w:rsid w:val="00D25E2B"/>
    <w:rsid w:val="00D25FAA"/>
    <w:rsid w:val="00D262CA"/>
    <w:rsid w:val="00D2632B"/>
    <w:rsid w:val="00D26454"/>
    <w:rsid w:val="00D26619"/>
    <w:rsid w:val="00D2661D"/>
    <w:rsid w:val="00D26695"/>
    <w:rsid w:val="00D266D9"/>
    <w:rsid w:val="00D266E5"/>
    <w:rsid w:val="00D2677C"/>
    <w:rsid w:val="00D268A5"/>
    <w:rsid w:val="00D269A1"/>
    <w:rsid w:val="00D26C50"/>
    <w:rsid w:val="00D26C63"/>
    <w:rsid w:val="00D26D50"/>
    <w:rsid w:val="00D26D77"/>
    <w:rsid w:val="00D26DEC"/>
    <w:rsid w:val="00D26E16"/>
    <w:rsid w:val="00D26E4B"/>
    <w:rsid w:val="00D2713C"/>
    <w:rsid w:val="00D27283"/>
    <w:rsid w:val="00D272BA"/>
    <w:rsid w:val="00D272E7"/>
    <w:rsid w:val="00D272F4"/>
    <w:rsid w:val="00D273A6"/>
    <w:rsid w:val="00D273AB"/>
    <w:rsid w:val="00D274E0"/>
    <w:rsid w:val="00D27696"/>
    <w:rsid w:val="00D276D6"/>
    <w:rsid w:val="00D279E5"/>
    <w:rsid w:val="00D27A47"/>
    <w:rsid w:val="00D27AA2"/>
    <w:rsid w:val="00D27AF7"/>
    <w:rsid w:val="00D27FEE"/>
    <w:rsid w:val="00D30183"/>
    <w:rsid w:val="00D30357"/>
    <w:rsid w:val="00D303C3"/>
    <w:rsid w:val="00D30557"/>
    <w:rsid w:val="00D30676"/>
    <w:rsid w:val="00D30707"/>
    <w:rsid w:val="00D3072C"/>
    <w:rsid w:val="00D307C1"/>
    <w:rsid w:val="00D3090B"/>
    <w:rsid w:val="00D30917"/>
    <w:rsid w:val="00D30971"/>
    <w:rsid w:val="00D30987"/>
    <w:rsid w:val="00D30AC3"/>
    <w:rsid w:val="00D30B7C"/>
    <w:rsid w:val="00D30BCC"/>
    <w:rsid w:val="00D30C85"/>
    <w:rsid w:val="00D30D2B"/>
    <w:rsid w:val="00D30D4F"/>
    <w:rsid w:val="00D30DA1"/>
    <w:rsid w:val="00D30E7B"/>
    <w:rsid w:val="00D30E89"/>
    <w:rsid w:val="00D30EDA"/>
    <w:rsid w:val="00D30EFC"/>
    <w:rsid w:val="00D30F4C"/>
    <w:rsid w:val="00D3109D"/>
    <w:rsid w:val="00D310B2"/>
    <w:rsid w:val="00D310DE"/>
    <w:rsid w:val="00D31113"/>
    <w:rsid w:val="00D31117"/>
    <w:rsid w:val="00D31212"/>
    <w:rsid w:val="00D31240"/>
    <w:rsid w:val="00D313A5"/>
    <w:rsid w:val="00D31402"/>
    <w:rsid w:val="00D31407"/>
    <w:rsid w:val="00D31419"/>
    <w:rsid w:val="00D31502"/>
    <w:rsid w:val="00D31554"/>
    <w:rsid w:val="00D315A2"/>
    <w:rsid w:val="00D3164D"/>
    <w:rsid w:val="00D31692"/>
    <w:rsid w:val="00D3172A"/>
    <w:rsid w:val="00D3185D"/>
    <w:rsid w:val="00D31A05"/>
    <w:rsid w:val="00D31A82"/>
    <w:rsid w:val="00D31A86"/>
    <w:rsid w:val="00D31ADF"/>
    <w:rsid w:val="00D31B72"/>
    <w:rsid w:val="00D31C62"/>
    <w:rsid w:val="00D31C75"/>
    <w:rsid w:val="00D31D92"/>
    <w:rsid w:val="00D31F99"/>
    <w:rsid w:val="00D3208B"/>
    <w:rsid w:val="00D320F5"/>
    <w:rsid w:val="00D322CF"/>
    <w:rsid w:val="00D32348"/>
    <w:rsid w:val="00D3242C"/>
    <w:rsid w:val="00D32481"/>
    <w:rsid w:val="00D32509"/>
    <w:rsid w:val="00D3256C"/>
    <w:rsid w:val="00D325D3"/>
    <w:rsid w:val="00D3263A"/>
    <w:rsid w:val="00D3279E"/>
    <w:rsid w:val="00D327DE"/>
    <w:rsid w:val="00D328BA"/>
    <w:rsid w:val="00D3290F"/>
    <w:rsid w:val="00D32959"/>
    <w:rsid w:val="00D329FE"/>
    <w:rsid w:val="00D32AA5"/>
    <w:rsid w:val="00D32C81"/>
    <w:rsid w:val="00D32CA8"/>
    <w:rsid w:val="00D32D96"/>
    <w:rsid w:val="00D32FE7"/>
    <w:rsid w:val="00D3301D"/>
    <w:rsid w:val="00D330C5"/>
    <w:rsid w:val="00D331DB"/>
    <w:rsid w:val="00D33216"/>
    <w:rsid w:val="00D33246"/>
    <w:rsid w:val="00D33439"/>
    <w:rsid w:val="00D33618"/>
    <w:rsid w:val="00D33621"/>
    <w:rsid w:val="00D33696"/>
    <w:rsid w:val="00D33793"/>
    <w:rsid w:val="00D337B6"/>
    <w:rsid w:val="00D337ED"/>
    <w:rsid w:val="00D33806"/>
    <w:rsid w:val="00D33830"/>
    <w:rsid w:val="00D33B96"/>
    <w:rsid w:val="00D33DB6"/>
    <w:rsid w:val="00D33DBD"/>
    <w:rsid w:val="00D33E7B"/>
    <w:rsid w:val="00D33E7D"/>
    <w:rsid w:val="00D33EAA"/>
    <w:rsid w:val="00D33F21"/>
    <w:rsid w:val="00D33F75"/>
    <w:rsid w:val="00D33F7B"/>
    <w:rsid w:val="00D3414E"/>
    <w:rsid w:val="00D3435D"/>
    <w:rsid w:val="00D3436D"/>
    <w:rsid w:val="00D3439D"/>
    <w:rsid w:val="00D343E4"/>
    <w:rsid w:val="00D34427"/>
    <w:rsid w:val="00D3444A"/>
    <w:rsid w:val="00D345A1"/>
    <w:rsid w:val="00D34651"/>
    <w:rsid w:val="00D3467D"/>
    <w:rsid w:val="00D347B0"/>
    <w:rsid w:val="00D3485C"/>
    <w:rsid w:val="00D34A57"/>
    <w:rsid w:val="00D34ADB"/>
    <w:rsid w:val="00D34AE4"/>
    <w:rsid w:val="00D34D2F"/>
    <w:rsid w:val="00D34D3E"/>
    <w:rsid w:val="00D34EFD"/>
    <w:rsid w:val="00D34FC7"/>
    <w:rsid w:val="00D34FE0"/>
    <w:rsid w:val="00D34FEB"/>
    <w:rsid w:val="00D3505C"/>
    <w:rsid w:val="00D35066"/>
    <w:rsid w:val="00D35123"/>
    <w:rsid w:val="00D3535D"/>
    <w:rsid w:val="00D3548B"/>
    <w:rsid w:val="00D354AF"/>
    <w:rsid w:val="00D3551B"/>
    <w:rsid w:val="00D35587"/>
    <w:rsid w:val="00D3591F"/>
    <w:rsid w:val="00D359BB"/>
    <w:rsid w:val="00D35B4E"/>
    <w:rsid w:val="00D35C9E"/>
    <w:rsid w:val="00D35DB3"/>
    <w:rsid w:val="00D35DB6"/>
    <w:rsid w:val="00D35E06"/>
    <w:rsid w:val="00D35E29"/>
    <w:rsid w:val="00D35EFE"/>
    <w:rsid w:val="00D35F27"/>
    <w:rsid w:val="00D35F60"/>
    <w:rsid w:val="00D3605B"/>
    <w:rsid w:val="00D3607D"/>
    <w:rsid w:val="00D3613C"/>
    <w:rsid w:val="00D36239"/>
    <w:rsid w:val="00D36326"/>
    <w:rsid w:val="00D3645D"/>
    <w:rsid w:val="00D364CC"/>
    <w:rsid w:val="00D365DA"/>
    <w:rsid w:val="00D36627"/>
    <w:rsid w:val="00D36713"/>
    <w:rsid w:val="00D3683A"/>
    <w:rsid w:val="00D368C3"/>
    <w:rsid w:val="00D3693F"/>
    <w:rsid w:val="00D3696F"/>
    <w:rsid w:val="00D369F6"/>
    <w:rsid w:val="00D36AF0"/>
    <w:rsid w:val="00D36C4F"/>
    <w:rsid w:val="00D36C82"/>
    <w:rsid w:val="00D36CED"/>
    <w:rsid w:val="00D36D00"/>
    <w:rsid w:val="00D36D5E"/>
    <w:rsid w:val="00D36E05"/>
    <w:rsid w:val="00D36F2F"/>
    <w:rsid w:val="00D36FD5"/>
    <w:rsid w:val="00D370E1"/>
    <w:rsid w:val="00D3719B"/>
    <w:rsid w:val="00D371A5"/>
    <w:rsid w:val="00D37211"/>
    <w:rsid w:val="00D37235"/>
    <w:rsid w:val="00D372E7"/>
    <w:rsid w:val="00D37333"/>
    <w:rsid w:val="00D37345"/>
    <w:rsid w:val="00D373FC"/>
    <w:rsid w:val="00D37424"/>
    <w:rsid w:val="00D37471"/>
    <w:rsid w:val="00D374C4"/>
    <w:rsid w:val="00D37639"/>
    <w:rsid w:val="00D378EB"/>
    <w:rsid w:val="00D37966"/>
    <w:rsid w:val="00D37A4D"/>
    <w:rsid w:val="00D37ACE"/>
    <w:rsid w:val="00D37AD7"/>
    <w:rsid w:val="00D37B05"/>
    <w:rsid w:val="00D37B5D"/>
    <w:rsid w:val="00D37C4D"/>
    <w:rsid w:val="00D37C89"/>
    <w:rsid w:val="00D37C8C"/>
    <w:rsid w:val="00D37D09"/>
    <w:rsid w:val="00D37F0F"/>
    <w:rsid w:val="00D37F27"/>
    <w:rsid w:val="00D4000A"/>
    <w:rsid w:val="00D4003D"/>
    <w:rsid w:val="00D400B3"/>
    <w:rsid w:val="00D400BC"/>
    <w:rsid w:val="00D400E7"/>
    <w:rsid w:val="00D400EA"/>
    <w:rsid w:val="00D4014C"/>
    <w:rsid w:val="00D40154"/>
    <w:rsid w:val="00D401A1"/>
    <w:rsid w:val="00D402A6"/>
    <w:rsid w:val="00D40361"/>
    <w:rsid w:val="00D4038E"/>
    <w:rsid w:val="00D40A04"/>
    <w:rsid w:val="00D40D20"/>
    <w:rsid w:val="00D40D4A"/>
    <w:rsid w:val="00D40DF4"/>
    <w:rsid w:val="00D40E43"/>
    <w:rsid w:val="00D40E91"/>
    <w:rsid w:val="00D40F4B"/>
    <w:rsid w:val="00D40FF4"/>
    <w:rsid w:val="00D4102A"/>
    <w:rsid w:val="00D41052"/>
    <w:rsid w:val="00D4111F"/>
    <w:rsid w:val="00D4136A"/>
    <w:rsid w:val="00D4150B"/>
    <w:rsid w:val="00D41527"/>
    <w:rsid w:val="00D41676"/>
    <w:rsid w:val="00D416A0"/>
    <w:rsid w:val="00D416FF"/>
    <w:rsid w:val="00D417D1"/>
    <w:rsid w:val="00D41823"/>
    <w:rsid w:val="00D41896"/>
    <w:rsid w:val="00D41ADC"/>
    <w:rsid w:val="00D41B08"/>
    <w:rsid w:val="00D41CCC"/>
    <w:rsid w:val="00D41CDF"/>
    <w:rsid w:val="00D41D6F"/>
    <w:rsid w:val="00D41D75"/>
    <w:rsid w:val="00D41D8C"/>
    <w:rsid w:val="00D41F2E"/>
    <w:rsid w:val="00D41F3C"/>
    <w:rsid w:val="00D41F68"/>
    <w:rsid w:val="00D41F80"/>
    <w:rsid w:val="00D42009"/>
    <w:rsid w:val="00D4211E"/>
    <w:rsid w:val="00D422B5"/>
    <w:rsid w:val="00D422F2"/>
    <w:rsid w:val="00D42442"/>
    <w:rsid w:val="00D424F6"/>
    <w:rsid w:val="00D4251A"/>
    <w:rsid w:val="00D42562"/>
    <w:rsid w:val="00D42679"/>
    <w:rsid w:val="00D4275F"/>
    <w:rsid w:val="00D427C5"/>
    <w:rsid w:val="00D42810"/>
    <w:rsid w:val="00D4286C"/>
    <w:rsid w:val="00D428EC"/>
    <w:rsid w:val="00D42901"/>
    <w:rsid w:val="00D42A70"/>
    <w:rsid w:val="00D42A71"/>
    <w:rsid w:val="00D42B6E"/>
    <w:rsid w:val="00D42D2F"/>
    <w:rsid w:val="00D42D97"/>
    <w:rsid w:val="00D42DB1"/>
    <w:rsid w:val="00D42F11"/>
    <w:rsid w:val="00D42FB4"/>
    <w:rsid w:val="00D4312B"/>
    <w:rsid w:val="00D43193"/>
    <w:rsid w:val="00D433D5"/>
    <w:rsid w:val="00D4365A"/>
    <w:rsid w:val="00D43771"/>
    <w:rsid w:val="00D4377F"/>
    <w:rsid w:val="00D43AF8"/>
    <w:rsid w:val="00D43B63"/>
    <w:rsid w:val="00D43BC3"/>
    <w:rsid w:val="00D43BCE"/>
    <w:rsid w:val="00D43BEC"/>
    <w:rsid w:val="00D43D98"/>
    <w:rsid w:val="00D43E42"/>
    <w:rsid w:val="00D43F68"/>
    <w:rsid w:val="00D43F92"/>
    <w:rsid w:val="00D44037"/>
    <w:rsid w:val="00D440FE"/>
    <w:rsid w:val="00D44109"/>
    <w:rsid w:val="00D4418A"/>
    <w:rsid w:val="00D441DB"/>
    <w:rsid w:val="00D444A8"/>
    <w:rsid w:val="00D44755"/>
    <w:rsid w:val="00D4476E"/>
    <w:rsid w:val="00D44A20"/>
    <w:rsid w:val="00D44A34"/>
    <w:rsid w:val="00D44B15"/>
    <w:rsid w:val="00D44B74"/>
    <w:rsid w:val="00D44BE6"/>
    <w:rsid w:val="00D44BF1"/>
    <w:rsid w:val="00D44D82"/>
    <w:rsid w:val="00D44D9D"/>
    <w:rsid w:val="00D44DC3"/>
    <w:rsid w:val="00D44F91"/>
    <w:rsid w:val="00D44FA3"/>
    <w:rsid w:val="00D45021"/>
    <w:rsid w:val="00D450B8"/>
    <w:rsid w:val="00D450BC"/>
    <w:rsid w:val="00D45134"/>
    <w:rsid w:val="00D45136"/>
    <w:rsid w:val="00D45792"/>
    <w:rsid w:val="00D457E0"/>
    <w:rsid w:val="00D4589E"/>
    <w:rsid w:val="00D45908"/>
    <w:rsid w:val="00D45988"/>
    <w:rsid w:val="00D4599F"/>
    <w:rsid w:val="00D45A0D"/>
    <w:rsid w:val="00D45AEB"/>
    <w:rsid w:val="00D45E44"/>
    <w:rsid w:val="00D45F61"/>
    <w:rsid w:val="00D46088"/>
    <w:rsid w:val="00D4614E"/>
    <w:rsid w:val="00D461DE"/>
    <w:rsid w:val="00D462A2"/>
    <w:rsid w:val="00D463F8"/>
    <w:rsid w:val="00D46450"/>
    <w:rsid w:val="00D4645B"/>
    <w:rsid w:val="00D46489"/>
    <w:rsid w:val="00D4649B"/>
    <w:rsid w:val="00D46534"/>
    <w:rsid w:val="00D465E7"/>
    <w:rsid w:val="00D46762"/>
    <w:rsid w:val="00D4692B"/>
    <w:rsid w:val="00D4693D"/>
    <w:rsid w:val="00D4694D"/>
    <w:rsid w:val="00D46A0D"/>
    <w:rsid w:val="00D46B4D"/>
    <w:rsid w:val="00D46B5C"/>
    <w:rsid w:val="00D46CA6"/>
    <w:rsid w:val="00D46D45"/>
    <w:rsid w:val="00D46D81"/>
    <w:rsid w:val="00D46DFF"/>
    <w:rsid w:val="00D46EFD"/>
    <w:rsid w:val="00D4729A"/>
    <w:rsid w:val="00D472A2"/>
    <w:rsid w:val="00D47400"/>
    <w:rsid w:val="00D474B7"/>
    <w:rsid w:val="00D47611"/>
    <w:rsid w:val="00D4763D"/>
    <w:rsid w:val="00D47723"/>
    <w:rsid w:val="00D47828"/>
    <w:rsid w:val="00D479C5"/>
    <w:rsid w:val="00D47C15"/>
    <w:rsid w:val="00D47DE9"/>
    <w:rsid w:val="00D47E86"/>
    <w:rsid w:val="00D47EF4"/>
    <w:rsid w:val="00D47F80"/>
    <w:rsid w:val="00D47FDA"/>
    <w:rsid w:val="00D50047"/>
    <w:rsid w:val="00D50080"/>
    <w:rsid w:val="00D50108"/>
    <w:rsid w:val="00D503BC"/>
    <w:rsid w:val="00D50401"/>
    <w:rsid w:val="00D50490"/>
    <w:rsid w:val="00D50585"/>
    <w:rsid w:val="00D50647"/>
    <w:rsid w:val="00D506A8"/>
    <w:rsid w:val="00D507BA"/>
    <w:rsid w:val="00D5083E"/>
    <w:rsid w:val="00D508D5"/>
    <w:rsid w:val="00D5098E"/>
    <w:rsid w:val="00D509D9"/>
    <w:rsid w:val="00D50AA8"/>
    <w:rsid w:val="00D50B77"/>
    <w:rsid w:val="00D50B85"/>
    <w:rsid w:val="00D50BAE"/>
    <w:rsid w:val="00D50C25"/>
    <w:rsid w:val="00D50F63"/>
    <w:rsid w:val="00D51135"/>
    <w:rsid w:val="00D511A9"/>
    <w:rsid w:val="00D51298"/>
    <w:rsid w:val="00D51448"/>
    <w:rsid w:val="00D514CF"/>
    <w:rsid w:val="00D514F9"/>
    <w:rsid w:val="00D51615"/>
    <w:rsid w:val="00D51670"/>
    <w:rsid w:val="00D516CE"/>
    <w:rsid w:val="00D5178F"/>
    <w:rsid w:val="00D517CC"/>
    <w:rsid w:val="00D5189A"/>
    <w:rsid w:val="00D51B1F"/>
    <w:rsid w:val="00D51B73"/>
    <w:rsid w:val="00D51C33"/>
    <w:rsid w:val="00D51C3B"/>
    <w:rsid w:val="00D51C7E"/>
    <w:rsid w:val="00D51DBD"/>
    <w:rsid w:val="00D51E21"/>
    <w:rsid w:val="00D51E49"/>
    <w:rsid w:val="00D51E9C"/>
    <w:rsid w:val="00D51E9D"/>
    <w:rsid w:val="00D51F95"/>
    <w:rsid w:val="00D51FA1"/>
    <w:rsid w:val="00D51FF2"/>
    <w:rsid w:val="00D52041"/>
    <w:rsid w:val="00D5205D"/>
    <w:rsid w:val="00D52073"/>
    <w:rsid w:val="00D520AB"/>
    <w:rsid w:val="00D5224F"/>
    <w:rsid w:val="00D522FA"/>
    <w:rsid w:val="00D523C8"/>
    <w:rsid w:val="00D523FC"/>
    <w:rsid w:val="00D525B1"/>
    <w:rsid w:val="00D5264A"/>
    <w:rsid w:val="00D5267A"/>
    <w:rsid w:val="00D527ED"/>
    <w:rsid w:val="00D52876"/>
    <w:rsid w:val="00D529F2"/>
    <w:rsid w:val="00D52AC8"/>
    <w:rsid w:val="00D52AD9"/>
    <w:rsid w:val="00D52C72"/>
    <w:rsid w:val="00D52D6D"/>
    <w:rsid w:val="00D52D86"/>
    <w:rsid w:val="00D52EFC"/>
    <w:rsid w:val="00D53143"/>
    <w:rsid w:val="00D531AB"/>
    <w:rsid w:val="00D531DB"/>
    <w:rsid w:val="00D53250"/>
    <w:rsid w:val="00D532F0"/>
    <w:rsid w:val="00D53379"/>
    <w:rsid w:val="00D5339E"/>
    <w:rsid w:val="00D53450"/>
    <w:rsid w:val="00D5349B"/>
    <w:rsid w:val="00D534CD"/>
    <w:rsid w:val="00D5365B"/>
    <w:rsid w:val="00D53671"/>
    <w:rsid w:val="00D53699"/>
    <w:rsid w:val="00D53735"/>
    <w:rsid w:val="00D53859"/>
    <w:rsid w:val="00D53949"/>
    <w:rsid w:val="00D5394B"/>
    <w:rsid w:val="00D53967"/>
    <w:rsid w:val="00D539E4"/>
    <w:rsid w:val="00D53A01"/>
    <w:rsid w:val="00D53A91"/>
    <w:rsid w:val="00D53E10"/>
    <w:rsid w:val="00D53F88"/>
    <w:rsid w:val="00D53F9C"/>
    <w:rsid w:val="00D5406A"/>
    <w:rsid w:val="00D540FF"/>
    <w:rsid w:val="00D5411E"/>
    <w:rsid w:val="00D541B7"/>
    <w:rsid w:val="00D54251"/>
    <w:rsid w:val="00D542C2"/>
    <w:rsid w:val="00D5432C"/>
    <w:rsid w:val="00D54378"/>
    <w:rsid w:val="00D54471"/>
    <w:rsid w:val="00D54521"/>
    <w:rsid w:val="00D5481C"/>
    <w:rsid w:val="00D5484B"/>
    <w:rsid w:val="00D54856"/>
    <w:rsid w:val="00D54AC5"/>
    <w:rsid w:val="00D54C8B"/>
    <w:rsid w:val="00D54CB3"/>
    <w:rsid w:val="00D54E65"/>
    <w:rsid w:val="00D54EFC"/>
    <w:rsid w:val="00D55140"/>
    <w:rsid w:val="00D55275"/>
    <w:rsid w:val="00D55317"/>
    <w:rsid w:val="00D554EE"/>
    <w:rsid w:val="00D55582"/>
    <w:rsid w:val="00D5565B"/>
    <w:rsid w:val="00D556A7"/>
    <w:rsid w:val="00D557B0"/>
    <w:rsid w:val="00D55C10"/>
    <w:rsid w:val="00D55C82"/>
    <w:rsid w:val="00D55D4D"/>
    <w:rsid w:val="00D55E28"/>
    <w:rsid w:val="00D55E3E"/>
    <w:rsid w:val="00D55FB2"/>
    <w:rsid w:val="00D560A7"/>
    <w:rsid w:val="00D5616C"/>
    <w:rsid w:val="00D56283"/>
    <w:rsid w:val="00D56294"/>
    <w:rsid w:val="00D562D2"/>
    <w:rsid w:val="00D56392"/>
    <w:rsid w:val="00D5642E"/>
    <w:rsid w:val="00D56621"/>
    <w:rsid w:val="00D566CF"/>
    <w:rsid w:val="00D566D4"/>
    <w:rsid w:val="00D566D8"/>
    <w:rsid w:val="00D56715"/>
    <w:rsid w:val="00D56733"/>
    <w:rsid w:val="00D56779"/>
    <w:rsid w:val="00D5677C"/>
    <w:rsid w:val="00D567BA"/>
    <w:rsid w:val="00D567EF"/>
    <w:rsid w:val="00D56829"/>
    <w:rsid w:val="00D5683F"/>
    <w:rsid w:val="00D5689B"/>
    <w:rsid w:val="00D568C2"/>
    <w:rsid w:val="00D56ADF"/>
    <w:rsid w:val="00D56B3B"/>
    <w:rsid w:val="00D56B7D"/>
    <w:rsid w:val="00D56DF7"/>
    <w:rsid w:val="00D56F19"/>
    <w:rsid w:val="00D56F6F"/>
    <w:rsid w:val="00D5709E"/>
    <w:rsid w:val="00D570B9"/>
    <w:rsid w:val="00D57134"/>
    <w:rsid w:val="00D57173"/>
    <w:rsid w:val="00D57182"/>
    <w:rsid w:val="00D571A6"/>
    <w:rsid w:val="00D571DA"/>
    <w:rsid w:val="00D57233"/>
    <w:rsid w:val="00D572B8"/>
    <w:rsid w:val="00D572E2"/>
    <w:rsid w:val="00D57326"/>
    <w:rsid w:val="00D573F0"/>
    <w:rsid w:val="00D5740A"/>
    <w:rsid w:val="00D57442"/>
    <w:rsid w:val="00D57541"/>
    <w:rsid w:val="00D57555"/>
    <w:rsid w:val="00D576B8"/>
    <w:rsid w:val="00D5776C"/>
    <w:rsid w:val="00D57976"/>
    <w:rsid w:val="00D57A63"/>
    <w:rsid w:val="00D57AA7"/>
    <w:rsid w:val="00D57B0B"/>
    <w:rsid w:val="00D57B9E"/>
    <w:rsid w:val="00D57D3B"/>
    <w:rsid w:val="00D57D45"/>
    <w:rsid w:val="00D57D46"/>
    <w:rsid w:val="00D57EA3"/>
    <w:rsid w:val="00D57EE3"/>
    <w:rsid w:val="00D57F8B"/>
    <w:rsid w:val="00D60171"/>
    <w:rsid w:val="00D60210"/>
    <w:rsid w:val="00D60225"/>
    <w:rsid w:val="00D60355"/>
    <w:rsid w:val="00D6039B"/>
    <w:rsid w:val="00D6040C"/>
    <w:rsid w:val="00D6055A"/>
    <w:rsid w:val="00D60600"/>
    <w:rsid w:val="00D6062A"/>
    <w:rsid w:val="00D607A1"/>
    <w:rsid w:val="00D60850"/>
    <w:rsid w:val="00D608DC"/>
    <w:rsid w:val="00D609E3"/>
    <w:rsid w:val="00D60D93"/>
    <w:rsid w:val="00D60DC4"/>
    <w:rsid w:val="00D60DE7"/>
    <w:rsid w:val="00D60DFC"/>
    <w:rsid w:val="00D60EAE"/>
    <w:rsid w:val="00D60EFF"/>
    <w:rsid w:val="00D60F01"/>
    <w:rsid w:val="00D61019"/>
    <w:rsid w:val="00D61085"/>
    <w:rsid w:val="00D6108D"/>
    <w:rsid w:val="00D611A7"/>
    <w:rsid w:val="00D611F4"/>
    <w:rsid w:val="00D6120A"/>
    <w:rsid w:val="00D612D7"/>
    <w:rsid w:val="00D612D9"/>
    <w:rsid w:val="00D6134C"/>
    <w:rsid w:val="00D613A0"/>
    <w:rsid w:val="00D61404"/>
    <w:rsid w:val="00D6145D"/>
    <w:rsid w:val="00D61782"/>
    <w:rsid w:val="00D618B7"/>
    <w:rsid w:val="00D61921"/>
    <w:rsid w:val="00D61AA5"/>
    <w:rsid w:val="00D61B3A"/>
    <w:rsid w:val="00D61B79"/>
    <w:rsid w:val="00D61BE9"/>
    <w:rsid w:val="00D61D9B"/>
    <w:rsid w:val="00D61DAF"/>
    <w:rsid w:val="00D61E4D"/>
    <w:rsid w:val="00D61E69"/>
    <w:rsid w:val="00D61F1C"/>
    <w:rsid w:val="00D61FB7"/>
    <w:rsid w:val="00D61FFB"/>
    <w:rsid w:val="00D6200C"/>
    <w:rsid w:val="00D62017"/>
    <w:rsid w:val="00D621CC"/>
    <w:rsid w:val="00D62215"/>
    <w:rsid w:val="00D625C0"/>
    <w:rsid w:val="00D62638"/>
    <w:rsid w:val="00D62684"/>
    <w:rsid w:val="00D626A9"/>
    <w:rsid w:val="00D626D4"/>
    <w:rsid w:val="00D62783"/>
    <w:rsid w:val="00D627C1"/>
    <w:rsid w:val="00D6291A"/>
    <w:rsid w:val="00D62956"/>
    <w:rsid w:val="00D62A47"/>
    <w:rsid w:val="00D62A9B"/>
    <w:rsid w:val="00D62B37"/>
    <w:rsid w:val="00D62B8A"/>
    <w:rsid w:val="00D62E74"/>
    <w:rsid w:val="00D630B4"/>
    <w:rsid w:val="00D63102"/>
    <w:rsid w:val="00D6313C"/>
    <w:rsid w:val="00D6314C"/>
    <w:rsid w:val="00D631B1"/>
    <w:rsid w:val="00D63277"/>
    <w:rsid w:val="00D6334F"/>
    <w:rsid w:val="00D63409"/>
    <w:rsid w:val="00D634A9"/>
    <w:rsid w:val="00D634AE"/>
    <w:rsid w:val="00D6350A"/>
    <w:rsid w:val="00D637F9"/>
    <w:rsid w:val="00D638A7"/>
    <w:rsid w:val="00D638F7"/>
    <w:rsid w:val="00D63906"/>
    <w:rsid w:val="00D639A8"/>
    <w:rsid w:val="00D639C9"/>
    <w:rsid w:val="00D639F1"/>
    <w:rsid w:val="00D63C2B"/>
    <w:rsid w:val="00D63C6D"/>
    <w:rsid w:val="00D63C73"/>
    <w:rsid w:val="00D63E51"/>
    <w:rsid w:val="00D63E7B"/>
    <w:rsid w:val="00D63F29"/>
    <w:rsid w:val="00D63F7D"/>
    <w:rsid w:val="00D6410F"/>
    <w:rsid w:val="00D64131"/>
    <w:rsid w:val="00D6421F"/>
    <w:rsid w:val="00D6439D"/>
    <w:rsid w:val="00D64426"/>
    <w:rsid w:val="00D644D6"/>
    <w:rsid w:val="00D64591"/>
    <w:rsid w:val="00D646BF"/>
    <w:rsid w:val="00D6472A"/>
    <w:rsid w:val="00D648B3"/>
    <w:rsid w:val="00D64A26"/>
    <w:rsid w:val="00D64A85"/>
    <w:rsid w:val="00D64ADC"/>
    <w:rsid w:val="00D64BB8"/>
    <w:rsid w:val="00D64BDA"/>
    <w:rsid w:val="00D64CC9"/>
    <w:rsid w:val="00D64CFD"/>
    <w:rsid w:val="00D64D4D"/>
    <w:rsid w:val="00D64D60"/>
    <w:rsid w:val="00D64D88"/>
    <w:rsid w:val="00D64DB0"/>
    <w:rsid w:val="00D64DD6"/>
    <w:rsid w:val="00D64E40"/>
    <w:rsid w:val="00D64EA3"/>
    <w:rsid w:val="00D6506C"/>
    <w:rsid w:val="00D650CD"/>
    <w:rsid w:val="00D650DC"/>
    <w:rsid w:val="00D651F8"/>
    <w:rsid w:val="00D6529C"/>
    <w:rsid w:val="00D652DE"/>
    <w:rsid w:val="00D652E7"/>
    <w:rsid w:val="00D653D2"/>
    <w:rsid w:val="00D65419"/>
    <w:rsid w:val="00D65508"/>
    <w:rsid w:val="00D6562F"/>
    <w:rsid w:val="00D658AF"/>
    <w:rsid w:val="00D658BC"/>
    <w:rsid w:val="00D658CF"/>
    <w:rsid w:val="00D6593D"/>
    <w:rsid w:val="00D659BA"/>
    <w:rsid w:val="00D65A0A"/>
    <w:rsid w:val="00D65A38"/>
    <w:rsid w:val="00D65B19"/>
    <w:rsid w:val="00D65BD4"/>
    <w:rsid w:val="00D65C0A"/>
    <w:rsid w:val="00D65D2F"/>
    <w:rsid w:val="00D65DAC"/>
    <w:rsid w:val="00D65EFB"/>
    <w:rsid w:val="00D65F23"/>
    <w:rsid w:val="00D65F2E"/>
    <w:rsid w:val="00D65F38"/>
    <w:rsid w:val="00D6600C"/>
    <w:rsid w:val="00D66114"/>
    <w:rsid w:val="00D66219"/>
    <w:rsid w:val="00D663DA"/>
    <w:rsid w:val="00D6645B"/>
    <w:rsid w:val="00D665F2"/>
    <w:rsid w:val="00D66828"/>
    <w:rsid w:val="00D66888"/>
    <w:rsid w:val="00D668A8"/>
    <w:rsid w:val="00D669E0"/>
    <w:rsid w:val="00D66A1E"/>
    <w:rsid w:val="00D66AD1"/>
    <w:rsid w:val="00D66C8D"/>
    <w:rsid w:val="00D66D12"/>
    <w:rsid w:val="00D66D48"/>
    <w:rsid w:val="00D67063"/>
    <w:rsid w:val="00D671DD"/>
    <w:rsid w:val="00D6727A"/>
    <w:rsid w:val="00D672A0"/>
    <w:rsid w:val="00D67333"/>
    <w:rsid w:val="00D67355"/>
    <w:rsid w:val="00D673CD"/>
    <w:rsid w:val="00D67579"/>
    <w:rsid w:val="00D67842"/>
    <w:rsid w:val="00D67907"/>
    <w:rsid w:val="00D679CC"/>
    <w:rsid w:val="00D67BCB"/>
    <w:rsid w:val="00D67C24"/>
    <w:rsid w:val="00D67CA5"/>
    <w:rsid w:val="00D67DA4"/>
    <w:rsid w:val="00D67E89"/>
    <w:rsid w:val="00D67F5F"/>
    <w:rsid w:val="00D682F3"/>
    <w:rsid w:val="00D70150"/>
    <w:rsid w:val="00D70220"/>
    <w:rsid w:val="00D70239"/>
    <w:rsid w:val="00D70245"/>
    <w:rsid w:val="00D702B8"/>
    <w:rsid w:val="00D7036D"/>
    <w:rsid w:val="00D70390"/>
    <w:rsid w:val="00D706C6"/>
    <w:rsid w:val="00D70996"/>
    <w:rsid w:val="00D70D49"/>
    <w:rsid w:val="00D70DB8"/>
    <w:rsid w:val="00D70E17"/>
    <w:rsid w:val="00D70EB4"/>
    <w:rsid w:val="00D70F44"/>
    <w:rsid w:val="00D7118E"/>
    <w:rsid w:val="00D712BD"/>
    <w:rsid w:val="00D713AF"/>
    <w:rsid w:val="00D713DE"/>
    <w:rsid w:val="00D713EE"/>
    <w:rsid w:val="00D71415"/>
    <w:rsid w:val="00D71416"/>
    <w:rsid w:val="00D71477"/>
    <w:rsid w:val="00D71552"/>
    <w:rsid w:val="00D71702"/>
    <w:rsid w:val="00D7172B"/>
    <w:rsid w:val="00D717AE"/>
    <w:rsid w:val="00D7182D"/>
    <w:rsid w:val="00D718AC"/>
    <w:rsid w:val="00D71945"/>
    <w:rsid w:val="00D7195F"/>
    <w:rsid w:val="00D71984"/>
    <w:rsid w:val="00D7198A"/>
    <w:rsid w:val="00D71B8B"/>
    <w:rsid w:val="00D71C54"/>
    <w:rsid w:val="00D71CF7"/>
    <w:rsid w:val="00D71D42"/>
    <w:rsid w:val="00D71D8B"/>
    <w:rsid w:val="00D71DC0"/>
    <w:rsid w:val="00D71DCC"/>
    <w:rsid w:val="00D71F22"/>
    <w:rsid w:val="00D71FA2"/>
    <w:rsid w:val="00D7227D"/>
    <w:rsid w:val="00D722F5"/>
    <w:rsid w:val="00D723D1"/>
    <w:rsid w:val="00D723E2"/>
    <w:rsid w:val="00D72428"/>
    <w:rsid w:val="00D72612"/>
    <w:rsid w:val="00D726B7"/>
    <w:rsid w:val="00D72733"/>
    <w:rsid w:val="00D72734"/>
    <w:rsid w:val="00D729B1"/>
    <w:rsid w:val="00D72D1B"/>
    <w:rsid w:val="00D72E27"/>
    <w:rsid w:val="00D7311B"/>
    <w:rsid w:val="00D7311D"/>
    <w:rsid w:val="00D73156"/>
    <w:rsid w:val="00D73281"/>
    <w:rsid w:val="00D7333D"/>
    <w:rsid w:val="00D73439"/>
    <w:rsid w:val="00D737F0"/>
    <w:rsid w:val="00D73823"/>
    <w:rsid w:val="00D73826"/>
    <w:rsid w:val="00D739A6"/>
    <w:rsid w:val="00D739BD"/>
    <w:rsid w:val="00D739C9"/>
    <w:rsid w:val="00D73A10"/>
    <w:rsid w:val="00D73B1B"/>
    <w:rsid w:val="00D73D68"/>
    <w:rsid w:val="00D73F51"/>
    <w:rsid w:val="00D73FD2"/>
    <w:rsid w:val="00D740BD"/>
    <w:rsid w:val="00D741B1"/>
    <w:rsid w:val="00D7420E"/>
    <w:rsid w:val="00D74214"/>
    <w:rsid w:val="00D74218"/>
    <w:rsid w:val="00D743BD"/>
    <w:rsid w:val="00D74444"/>
    <w:rsid w:val="00D745D1"/>
    <w:rsid w:val="00D74648"/>
    <w:rsid w:val="00D746A2"/>
    <w:rsid w:val="00D746C5"/>
    <w:rsid w:val="00D747E6"/>
    <w:rsid w:val="00D747F7"/>
    <w:rsid w:val="00D74838"/>
    <w:rsid w:val="00D7498B"/>
    <w:rsid w:val="00D74A06"/>
    <w:rsid w:val="00D74A5F"/>
    <w:rsid w:val="00D74A8B"/>
    <w:rsid w:val="00D74BD8"/>
    <w:rsid w:val="00D74C18"/>
    <w:rsid w:val="00D74C68"/>
    <w:rsid w:val="00D74CCC"/>
    <w:rsid w:val="00D74D55"/>
    <w:rsid w:val="00D74D59"/>
    <w:rsid w:val="00D74D77"/>
    <w:rsid w:val="00D74DB9"/>
    <w:rsid w:val="00D74DCA"/>
    <w:rsid w:val="00D74E33"/>
    <w:rsid w:val="00D74E7B"/>
    <w:rsid w:val="00D75029"/>
    <w:rsid w:val="00D75098"/>
    <w:rsid w:val="00D750DD"/>
    <w:rsid w:val="00D75105"/>
    <w:rsid w:val="00D75136"/>
    <w:rsid w:val="00D75202"/>
    <w:rsid w:val="00D75218"/>
    <w:rsid w:val="00D75224"/>
    <w:rsid w:val="00D7523F"/>
    <w:rsid w:val="00D7524E"/>
    <w:rsid w:val="00D7546F"/>
    <w:rsid w:val="00D7548A"/>
    <w:rsid w:val="00D754EA"/>
    <w:rsid w:val="00D7557F"/>
    <w:rsid w:val="00D7559E"/>
    <w:rsid w:val="00D7575C"/>
    <w:rsid w:val="00D75769"/>
    <w:rsid w:val="00D7588F"/>
    <w:rsid w:val="00D7589F"/>
    <w:rsid w:val="00D75A5F"/>
    <w:rsid w:val="00D75BDF"/>
    <w:rsid w:val="00D75C49"/>
    <w:rsid w:val="00D75C69"/>
    <w:rsid w:val="00D75CDD"/>
    <w:rsid w:val="00D75D5A"/>
    <w:rsid w:val="00D75D60"/>
    <w:rsid w:val="00D75D82"/>
    <w:rsid w:val="00D75E1F"/>
    <w:rsid w:val="00D75FF3"/>
    <w:rsid w:val="00D7631B"/>
    <w:rsid w:val="00D763BE"/>
    <w:rsid w:val="00D764CD"/>
    <w:rsid w:val="00D765E6"/>
    <w:rsid w:val="00D7674B"/>
    <w:rsid w:val="00D76787"/>
    <w:rsid w:val="00D76841"/>
    <w:rsid w:val="00D76898"/>
    <w:rsid w:val="00D768D5"/>
    <w:rsid w:val="00D7693F"/>
    <w:rsid w:val="00D76974"/>
    <w:rsid w:val="00D769D7"/>
    <w:rsid w:val="00D76C02"/>
    <w:rsid w:val="00D76DB7"/>
    <w:rsid w:val="00D76E05"/>
    <w:rsid w:val="00D76E60"/>
    <w:rsid w:val="00D76E75"/>
    <w:rsid w:val="00D76F52"/>
    <w:rsid w:val="00D77091"/>
    <w:rsid w:val="00D77140"/>
    <w:rsid w:val="00D773C1"/>
    <w:rsid w:val="00D773C4"/>
    <w:rsid w:val="00D77427"/>
    <w:rsid w:val="00D77596"/>
    <w:rsid w:val="00D7759E"/>
    <w:rsid w:val="00D77685"/>
    <w:rsid w:val="00D776BE"/>
    <w:rsid w:val="00D776D4"/>
    <w:rsid w:val="00D777B3"/>
    <w:rsid w:val="00D777B7"/>
    <w:rsid w:val="00D7788C"/>
    <w:rsid w:val="00D7795D"/>
    <w:rsid w:val="00D77A55"/>
    <w:rsid w:val="00D77BDC"/>
    <w:rsid w:val="00D80057"/>
    <w:rsid w:val="00D8005C"/>
    <w:rsid w:val="00D80111"/>
    <w:rsid w:val="00D802EA"/>
    <w:rsid w:val="00D80409"/>
    <w:rsid w:val="00D80584"/>
    <w:rsid w:val="00D80654"/>
    <w:rsid w:val="00D8079A"/>
    <w:rsid w:val="00D807A6"/>
    <w:rsid w:val="00D8081D"/>
    <w:rsid w:val="00D80915"/>
    <w:rsid w:val="00D809E4"/>
    <w:rsid w:val="00D80A54"/>
    <w:rsid w:val="00D80ACD"/>
    <w:rsid w:val="00D80C2E"/>
    <w:rsid w:val="00D80DF0"/>
    <w:rsid w:val="00D810C1"/>
    <w:rsid w:val="00D811EE"/>
    <w:rsid w:val="00D812BD"/>
    <w:rsid w:val="00D812FA"/>
    <w:rsid w:val="00D8134D"/>
    <w:rsid w:val="00D81470"/>
    <w:rsid w:val="00D81605"/>
    <w:rsid w:val="00D81625"/>
    <w:rsid w:val="00D816C4"/>
    <w:rsid w:val="00D816E6"/>
    <w:rsid w:val="00D81757"/>
    <w:rsid w:val="00D817F1"/>
    <w:rsid w:val="00D81A05"/>
    <w:rsid w:val="00D81A12"/>
    <w:rsid w:val="00D81D74"/>
    <w:rsid w:val="00D81DF1"/>
    <w:rsid w:val="00D8201A"/>
    <w:rsid w:val="00D82051"/>
    <w:rsid w:val="00D82082"/>
    <w:rsid w:val="00D820C3"/>
    <w:rsid w:val="00D82182"/>
    <w:rsid w:val="00D82208"/>
    <w:rsid w:val="00D82366"/>
    <w:rsid w:val="00D82487"/>
    <w:rsid w:val="00D8252D"/>
    <w:rsid w:val="00D825A3"/>
    <w:rsid w:val="00D82793"/>
    <w:rsid w:val="00D8291E"/>
    <w:rsid w:val="00D829AC"/>
    <w:rsid w:val="00D82A75"/>
    <w:rsid w:val="00D82B3C"/>
    <w:rsid w:val="00D82B72"/>
    <w:rsid w:val="00D82BAF"/>
    <w:rsid w:val="00D82C26"/>
    <w:rsid w:val="00D82C49"/>
    <w:rsid w:val="00D82CAC"/>
    <w:rsid w:val="00D82E02"/>
    <w:rsid w:val="00D82E33"/>
    <w:rsid w:val="00D82E69"/>
    <w:rsid w:val="00D82F02"/>
    <w:rsid w:val="00D82F3A"/>
    <w:rsid w:val="00D830D3"/>
    <w:rsid w:val="00D8334F"/>
    <w:rsid w:val="00D833C8"/>
    <w:rsid w:val="00D83440"/>
    <w:rsid w:val="00D835DB"/>
    <w:rsid w:val="00D83663"/>
    <w:rsid w:val="00D836C0"/>
    <w:rsid w:val="00D836C9"/>
    <w:rsid w:val="00D836D3"/>
    <w:rsid w:val="00D836F4"/>
    <w:rsid w:val="00D836FA"/>
    <w:rsid w:val="00D837BF"/>
    <w:rsid w:val="00D837E6"/>
    <w:rsid w:val="00D83844"/>
    <w:rsid w:val="00D838F3"/>
    <w:rsid w:val="00D83915"/>
    <w:rsid w:val="00D83952"/>
    <w:rsid w:val="00D83AC0"/>
    <w:rsid w:val="00D83C0A"/>
    <w:rsid w:val="00D83C89"/>
    <w:rsid w:val="00D83EA5"/>
    <w:rsid w:val="00D83EE0"/>
    <w:rsid w:val="00D84047"/>
    <w:rsid w:val="00D840B9"/>
    <w:rsid w:val="00D841B4"/>
    <w:rsid w:val="00D8428F"/>
    <w:rsid w:val="00D842A0"/>
    <w:rsid w:val="00D84318"/>
    <w:rsid w:val="00D84330"/>
    <w:rsid w:val="00D8433A"/>
    <w:rsid w:val="00D845AB"/>
    <w:rsid w:val="00D84781"/>
    <w:rsid w:val="00D84883"/>
    <w:rsid w:val="00D8492B"/>
    <w:rsid w:val="00D84969"/>
    <w:rsid w:val="00D849AE"/>
    <w:rsid w:val="00D84B08"/>
    <w:rsid w:val="00D84C3D"/>
    <w:rsid w:val="00D84DDE"/>
    <w:rsid w:val="00D84DF3"/>
    <w:rsid w:val="00D84E29"/>
    <w:rsid w:val="00D850AB"/>
    <w:rsid w:val="00D850B4"/>
    <w:rsid w:val="00D850E8"/>
    <w:rsid w:val="00D85174"/>
    <w:rsid w:val="00D851C0"/>
    <w:rsid w:val="00D851CB"/>
    <w:rsid w:val="00D851F6"/>
    <w:rsid w:val="00D85201"/>
    <w:rsid w:val="00D853BD"/>
    <w:rsid w:val="00D853D8"/>
    <w:rsid w:val="00D85445"/>
    <w:rsid w:val="00D8582A"/>
    <w:rsid w:val="00D858F0"/>
    <w:rsid w:val="00D85903"/>
    <w:rsid w:val="00D85B78"/>
    <w:rsid w:val="00D85C36"/>
    <w:rsid w:val="00D85D16"/>
    <w:rsid w:val="00D85D21"/>
    <w:rsid w:val="00D85E6F"/>
    <w:rsid w:val="00D85EA0"/>
    <w:rsid w:val="00D85EEE"/>
    <w:rsid w:val="00D86013"/>
    <w:rsid w:val="00D86083"/>
    <w:rsid w:val="00D86100"/>
    <w:rsid w:val="00D86125"/>
    <w:rsid w:val="00D8613F"/>
    <w:rsid w:val="00D8623B"/>
    <w:rsid w:val="00D863B7"/>
    <w:rsid w:val="00D863E9"/>
    <w:rsid w:val="00D8640F"/>
    <w:rsid w:val="00D864DA"/>
    <w:rsid w:val="00D86680"/>
    <w:rsid w:val="00D866FF"/>
    <w:rsid w:val="00D86716"/>
    <w:rsid w:val="00D86719"/>
    <w:rsid w:val="00D867F7"/>
    <w:rsid w:val="00D868C7"/>
    <w:rsid w:val="00D868CD"/>
    <w:rsid w:val="00D868D9"/>
    <w:rsid w:val="00D86AA6"/>
    <w:rsid w:val="00D86BC3"/>
    <w:rsid w:val="00D86C22"/>
    <w:rsid w:val="00D86CBD"/>
    <w:rsid w:val="00D86CE8"/>
    <w:rsid w:val="00D86E13"/>
    <w:rsid w:val="00D86EA7"/>
    <w:rsid w:val="00D86EB0"/>
    <w:rsid w:val="00D86EB6"/>
    <w:rsid w:val="00D86F13"/>
    <w:rsid w:val="00D87090"/>
    <w:rsid w:val="00D87174"/>
    <w:rsid w:val="00D87200"/>
    <w:rsid w:val="00D8732B"/>
    <w:rsid w:val="00D87519"/>
    <w:rsid w:val="00D875AE"/>
    <w:rsid w:val="00D87636"/>
    <w:rsid w:val="00D8765E"/>
    <w:rsid w:val="00D87714"/>
    <w:rsid w:val="00D877B8"/>
    <w:rsid w:val="00D87888"/>
    <w:rsid w:val="00D8788A"/>
    <w:rsid w:val="00D878D3"/>
    <w:rsid w:val="00D878E2"/>
    <w:rsid w:val="00D87909"/>
    <w:rsid w:val="00D87A1B"/>
    <w:rsid w:val="00D87A91"/>
    <w:rsid w:val="00D87AD7"/>
    <w:rsid w:val="00D87B33"/>
    <w:rsid w:val="00D87B98"/>
    <w:rsid w:val="00D87BC2"/>
    <w:rsid w:val="00D87CBD"/>
    <w:rsid w:val="00D87DEF"/>
    <w:rsid w:val="00D87E9A"/>
    <w:rsid w:val="00D9002F"/>
    <w:rsid w:val="00D90166"/>
    <w:rsid w:val="00D9018F"/>
    <w:rsid w:val="00D90195"/>
    <w:rsid w:val="00D9029E"/>
    <w:rsid w:val="00D904DE"/>
    <w:rsid w:val="00D90524"/>
    <w:rsid w:val="00D90548"/>
    <w:rsid w:val="00D905CD"/>
    <w:rsid w:val="00D9078E"/>
    <w:rsid w:val="00D907F0"/>
    <w:rsid w:val="00D90844"/>
    <w:rsid w:val="00D90847"/>
    <w:rsid w:val="00D9092F"/>
    <w:rsid w:val="00D909FE"/>
    <w:rsid w:val="00D90A13"/>
    <w:rsid w:val="00D90A6E"/>
    <w:rsid w:val="00D90A86"/>
    <w:rsid w:val="00D90B1F"/>
    <w:rsid w:val="00D90C0C"/>
    <w:rsid w:val="00D90C4A"/>
    <w:rsid w:val="00D90CC0"/>
    <w:rsid w:val="00D90CFD"/>
    <w:rsid w:val="00D90D92"/>
    <w:rsid w:val="00D90D9F"/>
    <w:rsid w:val="00D90DFB"/>
    <w:rsid w:val="00D90E0F"/>
    <w:rsid w:val="00D90F12"/>
    <w:rsid w:val="00D90F42"/>
    <w:rsid w:val="00D90FB5"/>
    <w:rsid w:val="00D912B0"/>
    <w:rsid w:val="00D91451"/>
    <w:rsid w:val="00D914F1"/>
    <w:rsid w:val="00D915F3"/>
    <w:rsid w:val="00D915F7"/>
    <w:rsid w:val="00D91623"/>
    <w:rsid w:val="00D9181C"/>
    <w:rsid w:val="00D918A9"/>
    <w:rsid w:val="00D91B73"/>
    <w:rsid w:val="00D91C84"/>
    <w:rsid w:val="00D91C8E"/>
    <w:rsid w:val="00D91CBD"/>
    <w:rsid w:val="00D91F8F"/>
    <w:rsid w:val="00D91FDE"/>
    <w:rsid w:val="00D92281"/>
    <w:rsid w:val="00D922A5"/>
    <w:rsid w:val="00D922C5"/>
    <w:rsid w:val="00D923B1"/>
    <w:rsid w:val="00D925CD"/>
    <w:rsid w:val="00D92711"/>
    <w:rsid w:val="00D92715"/>
    <w:rsid w:val="00D9286C"/>
    <w:rsid w:val="00D929B1"/>
    <w:rsid w:val="00D92A8C"/>
    <w:rsid w:val="00D92AA1"/>
    <w:rsid w:val="00D92CA4"/>
    <w:rsid w:val="00D92CCA"/>
    <w:rsid w:val="00D92EB5"/>
    <w:rsid w:val="00D92EF7"/>
    <w:rsid w:val="00D9312A"/>
    <w:rsid w:val="00D9317F"/>
    <w:rsid w:val="00D9321F"/>
    <w:rsid w:val="00D93301"/>
    <w:rsid w:val="00D934F7"/>
    <w:rsid w:val="00D93660"/>
    <w:rsid w:val="00D936DC"/>
    <w:rsid w:val="00D93781"/>
    <w:rsid w:val="00D93867"/>
    <w:rsid w:val="00D93989"/>
    <w:rsid w:val="00D93B76"/>
    <w:rsid w:val="00D93C30"/>
    <w:rsid w:val="00D93CB7"/>
    <w:rsid w:val="00D93D19"/>
    <w:rsid w:val="00D93DA7"/>
    <w:rsid w:val="00D93EBB"/>
    <w:rsid w:val="00D93FFA"/>
    <w:rsid w:val="00D9405C"/>
    <w:rsid w:val="00D940EA"/>
    <w:rsid w:val="00D941F7"/>
    <w:rsid w:val="00D94334"/>
    <w:rsid w:val="00D944F8"/>
    <w:rsid w:val="00D9453E"/>
    <w:rsid w:val="00D9457B"/>
    <w:rsid w:val="00D9461C"/>
    <w:rsid w:val="00D94762"/>
    <w:rsid w:val="00D94826"/>
    <w:rsid w:val="00D94A11"/>
    <w:rsid w:val="00D94A98"/>
    <w:rsid w:val="00D94B0B"/>
    <w:rsid w:val="00D94B74"/>
    <w:rsid w:val="00D94BAB"/>
    <w:rsid w:val="00D94BBD"/>
    <w:rsid w:val="00D94E25"/>
    <w:rsid w:val="00D94FE8"/>
    <w:rsid w:val="00D95009"/>
    <w:rsid w:val="00D9500A"/>
    <w:rsid w:val="00D95137"/>
    <w:rsid w:val="00D95282"/>
    <w:rsid w:val="00D952F9"/>
    <w:rsid w:val="00D9531A"/>
    <w:rsid w:val="00D956FA"/>
    <w:rsid w:val="00D9584C"/>
    <w:rsid w:val="00D95875"/>
    <w:rsid w:val="00D9594C"/>
    <w:rsid w:val="00D959A6"/>
    <w:rsid w:val="00D95A01"/>
    <w:rsid w:val="00D95A08"/>
    <w:rsid w:val="00D95B64"/>
    <w:rsid w:val="00D95C21"/>
    <w:rsid w:val="00D95D59"/>
    <w:rsid w:val="00D95D9C"/>
    <w:rsid w:val="00D95DCA"/>
    <w:rsid w:val="00D95FD6"/>
    <w:rsid w:val="00D95FE0"/>
    <w:rsid w:val="00D96118"/>
    <w:rsid w:val="00D9612C"/>
    <w:rsid w:val="00D96272"/>
    <w:rsid w:val="00D96277"/>
    <w:rsid w:val="00D96366"/>
    <w:rsid w:val="00D96409"/>
    <w:rsid w:val="00D96477"/>
    <w:rsid w:val="00D965D0"/>
    <w:rsid w:val="00D965EC"/>
    <w:rsid w:val="00D965F3"/>
    <w:rsid w:val="00D96680"/>
    <w:rsid w:val="00D967FE"/>
    <w:rsid w:val="00D96800"/>
    <w:rsid w:val="00D968D1"/>
    <w:rsid w:val="00D968E8"/>
    <w:rsid w:val="00D968F4"/>
    <w:rsid w:val="00D969F6"/>
    <w:rsid w:val="00D96BA7"/>
    <w:rsid w:val="00D96C0F"/>
    <w:rsid w:val="00D96CE3"/>
    <w:rsid w:val="00D96D9B"/>
    <w:rsid w:val="00D96E5E"/>
    <w:rsid w:val="00D96F6B"/>
    <w:rsid w:val="00D97339"/>
    <w:rsid w:val="00D9733E"/>
    <w:rsid w:val="00D973EA"/>
    <w:rsid w:val="00D974BA"/>
    <w:rsid w:val="00D9750D"/>
    <w:rsid w:val="00D97531"/>
    <w:rsid w:val="00D97562"/>
    <w:rsid w:val="00D97579"/>
    <w:rsid w:val="00D9758C"/>
    <w:rsid w:val="00D975B4"/>
    <w:rsid w:val="00D975EC"/>
    <w:rsid w:val="00D976E0"/>
    <w:rsid w:val="00D977A3"/>
    <w:rsid w:val="00D978A1"/>
    <w:rsid w:val="00D9796E"/>
    <w:rsid w:val="00D9797B"/>
    <w:rsid w:val="00D97C56"/>
    <w:rsid w:val="00D97DBC"/>
    <w:rsid w:val="00DA0053"/>
    <w:rsid w:val="00DA006F"/>
    <w:rsid w:val="00DA0134"/>
    <w:rsid w:val="00DA029F"/>
    <w:rsid w:val="00DA02CE"/>
    <w:rsid w:val="00DA031B"/>
    <w:rsid w:val="00DA0320"/>
    <w:rsid w:val="00DA038E"/>
    <w:rsid w:val="00DA04A7"/>
    <w:rsid w:val="00DA0516"/>
    <w:rsid w:val="00DA05A9"/>
    <w:rsid w:val="00DA05D2"/>
    <w:rsid w:val="00DA076F"/>
    <w:rsid w:val="00DA097D"/>
    <w:rsid w:val="00DA09C8"/>
    <w:rsid w:val="00DA0B18"/>
    <w:rsid w:val="00DA0BC8"/>
    <w:rsid w:val="00DA0ED2"/>
    <w:rsid w:val="00DA0F3A"/>
    <w:rsid w:val="00DA0FC5"/>
    <w:rsid w:val="00DA0FEE"/>
    <w:rsid w:val="00DA1030"/>
    <w:rsid w:val="00DA105E"/>
    <w:rsid w:val="00DA11A5"/>
    <w:rsid w:val="00DA122E"/>
    <w:rsid w:val="00DA131D"/>
    <w:rsid w:val="00DA13C7"/>
    <w:rsid w:val="00DA13C8"/>
    <w:rsid w:val="00DA1429"/>
    <w:rsid w:val="00DA1436"/>
    <w:rsid w:val="00DA15F1"/>
    <w:rsid w:val="00DA1664"/>
    <w:rsid w:val="00DA1768"/>
    <w:rsid w:val="00DA1965"/>
    <w:rsid w:val="00DA19BB"/>
    <w:rsid w:val="00DA19FD"/>
    <w:rsid w:val="00DA1AF4"/>
    <w:rsid w:val="00DA1BCB"/>
    <w:rsid w:val="00DA1CE1"/>
    <w:rsid w:val="00DA1F9E"/>
    <w:rsid w:val="00DA1FC9"/>
    <w:rsid w:val="00DA20C8"/>
    <w:rsid w:val="00DA20E1"/>
    <w:rsid w:val="00DA217E"/>
    <w:rsid w:val="00DA225C"/>
    <w:rsid w:val="00DA2268"/>
    <w:rsid w:val="00DA231C"/>
    <w:rsid w:val="00DA235D"/>
    <w:rsid w:val="00DA252E"/>
    <w:rsid w:val="00DA2571"/>
    <w:rsid w:val="00DA2657"/>
    <w:rsid w:val="00DA270E"/>
    <w:rsid w:val="00DA2734"/>
    <w:rsid w:val="00DA28E1"/>
    <w:rsid w:val="00DA295E"/>
    <w:rsid w:val="00DA2A04"/>
    <w:rsid w:val="00DA2A65"/>
    <w:rsid w:val="00DA2AAD"/>
    <w:rsid w:val="00DA2B65"/>
    <w:rsid w:val="00DA2B9E"/>
    <w:rsid w:val="00DA2CA6"/>
    <w:rsid w:val="00DA2DB6"/>
    <w:rsid w:val="00DA2F7E"/>
    <w:rsid w:val="00DA2F9D"/>
    <w:rsid w:val="00DA3076"/>
    <w:rsid w:val="00DA310D"/>
    <w:rsid w:val="00DA3122"/>
    <w:rsid w:val="00DA3156"/>
    <w:rsid w:val="00DA3190"/>
    <w:rsid w:val="00DA3265"/>
    <w:rsid w:val="00DA344E"/>
    <w:rsid w:val="00DA3522"/>
    <w:rsid w:val="00DA3582"/>
    <w:rsid w:val="00DA36AA"/>
    <w:rsid w:val="00DA380A"/>
    <w:rsid w:val="00DA38CC"/>
    <w:rsid w:val="00DA3941"/>
    <w:rsid w:val="00DA3A17"/>
    <w:rsid w:val="00DA3B96"/>
    <w:rsid w:val="00DA3E36"/>
    <w:rsid w:val="00DA3E74"/>
    <w:rsid w:val="00DA3F5F"/>
    <w:rsid w:val="00DA3F8B"/>
    <w:rsid w:val="00DA3FB1"/>
    <w:rsid w:val="00DA422D"/>
    <w:rsid w:val="00DA42C6"/>
    <w:rsid w:val="00DA43E2"/>
    <w:rsid w:val="00DA4447"/>
    <w:rsid w:val="00DA44CE"/>
    <w:rsid w:val="00DA4509"/>
    <w:rsid w:val="00DA458F"/>
    <w:rsid w:val="00DA4630"/>
    <w:rsid w:val="00DA4713"/>
    <w:rsid w:val="00DA4776"/>
    <w:rsid w:val="00DA47BA"/>
    <w:rsid w:val="00DA4877"/>
    <w:rsid w:val="00DA495C"/>
    <w:rsid w:val="00DA498C"/>
    <w:rsid w:val="00DA49E2"/>
    <w:rsid w:val="00DA4ACA"/>
    <w:rsid w:val="00DA4AE6"/>
    <w:rsid w:val="00DA4B10"/>
    <w:rsid w:val="00DA4B3B"/>
    <w:rsid w:val="00DA4B69"/>
    <w:rsid w:val="00DA4E2C"/>
    <w:rsid w:val="00DA4E4A"/>
    <w:rsid w:val="00DA50A7"/>
    <w:rsid w:val="00DA5173"/>
    <w:rsid w:val="00DA5243"/>
    <w:rsid w:val="00DA5245"/>
    <w:rsid w:val="00DA52AF"/>
    <w:rsid w:val="00DA52F5"/>
    <w:rsid w:val="00DA5342"/>
    <w:rsid w:val="00DA5359"/>
    <w:rsid w:val="00DA54A9"/>
    <w:rsid w:val="00DA54B3"/>
    <w:rsid w:val="00DA5565"/>
    <w:rsid w:val="00DA558B"/>
    <w:rsid w:val="00DA5670"/>
    <w:rsid w:val="00DA5727"/>
    <w:rsid w:val="00DA5745"/>
    <w:rsid w:val="00DA5773"/>
    <w:rsid w:val="00DA5858"/>
    <w:rsid w:val="00DA58F5"/>
    <w:rsid w:val="00DA58F7"/>
    <w:rsid w:val="00DA5A20"/>
    <w:rsid w:val="00DA5A73"/>
    <w:rsid w:val="00DA5B8F"/>
    <w:rsid w:val="00DA5BB8"/>
    <w:rsid w:val="00DA5C3D"/>
    <w:rsid w:val="00DA5C7A"/>
    <w:rsid w:val="00DA5CDF"/>
    <w:rsid w:val="00DA5D11"/>
    <w:rsid w:val="00DA5DD9"/>
    <w:rsid w:val="00DA5E1C"/>
    <w:rsid w:val="00DA5FBF"/>
    <w:rsid w:val="00DA604A"/>
    <w:rsid w:val="00DA6119"/>
    <w:rsid w:val="00DA615F"/>
    <w:rsid w:val="00DA617C"/>
    <w:rsid w:val="00DA61D6"/>
    <w:rsid w:val="00DA631C"/>
    <w:rsid w:val="00DA6388"/>
    <w:rsid w:val="00DA6391"/>
    <w:rsid w:val="00DA63BB"/>
    <w:rsid w:val="00DA6479"/>
    <w:rsid w:val="00DA64A6"/>
    <w:rsid w:val="00DA652E"/>
    <w:rsid w:val="00DA65D9"/>
    <w:rsid w:val="00DA6627"/>
    <w:rsid w:val="00DA66A7"/>
    <w:rsid w:val="00DA66B8"/>
    <w:rsid w:val="00DA66BD"/>
    <w:rsid w:val="00DA67CD"/>
    <w:rsid w:val="00DA6856"/>
    <w:rsid w:val="00DA6A16"/>
    <w:rsid w:val="00DA6C3B"/>
    <w:rsid w:val="00DA6ECD"/>
    <w:rsid w:val="00DA6FDC"/>
    <w:rsid w:val="00DA7089"/>
    <w:rsid w:val="00DA713E"/>
    <w:rsid w:val="00DA715C"/>
    <w:rsid w:val="00DA73AA"/>
    <w:rsid w:val="00DA7588"/>
    <w:rsid w:val="00DA75D8"/>
    <w:rsid w:val="00DA7663"/>
    <w:rsid w:val="00DA77F3"/>
    <w:rsid w:val="00DA7813"/>
    <w:rsid w:val="00DA7837"/>
    <w:rsid w:val="00DA7843"/>
    <w:rsid w:val="00DA788E"/>
    <w:rsid w:val="00DA7890"/>
    <w:rsid w:val="00DA7952"/>
    <w:rsid w:val="00DA795E"/>
    <w:rsid w:val="00DA79FB"/>
    <w:rsid w:val="00DA7A52"/>
    <w:rsid w:val="00DA7A7B"/>
    <w:rsid w:val="00DA7AC8"/>
    <w:rsid w:val="00DA7BB8"/>
    <w:rsid w:val="00DA7E4B"/>
    <w:rsid w:val="00DA7E78"/>
    <w:rsid w:val="00DB002F"/>
    <w:rsid w:val="00DB008B"/>
    <w:rsid w:val="00DB00C0"/>
    <w:rsid w:val="00DB00C7"/>
    <w:rsid w:val="00DB0192"/>
    <w:rsid w:val="00DB02BA"/>
    <w:rsid w:val="00DB03BB"/>
    <w:rsid w:val="00DB04DF"/>
    <w:rsid w:val="00DB0552"/>
    <w:rsid w:val="00DB062C"/>
    <w:rsid w:val="00DB06D9"/>
    <w:rsid w:val="00DB08EE"/>
    <w:rsid w:val="00DB0B79"/>
    <w:rsid w:val="00DB0C2A"/>
    <w:rsid w:val="00DB0C89"/>
    <w:rsid w:val="00DB0DB7"/>
    <w:rsid w:val="00DB0E66"/>
    <w:rsid w:val="00DB0FB9"/>
    <w:rsid w:val="00DB12F9"/>
    <w:rsid w:val="00DB1359"/>
    <w:rsid w:val="00DB1471"/>
    <w:rsid w:val="00DB1671"/>
    <w:rsid w:val="00DB187E"/>
    <w:rsid w:val="00DB19A9"/>
    <w:rsid w:val="00DB19AE"/>
    <w:rsid w:val="00DB1B3E"/>
    <w:rsid w:val="00DB1B5C"/>
    <w:rsid w:val="00DB1C13"/>
    <w:rsid w:val="00DB1C7C"/>
    <w:rsid w:val="00DB1D0E"/>
    <w:rsid w:val="00DB1E32"/>
    <w:rsid w:val="00DB1E48"/>
    <w:rsid w:val="00DB1FA0"/>
    <w:rsid w:val="00DB20DF"/>
    <w:rsid w:val="00DB211D"/>
    <w:rsid w:val="00DB2122"/>
    <w:rsid w:val="00DB2141"/>
    <w:rsid w:val="00DB215B"/>
    <w:rsid w:val="00DB2217"/>
    <w:rsid w:val="00DB236A"/>
    <w:rsid w:val="00DB258B"/>
    <w:rsid w:val="00DB25AA"/>
    <w:rsid w:val="00DB26D0"/>
    <w:rsid w:val="00DB274C"/>
    <w:rsid w:val="00DB2762"/>
    <w:rsid w:val="00DB2821"/>
    <w:rsid w:val="00DB282B"/>
    <w:rsid w:val="00DB2868"/>
    <w:rsid w:val="00DB28F4"/>
    <w:rsid w:val="00DB2902"/>
    <w:rsid w:val="00DB2996"/>
    <w:rsid w:val="00DB2ACB"/>
    <w:rsid w:val="00DB2B07"/>
    <w:rsid w:val="00DB2B40"/>
    <w:rsid w:val="00DB2B70"/>
    <w:rsid w:val="00DB2B95"/>
    <w:rsid w:val="00DB2BA8"/>
    <w:rsid w:val="00DB2C45"/>
    <w:rsid w:val="00DB2D45"/>
    <w:rsid w:val="00DB2D92"/>
    <w:rsid w:val="00DB2D9B"/>
    <w:rsid w:val="00DB2E1B"/>
    <w:rsid w:val="00DB30EB"/>
    <w:rsid w:val="00DB30F2"/>
    <w:rsid w:val="00DB313C"/>
    <w:rsid w:val="00DB3280"/>
    <w:rsid w:val="00DB33DB"/>
    <w:rsid w:val="00DB33E2"/>
    <w:rsid w:val="00DB3431"/>
    <w:rsid w:val="00DB3585"/>
    <w:rsid w:val="00DB35D5"/>
    <w:rsid w:val="00DB35DB"/>
    <w:rsid w:val="00DB3609"/>
    <w:rsid w:val="00DB362B"/>
    <w:rsid w:val="00DB37BD"/>
    <w:rsid w:val="00DB387E"/>
    <w:rsid w:val="00DB39DC"/>
    <w:rsid w:val="00DB3DC5"/>
    <w:rsid w:val="00DB3DFB"/>
    <w:rsid w:val="00DB3E0E"/>
    <w:rsid w:val="00DB3E15"/>
    <w:rsid w:val="00DB3EE7"/>
    <w:rsid w:val="00DB3F3D"/>
    <w:rsid w:val="00DB3FE4"/>
    <w:rsid w:val="00DB3FEE"/>
    <w:rsid w:val="00DB4064"/>
    <w:rsid w:val="00DB4149"/>
    <w:rsid w:val="00DB41C5"/>
    <w:rsid w:val="00DB43C5"/>
    <w:rsid w:val="00DB4448"/>
    <w:rsid w:val="00DB4470"/>
    <w:rsid w:val="00DB447F"/>
    <w:rsid w:val="00DB44B1"/>
    <w:rsid w:val="00DB462E"/>
    <w:rsid w:val="00DB4808"/>
    <w:rsid w:val="00DB49BA"/>
    <w:rsid w:val="00DB4A41"/>
    <w:rsid w:val="00DB4B6F"/>
    <w:rsid w:val="00DB4BB1"/>
    <w:rsid w:val="00DB4BC5"/>
    <w:rsid w:val="00DB4DC2"/>
    <w:rsid w:val="00DB4E56"/>
    <w:rsid w:val="00DB4FC4"/>
    <w:rsid w:val="00DB5050"/>
    <w:rsid w:val="00DB51A0"/>
    <w:rsid w:val="00DB5264"/>
    <w:rsid w:val="00DB52F7"/>
    <w:rsid w:val="00DB549C"/>
    <w:rsid w:val="00DB54E8"/>
    <w:rsid w:val="00DB550B"/>
    <w:rsid w:val="00DB5510"/>
    <w:rsid w:val="00DB590D"/>
    <w:rsid w:val="00DB5925"/>
    <w:rsid w:val="00DB5A08"/>
    <w:rsid w:val="00DB5BE6"/>
    <w:rsid w:val="00DB5CE6"/>
    <w:rsid w:val="00DB5EC5"/>
    <w:rsid w:val="00DB5F9A"/>
    <w:rsid w:val="00DB5FD4"/>
    <w:rsid w:val="00DB5FFA"/>
    <w:rsid w:val="00DB603C"/>
    <w:rsid w:val="00DB6087"/>
    <w:rsid w:val="00DB62EB"/>
    <w:rsid w:val="00DB638A"/>
    <w:rsid w:val="00DB63DF"/>
    <w:rsid w:val="00DB63F2"/>
    <w:rsid w:val="00DB641B"/>
    <w:rsid w:val="00DB6457"/>
    <w:rsid w:val="00DB64E3"/>
    <w:rsid w:val="00DB64E4"/>
    <w:rsid w:val="00DB6738"/>
    <w:rsid w:val="00DB682D"/>
    <w:rsid w:val="00DB68A3"/>
    <w:rsid w:val="00DB6903"/>
    <w:rsid w:val="00DB6942"/>
    <w:rsid w:val="00DB69FE"/>
    <w:rsid w:val="00DB6BFB"/>
    <w:rsid w:val="00DB6C60"/>
    <w:rsid w:val="00DB6C90"/>
    <w:rsid w:val="00DB6CCF"/>
    <w:rsid w:val="00DB6D18"/>
    <w:rsid w:val="00DB6D6F"/>
    <w:rsid w:val="00DB6F28"/>
    <w:rsid w:val="00DB6F92"/>
    <w:rsid w:val="00DB6FA7"/>
    <w:rsid w:val="00DB6FB7"/>
    <w:rsid w:val="00DB6FB8"/>
    <w:rsid w:val="00DB726B"/>
    <w:rsid w:val="00DB729D"/>
    <w:rsid w:val="00DB72F0"/>
    <w:rsid w:val="00DB745E"/>
    <w:rsid w:val="00DB7487"/>
    <w:rsid w:val="00DB7520"/>
    <w:rsid w:val="00DB75CE"/>
    <w:rsid w:val="00DB7604"/>
    <w:rsid w:val="00DB761E"/>
    <w:rsid w:val="00DB7638"/>
    <w:rsid w:val="00DB7677"/>
    <w:rsid w:val="00DB768A"/>
    <w:rsid w:val="00DB76CD"/>
    <w:rsid w:val="00DB76DD"/>
    <w:rsid w:val="00DB7739"/>
    <w:rsid w:val="00DB77DA"/>
    <w:rsid w:val="00DB7C33"/>
    <w:rsid w:val="00DB7C4E"/>
    <w:rsid w:val="00DB7C54"/>
    <w:rsid w:val="00DB7CF2"/>
    <w:rsid w:val="00DB7D2D"/>
    <w:rsid w:val="00DB7D81"/>
    <w:rsid w:val="00DB7E39"/>
    <w:rsid w:val="00DB7FCF"/>
    <w:rsid w:val="00DC008C"/>
    <w:rsid w:val="00DC00C5"/>
    <w:rsid w:val="00DC0121"/>
    <w:rsid w:val="00DC0423"/>
    <w:rsid w:val="00DC04EA"/>
    <w:rsid w:val="00DC04FB"/>
    <w:rsid w:val="00DC050A"/>
    <w:rsid w:val="00DC05B3"/>
    <w:rsid w:val="00DC0637"/>
    <w:rsid w:val="00DC0652"/>
    <w:rsid w:val="00DC065A"/>
    <w:rsid w:val="00DC066D"/>
    <w:rsid w:val="00DC0675"/>
    <w:rsid w:val="00DC0680"/>
    <w:rsid w:val="00DC0710"/>
    <w:rsid w:val="00DC08E1"/>
    <w:rsid w:val="00DC0936"/>
    <w:rsid w:val="00DC09B5"/>
    <w:rsid w:val="00DC0AD5"/>
    <w:rsid w:val="00DC0B48"/>
    <w:rsid w:val="00DC0BF1"/>
    <w:rsid w:val="00DC0C33"/>
    <w:rsid w:val="00DC0C6F"/>
    <w:rsid w:val="00DC0C8C"/>
    <w:rsid w:val="00DC0CBA"/>
    <w:rsid w:val="00DC0D2A"/>
    <w:rsid w:val="00DC0D88"/>
    <w:rsid w:val="00DC0E4E"/>
    <w:rsid w:val="00DC1043"/>
    <w:rsid w:val="00DC105D"/>
    <w:rsid w:val="00DC112B"/>
    <w:rsid w:val="00DC11D2"/>
    <w:rsid w:val="00DC127A"/>
    <w:rsid w:val="00DC12C5"/>
    <w:rsid w:val="00DC145A"/>
    <w:rsid w:val="00DC14F3"/>
    <w:rsid w:val="00DC1513"/>
    <w:rsid w:val="00DC1758"/>
    <w:rsid w:val="00DC1826"/>
    <w:rsid w:val="00DC18C8"/>
    <w:rsid w:val="00DC197A"/>
    <w:rsid w:val="00DC1986"/>
    <w:rsid w:val="00DC19B9"/>
    <w:rsid w:val="00DC1A3B"/>
    <w:rsid w:val="00DC1A71"/>
    <w:rsid w:val="00DC1E94"/>
    <w:rsid w:val="00DC1F03"/>
    <w:rsid w:val="00DC202A"/>
    <w:rsid w:val="00DC203B"/>
    <w:rsid w:val="00DC2047"/>
    <w:rsid w:val="00DC20B7"/>
    <w:rsid w:val="00DC2149"/>
    <w:rsid w:val="00DC21DF"/>
    <w:rsid w:val="00DC2353"/>
    <w:rsid w:val="00DC23BC"/>
    <w:rsid w:val="00DC23C3"/>
    <w:rsid w:val="00DC2541"/>
    <w:rsid w:val="00DC2669"/>
    <w:rsid w:val="00DC26A9"/>
    <w:rsid w:val="00DC27DD"/>
    <w:rsid w:val="00DC2810"/>
    <w:rsid w:val="00DC288F"/>
    <w:rsid w:val="00DC295C"/>
    <w:rsid w:val="00DC2971"/>
    <w:rsid w:val="00DC2988"/>
    <w:rsid w:val="00DC29AC"/>
    <w:rsid w:val="00DC2A24"/>
    <w:rsid w:val="00DC2A26"/>
    <w:rsid w:val="00DC2A90"/>
    <w:rsid w:val="00DC2B91"/>
    <w:rsid w:val="00DC2B94"/>
    <w:rsid w:val="00DC2BAA"/>
    <w:rsid w:val="00DC2CA6"/>
    <w:rsid w:val="00DC2DCB"/>
    <w:rsid w:val="00DC2E01"/>
    <w:rsid w:val="00DC2E9A"/>
    <w:rsid w:val="00DC2F1F"/>
    <w:rsid w:val="00DC2F2F"/>
    <w:rsid w:val="00DC2F5E"/>
    <w:rsid w:val="00DC313E"/>
    <w:rsid w:val="00DC31F1"/>
    <w:rsid w:val="00DC31F3"/>
    <w:rsid w:val="00DC31FA"/>
    <w:rsid w:val="00DC3343"/>
    <w:rsid w:val="00DC347A"/>
    <w:rsid w:val="00DC349E"/>
    <w:rsid w:val="00DC34C2"/>
    <w:rsid w:val="00DC3577"/>
    <w:rsid w:val="00DC35A5"/>
    <w:rsid w:val="00DC35C0"/>
    <w:rsid w:val="00DC35C1"/>
    <w:rsid w:val="00DC36D5"/>
    <w:rsid w:val="00DC3771"/>
    <w:rsid w:val="00DC384C"/>
    <w:rsid w:val="00DC3861"/>
    <w:rsid w:val="00DC392D"/>
    <w:rsid w:val="00DC3ADE"/>
    <w:rsid w:val="00DC3B3E"/>
    <w:rsid w:val="00DC3B74"/>
    <w:rsid w:val="00DC3B87"/>
    <w:rsid w:val="00DC3BF0"/>
    <w:rsid w:val="00DC3CEE"/>
    <w:rsid w:val="00DC3CF6"/>
    <w:rsid w:val="00DC3DAF"/>
    <w:rsid w:val="00DC3F74"/>
    <w:rsid w:val="00DC42D7"/>
    <w:rsid w:val="00DC42D8"/>
    <w:rsid w:val="00DC43B8"/>
    <w:rsid w:val="00DC4403"/>
    <w:rsid w:val="00DC4442"/>
    <w:rsid w:val="00DC4451"/>
    <w:rsid w:val="00DC451B"/>
    <w:rsid w:val="00DC4578"/>
    <w:rsid w:val="00DC457B"/>
    <w:rsid w:val="00DC4682"/>
    <w:rsid w:val="00DC46DD"/>
    <w:rsid w:val="00DC48BC"/>
    <w:rsid w:val="00DC49EF"/>
    <w:rsid w:val="00DC4A12"/>
    <w:rsid w:val="00DC4A78"/>
    <w:rsid w:val="00DC4AF0"/>
    <w:rsid w:val="00DC4BCE"/>
    <w:rsid w:val="00DC4CE5"/>
    <w:rsid w:val="00DC4D21"/>
    <w:rsid w:val="00DC4D9B"/>
    <w:rsid w:val="00DC4E48"/>
    <w:rsid w:val="00DC4EFA"/>
    <w:rsid w:val="00DC500A"/>
    <w:rsid w:val="00DC5057"/>
    <w:rsid w:val="00DC511A"/>
    <w:rsid w:val="00DC523B"/>
    <w:rsid w:val="00DC541E"/>
    <w:rsid w:val="00DC54F9"/>
    <w:rsid w:val="00DC5760"/>
    <w:rsid w:val="00DC5A4B"/>
    <w:rsid w:val="00DC5A80"/>
    <w:rsid w:val="00DC5BBC"/>
    <w:rsid w:val="00DC5BEC"/>
    <w:rsid w:val="00DC5C69"/>
    <w:rsid w:val="00DC5CE1"/>
    <w:rsid w:val="00DC5D5E"/>
    <w:rsid w:val="00DC5D70"/>
    <w:rsid w:val="00DC5E54"/>
    <w:rsid w:val="00DC5E98"/>
    <w:rsid w:val="00DC602D"/>
    <w:rsid w:val="00DC60DF"/>
    <w:rsid w:val="00DC6102"/>
    <w:rsid w:val="00DC6195"/>
    <w:rsid w:val="00DC627E"/>
    <w:rsid w:val="00DC6303"/>
    <w:rsid w:val="00DC632E"/>
    <w:rsid w:val="00DC63B3"/>
    <w:rsid w:val="00DC6424"/>
    <w:rsid w:val="00DC6441"/>
    <w:rsid w:val="00DC6592"/>
    <w:rsid w:val="00DC6688"/>
    <w:rsid w:val="00DC6720"/>
    <w:rsid w:val="00DC67AD"/>
    <w:rsid w:val="00DC67DD"/>
    <w:rsid w:val="00DC68FA"/>
    <w:rsid w:val="00DC691F"/>
    <w:rsid w:val="00DC697E"/>
    <w:rsid w:val="00DC69FB"/>
    <w:rsid w:val="00DC6A03"/>
    <w:rsid w:val="00DC6AED"/>
    <w:rsid w:val="00DC6BC1"/>
    <w:rsid w:val="00DC6BD9"/>
    <w:rsid w:val="00DC6C37"/>
    <w:rsid w:val="00DC6C53"/>
    <w:rsid w:val="00DC6D47"/>
    <w:rsid w:val="00DC6DA2"/>
    <w:rsid w:val="00DC6DD5"/>
    <w:rsid w:val="00DC6EB1"/>
    <w:rsid w:val="00DC6F10"/>
    <w:rsid w:val="00DC73B9"/>
    <w:rsid w:val="00DC743A"/>
    <w:rsid w:val="00DC758C"/>
    <w:rsid w:val="00DC7611"/>
    <w:rsid w:val="00DC764F"/>
    <w:rsid w:val="00DC7767"/>
    <w:rsid w:val="00DC777A"/>
    <w:rsid w:val="00DC77C0"/>
    <w:rsid w:val="00DC77FC"/>
    <w:rsid w:val="00DC78D5"/>
    <w:rsid w:val="00DC7B40"/>
    <w:rsid w:val="00DC7DBC"/>
    <w:rsid w:val="00DC7DD4"/>
    <w:rsid w:val="00DC7E88"/>
    <w:rsid w:val="00DC7F0D"/>
    <w:rsid w:val="00DC7F97"/>
    <w:rsid w:val="00DC7FF0"/>
    <w:rsid w:val="00DD001F"/>
    <w:rsid w:val="00DD007A"/>
    <w:rsid w:val="00DD018B"/>
    <w:rsid w:val="00DD01FC"/>
    <w:rsid w:val="00DD0379"/>
    <w:rsid w:val="00DD03A4"/>
    <w:rsid w:val="00DD0461"/>
    <w:rsid w:val="00DD0530"/>
    <w:rsid w:val="00DD0542"/>
    <w:rsid w:val="00DD0617"/>
    <w:rsid w:val="00DD0766"/>
    <w:rsid w:val="00DD0907"/>
    <w:rsid w:val="00DD0931"/>
    <w:rsid w:val="00DD09A0"/>
    <w:rsid w:val="00DD0A25"/>
    <w:rsid w:val="00DD0C7E"/>
    <w:rsid w:val="00DD0C86"/>
    <w:rsid w:val="00DD0DBF"/>
    <w:rsid w:val="00DD0E6F"/>
    <w:rsid w:val="00DD0EF6"/>
    <w:rsid w:val="00DD0F02"/>
    <w:rsid w:val="00DD0FA6"/>
    <w:rsid w:val="00DD103D"/>
    <w:rsid w:val="00DD105E"/>
    <w:rsid w:val="00DD1130"/>
    <w:rsid w:val="00DD1136"/>
    <w:rsid w:val="00DD12AD"/>
    <w:rsid w:val="00DD1529"/>
    <w:rsid w:val="00DD16C6"/>
    <w:rsid w:val="00DD17AB"/>
    <w:rsid w:val="00DD18B0"/>
    <w:rsid w:val="00DD19C0"/>
    <w:rsid w:val="00DD1A21"/>
    <w:rsid w:val="00DD1A58"/>
    <w:rsid w:val="00DD1AB5"/>
    <w:rsid w:val="00DD1BF1"/>
    <w:rsid w:val="00DD1CE7"/>
    <w:rsid w:val="00DD1D7C"/>
    <w:rsid w:val="00DD1DA1"/>
    <w:rsid w:val="00DD1DB7"/>
    <w:rsid w:val="00DD1DDF"/>
    <w:rsid w:val="00DD1DEC"/>
    <w:rsid w:val="00DD1DEE"/>
    <w:rsid w:val="00DD1E8E"/>
    <w:rsid w:val="00DD1E96"/>
    <w:rsid w:val="00DD1ED8"/>
    <w:rsid w:val="00DD2006"/>
    <w:rsid w:val="00DD20BF"/>
    <w:rsid w:val="00DD2154"/>
    <w:rsid w:val="00DD216B"/>
    <w:rsid w:val="00DD2352"/>
    <w:rsid w:val="00DD2374"/>
    <w:rsid w:val="00DD24A8"/>
    <w:rsid w:val="00DD2678"/>
    <w:rsid w:val="00DD26D2"/>
    <w:rsid w:val="00DD2738"/>
    <w:rsid w:val="00DD274F"/>
    <w:rsid w:val="00DD27EE"/>
    <w:rsid w:val="00DD28B4"/>
    <w:rsid w:val="00DD2930"/>
    <w:rsid w:val="00DD2AA5"/>
    <w:rsid w:val="00DD2B04"/>
    <w:rsid w:val="00DD2C8D"/>
    <w:rsid w:val="00DD2CCC"/>
    <w:rsid w:val="00DD2FD4"/>
    <w:rsid w:val="00DD3053"/>
    <w:rsid w:val="00DD3056"/>
    <w:rsid w:val="00DD3068"/>
    <w:rsid w:val="00DD306C"/>
    <w:rsid w:val="00DD32FD"/>
    <w:rsid w:val="00DD336C"/>
    <w:rsid w:val="00DD3384"/>
    <w:rsid w:val="00DD33D0"/>
    <w:rsid w:val="00DD34A3"/>
    <w:rsid w:val="00DD35CD"/>
    <w:rsid w:val="00DD3793"/>
    <w:rsid w:val="00DD3B22"/>
    <w:rsid w:val="00DD3C3B"/>
    <w:rsid w:val="00DD3DEB"/>
    <w:rsid w:val="00DD3FA4"/>
    <w:rsid w:val="00DD400C"/>
    <w:rsid w:val="00DD4127"/>
    <w:rsid w:val="00DD41A0"/>
    <w:rsid w:val="00DD41D9"/>
    <w:rsid w:val="00DD4286"/>
    <w:rsid w:val="00DD4291"/>
    <w:rsid w:val="00DD42FC"/>
    <w:rsid w:val="00DD43A2"/>
    <w:rsid w:val="00DD43AA"/>
    <w:rsid w:val="00DD44F8"/>
    <w:rsid w:val="00DD45A6"/>
    <w:rsid w:val="00DD45C6"/>
    <w:rsid w:val="00DD4622"/>
    <w:rsid w:val="00DD4635"/>
    <w:rsid w:val="00DD463B"/>
    <w:rsid w:val="00DD46E8"/>
    <w:rsid w:val="00DD47A5"/>
    <w:rsid w:val="00DD47CF"/>
    <w:rsid w:val="00DD486C"/>
    <w:rsid w:val="00DD4913"/>
    <w:rsid w:val="00DD4A7E"/>
    <w:rsid w:val="00DD4B39"/>
    <w:rsid w:val="00DD4C0E"/>
    <w:rsid w:val="00DD4D1E"/>
    <w:rsid w:val="00DD4D21"/>
    <w:rsid w:val="00DD4D31"/>
    <w:rsid w:val="00DD4E55"/>
    <w:rsid w:val="00DD4EB8"/>
    <w:rsid w:val="00DD4F32"/>
    <w:rsid w:val="00DD4FCD"/>
    <w:rsid w:val="00DD5010"/>
    <w:rsid w:val="00DD505C"/>
    <w:rsid w:val="00DD512B"/>
    <w:rsid w:val="00DD5162"/>
    <w:rsid w:val="00DD51CF"/>
    <w:rsid w:val="00DD51F4"/>
    <w:rsid w:val="00DD5262"/>
    <w:rsid w:val="00DD5274"/>
    <w:rsid w:val="00DD5285"/>
    <w:rsid w:val="00DD534C"/>
    <w:rsid w:val="00DD5373"/>
    <w:rsid w:val="00DD54CD"/>
    <w:rsid w:val="00DD54D6"/>
    <w:rsid w:val="00DD554D"/>
    <w:rsid w:val="00DD56F0"/>
    <w:rsid w:val="00DD5775"/>
    <w:rsid w:val="00DD58D4"/>
    <w:rsid w:val="00DD590D"/>
    <w:rsid w:val="00DD59FA"/>
    <w:rsid w:val="00DD5AFA"/>
    <w:rsid w:val="00DD5BA5"/>
    <w:rsid w:val="00DD5BB9"/>
    <w:rsid w:val="00DD5C5D"/>
    <w:rsid w:val="00DD5E56"/>
    <w:rsid w:val="00DD5EA0"/>
    <w:rsid w:val="00DD5F47"/>
    <w:rsid w:val="00DD5FF5"/>
    <w:rsid w:val="00DD60E9"/>
    <w:rsid w:val="00DD61F4"/>
    <w:rsid w:val="00DD6276"/>
    <w:rsid w:val="00DD655F"/>
    <w:rsid w:val="00DD6593"/>
    <w:rsid w:val="00DD6625"/>
    <w:rsid w:val="00DD66F7"/>
    <w:rsid w:val="00DD6724"/>
    <w:rsid w:val="00DD6750"/>
    <w:rsid w:val="00DD6822"/>
    <w:rsid w:val="00DD6912"/>
    <w:rsid w:val="00DD696B"/>
    <w:rsid w:val="00DD6981"/>
    <w:rsid w:val="00DD6A60"/>
    <w:rsid w:val="00DD6AB9"/>
    <w:rsid w:val="00DD6B38"/>
    <w:rsid w:val="00DD6BD7"/>
    <w:rsid w:val="00DD6D4A"/>
    <w:rsid w:val="00DD6EC6"/>
    <w:rsid w:val="00DD6EE0"/>
    <w:rsid w:val="00DD6F8F"/>
    <w:rsid w:val="00DD6FE3"/>
    <w:rsid w:val="00DD701A"/>
    <w:rsid w:val="00DD706D"/>
    <w:rsid w:val="00DD723C"/>
    <w:rsid w:val="00DD72F0"/>
    <w:rsid w:val="00DD73B5"/>
    <w:rsid w:val="00DD73DE"/>
    <w:rsid w:val="00DD73DF"/>
    <w:rsid w:val="00DD7533"/>
    <w:rsid w:val="00DD75AF"/>
    <w:rsid w:val="00DD773E"/>
    <w:rsid w:val="00DD7904"/>
    <w:rsid w:val="00DD79B7"/>
    <w:rsid w:val="00DD7B59"/>
    <w:rsid w:val="00DD7BB2"/>
    <w:rsid w:val="00DD7BC4"/>
    <w:rsid w:val="00DD7C26"/>
    <w:rsid w:val="00DD7CBD"/>
    <w:rsid w:val="00DD7E68"/>
    <w:rsid w:val="00DD7EB3"/>
    <w:rsid w:val="00DE0005"/>
    <w:rsid w:val="00DE0390"/>
    <w:rsid w:val="00DE03FF"/>
    <w:rsid w:val="00DE0559"/>
    <w:rsid w:val="00DE06E3"/>
    <w:rsid w:val="00DE07E9"/>
    <w:rsid w:val="00DE085B"/>
    <w:rsid w:val="00DE08B7"/>
    <w:rsid w:val="00DE0A4A"/>
    <w:rsid w:val="00DE0B3B"/>
    <w:rsid w:val="00DE0B43"/>
    <w:rsid w:val="00DE0C0C"/>
    <w:rsid w:val="00DE0D70"/>
    <w:rsid w:val="00DE0D98"/>
    <w:rsid w:val="00DE1003"/>
    <w:rsid w:val="00DE1059"/>
    <w:rsid w:val="00DE1317"/>
    <w:rsid w:val="00DE132B"/>
    <w:rsid w:val="00DE1483"/>
    <w:rsid w:val="00DE14B3"/>
    <w:rsid w:val="00DE153A"/>
    <w:rsid w:val="00DE1662"/>
    <w:rsid w:val="00DE1704"/>
    <w:rsid w:val="00DE1A29"/>
    <w:rsid w:val="00DE1B9F"/>
    <w:rsid w:val="00DE1BC6"/>
    <w:rsid w:val="00DE1D18"/>
    <w:rsid w:val="00DE1D20"/>
    <w:rsid w:val="00DE1EDF"/>
    <w:rsid w:val="00DE1F20"/>
    <w:rsid w:val="00DE1F41"/>
    <w:rsid w:val="00DE2019"/>
    <w:rsid w:val="00DE2053"/>
    <w:rsid w:val="00DE22E8"/>
    <w:rsid w:val="00DE22F2"/>
    <w:rsid w:val="00DE2346"/>
    <w:rsid w:val="00DE23D8"/>
    <w:rsid w:val="00DE249C"/>
    <w:rsid w:val="00DE259C"/>
    <w:rsid w:val="00DE265F"/>
    <w:rsid w:val="00DE2770"/>
    <w:rsid w:val="00DE2828"/>
    <w:rsid w:val="00DE28EC"/>
    <w:rsid w:val="00DE298E"/>
    <w:rsid w:val="00DE2A00"/>
    <w:rsid w:val="00DE2B6E"/>
    <w:rsid w:val="00DE2C40"/>
    <w:rsid w:val="00DE2CD4"/>
    <w:rsid w:val="00DE2D00"/>
    <w:rsid w:val="00DE2D48"/>
    <w:rsid w:val="00DE2D8F"/>
    <w:rsid w:val="00DE3013"/>
    <w:rsid w:val="00DE3046"/>
    <w:rsid w:val="00DE3059"/>
    <w:rsid w:val="00DE30B5"/>
    <w:rsid w:val="00DE30BE"/>
    <w:rsid w:val="00DE3119"/>
    <w:rsid w:val="00DE3120"/>
    <w:rsid w:val="00DE31B8"/>
    <w:rsid w:val="00DE338F"/>
    <w:rsid w:val="00DE33AB"/>
    <w:rsid w:val="00DE3487"/>
    <w:rsid w:val="00DE3514"/>
    <w:rsid w:val="00DE3522"/>
    <w:rsid w:val="00DE3536"/>
    <w:rsid w:val="00DE355A"/>
    <w:rsid w:val="00DE3567"/>
    <w:rsid w:val="00DE35CD"/>
    <w:rsid w:val="00DE361A"/>
    <w:rsid w:val="00DE36CA"/>
    <w:rsid w:val="00DE375E"/>
    <w:rsid w:val="00DE38D4"/>
    <w:rsid w:val="00DE392E"/>
    <w:rsid w:val="00DE3AFB"/>
    <w:rsid w:val="00DE3B92"/>
    <w:rsid w:val="00DE3C6C"/>
    <w:rsid w:val="00DE3C84"/>
    <w:rsid w:val="00DE3CBA"/>
    <w:rsid w:val="00DE3CC8"/>
    <w:rsid w:val="00DE3D43"/>
    <w:rsid w:val="00DE3D90"/>
    <w:rsid w:val="00DE3DD9"/>
    <w:rsid w:val="00DE3E0E"/>
    <w:rsid w:val="00DE3EBC"/>
    <w:rsid w:val="00DE3F4B"/>
    <w:rsid w:val="00DE406A"/>
    <w:rsid w:val="00DE409E"/>
    <w:rsid w:val="00DE40FB"/>
    <w:rsid w:val="00DE410E"/>
    <w:rsid w:val="00DE4128"/>
    <w:rsid w:val="00DE4169"/>
    <w:rsid w:val="00DE42BA"/>
    <w:rsid w:val="00DE4348"/>
    <w:rsid w:val="00DE44BB"/>
    <w:rsid w:val="00DE450F"/>
    <w:rsid w:val="00DE4586"/>
    <w:rsid w:val="00DE46AC"/>
    <w:rsid w:val="00DE47BE"/>
    <w:rsid w:val="00DE48A8"/>
    <w:rsid w:val="00DE48B8"/>
    <w:rsid w:val="00DE4943"/>
    <w:rsid w:val="00DE49D2"/>
    <w:rsid w:val="00DE4CDF"/>
    <w:rsid w:val="00DE4CEF"/>
    <w:rsid w:val="00DE4D2B"/>
    <w:rsid w:val="00DE4E90"/>
    <w:rsid w:val="00DE4F67"/>
    <w:rsid w:val="00DE4FD0"/>
    <w:rsid w:val="00DE5012"/>
    <w:rsid w:val="00DE5096"/>
    <w:rsid w:val="00DE516A"/>
    <w:rsid w:val="00DE521A"/>
    <w:rsid w:val="00DE5247"/>
    <w:rsid w:val="00DE52F7"/>
    <w:rsid w:val="00DE5396"/>
    <w:rsid w:val="00DE5501"/>
    <w:rsid w:val="00DE55A8"/>
    <w:rsid w:val="00DE563B"/>
    <w:rsid w:val="00DE56B8"/>
    <w:rsid w:val="00DE575C"/>
    <w:rsid w:val="00DE583A"/>
    <w:rsid w:val="00DE5A35"/>
    <w:rsid w:val="00DE5A55"/>
    <w:rsid w:val="00DE5B4A"/>
    <w:rsid w:val="00DE5B94"/>
    <w:rsid w:val="00DE5BD6"/>
    <w:rsid w:val="00DE5C08"/>
    <w:rsid w:val="00DE5D10"/>
    <w:rsid w:val="00DE5D20"/>
    <w:rsid w:val="00DE5D8C"/>
    <w:rsid w:val="00DE5DB8"/>
    <w:rsid w:val="00DE5DDA"/>
    <w:rsid w:val="00DE5DEE"/>
    <w:rsid w:val="00DE5EDA"/>
    <w:rsid w:val="00DE5F40"/>
    <w:rsid w:val="00DE5F4B"/>
    <w:rsid w:val="00DE6086"/>
    <w:rsid w:val="00DE60B6"/>
    <w:rsid w:val="00DE615D"/>
    <w:rsid w:val="00DE6239"/>
    <w:rsid w:val="00DE6375"/>
    <w:rsid w:val="00DE63A0"/>
    <w:rsid w:val="00DE64D3"/>
    <w:rsid w:val="00DE6526"/>
    <w:rsid w:val="00DE65A4"/>
    <w:rsid w:val="00DE6672"/>
    <w:rsid w:val="00DE667D"/>
    <w:rsid w:val="00DE6761"/>
    <w:rsid w:val="00DE67F6"/>
    <w:rsid w:val="00DE686F"/>
    <w:rsid w:val="00DE6BDA"/>
    <w:rsid w:val="00DE6CCE"/>
    <w:rsid w:val="00DE6DAC"/>
    <w:rsid w:val="00DE6E5D"/>
    <w:rsid w:val="00DE6EFF"/>
    <w:rsid w:val="00DE6F61"/>
    <w:rsid w:val="00DE70A4"/>
    <w:rsid w:val="00DE70C7"/>
    <w:rsid w:val="00DE70CD"/>
    <w:rsid w:val="00DE70E0"/>
    <w:rsid w:val="00DE714B"/>
    <w:rsid w:val="00DE719E"/>
    <w:rsid w:val="00DE7204"/>
    <w:rsid w:val="00DE72A5"/>
    <w:rsid w:val="00DE73EC"/>
    <w:rsid w:val="00DE7478"/>
    <w:rsid w:val="00DE7525"/>
    <w:rsid w:val="00DE75BB"/>
    <w:rsid w:val="00DE774B"/>
    <w:rsid w:val="00DE77B4"/>
    <w:rsid w:val="00DE781B"/>
    <w:rsid w:val="00DE78A9"/>
    <w:rsid w:val="00DE7AB8"/>
    <w:rsid w:val="00DE7B04"/>
    <w:rsid w:val="00DE7B2E"/>
    <w:rsid w:val="00DE7BB7"/>
    <w:rsid w:val="00DE7CA6"/>
    <w:rsid w:val="00DE7DA8"/>
    <w:rsid w:val="00DE7E8F"/>
    <w:rsid w:val="00DE7ECA"/>
    <w:rsid w:val="00DE7F26"/>
    <w:rsid w:val="00DE7F35"/>
    <w:rsid w:val="00DE7FBE"/>
    <w:rsid w:val="00DF018E"/>
    <w:rsid w:val="00DF038D"/>
    <w:rsid w:val="00DF04AB"/>
    <w:rsid w:val="00DF0553"/>
    <w:rsid w:val="00DF074B"/>
    <w:rsid w:val="00DF077F"/>
    <w:rsid w:val="00DF08B4"/>
    <w:rsid w:val="00DF0925"/>
    <w:rsid w:val="00DF09FD"/>
    <w:rsid w:val="00DF0A2B"/>
    <w:rsid w:val="00DF0BC6"/>
    <w:rsid w:val="00DF0CDC"/>
    <w:rsid w:val="00DF0CDE"/>
    <w:rsid w:val="00DF0D53"/>
    <w:rsid w:val="00DF0ED7"/>
    <w:rsid w:val="00DF0F5A"/>
    <w:rsid w:val="00DF0F94"/>
    <w:rsid w:val="00DF0FEC"/>
    <w:rsid w:val="00DF10E3"/>
    <w:rsid w:val="00DF10EE"/>
    <w:rsid w:val="00DF1149"/>
    <w:rsid w:val="00DF1180"/>
    <w:rsid w:val="00DF1378"/>
    <w:rsid w:val="00DF137C"/>
    <w:rsid w:val="00DF13E4"/>
    <w:rsid w:val="00DF14D1"/>
    <w:rsid w:val="00DF14DA"/>
    <w:rsid w:val="00DF14FE"/>
    <w:rsid w:val="00DF1559"/>
    <w:rsid w:val="00DF15FE"/>
    <w:rsid w:val="00DF1798"/>
    <w:rsid w:val="00DF19CC"/>
    <w:rsid w:val="00DF1B19"/>
    <w:rsid w:val="00DF1B2A"/>
    <w:rsid w:val="00DF1BA4"/>
    <w:rsid w:val="00DF1CF5"/>
    <w:rsid w:val="00DF1D1A"/>
    <w:rsid w:val="00DF1F68"/>
    <w:rsid w:val="00DF207D"/>
    <w:rsid w:val="00DF20DC"/>
    <w:rsid w:val="00DF2149"/>
    <w:rsid w:val="00DF224B"/>
    <w:rsid w:val="00DF2307"/>
    <w:rsid w:val="00DF239F"/>
    <w:rsid w:val="00DF243A"/>
    <w:rsid w:val="00DF253A"/>
    <w:rsid w:val="00DF25C5"/>
    <w:rsid w:val="00DF2617"/>
    <w:rsid w:val="00DF2624"/>
    <w:rsid w:val="00DF26DD"/>
    <w:rsid w:val="00DF2890"/>
    <w:rsid w:val="00DF290D"/>
    <w:rsid w:val="00DF2986"/>
    <w:rsid w:val="00DF29A7"/>
    <w:rsid w:val="00DF2AF1"/>
    <w:rsid w:val="00DF2B47"/>
    <w:rsid w:val="00DF2BA2"/>
    <w:rsid w:val="00DF2C2E"/>
    <w:rsid w:val="00DF2CC8"/>
    <w:rsid w:val="00DF2D2A"/>
    <w:rsid w:val="00DF2D83"/>
    <w:rsid w:val="00DF2D8D"/>
    <w:rsid w:val="00DF2DCD"/>
    <w:rsid w:val="00DF2DD8"/>
    <w:rsid w:val="00DF2E8D"/>
    <w:rsid w:val="00DF2F00"/>
    <w:rsid w:val="00DF2F20"/>
    <w:rsid w:val="00DF2FCD"/>
    <w:rsid w:val="00DF2FD0"/>
    <w:rsid w:val="00DF2FEF"/>
    <w:rsid w:val="00DF3021"/>
    <w:rsid w:val="00DF3061"/>
    <w:rsid w:val="00DF31C8"/>
    <w:rsid w:val="00DF3223"/>
    <w:rsid w:val="00DF3270"/>
    <w:rsid w:val="00DF3357"/>
    <w:rsid w:val="00DF33BF"/>
    <w:rsid w:val="00DF3444"/>
    <w:rsid w:val="00DF34B6"/>
    <w:rsid w:val="00DF34F2"/>
    <w:rsid w:val="00DF353A"/>
    <w:rsid w:val="00DF353F"/>
    <w:rsid w:val="00DF36D8"/>
    <w:rsid w:val="00DF3924"/>
    <w:rsid w:val="00DF39A6"/>
    <w:rsid w:val="00DF3A95"/>
    <w:rsid w:val="00DF3BB0"/>
    <w:rsid w:val="00DF3C8B"/>
    <w:rsid w:val="00DF3CBB"/>
    <w:rsid w:val="00DF3DAB"/>
    <w:rsid w:val="00DF3F53"/>
    <w:rsid w:val="00DF41FF"/>
    <w:rsid w:val="00DF4216"/>
    <w:rsid w:val="00DF42BC"/>
    <w:rsid w:val="00DF4590"/>
    <w:rsid w:val="00DF46E6"/>
    <w:rsid w:val="00DF47F7"/>
    <w:rsid w:val="00DF482C"/>
    <w:rsid w:val="00DF4966"/>
    <w:rsid w:val="00DF49DD"/>
    <w:rsid w:val="00DF4A22"/>
    <w:rsid w:val="00DF4AB5"/>
    <w:rsid w:val="00DF4BF1"/>
    <w:rsid w:val="00DF4CC5"/>
    <w:rsid w:val="00DF4D8D"/>
    <w:rsid w:val="00DF4E30"/>
    <w:rsid w:val="00DF4EC3"/>
    <w:rsid w:val="00DF51B9"/>
    <w:rsid w:val="00DF520E"/>
    <w:rsid w:val="00DF5296"/>
    <w:rsid w:val="00DF530F"/>
    <w:rsid w:val="00DF5579"/>
    <w:rsid w:val="00DF562F"/>
    <w:rsid w:val="00DF5645"/>
    <w:rsid w:val="00DF5694"/>
    <w:rsid w:val="00DF5815"/>
    <w:rsid w:val="00DF58EB"/>
    <w:rsid w:val="00DF591D"/>
    <w:rsid w:val="00DF5947"/>
    <w:rsid w:val="00DF5AF9"/>
    <w:rsid w:val="00DF5B39"/>
    <w:rsid w:val="00DF5BFF"/>
    <w:rsid w:val="00DF5E15"/>
    <w:rsid w:val="00DF6084"/>
    <w:rsid w:val="00DF60FB"/>
    <w:rsid w:val="00DF62A8"/>
    <w:rsid w:val="00DF633F"/>
    <w:rsid w:val="00DF649B"/>
    <w:rsid w:val="00DF6542"/>
    <w:rsid w:val="00DF657F"/>
    <w:rsid w:val="00DF664F"/>
    <w:rsid w:val="00DF667F"/>
    <w:rsid w:val="00DF67FF"/>
    <w:rsid w:val="00DF6847"/>
    <w:rsid w:val="00DF6859"/>
    <w:rsid w:val="00DF685D"/>
    <w:rsid w:val="00DF6883"/>
    <w:rsid w:val="00DF68B2"/>
    <w:rsid w:val="00DF694E"/>
    <w:rsid w:val="00DF69B4"/>
    <w:rsid w:val="00DF69D4"/>
    <w:rsid w:val="00DF6B8C"/>
    <w:rsid w:val="00DF6C10"/>
    <w:rsid w:val="00DF6C47"/>
    <w:rsid w:val="00DF6C56"/>
    <w:rsid w:val="00DF6D2D"/>
    <w:rsid w:val="00DF7036"/>
    <w:rsid w:val="00DF70FA"/>
    <w:rsid w:val="00DF70FC"/>
    <w:rsid w:val="00DF7109"/>
    <w:rsid w:val="00DF7165"/>
    <w:rsid w:val="00DF71C2"/>
    <w:rsid w:val="00DF71F7"/>
    <w:rsid w:val="00DF7347"/>
    <w:rsid w:val="00DF7414"/>
    <w:rsid w:val="00DF779D"/>
    <w:rsid w:val="00DF7807"/>
    <w:rsid w:val="00DF79DC"/>
    <w:rsid w:val="00DF7B33"/>
    <w:rsid w:val="00DF7CF8"/>
    <w:rsid w:val="00DF7D1A"/>
    <w:rsid w:val="00DF7D6F"/>
    <w:rsid w:val="00DF7D73"/>
    <w:rsid w:val="00DF7DDC"/>
    <w:rsid w:val="00DF7E1B"/>
    <w:rsid w:val="00DF7E23"/>
    <w:rsid w:val="00DF7EAF"/>
    <w:rsid w:val="00DF7F00"/>
    <w:rsid w:val="00DF7F0C"/>
    <w:rsid w:val="00E0004B"/>
    <w:rsid w:val="00E0009C"/>
    <w:rsid w:val="00E000F7"/>
    <w:rsid w:val="00E001B1"/>
    <w:rsid w:val="00E0023E"/>
    <w:rsid w:val="00E00317"/>
    <w:rsid w:val="00E0036E"/>
    <w:rsid w:val="00E0048D"/>
    <w:rsid w:val="00E004EC"/>
    <w:rsid w:val="00E00574"/>
    <w:rsid w:val="00E005F7"/>
    <w:rsid w:val="00E00693"/>
    <w:rsid w:val="00E006FD"/>
    <w:rsid w:val="00E00723"/>
    <w:rsid w:val="00E00747"/>
    <w:rsid w:val="00E007D5"/>
    <w:rsid w:val="00E0087C"/>
    <w:rsid w:val="00E0093F"/>
    <w:rsid w:val="00E00A60"/>
    <w:rsid w:val="00E00BDE"/>
    <w:rsid w:val="00E00CD7"/>
    <w:rsid w:val="00E00D0C"/>
    <w:rsid w:val="00E00D78"/>
    <w:rsid w:val="00E00EE7"/>
    <w:rsid w:val="00E00EED"/>
    <w:rsid w:val="00E00F19"/>
    <w:rsid w:val="00E00FC3"/>
    <w:rsid w:val="00E010ED"/>
    <w:rsid w:val="00E01128"/>
    <w:rsid w:val="00E012D1"/>
    <w:rsid w:val="00E01367"/>
    <w:rsid w:val="00E01488"/>
    <w:rsid w:val="00E015E9"/>
    <w:rsid w:val="00E01654"/>
    <w:rsid w:val="00E0169C"/>
    <w:rsid w:val="00E016CD"/>
    <w:rsid w:val="00E017B8"/>
    <w:rsid w:val="00E017D1"/>
    <w:rsid w:val="00E01940"/>
    <w:rsid w:val="00E01A2A"/>
    <w:rsid w:val="00E01A41"/>
    <w:rsid w:val="00E01A5A"/>
    <w:rsid w:val="00E01A5E"/>
    <w:rsid w:val="00E01A62"/>
    <w:rsid w:val="00E01AAF"/>
    <w:rsid w:val="00E01BEF"/>
    <w:rsid w:val="00E01F95"/>
    <w:rsid w:val="00E02068"/>
    <w:rsid w:val="00E020E9"/>
    <w:rsid w:val="00E0226C"/>
    <w:rsid w:val="00E02276"/>
    <w:rsid w:val="00E0238C"/>
    <w:rsid w:val="00E023AE"/>
    <w:rsid w:val="00E025A1"/>
    <w:rsid w:val="00E026AD"/>
    <w:rsid w:val="00E027CB"/>
    <w:rsid w:val="00E02886"/>
    <w:rsid w:val="00E02963"/>
    <w:rsid w:val="00E029AC"/>
    <w:rsid w:val="00E02A2D"/>
    <w:rsid w:val="00E02A8D"/>
    <w:rsid w:val="00E02B06"/>
    <w:rsid w:val="00E02BA2"/>
    <w:rsid w:val="00E02CD5"/>
    <w:rsid w:val="00E02D0B"/>
    <w:rsid w:val="00E02F35"/>
    <w:rsid w:val="00E02F39"/>
    <w:rsid w:val="00E02F58"/>
    <w:rsid w:val="00E03017"/>
    <w:rsid w:val="00E03128"/>
    <w:rsid w:val="00E031C4"/>
    <w:rsid w:val="00E031FE"/>
    <w:rsid w:val="00E03410"/>
    <w:rsid w:val="00E03578"/>
    <w:rsid w:val="00E037E9"/>
    <w:rsid w:val="00E03814"/>
    <w:rsid w:val="00E0384B"/>
    <w:rsid w:val="00E03857"/>
    <w:rsid w:val="00E03967"/>
    <w:rsid w:val="00E03A29"/>
    <w:rsid w:val="00E03A90"/>
    <w:rsid w:val="00E03B87"/>
    <w:rsid w:val="00E03C03"/>
    <w:rsid w:val="00E03C38"/>
    <w:rsid w:val="00E03C6D"/>
    <w:rsid w:val="00E03C99"/>
    <w:rsid w:val="00E04271"/>
    <w:rsid w:val="00E04275"/>
    <w:rsid w:val="00E0444E"/>
    <w:rsid w:val="00E045B3"/>
    <w:rsid w:val="00E0464B"/>
    <w:rsid w:val="00E0471C"/>
    <w:rsid w:val="00E0475A"/>
    <w:rsid w:val="00E048EB"/>
    <w:rsid w:val="00E04911"/>
    <w:rsid w:val="00E04945"/>
    <w:rsid w:val="00E04A59"/>
    <w:rsid w:val="00E04A9B"/>
    <w:rsid w:val="00E04BD6"/>
    <w:rsid w:val="00E04E4B"/>
    <w:rsid w:val="00E04EE3"/>
    <w:rsid w:val="00E04FDB"/>
    <w:rsid w:val="00E05087"/>
    <w:rsid w:val="00E05148"/>
    <w:rsid w:val="00E0516F"/>
    <w:rsid w:val="00E051E3"/>
    <w:rsid w:val="00E052C4"/>
    <w:rsid w:val="00E05335"/>
    <w:rsid w:val="00E05348"/>
    <w:rsid w:val="00E053B6"/>
    <w:rsid w:val="00E05412"/>
    <w:rsid w:val="00E055F0"/>
    <w:rsid w:val="00E05600"/>
    <w:rsid w:val="00E056AD"/>
    <w:rsid w:val="00E0572E"/>
    <w:rsid w:val="00E057B1"/>
    <w:rsid w:val="00E059FC"/>
    <w:rsid w:val="00E05A73"/>
    <w:rsid w:val="00E05BE1"/>
    <w:rsid w:val="00E05CDE"/>
    <w:rsid w:val="00E05D17"/>
    <w:rsid w:val="00E05D51"/>
    <w:rsid w:val="00E05E76"/>
    <w:rsid w:val="00E05E79"/>
    <w:rsid w:val="00E05F13"/>
    <w:rsid w:val="00E05FDD"/>
    <w:rsid w:val="00E05FEB"/>
    <w:rsid w:val="00E06036"/>
    <w:rsid w:val="00E06275"/>
    <w:rsid w:val="00E0650C"/>
    <w:rsid w:val="00E0659C"/>
    <w:rsid w:val="00E068A3"/>
    <w:rsid w:val="00E0691A"/>
    <w:rsid w:val="00E06A16"/>
    <w:rsid w:val="00E06A9D"/>
    <w:rsid w:val="00E06B3C"/>
    <w:rsid w:val="00E06B44"/>
    <w:rsid w:val="00E06B7A"/>
    <w:rsid w:val="00E06D31"/>
    <w:rsid w:val="00E06E0C"/>
    <w:rsid w:val="00E06E1D"/>
    <w:rsid w:val="00E06E7F"/>
    <w:rsid w:val="00E06EAC"/>
    <w:rsid w:val="00E06EB1"/>
    <w:rsid w:val="00E06FBC"/>
    <w:rsid w:val="00E06FDB"/>
    <w:rsid w:val="00E06FFC"/>
    <w:rsid w:val="00E07370"/>
    <w:rsid w:val="00E07541"/>
    <w:rsid w:val="00E07547"/>
    <w:rsid w:val="00E075C5"/>
    <w:rsid w:val="00E075D0"/>
    <w:rsid w:val="00E0762E"/>
    <w:rsid w:val="00E07719"/>
    <w:rsid w:val="00E07729"/>
    <w:rsid w:val="00E07736"/>
    <w:rsid w:val="00E077AF"/>
    <w:rsid w:val="00E077D3"/>
    <w:rsid w:val="00E07866"/>
    <w:rsid w:val="00E07953"/>
    <w:rsid w:val="00E079A4"/>
    <w:rsid w:val="00E07B28"/>
    <w:rsid w:val="00E07C6F"/>
    <w:rsid w:val="00E07C8C"/>
    <w:rsid w:val="00E07DB9"/>
    <w:rsid w:val="00E07E2A"/>
    <w:rsid w:val="00E07E42"/>
    <w:rsid w:val="00E07E8F"/>
    <w:rsid w:val="00E10081"/>
    <w:rsid w:val="00E10156"/>
    <w:rsid w:val="00E10235"/>
    <w:rsid w:val="00E10270"/>
    <w:rsid w:val="00E102B8"/>
    <w:rsid w:val="00E104D5"/>
    <w:rsid w:val="00E1055E"/>
    <w:rsid w:val="00E10700"/>
    <w:rsid w:val="00E10720"/>
    <w:rsid w:val="00E107D7"/>
    <w:rsid w:val="00E10889"/>
    <w:rsid w:val="00E10923"/>
    <w:rsid w:val="00E1094E"/>
    <w:rsid w:val="00E10BDA"/>
    <w:rsid w:val="00E10C3F"/>
    <w:rsid w:val="00E10CB3"/>
    <w:rsid w:val="00E10CD9"/>
    <w:rsid w:val="00E10DDC"/>
    <w:rsid w:val="00E10EBA"/>
    <w:rsid w:val="00E11192"/>
    <w:rsid w:val="00E1121C"/>
    <w:rsid w:val="00E112AB"/>
    <w:rsid w:val="00E11391"/>
    <w:rsid w:val="00E11524"/>
    <w:rsid w:val="00E11607"/>
    <w:rsid w:val="00E11654"/>
    <w:rsid w:val="00E11704"/>
    <w:rsid w:val="00E11727"/>
    <w:rsid w:val="00E11A07"/>
    <w:rsid w:val="00E11A79"/>
    <w:rsid w:val="00E11B18"/>
    <w:rsid w:val="00E11D16"/>
    <w:rsid w:val="00E11D43"/>
    <w:rsid w:val="00E11D8A"/>
    <w:rsid w:val="00E11E19"/>
    <w:rsid w:val="00E12122"/>
    <w:rsid w:val="00E1216C"/>
    <w:rsid w:val="00E1229C"/>
    <w:rsid w:val="00E12540"/>
    <w:rsid w:val="00E1255D"/>
    <w:rsid w:val="00E125FE"/>
    <w:rsid w:val="00E1298E"/>
    <w:rsid w:val="00E12A97"/>
    <w:rsid w:val="00E12C0A"/>
    <w:rsid w:val="00E12CDD"/>
    <w:rsid w:val="00E12F2F"/>
    <w:rsid w:val="00E12F5E"/>
    <w:rsid w:val="00E12FDA"/>
    <w:rsid w:val="00E1312C"/>
    <w:rsid w:val="00E131D1"/>
    <w:rsid w:val="00E131DE"/>
    <w:rsid w:val="00E13232"/>
    <w:rsid w:val="00E132F5"/>
    <w:rsid w:val="00E133A7"/>
    <w:rsid w:val="00E134C6"/>
    <w:rsid w:val="00E134FC"/>
    <w:rsid w:val="00E13720"/>
    <w:rsid w:val="00E137B3"/>
    <w:rsid w:val="00E138AD"/>
    <w:rsid w:val="00E139AA"/>
    <w:rsid w:val="00E13A94"/>
    <w:rsid w:val="00E13AE1"/>
    <w:rsid w:val="00E13BCB"/>
    <w:rsid w:val="00E13C32"/>
    <w:rsid w:val="00E13C9B"/>
    <w:rsid w:val="00E13D38"/>
    <w:rsid w:val="00E13FD9"/>
    <w:rsid w:val="00E1410A"/>
    <w:rsid w:val="00E141A6"/>
    <w:rsid w:val="00E141FE"/>
    <w:rsid w:val="00E14424"/>
    <w:rsid w:val="00E145B8"/>
    <w:rsid w:val="00E145EA"/>
    <w:rsid w:val="00E14830"/>
    <w:rsid w:val="00E1496D"/>
    <w:rsid w:val="00E149C5"/>
    <w:rsid w:val="00E14AF3"/>
    <w:rsid w:val="00E14B25"/>
    <w:rsid w:val="00E14B41"/>
    <w:rsid w:val="00E14B84"/>
    <w:rsid w:val="00E14D0E"/>
    <w:rsid w:val="00E14DA5"/>
    <w:rsid w:val="00E14E44"/>
    <w:rsid w:val="00E14E5B"/>
    <w:rsid w:val="00E14EBC"/>
    <w:rsid w:val="00E151D5"/>
    <w:rsid w:val="00E1528A"/>
    <w:rsid w:val="00E15472"/>
    <w:rsid w:val="00E15475"/>
    <w:rsid w:val="00E154EA"/>
    <w:rsid w:val="00E15511"/>
    <w:rsid w:val="00E15567"/>
    <w:rsid w:val="00E155D5"/>
    <w:rsid w:val="00E15675"/>
    <w:rsid w:val="00E156F5"/>
    <w:rsid w:val="00E15710"/>
    <w:rsid w:val="00E158A3"/>
    <w:rsid w:val="00E1594B"/>
    <w:rsid w:val="00E15ADE"/>
    <w:rsid w:val="00E15C4A"/>
    <w:rsid w:val="00E15C82"/>
    <w:rsid w:val="00E15E91"/>
    <w:rsid w:val="00E15F96"/>
    <w:rsid w:val="00E15FE5"/>
    <w:rsid w:val="00E16037"/>
    <w:rsid w:val="00E16055"/>
    <w:rsid w:val="00E160A6"/>
    <w:rsid w:val="00E161B2"/>
    <w:rsid w:val="00E162E8"/>
    <w:rsid w:val="00E163AB"/>
    <w:rsid w:val="00E16429"/>
    <w:rsid w:val="00E164FE"/>
    <w:rsid w:val="00E16637"/>
    <w:rsid w:val="00E166A5"/>
    <w:rsid w:val="00E16711"/>
    <w:rsid w:val="00E168C5"/>
    <w:rsid w:val="00E1692B"/>
    <w:rsid w:val="00E16A47"/>
    <w:rsid w:val="00E16A95"/>
    <w:rsid w:val="00E16A97"/>
    <w:rsid w:val="00E16ACE"/>
    <w:rsid w:val="00E16B94"/>
    <w:rsid w:val="00E16C10"/>
    <w:rsid w:val="00E16C4C"/>
    <w:rsid w:val="00E16C4E"/>
    <w:rsid w:val="00E16CDA"/>
    <w:rsid w:val="00E16E03"/>
    <w:rsid w:val="00E16F61"/>
    <w:rsid w:val="00E16F6E"/>
    <w:rsid w:val="00E17384"/>
    <w:rsid w:val="00E175CA"/>
    <w:rsid w:val="00E1776D"/>
    <w:rsid w:val="00E177D7"/>
    <w:rsid w:val="00E17A2C"/>
    <w:rsid w:val="00E17B08"/>
    <w:rsid w:val="00E17C02"/>
    <w:rsid w:val="00E17D5E"/>
    <w:rsid w:val="00E17D84"/>
    <w:rsid w:val="00E17EB8"/>
    <w:rsid w:val="00E17F19"/>
    <w:rsid w:val="00E20037"/>
    <w:rsid w:val="00E2006E"/>
    <w:rsid w:val="00E200FE"/>
    <w:rsid w:val="00E20123"/>
    <w:rsid w:val="00E202A3"/>
    <w:rsid w:val="00E202BC"/>
    <w:rsid w:val="00E20374"/>
    <w:rsid w:val="00E2037D"/>
    <w:rsid w:val="00E203BA"/>
    <w:rsid w:val="00E20767"/>
    <w:rsid w:val="00E207AA"/>
    <w:rsid w:val="00E2084E"/>
    <w:rsid w:val="00E2089C"/>
    <w:rsid w:val="00E208E7"/>
    <w:rsid w:val="00E20B5F"/>
    <w:rsid w:val="00E20C75"/>
    <w:rsid w:val="00E20CDB"/>
    <w:rsid w:val="00E20CFE"/>
    <w:rsid w:val="00E20D76"/>
    <w:rsid w:val="00E20E72"/>
    <w:rsid w:val="00E20EE4"/>
    <w:rsid w:val="00E20F5E"/>
    <w:rsid w:val="00E21038"/>
    <w:rsid w:val="00E2103E"/>
    <w:rsid w:val="00E2105D"/>
    <w:rsid w:val="00E2106B"/>
    <w:rsid w:val="00E21076"/>
    <w:rsid w:val="00E21110"/>
    <w:rsid w:val="00E21252"/>
    <w:rsid w:val="00E212C4"/>
    <w:rsid w:val="00E213CB"/>
    <w:rsid w:val="00E21718"/>
    <w:rsid w:val="00E21930"/>
    <w:rsid w:val="00E21A23"/>
    <w:rsid w:val="00E21A73"/>
    <w:rsid w:val="00E21A98"/>
    <w:rsid w:val="00E21AC2"/>
    <w:rsid w:val="00E21B80"/>
    <w:rsid w:val="00E21BA9"/>
    <w:rsid w:val="00E21BD1"/>
    <w:rsid w:val="00E21C01"/>
    <w:rsid w:val="00E21C53"/>
    <w:rsid w:val="00E21C7A"/>
    <w:rsid w:val="00E21E63"/>
    <w:rsid w:val="00E21F3D"/>
    <w:rsid w:val="00E21FDB"/>
    <w:rsid w:val="00E21FF9"/>
    <w:rsid w:val="00E220F0"/>
    <w:rsid w:val="00E221F9"/>
    <w:rsid w:val="00E2232E"/>
    <w:rsid w:val="00E22412"/>
    <w:rsid w:val="00E2244C"/>
    <w:rsid w:val="00E224F2"/>
    <w:rsid w:val="00E2257F"/>
    <w:rsid w:val="00E22584"/>
    <w:rsid w:val="00E225AD"/>
    <w:rsid w:val="00E22601"/>
    <w:rsid w:val="00E2267E"/>
    <w:rsid w:val="00E22696"/>
    <w:rsid w:val="00E226A9"/>
    <w:rsid w:val="00E2272D"/>
    <w:rsid w:val="00E227F6"/>
    <w:rsid w:val="00E22839"/>
    <w:rsid w:val="00E22898"/>
    <w:rsid w:val="00E228BA"/>
    <w:rsid w:val="00E228BF"/>
    <w:rsid w:val="00E228C6"/>
    <w:rsid w:val="00E22A27"/>
    <w:rsid w:val="00E22A2E"/>
    <w:rsid w:val="00E22BAF"/>
    <w:rsid w:val="00E22BB9"/>
    <w:rsid w:val="00E22CA6"/>
    <w:rsid w:val="00E22EA4"/>
    <w:rsid w:val="00E2301E"/>
    <w:rsid w:val="00E23211"/>
    <w:rsid w:val="00E232B8"/>
    <w:rsid w:val="00E23578"/>
    <w:rsid w:val="00E2360A"/>
    <w:rsid w:val="00E23653"/>
    <w:rsid w:val="00E23743"/>
    <w:rsid w:val="00E237E0"/>
    <w:rsid w:val="00E23845"/>
    <w:rsid w:val="00E2384D"/>
    <w:rsid w:val="00E23870"/>
    <w:rsid w:val="00E239CF"/>
    <w:rsid w:val="00E239DA"/>
    <w:rsid w:val="00E23A82"/>
    <w:rsid w:val="00E23B3B"/>
    <w:rsid w:val="00E23C83"/>
    <w:rsid w:val="00E23CA4"/>
    <w:rsid w:val="00E23F95"/>
    <w:rsid w:val="00E24004"/>
    <w:rsid w:val="00E240DE"/>
    <w:rsid w:val="00E2420A"/>
    <w:rsid w:val="00E24266"/>
    <w:rsid w:val="00E24362"/>
    <w:rsid w:val="00E243BD"/>
    <w:rsid w:val="00E244D3"/>
    <w:rsid w:val="00E244E2"/>
    <w:rsid w:val="00E24537"/>
    <w:rsid w:val="00E24592"/>
    <w:rsid w:val="00E246D8"/>
    <w:rsid w:val="00E24756"/>
    <w:rsid w:val="00E248E3"/>
    <w:rsid w:val="00E24B0A"/>
    <w:rsid w:val="00E24C22"/>
    <w:rsid w:val="00E24CE5"/>
    <w:rsid w:val="00E24D15"/>
    <w:rsid w:val="00E24E22"/>
    <w:rsid w:val="00E24EB0"/>
    <w:rsid w:val="00E24F77"/>
    <w:rsid w:val="00E24FB8"/>
    <w:rsid w:val="00E24FBC"/>
    <w:rsid w:val="00E2509E"/>
    <w:rsid w:val="00E25268"/>
    <w:rsid w:val="00E25311"/>
    <w:rsid w:val="00E25352"/>
    <w:rsid w:val="00E253B1"/>
    <w:rsid w:val="00E25427"/>
    <w:rsid w:val="00E25595"/>
    <w:rsid w:val="00E255CC"/>
    <w:rsid w:val="00E256FA"/>
    <w:rsid w:val="00E2585E"/>
    <w:rsid w:val="00E2588E"/>
    <w:rsid w:val="00E2592B"/>
    <w:rsid w:val="00E25961"/>
    <w:rsid w:val="00E25B25"/>
    <w:rsid w:val="00E25BAA"/>
    <w:rsid w:val="00E25CD8"/>
    <w:rsid w:val="00E25D2D"/>
    <w:rsid w:val="00E25D6C"/>
    <w:rsid w:val="00E25DAD"/>
    <w:rsid w:val="00E26238"/>
    <w:rsid w:val="00E262B5"/>
    <w:rsid w:val="00E263C7"/>
    <w:rsid w:val="00E2642F"/>
    <w:rsid w:val="00E2653B"/>
    <w:rsid w:val="00E26619"/>
    <w:rsid w:val="00E26624"/>
    <w:rsid w:val="00E2688A"/>
    <w:rsid w:val="00E26924"/>
    <w:rsid w:val="00E26949"/>
    <w:rsid w:val="00E269BA"/>
    <w:rsid w:val="00E269C4"/>
    <w:rsid w:val="00E269CA"/>
    <w:rsid w:val="00E26A00"/>
    <w:rsid w:val="00E26AE7"/>
    <w:rsid w:val="00E26AF7"/>
    <w:rsid w:val="00E26CD6"/>
    <w:rsid w:val="00E26D98"/>
    <w:rsid w:val="00E26DFD"/>
    <w:rsid w:val="00E26FCA"/>
    <w:rsid w:val="00E2700C"/>
    <w:rsid w:val="00E27355"/>
    <w:rsid w:val="00E273D5"/>
    <w:rsid w:val="00E27541"/>
    <w:rsid w:val="00E276DC"/>
    <w:rsid w:val="00E277E2"/>
    <w:rsid w:val="00E2792C"/>
    <w:rsid w:val="00E27935"/>
    <w:rsid w:val="00E27A40"/>
    <w:rsid w:val="00E27A87"/>
    <w:rsid w:val="00E27ABE"/>
    <w:rsid w:val="00E27B1F"/>
    <w:rsid w:val="00E27B88"/>
    <w:rsid w:val="00E27C7D"/>
    <w:rsid w:val="00E27C9B"/>
    <w:rsid w:val="00E27CF5"/>
    <w:rsid w:val="00E27E04"/>
    <w:rsid w:val="00E27F28"/>
    <w:rsid w:val="00E27FE6"/>
    <w:rsid w:val="00E30049"/>
    <w:rsid w:val="00E300CF"/>
    <w:rsid w:val="00E301B6"/>
    <w:rsid w:val="00E302D1"/>
    <w:rsid w:val="00E3031D"/>
    <w:rsid w:val="00E30398"/>
    <w:rsid w:val="00E3047E"/>
    <w:rsid w:val="00E304BD"/>
    <w:rsid w:val="00E30670"/>
    <w:rsid w:val="00E3067C"/>
    <w:rsid w:val="00E306E3"/>
    <w:rsid w:val="00E3076F"/>
    <w:rsid w:val="00E3077F"/>
    <w:rsid w:val="00E3078B"/>
    <w:rsid w:val="00E30829"/>
    <w:rsid w:val="00E3084B"/>
    <w:rsid w:val="00E3086F"/>
    <w:rsid w:val="00E3090B"/>
    <w:rsid w:val="00E30A8A"/>
    <w:rsid w:val="00E30BBC"/>
    <w:rsid w:val="00E30DDA"/>
    <w:rsid w:val="00E30F10"/>
    <w:rsid w:val="00E30F5E"/>
    <w:rsid w:val="00E31014"/>
    <w:rsid w:val="00E3102F"/>
    <w:rsid w:val="00E3107B"/>
    <w:rsid w:val="00E310F2"/>
    <w:rsid w:val="00E311A3"/>
    <w:rsid w:val="00E311B2"/>
    <w:rsid w:val="00E311C2"/>
    <w:rsid w:val="00E31202"/>
    <w:rsid w:val="00E31224"/>
    <w:rsid w:val="00E31459"/>
    <w:rsid w:val="00E314E8"/>
    <w:rsid w:val="00E31563"/>
    <w:rsid w:val="00E31565"/>
    <w:rsid w:val="00E316B5"/>
    <w:rsid w:val="00E31796"/>
    <w:rsid w:val="00E317A4"/>
    <w:rsid w:val="00E31873"/>
    <w:rsid w:val="00E31BAC"/>
    <w:rsid w:val="00E31BDA"/>
    <w:rsid w:val="00E31C49"/>
    <w:rsid w:val="00E31CC5"/>
    <w:rsid w:val="00E31D1F"/>
    <w:rsid w:val="00E31FA1"/>
    <w:rsid w:val="00E32061"/>
    <w:rsid w:val="00E320DD"/>
    <w:rsid w:val="00E322DE"/>
    <w:rsid w:val="00E32325"/>
    <w:rsid w:val="00E32349"/>
    <w:rsid w:val="00E3238D"/>
    <w:rsid w:val="00E3238E"/>
    <w:rsid w:val="00E324C9"/>
    <w:rsid w:val="00E325CF"/>
    <w:rsid w:val="00E32609"/>
    <w:rsid w:val="00E328BE"/>
    <w:rsid w:val="00E32911"/>
    <w:rsid w:val="00E32A63"/>
    <w:rsid w:val="00E32A7B"/>
    <w:rsid w:val="00E32A83"/>
    <w:rsid w:val="00E32CA4"/>
    <w:rsid w:val="00E32D4C"/>
    <w:rsid w:val="00E32EA9"/>
    <w:rsid w:val="00E32EAC"/>
    <w:rsid w:val="00E32ED3"/>
    <w:rsid w:val="00E32F4D"/>
    <w:rsid w:val="00E3300B"/>
    <w:rsid w:val="00E330D9"/>
    <w:rsid w:val="00E33176"/>
    <w:rsid w:val="00E332C9"/>
    <w:rsid w:val="00E33477"/>
    <w:rsid w:val="00E334CA"/>
    <w:rsid w:val="00E335CA"/>
    <w:rsid w:val="00E335DE"/>
    <w:rsid w:val="00E3363E"/>
    <w:rsid w:val="00E336E9"/>
    <w:rsid w:val="00E3375A"/>
    <w:rsid w:val="00E3389D"/>
    <w:rsid w:val="00E338C4"/>
    <w:rsid w:val="00E338D6"/>
    <w:rsid w:val="00E338F6"/>
    <w:rsid w:val="00E33958"/>
    <w:rsid w:val="00E3395F"/>
    <w:rsid w:val="00E33979"/>
    <w:rsid w:val="00E33A3B"/>
    <w:rsid w:val="00E33A46"/>
    <w:rsid w:val="00E33A54"/>
    <w:rsid w:val="00E33C63"/>
    <w:rsid w:val="00E33D1D"/>
    <w:rsid w:val="00E33D4F"/>
    <w:rsid w:val="00E33EAA"/>
    <w:rsid w:val="00E33F4D"/>
    <w:rsid w:val="00E33FEC"/>
    <w:rsid w:val="00E34073"/>
    <w:rsid w:val="00E341F7"/>
    <w:rsid w:val="00E34337"/>
    <w:rsid w:val="00E343E4"/>
    <w:rsid w:val="00E34470"/>
    <w:rsid w:val="00E345A1"/>
    <w:rsid w:val="00E34642"/>
    <w:rsid w:val="00E34783"/>
    <w:rsid w:val="00E34917"/>
    <w:rsid w:val="00E34940"/>
    <w:rsid w:val="00E34A26"/>
    <w:rsid w:val="00E34C12"/>
    <w:rsid w:val="00E34C2A"/>
    <w:rsid w:val="00E34C2C"/>
    <w:rsid w:val="00E34DAC"/>
    <w:rsid w:val="00E34E11"/>
    <w:rsid w:val="00E34FAD"/>
    <w:rsid w:val="00E352D4"/>
    <w:rsid w:val="00E35304"/>
    <w:rsid w:val="00E353BB"/>
    <w:rsid w:val="00E353F7"/>
    <w:rsid w:val="00E35476"/>
    <w:rsid w:val="00E355F3"/>
    <w:rsid w:val="00E35603"/>
    <w:rsid w:val="00E35672"/>
    <w:rsid w:val="00E35773"/>
    <w:rsid w:val="00E357AF"/>
    <w:rsid w:val="00E3586E"/>
    <w:rsid w:val="00E35961"/>
    <w:rsid w:val="00E35A44"/>
    <w:rsid w:val="00E35B35"/>
    <w:rsid w:val="00E35BC9"/>
    <w:rsid w:val="00E35E3C"/>
    <w:rsid w:val="00E35F28"/>
    <w:rsid w:val="00E35F8D"/>
    <w:rsid w:val="00E3601E"/>
    <w:rsid w:val="00E36023"/>
    <w:rsid w:val="00E360DA"/>
    <w:rsid w:val="00E360DB"/>
    <w:rsid w:val="00E3616E"/>
    <w:rsid w:val="00E362C4"/>
    <w:rsid w:val="00E364D3"/>
    <w:rsid w:val="00E36516"/>
    <w:rsid w:val="00E3664E"/>
    <w:rsid w:val="00E36757"/>
    <w:rsid w:val="00E3677E"/>
    <w:rsid w:val="00E367DF"/>
    <w:rsid w:val="00E3681F"/>
    <w:rsid w:val="00E3689C"/>
    <w:rsid w:val="00E369CC"/>
    <w:rsid w:val="00E36ABC"/>
    <w:rsid w:val="00E36ABF"/>
    <w:rsid w:val="00E36C47"/>
    <w:rsid w:val="00E36C51"/>
    <w:rsid w:val="00E36CBB"/>
    <w:rsid w:val="00E36CC2"/>
    <w:rsid w:val="00E36F05"/>
    <w:rsid w:val="00E36F95"/>
    <w:rsid w:val="00E37094"/>
    <w:rsid w:val="00E3712D"/>
    <w:rsid w:val="00E3713E"/>
    <w:rsid w:val="00E3717F"/>
    <w:rsid w:val="00E3723E"/>
    <w:rsid w:val="00E3726A"/>
    <w:rsid w:val="00E3727B"/>
    <w:rsid w:val="00E37291"/>
    <w:rsid w:val="00E3734F"/>
    <w:rsid w:val="00E3739D"/>
    <w:rsid w:val="00E373F1"/>
    <w:rsid w:val="00E3742F"/>
    <w:rsid w:val="00E37520"/>
    <w:rsid w:val="00E3752F"/>
    <w:rsid w:val="00E37582"/>
    <w:rsid w:val="00E37642"/>
    <w:rsid w:val="00E37709"/>
    <w:rsid w:val="00E37762"/>
    <w:rsid w:val="00E37830"/>
    <w:rsid w:val="00E378B0"/>
    <w:rsid w:val="00E37A15"/>
    <w:rsid w:val="00E37AE6"/>
    <w:rsid w:val="00E37D31"/>
    <w:rsid w:val="00E37E8C"/>
    <w:rsid w:val="00E37EE8"/>
    <w:rsid w:val="00E37FD3"/>
    <w:rsid w:val="00E37FDE"/>
    <w:rsid w:val="00E38845"/>
    <w:rsid w:val="00E400D6"/>
    <w:rsid w:val="00E401A4"/>
    <w:rsid w:val="00E401A8"/>
    <w:rsid w:val="00E40284"/>
    <w:rsid w:val="00E402F9"/>
    <w:rsid w:val="00E405CB"/>
    <w:rsid w:val="00E405F2"/>
    <w:rsid w:val="00E40617"/>
    <w:rsid w:val="00E4069D"/>
    <w:rsid w:val="00E40727"/>
    <w:rsid w:val="00E40829"/>
    <w:rsid w:val="00E40865"/>
    <w:rsid w:val="00E40896"/>
    <w:rsid w:val="00E40B29"/>
    <w:rsid w:val="00E40B7A"/>
    <w:rsid w:val="00E40CE5"/>
    <w:rsid w:val="00E40D96"/>
    <w:rsid w:val="00E40F9C"/>
    <w:rsid w:val="00E410B4"/>
    <w:rsid w:val="00E41100"/>
    <w:rsid w:val="00E4113F"/>
    <w:rsid w:val="00E411ED"/>
    <w:rsid w:val="00E41462"/>
    <w:rsid w:val="00E41581"/>
    <w:rsid w:val="00E4165A"/>
    <w:rsid w:val="00E41670"/>
    <w:rsid w:val="00E416C7"/>
    <w:rsid w:val="00E41726"/>
    <w:rsid w:val="00E417A7"/>
    <w:rsid w:val="00E418F9"/>
    <w:rsid w:val="00E419A4"/>
    <w:rsid w:val="00E41A01"/>
    <w:rsid w:val="00E41A68"/>
    <w:rsid w:val="00E41AD9"/>
    <w:rsid w:val="00E41B5D"/>
    <w:rsid w:val="00E41BCD"/>
    <w:rsid w:val="00E41CAE"/>
    <w:rsid w:val="00E41E3A"/>
    <w:rsid w:val="00E41EB7"/>
    <w:rsid w:val="00E41F1F"/>
    <w:rsid w:val="00E41FCB"/>
    <w:rsid w:val="00E42009"/>
    <w:rsid w:val="00E42142"/>
    <w:rsid w:val="00E42152"/>
    <w:rsid w:val="00E423D3"/>
    <w:rsid w:val="00E423F5"/>
    <w:rsid w:val="00E42654"/>
    <w:rsid w:val="00E42688"/>
    <w:rsid w:val="00E426B9"/>
    <w:rsid w:val="00E42713"/>
    <w:rsid w:val="00E428D5"/>
    <w:rsid w:val="00E42953"/>
    <w:rsid w:val="00E429C9"/>
    <w:rsid w:val="00E42AB2"/>
    <w:rsid w:val="00E42AB3"/>
    <w:rsid w:val="00E42AD0"/>
    <w:rsid w:val="00E42BBF"/>
    <w:rsid w:val="00E42CA7"/>
    <w:rsid w:val="00E42D42"/>
    <w:rsid w:val="00E42DC3"/>
    <w:rsid w:val="00E42E0B"/>
    <w:rsid w:val="00E42E17"/>
    <w:rsid w:val="00E42EA7"/>
    <w:rsid w:val="00E42F74"/>
    <w:rsid w:val="00E4300E"/>
    <w:rsid w:val="00E430A0"/>
    <w:rsid w:val="00E4322A"/>
    <w:rsid w:val="00E43278"/>
    <w:rsid w:val="00E432F8"/>
    <w:rsid w:val="00E433B2"/>
    <w:rsid w:val="00E433D1"/>
    <w:rsid w:val="00E433F7"/>
    <w:rsid w:val="00E434A8"/>
    <w:rsid w:val="00E43501"/>
    <w:rsid w:val="00E43551"/>
    <w:rsid w:val="00E43673"/>
    <w:rsid w:val="00E436D2"/>
    <w:rsid w:val="00E436F7"/>
    <w:rsid w:val="00E437E4"/>
    <w:rsid w:val="00E4389F"/>
    <w:rsid w:val="00E438F4"/>
    <w:rsid w:val="00E43919"/>
    <w:rsid w:val="00E43926"/>
    <w:rsid w:val="00E43A29"/>
    <w:rsid w:val="00E43AA5"/>
    <w:rsid w:val="00E43BFE"/>
    <w:rsid w:val="00E43C9E"/>
    <w:rsid w:val="00E43D2D"/>
    <w:rsid w:val="00E43D81"/>
    <w:rsid w:val="00E43E0C"/>
    <w:rsid w:val="00E43EA0"/>
    <w:rsid w:val="00E43EEB"/>
    <w:rsid w:val="00E43F38"/>
    <w:rsid w:val="00E43F80"/>
    <w:rsid w:val="00E43FD1"/>
    <w:rsid w:val="00E44107"/>
    <w:rsid w:val="00E44413"/>
    <w:rsid w:val="00E4442C"/>
    <w:rsid w:val="00E444B6"/>
    <w:rsid w:val="00E44639"/>
    <w:rsid w:val="00E44656"/>
    <w:rsid w:val="00E44952"/>
    <w:rsid w:val="00E44AD0"/>
    <w:rsid w:val="00E44AD1"/>
    <w:rsid w:val="00E44B0F"/>
    <w:rsid w:val="00E44B65"/>
    <w:rsid w:val="00E44C6A"/>
    <w:rsid w:val="00E44D8D"/>
    <w:rsid w:val="00E44DF8"/>
    <w:rsid w:val="00E44FF2"/>
    <w:rsid w:val="00E45002"/>
    <w:rsid w:val="00E4501B"/>
    <w:rsid w:val="00E45231"/>
    <w:rsid w:val="00E452A8"/>
    <w:rsid w:val="00E45414"/>
    <w:rsid w:val="00E45558"/>
    <w:rsid w:val="00E45856"/>
    <w:rsid w:val="00E4592F"/>
    <w:rsid w:val="00E45A07"/>
    <w:rsid w:val="00E45A67"/>
    <w:rsid w:val="00E45A88"/>
    <w:rsid w:val="00E45B4A"/>
    <w:rsid w:val="00E45B77"/>
    <w:rsid w:val="00E45BA6"/>
    <w:rsid w:val="00E45CD1"/>
    <w:rsid w:val="00E45D3E"/>
    <w:rsid w:val="00E45F46"/>
    <w:rsid w:val="00E460F5"/>
    <w:rsid w:val="00E461DA"/>
    <w:rsid w:val="00E46232"/>
    <w:rsid w:val="00E4631C"/>
    <w:rsid w:val="00E46449"/>
    <w:rsid w:val="00E464E2"/>
    <w:rsid w:val="00E464F1"/>
    <w:rsid w:val="00E46514"/>
    <w:rsid w:val="00E4665A"/>
    <w:rsid w:val="00E466B5"/>
    <w:rsid w:val="00E467FF"/>
    <w:rsid w:val="00E4688D"/>
    <w:rsid w:val="00E468E1"/>
    <w:rsid w:val="00E4691C"/>
    <w:rsid w:val="00E46953"/>
    <w:rsid w:val="00E4697A"/>
    <w:rsid w:val="00E46ABF"/>
    <w:rsid w:val="00E46B83"/>
    <w:rsid w:val="00E46C36"/>
    <w:rsid w:val="00E46C46"/>
    <w:rsid w:val="00E46DAA"/>
    <w:rsid w:val="00E46DB7"/>
    <w:rsid w:val="00E46ED8"/>
    <w:rsid w:val="00E46F46"/>
    <w:rsid w:val="00E46FCC"/>
    <w:rsid w:val="00E47007"/>
    <w:rsid w:val="00E47050"/>
    <w:rsid w:val="00E470BD"/>
    <w:rsid w:val="00E47231"/>
    <w:rsid w:val="00E47283"/>
    <w:rsid w:val="00E47423"/>
    <w:rsid w:val="00E4743A"/>
    <w:rsid w:val="00E474F4"/>
    <w:rsid w:val="00E47576"/>
    <w:rsid w:val="00E4760C"/>
    <w:rsid w:val="00E4760E"/>
    <w:rsid w:val="00E4770D"/>
    <w:rsid w:val="00E478CD"/>
    <w:rsid w:val="00E479BB"/>
    <w:rsid w:val="00E47A04"/>
    <w:rsid w:val="00E47BBD"/>
    <w:rsid w:val="00E47C6F"/>
    <w:rsid w:val="00E47CBC"/>
    <w:rsid w:val="00E47D85"/>
    <w:rsid w:val="00E47E0F"/>
    <w:rsid w:val="00E47E3D"/>
    <w:rsid w:val="00E47E59"/>
    <w:rsid w:val="00E47E79"/>
    <w:rsid w:val="00E47EDC"/>
    <w:rsid w:val="00E47EF4"/>
    <w:rsid w:val="00E47F40"/>
    <w:rsid w:val="00E47F79"/>
    <w:rsid w:val="00E47FEB"/>
    <w:rsid w:val="00E5007E"/>
    <w:rsid w:val="00E5009F"/>
    <w:rsid w:val="00E5013E"/>
    <w:rsid w:val="00E50166"/>
    <w:rsid w:val="00E50184"/>
    <w:rsid w:val="00E501BD"/>
    <w:rsid w:val="00E50284"/>
    <w:rsid w:val="00E503C5"/>
    <w:rsid w:val="00E50740"/>
    <w:rsid w:val="00E508F3"/>
    <w:rsid w:val="00E50998"/>
    <w:rsid w:val="00E50A05"/>
    <w:rsid w:val="00E50A58"/>
    <w:rsid w:val="00E50C04"/>
    <w:rsid w:val="00E50D9F"/>
    <w:rsid w:val="00E50FFB"/>
    <w:rsid w:val="00E511EF"/>
    <w:rsid w:val="00E5127B"/>
    <w:rsid w:val="00E5135B"/>
    <w:rsid w:val="00E5136D"/>
    <w:rsid w:val="00E5157C"/>
    <w:rsid w:val="00E51593"/>
    <w:rsid w:val="00E517E2"/>
    <w:rsid w:val="00E519B4"/>
    <w:rsid w:val="00E51A2C"/>
    <w:rsid w:val="00E51CFB"/>
    <w:rsid w:val="00E51D2D"/>
    <w:rsid w:val="00E51EA4"/>
    <w:rsid w:val="00E51F12"/>
    <w:rsid w:val="00E51F2F"/>
    <w:rsid w:val="00E5200F"/>
    <w:rsid w:val="00E52062"/>
    <w:rsid w:val="00E52131"/>
    <w:rsid w:val="00E52132"/>
    <w:rsid w:val="00E5223D"/>
    <w:rsid w:val="00E524A8"/>
    <w:rsid w:val="00E52523"/>
    <w:rsid w:val="00E5256A"/>
    <w:rsid w:val="00E525BD"/>
    <w:rsid w:val="00E526BA"/>
    <w:rsid w:val="00E526E7"/>
    <w:rsid w:val="00E52744"/>
    <w:rsid w:val="00E52A87"/>
    <w:rsid w:val="00E52D48"/>
    <w:rsid w:val="00E52E6B"/>
    <w:rsid w:val="00E52E73"/>
    <w:rsid w:val="00E52EA9"/>
    <w:rsid w:val="00E52F29"/>
    <w:rsid w:val="00E53104"/>
    <w:rsid w:val="00E531EE"/>
    <w:rsid w:val="00E5320B"/>
    <w:rsid w:val="00E53242"/>
    <w:rsid w:val="00E5324A"/>
    <w:rsid w:val="00E532EA"/>
    <w:rsid w:val="00E5331C"/>
    <w:rsid w:val="00E534E0"/>
    <w:rsid w:val="00E534F3"/>
    <w:rsid w:val="00E535B3"/>
    <w:rsid w:val="00E536BA"/>
    <w:rsid w:val="00E53817"/>
    <w:rsid w:val="00E53837"/>
    <w:rsid w:val="00E53A01"/>
    <w:rsid w:val="00E53A73"/>
    <w:rsid w:val="00E53A87"/>
    <w:rsid w:val="00E53B49"/>
    <w:rsid w:val="00E53BFA"/>
    <w:rsid w:val="00E53D2C"/>
    <w:rsid w:val="00E53D6E"/>
    <w:rsid w:val="00E53E06"/>
    <w:rsid w:val="00E53E8A"/>
    <w:rsid w:val="00E54223"/>
    <w:rsid w:val="00E54519"/>
    <w:rsid w:val="00E5483B"/>
    <w:rsid w:val="00E548C9"/>
    <w:rsid w:val="00E549E2"/>
    <w:rsid w:val="00E54AB7"/>
    <w:rsid w:val="00E54B50"/>
    <w:rsid w:val="00E54BB1"/>
    <w:rsid w:val="00E54DCB"/>
    <w:rsid w:val="00E54E80"/>
    <w:rsid w:val="00E54EDA"/>
    <w:rsid w:val="00E54EDC"/>
    <w:rsid w:val="00E54F72"/>
    <w:rsid w:val="00E54F88"/>
    <w:rsid w:val="00E5501C"/>
    <w:rsid w:val="00E550E9"/>
    <w:rsid w:val="00E5510D"/>
    <w:rsid w:val="00E551B2"/>
    <w:rsid w:val="00E55762"/>
    <w:rsid w:val="00E55793"/>
    <w:rsid w:val="00E557EB"/>
    <w:rsid w:val="00E55804"/>
    <w:rsid w:val="00E55876"/>
    <w:rsid w:val="00E5593D"/>
    <w:rsid w:val="00E5595D"/>
    <w:rsid w:val="00E559FD"/>
    <w:rsid w:val="00E55AB6"/>
    <w:rsid w:val="00E55C27"/>
    <w:rsid w:val="00E55CAA"/>
    <w:rsid w:val="00E55DA2"/>
    <w:rsid w:val="00E55E35"/>
    <w:rsid w:val="00E56003"/>
    <w:rsid w:val="00E56009"/>
    <w:rsid w:val="00E5600E"/>
    <w:rsid w:val="00E560C9"/>
    <w:rsid w:val="00E56129"/>
    <w:rsid w:val="00E561C3"/>
    <w:rsid w:val="00E561FC"/>
    <w:rsid w:val="00E56362"/>
    <w:rsid w:val="00E56454"/>
    <w:rsid w:val="00E564A7"/>
    <w:rsid w:val="00E565F3"/>
    <w:rsid w:val="00E5668E"/>
    <w:rsid w:val="00E5685C"/>
    <w:rsid w:val="00E5695B"/>
    <w:rsid w:val="00E5699C"/>
    <w:rsid w:val="00E56A08"/>
    <w:rsid w:val="00E56AAE"/>
    <w:rsid w:val="00E56ACC"/>
    <w:rsid w:val="00E56AEA"/>
    <w:rsid w:val="00E56B02"/>
    <w:rsid w:val="00E56BCE"/>
    <w:rsid w:val="00E56BFC"/>
    <w:rsid w:val="00E56C32"/>
    <w:rsid w:val="00E56CA5"/>
    <w:rsid w:val="00E56CD8"/>
    <w:rsid w:val="00E56D58"/>
    <w:rsid w:val="00E56D6B"/>
    <w:rsid w:val="00E56F7C"/>
    <w:rsid w:val="00E56FC2"/>
    <w:rsid w:val="00E570B8"/>
    <w:rsid w:val="00E571E8"/>
    <w:rsid w:val="00E57264"/>
    <w:rsid w:val="00E57361"/>
    <w:rsid w:val="00E573F7"/>
    <w:rsid w:val="00E5746A"/>
    <w:rsid w:val="00E576DB"/>
    <w:rsid w:val="00E5775D"/>
    <w:rsid w:val="00E5777A"/>
    <w:rsid w:val="00E5779E"/>
    <w:rsid w:val="00E57800"/>
    <w:rsid w:val="00E5787A"/>
    <w:rsid w:val="00E57889"/>
    <w:rsid w:val="00E579B0"/>
    <w:rsid w:val="00E57A22"/>
    <w:rsid w:val="00E57B32"/>
    <w:rsid w:val="00E57B76"/>
    <w:rsid w:val="00E57D45"/>
    <w:rsid w:val="00E57E52"/>
    <w:rsid w:val="00E6009B"/>
    <w:rsid w:val="00E600B7"/>
    <w:rsid w:val="00E6019B"/>
    <w:rsid w:val="00E602EE"/>
    <w:rsid w:val="00E604A0"/>
    <w:rsid w:val="00E60524"/>
    <w:rsid w:val="00E60575"/>
    <w:rsid w:val="00E606A1"/>
    <w:rsid w:val="00E606C8"/>
    <w:rsid w:val="00E6088B"/>
    <w:rsid w:val="00E60965"/>
    <w:rsid w:val="00E60985"/>
    <w:rsid w:val="00E60AF6"/>
    <w:rsid w:val="00E60DD4"/>
    <w:rsid w:val="00E60FD7"/>
    <w:rsid w:val="00E60FF2"/>
    <w:rsid w:val="00E610B3"/>
    <w:rsid w:val="00E61127"/>
    <w:rsid w:val="00E611FE"/>
    <w:rsid w:val="00E6125F"/>
    <w:rsid w:val="00E613B5"/>
    <w:rsid w:val="00E61498"/>
    <w:rsid w:val="00E61548"/>
    <w:rsid w:val="00E61563"/>
    <w:rsid w:val="00E61578"/>
    <w:rsid w:val="00E61599"/>
    <w:rsid w:val="00E6173D"/>
    <w:rsid w:val="00E617B3"/>
    <w:rsid w:val="00E617CD"/>
    <w:rsid w:val="00E61817"/>
    <w:rsid w:val="00E6198D"/>
    <w:rsid w:val="00E619ED"/>
    <w:rsid w:val="00E61AB5"/>
    <w:rsid w:val="00E61AF1"/>
    <w:rsid w:val="00E61B6F"/>
    <w:rsid w:val="00E61B9D"/>
    <w:rsid w:val="00E61C82"/>
    <w:rsid w:val="00E61D19"/>
    <w:rsid w:val="00E61D8F"/>
    <w:rsid w:val="00E61EDB"/>
    <w:rsid w:val="00E62050"/>
    <w:rsid w:val="00E6209B"/>
    <w:rsid w:val="00E620D3"/>
    <w:rsid w:val="00E6213D"/>
    <w:rsid w:val="00E6215D"/>
    <w:rsid w:val="00E621F3"/>
    <w:rsid w:val="00E621F9"/>
    <w:rsid w:val="00E6229D"/>
    <w:rsid w:val="00E62318"/>
    <w:rsid w:val="00E62379"/>
    <w:rsid w:val="00E624EC"/>
    <w:rsid w:val="00E625A2"/>
    <w:rsid w:val="00E625BB"/>
    <w:rsid w:val="00E626A5"/>
    <w:rsid w:val="00E6270A"/>
    <w:rsid w:val="00E6291D"/>
    <w:rsid w:val="00E6294B"/>
    <w:rsid w:val="00E62ABE"/>
    <w:rsid w:val="00E62E23"/>
    <w:rsid w:val="00E62E54"/>
    <w:rsid w:val="00E62E7C"/>
    <w:rsid w:val="00E6300A"/>
    <w:rsid w:val="00E63079"/>
    <w:rsid w:val="00E6309A"/>
    <w:rsid w:val="00E63134"/>
    <w:rsid w:val="00E63145"/>
    <w:rsid w:val="00E6322A"/>
    <w:rsid w:val="00E632C6"/>
    <w:rsid w:val="00E632FE"/>
    <w:rsid w:val="00E63346"/>
    <w:rsid w:val="00E635F7"/>
    <w:rsid w:val="00E63634"/>
    <w:rsid w:val="00E637BA"/>
    <w:rsid w:val="00E63895"/>
    <w:rsid w:val="00E63A8D"/>
    <w:rsid w:val="00E63BB7"/>
    <w:rsid w:val="00E63C90"/>
    <w:rsid w:val="00E63CC3"/>
    <w:rsid w:val="00E63D46"/>
    <w:rsid w:val="00E63D85"/>
    <w:rsid w:val="00E63EE9"/>
    <w:rsid w:val="00E63F83"/>
    <w:rsid w:val="00E63FF5"/>
    <w:rsid w:val="00E640AC"/>
    <w:rsid w:val="00E64165"/>
    <w:rsid w:val="00E64216"/>
    <w:rsid w:val="00E6428B"/>
    <w:rsid w:val="00E642F3"/>
    <w:rsid w:val="00E64370"/>
    <w:rsid w:val="00E64448"/>
    <w:rsid w:val="00E6465A"/>
    <w:rsid w:val="00E6474F"/>
    <w:rsid w:val="00E6475F"/>
    <w:rsid w:val="00E6478B"/>
    <w:rsid w:val="00E647D2"/>
    <w:rsid w:val="00E647F7"/>
    <w:rsid w:val="00E649C3"/>
    <w:rsid w:val="00E649E7"/>
    <w:rsid w:val="00E64A12"/>
    <w:rsid w:val="00E64A7D"/>
    <w:rsid w:val="00E64AA1"/>
    <w:rsid w:val="00E64B76"/>
    <w:rsid w:val="00E64BA3"/>
    <w:rsid w:val="00E64E2D"/>
    <w:rsid w:val="00E64F12"/>
    <w:rsid w:val="00E64FCC"/>
    <w:rsid w:val="00E65008"/>
    <w:rsid w:val="00E65126"/>
    <w:rsid w:val="00E6524C"/>
    <w:rsid w:val="00E653CF"/>
    <w:rsid w:val="00E6540B"/>
    <w:rsid w:val="00E6543B"/>
    <w:rsid w:val="00E654EC"/>
    <w:rsid w:val="00E656B8"/>
    <w:rsid w:val="00E65B52"/>
    <w:rsid w:val="00E65CDC"/>
    <w:rsid w:val="00E65D03"/>
    <w:rsid w:val="00E65EE1"/>
    <w:rsid w:val="00E65F22"/>
    <w:rsid w:val="00E660D6"/>
    <w:rsid w:val="00E66147"/>
    <w:rsid w:val="00E66221"/>
    <w:rsid w:val="00E6624D"/>
    <w:rsid w:val="00E66349"/>
    <w:rsid w:val="00E663EC"/>
    <w:rsid w:val="00E663FD"/>
    <w:rsid w:val="00E664C3"/>
    <w:rsid w:val="00E66788"/>
    <w:rsid w:val="00E6679C"/>
    <w:rsid w:val="00E66BBF"/>
    <w:rsid w:val="00E66BD1"/>
    <w:rsid w:val="00E66C4E"/>
    <w:rsid w:val="00E66C72"/>
    <w:rsid w:val="00E66CC1"/>
    <w:rsid w:val="00E66E13"/>
    <w:rsid w:val="00E66EBD"/>
    <w:rsid w:val="00E66ECC"/>
    <w:rsid w:val="00E66EDD"/>
    <w:rsid w:val="00E66F06"/>
    <w:rsid w:val="00E66F1D"/>
    <w:rsid w:val="00E66FA5"/>
    <w:rsid w:val="00E67076"/>
    <w:rsid w:val="00E670B8"/>
    <w:rsid w:val="00E671D0"/>
    <w:rsid w:val="00E67271"/>
    <w:rsid w:val="00E672F4"/>
    <w:rsid w:val="00E67348"/>
    <w:rsid w:val="00E673AC"/>
    <w:rsid w:val="00E674EE"/>
    <w:rsid w:val="00E67670"/>
    <w:rsid w:val="00E67674"/>
    <w:rsid w:val="00E6769D"/>
    <w:rsid w:val="00E676B7"/>
    <w:rsid w:val="00E67798"/>
    <w:rsid w:val="00E67861"/>
    <w:rsid w:val="00E67864"/>
    <w:rsid w:val="00E6788C"/>
    <w:rsid w:val="00E67890"/>
    <w:rsid w:val="00E678D2"/>
    <w:rsid w:val="00E678F6"/>
    <w:rsid w:val="00E6796D"/>
    <w:rsid w:val="00E67A60"/>
    <w:rsid w:val="00E67B05"/>
    <w:rsid w:val="00E67B20"/>
    <w:rsid w:val="00E67B23"/>
    <w:rsid w:val="00E67B7A"/>
    <w:rsid w:val="00E67E18"/>
    <w:rsid w:val="00E67E35"/>
    <w:rsid w:val="00E67E81"/>
    <w:rsid w:val="00E7001E"/>
    <w:rsid w:val="00E70262"/>
    <w:rsid w:val="00E7026E"/>
    <w:rsid w:val="00E703B7"/>
    <w:rsid w:val="00E703F6"/>
    <w:rsid w:val="00E705CD"/>
    <w:rsid w:val="00E70695"/>
    <w:rsid w:val="00E70773"/>
    <w:rsid w:val="00E70786"/>
    <w:rsid w:val="00E7081C"/>
    <w:rsid w:val="00E708D2"/>
    <w:rsid w:val="00E70A7D"/>
    <w:rsid w:val="00E70B09"/>
    <w:rsid w:val="00E70CC7"/>
    <w:rsid w:val="00E70CFF"/>
    <w:rsid w:val="00E70E30"/>
    <w:rsid w:val="00E70EA0"/>
    <w:rsid w:val="00E70F86"/>
    <w:rsid w:val="00E70FC8"/>
    <w:rsid w:val="00E7100B"/>
    <w:rsid w:val="00E7101A"/>
    <w:rsid w:val="00E71047"/>
    <w:rsid w:val="00E710B2"/>
    <w:rsid w:val="00E710ED"/>
    <w:rsid w:val="00E711D6"/>
    <w:rsid w:val="00E71237"/>
    <w:rsid w:val="00E712E4"/>
    <w:rsid w:val="00E71352"/>
    <w:rsid w:val="00E713FD"/>
    <w:rsid w:val="00E71517"/>
    <w:rsid w:val="00E7156E"/>
    <w:rsid w:val="00E7168C"/>
    <w:rsid w:val="00E7168E"/>
    <w:rsid w:val="00E71698"/>
    <w:rsid w:val="00E71786"/>
    <w:rsid w:val="00E717B1"/>
    <w:rsid w:val="00E717CA"/>
    <w:rsid w:val="00E7182C"/>
    <w:rsid w:val="00E718D2"/>
    <w:rsid w:val="00E719E4"/>
    <w:rsid w:val="00E71B9F"/>
    <w:rsid w:val="00E71C1E"/>
    <w:rsid w:val="00E71E53"/>
    <w:rsid w:val="00E71EE6"/>
    <w:rsid w:val="00E71F15"/>
    <w:rsid w:val="00E71FA9"/>
    <w:rsid w:val="00E71FD8"/>
    <w:rsid w:val="00E72137"/>
    <w:rsid w:val="00E72266"/>
    <w:rsid w:val="00E72466"/>
    <w:rsid w:val="00E7260E"/>
    <w:rsid w:val="00E72673"/>
    <w:rsid w:val="00E72724"/>
    <w:rsid w:val="00E7279D"/>
    <w:rsid w:val="00E727F5"/>
    <w:rsid w:val="00E727FF"/>
    <w:rsid w:val="00E728B8"/>
    <w:rsid w:val="00E72934"/>
    <w:rsid w:val="00E7293F"/>
    <w:rsid w:val="00E72AD5"/>
    <w:rsid w:val="00E72B0C"/>
    <w:rsid w:val="00E72C2F"/>
    <w:rsid w:val="00E72CBC"/>
    <w:rsid w:val="00E72CCE"/>
    <w:rsid w:val="00E72D2F"/>
    <w:rsid w:val="00E72E16"/>
    <w:rsid w:val="00E72EF7"/>
    <w:rsid w:val="00E72F02"/>
    <w:rsid w:val="00E72FAB"/>
    <w:rsid w:val="00E73039"/>
    <w:rsid w:val="00E732D6"/>
    <w:rsid w:val="00E733C4"/>
    <w:rsid w:val="00E736F1"/>
    <w:rsid w:val="00E737C9"/>
    <w:rsid w:val="00E73803"/>
    <w:rsid w:val="00E73941"/>
    <w:rsid w:val="00E73A0D"/>
    <w:rsid w:val="00E73AE6"/>
    <w:rsid w:val="00E73C64"/>
    <w:rsid w:val="00E73D3D"/>
    <w:rsid w:val="00E73D66"/>
    <w:rsid w:val="00E73ECB"/>
    <w:rsid w:val="00E73F5A"/>
    <w:rsid w:val="00E74104"/>
    <w:rsid w:val="00E74111"/>
    <w:rsid w:val="00E74121"/>
    <w:rsid w:val="00E74377"/>
    <w:rsid w:val="00E74474"/>
    <w:rsid w:val="00E74509"/>
    <w:rsid w:val="00E7450D"/>
    <w:rsid w:val="00E7451F"/>
    <w:rsid w:val="00E745F2"/>
    <w:rsid w:val="00E74959"/>
    <w:rsid w:val="00E74975"/>
    <w:rsid w:val="00E749E0"/>
    <w:rsid w:val="00E749E1"/>
    <w:rsid w:val="00E74A6C"/>
    <w:rsid w:val="00E74C3A"/>
    <w:rsid w:val="00E74CD6"/>
    <w:rsid w:val="00E74CED"/>
    <w:rsid w:val="00E74E24"/>
    <w:rsid w:val="00E74E37"/>
    <w:rsid w:val="00E75036"/>
    <w:rsid w:val="00E750E4"/>
    <w:rsid w:val="00E751C4"/>
    <w:rsid w:val="00E75271"/>
    <w:rsid w:val="00E75349"/>
    <w:rsid w:val="00E7543F"/>
    <w:rsid w:val="00E75554"/>
    <w:rsid w:val="00E75575"/>
    <w:rsid w:val="00E75596"/>
    <w:rsid w:val="00E756D0"/>
    <w:rsid w:val="00E7581E"/>
    <w:rsid w:val="00E7585A"/>
    <w:rsid w:val="00E758E1"/>
    <w:rsid w:val="00E759B0"/>
    <w:rsid w:val="00E75B08"/>
    <w:rsid w:val="00E75B75"/>
    <w:rsid w:val="00E75CBE"/>
    <w:rsid w:val="00E75CDE"/>
    <w:rsid w:val="00E75D38"/>
    <w:rsid w:val="00E75EBD"/>
    <w:rsid w:val="00E75F37"/>
    <w:rsid w:val="00E7609A"/>
    <w:rsid w:val="00E76243"/>
    <w:rsid w:val="00E762DE"/>
    <w:rsid w:val="00E763E2"/>
    <w:rsid w:val="00E76472"/>
    <w:rsid w:val="00E76543"/>
    <w:rsid w:val="00E76623"/>
    <w:rsid w:val="00E7685D"/>
    <w:rsid w:val="00E7686F"/>
    <w:rsid w:val="00E76B8E"/>
    <w:rsid w:val="00E76BDB"/>
    <w:rsid w:val="00E76C35"/>
    <w:rsid w:val="00E76C56"/>
    <w:rsid w:val="00E76DA2"/>
    <w:rsid w:val="00E76DE7"/>
    <w:rsid w:val="00E76E54"/>
    <w:rsid w:val="00E76E6A"/>
    <w:rsid w:val="00E76F0C"/>
    <w:rsid w:val="00E77137"/>
    <w:rsid w:val="00E7718B"/>
    <w:rsid w:val="00E77450"/>
    <w:rsid w:val="00E7745C"/>
    <w:rsid w:val="00E774FB"/>
    <w:rsid w:val="00E7765B"/>
    <w:rsid w:val="00E776A6"/>
    <w:rsid w:val="00E776E5"/>
    <w:rsid w:val="00E77733"/>
    <w:rsid w:val="00E77735"/>
    <w:rsid w:val="00E777EB"/>
    <w:rsid w:val="00E7794E"/>
    <w:rsid w:val="00E77AC9"/>
    <w:rsid w:val="00E77B27"/>
    <w:rsid w:val="00E77B4C"/>
    <w:rsid w:val="00E77BF2"/>
    <w:rsid w:val="00E77D6F"/>
    <w:rsid w:val="00E77E35"/>
    <w:rsid w:val="00E77E4B"/>
    <w:rsid w:val="00E77E56"/>
    <w:rsid w:val="00E77F41"/>
    <w:rsid w:val="00E77FD4"/>
    <w:rsid w:val="00E80164"/>
    <w:rsid w:val="00E80277"/>
    <w:rsid w:val="00E80293"/>
    <w:rsid w:val="00E8030F"/>
    <w:rsid w:val="00E803C9"/>
    <w:rsid w:val="00E804BF"/>
    <w:rsid w:val="00E80578"/>
    <w:rsid w:val="00E8072C"/>
    <w:rsid w:val="00E80855"/>
    <w:rsid w:val="00E8086F"/>
    <w:rsid w:val="00E808B1"/>
    <w:rsid w:val="00E80984"/>
    <w:rsid w:val="00E80A9E"/>
    <w:rsid w:val="00E80ADF"/>
    <w:rsid w:val="00E80B08"/>
    <w:rsid w:val="00E80C71"/>
    <w:rsid w:val="00E80CCC"/>
    <w:rsid w:val="00E80D32"/>
    <w:rsid w:val="00E80E0C"/>
    <w:rsid w:val="00E80E3B"/>
    <w:rsid w:val="00E80E5D"/>
    <w:rsid w:val="00E80EE9"/>
    <w:rsid w:val="00E80F85"/>
    <w:rsid w:val="00E81002"/>
    <w:rsid w:val="00E812AA"/>
    <w:rsid w:val="00E8179E"/>
    <w:rsid w:val="00E8199A"/>
    <w:rsid w:val="00E81C0A"/>
    <w:rsid w:val="00E81CD1"/>
    <w:rsid w:val="00E81D92"/>
    <w:rsid w:val="00E81E53"/>
    <w:rsid w:val="00E81EDB"/>
    <w:rsid w:val="00E81F19"/>
    <w:rsid w:val="00E81F57"/>
    <w:rsid w:val="00E82000"/>
    <w:rsid w:val="00E82045"/>
    <w:rsid w:val="00E820C9"/>
    <w:rsid w:val="00E82153"/>
    <w:rsid w:val="00E821B9"/>
    <w:rsid w:val="00E82351"/>
    <w:rsid w:val="00E8235B"/>
    <w:rsid w:val="00E823C1"/>
    <w:rsid w:val="00E823D3"/>
    <w:rsid w:val="00E8250C"/>
    <w:rsid w:val="00E8251A"/>
    <w:rsid w:val="00E826FD"/>
    <w:rsid w:val="00E827AC"/>
    <w:rsid w:val="00E828AA"/>
    <w:rsid w:val="00E829E9"/>
    <w:rsid w:val="00E82AE4"/>
    <w:rsid w:val="00E82B6B"/>
    <w:rsid w:val="00E82B7D"/>
    <w:rsid w:val="00E82C25"/>
    <w:rsid w:val="00E82E3F"/>
    <w:rsid w:val="00E82E4B"/>
    <w:rsid w:val="00E82E4E"/>
    <w:rsid w:val="00E82E76"/>
    <w:rsid w:val="00E82EFB"/>
    <w:rsid w:val="00E82F09"/>
    <w:rsid w:val="00E82F5D"/>
    <w:rsid w:val="00E82F66"/>
    <w:rsid w:val="00E82F84"/>
    <w:rsid w:val="00E83037"/>
    <w:rsid w:val="00E8306C"/>
    <w:rsid w:val="00E83296"/>
    <w:rsid w:val="00E83328"/>
    <w:rsid w:val="00E8335E"/>
    <w:rsid w:val="00E83445"/>
    <w:rsid w:val="00E83460"/>
    <w:rsid w:val="00E83526"/>
    <w:rsid w:val="00E835A7"/>
    <w:rsid w:val="00E83701"/>
    <w:rsid w:val="00E83760"/>
    <w:rsid w:val="00E83940"/>
    <w:rsid w:val="00E83949"/>
    <w:rsid w:val="00E83A48"/>
    <w:rsid w:val="00E83AC1"/>
    <w:rsid w:val="00E83CBD"/>
    <w:rsid w:val="00E83CC2"/>
    <w:rsid w:val="00E83DF1"/>
    <w:rsid w:val="00E83EA3"/>
    <w:rsid w:val="00E83ED6"/>
    <w:rsid w:val="00E83F5D"/>
    <w:rsid w:val="00E8401F"/>
    <w:rsid w:val="00E84035"/>
    <w:rsid w:val="00E84082"/>
    <w:rsid w:val="00E84223"/>
    <w:rsid w:val="00E842A9"/>
    <w:rsid w:val="00E8436C"/>
    <w:rsid w:val="00E843AD"/>
    <w:rsid w:val="00E84562"/>
    <w:rsid w:val="00E845A6"/>
    <w:rsid w:val="00E845DD"/>
    <w:rsid w:val="00E84752"/>
    <w:rsid w:val="00E847AE"/>
    <w:rsid w:val="00E8484D"/>
    <w:rsid w:val="00E84871"/>
    <w:rsid w:val="00E848C1"/>
    <w:rsid w:val="00E848CC"/>
    <w:rsid w:val="00E8496D"/>
    <w:rsid w:val="00E84972"/>
    <w:rsid w:val="00E8498E"/>
    <w:rsid w:val="00E849B2"/>
    <w:rsid w:val="00E84BB9"/>
    <w:rsid w:val="00E84C50"/>
    <w:rsid w:val="00E84C91"/>
    <w:rsid w:val="00E84DCA"/>
    <w:rsid w:val="00E84E14"/>
    <w:rsid w:val="00E84F37"/>
    <w:rsid w:val="00E84F69"/>
    <w:rsid w:val="00E84F8C"/>
    <w:rsid w:val="00E8503A"/>
    <w:rsid w:val="00E85069"/>
    <w:rsid w:val="00E8509F"/>
    <w:rsid w:val="00E850E6"/>
    <w:rsid w:val="00E8516F"/>
    <w:rsid w:val="00E8521E"/>
    <w:rsid w:val="00E8525E"/>
    <w:rsid w:val="00E852B8"/>
    <w:rsid w:val="00E853FF"/>
    <w:rsid w:val="00E85414"/>
    <w:rsid w:val="00E8549A"/>
    <w:rsid w:val="00E8557E"/>
    <w:rsid w:val="00E8559B"/>
    <w:rsid w:val="00E855AD"/>
    <w:rsid w:val="00E8568A"/>
    <w:rsid w:val="00E856DE"/>
    <w:rsid w:val="00E85864"/>
    <w:rsid w:val="00E85873"/>
    <w:rsid w:val="00E85952"/>
    <w:rsid w:val="00E8596B"/>
    <w:rsid w:val="00E85A73"/>
    <w:rsid w:val="00E85B17"/>
    <w:rsid w:val="00E85BA2"/>
    <w:rsid w:val="00E85D49"/>
    <w:rsid w:val="00E85D95"/>
    <w:rsid w:val="00E85DE3"/>
    <w:rsid w:val="00E85E07"/>
    <w:rsid w:val="00E85E6E"/>
    <w:rsid w:val="00E85F7C"/>
    <w:rsid w:val="00E8602F"/>
    <w:rsid w:val="00E8619D"/>
    <w:rsid w:val="00E86265"/>
    <w:rsid w:val="00E8634B"/>
    <w:rsid w:val="00E863C3"/>
    <w:rsid w:val="00E866E9"/>
    <w:rsid w:val="00E86708"/>
    <w:rsid w:val="00E86929"/>
    <w:rsid w:val="00E86A06"/>
    <w:rsid w:val="00E86A09"/>
    <w:rsid w:val="00E86A75"/>
    <w:rsid w:val="00E86B8E"/>
    <w:rsid w:val="00E86CE8"/>
    <w:rsid w:val="00E86D79"/>
    <w:rsid w:val="00E86DE6"/>
    <w:rsid w:val="00E86FE3"/>
    <w:rsid w:val="00E86FFB"/>
    <w:rsid w:val="00E870F3"/>
    <w:rsid w:val="00E8724F"/>
    <w:rsid w:val="00E872A6"/>
    <w:rsid w:val="00E87340"/>
    <w:rsid w:val="00E874B5"/>
    <w:rsid w:val="00E874EC"/>
    <w:rsid w:val="00E87697"/>
    <w:rsid w:val="00E876F9"/>
    <w:rsid w:val="00E877A3"/>
    <w:rsid w:val="00E8787B"/>
    <w:rsid w:val="00E878C3"/>
    <w:rsid w:val="00E87C69"/>
    <w:rsid w:val="00E87E1E"/>
    <w:rsid w:val="00E87E46"/>
    <w:rsid w:val="00E87F75"/>
    <w:rsid w:val="00E87F94"/>
    <w:rsid w:val="00E90085"/>
    <w:rsid w:val="00E90094"/>
    <w:rsid w:val="00E9011B"/>
    <w:rsid w:val="00E9011E"/>
    <w:rsid w:val="00E90343"/>
    <w:rsid w:val="00E903B4"/>
    <w:rsid w:val="00E904C9"/>
    <w:rsid w:val="00E904DA"/>
    <w:rsid w:val="00E90869"/>
    <w:rsid w:val="00E908CA"/>
    <w:rsid w:val="00E90A01"/>
    <w:rsid w:val="00E90A1A"/>
    <w:rsid w:val="00E90A88"/>
    <w:rsid w:val="00E90A93"/>
    <w:rsid w:val="00E90AAA"/>
    <w:rsid w:val="00E90B17"/>
    <w:rsid w:val="00E90C4D"/>
    <w:rsid w:val="00E90C6C"/>
    <w:rsid w:val="00E91008"/>
    <w:rsid w:val="00E910E7"/>
    <w:rsid w:val="00E910F6"/>
    <w:rsid w:val="00E9117F"/>
    <w:rsid w:val="00E91223"/>
    <w:rsid w:val="00E91276"/>
    <w:rsid w:val="00E9128F"/>
    <w:rsid w:val="00E9133E"/>
    <w:rsid w:val="00E91674"/>
    <w:rsid w:val="00E91739"/>
    <w:rsid w:val="00E918FA"/>
    <w:rsid w:val="00E91946"/>
    <w:rsid w:val="00E91961"/>
    <w:rsid w:val="00E9196A"/>
    <w:rsid w:val="00E91A62"/>
    <w:rsid w:val="00E91C7B"/>
    <w:rsid w:val="00E91C85"/>
    <w:rsid w:val="00E91D52"/>
    <w:rsid w:val="00E91D60"/>
    <w:rsid w:val="00E91E67"/>
    <w:rsid w:val="00E91EF4"/>
    <w:rsid w:val="00E91FD0"/>
    <w:rsid w:val="00E92275"/>
    <w:rsid w:val="00E922A5"/>
    <w:rsid w:val="00E923C0"/>
    <w:rsid w:val="00E9256E"/>
    <w:rsid w:val="00E9264E"/>
    <w:rsid w:val="00E926AB"/>
    <w:rsid w:val="00E9271A"/>
    <w:rsid w:val="00E927E6"/>
    <w:rsid w:val="00E928D2"/>
    <w:rsid w:val="00E92A04"/>
    <w:rsid w:val="00E92A12"/>
    <w:rsid w:val="00E92B2E"/>
    <w:rsid w:val="00E92BF7"/>
    <w:rsid w:val="00E92C53"/>
    <w:rsid w:val="00E92C6A"/>
    <w:rsid w:val="00E92F7E"/>
    <w:rsid w:val="00E93029"/>
    <w:rsid w:val="00E93083"/>
    <w:rsid w:val="00E9310E"/>
    <w:rsid w:val="00E932B8"/>
    <w:rsid w:val="00E93382"/>
    <w:rsid w:val="00E934AB"/>
    <w:rsid w:val="00E935BC"/>
    <w:rsid w:val="00E93791"/>
    <w:rsid w:val="00E9388E"/>
    <w:rsid w:val="00E938A6"/>
    <w:rsid w:val="00E9390F"/>
    <w:rsid w:val="00E9395A"/>
    <w:rsid w:val="00E93A07"/>
    <w:rsid w:val="00E93B6F"/>
    <w:rsid w:val="00E93C5A"/>
    <w:rsid w:val="00E93CF5"/>
    <w:rsid w:val="00E93D49"/>
    <w:rsid w:val="00E93DEF"/>
    <w:rsid w:val="00E93F8F"/>
    <w:rsid w:val="00E93FE9"/>
    <w:rsid w:val="00E9402C"/>
    <w:rsid w:val="00E94163"/>
    <w:rsid w:val="00E94176"/>
    <w:rsid w:val="00E94283"/>
    <w:rsid w:val="00E94419"/>
    <w:rsid w:val="00E94561"/>
    <w:rsid w:val="00E94724"/>
    <w:rsid w:val="00E94775"/>
    <w:rsid w:val="00E947D3"/>
    <w:rsid w:val="00E94805"/>
    <w:rsid w:val="00E94837"/>
    <w:rsid w:val="00E948BC"/>
    <w:rsid w:val="00E9494D"/>
    <w:rsid w:val="00E94995"/>
    <w:rsid w:val="00E94A10"/>
    <w:rsid w:val="00E94A13"/>
    <w:rsid w:val="00E94A31"/>
    <w:rsid w:val="00E94B70"/>
    <w:rsid w:val="00E94B94"/>
    <w:rsid w:val="00E94C88"/>
    <w:rsid w:val="00E94E77"/>
    <w:rsid w:val="00E94E9A"/>
    <w:rsid w:val="00E94EAA"/>
    <w:rsid w:val="00E94EE3"/>
    <w:rsid w:val="00E9509F"/>
    <w:rsid w:val="00E95151"/>
    <w:rsid w:val="00E9517A"/>
    <w:rsid w:val="00E951D7"/>
    <w:rsid w:val="00E951DE"/>
    <w:rsid w:val="00E95236"/>
    <w:rsid w:val="00E95401"/>
    <w:rsid w:val="00E95500"/>
    <w:rsid w:val="00E95502"/>
    <w:rsid w:val="00E95562"/>
    <w:rsid w:val="00E957F9"/>
    <w:rsid w:val="00E95916"/>
    <w:rsid w:val="00E95A60"/>
    <w:rsid w:val="00E95AB6"/>
    <w:rsid w:val="00E95D3F"/>
    <w:rsid w:val="00E95D8A"/>
    <w:rsid w:val="00E95DA3"/>
    <w:rsid w:val="00E95EFE"/>
    <w:rsid w:val="00E95F4E"/>
    <w:rsid w:val="00E95FB0"/>
    <w:rsid w:val="00E961D2"/>
    <w:rsid w:val="00E962CC"/>
    <w:rsid w:val="00E9633C"/>
    <w:rsid w:val="00E96391"/>
    <w:rsid w:val="00E96420"/>
    <w:rsid w:val="00E9645E"/>
    <w:rsid w:val="00E9646A"/>
    <w:rsid w:val="00E964F4"/>
    <w:rsid w:val="00E964FF"/>
    <w:rsid w:val="00E96625"/>
    <w:rsid w:val="00E96631"/>
    <w:rsid w:val="00E9664D"/>
    <w:rsid w:val="00E966CD"/>
    <w:rsid w:val="00E966D7"/>
    <w:rsid w:val="00E968A4"/>
    <w:rsid w:val="00E968CA"/>
    <w:rsid w:val="00E96951"/>
    <w:rsid w:val="00E96A34"/>
    <w:rsid w:val="00E96B9A"/>
    <w:rsid w:val="00E96C0D"/>
    <w:rsid w:val="00E96C82"/>
    <w:rsid w:val="00E96DAF"/>
    <w:rsid w:val="00E96EAA"/>
    <w:rsid w:val="00E96F15"/>
    <w:rsid w:val="00E96F35"/>
    <w:rsid w:val="00E96F84"/>
    <w:rsid w:val="00E97043"/>
    <w:rsid w:val="00E97313"/>
    <w:rsid w:val="00E974E2"/>
    <w:rsid w:val="00E975FC"/>
    <w:rsid w:val="00E97667"/>
    <w:rsid w:val="00E9772E"/>
    <w:rsid w:val="00E9780C"/>
    <w:rsid w:val="00E97855"/>
    <w:rsid w:val="00E978B8"/>
    <w:rsid w:val="00E9793E"/>
    <w:rsid w:val="00E97A84"/>
    <w:rsid w:val="00E97A8D"/>
    <w:rsid w:val="00E97AD3"/>
    <w:rsid w:val="00E97B9C"/>
    <w:rsid w:val="00E97CD6"/>
    <w:rsid w:val="00E97D4F"/>
    <w:rsid w:val="00E97DBB"/>
    <w:rsid w:val="00E97E52"/>
    <w:rsid w:val="00E97E7C"/>
    <w:rsid w:val="00E97F06"/>
    <w:rsid w:val="00E97F62"/>
    <w:rsid w:val="00E9E694"/>
    <w:rsid w:val="00EA01C9"/>
    <w:rsid w:val="00EA0469"/>
    <w:rsid w:val="00EA058A"/>
    <w:rsid w:val="00EA0680"/>
    <w:rsid w:val="00EA06F0"/>
    <w:rsid w:val="00EA07DF"/>
    <w:rsid w:val="00EA0942"/>
    <w:rsid w:val="00EA0946"/>
    <w:rsid w:val="00EA09E9"/>
    <w:rsid w:val="00EA0B03"/>
    <w:rsid w:val="00EA0BA3"/>
    <w:rsid w:val="00EA0BD7"/>
    <w:rsid w:val="00EA0CC8"/>
    <w:rsid w:val="00EA0E48"/>
    <w:rsid w:val="00EA1060"/>
    <w:rsid w:val="00EA10A3"/>
    <w:rsid w:val="00EA1119"/>
    <w:rsid w:val="00EA1176"/>
    <w:rsid w:val="00EA12B2"/>
    <w:rsid w:val="00EA143E"/>
    <w:rsid w:val="00EA160B"/>
    <w:rsid w:val="00EA1622"/>
    <w:rsid w:val="00EA169C"/>
    <w:rsid w:val="00EA16D8"/>
    <w:rsid w:val="00EA1882"/>
    <w:rsid w:val="00EA1A5C"/>
    <w:rsid w:val="00EA1B2E"/>
    <w:rsid w:val="00EA1B45"/>
    <w:rsid w:val="00EA1B61"/>
    <w:rsid w:val="00EA1CB0"/>
    <w:rsid w:val="00EA1DAD"/>
    <w:rsid w:val="00EA1E2A"/>
    <w:rsid w:val="00EA1E34"/>
    <w:rsid w:val="00EA1EA8"/>
    <w:rsid w:val="00EA1F21"/>
    <w:rsid w:val="00EA1F68"/>
    <w:rsid w:val="00EA1FA3"/>
    <w:rsid w:val="00EA1FCB"/>
    <w:rsid w:val="00EA1FDA"/>
    <w:rsid w:val="00EA2006"/>
    <w:rsid w:val="00EA218A"/>
    <w:rsid w:val="00EA22E5"/>
    <w:rsid w:val="00EA2409"/>
    <w:rsid w:val="00EA256C"/>
    <w:rsid w:val="00EA26F3"/>
    <w:rsid w:val="00EA285B"/>
    <w:rsid w:val="00EA2946"/>
    <w:rsid w:val="00EA29F4"/>
    <w:rsid w:val="00EA2ACD"/>
    <w:rsid w:val="00EA2B8E"/>
    <w:rsid w:val="00EA2BA4"/>
    <w:rsid w:val="00EA2BFB"/>
    <w:rsid w:val="00EA2C4C"/>
    <w:rsid w:val="00EA2C80"/>
    <w:rsid w:val="00EA2DF0"/>
    <w:rsid w:val="00EA31F6"/>
    <w:rsid w:val="00EA3212"/>
    <w:rsid w:val="00EA3356"/>
    <w:rsid w:val="00EA358A"/>
    <w:rsid w:val="00EA358D"/>
    <w:rsid w:val="00EA359A"/>
    <w:rsid w:val="00EA36D1"/>
    <w:rsid w:val="00EA3874"/>
    <w:rsid w:val="00EA3966"/>
    <w:rsid w:val="00EA3BA6"/>
    <w:rsid w:val="00EA3C31"/>
    <w:rsid w:val="00EA3C87"/>
    <w:rsid w:val="00EA3C9A"/>
    <w:rsid w:val="00EA3D06"/>
    <w:rsid w:val="00EA3F5A"/>
    <w:rsid w:val="00EA3F93"/>
    <w:rsid w:val="00EA3FC5"/>
    <w:rsid w:val="00EA3FD7"/>
    <w:rsid w:val="00EA4076"/>
    <w:rsid w:val="00EA422D"/>
    <w:rsid w:val="00EA428E"/>
    <w:rsid w:val="00EA42A0"/>
    <w:rsid w:val="00EA43E3"/>
    <w:rsid w:val="00EA445E"/>
    <w:rsid w:val="00EA47CD"/>
    <w:rsid w:val="00EA47E5"/>
    <w:rsid w:val="00EA488B"/>
    <w:rsid w:val="00EA48E5"/>
    <w:rsid w:val="00EA495A"/>
    <w:rsid w:val="00EA4A0C"/>
    <w:rsid w:val="00EA4A0F"/>
    <w:rsid w:val="00EA4ADC"/>
    <w:rsid w:val="00EA4C7B"/>
    <w:rsid w:val="00EA4CA9"/>
    <w:rsid w:val="00EA4CF9"/>
    <w:rsid w:val="00EA4F98"/>
    <w:rsid w:val="00EA4FF3"/>
    <w:rsid w:val="00EA5101"/>
    <w:rsid w:val="00EA526E"/>
    <w:rsid w:val="00EA53DC"/>
    <w:rsid w:val="00EA5531"/>
    <w:rsid w:val="00EA57B1"/>
    <w:rsid w:val="00EA5860"/>
    <w:rsid w:val="00EA58C6"/>
    <w:rsid w:val="00EA590C"/>
    <w:rsid w:val="00EA5986"/>
    <w:rsid w:val="00EA5996"/>
    <w:rsid w:val="00EA59CE"/>
    <w:rsid w:val="00EA5A4F"/>
    <w:rsid w:val="00EA5B61"/>
    <w:rsid w:val="00EA5C5E"/>
    <w:rsid w:val="00EA5E0E"/>
    <w:rsid w:val="00EA5E18"/>
    <w:rsid w:val="00EA5E43"/>
    <w:rsid w:val="00EA5E5B"/>
    <w:rsid w:val="00EA6026"/>
    <w:rsid w:val="00EA6135"/>
    <w:rsid w:val="00EA6179"/>
    <w:rsid w:val="00EA61F9"/>
    <w:rsid w:val="00EA6205"/>
    <w:rsid w:val="00EA625B"/>
    <w:rsid w:val="00EA62F5"/>
    <w:rsid w:val="00EA6323"/>
    <w:rsid w:val="00EA6354"/>
    <w:rsid w:val="00EA63E2"/>
    <w:rsid w:val="00EA6421"/>
    <w:rsid w:val="00EA644D"/>
    <w:rsid w:val="00EA64A7"/>
    <w:rsid w:val="00EA6560"/>
    <w:rsid w:val="00EA65A3"/>
    <w:rsid w:val="00EA65D6"/>
    <w:rsid w:val="00EA6650"/>
    <w:rsid w:val="00EA66FA"/>
    <w:rsid w:val="00EA6801"/>
    <w:rsid w:val="00EA6951"/>
    <w:rsid w:val="00EA6972"/>
    <w:rsid w:val="00EA6ADD"/>
    <w:rsid w:val="00EA6ADE"/>
    <w:rsid w:val="00EA6B41"/>
    <w:rsid w:val="00EA6BDA"/>
    <w:rsid w:val="00EA6D39"/>
    <w:rsid w:val="00EA6D9A"/>
    <w:rsid w:val="00EA6EBE"/>
    <w:rsid w:val="00EA6F16"/>
    <w:rsid w:val="00EA7104"/>
    <w:rsid w:val="00EA713B"/>
    <w:rsid w:val="00EA72DC"/>
    <w:rsid w:val="00EA73A1"/>
    <w:rsid w:val="00EA73C4"/>
    <w:rsid w:val="00EA746A"/>
    <w:rsid w:val="00EA778A"/>
    <w:rsid w:val="00EA7951"/>
    <w:rsid w:val="00EA7979"/>
    <w:rsid w:val="00EA7992"/>
    <w:rsid w:val="00EA7A00"/>
    <w:rsid w:val="00EA7C0F"/>
    <w:rsid w:val="00EA7C55"/>
    <w:rsid w:val="00EA8C00"/>
    <w:rsid w:val="00EB0266"/>
    <w:rsid w:val="00EB0382"/>
    <w:rsid w:val="00EB03C4"/>
    <w:rsid w:val="00EB0435"/>
    <w:rsid w:val="00EB049C"/>
    <w:rsid w:val="00EB0585"/>
    <w:rsid w:val="00EB065B"/>
    <w:rsid w:val="00EB0663"/>
    <w:rsid w:val="00EB06F4"/>
    <w:rsid w:val="00EB0954"/>
    <w:rsid w:val="00EB09A9"/>
    <w:rsid w:val="00EB0A3C"/>
    <w:rsid w:val="00EB0BFB"/>
    <w:rsid w:val="00EB0C51"/>
    <w:rsid w:val="00EB0C62"/>
    <w:rsid w:val="00EB0C74"/>
    <w:rsid w:val="00EB0C85"/>
    <w:rsid w:val="00EB0D27"/>
    <w:rsid w:val="00EB0DA4"/>
    <w:rsid w:val="00EB0EA7"/>
    <w:rsid w:val="00EB0FE6"/>
    <w:rsid w:val="00EB11BC"/>
    <w:rsid w:val="00EB1200"/>
    <w:rsid w:val="00EB1464"/>
    <w:rsid w:val="00EB1521"/>
    <w:rsid w:val="00EB1648"/>
    <w:rsid w:val="00EB1677"/>
    <w:rsid w:val="00EB16FB"/>
    <w:rsid w:val="00EB19CA"/>
    <w:rsid w:val="00EB19EC"/>
    <w:rsid w:val="00EB1AD3"/>
    <w:rsid w:val="00EB1ECA"/>
    <w:rsid w:val="00EB1F5B"/>
    <w:rsid w:val="00EB20E3"/>
    <w:rsid w:val="00EB2109"/>
    <w:rsid w:val="00EB210D"/>
    <w:rsid w:val="00EB2119"/>
    <w:rsid w:val="00EB211E"/>
    <w:rsid w:val="00EB218A"/>
    <w:rsid w:val="00EB22FB"/>
    <w:rsid w:val="00EB23BE"/>
    <w:rsid w:val="00EB2427"/>
    <w:rsid w:val="00EB24A5"/>
    <w:rsid w:val="00EB24A8"/>
    <w:rsid w:val="00EB25B0"/>
    <w:rsid w:val="00EB2690"/>
    <w:rsid w:val="00EB276B"/>
    <w:rsid w:val="00EB2845"/>
    <w:rsid w:val="00EB28BE"/>
    <w:rsid w:val="00EB2965"/>
    <w:rsid w:val="00EB2A53"/>
    <w:rsid w:val="00EB2AC4"/>
    <w:rsid w:val="00EB2D68"/>
    <w:rsid w:val="00EB2E81"/>
    <w:rsid w:val="00EB2F44"/>
    <w:rsid w:val="00EB3011"/>
    <w:rsid w:val="00EB3116"/>
    <w:rsid w:val="00EB3361"/>
    <w:rsid w:val="00EB348A"/>
    <w:rsid w:val="00EB34BD"/>
    <w:rsid w:val="00EB357D"/>
    <w:rsid w:val="00EB361E"/>
    <w:rsid w:val="00EB3812"/>
    <w:rsid w:val="00EB38F6"/>
    <w:rsid w:val="00EB3999"/>
    <w:rsid w:val="00EB3B64"/>
    <w:rsid w:val="00EB3BF9"/>
    <w:rsid w:val="00EB3C45"/>
    <w:rsid w:val="00EB3C4A"/>
    <w:rsid w:val="00EB3CE6"/>
    <w:rsid w:val="00EB3F2D"/>
    <w:rsid w:val="00EB3FC9"/>
    <w:rsid w:val="00EB40AC"/>
    <w:rsid w:val="00EB40BC"/>
    <w:rsid w:val="00EB410F"/>
    <w:rsid w:val="00EB4185"/>
    <w:rsid w:val="00EB418D"/>
    <w:rsid w:val="00EB41A1"/>
    <w:rsid w:val="00EB41A6"/>
    <w:rsid w:val="00EB4273"/>
    <w:rsid w:val="00EB4308"/>
    <w:rsid w:val="00EB43A1"/>
    <w:rsid w:val="00EB43A4"/>
    <w:rsid w:val="00EB440A"/>
    <w:rsid w:val="00EB4572"/>
    <w:rsid w:val="00EB457B"/>
    <w:rsid w:val="00EB45D7"/>
    <w:rsid w:val="00EB49C8"/>
    <w:rsid w:val="00EB4AD4"/>
    <w:rsid w:val="00EB4AE1"/>
    <w:rsid w:val="00EB4AEF"/>
    <w:rsid w:val="00EB4B4A"/>
    <w:rsid w:val="00EB4D08"/>
    <w:rsid w:val="00EB4D20"/>
    <w:rsid w:val="00EB4DCF"/>
    <w:rsid w:val="00EB4E2C"/>
    <w:rsid w:val="00EB4FA6"/>
    <w:rsid w:val="00EB5150"/>
    <w:rsid w:val="00EB51EE"/>
    <w:rsid w:val="00EB52A1"/>
    <w:rsid w:val="00EB52BB"/>
    <w:rsid w:val="00EB530D"/>
    <w:rsid w:val="00EB534F"/>
    <w:rsid w:val="00EB5445"/>
    <w:rsid w:val="00EB5520"/>
    <w:rsid w:val="00EB5584"/>
    <w:rsid w:val="00EB55AE"/>
    <w:rsid w:val="00EB56B9"/>
    <w:rsid w:val="00EB570C"/>
    <w:rsid w:val="00EB579B"/>
    <w:rsid w:val="00EB57AA"/>
    <w:rsid w:val="00EB57EE"/>
    <w:rsid w:val="00EB5987"/>
    <w:rsid w:val="00EB59A9"/>
    <w:rsid w:val="00EB59F1"/>
    <w:rsid w:val="00EB59F6"/>
    <w:rsid w:val="00EB5A82"/>
    <w:rsid w:val="00EB5ADF"/>
    <w:rsid w:val="00EB5B76"/>
    <w:rsid w:val="00EB5B96"/>
    <w:rsid w:val="00EB5E1B"/>
    <w:rsid w:val="00EB5E89"/>
    <w:rsid w:val="00EB5EDA"/>
    <w:rsid w:val="00EB5EEF"/>
    <w:rsid w:val="00EB60E1"/>
    <w:rsid w:val="00EB6106"/>
    <w:rsid w:val="00EB61ED"/>
    <w:rsid w:val="00EB61F9"/>
    <w:rsid w:val="00EB635B"/>
    <w:rsid w:val="00EB642F"/>
    <w:rsid w:val="00EB65F7"/>
    <w:rsid w:val="00EB6833"/>
    <w:rsid w:val="00EB685A"/>
    <w:rsid w:val="00EB69E6"/>
    <w:rsid w:val="00EB69E9"/>
    <w:rsid w:val="00EB6A08"/>
    <w:rsid w:val="00EB6A8A"/>
    <w:rsid w:val="00EB6A9C"/>
    <w:rsid w:val="00EB6AE4"/>
    <w:rsid w:val="00EB6B49"/>
    <w:rsid w:val="00EB6BEB"/>
    <w:rsid w:val="00EB6BF7"/>
    <w:rsid w:val="00EB6C34"/>
    <w:rsid w:val="00EB6C3F"/>
    <w:rsid w:val="00EB6E34"/>
    <w:rsid w:val="00EB6EC0"/>
    <w:rsid w:val="00EB6FF6"/>
    <w:rsid w:val="00EB715F"/>
    <w:rsid w:val="00EB7206"/>
    <w:rsid w:val="00EB7254"/>
    <w:rsid w:val="00EB7406"/>
    <w:rsid w:val="00EB78E1"/>
    <w:rsid w:val="00EB790C"/>
    <w:rsid w:val="00EB7944"/>
    <w:rsid w:val="00EB7970"/>
    <w:rsid w:val="00EB7A0B"/>
    <w:rsid w:val="00EB7B50"/>
    <w:rsid w:val="00EB7C79"/>
    <w:rsid w:val="00EB7CA1"/>
    <w:rsid w:val="00EB7D26"/>
    <w:rsid w:val="00EB7DCD"/>
    <w:rsid w:val="00EB7E8F"/>
    <w:rsid w:val="00EB7EAA"/>
    <w:rsid w:val="00EB7F5D"/>
    <w:rsid w:val="00EB7F5E"/>
    <w:rsid w:val="00EB9B11"/>
    <w:rsid w:val="00EBD3B2"/>
    <w:rsid w:val="00EC0114"/>
    <w:rsid w:val="00EC0140"/>
    <w:rsid w:val="00EC017C"/>
    <w:rsid w:val="00EC0206"/>
    <w:rsid w:val="00EC036C"/>
    <w:rsid w:val="00EC0446"/>
    <w:rsid w:val="00EC04B8"/>
    <w:rsid w:val="00EC0668"/>
    <w:rsid w:val="00EC0694"/>
    <w:rsid w:val="00EC0728"/>
    <w:rsid w:val="00EC0794"/>
    <w:rsid w:val="00EC0809"/>
    <w:rsid w:val="00EC0866"/>
    <w:rsid w:val="00EC08E4"/>
    <w:rsid w:val="00EC0954"/>
    <w:rsid w:val="00EC0AA4"/>
    <w:rsid w:val="00EC0B4B"/>
    <w:rsid w:val="00EC0BE7"/>
    <w:rsid w:val="00EC0BEB"/>
    <w:rsid w:val="00EC0CE3"/>
    <w:rsid w:val="00EC0ED1"/>
    <w:rsid w:val="00EC0FDC"/>
    <w:rsid w:val="00EC114E"/>
    <w:rsid w:val="00EC118B"/>
    <w:rsid w:val="00EC1225"/>
    <w:rsid w:val="00EC1320"/>
    <w:rsid w:val="00EC1366"/>
    <w:rsid w:val="00EC139E"/>
    <w:rsid w:val="00EC141F"/>
    <w:rsid w:val="00EC1457"/>
    <w:rsid w:val="00EC14AB"/>
    <w:rsid w:val="00EC15A0"/>
    <w:rsid w:val="00EC165E"/>
    <w:rsid w:val="00EC1818"/>
    <w:rsid w:val="00EC1E7F"/>
    <w:rsid w:val="00EC1E8F"/>
    <w:rsid w:val="00EC1F11"/>
    <w:rsid w:val="00EC2004"/>
    <w:rsid w:val="00EC220D"/>
    <w:rsid w:val="00EC2211"/>
    <w:rsid w:val="00EC2226"/>
    <w:rsid w:val="00EC23E7"/>
    <w:rsid w:val="00EC2437"/>
    <w:rsid w:val="00EC24C3"/>
    <w:rsid w:val="00EC2557"/>
    <w:rsid w:val="00EC25CC"/>
    <w:rsid w:val="00EC25DC"/>
    <w:rsid w:val="00EC2603"/>
    <w:rsid w:val="00EC2639"/>
    <w:rsid w:val="00EC2652"/>
    <w:rsid w:val="00EC27A9"/>
    <w:rsid w:val="00EC283D"/>
    <w:rsid w:val="00EC2992"/>
    <w:rsid w:val="00EC29B2"/>
    <w:rsid w:val="00EC29D5"/>
    <w:rsid w:val="00EC2B1E"/>
    <w:rsid w:val="00EC2BB7"/>
    <w:rsid w:val="00EC2C12"/>
    <w:rsid w:val="00EC2DCC"/>
    <w:rsid w:val="00EC2FD8"/>
    <w:rsid w:val="00EC3013"/>
    <w:rsid w:val="00EC312E"/>
    <w:rsid w:val="00EC336E"/>
    <w:rsid w:val="00EC3518"/>
    <w:rsid w:val="00EC352B"/>
    <w:rsid w:val="00EC355A"/>
    <w:rsid w:val="00EC3575"/>
    <w:rsid w:val="00EC35E6"/>
    <w:rsid w:val="00EC362D"/>
    <w:rsid w:val="00EC366D"/>
    <w:rsid w:val="00EC37A0"/>
    <w:rsid w:val="00EC37F8"/>
    <w:rsid w:val="00EC3823"/>
    <w:rsid w:val="00EC386D"/>
    <w:rsid w:val="00EC392F"/>
    <w:rsid w:val="00EC3AF2"/>
    <w:rsid w:val="00EC3C07"/>
    <w:rsid w:val="00EC3C2D"/>
    <w:rsid w:val="00EC3CD5"/>
    <w:rsid w:val="00EC3E00"/>
    <w:rsid w:val="00EC3F62"/>
    <w:rsid w:val="00EC3F91"/>
    <w:rsid w:val="00EC3F93"/>
    <w:rsid w:val="00EC4016"/>
    <w:rsid w:val="00EC4097"/>
    <w:rsid w:val="00EC448B"/>
    <w:rsid w:val="00EC4571"/>
    <w:rsid w:val="00EC46A6"/>
    <w:rsid w:val="00EC4893"/>
    <w:rsid w:val="00EC4A51"/>
    <w:rsid w:val="00EC4B00"/>
    <w:rsid w:val="00EC4DBC"/>
    <w:rsid w:val="00EC4EAF"/>
    <w:rsid w:val="00EC4F15"/>
    <w:rsid w:val="00EC504E"/>
    <w:rsid w:val="00EC50A7"/>
    <w:rsid w:val="00EC5106"/>
    <w:rsid w:val="00EC5270"/>
    <w:rsid w:val="00EC54B7"/>
    <w:rsid w:val="00EC54BC"/>
    <w:rsid w:val="00EC5686"/>
    <w:rsid w:val="00EC5755"/>
    <w:rsid w:val="00EC57F5"/>
    <w:rsid w:val="00EC590A"/>
    <w:rsid w:val="00EC59B8"/>
    <w:rsid w:val="00EC5A20"/>
    <w:rsid w:val="00EC5AC0"/>
    <w:rsid w:val="00EC5AC2"/>
    <w:rsid w:val="00EC5C47"/>
    <w:rsid w:val="00EC5CA9"/>
    <w:rsid w:val="00EC5D16"/>
    <w:rsid w:val="00EC5DBF"/>
    <w:rsid w:val="00EC5E1D"/>
    <w:rsid w:val="00EC5E92"/>
    <w:rsid w:val="00EC5EBB"/>
    <w:rsid w:val="00EC5F50"/>
    <w:rsid w:val="00EC604C"/>
    <w:rsid w:val="00EC610C"/>
    <w:rsid w:val="00EC628D"/>
    <w:rsid w:val="00EC636A"/>
    <w:rsid w:val="00EC63EE"/>
    <w:rsid w:val="00EC64E8"/>
    <w:rsid w:val="00EC65C8"/>
    <w:rsid w:val="00EC6604"/>
    <w:rsid w:val="00EC67CD"/>
    <w:rsid w:val="00EC67ED"/>
    <w:rsid w:val="00EC690A"/>
    <w:rsid w:val="00EC6978"/>
    <w:rsid w:val="00EC6983"/>
    <w:rsid w:val="00EC6B75"/>
    <w:rsid w:val="00EC6D1F"/>
    <w:rsid w:val="00EC6D64"/>
    <w:rsid w:val="00EC6D70"/>
    <w:rsid w:val="00EC6EAB"/>
    <w:rsid w:val="00EC6ED3"/>
    <w:rsid w:val="00EC7110"/>
    <w:rsid w:val="00EC714B"/>
    <w:rsid w:val="00EC718A"/>
    <w:rsid w:val="00EC7323"/>
    <w:rsid w:val="00EC73A1"/>
    <w:rsid w:val="00EC73AC"/>
    <w:rsid w:val="00EC73E1"/>
    <w:rsid w:val="00EC74BC"/>
    <w:rsid w:val="00EC75B8"/>
    <w:rsid w:val="00EC75F9"/>
    <w:rsid w:val="00EC763F"/>
    <w:rsid w:val="00EC7701"/>
    <w:rsid w:val="00EC795D"/>
    <w:rsid w:val="00EC7BB6"/>
    <w:rsid w:val="00EC7BE4"/>
    <w:rsid w:val="00EC7C0C"/>
    <w:rsid w:val="00EC7EC8"/>
    <w:rsid w:val="00EC7F46"/>
    <w:rsid w:val="00EC7FBF"/>
    <w:rsid w:val="00ED002A"/>
    <w:rsid w:val="00ED017B"/>
    <w:rsid w:val="00ED019B"/>
    <w:rsid w:val="00ED01D5"/>
    <w:rsid w:val="00ED05F4"/>
    <w:rsid w:val="00ED0699"/>
    <w:rsid w:val="00ED077F"/>
    <w:rsid w:val="00ED07D0"/>
    <w:rsid w:val="00ED0959"/>
    <w:rsid w:val="00ED099C"/>
    <w:rsid w:val="00ED0A92"/>
    <w:rsid w:val="00ED0B26"/>
    <w:rsid w:val="00ED0B4B"/>
    <w:rsid w:val="00ED0C86"/>
    <w:rsid w:val="00ED0D6F"/>
    <w:rsid w:val="00ED0E64"/>
    <w:rsid w:val="00ED0EBB"/>
    <w:rsid w:val="00ED1002"/>
    <w:rsid w:val="00ED11B6"/>
    <w:rsid w:val="00ED1253"/>
    <w:rsid w:val="00ED1290"/>
    <w:rsid w:val="00ED13F5"/>
    <w:rsid w:val="00ED13FD"/>
    <w:rsid w:val="00ED1463"/>
    <w:rsid w:val="00ED1524"/>
    <w:rsid w:val="00ED15DB"/>
    <w:rsid w:val="00ED161F"/>
    <w:rsid w:val="00ED1805"/>
    <w:rsid w:val="00ED184B"/>
    <w:rsid w:val="00ED1856"/>
    <w:rsid w:val="00ED19A9"/>
    <w:rsid w:val="00ED1A73"/>
    <w:rsid w:val="00ED1B23"/>
    <w:rsid w:val="00ED1FFB"/>
    <w:rsid w:val="00ED20B0"/>
    <w:rsid w:val="00ED2165"/>
    <w:rsid w:val="00ED21FB"/>
    <w:rsid w:val="00ED22B8"/>
    <w:rsid w:val="00ED2334"/>
    <w:rsid w:val="00ED23E3"/>
    <w:rsid w:val="00ED2606"/>
    <w:rsid w:val="00ED2627"/>
    <w:rsid w:val="00ED2671"/>
    <w:rsid w:val="00ED2690"/>
    <w:rsid w:val="00ED28BA"/>
    <w:rsid w:val="00ED28EF"/>
    <w:rsid w:val="00ED29CC"/>
    <w:rsid w:val="00ED2AF0"/>
    <w:rsid w:val="00ED2C14"/>
    <w:rsid w:val="00ED2D7B"/>
    <w:rsid w:val="00ED2E65"/>
    <w:rsid w:val="00ED3057"/>
    <w:rsid w:val="00ED3089"/>
    <w:rsid w:val="00ED3103"/>
    <w:rsid w:val="00ED3140"/>
    <w:rsid w:val="00ED362C"/>
    <w:rsid w:val="00ED3714"/>
    <w:rsid w:val="00ED37B5"/>
    <w:rsid w:val="00ED37CA"/>
    <w:rsid w:val="00ED38CC"/>
    <w:rsid w:val="00ED3A6A"/>
    <w:rsid w:val="00ED3AA8"/>
    <w:rsid w:val="00ED3ABF"/>
    <w:rsid w:val="00ED3ACF"/>
    <w:rsid w:val="00ED3BF2"/>
    <w:rsid w:val="00ED3C45"/>
    <w:rsid w:val="00ED3C91"/>
    <w:rsid w:val="00ED3D11"/>
    <w:rsid w:val="00ED3D37"/>
    <w:rsid w:val="00ED3F01"/>
    <w:rsid w:val="00ED3FA1"/>
    <w:rsid w:val="00ED40F5"/>
    <w:rsid w:val="00ED419E"/>
    <w:rsid w:val="00ED41FC"/>
    <w:rsid w:val="00ED4280"/>
    <w:rsid w:val="00ED42DE"/>
    <w:rsid w:val="00ED439D"/>
    <w:rsid w:val="00ED43BC"/>
    <w:rsid w:val="00ED4432"/>
    <w:rsid w:val="00ED45F0"/>
    <w:rsid w:val="00ED463C"/>
    <w:rsid w:val="00ED4732"/>
    <w:rsid w:val="00ED4734"/>
    <w:rsid w:val="00ED48E0"/>
    <w:rsid w:val="00ED49BC"/>
    <w:rsid w:val="00ED49C0"/>
    <w:rsid w:val="00ED4A59"/>
    <w:rsid w:val="00ED4B07"/>
    <w:rsid w:val="00ED4BFE"/>
    <w:rsid w:val="00ED4C11"/>
    <w:rsid w:val="00ED4C25"/>
    <w:rsid w:val="00ED4C2B"/>
    <w:rsid w:val="00ED4DC5"/>
    <w:rsid w:val="00ED4EFE"/>
    <w:rsid w:val="00ED4FE6"/>
    <w:rsid w:val="00ED5118"/>
    <w:rsid w:val="00ED524F"/>
    <w:rsid w:val="00ED5297"/>
    <w:rsid w:val="00ED54B6"/>
    <w:rsid w:val="00ED5511"/>
    <w:rsid w:val="00ED553B"/>
    <w:rsid w:val="00ED5620"/>
    <w:rsid w:val="00ED566E"/>
    <w:rsid w:val="00ED56A3"/>
    <w:rsid w:val="00ED56DB"/>
    <w:rsid w:val="00ED581B"/>
    <w:rsid w:val="00ED58A3"/>
    <w:rsid w:val="00ED5956"/>
    <w:rsid w:val="00ED59E4"/>
    <w:rsid w:val="00ED59F9"/>
    <w:rsid w:val="00ED5AE6"/>
    <w:rsid w:val="00ED5C71"/>
    <w:rsid w:val="00ED5E8A"/>
    <w:rsid w:val="00ED5F05"/>
    <w:rsid w:val="00ED6081"/>
    <w:rsid w:val="00ED60F8"/>
    <w:rsid w:val="00ED614F"/>
    <w:rsid w:val="00ED615C"/>
    <w:rsid w:val="00ED6196"/>
    <w:rsid w:val="00ED6353"/>
    <w:rsid w:val="00ED6382"/>
    <w:rsid w:val="00ED6400"/>
    <w:rsid w:val="00ED6413"/>
    <w:rsid w:val="00ED64A2"/>
    <w:rsid w:val="00ED64C5"/>
    <w:rsid w:val="00ED64C6"/>
    <w:rsid w:val="00ED64DA"/>
    <w:rsid w:val="00ED6504"/>
    <w:rsid w:val="00ED6511"/>
    <w:rsid w:val="00ED668D"/>
    <w:rsid w:val="00ED67E6"/>
    <w:rsid w:val="00ED683D"/>
    <w:rsid w:val="00ED6848"/>
    <w:rsid w:val="00ED684C"/>
    <w:rsid w:val="00ED686F"/>
    <w:rsid w:val="00ED689D"/>
    <w:rsid w:val="00ED68B7"/>
    <w:rsid w:val="00ED699E"/>
    <w:rsid w:val="00ED6A59"/>
    <w:rsid w:val="00ED6B6C"/>
    <w:rsid w:val="00ED6BAB"/>
    <w:rsid w:val="00ED6C36"/>
    <w:rsid w:val="00ED6C61"/>
    <w:rsid w:val="00ED6D7D"/>
    <w:rsid w:val="00ED6DBF"/>
    <w:rsid w:val="00ED6E76"/>
    <w:rsid w:val="00ED6EE5"/>
    <w:rsid w:val="00ED6EFA"/>
    <w:rsid w:val="00ED6F56"/>
    <w:rsid w:val="00ED6F8F"/>
    <w:rsid w:val="00ED6FDA"/>
    <w:rsid w:val="00ED7070"/>
    <w:rsid w:val="00ED7196"/>
    <w:rsid w:val="00ED71DE"/>
    <w:rsid w:val="00ED7245"/>
    <w:rsid w:val="00ED74B3"/>
    <w:rsid w:val="00ED7603"/>
    <w:rsid w:val="00ED7655"/>
    <w:rsid w:val="00ED767C"/>
    <w:rsid w:val="00ED769E"/>
    <w:rsid w:val="00ED76D2"/>
    <w:rsid w:val="00ED77A7"/>
    <w:rsid w:val="00ED7CF1"/>
    <w:rsid w:val="00ED7D2E"/>
    <w:rsid w:val="00ED7E11"/>
    <w:rsid w:val="00ED7E27"/>
    <w:rsid w:val="00ED7E52"/>
    <w:rsid w:val="00ED7F2D"/>
    <w:rsid w:val="00ED7FD2"/>
    <w:rsid w:val="00ED7FE2"/>
    <w:rsid w:val="00EE0065"/>
    <w:rsid w:val="00EE01A9"/>
    <w:rsid w:val="00EE03A7"/>
    <w:rsid w:val="00EE040E"/>
    <w:rsid w:val="00EE0465"/>
    <w:rsid w:val="00EE04B2"/>
    <w:rsid w:val="00EE04F1"/>
    <w:rsid w:val="00EE05D4"/>
    <w:rsid w:val="00EE063C"/>
    <w:rsid w:val="00EE0689"/>
    <w:rsid w:val="00EE06FA"/>
    <w:rsid w:val="00EE0874"/>
    <w:rsid w:val="00EE0989"/>
    <w:rsid w:val="00EE0A32"/>
    <w:rsid w:val="00EE0A6E"/>
    <w:rsid w:val="00EE0A93"/>
    <w:rsid w:val="00EE0AE4"/>
    <w:rsid w:val="00EE0AE8"/>
    <w:rsid w:val="00EE0B78"/>
    <w:rsid w:val="00EE0C05"/>
    <w:rsid w:val="00EE0D33"/>
    <w:rsid w:val="00EE0E1D"/>
    <w:rsid w:val="00EE0EA4"/>
    <w:rsid w:val="00EE0FFB"/>
    <w:rsid w:val="00EE1043"/>
    <w:rsid w:val="00EE1111"/>
    <w:rsid w:val="00EE1152"/>
    <w:rsid w:val="00EE119D"/>
    <w:rsid w:val="00EE11AD"/>
    <w:rsid w:val="00EE11B1"/>
    <w:rsid w:val="00EE13B8"/>
    <w:rsid w:val="00EE14C3"/>
    <w:rsid w:val="00EE14DC"/>
    <w:rsid w:val="00EE14F9"/>
    <w:rsid w:val="00EE151E"/>
    <w:rsid w:val="00EE16CC"/>
    <w:rsid w:val="00EE170F"/>
    <w:rsid w:val="00EE174B"/>
    <w:rsid w:val="00EE1765"/>
    <w:rsid w:val="00EE17AB"/>
    <w:rsid w:val="00EE17C7"/>
    <w:rsid w:val="00EE1845"/>
    <w:rsid w:val="00EE1B83"/>
    <w:rsid w:val="00EE1B95"/>
    <w:rsid w:val="00EE1BA2"/>
    <w:rsid w:val="00EE1BEB"/>
    <w:rsid w:val="00EE1D39"/>
    <w:rsid w:val="00EE1E2D"/>
    <w:rsid w:val="00EE204E"/>
    <w:rsid w:val="00EE21A2"/>
    <w:rsid w:val="00EE21AA"/>
    <w:rsid w:val="00EE24CA"/>
    <w:rsid w:val="00EE2572"/>
    <w:rsid w:val="00EE25CC"/>
    <w:rsid w:val="00EE260A"/>
    <w:rsid w:val="00EE26A4"/>
    <w:rsid w:val="00EE273C"/>
    <w:rsid w:val="00EE2747"/>
    <w:rsid w:val="00EE2849"/>
    <w:rsid w:val="00EE28E8"/>
    <w:rsid w:val="00EE29AE"/>
    <w:rsid w:val="00EE2A28"/>
    <w:rsid w:val="00EE2AA0"/>
    <w:rsid w:val="00EE2BBD"/>
    <w:rsid w:val="00EE2BDA"/>
    <w:rsid w:val="00EE2D22"/>
    <w:rsid w:val="00EE2F17"/>
    <w:rsid w:val="00EE2F55"/>
    <w:rsid w:val="00EE3165"/>
    <w:rsid w:val="00EE3201"/>
    <w:rsid w:val="00EE32F1"/>
    <w:rsid w:val="00EE3365"/>
    <w:rsid w:val="00EE3427"/>
    <w:rsid w:val="00EE34B7"/>
    <w:rsid w:val="00EE34FE"/>
    <w:rsid w:val="00EE379E"/>
    <w:rsid w:val="00EE381A"/>
    <w:rsid w:val="00EE3840"/>
    <w:rsid w:val="00EE389D"/>
    <w:rsid w:val="00EE38A9"/>
    <w:rsid w:val="00EE3957"/>
    <w:rsid w:val="00EE3A9F"/>
    <w:rsid w:val="00EE3B9D"/>
    <w:rsid w:val="00EE3C3E"/>
    <w:rsid w:val="00EE3C95"/>
    <w:rsid w:val="00EE3D9A"/>
    <w:rsid w:val="00EE3DD5"/>
    <w:rsid w:val="00EE3DF2"/>
    <w:rsid w:val="00EE3E70"/>
    <w:rsid w:val="00EE3EE8"/>
    <w:rsid w:val="00EE3F2F"/>
    <w:rsid w:val="00EE3F86"/>
    <w:rsid w:val="00EE3FD6"/>
    <w:rsid w:val="00EE432F"/>
    <w:rsid w:val="00EE464B"/>
    <w:rsid w:val="00EE4706"/>
    <w:rsid w:val="00EE473D"/>
    <w:rsid w:val="00EE47C1"/>
    <w:rsid w:val="00EE4843"/>
    <w:rsid w:val="00EE48FA"/>
    <w:rsid w:val="00EE49A7"/>
    <w:rsid w:val="00EE4BAE"/>
    <w:rsid w:val="00EE4BDC"/>
    <w:rsid w:val="00EE4C59"/>
    <w:rsid w:val="00EE4CE1"/>
    <w:rsid w:val="00EE4D0A"/>
    <w:rsid w:val="00EE4D3F"/>
    <w:rsid w:val="00EE4D98"/>
    <w:rsid w:val="00EE4E23"/>
    <w:rsid w:val="00EE4E34"/>
    <w:rsid w:val="00EE4E9C"/>
    <w:rsid w:val="00EE4EAC"/>
    <w:rsid w:val="00EE4F1F"/>
    <w:rsid w:val="00EE4F3B"/>
    <w:rsid w:val="00EE4FDB"/>
    <w:rsid w:val="00EE507A"/>
    <w:rsid w:val="00EE50A9"/>
    <w:rsid w:val="00EE5151"/>
    <w:rsid w:val="00EE51C0"/>
    <w:rsid w:val="00EE51C3"/>
    <w:rsid w:val="00EE52D9"/>
    <w:rsid w:val="00EE52FC"/>
    <w:rsid w:val="00EE546E"/>
    <w:rsid w:val="00EE54FD"/>
    <w:rsid w:val="00EE5684"/>
    <w:rsid w:val="00EE568A"/>
    <w:rsid w:val="00EE5696"/>
    <w:rsid w:val="00EE56CE"/>
    <w:rsid w:val="00EE5735"/>
    <w:rsid w:val="00EE5759"/>
    <w:rsid w:val="00EE57B6"/>
    <w:rsid w:val="00EE5962"/>
    <w:rsid w:val="00EE5A0E"/>
    <w:rsid w:val="00EE5A12"/>
    <w:rsid w:val="00EE5AC0"/>
    <w:rsid w:val="00EE5BCC"/>
    <w:rsid w:val="00EE5D6B"/>
    <w:rsid w:val="00EE5FD5"/>
    <w:rsid w:val="00EE60A0"/>
    <w:rsid w:val="00EE61C9"/>
    <w:rsid w:val="00EE621B"/>
    <w:rsid w:val="00EE6242"/>
    <w:rsid w:val="00EE6259"/>
    <w:rsid w:val="00EE6381"/>
    <w:rsid w:val="00EE646E"/>
    <w:rsid w:val="00EE65D6"/>
    <w:rsid w:val="00EE65DA"/>
    <w:rsid w:val="00EE65EE"/>
    <w:rsid w:val="00EE663F"/>
    <w:rsid w:val="00EE664B"/>
    <w:rsid w:val="00EE666E"/>
    <w:rsid w:val="00EE67A0"/>
    <w:rsid w:val="00EE6820"/>
    <w:rsid w:val="00EE6824"/>
    <w:rsid w:val="00EE6831"/>
    <w:rsid w:val="00EE68AC"/>
    <w:rsid w:val="00EE6AFC"/>
    <w:rsid w:val="00EE6BB5"/>
    <w:rsid w:val="00EE6C58"/>
    <w:rsid w:val="00EE6C74"/>
    <w:rsid w:val="00EE6D6F"/>
    <w:rsid w:val="00EE6F51"/>
    <w:rsid w:val="00EE6F9B"/>
    <w:rsid w:val="00EE6FF5"/>
    <w:rsid w:val="00EE70D1"/>
    <w:rsid w:val="00EE7150"/>
    <w:rsid w:val="00EE7163"/>
    <w:rsid w:val="00EE7198"/>
    <w:rsid w:val="00EE726E"/>
    <w:rsid w:val="00EE7465"/>
    <w:rsid w:val="00EE7619"/>
    <w:rsid w:val="00EE764D"/>
    <w:rsid w:val="00EE7658"/>
    <w:rsid w:val="00EE7677"/>
    <w:rsid w:val="00EE7709"/>
    <w:rsid w:val="00EE7783"/>
    <w:rsid w:val="00EE77AD"/>
    <w:rsid w:val="00EE784A"/>
    <w:rsid w:val="00EE7866"/>
    <w:rsid w:val="00EE79C3"/>
    <w:rsid w:val="00EE79F8"/>
    <w:rsid w:val="00EE7AEE"/>
    <w:rsid w:val="00EE7AFE"/>
    <w:rsid w:val="00EE7B46"/>
    <w:rsid w:val="00EE7C87"/>
    <w:rsid w:val="00EE7C9D"/>
    <w:rsid w:val="00EE7DA6"/>
    <w:rsid w:val="00EE7DED"/>
    <w:rsid w:val="00EE7F22"/>
    <w:rsid w:val="00EE7F90"/>
    <w:rsid w:val="00EE7FC9"/>
    <w:rsid w:val="00EF00EC"/>
    <w:rsid w:val="00EF015D"/>
    <w:rsid w:val="00EF01CD"/>
    <w:rsid w:val="00EF0219"/>
    <w:rsid w:val="00EF025A"/>
    <w:rsid w:val="00EF02BC"/>
    <w:rsid w:val="00EF0367"/>
    <w:rsid w:val="00EF0669"/>
    <w:rsid w:val="00EF07C6"/>
    <w:rsid w:val="00EF0906"/>
    <w:rsid w:val="00EF0908"/>
    <w:rsid w:val="00EF09B0"/>
    <w:rsid w:val="00EF0B1D"/>
    <w:rsid w:val="00EF0BA6"/>
    <w:rsid w:val="00EF0BF4"/>
    <w:rsid w:val="00EF0C4E"/>
    <w:rsid w:val="00EF0C69"/>
    <w:rsid w:val="00EF0C81"/>
    <w:rsid w:val="00EF0D27"/>
    <w:rsid w:val="00EF0D71"/>
    <w:rsid w:val="00EF0F08"/>
    <w:rsid w:val="00EF0FE2"/>
    <w:rsid w:val="00EF0FF8"/>
    <w:rsid w:val="00EF100F"/>
    <w:rsid w:val="00EF106B"/>
    <w:rsid w:val="00EF106D"/>
    <w:rsid w:val="00EF10A4"/>
    <w:rsid w:val="00EF111B"/>
    <w:rsid w:val="00EF12B2"/>
    <w:rsid w:val="00EF1598"/>
    <w:rsid w:val="00EF1605"/>
    <w:rsid w:val="00EF1637"/>
    <w:rsid w:val="00EF16D3"/>
    <w:rsid w:val="00EF16E8"/>
    <w:rsid w:val="00EF17A6"/>
    <w:rsid w:val="00EF17FB"/>
    <w:rsid w:val="00EF18B6"/>
    <w:rsid w:val="00EF194B"/>
    <w:rsid w:val="00EF1998"/>
    <w:rsid w:val="00EF19F1"/>
    <w:rsid w:val="00EF1C2C"/>
    <w:rsid w:val="00EF1EFD"/>
    <w:rsid w:val="00EF1FEE"/>
    <w:rsid w:val="00EF2016"/>
    <w:rsid w:val="00EF2078"/>
    <w:rsid w:val="00EF2092"/>
    <w:rsid w:val="00EF22E6"/>
    <w:rsid w:val="00EF231F"/>
    <w:rsid w:val="00EF2382"/>
    <w:rsid w:val="00EF23FF"/>
    <w:rsid w:val="00EF2602"/>
    <w:rsid w:val="00EF262A"/>
    <w:rsid w:val="00EF292C"/>
    <w:rsid w:val="00EF2944"/>
    <w:rsid w:val="00EF2974"/>
    <w:rsid w:val="00EF2978"/>
    <w:rsid w:val="00EF29E9"/>
    <w:rsid w:val="00EF2A4B"/>
    <w:rsid w:val="00EF2AA7"/>
    <w:rsid w:val="00EF2B14"/>
    <w:rsid w:val="00EF2BF3"/>
    <w:rsid w:val="00EF2C3F"/>
    <w:rsid w:val="00EF2CC5"/>
    <w:rsid w:val="00EF2CF1"/>
    <w:rsid w:val="00EF2E06"/>
    <w:rsid w:val="00EF2E4E"/>
    <w:rsid w:val="00EF2E95"/>
    <w:rsid w:val="00EF2EA4"/>
    <w:rsid w:val="00EF2F37"/>
    <w:rsid w:val="00EF3024"/>
    <w:rsid w:val="00EF30C2"/>
    <w:rsid w:val="00EF310D"/>
    <w:rsid w:val="00EF31A2"/>
    <w:rsid w:val="00EF32C4"/>
    <w:rsid w:val="00EF32D0"/>
    <w:rsid w:val="00EF3340"/>
    <w:rsid w:val="00EF336A"/>
    <w:rsid w:val="00EF33B7"/>
    <w:rsid w:val="00EF350D"/>
    <w:rsid w:val="00EF357C"/>
    <w:rsid w:val="00EF35C4"/>
    <w:rsid w:val="00EF36AA"/>
    <w:rsid w:val="00EF3747"/>
    <w:rsid w:val="00EF3835"/>
    <w:rsid w:val="00EF388D"/>
    <w:rsid w:val="00EF38FC"/>
    <w:rsid w:val="00EF3927"/>
    <w:rsid w:val="00EF3995"/>
    <w:rsid w:val="00EF3A5A"/>
    <w:rsid w:val="00EF3A61"/>
    <w:rsid w:val="00EF3AFC"/>
    <w:rsid w:val="00EF3BA8"/>
    <w:rsid w:val="00EF3C63"/>
    <w:rsid w:val="00EF3D4C"/>
    <w:rsid w:val="00EF3D58"/>
    <w:rsid w:val="00EF3DDF"/>
    <w:rsid w:val="00EF3E44"/>
    <w:rsid w:val="00EF3F16"/>
    <w:rsid w:val="00EF3F2C"/>
    <w:rsid w:val="00EF3F79"/>
    <w:rsid w:val="00EF3FEB"/>
    <w:rsid w:val="00EF4075"/>
    <w:rsid w:val="00EF40D9"/>
    <w:rsid w:val="00EF417B"/>
    <w:rsid w:val="00EF4264"/>
    <w:rsid w:val="00EF426F"/>
    <w:rsid w:val="00EF42C8"/>
    <w:rsid w:val="00EF43AA"/>
    <w:rsid w:val="00EF44D6"/>
    <w:rsid w:val="00EF4562"/>
    <w:rsid w:val="00EF458D"/>
    <w:rsid w:val="00EF45A9"/>
    <w:rsid w:val="00EF4631"/>
    <w:rsid w:val="00EF4684"/>
    <w:rsid w:val="00EF46FC"/>
    <w:rsid w:val="00EF476F"/>
    <w:rsid w:val="00EF483E"/>
    <w:rsid w:val="00EF48E1"/>
    <w:rsid w:val="00EF49EF"/>
    <w:rsid w:val="00EF4ABF"/>
    <w:rsid w:val="00EF4AF3"/>
    <w:rsid w:val="00EF4B28"/>
    <w:rsid w:val="00EF4B74"/>
    <w:rsid w:val="00EF4B9D"/>
    <w:rsid w:val="00EF4BA3"/>
    <w:rsid w:val="00EF4C61"/>
    <w:rsid w:val="00EF4D11"/>
    <w:rsid w:val="00EF4D44"/>
    <w:rsid w:val="00EF4DAD"/>
    <w:rsid w:val="00EF4EC7"/>
    <w:rsid w:val="00EF4F8A"/>
    <w:rsid w:val="00EF50B2"/>
    <w:rsid w:val="00EF5223"/>
    <w:rsid w:val="00EF5268"/>
    <w:rsid w:val="00EF5392"/>
    <w:rsid w:val="00EF53B1"/>
    <w:rsid w:val="00EF547D"/>
    <w:rsid w:val="00EF56AA"/>
    <w:rsid w:val="00EF5733"/>
    <w:rsid w:val="00EF575E"/>
    <w:rsid w:val="00EF5947"/>
    <w:rsid w:val="00EF59C7"/>
    <w:rsid w:val="00EF5A20"/>
    <w:rsid w:val="00EF5A63"/>
    <w:rsid w:val="00EF5BBB"/>
    <w:rsid w:val="00EF5DC6"/>
    <w:rsid w:val="00EF5E05"/>
    <w:rsid w:val="00EF5E5F"/>
    <w:rsid w:val="00EF5E9C"/>
    <w:rsid w:val="00EF5EB6"/>
    <w:rsid w:val="00EF5EBB"/>
    <w:rsid w:val="00EF5F65"/>
    <w:rsid w:val="00EF5FC3"/>
    <w:rsid w:val="00EF60D8"/>
    <w:rsid w:val="00EF611C"/>
    <w:rsid w:val="00EF61BB"/>
    <w:rsid w:val="00EF630A"/>
    <w:rsid w:val="00EF6418"/>
    <w:rsid w:val="00EF65C6"/>
    <w:rsid w:val="00EF65ED"/>
    <w:rsid w:val="00EF66DA"/>
    <w:rsid w:val="00EF6770"/>
    <w:rsid w:val="00EF68EE"/>
    <w:rsid w:val="00EF6A57"/>
    <w:rsid w:val="00EF6A5C"/>
    <w:rsid w:val="00EF6AAE"/>
    <w:rsid w:val="00EF6B8C"/>
    <w:rsid w:val="00EF6C1A"/>
    <w:rsid w:val="00EF6C7E"/>
    <w:rsid w:val="00EF6E79"/>
    <w:rsid w:val="00EF709D"/>
    <w:rsid w:val="00EF718D"/>
    <w:rsid w:val="00EF719C"/>
    <w:rsid w:val="00EF71C5"/>
    <w:rsid w:val="00EF7222"/>
    <w:rsid w:val="00EF73F3"/>
    <w:rsid w:val="00EF745D"/>
    <w:rsid w:val="00EF74AD"/>
    <w:rsid w:val="00EF75A8"/>
    <w:rsid w:val="00EF7635"/>
    <w:rsid w:val="00EF767F"/>
    <w:rsid w:val="00EF76D4"/>
    <w:rsid w:val="00EF779C"/>
    <w:rsid w:val="00EF77E5"/>
    <w:rsid w:val="00EF78D8"/>
    <w:rsid w:val="00EF7A0B"/>
    <w:rsid w:val="00EF7A71"/>
    <w:rsid w:val="00EF7C43"/>
    <w:rsid w:val="00EF7C68"/>
    <w:rsid w:val="00EF7CEF"/>
    <w:rsid w:val="00EF7E49"/>
    <w:rsid w:val="00EF7F3E"/>
    <w:rsid w:val="00EF7F43"/>
    <w:rsid w:val="00EF7FFC"/>
    <w:rsid w:val="00F0005E"/>
    <w:rsid w:val="00F00089"/>
    <w:rsid w:val="00F00100"/>
    <w:rsid w:val="00F0010C"/>
    <w:rsid w:val="00F00112"/>
    <w:rsid w:val="00F00114"/>
    <w:rsid w:val="00F001B6"/>
    <w:rsid w:val="00F002C9"/>
    <w:rsid w:val="00F00457"/>
    <w:rsid w:val="00F004DB"/>
    <w:rsid w:val="00F004EE"/>
    <w:rsid w:val="00F00630"/>
    <w:rsid w:val="00F0079F"/>
    <w:rsid w:val="00F0084F"/>
    <w:rsid w:val="00F0089D"/>
    <w:rsid w:val="00F008CE"/>
    <w:rsid w:val="00F0098F"/>
    <w:rsid w:val="00F009C3"/>
    <w:rsid w:val="00F00AD8"/>
    <w:rsid w:val="00F00BCF"/>
    <w:rsid w:val="00F00C05"/>
    <w:rsid w:val="00F00CDD"/>
    <w:rsid w:val="00F00DB5"/>
    <w:rsid w:val="00F00E28"/>
    <w:rsid w:val="00F00EE0"/>
    <w:rsid w:val="00F00FC0"/>
    <w:rsid w:val="00F01088"/>
    <w:rsid w:val="00F0114B"/>
    <w:rsid w:val="00F01188"/>
    <w:rsid w:val="00F012D2"/>
    <w:rsid w:val="00F012F9"/>
    <w:rsid w:val="00F014B0"/>
    <w:rsid w:val="00F0157D"/>
    <w:rsid w:val="00F016C6"/>
    <w:rsid w:val="00F0177F"/>
    <w:rsid w:val="00F017B0"/>
    <w:rsid w:val="00F01817"/>
    <w:rsid w:val="00F01A6B"/>
    <w:rsid w:val="00F01B07"/>
    <w:rsid w:val="00F01BF8"/>
    <w:rsid w:val="00F01C3D"/>
    <w:rsid w:val="00F01CFF"/>
    <w:rsid w:val="00F01DFA"/>
    <w:rsid w:val="00F01F61"/>
    <w:rsid w:val="00F01FF2"/>
    <w:rsid w:val="00F0206C"/>
    <w:rsid w:val="00F02078"/>
    <w:rsid w:val="00F02089"/>
    <w:rsid w:val="00F020DB"/>
    <w:rsid w:val="00F02149"/>
    <w:rsid w:val="00F0215D"/>
    <w:rsid w:val="00F02182"/>
    <w:rsid w:val="00F022B6"/>
    <w:rsid w:val="00F0258E"/>
    <w:rsid w:val="00F0264B"/>
    <w:rsid w:val="00F02832"/>
    <w:rsid w:val="00F028D2"/>
    <w:rsid w:val="00F02A65"/>
    <w:rsid w:val="00F02A94"/>
    <w:rsid w:val="00F02B2E"/>
    <w:rsid w:val="00F02BA3"/>
    <w:rsid w:val="00F02C9A"/>
    <w:rsid w:val="00F02CBD"/>
    <w:rsid w:val="00F02D80"/>
    <w:rsid w:val="00F02E18"/>
    <w:rsid w:val="00F02E55"/>
    <w:rsid w:val="00F02E8F"/>
    <w:rsid w:val="00F0308E"/>
    <w:rsid w:val="00F030B7"/>
    <w:rsid w:val="00F03127"/>
    <w:rsid w:val="00F031EF"/>
    <w:rsid w:val="00F03311"/>
    <w:rsid w:val="00F0343D"/>
    <w:rsid w:val="00F034C6"/>
    <w:rsid w:val="00F03632"/>
    <w:rsid w:val="00F03652"/>
    <w:rsid w:val="00F037E9"/>
    <w:rsid w:val="00F0387F"/>
    <w:rsid w:val="00F0391B"/>
    <w:rsid w:val="00F03981"/>
    <w:rsid w:val="00F03988"/>
    <w:rsid w:val="00F039CD"/>
    <w:rsid w:val="00F03A24"/>
    <w:rsid w:val="00F03A7A"/>
    <w:rsid w:val="00F03B11"/>
    <w:rsid w:val="00F03C57"/>
    <w:rsid w:val="00F03C67"/>
    <w:rsid w:val="00F03D1A"/>
    <w:rsid w:val="00F03D26"/>
    <w:rsid w:val="00F03DBD"/>
    <w:rsid w:val="00F03F20"/>
    <w:rsid w:val="00F03FC5"/>
    <w:rsid w:val="00F0401F"/>
    <w:rsid w:val="00F0434F"/>
    <w:rsid w:val="00F043A4"/>
    <w:rsid w:val="00F043EC"/>
    <w:rsid w:val="00F04452"/>
    <w:rsid w:val="00F0447B"/>
    <w:rsid w:val="00F0448D"/>
    <w:rsid w:val="00F0449F"/>
    <w:rsid w:val="00F045EA"/>
    <w:rsid w:val="00F045F4"/>
    <w:rsid w:val="00F045F9"/>
    <w:rsid w:val="00F0460D"/>
    <w:rsid w:val="00F0461C"/>
    <w:rsid w:val="00F048B0"/>
    <w:rsid w:val="00F049B8"/>
    <w:rsid w:val="00F049E0"/>
    <w:rsid w:val="00F04A0E"/>
    <w:rsid w:val="00F04A19"/>
    <w:rsid w:val="00F04A44"/>
    <w:rsid w:val="00F04A93"/>
    <w:rsid w:val="00F04B1F"/>
    <w:rsid w:val="00F04B5C"/>
    <w:rsid w:val="00F04BE4"/>
    <w:rsid w:val="00F04C24"/>
    <w:rsid w:val="00F04E1B"/>
    <w:rsid w:val="00F04F7B"/>
    <w:rsid w:val="00F05032"/>
    <w:rsid w:val="00F05327"/>
    <w:rsid w:val="00F053D6"/>
    <w:rsid w:val="00F054C6"/>
    <w:rsid w:val="00F054D0"/>
    <w:rsid w:val="00F0559E"/>
    <w:rsid w:val="00F057EE"/>
    <w:rsid w:val="00F0581C"/>
    <w:rsid w:val="00F0583D"/>
    <w:rsid w:val="00F058DA"/>
    <w:rsid w:val="00F0599E"/>
    <w:rsid w:val="00F05A00"/>
    <w:rsid w:val="00F05A43"/>
    <w:rsid w:val="00F05A8F"/>
    <w:rsid w:val="00F05ABA"/>
    <w:rsid w:val="00F05AF8"/>
    <w:rsid w:val="00F05B76"/>
    <w:rsid w:val="00F05C35"/>
    <w:rsid w:val="00F05C93"/>
    <w:rsid w:val="00F05C9E"/>
    <w:rsid w:val="00F05D12"/>
    <w:rsid w:val="00F05D22"/>
    <w:rsid w:val="00F05DF9"/>
    <w:rsid w:val="00F05E07"/>
    <w:rsid w:val="00F06157"/>
    <w:rsid w:val="00F061DC"/>
    <w:rsid w:val="00F06288"/>
    <w:rsid w:val="00F0635C"/>
    <w:rsid w:val="00F0638C"/>
    <w:rsid w:val="00F06441"/>
    <w:rsid w:val="00F0646F"/>
    <w:rsid w:val="00F064BC"/>
    <w:rsid w:val="00F0651E"/>
    <w:rsid w:val="00F0680F"/>
    <w:rsid w:val="00F06861"/>
    <w:rsid w:val="00F06884"/>
    <w:rsid w:val="00F06944"/>
    <w:rsid w:val="00F06A33"/>
    <w:rsid w:val="00F06A7B"/>
    <w:rsid w:val="00F06AA8"/>
    <w:rsid w:val="00F06B17"/>
    <w:rsid w:val="00F06C4E"/>
    <w:rsid w:val="00F06CA2"/>
    <w:rsid w:val="00F06D18"/>
    <w:rsid w:val="00F06D74"/>
    <w:rsid w:val="00F06D85"/>
    <w:rsid w:val="00F06EBA"/>
    <w:rsid w:val="00F06FD6"/>
    <w:rsid w:val="00F06FF1"/>
    <w:rsid w:val="00F0701A"/>
    <w:rsid w:val="00F07056"/>
    <w:rsid w:val="00F07058"/>
    <w:rsid w:val="00F0706E"/>
    <w:rsid w:val="00F070C5"/>
    <w:rsid w:val="00F07101"/>
    <w:rsid w:val="00F07181"/>
    <w:rsid w:val="00F0723A"/>
    <w:rsid w:val="00F07276"/>
    <w:rsid w:val="00F072E4"/>
    <w:rsid w:val="00F07407"/>
    <w:rsid w:val="00F07453"/>
    <w:rsid w:val="00F07456"/>
    <w:rsid w:val="00F07577"/>
    <w:rsid w:val="00F076EF"/>
    <w:rsid w:val="00F07710"/>
    <w:rsid w:val="00F0795A"/>
    <w:rsid w:val="00F079F1"/>
    <w:rsid w:val="00F07A5E"/>
    <w:rsid w:val="00F07ABB"/>
    <w:rsid w:val="00F07F80"/>
    <w:rsid w:val="00F07FF2"/>
    <w:rsid w:val="00F0FC2E"/>
    <w:rsid w:val="00F10018"/>
    <w:rsid w:val="00F10032"/>
    <w:rsid w:val="00F100B5"/>
    <w:rsid w:val="00F101BF"/>
    <w:rsid w:val="00F10210"/>
    <w:rsid w:val="00F102B9"/>
    <w:rsid w:val="00F10339"/>
    <w:rsid w:val="00F10405"/>
    <w:rsid w:val="00F1053F"/>
    <w:rsid w:val="00F10569"/>
    <w:rsid w:val="00F105AF"/>
    <w:rsid w:val="00F10632"/>
    <w:rsid w:val="00F1064E"/>
    <w:rsid w:val="00F10669"/>
    <w:rsid w:val="00F1083B"/>
    <w:rsid w:val="00F108A7"/>
    <w:rsid w:val="00F109E2"/>
    <w:rsid w:val="00F10A38"/>
    <w:rsid w:val="00F10C20"/>
    <w:rsid w:val="00F10E5E"/>
    <w:rsid w:val="00F10F00"/>
    <w:rsid w:val="00F10F0A"/>
    <w:rsid w:val="00F10F78"/>
    <w:rsid w:val="00F11006"/>
    <w:rsid w:val="00F110BB"/>
    <w:rsid w:val="00F1149E"/>
    <w:rsid w:val="00F115DF"/>
    <w:rsid w:val="00F11602"/>
    <w:rsid w:val="00F1169C"/>
    <w:rsid w:val="00F11808"/>
    <w:rsid w:val="00F118A0"/>
    <w:rsid w:val="00F118DA"/>
    <w:rsid w:val="00F1196F"/>
    <w:rsid w:val="00F1197C"/>
    <w:rsid w:val="00F11A30"/>
    <w:rsid w:val="00F11A77"/>
    <w:rsid w:val="00F11ADB"/>
    <w:rsid w:val="00F11AF1"/>
    <w:rsid w:val="00F11BEF"/>
    <w:rsid w:val="00F11E7E"/>
    <w:rsid w:val="00F11ECE"/>
    <w:rsid w:val="00F11F14"/>
    <w:rsid w:val="00F11FB4"/>
    <w:rsid w:val="00F12303"/>
    <w:rsid w:val="00F1236C"/>
    <w:rsid w:val="00F125D7"/>
    <w:rsid w:val="00F12680"/>
    <w:rsid w:val="00F1289C"/>
    <w:rsid w:val="00F12948"/>
    <w:rsid w:val="00F129E7"/>
    <w:rsid w:val="00F12A59"/>
    <w:rsid w:val="00F12BF7"/>
    <w:rsid w:val="00F12CAA"/>
    <w:rsid w:val="00F12CD3"/>
    <w:rsid w:val="00F12D94"/>
    <w:rsid w:val="00F12DAB"/>
    <w:rsid w:val="00F12E07"/>
    <w:rsid w:val="00F12E51"/>
    <w:rsid w:val="00F12F4C"/>
    <w:rsid w:val="00F13104"/>
    <w:rsid w:val="00F13352"/>
    <w:rsid w:val="00F1338C"/>
    <w:rsid w:val="00F13430"/>
    <w:rsid w:val="00F138DE"/>
    <w:rsid w:val="00F13A33"/>
    <w:rsid w:val="00F13A63"/>
    <w:rsid w:val="00F13C12"/>
    <w:rsid w:val="00F13C67"/>
    <w:rsid w:val="00F13CBB"/>
    <w:rsid w:val="00F13E46"/>
    <w:rsid w:val="00F13E63"/>
    <w:rsid w:val="00F13EF2"/>
    <w:rsid w:val="00F13F5B"/>
    <w:rsid w:val="00F13F9F"/>
    <w:rsid w:val="00F13FAC"/>
    <w:rsid w:val="00F14174"/>
    <w:rsid w:val="00F1422E"/>
    <w:rsid w:val="00F142C5"/>
    <w:rsid w:val="00F142D6"/>
    <w:rsid w:val="00F14350"/>
    <w:rsid w:val="00F143AF"/>
    <w:rsid w:val="00F14427"/>
    <w:rsid w:val="00F1447B"/>
    <w:rsid w:val="00F14481"/>
    <w:rsid w:val="00F145C3"/>
    <w:rsid w:val="00F145F8"/>
    <w:rsid w:val="00F14679"/>
    <w:rsid w:val="00F146E7"/>
    <w:rsid w:val="00F14833"/>
    <w:rsid w:val="00F148F9"/>
    <w:rsid w:val="00F14A1E"/>
    <w:rsid w:val="00F14A1F"/>
    <w:rsid w:val="00F14AF9"/>
    <w:rsid w:val="00F14C8B"/>
    <w:rsid w:val="00F14CA8"/>
    <w:rsid w:val="00F14CDC"/>
    <w:rsid w:val="00F14E06"/>
    <w:rsid w:val="00F150F4"/>
    <w:rsid w:val="00F152A3"/>
    <w:rsid w:val="00F152AD"/>
    <w:rsid w:val="00F152B4"/>
    <w:rsid w:val="00F1538B"/>
    <w:rsid w:val="00F15391"/>
    <w:rsid w:val="00F153BE"/>
    <w:rsid w:val="00F153D4"/>
    <w:rsid w:val="00F15545"/>
    <w:rsid w:val="00F1556D"/>
    <w:rsid w:val="00F158D1"/>
    <w:rsid w:val="00F158E7"/>
    <w:rsid w:val="00F158ED"/>
    <w:rsid w:val="00F15973"/>
    <w:rsid w:val="00F159F5"/>
    <w:rsid w:val="00F15A0E"/>
    <w:rsid w:val="00F15B94"/>
    <w:rsid w:val="00F15C64"/>
    <w:rsid w:val="00F15D81"/>
    <w:rsid w:val="00F15DF4"/>
    <w:rsid w:val="00F15F9A"/>
    <w:rsid w:val="00F15FCC"/>
    <w:rsid w:val="00F162D0"/>
    <w:rsid w:val="00F162DB"/>
    <w:rsid w:val="00F16323"/>
    <w:rsid w:val="00F16687"/>
    <w:rsid w:val="00F166E0"/>
    <w:rsid w:val="00F16768"/>
    <w:rsid w:val="00F1688E"/>
    <w:rsid w:val="00F168B9"/>
    <w:rsid w:val="00F168BE"/>
    <w:rsid w:val="00F16B1A"/>
    <w:rsid w:val="00F16C86"/>
    <w:rsid w:val="00F16D1F"/>
    <w:rsid w:val="00F16D3A"/>
    <w:rsid w:val="00F16E14"/>
    <w:rsid w:val="00F16EF7"/>
    <w:rsid w:val="00F16FC4"/>
    <w:rsid w:val="00F1702C"/>
    <w:rsid w:val="00F1717D"/>
    <w:rsid w:val="00F17181"/>
    <w:rsid w:val="00F172D0"/>
    <w:rsid w:val="00F173D9"/>
    <w:rsid w:val="00F173F1"/>
    <w:rsid w:val="00F17540"/>
    <w:rsid w:val="00F175D4"/>
    <w:rsid w:val="00F17649"/>
    <w:rsid w:val="00F1766B"/>
    <w:rsid w:val="00F1771B"/>
    <w:rsid w:val="00F1778D"/>
    <w:rsid w:val="00F1785C"/>
    <w:rsid w:val="00F179CA"/>
    <w:rsid w:val="00F179D6"/>
    <w:rsid w:val="00F17BFC"/>
    <w:rsid w:val="00F17CB2"/>
    <w:rsid w:val="00F17D05"/>
    <w:rsid w:val="00F17D07"/>
    <w:rsid w:val="00F17DF2"/>
    <w:rsid w:val="00F17EDA"/>
    <w:rsid w:val="00F17FA7"/>
    <w:rsid w:val="00F20012"/>
    <w:rsid w:val="00F200EC"/>
    <w:rsid w:val="00F2014F"/>
    <w:rsid w:val="00F201FB"/>
    <w:rsid w:val="00F2031C"/>
    <w:rsid w:val="00F2039D"/>
    <w:rsid w:val="00F20405"/>
    <w:rsid w:val="00F20550"/>
    <w:rsid w:val="00F205A1"/>
    <w:rsid w:val="00F2061B"/>
    <w:rsid w:val="00F206C2"/>
    <w:rsid w:val="00F207AE"/>
    <w:rsid w:val="00F208D3"/>
    <w:rsid w:val="00F208DD"/>
    <w:rsid w:val="00F2093B"/>
    <w:rsid w:val="00F209B0"/>
    <w:rsid w:val="00F20C31"/>
    <w:rsid w:val="00F20CA2"/>
    <w:rsid w:val="00F20CBE"/>
    <w:rsid w:val="00F20D31"/>
    <w:rsid w:val="00F20DA5"/>
    <w:rsid w:val="00F20E4D"/>
    <w:rsid w:val="00F20E8B"/>
    <w:rsid w:val="00F20EDB"/>
    <w:rsid w:val="00F20F24"/>
    <w:rsid w:val="00F21083"/>
    <w:rsid w:val="00F2127E"/>
    <w:rsid w:val="00F21376"/>
    <w:rsid w:val="00F213A7"/>
    <w:rsid w:val="00F213AC"/>
    <w:rsid w:val="00F213EC"/>
    <w:rsid w:val="00F2146A"/>
    <w:rsid w:val="00F216A6"/>
    <w:rsid w:val="00F216E6"/>
    <w:rsid w:val="00F2184C"/>
    <w:rsid w:val="00F218C8"/>
    <w:rsid w:val="00F21924"/>
    <w:rsid w:val="00F21979"/>
    <w:rsid w:val="00F2197B"/>
    <w:rsid w:val="00F219E3"/>
    <w:rsid w:val="00F21A2E"/>
    <w:rsid w:val="00F21BAD"/>
    <w:rsid w:val="00F21C94"/>
    <w:rsid w:val="00F21CF5"/>
    <w:rsid w:val="00F21DDD"/>
    <w:rsid w:val="00F21E5D"/>
    <w:rsid w:val="00F21E7E"/>
    <w:rsid w:val="00F21EB2"/>
    <w:rsid w:val="00F2203C"/>
    <w:rsid w:val="00F22348"/>
    <w:rsid w:val="00F223E5"/>
    <w:rsid w:val="00F2244E"/>
    <w:rsid w:val="00F2247A"/>
    <w:rsid w:val="00F224B8"/>
    <w:rsid w:val="00F2293B"/>
    <w:rsid w:val="00F22A37"/>
    <w:rsid w:val="00F22A42"/>
    <w:rsid w:val="00F22B82"/>
    <w:rsid w:val="00F22B96"/>
    <w:rsid w:val="00F22D6A"/>
    <w:rsid w:val="00F22D96"/>
    <w:rsid w:val="00F22DDE"/>
    <w:rsid w:val="00F22F51"/>
    <w:rsid w:val="00F22F8F"/>
    <w:rsid w:val="00F2305C"/>
    <w:rsid w:val="00F23097"/>
    <w:rsid w:val="00F230A0"/>
    <w:rsid w:val="00F230BF"/>
    <w:rsid w:val="00F23118"/>
    <w:rsid w:val="00F2312C"/>
    <w:rsid w:val="00F2320C"/>
    <w:rsid w:val="00F23464"/>
    <w:rsid w:val="00F235DB"/>
    <w:rsid w:val="00F23807"/>
    <w:rsid w:val="00F2387A"/>
    <w:rsid w:val="00F238DA"/>
    <w:rsid w:val="00F239F8"/>
    <w:rsid w:val="00F23A04"/>
    <w:rsid w:val="00F23A21"/>
    <w:rsid w:val="00F23C93"/>
    <w:rsid w:val="00F23D00"/>
    <w:rsid w:val="00F23D7A"/>
    <w:rsid w:val="00F23E02"/>
    <w:rsid w:val="00F23EE3"/>
    <w:rsid w:val="00F23F05"/>
    <w:rsid w:val="00F2401C"/>
    <w:rsid w:val="00F2413A"/>
    <w:rsid w:val="00F24217"/>
    <w:rsid w:val="00F24346"/>
    <w:rsid w:val="00F243DB"/>
    <w:rsid w:val="00F2441D"/>
    <w:rsid w:val="00F24509"/>
    <w:rsid w:val="00F245C7"/>
    <w:rsid w:val="00F245F6"/>
    <w:rsid w:val="00F246D3"/>
    <w:rsid w:val="00F2476C"/>
    <w:rsid w:val="00F247A1"/>
    <w:rsid w:val="00F2482C"/>
    <w:rsid w:val="00F249C1"/>
    <w:rsid w:val="00F249C8"/>
    <w:rsid w:val="00F249C9"/>
    <w:rsid w:val="00F24A39"/>
    <w:rsid w:val="00F24BE0"/>
    <w:rsid w:val="00F24C3D"/>
    <w:rsid w:val="00F24E01"/>
    <w:rsid w:val="00F24E0C"/>
    <w:rsid w:val="00F24E81"/>
    <w:rsid w:val="00F24EF3"/>
    <w:rsid w:val="00F24F14"/>
    <w:rsid w:val="00F25016"/>
    <w:rsid w:val="00F25253"/>
    <w:rsid w:val="00F25264"/>
    <w:rsid w:val="00F252BD"/>
    <w:rsid w:val="00F2537D"/>
    <w:rsid w:val="00F253A0"/>
    <w:rsid w:val="00F256FC"/>
    <w:rsid w:val="00F2586D"/>
    <w:rsid w:val="00F258A7"/>
    <w:rsid w:val="00F25A5B"/>
    <w:rsid w:val="00F25B40"/>
    <w:rsid w:val="00F25B63"/>
    <w:rsid w:val="00F25B8D"/>
    <w:rsid w:val="00F25BD9"/>
    <w:rsid w:val="00F25C32"/>
    <w:rsid w:val="00F25D39"/>
    <w:rsid w:val="00F25D77"/>
    <w:rsid w:val="00F25ECA"/>
    <w:rsid w:val="00F25EDF"/>
    <w:rsid w:val="00F25EE7"/>
    <w:rsid w:val="00F26050"/>
    <w:rsid w:val="00F260F3"/>
    <w:rsid w:val="00F2616B"/>
    <w:rsid w:val="00F2628A"/>
    <w:rsid w:val="00F26290"/>
    <w:rsid w:val="00F26303"/>
    <w:rsid w:val="00F2632E"/>
    <w:rsid w:val="00F263E3"/>
    <w:rsid w:val="00F26502"/>
    <w:rsid w:val="00F2670C"/>
    <w:rsid w:val="00F2683B"/>
    <w:rsid w:val="00F26A13"/>
    <w:rsid w:val="00F26A38"/>
    <w:rsid w:val="00F26A9A"/>
    <w:rsid w:val="00F26B39"/>
    <w:rsid w:val="00F26BA8"/>
    <w:rsid w:val="00F26C45"/>
    <w:rsid w:val="00F26C89"/>
    <w:rsid w:val="00F26CCE"/>
    <w:rsid w:val="00F26EA3"/>
    <w:rsid w:val="00F26ED3"/>
    <w:rsid w:val="00F26EE4"/>
    <w:rsid w:val="00F26F6C"/>
    <w:rsid w:val="00F26FBB"/>
    <w:rsid w:val="00F2702D"/>
    <w:rsid w:val="00F27035"/>
    <w:rsid w:val="00F2709D"/>
    <w:rsid w:val="00F27361"/>
    <w:rsid w:val="00F27384"/>
    <w:rsid w:val="00F27400"/>
    <w:rsid w:val="00F2744D"/>
    <w:rsid w:val="00F274E4"/>
    <w:rsid w:val="00F27584"/>
    <w:rsid w:val="00F27772"/>
    <w:rsid w:val="00F2777E"/>
    <w:rsid w:val="00F277C0"/>
    <w:rsid w:val="00F278D1"/>
    <w:rsid w:val="00F27938"/>
    <w:rsid w:val="00F279C2"/>
    <w:rsid w:val="00F27A09"/>
    <w:rsid w:val="00F27C0E"/>
    <w:rsid w:val="00F27C19"/>
    <w:rsid w:val="00F27D65"/>
    <w:rsid w:val="00F27D75"/>
    <w:rsid w:val="00F27E1A"/>
    <w:rsid w:val="00F27F01"/>
    <w:rsid w:val="00F2926C"/>
    <w:rsid w:val="00F302F9"/>
    <w:rsid w:val="00F3034F"/>
    <w:rsid w:val="00F30397"/>
    <w:rsid w:val="00F303C8"/>
    <w:rsid w:val="00F30426"/>
    <w:rsid w:val="00F304BC"/>
    <w:rsid w:val="00F304E4"/>
    <w:rsid w:val="00F30506"/>
    <w:rsid w:val="00F3061B"/>
    <w:rsid w:val="00F306B2"/>
    <w:rsid w:val="00F306B3"/>
    <w:rsid w:val="00F308C5"/>
    <w:rsid w:val="00F30964"/>
    <w:rsid w:val="00F30B04"/>
    <w:rsid w:val="00F30D1E"/>
    <w:rsid w:val="00F30E9C"/>
    <w:rsid w:val="00F30F00"/>
    <w:rsid w:val="00F3118E"/>
    <w:rsid w:val="00F3121D"/>
    <w:rsid w:val="00F312A1"/>
    <w:rsid w:val="00F313A5"/>
    <w:rsid w:val="00F3154E"/>
    <w:rsid w:val="00F3154F"/>
    <w:rsid w:val="00F31585"/>
    <w:rsid w:val="00F3175D"/>
    <w:rsid w:val="00F3177B"/>
    <w:rsid w:val="00F31951"/>
    <w:rsid w:val="00F31AC1"/>
    <w:rsid w:val="00F31BE2"/>
    <w:rsid w:val="00F31CD3"/>
    <w:rsid w:val="00F31CEE"/>
    <w:rsid w:val="00F31D99"/>
    <w:rsid w:val="00F31E25"/>
    <w:rsid w:val="00F31E8D"/>
    <w:rsid w:val="00F32001"/>
    <w:rsid w:val="00F32119"/>
    <w:rsid w:val="00F32245"/>
    <w:rsid w:val="00F32405"/>
    <w:rsid w:val="00F324FB"/>
    <w:rsid w:val="00F325D5"/>
    <w:rsid w:val="00F325E7"/>
    <w:rsid w:val="00F32677"/>
    <w:rsid w:val="00F32817"/>
    <w:rsid w:val="00F32832"/>
    <w:rsid w:val="00F32866"/>
    <w:rsid w:val="00F3297C"/>
    <w:rsid w:val="00F32AE1"/>
    <w:rsid w:val="00F32C60"/>
    <w:rsid w:val="00F32D41"/>
    <w:rsid w:val="00F32FF3"/>
    <w:rsid w:val="00F33191"/>
    <w:rsid w:val="00F33233"/>
    <w:rsid w:val="00F33359"/>
    <w:rsid w:val="00F33678"/>
    <w:rsid w:val="00F33696"/>
    <w:rsid w:val="00F336B4"/>
    <w:rsid w:val="00F33800"/>
    <w:rsid w:val="00F33891"/>
    <w:rsid w:val="00F33931"/>
    <w:rsid w:val="00F3399B"/>
    <w:rsid w:val="00F33AC5"/>
    <w:rsid w:val="00F33C18"/>
    <w:rsid w:val="00F33D21"/>
    <w:rsid w:val="00F33DAC"/>
    <w:rsid w:val="00F33FC4"/>
    <w:rsid w:val="00F3401D"/>
    <w:rsid w:val="00F34347"/>
    <w:rsid w:val="00F34484"/>
    <w:rsid w:val="00F344B4"/>
    <w:rsid w:val="00F3457B"/>
    <w:rsid w:val="00F34784"/>
    <w:rsid w:val="00F3483E"/>
    <w:rsid w:val="00F34874"/>
    <w:rsid w:val="00F34925"/>
    <w:rsid w:val="00F34931"/>
    <w:rsid w:val="00F34985"/>
    <w:rsid w:val="00F34A5A"/>
    <w:rsid w:val="00F34AEB"/>
    <w:rsid w:val="00F34BB7"/>
    <w:rsid w:val="00F34C9B"/>
    <w:rsid w:val="00F34D67"/>
    <w:rsid w:val="00F34D9B"/>
    <w:rsid w:val="00F34DE0"/>
    <w:rsid w:val="00F34EFB"/>
    <w:rsid w:val="00F34F22"/>
    <w:rsid w:val="00F34F3C"/>
    <w:rsid w:val="00F350C3"/>
    <w:rsid w:val="00F35129"/>
    <w:rsid w:val="00F35277"/>
    <w:rsid w:val="00F35289"/>
    <w:rsid w:val="00F352FC"/>
    <w:rsid w:val="00F3532D"/>
    <w:rsid w:val="00F354AB"/>
    <w:rsid w:val="00F35553"/>
    <w:rsid w:val="00F35554"/>
    <w:rsid w:val="00F35630"/>
    <w:rsid w:val="00F35749"/>
    <w:rsid w:val="00F35758"/>
    <w:rsid w:val="00F3575E"/>
    <w:rsid w:val="00F35879"/>
    <w:rsid w:val="00F358C2"/>
    <w:rsid w:val="00F35977"/>
    <w:rsid w:val="00F359BA"/>
    <w:rsid w:val="00F35AFC"/>
    <w:rsid w:val="00F35B33"/>
    <w:rsid w:val="00F35B4D"/>
    <w:rsid w:val="00F35B69"/>
    <w:rsid w:val="00F35BDA"/>
    <w:rsid w:val="00F35E38"/>
    <w:rsid w:val="00F35F48"/>
    <w:rsid w:val="00F35F7A"/>
    <w:rsid w:val="00F36029"/>
    <w:rsid w:val="00F363B9"/>
    <w:rsid w:val="00F364A2"/>
    <w:rsid w:val="00F364E8"/>
    <w:rsid w:val="00F366B6"/>
    <w:rsid w:val="00F36763"/>
    <w:rsid w:val="00F3686D"/>
    <w:rsid w:val="00F36915"/>
    <w:rsid w:val="00F36961"/>
    <w:rsid w:val="00F36A84"/>
    <w:rsid w:val="00F36AFC"/>
    <w:rsid w:val="00F36C18"/>
    <w:rsid w:val="00F36C48"/>
    <w:rsid w:val="00F36C93"/>
    <w:rsid w:val="00F36CAD"/>
    <w:rsid w:val="00F36CDB"/>
    <w:rsid w:val="00F36D1F"/>
    <w:rsid w:val="00F36DD7"/>
    <w:rsid w:val="00F36DF4"/>
    <w:rsid w:val="00F36E56"/>
    <w:rsid w:val="00F36E64"/>
    <w:rsid w:val="00F36F41"/>
    <w:rsid w:val="00F36F75"/>
    <w:rsid w:val="00F3708E"/>
    <w:rsid w:val="00F370BA"/>
    <w:rsid w:val="00F3712A"/>
    <w:rsid w:val="00F37137"/>
    <w:rsid w:val="00F373AE"/>
    <w:rsid w:val="00F3741D"/>
    <w:rsid w:val="00F374B7"/>
    <w:rsid w:val="00F374EE"/>
    <w:rsid w:val="00F3752A"/>
    <w:rsid w:val="00F375F8"/>
    <w:rsid w:val="00F37633"/>
    <w:rsid w:val="00F37669"/>
    <w:rsid w:val="00F376AD"/>
    <w:rsid w:val="00F377B5"/>
    <w:rsid w:val="00F37827"/>
    <w:rsid w:val="00F37879"/>
    <w:rsid w:val="00F378E5"/>
    <w:rsid w:val="00F37A41"/>
    <w:rsid w:val="00F37B22"/>
    <w:rsid w:val="00F37BB8"/>
    <w:rsid w:val="00F37C5B"/>
    <w:rsid w:val="00F37CE5"/>
    <w:rsid w:val="00F37D05"/>
    <w:rsid w:val="00F37E35"/>
    <w:rsid w:val="00F4008A"/>
    <w:rsid w:val="00F400E1"/>
    <w:rsid w:val="00F400F0"/>
    <w:rsid w:val="00F40158"/>
    <w:rsid w:val="00F40215"/>
    <w:rsid w:val="00F404B6"/>
    <w:rsid w:val="00F40625"/>
    <w:rsid w:val="00F4063F"/>
    <w:rsid w:val="00F40650"/>
    <w:rsid w:val="00F406B4"/>
    <w:rsid w:val="00F40765"/>
    <w:rsid w:val="00F4078C"/>
    <w:rsid w:val="00F409A8"/>
    <w:rsid w:val="00F40A4E"/>
    <w:rsid w:val="00F40B04"/>
    <w:rsid w:val="00F40C13"/>
    <w:rsid w:val="00F40C93"/>
    <w:rsid w:val="00F40D93"/>
    <w:rsid w:val="00F40E66"/>
    <w:rsid w:val="00F40F1F"/>
    <w:rsid w:val="00F40F44"/>
    <w:rsid w:val="00F41039"/>
    <w:rsid w:val="00F41045"/>
    <w:rsid w:val="00F410AE"/>
    <w:rsid w:val="00F410E1"/>
    <w:rsid w:val="00F4114B"/>
    <w:rsid w:val="00F41222"/>
    <w:rsid w:val="00F41229"/>
    <w:rsid w:val="00F412D2"/>
    <w:rsid w:val="00F41343"/>
    <w:rsid w:val="00F4135C"/>
    <w:rsid w:val="00F4138B"/>
    <w:rsid w:val="00F41407"/>
    <w:rsid w:val="00F41452"/>
    <w:rsid w:val="00F41462"/>
    <w:rsid w:val="00F4146A"/>
    <w:rsid w:val="00F41739"/>
    <w:rsid w:val="00F41876"/>
    <w:rsid w:val="00F41956"/>
    <w:rsid w:val="00F41A32"/>
    <w:rsid w:val="00F41B48"/>
    <w:rsid w:val="00F41C8F"/>
    <w:rsid w:val="00F41CA8"/>
    <w:rsid w:val="00F41D5F"/>
    <w:rsid w:val="00F41DE6"/>
    <w:rsid w:val="00F41E00"/>
    <w:rsid w:val="00F41E16"/>
    <w:rsid w:val="00F41E2A"/>
    <w:rsid w:val="00F41E55"/>
    <w:rsid w:val="00F41FD2"/>
    <w:rsid w:val="00F4206B"/>
    <w:rsid w:val="00F42080"/>
    <w:rsid w:val="00F420CB"/>
    <w:rsid w:val="00F4219B"/>
    <w:rsid w:val="00F4224D"/>
    <w:rsid w:val="00F42334"/>
    <w:rsid w:val="00F424A3"/>
    <w:rsid w:val="00F42561"/>
    <w:rsid w:val="00F4275C"/>
    <w:rsid w:val="00F4276F"/>
    <w:rsid w:val="00F4280F"/>
    <w:rsid w:val="00F429FB"/>
    <w:rsid w:val="00F42C5F"/>
    <w:rsid w:val="00F42D61"/>
    <w:rsid w:val="00F4305C"/>
    <w:rsid w:val="00F43322"/>
    <w:rsid w:val="00F4334E"/>
    <w:rsid w:val="00F435E8"/>
    <w:rsid w:val="00F43692"/>
    <w:rsid w:val="00F4383D"/>
    <w:rsid w:val="00F43930"/>
    <w:rsid w:val="00F43981"/>
    <w:rsid w:val="00F43AC8"/>
    <w:rsid w:val="00F43B80"/>
    <w:rsid w:val="00F43CE7"/>
    <w:rsid w:val="00F43D78"/>
    <w:rsid w:val="00F43E71"/>
    <w:rsid w:val="00F43F56"/>
    <w:rsid w:val="00F44002"/>
    <w:rsid w:val="00F44088"/>
    <w:rsid w:val="00F44366"/>
    <w:rsid w:val="00F4447E"/>
    <w:rsid w:val="00F44571"/>
    <w:rsid w:val="00F44664"/>
    <w:rsid w:val="00F446BC"/>
    <w:rsid w:val="00F446EA"/>
    <w:rsid w:val="00F4497E"/>
    <w:rsid w:val="00F44BFB"/>
    <w:rsid w:val="00F44D48"/>
    <w:rsid w:val="00F44D8D"/>
    <w:rsid w:val="00F44E10"/>
    <w:rsid w:val="00F44E35"/>
    <w:rsid w:val="00F45008"/>
    <w:rsid w:val="00F45025"/>
    <w:rsid w:val="00F4504E"/>
    <w:rsid w:val="00F4510D"/>
    <w:rsid w:val="00F45134"/>
    <w:rsid w:val="00F451ED"/>
    <w:rsid w:val="00F45203"/>
    <w:rsid w:val="00F4524E"/>
    <w:rsid w:val="00F454AA"/>
    <w:rsid w:val="00F454B9"/>
    <w:rsid w:val="00F454D6"/>
    <w:rsid w:val="00F4562D"/>
    <w:rsid w:val="00F4567D"/>
    <w:rsid w:val="00F456ED"/>
    <w:rsid w:val="00F45976"/>
    <w:rsid w:val="00F45A40"/>
    <w:rsid w:val="00F45A7A"/>
    <w:rsid w:val="00F45AEF"/>
    <w:rsid w:val="00F45BD7"/>
    <w:rsid w:val="00F45BE1"/>
    <w:rsid w:val="00F45C0E"/>
    <w:rsid w:val="00F45C52"/>
    <w:rsid w:val="00F45E43"/>
    <w:rsid w:val="00F45EB2"/>
    <w:rsid w:val="00F45EB6"/>
    <w:rsid w:val="00F45ED7"/>
    <w:rsid w:val="00F45F10"/>
    <w:rsid w:val="00F45F94"/>
    <w:rsid w:val="00F45FF4"/>
    <w:rsid w:val="00F462D6"/>
    <w:rsid w:val="00F46300"/>
    <w:rsid w:val="00F463A7"/>
    <w:rsid w:val="00F46426"/>
    <w:rsid w:val="00F46431"/>
    <w:rsid w:val="00F4656F"/>
    <w:rsid w:val="00F465AD"/>
    <w:rsid w:val="00F4663C"/>
    <w:rsid w:val="00F46772"/>
    <w:rsid w:val="00F46899"/>
    <w:rsid w:val="00F46943"/>
    <w:rsid w:val="00F46978"/>
    <w:rsid w:val="00F4698D"/>
    <w:rsid w:val="00F469B1"/>
    <w:rsid w:val="00F46B0E"/>
    <w:rsid w:val="00F46BCF"/>
    <w:rsid w:val="00F46C71"/>
    <w:rsid w:val="00F46C78"/>
    <w:rsid w:val="00F46C7B"/>
    <w:rsid w:val="00F46CD0"/>
    <w:rsid w:val="00F46D5A"/>
    <w:rsid w:val="00F46D85"/>
    <w:rsid w:val="00F46D87"/>
    <w:rsid w:val="00F46DD6"/>
    <w:rsid w:val="00F46DDA"/>
    <w:rsid w:val="00F46E76"/>
    <w:rsid w:val="00F46F43"/>
    <w:rsid w:val="00F4709A"/>
    <w:rsid w:val="00F4711C"/>
    <w:rsid w:val="00F472EB"/>
    <w:rsid w:val="00F47326"/>
    <w:rsid w:val="00F47493"/>
    <w:rsid w:val="00F47558"/>
    <w:rsid w:val="00F475A9"/>
    <w:rsid w:val="00F475B7"/>
    <w:rsid w:val="00F4767E"/>
    <w:rsid w:val="00F4782A"/>
    <w:rsid w:val="00F4782E"/>
    <w:rsid w:val="00F479C8"/>
    <w:rsid w:val="00F47AD7"/>
    <w:rsid w:val="00F47B07"/>
    <w:rsid w:val="00F47B8C"/>
    <w:rsid w:val="00F47B9E"/>
    <w:rsid w:val="00F47E9E"/>
    <w:rsid w:val="00F50054"/>
    <w:rsid w:val="00F50069"/>
    <w:rsid w:val="00F50338"/>
    <w:rsid w:val="00F50505"/>
    <w:rsid w:val="00F50622"/>
    <w:rsid w:val="00F506A7"/>
    <w:rsid w:val="00F50784"/>
    <w:rsid w:val="00F507C8"/>
    <w:rsid w:val="00F5082F"/>
    <w:rsid w:val="00F5083F"/>
    <w:rsid w:val="00F5084E"/>
    <w:rsid w:val="00F508C3"/>
    <w:rsid w:val="00F508D3"/>
    <w:rsid w:val="00F508ED"/>
    <w:rsid w:val="00F50A7E"/>
    <w:rsid w:val="00F50B49"/>
    <w:rsid w:val="00F50C71"/>
    <w:rsid w:val="00F50D4F"/>
    <w:rsid w:val="00F50D6D"/>
    <w:rsid w:val="00F50DB3"/>
    <w:rsid w:val="00F50E05"/>
    <w:rsid w:val="00F50E74"/>
    <w:rsid w:val="00F50F43"/>
    <w:rsid w:val="00F50F55"/>
    <w:rsid w:val="00F510DF"/>
    <w:rsid w:val="00F51183"/>
    <w:rsid w:val="00F511E9"/>
    <w:rsid w:val="00F51376"/>
    <w:rsid w:val="00F513C4"/>
    <w:rsid w:val="00F5140D"/>
    <w:rsid w:val="00F5159F"/>
    <w:rsid w:val="00F5169D"/>
    <w:rsid w:val="00F5177D"/>
    <w:rsid w:val="00F51798"/>
    <w:rsid w:val="00F517FB"/>
    <w:rsid w:val="00F51801"/>
    <w:rsid w:val="00F5182B"/>
    <w:rsid w:val="00F519E0"/>
    <w:rsid w:val="00F51CB0"/>
    <w:rsid w:val="00F51D17"/>
    <w:rsid w:val="00F51EB2"/>
    <w:rsid w:val="00F51EEE"/>
    <w:rsid w:val="00F51EFA"/>
    <w:rsid w:val="00F51FE8"/>
    <w:rsid w:val="00F5204F"/>
    <w:rsid w:val="00F520E0"/>
    <w:rsid w:val="00F52120"/>
    <w:rsid w:val="00F522AC"/>
    <w:rsid w:val="00F522B5"/>
    <w:rsid w:val="00F52326"/>
    <w:rsid w:val="00F5246D"/>
    <w:rsid w:val="00F52571"/>
    <w:rsid w:val="00F5274C"/>
    <w:rsid w:val="00F52920"/>
    <w:rsid w:val="00F52A13"/>
    <w:rsid w:val="00F52A5B"/>
    <w:rsid w:val="00F52AA2"/>
    <w:rsid w:val="00F52AC4"/>
    <w:rsid w:val="00F52AE2"/>
    <w:rsid w:val="00F52AEF"/>
    <w:rsid w:val="00F52CCC"/>
    <w:rsid w:val="00F52CD5"/>
    <w:rsid w:val="00F52D40"/>
    <w:rsid w:val="00F52D80"/>
    <w:rsid w:val="00F52E83"/>
    <w:rsid w:val="00F52EBC"/>
    <w:rsid w:val="00F52EEE"/>
    <w:rsid w:val="00F530AD"/>
    <w:rsid w:val="00F53160"/>
    <w:rsid w:val="00F531C9"/>
    <w:rsid w:val="00F53227"/>
    <w:rsid w:val="00F53291"/>
    <w:rsid w:val="00F532FA"/>
    <w:rsid w:val="00F53315"/>
    <w:rsid w:val="00F533CE"/>
    <w:rsid w:val="00F53547"/>
    <w:rsid w:val="00F535AA"/>
    <w:rsid w:val="00F53614"/>
    <w:rsid w:val="00F537C6"/>
    <w:rsid w:val="00F5397B"/>
    <w:rsid w:val="00F53B96"/>
    <w:rsid w:val="00F53D36"/>
    <w:rsid w:val="00F53E79"/>
    <w:rsid w:val="00F54135"/>
    <w:rsid w:val="00F541A8"/>
    <w:rsid w:val="00F541F3"/>
    <w:rsid w:val="00F54211"/>
    <w:rsid w:val="00F542F6"/>
    <w:rsid w:val="00F54388"/>
    <w:rsid w:val="00F5447A"/>
    <w:rsid w:val="00F5449E"/>
    <w:rsid w:val="00F54508"/>
    <w:rsid w:val="00F54655"/>
    <w:rsid w:val="00F5468D"/>
    <w:rsid w:val="00F54706"/>
    <w:rsid w:val="00F5472E"/>
    <w:rsid w:val="00F5480C"/>
    <w:rsid w:val="00F548F0"/>
    <w:rsid w:val="00F54A5E"/>
    <w:rsid w:val="00F54A83"/>
    <w:rsid w:val="00F54C5E"/>
    <w:rsid w:val="00F54DA4"/>
    <w:rsid w:val="00F54DD2"/>
    <w:rsid w:val="00F54E04"/>
    <w:rsid w:val="00F54E0C"/>
    <w:rsid w:val="00F54E21"/>
    <w:rsid w:val="00F54F44"/>
    <w:rsid w:val="00F55029"/>
    <w:rsid w:val="00F55045"/>
    <w:rsid w:val="00F55078"/>
    <w:rsid w:val="00F55213"/>
    <w:rsid w:val="00F55217"/>
    <w:rsid w:val="00F5526F"/>
    <w:rsid w:val="00F5549D"/>
    <w:rsid w:val="00F555B6"/>
    <w:rsid w:val="00F5571D"/>
    <w:rsid w:val="00F5579F"/>
    <w:rsid w:val="00F558BA"/>
    <w:rsid w:val="00F55B1D"/>
    <w:rsid w:val="00F55BC1"/>
    <w:rsid w:val="00F55C26"/>
    <w:rsid w:val="00F55CF5"/>
    <w:rsid w:val="00F55D7F"/>
    <w:rsid w:val="00F55E37"/>
    <w:rsid w:val="00F55EC3"/>
    <w:rsid w:val="00F55FB7"/>
    <w:rsid w:val="00F55FFB"/>
    <w:rsid w:val="00F561BC"/>
    <w:rsid w:val="00F561DA"/>
    <w:rsid w:val="00F56280"/>
    <w:rsid w:val="00F5636A"/>
    <w:rsid w:val="00F563AE"/>
    <w:rsid w:val="00F56532"/>
    <w:rsid w:val="00F5654D"/>
    <w:rsid w:val="00F5655E"/>
    <w:rsid w:val="00F56640"/>
    <w:rsid w:val="00F56784"/>
    <w:rsid w:val="00F56820"/>
    <w:rsid w:val="00F56896"/>
    <w:rsid w:val="00F56A8D"/>
    <w:rsid w:val="00F56B32"/>
    <w:rsid w:val="00F56DEA"/>
    <w:rsid w:val="00F56E5F"/>
    <w:rsid w:val="00F56F0E"/>
    <w:rsid w:val="00F56F99"/>
    <w:rsid w:val="00F56F9D"/>
    <w:rsid w:val="00F56FF4"/>
    <w:rsid w:val="00F5729E"/>
    <w:rsid w:val="00F573E5"/>
    <w:rsid w:val="00F573EE"/>
    <w:rsid w:val="00F575E9"/>
    <w:rsid w:val="00F577FD"/>
    <w:rsid w:val="00F57896"/>
    <w:rsid w:val="00F57898"/>
    <w:rsid w:val="00F57A26"/>
    <w:rsid w:val="00F57A6A"/>
    <w:rsid w:val="00F57BDD"/>
    <w:rsid w:val="00F57BF0"/>
    <w:rsid w:val="00F57C2A"/>
    <w:rsid w:val="00F57C67"/>
    <w:rsid w:val="00F57F7C"/>
    <w:rsid w:val="00F60018"/>
    <w:rsid w:val="00F600B0"/>
    <w:rsid w:val="00F601CC"/>
    <w:rsid w:val="00F6029A"/>
    <w:rsid w:val="00F6036D"/>
    <w:rsid w:val="00F604F4"/>
    <w:rsid w:val="00F60562"/>
    <w:rsid w:val="00F60626"/>
    <w:rsid w:val="00F60644"/>
    <w:rsid w:val="00F60721"/>
    <w:rsid w:val="00F607F1"/>
    <w:rsid w:val="00F6081C"/>
    <w:rsid w:val="00F60897"/>
    <w:rsid w:val="00F608B2"/>
    <w:rsid w:val="00F609EE"/>
    <w:rsid w:val="00F60A24"/>
    <w:rsid w:val="00F60A6A"/>
    <w:rsid w:val="00F60A90"/>
    <w:rsid w:val="00F60AE6"/>
    <w:rsid w:val="00F60B60"/>
    <w:rsid w:val="00F60C59"/>
    <w:rsid w:val="00F60DB3"/>
    <w:rsid w:val="00F60F20"/>
    <w:rsid w:val="00F60F36"/>
    <w:rsid w:val="00F61074"/>
    <w:rsid w:val="00F611AE"/>
    <w:rsid w:val="00F611B7"/>
    <w:rsid w:val="00F611D3"/>
    <w:rsid w:val="00F61249"/>
    <w:rsid w:val="00F61342"/>
    <w:rsid w:val="00F6145D"/>
    <w:rsid w:val="00F614D3"/>
    <w:rsid w:val="00F61698"/>
    <w:rsid w:val="00F616E4"/>
    <w:rsid w:val="00F617C5"/>
    <w:rsid w:val="00F618EA"/>
    <w:rsid w:val="00F61B35"/>
    <w:rsid w:val="00F61C04"/>
    <w:rsid w:val="00F61C2F"/>
    <w:rsid w:val="00F61DB8"/>
    <w:rsid w:val="00F61DC1"/>
    <w:rsid w:val="00F62069"/>
    <w:rsid w:val="00F6215E"/>
    <w:rsid w:val="00F621F9"/>
    <w:rsid w:val="00F62204"/>
    <w:rsid w:val="00F62396"/>
    <w:rsid w:val="00F624A4"/>
    <w:rsid w:val="00F6250C"/>
    <w:rsid w:val="00F625F3"/>
    <w:rsid w:val="00F626EC"/>
    <w:rsid w:val="00F627FD"/>
    <w:rsid w:val="00F6282A"/>
    <w:rsid w:val="00F62920"/>
    <w:rsid w:val="00F62BBC"/>
    <w:rsid w:val="00F62CFF"/>
    <w:rsid w:val="00F62D26"/>
    <w:rsid w:val="00F62D50"/>
    <w:rsid w:val="00F62D67"/>
    <w:rsid w:val="00F62EE9"/>
    <w:rsid w:val="00F62F07"/>
    <w:rsid w:val="00F630D8"/>
    <w:rsid w:val="00F63122"/>
    <w:rsid w:val="00F63199"/>
    <w:rsid w:val="00F632E7"/>
    <w:rsid w:val="00F6338E"/>
    <w:rsid w:val="00F63393"/>
    <w:rsid w:val="00F63478"/>
    <w:rsid w:val="00F634D5"/>
    <w:rsid w:val="00F634E3"/>
    <w:rsid w:val="00F634F9"/>
    <w:rsid w:val="00F63502"/>
    <w:rsid w:val="00F63685"/>
    <w:rsid w:val="00F637D1"/>
    <w:rsid w:val="00F637E4"/>
    <w:rsid w:val="00F63854"/>
    <w:rsid w:val="00F63862"/>
    <w:rsid w:val="00F639C3"/>
    <w:rsid w:val="00F63D17"/>
    <w:rsid w:val="00F63D8C"/>
    <w:rsid w:val="00F63E67"/>
    <w:rsid w:val="00F63F10"/>
    <w:rsid w:val="00F64062"/>
    <w:rsid w:val="00F64065"/>
    <w:rsid w:val="00F641D1"/>
    <w:rsid w:val="00F6433F"/>
    <w:rsid w:val="00F64355"/>
    <w:rsid w:val="00F6449C"/>
    <w:rsid w:val="00F644E2"/>
    <w:rsid w:val="00F6456A"/>
    <w:rsid w:val="00F64573"/>
    <w:rsid w:val="00F6461E"/>
    <w:rsid w:val="00F6463F"/>
    <w:rsid w:val="00F6475E"/>
    <w:rsid w:val="00F647F2"/>
    <w:rsid w:val="00F648B6"/>
    <w:rsid w:val="00F6496B"/>
    <w:rsid w:val="00F6497A"/>
    <w:rsid w:val="00F64A35"/>
    <w:rsid w:val="00F64C78"/>
    <w:rsid w:val="00F64CCF"/>
    <w:rsid w:val="00F64CFF"/>
    <w:rsid w:val="00F64D27"/>
    <w:rsid w:val="00F652AC"/>
    <w:rsid w:val="00F652D6"/>
    <w:rsid w:val="00F652F7"/>
    <w:rsid w:val="00F65350"/>
    <w:rsid w:val="00F653F5"/>
    <w:rsid w:val="00F654D4"/>
    <w:rsid w:val="00F655B6"/>
    <w:rsid w:val="00F655E5"/>
    <w:rsid w:val="00F65727"/>
    <w:rsid w:val="00F6579A"/>
    <w:rsid w:val="00F659AD"/>
    <w:rsid w:val="00F65B97"/>
    <w:rsid w:val="00F65BCB"/>
    <w:rsid w:val="00F65C97"/>
    <w:rsid w:val="00F65F48"/>
    <w:rsid w:val="00F65F81"/>
    <w:rsid w:val="00F65F85"/>
    <w:rsid w:val="00F662C3"/>
    <w:rsid w:val="00F662E4"/>
    <w:rsid w:val="00F663DC"/>
    <w:rsid w:val="00F66550"/>
    <w:rsid w:val="00F666D3"/>
    <w:rsid w:val="00F66885"/>
    <w:rsid w:val="00F6692D"/>
    <w:rsid w:val="00F66A14"/>
    <w:rsid w:val="00F66A24"/>
    <w:rsid w:val="00F66A46"/>
    <w:rsid w:val="00F66A98"/>
    <w:rsid w:val="00F66B7E"/>
    <w:rsid w:val="00F66C6D"/>
    <w:rsid w:val="00F66D51"/>
    <w:rsid w:val="00F66E88"/>
    <w:rsid w:val="00F66FC6"/>
    <w:rsid w:val="00F67065"/>
    <w:rsid w:val="00F670E4"/>
    <w:rsid w:val="00F67201"/>
    <w:rsid w:val="00F67273"/>
    <w:rsid w:val="00F672BE"/>
    <w:rsid w:val="00F67343"/>
    <w:rsid w:val="00F6758F"/>
    <w:rsid w:val="00F675A9"/>
    <w:rsid w:val="00F6769B"/>
    <w:rsid w:val="00F67715"/>
    <w:rsid w:val="00F678C5"/>
    <w:rsid w:val="00F6798C"/>
    <w:rsid w:val="00F67AD5"/>
    <w:rsid w:val="00F67AE6"/>
    <w:rsid w:val="00F67B33"/>
    <w:rsid w:val="00F67C23"/>
    <w:rsid w:val="00F67CF0"/>
    <w:rsid w:val="00F67D36"/>
    <w:rsid w:val="00F67D9A"/>
    <w:rsid w:val="00F67F5A"/>
    <w:rsid w:val="00F67F93"/>
    <w:rsid w:val="00F70019"/>
    <w:rsid w:val="00F70096"/>
    <w:rsid w:val="00F700B5"/>
    <w:rsid w:val="00F700CD"/>
    <w:rsid w:val="00F7015B"/>
    <w:rsid w:val="00F70210"/>
    <w:rsid w:val="00F70214"/>
    <w:rsid w:val="00F70241"/>
    <w:rsid w:val="00F702E2"/>
    <w:rsid w:val="00F703BF"/>
    <w:rsid w:val="00F704B4"/>
    <w:rsid w:val="00F704EE"/>
    <w:rsid w:val="00F70677"/>
    <w:rsid w:val="00F70694"/>
    <w:rsid w:val="00F707D6"/>
    <w:rsid w:val="00F70914"/>
    <w:rsid w:val="00F70992"/>
    <w:rsid w:val="00F709C6"/>
    <w:rsid w:val="00F70B96"/>
    <w:rsid w:val="00F70BA7"/>
    <w:rsid w:val="00F70BB5"/>
    <w:rsid w:val="00F70C93"/>
    <w:rsid w:val="00F70CDA"/>
    <w:rsid w:val="00F70CE6"/>
    <w:rsid w:val="00F70D0F"/>
    <w:rsid w:val="00F70DDB"/>
    <w:rsid w:val="00F70E81"/>
    <w:rsid w:val="00F70EC0"/>
    <w:rsid w:val="00F70ECD"/>
    <w:rsid w:val="00F71057"/>
    <w:rsid w:val="00F710CF"/>
    <w:rsid w:val="00F710FC"/>
    <w:rsid w:val="00F71330"/>
    <w:rsid w:val="00F7148C"/>
    <w:rsid w:val="00F714AA"/>
    <w:rsid w:val="00F71637"/>
    <w:rsid w:val="00F71685"/>
    <w:rsid w:val="00F71695"/>
    <w:rsid w:val="00F716D0"/>
    <w:rsid w:val="00F716FA"/>
    <w:rsid w:val="00F717CE"/>
    <w:rsid w:val="00F717DF"/>
    <w:rsid w:val="00F717EA"/>
    <w:rsid w:val="00F71804"/>
    <w:rsid w:val="00F71864"/>
    <w:rsid w:val="00F71950"/>
    <w:rsid w:val="00F719A6"/>
    <w:rsid w:val="00F719C7"/>
    <w:rsid w:val="00F71A18"/>
    <w:rsid w:val="00F71AD8"/>
    <w:rsid w:val="00F71BBB"/>
    <w:rsid w:val="00F71BD1"/>
    <w:rsid w:val="00F71C54"/>
    <w:rsid w:val="00F71C76"/>
    <w:rsid w:val="00F71DE8"/>
    <w:rsid w:val="00F71EF7"/>
    <w:rsid w:val="00F71F01"/>
    <w:rsid w:val="00F71F58"/>
    <w:rsid w:val="00F72014"/>
    <w:rsid w:val="00F720D5"/>
    <w:rsid w:val="00F7214C"/>
    <w:rsid w:val="00F721FA"/>
    <w:rsid w:val="00F7238E"/>
    <w:rsid w:val="00F7252F"/>
    <w:rsid w:val="00F72636"/>
    <w:rsid w:val="00F7266C"/>
    <w:rsid w:val="00F72677"/>
    <w:rsid w:val="00F726A2"/>
    <w:rsid w:val="00F726E5"/>
    <w:rsid w:val="00F726FC"/>
    <w:rsid w:val="00F72778"/>
    <w:rsid w:val="00F727BA"/>
    <w:rsid w:val="00F72822"/>
    <w:rsid w:val="00F72939"/>
    <w:rsid w:val="00F72AE0"/>
    <w:rsid w:val="00F72CB2"/>
    <w:rsid w:val="00F72CD3"/>
    <w:rsid w:val="00F72D3F"/>
    <w:rsid w:val="00F72DA8"/>
    <w:rsid w:val="00F72DF3"/>
    <w:rsid w:val="00F72F5A"/>
    <w:rsid w:val="00F730DD"/>
    <w:rsid w:val="00F73270"/>
    <w:rsid w:val="00F73287"/>
    <w:rsid w:val="00F7333F"/>
    <w:rsid w:val="00F73351"/>
    <w:rsid w:val="00F73369"/>
    <w:rsid w:val="00F734AE"/>
    <w:rsid w:val="00F737EC"/>
    <w:rsid w:val="00F7383B"/>
    <w:rsid w:val="00F7384E"/>
    <w:rsid w:val="00F738CC"/>
    <w:rsid w:val="00F73A16"/>
    <w:rsid w:val="00F73C61"/>
    <w:rsid w:val="00F73F61"/>
    <w:rsid w:val="00F73F8B"/>
    <w:rsid w:val="00F7404D"/>
    <w:rsid w:val="00F74099"/>
    <w:rsid w:val="00F742E3"/>
    <w:rsid w:val="00F743EF"/>
    <w:rsid w:val="00F7454F"/>
    <w:rsid w:val="00F746B9"/>
    <w:rsid w:val="00F746C5"/>
    <w:rsid w:val="00F74828"/>
    <w:rsid w:val="00F7483A"/>
    <w:rsid w:val="00F7494E"/>
    <w:rsid w:val="00F7496E"/>
    <w:rsid w:val="00F74A09"/>
    <w:rsid w:val="00F74A51"/>
    <w:rsid w:val="00F74A5F"/>
    <w:rsid w:val="00F74B12"/>
    <w:rsid w:val="00F74BB0"/>
    <w:rsid w:val="00F74BBD"/>
    <w:rsid w:val="00F74C95"/>
    <w:rsid w:val="00F74D44"/>
    <w:rsid w:val="00F74E16"/>
    <w:rsid w:val="00F74E54"/>
    <w:rsid w:val="00F74E60"/>
    <w:rsid w:val="00F74EB2"/>
    <w:rsid w:val="00F74EE3"/>
    <w:rsid w:val="00F75286"/>
    <w:rsid w:val="00F75439"/>
    <w:rsid w:val="00F754B8"/>
    <w:rsid w:val="00F7556C"/>
    <w:rsid w:val="00F755D7"/>
    <w:rsid w:val="00F75610"/>
    <w:rsid w:val="00F75616"/>
    <w:rsid w:val="00F75831"/>
    <w:rsid w:val="00F758B8"/>
    <w:rsid w:val="00F7595E"/>
    <w:rsid w:val="00F7596E"/>
    <w:rsid w:val="00F759F9"/>
    <w:rsid w:val="00F75B40"/>
    <w:rsid w:val="00F75BD4"/>
    <w:rsid w:val="00F75C1C"/>
    <w:rsid w:val="00F75CA6"/>
    <w:rsid w:val="00F75D3C"/>
    <w:rsid w:val="00F75EFF"/>
    <w:rsid w:val="00F75F1F"/>
    <w:rsid w:val="00F75F9C"/>
    <w:rsid w:val="00F75F9E"/>
    <w:rsid w:val="00F762A1"/>
    <w:rsid w:val="00F762E2"/>
    <w:rsid w:val="00F763EB"/>
    <w:rsid w:val="00F76529"/>
    <w:rsid w:val="00F76765"/>
    <w:rsid w:val="00F767CE"/>
    <w:rsid w:val="00F76839"/>
    <w:rsid w:val="00F768B0"/>
    <w:rsid w:val="00F769A0"/>
    <w:rsid w:val="00F769F4"/>
    <w:rsid w:val="00F76AC9"/>
    <w:rsid w:val="00F76BBE"/>
    <w:rsid w:val="00F76CB7"/>
    <w:rsid w:val="00F76CD3"/>
    <w:rsid w:val="00F76DF6"/>
    <w:rsid w:val="00F76E4E"/>
    <w:rsid w:val="00F76F1A"/>
    <w:rsid w:val="00F76FDC"/>
    <w:rsid w:val="00F770F3"/>
    <w:rsid w:val="00F7722B"/>
    <w:rsid w:val="00F77243"/>
    <w:rsid w:val="00F77266"/>
    <w:rsid w:val="00F772E0"/>
    <w:rsid w:val="00F77429"/>
    <w:rsid w:val="00F7747D"/>
    <w:rsid w:val="00F774F3"/>
    <w:rsid w:val="00F77516"/>
    <w:rsid w:val="00F77546"/>
    <w:rsid w:val="00F77628"/>
    <w:rsid w:val="00F776C8"/>
    <w:rsid w:val="00F77739"/>
    <w:rsid w:val="00F777B1"/>
    <w:rsid w:val="00F777C3"/>
    <w:rsid w:val="00F77AB5"/>
    <w:rsid w:val="00F77AFE"/>
    <w:rsid w:val="00F77B35"/>
    <w:rsid w:val="00F77B72"/>
    <w:rsid w:val="00F77BBD"/>
    <w:rsid w:val="00F77D18"/>
    <w:rsid w:val="00F77DEB"/>
    <w:rsid w:val="00F77E37"/>
    <w:rsid w:val="00F77F73"/>
    <w:rsid w:val="00F77FB5"/>
    <w:rsid w:val="00F7F67C"/>
    <w:rsid w:val="00F80232"/>
    <w:rsid w:val="00F802EE"/>
    <w:rsid w:val="00F80370"/>
    <w:rsid w:val="00F803E6"/>
    <w:rsid w:val="00F80606"/>
    <w:rsid w:val="00F8061A"/>
    <w:rsid w:val="00F806D1"/>
    <w:rsid w:val="00F8070F"/>
    <w:rsid w:val="00F80827"/>
    <w:rsid w:val="00F808C5"/>
    <w:rsid w:val="00F80AB4"/>
    <w:rsid w:val="00F80ADF"/>
    <w:rsid w:val="00F80B18"/>
    <w:rsid w:val="00F80B7A"/>
    <w:rsid w:val="00F80BFA"/>
    <w:rsid w:val="00F80C01"/>
    <w:rsid w:val="00F80DBE"/>
    <w:rsid w:val="00F80E47"/>
    <w:rsid w:val="00F80E6F"/>
    <w:rsid w:val="00F81044"/>
    <w:rsid w:val="00F81066"/>
    <w:rsid w:val="00F81259"/>
    <w:rsid w:val="00F814F3"/>
    <w:rsid w:val="00F8152F"/>
    <w:rsid w:val="00F815E6"/>
    <w:rsid w:val="00F816E9"/>
    <w:rsid w:val="00F816F0"/>
    <w:rsid w:val="00F81702"/>
    <w:rsid w:val="00F8173A"/>
    <w:rsid w:val="00F81776"/>
    <w:rsid w:val="00F817F2"/>
    <w:rsid w:val="00F81953"/>
    <w:rsid w:val="00F81A09"/>
    <w:rsid w:val="00F81A18"/>
    <w:rsid w:val="00F81BB2"/>
    <w:rsid w:val="00F81C78"/>
    <w:rsid w:val="00F81CDE"/>
    <w:rsid w:val="00F81D30"/>
    <w:rsid w:val="00F81D9D"/>
    <w:rsid w:val="00F81DF7"/>
    <w:rsid w:val="00F81F0B"/>
    <w:rsid w:val="00F81F28"/>
    <w:rsid w:val="00F82102"/>
    <w:rsid w:val="00F82104"/>
    <w:rsid w:val="00F8215A"/>
    <w:rsid w:val="00F82223"/>
    <w:rsid w:val="00F8235C"/>
    <w:rsid w:val="00F825AE"/>
    <w:rsid w:val="00F82617"/>
    <w:rsid w:val="00F82662"/>
    <w:rsid w:val="00F829E8"/>
    <w:rsid w:val="00F829F5"/>
    <w:rsid w:val="00F82A26"/>
    <w:rsid w:val="00F82AC8"/>
    <w:rsid w:val="00F82C5B"/>
    <w:rsid w:val="00F82F31"/>
    <w:rsid w:val="00F830D6"/>
    <w:rsid w:val="00F83201"/>
    <w:rsid w:val="00F8327C"/>
    <w:rsid w:val="00F832D8"/>
    <w:rsid w:val="00F832F9"/>
    <w:rsid w:val="00F8345A"/>
    <w:rsid w:val="00F834A9"/>
    <w:rsid w:val="00F83529"/>
    <w:rsid w:val="00F8358F"/>
    <w:rsid w:val="00F83612"/>
    <w:rsid w:val="00F83690"/>
    <w:rsid w:val="00F83737"/>
    <w:rsid w:val="00F83831"/>
    <w:rsid w:val="00F83875"/>
    <w:rsid w:val="00F839F2"/>
    <w:rsid w:val="00F83A5D"/>
    <w:rsid w:val="00F83B0C"/>
    <w:rsid w:val="00F83B2B"/>
    <w:rsid w:val="00F83B4E"/>
    <w:rsid w:val="00F83BA5"/>
    <w:rsid w:val="00F83D29"/>
    <w:rsid w:val="00F83EB0"/>
    <w:rsid w:val="00F8406A"/>
    <w:rsid w:val="00F84130"/>
    <w:rsid w:val="00F84146"/>
    <w:rsid w:val="00F8418F"/>
    <w:rsid w:val="00F841DD"/>
    <w:rsid w:val="00F84253"/>
    <w:rsid w:val="00F843DD"/>
    <w:rsid w:val="00F843F1"/>
    <w:rsid w:val="00F8452F"/>
    <w:rsid w:val="00F84534"/>
    <w:rsid w:val="00F8459F"/>
    <w:rsid w:val="00F845DA"/>
    <w:rsid w:val="00F84663"/>
    <w:rsid w:val="00F84722"/>
    <w:rsid w:val="00F849E9"/>
    <w:rsid w:val="00F84A15"/>
    <w:rsid w:val="00F84ADE"/>
    <w:rsid w:val="00F84B25"/>
    <w:rsid w:val="00F84B55"/>
    <w:rsid w:val="00F84DB7"/>
    <w:rsid w:val="00F84E1C"/>
    <w:rsid w:val="00F84EBF"/>
    <w:rsid w:val="00F84F5F"/>
    <w:rsid w:val="00F84FBB"/>
    <w:rsid w:val="00F85023"/>
    <w:rsid w:val="00F850BB"/>
    <w:rsid w:val="00F85160"/>
    <w:rsid w:val="00F85280"/>
    <w:rsid w:val="00F853E0"/>
    <w:rsid w:val="00F85422"/>
    <w:rsid w:val="00F855E9"/>
    <w:rsid w:val="00F8560A"/>
    <w:rsid w:val="00F8567F"/>
    <w:rsid w:val="00F856D7"/>
    <w:rsid w:val="00F8570A"/>
    <w:rsid w:val="00F8577D"/>
    <w:rsid w:val="00F859EB"/>
    <w:rsid w:val="00F85A66"/>
    <w:rsid w:val="00F85C32"/>
    <w:rsid w:val="00F85C65"/>
    <w:rsid w:val="00F85D20"/>
    <w:rsid w:val="00F85D58"/>
    <w:rsid w:val="00F85D9B"/>
    <w:rsid w:val="00F85DCE"/>
    <w:rsid w:val="00F85E78"/>
    <w:rsid w:val="00F85F00"/>
    <w:rsid w:val="00F85F45"/>
    <w:rsid w:val="00F85F53"/>
    <w:rsid w:val="00F85FBB"/>
    <w:rsid w:val="00F8606F"/>
    <w:rsid w:val="00F8620D"/>
    <w:rsid w:val="00F86217"/>
    <w:rsid w:val="00F8623F"/>
    <w:rsid w:val="00F86293"/>
    <w:rsid w:val="00F862C3"/>
    <w:rsid w:val="00F862FC"/>
    <w:rsid w:val="00F86447"/>
    <w:rsid w:val="00F86466"/>
    <w:rsid w:val="00F86486"/>
    <w:rsid w:val="00F8678A"/>
    <w:rsid w:val="00F86805"/>
    <w:rsid w:val="00F86871"/>
    <w:rsid w:val="00F86AB2"/>
    <w:rsid w:val="00F86D34"/>
    <w:rsid w:val="00F86DE1"/>
    <w:rsid w:val="00F86E64"/>
    <w:rsid w:val="00F86E92"/>
    <w:rsid w:val="00F86F95"/>
    <w:rsid w:val="00F86FAA"/>
    <w:rsid w:val="00F86FB3"/>
    <w:rsid w:val="00F87117"/>
    <w:rsid w:val="00F87144"/>
    <w:rsid w:val="00F87194"/>
    <w:rsid w:val="00F87344"/>
    <w:rsid w:val="00F87477"/>
    <w:rsid w:val="00F87652"/>
    <w:rsid w:val="00F8767B"/>
    <w:rsid w:val="00F87697"/>
    <w:rsid w:val="00F877B2"/>
    <w:rsid w:val="00F8795C"/>
    <w:rsid w:val="00F87996"/>
    <w:rsid w:val="00F879D5"/>
    <w:rsid w:val="00F87A33"/>
    <w:rsid w:val="00F87A7D"/>
    <w:rsid w:val="00F87A85"/>
    <w:rsid w:val="00F87B1C"/>
    <w:rsid w:val="00F87B1D"/>
    <w:rsid w:val="00F87BFA"/>
    <w:rsid w:val="00F87D31"/>
    <w:rsid w:val="00F87D70"/>
    <w:rsid w:val="00F87E06"/>
    <w:rsid w:val="00F87E50"/>
    <w:rsid w:val="00F87E67"/>
    <w:rsid w:val="00F87E91"/>
    <w:rsid w:val="00F87F35"/>
    <w:rsid w:val="00F87F6F"/>
    <w:rsid w:val="00F90084"/>
    <w:rsid w:val="00F90096"/>
    <w:rsid w:val="00F90364"/>
    <w:rsid w:val="00F903CC"/>
    <w:rsid w:val="00F90563"/>
    <w:rsid w:val="00F90622"/>
    <w:rsid w:val="00F90783"/>
    <w:rsid w:val="00F9089C"/>
    <w:rsid w:val="00F9096B"/>
    <w:rsid w:val="00F90AB0"/>
    <w:rsid w:val="00F90ADD"/>
    <w:rsid w:val="00F90B2C"/>
    <w:rsid w:val="00F90B98"/>
    <w:rsid w:val="00F90C38"/>
    <w:rsid w:val="00F90CE6"/>
    <w:rsid w:val="00F90F0C"/>
    <w:rsid w:val="00F911CD"/>
    <w:rsid w:val="00F9123C"/>
    <w:rsid w:val="00F91335"/>
    <w:rsid w:val="00F914AC"/>
    <w:rsid w:val="00F914F4"/>
    <w:rsid w:val="00F9150B"/>
    <w:rsid w:val="00F91543"/>
    <w:rsid w:val="00F91725"/>
    <w:rsid w:val="00F91728"/>
    <w:rsid w:val="00F91735"/>
    <w:rsid w:val="00F91868"/>
    <w:rsid w:val="00F91A01"/>
    <w:rsid w:val="00F91A06"/>
    <w:rsid w:val="00F91A2B"/>
    <w:rsid w:val="00F91B36"/>
    <w:rsid w:val="00F91B46"/>
    <w:rsid w:val="00F91B6F"/>
    <w:rsid w:val="00F91BF0"/>
    <w:rsid w:val="00F91D50"/>
    <w:rsid w:val="00F92181"/>
    <w:rsid w:val="00F921AC"/>
    <w:rsid w:val="00F922A1"/>
    <w:rsid w:val="00F92366"/>
    <w:rsid w:val="00F92582"/>
    <w:rsid w:val="00F925A0"/>
    <w:rsid w:val="00F925C7"/>
    <w:rsid w:val="00F92609"/>
    <w:rsid w:val="00F92667"/>
    <w:rsid w:val="00F9276F"/>
    <w:rsid w:val="00F92A08"/>
    <w:rsid w:val="00F92AE3"/>
    <w:rsid w:val="00F92C08"/>
    <w:rsid w:val="00F92CBE"/>
    <w:rsid w:val="00F92D04"/>
    <w:rsid w:val="00F92D63"/>
    <w:rsid w:val="00F92E23"/>
    <w:rsid w:val="00F92EE1"/>
    <w:rsid w:val="00F93092"/>
    <w:rsid w:val="00F930AC"/>
    <w:rsid w:val="00F930EE"/>
    <w:rsid w:val="00F93186"/>
    <w:rsid w:val="00F9335A"/>
    <w:rsid w:val="00F934C7"/>
    <w:rsid w:val="00F93562"/>
    <w:rsid w:val="00F93564"/>
    <w:rsid w:val="00F935DE"/>
    <w:rsid w:val="00F936E4"/>
    <w:rsid w:val="00F9375D"/>
    <w:rsid w:val="00F937BF"/>
    <w:rsid w:val="00F93930"/>
    <w:rsid w:val="00F9398A"/>
    <w:rsid w:val="00F93E27"/>
    <w:rsid w:val="00F93F6B"/>
    <w:rsid w:val="00F93FD7"/>
    <w:rsid w:val="00F94144"/>
    <w:rsid w:val="00F94193"/>
    <w:rsid w:val="00F94228"/>
    <w:rsid w:val="00F9424F"/>
    <w:rsid w:val="00F94307"/>
    <w:rsid w:val="00F94448"/>
    <w:rsid w:val="00F945A9"/>
    <w:rsid w:val="00F94625"/>
    <w:rsid w:val="00F94684"/>
    <w:rsid w:val="00F94748"/>
    <w:rsid w:val="00F9474D"/>
    <w:rsid w:val="00F9474E"/>
    <w:rsid w:val="00F94799"/>
    <w:rsid w:val="00F947F4"/>
    <w:rsid w:val="00F948BF"/>
    <w:rsid w:val="00F949AD"/>
    <w:rsid w:val="00F949E3"/>
    <w:rsid w:val="00F94ACB"/>
    <w:rsid w:val="00F94B92"/>
    <w:rsid w:val="00F94BB2"/>
    <w:rsid w:val="00F94C4D"/>
    <w:rsid w:val="00F94C72"/>
    <w:rsid w:val="00F94C78"/>
    <w:rsid w:val="00F94DA8"/>
    <w:rsid w:val="00F94DDD"/>
    <w:rsid w:val="00F94E36"/>
    <w:rsid w:val="00F94EA7"/>
    <w:rsid w:val="00F94F71"/>
    <w:rsid w:val="00F9509C"/>
    <w:rsid w:val="00F950A9"/>
    <w:rsid w:val="00F95199"/>
    <w:rsid w:val="00F952E1"/>
    <w:rsid w:val="00F9537E"/>
    <w:rsid w:val="00F95612"/>
    <w:rsid w:val="00F95772"/>
    <w:rsid w:val="00F958A1"/>
    <w:rsid w:val="00F958A2"/>
    <w:rsid w:val="00F95A1D"/>
    <w:rsid w:val="00F95ADA"/>
    <w:rsid w:val="00F95BC0"/>
    <w:rsid w:val="00F95C8D"/>
    <w:rsid w:val="00F95D05"/>
    <w:rsid w:val="00F95D9A"/>
    <w:rsid w:val="00F95E96"/>
    <w:rsid w:val="00F95E9A"/>
    <w:rsid w:val="00F95FF3"/>
    <w:rsid w:val="00F96020"/>
    <w:rsid w:val="00F96149"/>
    <w:rsid w:val="00F961F8"/>
    <w:rsid w:val="00F9633A"/>
    <w:rsid w:val="00F964B4"/>
    <w:rsid w:val="00F9661A"/>
    <w:rsid w:val="00F9667D"/>
    <w:rsid w:val="00F9669E"/>
    <w:rsid w:val="00F96953"/>
    <w:rsid w:val="00F96A44"/>
    <w:rsid w:val="00F96A4C"/>
    <w:rsid w:val="00F96BB7"/>
    <w:rsid w:val="00F96C17"/>
    <w:rsid w:val="00F96D1F"/>
    <w:rsid w:val="00F96D47"/>
    <w:rsid w:val="00F96E4E"/>
    <w:rsid w:val="00F970B7"/>
    <w:rsid w:val="00F971E8"/>
    <w:rsid w:val="00F97235"/>
    <w:rsid w:val="00F972D1"/>
    <w:rsid w:val="00F97332"/>
    <w:rsid w:val="00F973D8"/>
    <w:rsid w:val="00F974C0"/>
    <w:rsid w:val="00F97505"/>
    <w:rsid w:val="00F9766E"/>
    <w:rsid w:val="00F976DD"/>
    <w:rsid w:val="00F977BC"/>
    <w:rsid w:val="00F97800"/>
    <w:rsid w:val="00F97833"/>
    <w:rsid w:val="00F979B3"/>
    <w:rsid w:val="00F97A0E"/>
    <w:rsid w:val="00F97B96"/>
    <w:rsid w:val="00F97BBF"/>
    <w:rsid w:val="00F97C82"/>
    <w:rsid w:val="00F97D42"/>
    <w:rsid w:val="00F97E77"/>
    <w:rsid w:val="00F97ECF"/>
    <w:rsid w:val="00F97EDE"/>
    <w:rsid w:val="00F97F1B"/>
    <w:rsid w:val="00FA00E4"/>
    <w:rsid w:val="00FA0123"/>
    <w:rsid w:val="00FA032F"/>
    <w:rsid w:val="00FA040C"/>
    <w:rsid w:val="00FA041D"/>
    <w:rsid w:val="00FA04E0"/>
    <w:rsid w:val="00FA0502"/>
    <w:rsid w:val="00FA0561"/>
    <w:rsid w:val="00FA05B0"/>
    <w:rsid w:val="00FA05EB"/>
    <w:rsid w:val="00FA0618"/>
    <w:rsid w:val="00FA0619"/>
    <w:rsid w:val="00FA0703"/>
    <w:rsid w:val="00FA082F"/>
    <w:rsid w:val="00FA08E0"/>
    <w:rsid w:val="00FA09B7"/>
    <w:rsid w:val="00FA0E55"/>
    <w:rsid w:val="00FA0E5D"/>
    <w:rsid w:val="00FA1136"/>
    <w:rsid w:val="00FA11DE"/>
    <w:rsid w:val="00FA1213"/>
    <w:rsid w:val="00FA12EC"/>
    <w:rsid w:val="00FA1385"/>
    <w:rsid w:val="00FA1425"/>
    <w:rsid w:val="00FA14C4"/>
    <w:rsid w:val="00FA1617"/>
    <w:rsid w:val="00FA174F"/>
    <w:rsid w:val="00FA1760"/>
    <w:rsid w:val="00FA183C"/>
    <w:rsid w:val="00FA19D9"/>
    <w:rsid w:val="00FA1A31"/>
    <w:rsid w:val="00FA1A3E"/>
    <w:rsid w:val="00FA1B65"/>
    <w:rsid w:val="00FA1C58"/>
    <w:rsid w:val="00FA1D17"/>
    <w:rsid w:val="00FA1D3D"/>
    <w:rsid w:val="00FA1D42"/>
    <w:rsid w:val="00FA1E60"/>
    <w:rsid w:val="00FA209E"/>
    <w:rsid w:val="00FA2109"/>
    <w:rsid w:val="00FA2264"/>
    <w:rsid w:val="00FA22BE"/>
    <w:rsid w:val="00FA22FF"/>
    <w:rsid w:val="00FA232C"/>
    <w:rsid w:val="00FA2367"/>
    <w:rsid w:val="00FA23DE"/>
    <w:rsid w:val="00FA24B1"/>
    <w:rsid w:val="00FA2684"/>
    <w:rsid w:val="00FA26D0"/>
    <w:rsid w:val="00FA2836"/>
    <w:rsid w:val="00FA2AAC"/>
    <w:rsid w:val="00FA2C79"/>
    <w:rsid w:val="00FA2CA2"/>
    <w:rsid w:val="00FA2CE1"/>
    <w:rsid w:val="00FA2CFA"/>
    <w:rsid w:val="00FA2DD9"/>
    <w:rsid w:val="00FA2DF0"/>
    <w:rsid w:val="00FA2E80"/>
    <w:rsid w:val="00FA2E9F"/>
    <w:rsid w:val="00FA2FD7"/>
    <w:rsid w:val="00FA3081"/>
    <w:rsid w:val="00FA30A4"/>
    <w:rsid w:val="00FA3182"/>
    <w:rsid w:val="00FA3201"/>
    <w:rsid w:val="00FA356B"/>
    <w:rsid w:val="00FA3768"/>
    <w:rsid w:val="00FA37AA"/>
    <w:rsid w:val="00FA37AD"/>
    <w:rsid w:val="00FA3893"/>
    <w:rsid w:val="00FA38F3"/>
    <w:rsid w:val="00FA3A74"/>
    <w:rsid w:val="00FA3A7E"/>
    <w:rsid w:val="00FA3DB8"/>
    <w:rsid w:val="00FA3E1B"/>
    <w:rsid w:val="00FA3EA5"/>
    <w:rsid w:val="00FA3F4F"/>
    <w:rsid w:val="00FA4110"/>
    <w:rsid w:val="00FA43BA"/>
    <w:rsid w:val="00FA4430"/>
    <w:rsid w:val="00FA444E"/>
    <w:rsid w:val="00FA4474"/>
    <w:rsid w:val="00FA4493"/>
    <w:rsid w:val="00FA4589"/>
    <w:rsid w:val="00FA45E9"/>
    <w:rsid w:val="00FA469C"/>
    <w:rsid w:val="00FA4798"/>
    <w:rsid w:val="00FA479D"/>
    <w:rsid w:val="00FA47DF"/>
    <w:rsid w:val="00FA4814"/>
    <w:rsid w:val="00FA488D"/>
    <w:rsid w:val="00FA48FF"/>
    <w:rsid w:val="00FA4924"/>
    <w:rsid w:val="00FA4CBD"/>
    <w:rsid w:val="00FA4D41"/>
    <w:rsid w:val="00FA4FBC"/>
    <w:rsid w:val="00FA50DD"/>
    <w:rsid w:val="00FA5165"/>
    <w:rsid w:val="00FA51B0"/>
    <w:rsid w:val="00FA51FC"/>
    <w:rsid w:val="00FA5318"/>
    <w:rsid w:val="00FA532E"/>
    <w:rsid w:val="00FA5363"/>
    <w:rsid w:val="00FA5381"/>
    <w:rsid w:val="00FA546B"/>
    <w:rsid w:val="00FA55C3"/>
    <w:rsid w:val="00FA5696"/>
    <w:rsid w:val="00FA56E7"/>
    <w:rsid w:val="00FA5773"/>
    <w:rsid w:val="00FA57B3"/>
    <w:rsid w:val="00FA5829"/>
    <w:rsid w:val="00FA58EE"/>
    <w:rsid w:val="00FA59A1"/>
    <w:rsid w:val="00FA5B83"/>
    <w:rsid w:val="00FA5BB8"/>
    <w:rsid w:val="00FA5C3C"/>
    <w:rsid w:val="00FA5CC5"/>
    <w:rsid w:val="00FA5CDB"/>
    <w:rsid w:val="00FA5D0C"/>
    <w:rsid w:val="00FA5D59"/>
    <w:rsid w:val="00FA626C"/>
    <w:rsid w:val="00FA6272"/>
    <w:rsid w:val="00FA63C5"/>
    <w:rsid w:val="00FA63C9"/>
    <w:rsid w:val="00FA6522"/>
    <w:rsid w:val="00FA6707"/>
    <w:rsid w:val="00FA687D"/>
    <w:rsid w:val="00FA6A7E"/>
    <w:rsid w:val="00FA6AAB"/>
    <w:rsid w:val="00FA6C31"/>
    <w:rsid w:val="00FA6D26"/>
    <w:rsid w:val="00FA6F09"/>
    <w:rsid w:val="00FA6F2B"/>
    <w:rsid w:val="00FA7032"/>
    <w:rsid w:val="00FA70E4"/>
    <w:rsid w:val="00FA70F3"/>
    <w:rsid w:val="00FA710C"/>
    <w:rsid w:val="00FA7287"/>
    <w:rsid w:val="00FA72E4"/>
    <w:rsid w:val="00FA73BF"/>
    <w:rsid w:val="00FA781B"/>
    <w:rsid w:val="00FA7824"/>
    <w:rsid w:val="00FA7838"/>
    <w:rsid w:val="00FA7867"/>
    <w:rsid w:val="00FA78DE"/>
    <w:rsid w:val="00FA7920"/>
    <w:rsid w:val="00FA7A90"/>
    <w:rsid w:val="00FA7B39"/>
    <w:rsid w:val="00FA7B54"/>
    <w:rsid w:val="00FA7BC7"/>
    <w:rsid w:val="00FA7D03"/>
    <w:rsid w:val="00FA7DA2"/>
    <w:rsid w:val="00FA7EDA"/>
    <w:rsid w:val="00FA7F0B"/>
    <w:rsid w:val="00FB0104"/>
    <w:rsid w:val="00FB02C2"/>
    <w:rsid w:val="00FB0446"/>
    <w:rsid w:val="00FB048A"/>
    <w:rsid w:val="00FB0536"/>
    <w:rsid w:val="00FB0539"/>
    <w:rsid w:val="00FB069A"/>
    <w:rsid w:val="00FB06D9"/>
    <w:rsid w:val="00FB075C"/>
    <w:rsid w:val="00FB089D"/>
    <w:rsid w:val="00FB08BF"/>
    <w:rsid w:val="00FB0DC8"/>
    <w:rsid w:val="00FB0EAD"/>
    <w:rsid w:val="00FB0F5B"/>
    <w:rsid w:val="00FB1067"/>
    <w:rsid w:val="00FB1237"/>
    <w:rsid w:val="00FB1269"/>
    <w:rsid w:val="00FB127F"/>
    <w:rsid w:val="00FB12E0"/>
    <w:rsid w:val="00FB147D"/>
    <w:rsid w:val="00FB1563"/>
    <w:rsid w:val="00FB15C2"/>
    <w:rsid w:val="00FB17CE"/>
    <w:rsid w:val="00FB19C6"/>
    <w:rsid w:val="00FB19FD"/>
    <w:rsid w:val="00FB1A1C"/>
    <w:rsid w:val="00FB1A82"/>
    <w:rsid w:val="00FB1AF4"/>
    <w:rsid w:val="00FB1B14"/>
    <w:rsid w:val="00FB1BE8"/>
    <w:rsid w:val="00FB1D61"/>
    <w:rsid w:val="00FB1DCA"/>
    <w:rsid w:val="00FB1F52"/>
    <w:rsid w:val="00FB1FA9"/>
    <w:rsid w:val="00FB208B"/>
    <w:rsid w:val="00FB2129"/>
    <w:rsid w:val="00FB219D"/>
    <w:rsid w:val="00FB2232"/>
    <w:rsid w:val="00FB2334"/>
    <w:rsid w:val="00FB25AF"/>
    <w:rsid w:val="00FB25CB"/>
    <w:rsid w:val="00FB28CA"/>
    <w:rsid w:val="00FB2926"/>
    <w:rsid w:val="00FB2A14"/>
    <w:rsid w:val="00FB2A64"/>
    <w:rsid w:val="00FB2A7C"/>
    <w:rsid w:val="00FB2ACC"/>
    <w:rsid w:val="00FB2DE8"/>
    <w:rsid w:val="00FB2E6E"/>
    <w:rsid w:val="00FB2F45"/>
    <w:rsid w:val="00FB3000"/>
    <w:rsid w:val="00FB310F"/>
    <w:rsid w:val="00FB31B1"/>
    <w:rsid w:val="00FB3214"/>
    <w:rsid w:val="00FB33B7"/>
    <w:rsid w:val="00FB33BC"/>
    <w:rsid w:val="00FB33CA"/>
    <w:rsid w:val="00FB33F7"/>
    <w:rsid w:val="00FB3570"/>
    <w:rsid w:val="00FB37DF"/>
    <w:rsid w:val="00FB39E2"/>
    <w:rsid w:val="00FB39F4"/>
    <w:rsid w:val="00FB3A7D"/>
    <w:rsid w:val="00FB3B07"/>
    <w:rsid w:val="00FB3B76"/>
    <w:rsid w:val="00FB3CF0"/>
    <w:rsid w:val="00FB3DB9"/>
    <w:rsid w:val="00FB3EA9"/>
    <w:rsid w:val="00FB3F40"/>
    <w:rsid w:val="00FB3F68"/>
    <w:rsid w:val="00FB3FC6"/>
    <w:rsid w:val="00FB3FD7"/>
    <w:rsid w:val="00FB3FE9"/>
    <w:rsid w:val="00FB4229"/>
    <w:rsid w:val="00FB4232"/>
    <w:rsid w:val="00FB4397"/>
    <w:rsid w:val="00FB4523"/>
    <w:rsid w:val="00FB4579"/>
    <w:rsid w:val="00FB4584"/>
    <w:rsid w:val="00FB4622"/>
    <w:rsid w:val="00FB4672"/>
    <w:rsid w:val="00FB469E"/>
    <w:rsid w:val="00FB4710"/>
    <w:rsid w:val="00FB4728"/>
    <w:rsid w:val="00FB47EA"/>
    <w:rsid w:val="00FB48A0"/>
    <w:rsid w:val="00FB4937"/>
    <w:rsid w:val="00FB4A5F"/>
    <w:rsid w:val="00FB4B22"/>
    <w:rsid w:val="00FB4B8E"/>
    <w:rsid w:val="00FB4C97"/>
    <w:rsid w:val="00FB4DC7"/>
    <w:rsid w:val="00FB4F04"/>
    <w:rsid w:val="00FB4FCB"/>
    <w:rsid w:val="00FB5094"/>
    <w:rsid w:val="00FB5121"/>
    <w:rsid w:val="00FB512B"/>
    <w:rsid w:val="00FB512C"/>
    <w:rsid w:val="00FB5158"/>
    <w:rsid w:val="00FB52C9"/>
    <w:rsid w:val="00FB536C"/>
    <w:rsid w:val="00FB54C5"/>
    <w:rsid w:val="00FB57C3"/>
    <w:rsid w:val="00FB5A38"/>
    <w:rsid w:val="00FB5B20"/>
    <w:rsid w:val="00FB5B53"/>
    <w:rsid w:val="00FB5BDB"/>
    <w:rsid w:val="00FB5C9D"/>
    <w:rsid w:val="00FB5CAB"/>
    <w:rsid w:val="00FB5D55"/>
    <w:rsid w:val="00FB5D88"/>
    <w:rsid w:val="00FB5FA6"/>
    <w:rsid w:val="00FB5FBA"/>
    <w:rsid w:val="00FB6038"/>
    <w:rsid w:val="00FB6104"/>
    <w:rsid w:val="00FB61DB"/>
    <w:rsid w:val="00FB63BF"/>
    <w:rsid w:val="00FB63D9"/>
    <w:rsid w:val="00FB64B3"/>
    <w:rsid w:val="00FB6628"/>
    <w:rsid w:val="00FB68D9"/>
    <w:rsid w:val="00FB6AC2"/>
    <w:rsid w:val="00FB6B18"/>
    <w:rsid w:val="00FB6C6A"/>
    <w:rsid w:val="00FB6CAD"/>
    <w:rsid w:val="00FB6D3C"/>
    <w:rsid w:val="00FB6D93"/>
    <w:rsid w:val="00FB6EFA"/>
    <w:rsid w:val="00FB7110"/>
    <w:rsid w:val="00FB7139"/>
    <w:rsid w:val="00FB7150"/>
    <w:rsid w:val="00FB715C"/>
    <w:rsid w:val="00FB7175"/>
    <w:rsid w:val="00FB72A6"/>
    <w:rsid w:val="00FB7359"/>
    <w:rsid w:val="00FB7379"/>
    <w:rsid w:val="00FB743F"/>
    <w:rsid w:val="00FB7588"/>
    <w:rsid w:val="00FB761B"/>
    <w:rsid w:val="00FB7624"/>
    <w:rsid w:val="00FB7701"/>
    <w:rsid w:val="00FB7738"/>
    <w:rsid w:val="00FB77A8"/>
    <w:rsid w:val="00FB79AC"/>
    <w:rsid w:val="00FB7C50"/>
    <w:rsid w:val="00FB7D7C"/>
    <w:rsid w:val="00FB7EDE"/>
    <w:rsid w:val="00FBCD14"/>
    <w:rsid w:val="00FC008D"/>
    <w:rsid w:val="00FC025C"/>
    <w:rsid w:val="00FC02DD"/>
    <w:rsid w:val="00FC0382"/>
    <w:rsid w:val="00FC04DF"/>
    <w:rsid w:val="00FC0518"/>
    <w:rsid w:val="00FC07C0"/>
    <w:rsid w:val="00FC0888"/>
    <w:rsid w:val="00FC095C"/>
    <w:rsid w:val="00FC0B15"/>
    <w:rsid w:val="00FC0B2A"/>
    <w:rsid w:val="00FC0BC2"/>
    <w:rsid w:val="00FC0BF1"/>
    <w:rsid w:val="00FC0CD3"/>
    <w:rsid w:val="00FC0D1A"/>
    <w:rsid w:val="00FC0D4F"/>
    <w:rsid w:val="00FC0EC4"/>
    <w:rsid w:val="00FC0F2F"/>
    <w:rsid w:val="00FC10FC"/>
    <w:rsid w:val="00FC11AC"/>
    <w:rsid w:val="00FC12A0"/>
    <w:rsid w:val="00FC1396"/>
    <w:rsid w:val="00FC154F"/>
    <w:rsid w:val="00FC16E9"/>
    <w:rsid w:val="00FC1802"/>
    <w:rsid w:val="00FC181E"/>
    <w:rsid w:val="00FC1956"/>
    <w:rsid w:val="00FC19EC"/>
    <w:rsid w:val="00FC1B8A"/>
    <w:rsid w:val="00FC1BAF"/>
    <w:rsid w:val="00FC1C94"/>
    <w:rsid w:val="00FC1CD1"/>
    <w:rsid w:val="00FC1D79"/>
    <w:rsid w:val="00FC2062"/>
    <w:rsid w:val="00FC2080"/>
    <w:rsid w:val="00FC20CB"/>
    <w:rsid w:val="00FC22C3"/>
    <w:rsid w:val="00FC230C"/>
    <w:rsid w:val="00FC2459"/>
    <w:rsid w:val="00FC2464"/>
    <w:rsid w:val="00FC2551"/>
    <w:rsid w:val="00FC256A"/>
    <w:rsid w:val="00FC2633"/>
    <w:rsid w:val="00FC2662"/>
    <w:rsid w:val="00FC26D5"/>
    <w:rsid w:val="00FC2820"/>
    <w:rsid w:val="00FC2949"/>
    <w:rsid w:val="00FC2992"/>
    <w:rsid w:val="00FC29FE"/>
    <w:rsid w:val="00FC2A06"/>
    <w:rsid w:val="00FC2AC2"/>
    <w:rsid w:val="00FC2BCD"/>
    <w:rsid w:val="00FC2D58"/>
    <w:rsid w:val="00FC2E29"/>
    <w:rsid w:val="00FC2E9B"/>
    <w:rsid w:val="00FC2F73"/>
    <w:rsid w:val="00FC2F8E"/>
    <w:rsid w:val="00FC2FA7"/>
    <w:rsid w:val="00FC303E"/>
    <w:rsid w:val="00FC31EC"/>
    <w:rsid w:val="00FC3261"/>
    <w:rsid w:val="00FC32F5"/>
    <w:rsid w:val="00FC3381"/>
    <w:rsid w:val="00FC33FD"/>
    <w:rsid w:val="00FC35F7"/>
    <w:rsid w:val="00FC363A"/>
    <w:rsid w:val="00FC37AC"/>
    <w:rsid w:val="00FC3850"/>
    <w:rsid w:val="00FC38F5"/>
    <w:rsid w:val="00FC39AB"/>
    <w:rsid w:val="00FC39EB"/>
    <w:rsid w:val="00FC3A2C"/>
    <w:rsid w:val="00FC3C89"/>
    <w:rsid w:val="00FC3E26"/>
    <w:rsid w:val="00FC3F24"/>
    <w:rsid w:val="00FC3FB6"/>
    <w:rsid w:val="00FC4156"/>
    <w:rsid w:val="00FC429A"/>
    <w:rsid w:val="00FC42F8"/>
    <w:rsid w:val="00FC44A2"/>
    <w:rsid w:val="00FC44EF"/>
    <w:rsid w:val="00FC45E1"/>
    <w:rsid w:val="00FC4733"/>
    <w:rsid w:val="00FC4860"/>
    <w:rsid w:val="00FC498B"/>
    <w:rsid w:val="00FC4A20"/>
    <w:rsid w:val="00FC4A52"/>
    <w:rsid w:val="00FC4A8F"/>
    <w:rsid w:val="00FC4B27"/>
    <w:rsid w:val="00FC4B66"/>
    <w:rsid w:val="00FC4BC6"/>
    <w:rsid w:val="00FC4C87"/>
    <w:rsid w:val="00FC4CA5"/>
    <w:rsid w:val="00FC4D32"/>
    <w:rsid w:val="00FC5050"/>
    <w:rsid w:val="00FC50A3"/>
    <w:rsid w:val="00FC5173"/>
    <w:rsid w:val="00FC51D1"/>
    <w:rsid w:val="00FC520A"/>
    <w:rsid w:val="00FC5215"/>
    <w:rsid w:val="00FC52F0"/>
    <w:rsid w:val="00FC5387"/>
    <w:rsid w:val="00FC5481"/>
    <w:rsid w:val="00FC5555"/>
    <w:rsid w:val="00FC5696"/>
    <w:rsid w:val="00FC587D"/>
    <w:rsid w:val="00FC58B9"/>
    <w:rsid w:val="00FC5961"/>
    <w:rsid w:val="00FC5993"/>
    <w:rsid w:val="00FC5E03"/>
    <w:rsid w:val="00FC5E20"/>
    <w:rsid w:val="00FC5E81"/>
    <w:rsid w:val="00FC5EBE"/>
    <w:rsid w:val="00FC5EFD"/>
    <w:rsid w:val="00FC5F4A"/>
    <w:rsid w:val="00FC6027"/>
    <w:rsid w:val="00FC6092"/>
    <w:rsid w:val="00FC60B3"/>
    <w:rsid w:val="00FC60E2"/>
    <w:rsid w:val="00FC61F2"/>
    <w:rsid w:val="00FC636E"/>
    <w:rsid w:val="00FC659A"/>
    <w:rsid w:val="00FC66B7"/>
    <w:rsid w:val="00FC678B"/>
    <w:rsid w:val="00FC6890"/>
    <w:rsid w:val="00FC68CE"/>
    <w:rsid w:val="00FC6944"/>
    <w:rsid w:val="00FC6C6F"/>
    <w:rsid w:val="00FC6CC5"/>
    <w:rsid w:val="00FC6E20"/>
    <w:rsid w:val="00FC6E27"/>
    <w:rsid w:val="00FC6F2C"/>
    <w:rsid w:val="00FC6F4F"/>
    <w:rsid w:val="00FC7051"/>
    <w:rsid w:val="00FC70B6"/>
    <w:rsid w:val="00FC70D8"/>
    <w:rsid w:val="00FC70FB"/>
    <w:rsid w:val="00FC7112"/>
    <w:rsid w:val="00FC71F0"/>
    <w:rsid w:val="00FC7214"/>
    <w:rsid w:val="00FC7579"/>
    <w:rsid w:val="00FC767E"/>
    <w:rsid w:val="00FC76C9"/>
    <w:rsid w:val="00FC7810"/>
    <w:rsid w:val="00FC781E"/>
    <w:rsid w:val="00FC7827"/>
    <w:rsid w:val="00FC7864"/>
    <w:rsid w:val="00FC7866"/>
    <w:rsid w:val="00FC78B4"/>
    <w:rsid w:val="00FC793E"/>
    <w:rsid w:val="00FC7A0F"/>
    <w:rsid w:val="00FC7A72"/>
    <w:rsid w:val="00FC7AF2"/>
    <w:rsid w:val="00FC7C30"/>
    <w:rsid w:val="00FC7C71"/>
    <w:rsid w:val="00FC7C99"/>
    <w:rsid w:val="00FC7D32"/>
    <w:rsid w:val="00FC7DCD"/>
    <w:rsid w:val="00FC7EF0"/>
    <w:rsid w:val="00FD0020"/>
    <w:rsid w:val="00FD0128"/>
    <w:rsid w:val="00FD01CC"/>
    <w:rsid w:val="00FD0229"/>
    <w:rsid w:val="00FD027E"/>
    <w:rsid w:val="00FD028E"/>
    <w:rsid w:val="00FD07F6"/>
    <w:rsid w:val="00FD08EF"/>
    <w:rsid w:val="00FD0957"/>
    <w:rsid w:val="00FD0960"/>
    <w:rsid w:val="00FD0C21"/>
    <w:rsid w:val="00FD0CCE"/>
    <w:rsid w:val="00FD1070"/>
    <w:rsid w:val="00FD110A"/>
    <w:rsid w:val="00FD11E7"/>
    <w:rsid w:val="00FD12D7"/>
    <w:rsid w:val="00FD151D"/>
    <w:rsid w:val="00FD15E7"/>
    <w:rsid w:val="00FD161D"/>
    <w:rsid w:val="00FD16E9"/>
    <w:rsid w:val="00FD172A"/>
    <w:rsid w:val="00FD18CB"/>
    <w:rsid w:val="00FD1A32"/>
    <w:rsid w:val="00FD1DBD"/>
    <w:rsid w:val="00FD1ED9"/>
    <w:rsid w:val="00FD1FB2"/>
    <w:rsid w:val="00FD202E"/>
    <w:rsid w:val="00FD2142"/>
    <w:rsid w:val="00FD2254"/>
    <w:rsid w:val="00FD22B0"/>
    <w:rsid w:val="00FD2392"/>
    <w:rsid w:val="00FD23C7"/>
    <w:rsid w:val="00FD24AD"/>
    <w:rsid w:val="00FD25B2"/>
    <w:rsid w:val="00FD269F"/>
    <w:rsid w:val="00FD2741"/>
    <w:rsid w:val="00FD2813"/>
    <w:rsid w:val="00FD2834"/>
    <w:rsid w:val="00FD288E"/>
    <w:rsid w:val="00FD29E2"/>
    <w:rsid w:val="00FD2ADA"/>
    <w:rsid w:val="00FD2AF7"/>
    <w:rsid w:val="00FD2B5A"/>
    <w:rsid w:val="00FD2BBD"/>
    <w:rsid w:val="00FD2C1B"/>
    <w:rsid w:val="00FD2F85"/>
    <w:rsid w:val="00FD2FB3"/>
    <w:rsid w:val="00FD3002"/>
    <w:rsid w:val="00FD30EC"/>
    <w:rsid w:val="00FD31E6"/>
    <w:rsid w:val="00FD320E"/>
    <w:rsid w:val="00FD337E"/>
    <w:rsid w:val="00FD338D"/>
    <w:rsid w:val="00FD33E4"/>
    <w:rsid w:val="00FD3433"/>
    <w:rsid w:val="00FD345E"/>
    <w:rsid w:val="00FD350C"/>
    <w:rsid w:val="00FD35DE"/>
    <w:rsid w:val="00FD37D1"/>
    <w:rsid w:val="00FD3894"/>
    <w:rsid w:val="00FD3AC9"/>
    <w:rsid w:val="00FD3BC0"/>
    <w:rsid w:val="00FD3CF9"/>
    <w:rsid w:val="00FD3D29"/>
    <w:rsid w:val="00FD3E0A"/>
    <w:rsid w:val="00FD3F65"/>
    <w:rsid w:val="00FD4205"/>
    <w:rsid w:val="00FD424C"/>
    <w:rsid w:val="00FD426F"/>
    <w:rsid w:val="00FD439E"/>
    <w:rsid w:val="00FD448F"/>
    <w:rsid w:val="00FD4505"/>
    <w:rsid w:val="00FD45CC"/>
    <w:rsid w:val="00FD4608"/>
    <w:rsid w:val="00FD464C"/>
    <w:rsid w:val="00FD4837"/>
    <w:rsid w:val="00FD4976"/>
    <w:rsid w:val="00FD49E9"/>
    <w:rsid w:val="00FD4A0E"/>
    <w:rsid w:val="00FD4BBD"/>
    <w:rsid w:val="00FD4DA8"/>
    <w:rsid w:val="00FD4DC5"/>
    <w:rsid w:val="00FD4E5A"/>
    <w:rsid w:val="00FD4E78"/>
    <w:rsid w:val="00FD4EA5"/>
    <w:rsid w:val="00FD4EC3"/>
    <w:rsid w:val="00FD4F3E"/>
    <w:rsid w:val="00FD4FC7"/>
    <w:rsid w:val="00FD504C"/>
    <w:rsid w:val="00FD5244"/>
    <w:rsid w:val="00FD526E"/>
    <w:rsid w:val="00FD52F6"/>
    <w:rsid w:val="00FD5375"/>
    <w:rsid w:val="00FD54C1"/>
    <w:rsid w:val="00FD54CD"/>
    <w:rsid w:val="00FD5727"/>
    <w:rsid w:val="00FD58C6"/>
    <w:rsid w:val="00FD5A7C"/>
    <w:rsid w:val="00FD5AF0"/>
    <w:rsid w:val="00FD5BF7"/>
    <w:rsid w:val="00FD5C59"/>
    <w:rsid w:val="00FD5D2A"/>
    <w:rsid w:val="00FD5D3A"/>
    <w:rsid w:val="00FD5DF8"/>
    <w:rsid w:val="00FD5E18"/>
    <w:rsid w:val="00FD5E21"/>
    <w:rsid w:val="00FD5EAC"/>
    <w:rsid w:val="00FD5EED"/>
    <w:rsid w:val="00FD5F42"/>
    <w:rsid w:val="00FD5FF8"/>
    <w:rsid w:val="00FD6083"/>
    <w:rsid w:val="00FD616E"/>
    <w:rsid w:val="00FD6216"/>
    <w:rsid w:val="00FD625C"/>
    <w:rsid w:val="00FD630C"/>
    <w:rsid w:val="00FD633E"/>
    <w:rsid w:val="00FD63BE"/>
    <w:rsid w:val="00FD64DB"/>
    <w:rsid w:val="00FD6581"/>
    <w:rsid w:val="00FD671D"/>
    <w:rsid w:val="00FD681A"/>
    <w:rsid w:val="00FD6865"/>
    <w:rsid w:val="00FD6879"/>
    <w:rsid w:val="00FD6966"/>
    <w:rsid w:val="00FD6984"/>
    <w:rsid w:val="00FD69CC"/>
    <w:rsid w:val="00FD6A7C"/>
    <w:rsid w:val="00FD6D37"/>
    <w:rsid w:val="00FD6D3F"/>
    <w:rsid w:val="00FD6D56"/>
    <w:rsid w:val="00FD6D76"/>
    <w:rsid w:val="00FD6D94"/>
    <w:rsid w:val="00FD6E74"/>
    <w:rsid w:val="00FD6F36"/>
    <w:rsid w:val="00FD6F6F"/>
    <w:rsid w:val="00FD6F99"/>
    <w:rsid w:val="00FD6FB4"/>
    <w:rsid w:val="00FD6FC9"/>
    <w:rsid w:val="00FD6FF0"/>
    <w:rsid w:val="00FD7089"/>
    <w:rsid w:val="00FD716A"/>
    <w:rsid w:val="00FD72F2"/>
    <w:rsid w:val="00FD75BA"/>
    <w:rsid w:val="00FD76C1"/>
    <w:rsid w:val="00FD76F4"/>
    <w:rsid w:val="00FD77AF"/>
    <w:rsid w:val="00FD77E7"/>
    <w:rsid w:val="00FD7803"/>
    <w:rsid w:val="00FD7902"/>
    <w:rsid w:val="00FD799C"/>
    <w:rsid w:val="00FD79E7"/>
    <w:rsid w:val="00FD7ADC"/>
    <w:rsid w:val="00FD7C49"/>
    <w:rsid w:val="00FD7CB7"/>
    <w:rsid w:val="00FD7D60"/>
    <w:rsid w:val="00FD7E00"/>
    <w:rsid w:val="00FD7EE5"/>
    <w:rsid w:val="00FE0096"/>
    <w:rsid w:val="00FE03DB"/>
    <w:rsid w:val="00FE0453"/>
    <w:rsid w:val="00FE04ED"/>
    <w:rsid w:val="00FE05CB"/>
    <w:rsid w:val="00FE0700"/>
    <w:rsid w:val="00FE071C"/>
    <w:rsid w:val="00FE0756"/>
    <w:rsid w:val="00FE077A"/>
    <w:rsid w:val="00FE07E4"/>
    <w:rsid w:val="00FE0841"/>
    <w:rsid w:val="00FE08BC"/>
    <w:rsid w:val="00FE08CC"/>
    <w:rsid w:val="00FE097F"/>
    <w:rsid w:val="00FE0A18"/>
    <w:rsid w:val="00FE0C54"/>
    <w:rsid w:val="00FE0CEF"/>
    <w:rsid w:val="00FE0E29"/>
    <w:rsid w:val="00FE0E8C"/>
    <w:rsid w:val="00FE0EC8"/>
    <w:rsid w:val="00FE0F79"/>
    <w:rsid w:val="00FE0FAA"/>
    <w:rsid w:val="00FE101A"/>
    <w:rsid w:val="00FE1031"/>
    <w:rsid w:val="00FE10FA"/>
    <w:rsid w:val="00FE1346"/>
    <w:rsid w:val="00FE1408"/>
    <w:rsid w:val="00FE14A3"/>
    <w:rsid w:val="00FE1539"/>
    <w:rsid w:val="00FE16E2"/>
    <w:rsid w:val="00FE172C"/>
    <w:rsid w:val="00FE1744"/>
    <w:rsid w:val="00FE17FD"/>
    <w:rsid w:val="00FE1AA9"/>
    <w:rsid w:val="00FE1B3E"/>
    <w:rsid w:val="00FE1C69"/>
    <w:rsid w:val="00FE1D25"/>
    <w:rsid w:val="00FE1D99"/>
    <w:rsid w:val="00FE1DE8"/>
    <w:rsid w:val="00FE1F27"/>
    <w:rsid w:val="00FE1F44"/>
    <w:rsid w:val="00FE1F5E"/>
    <w:rsid w:val="00FE1FF1"/>
    <w:rsid w:val="00FE21FE"/>
    <w:rsid w:val="00FE22FB"/>
    <w:rsid w:val="00FE2344"/>
    <w:rsid w:val="00FE2390"/>
    <w:rsid w:val="00FE246B"/>
    <w:rsid w:val="00FE2563"/>
    <w:rsid w:val="00FE267C"/>
    <w:rsid w:val="00FE26FD"/>
    <w:rsid w:val="00FE270C"/>
    <w:rsid w:val="00FE274A"/>
    <w:rsid w:val="00FE2775"/>
    <w:rsid w:val="00FE2794"/>
    <w:rsid w:val="00FE29F4"/>
    <w:rsid w:val="00FE2A34"/>
    <w:rsid w:val="00FE2BA1"/>
    <w:rsid w:val="00FE2BBF"/>
    <w:rsid w:val="00FE2D3D"/>
    <w:rsid w:val="00FE2D8C"/>
    <w:rsid w:val="00FE2DB6"/>
    <w:rsid w:val="00FE2ECA"/>
    <w:rsid w:val="00FE2F9A"/>
    <w:rsid w:val="00FE3086"/>
    <w:rsid w:val="00FE3104"/>
    <w:rsid w:val="00FE312A"/>
    <w:rsid w:val="00FE31EF"/>
    <w:rsid w:val="00FE323B"/>
    <w:rsid w:val="00FE3311"/>
    <w:rsid w:val="00FE337E"/>
    <w:rsid w:val="00FE3583"/>
    <w:rsid w:val="00FE3672"/>
    <w:rsid w:val="00FE39C9"/>
    <w:rsid w:val="00FE3A46"/>
    <w:rsid w:val="00FE3A7A"/>
    <w:rsid w:val="00FE3AA4"/>
    <w:rsid w:val="00FE3B71"/>
    <w:rsid w:val="00FE3B7A"/>
    <w:rsid w:val="00FE3BEF"/>
    <w:rsid w:val="00FE3E72"/>
    <w:rsid w:val="00FE3E87"/>
    <w:rsid w:val="00FE3ECB"/>
    <w:rsid w:val="00FE3EEA"/>
    <w:rsid w:val="00FE3F87"/>
    <w:rsid w:val="00FE3FDC"/>
    <w:rsid w:val="00FE401D"/>
    <w:rsid w:val="00FE4054"/>
    <w:rsid w:val="00FE40D1"/>
    <w:rsid w:val="00FE4134"/>
    <w:rsid w:val="00FE4278"/>
    <w:rsid w:val="00FE4360"/>
    <w:rsid w:val="00FE4378"/>
    <w:rsid w:val="00FE43FA"/>
    <w:rsid w:val="00FE45DD"/>
    <w:rsid w:val="00FE4680"/>
    <w:rsid w:val="00FE4682"/>
    <w:rsid w:val="00FE468B"/>
    <w:rsid w:val="00FE4739"/>
    <w:rsid w:val="00FE47A2"/>
    <w:rsid w:val="00FE48F9"/>
    <w:rsid w:val="00FE48FB"/>
    <w:rsid w:val="00FE4976"/>
    <w:rsid w:val="00FE4AC3"/>
    <w:rsid w:val="00FE4C4B"/>
    <w:rsid w:val="00FE4CF1"/>
    <w:rsid w:val="00FE4DF4"/>
    <w:rsid w:val="00FE4F91"/>
    <w:rsid w:val="00FE4F92"/>
    <w:rsid w:val="00FE4FAA"/>
    <w:rsid w:val="00FE4FBC"/>
    <w:rsid w:val="00FE5133"/>
    <w:rsid w:val="00FE517E"/>
    <w:rsid w:val="00FE51AC"/>
    <w:rsid w:val="00FE52F0"/>
    <w:rsid w:val="00FE52F8"/>
    <w:rsid w:val="00FE5428"/>
    <w:rsid w:val="00FE5560"/>
    <w:rsid w:val="00FE556C"/>
    <w:rsid w:val="00FE5580"/>
    <w:rsid w:val="00FE56E6"/>
    <w:rsid w:val="00FE58E7"/>
    <w:rsid w:val="00FE5AD1"/>
    <w:rsid w:val="00FE5AF1"/>
    <w:rsid w:val="00FE5C95"/>
    <w:rsid w:val="00FE5DBA"/>
    <w:rsid w:val="00FE638C"/>
    <w:rsid w:val="00FE63F3"/>
    <w:rsid w:val="00FE6522"/>
    <w:rsid w:val="00FE657F"/>
    <w:rsid w:val="00FE65F5"/>
    <w:rsid w:val="00FE69FF"/>
    <w:rsid w:val="00FE6A87"/>
    <w:rsid w:val="00FE6AB1"/>
    <w:rsid w:val="00FE6B0C"/>
    <w:rsid w:val="00FE6B4C"/>
    <w:rsid w:val="00FE6B52"/>
    <w:rsid w:val="00FE6D66"/>
    <w:rsid w:val="00FE6E2B"/>
    <w:rsid w:val="00FE6F82"/>
    <w:rsid w:val="00FE7155"/>
    <w:rsid w:val="00FE71B1"/>
    <w:rsid w:val="00FE72B3"/>
    <w:rsid w:val="00FE7362"/>
    <w:rsid w:val="00FE74E5"/>
    <w:rsid w:val="00FE74FF"/>
    <w:rsid w:val="00FE7670"/>
    <w:rsid w:val="00FE76CA"/>
    <w:rsid w:val="00FE782E"/>
    <w:rsid w:val="00FE7BAA"/>
    <w:rsid w:val="00FE7C6A"/>
    <w:rsid w:val="00FE7C98"/>
    <w:rsid w:val="00FE7D42"/>
    <w:rsid w:val="00FE7EBE"/>
    <w:rsid w:val="00FE7EE8"/>
    <w:rsid w:val="00FEC186"/>
    <w:rsid w:val="00FF012D"/>
    <w:rsid w:val="00FF0140"/>
    <w:rsid w:val="00FF027A"/>
    <w:rsid w:val="00FF042D"/>
    <w:rsid w:val="00FF0466"/>
    <w:rsid w:val="00FF0544"/>
    <w:rsid w:val="00FF0908"/>
    <w:rsid w:val="00FF09FA"/>
    <w:rsid w:val="00FF0B27"/>
    <w:rsid w:val="00FF0B68"/>
    <w:rsid w:val="00FF0C81"/>
    <w:rsid w:val="00FF0DFE"/>
    <w:rsid w:val="00FF0E9F"/>
    <w:rsid w:val="00FF0F9E"/>
    <w:rsid w:val="00FF10E9"/>
    <w:rsid w:val="00FF11F1"/>
    <w:rsid w:val="00FF1200"/>
    <w:rsid w:val="00FF120A"/>
    <w:rsid w:val="00FF127D"/>
    <w:rsid w:val="00FF13E2"/>
    <w:rsid w:val="00FF13EE"/>
    <w:rsid w:val="00FF13FD"/>
    <w:rsid w:val="00FF1449"/>
    <w:rsid w:val="00FF1472"/>
    <w:rsid w:val="00FF14BB"/>
    <w:rsid w:val="00FF1578"/>
    <w:rsid w:val="00FF1635"/>
    <w:rsid w:val="00FF16ED"/>
    <w:rsid w:val="00FF17B2"/>
    <w:rsid w:val="00FF181E"/>
    <w:rsid w:val="00FF1864"/>
    <w:rsid w:val="00FF1869"/>
    <w:rsid w:val="00FF199B"/>
    <w:rsid w:val="00FF19BE"/>
    <w:rsid w:val="00FF1A23"/>
    <w:rsid w:val="00FF1C2E"/>
    <w:rsid w:val="00FF1C52"/>
    <w:rsid w:val="00FF1DD0"/>
    <w:rsid w:val="00FF1DFD"/>
    <w:rsid w:val="00FF1EC3"/>
    <w:rsid w:val="00FF1F52"/>
    <w:rsid w:val="00FF1FEF"/>
    <w:rsid w:val="00FF20FF"/>
    <w:rsid w:val="00FF215C"/>
    <w:rsid w:val="00FF2203"/>
    <w:rsid w:val="00FF2249"/>
    <w:rsid w:val="00FF23A0"/>
    <w:rsid w:val="00FF24E4"/>
    <w:rsid w:val="00FF2526"/>
    <w:rsid w:val="00FF268B"/>
    <w:rsid w:val="00FF273D"/>
    <w:rsid w:val="00FF27BE"/>
    <w:rsid w:val="00FF294B"/>
    <w:rsid w:val="00FF29A6"/>
    <w:rsid w:val="00FF2A5C"/>
    <w:rsid w:val="00FF2B25"/>
    <w:rsid w:val="00FF2C06"/>
    <w:rsid w:val="00FF2C63"/>
    <w:rsid w:val="00FF2CA1"/>
    <w:rsid w:val="00FF2D31"/>
    <w:rsid w:val="00FF2D7E"/>
    <w:rsid w:val="00FF2F96"/>
    <w:rsid w:val="00FF3080"/>
    <w:rsid w:val="00FF309E"/>
    <w:rsid w:val="00FF30BC"/>
    <w:rsid w:val="00FF3224"/>
    <w:rsid w:val="00FF3266"/>
    <w:rsid w:val="00FF3283"/>
    <w:rsid w:val="00FF332D"/>
    <w:rsid w:val="00FF35B2"/>
    <w:rsid w:val="00FF3713"/>
    <w:rsid w:val="00FF379E"/>
    <w:rsid w:val="00FF37BB"/>
    <w:rsid w:val="00FF3825"/>
    <w:rsid w:val="00FF38C8"/>
    <w:rsid w:val="00FF3912"/>
    <w:rsid w:val="00FF397A"/>
    <w:rsid w:val="00FF39D4"/>
    <w:rsid w:val="00FF3AC4"/>
    <w:rsid w:val="00FF3AF1"/>
    <w:rsid w:val="00FF3B99"/>
    <w:rsid w:val="00FF3C49"/>
    <w:rsid w:val="00FF3DAF"/>
    <w:rsid w:val="00FF3ED4"/>
    <w:rsid w:val="00FF4016"/>
    <w:rsid w:val="00FF403F"/>
    <w:rsid w:val="00FF414D"/>
    <w:rsid w:val="00FF440F"/>
    <w:rsid w:val="00FF44D0"/>
    <w:rsid w:val="00FF464A"/>
    <w:rsid w:val="00FF4678"/>
    <w:rsid w:val="00FF4804"/>
    <w:rsid w:val="00FF49A2"/>
    <w:rsid w:val="00FF49C2"/>
    <w:rsid w:val="00FF4BB5"/>
    <w:rsid w:val="00FF4C2C"/>
    <w:rsid w:val="00FF4C60"/>
    <w:rsid w:val="00FF4C64"/>
    <w:rsid w:val="00FF4CCE"/>
    <w:rsid w:val="00FF4CD5"/>
    <w:rsid w:val="00FF4D7C"/>
    <w:rsid w:val="00FF4E24"/>
    <w:rsid w:val="00FF4E26"/>
    <w:rsid w:val="00FF4F0D"/>
    <w:rsid w:val="00FF4F56"/>
    <w:rsid w:val="00FF50F0"/>
    <w:rsid w:val="00FF5135"/>
    <w:rsid w:val="00FF51C4"/>
    <w:rsid w:val="00FF521A"/>
    <w:rsid w:val="00FF52B4"/>
    <w:rsid w:val="00FF546F"/>
    <w:rsid w:val="00FF5579"/>
    <w:rsid w:val="00FF56A6"/>
    <w:rsid w:val="00FF5830"/>
    <w:rsid w:val="00FF5925"/>
    <w:rsid w:val="00FF5965"/>
    <w:rsid w:val="00FF596B"/>
    <w:rsid w:val="00FF5AB2"/>
    <w:rsid w:val="00FF5B6B"/>
    <w:rsid w:val="00FF5BD6"/>
    <w:rsid w:val="00FF5D04"/>
    <w:rsid w:val="00FF5DC9"/>
    <w:rsid w:val="00FF5DF4"/>
    <w:rsid w:val="00FF5DF9"/>
    <w:rsid w:val="00FF5F19"/>
    <w:rsid w:val="00FF5FA4"/>
    <w:rsid w:val="00FF6019"/>
    <w:rsid w:val="00FF60E0"/>
    <w:rsid w:val="00FF60E6"/>
    <w:rsid w:val="00FF60F2"/>
    <w:rsid w:val="00FF6142"/>
    <w:rsid w:val="00FF6223"/>
    <w:rsid w:val="00FF63C4"/>
    <w:rsid w:val="00FF6435"/>
    <w:rsid w:val="00FF64F4"/>
    <w:rsid w:val="00FF65CE"/>
    <w:rsid w:val="00FF65FB"/>
    <w:rsid w:val="00FF6637"/>
    <w:rsid w:val="00FF663F"/>
    <w:rsid w:val="00FF66CE"/>
    <w:rsid w:val="00FF68CD"/>
    <w:rsid w:val="00FF6BBA"/>
    <w:rsid w:val="00FF6C49"/>
    <w:rsid w:val="00FF6CFE"/>
    <w:rsid w:val="00FF6E40"/>
    <w:rsid w:val="00FF6E5D"/>
    <w:rsid w:val="00FF6F75"/>
    <w:rsid w:val="00FF70C1"/>
    <w:rsid w:val="00FF73BA"/>
    <w:rsid w:val="00FF74D1"/>
    <w:rsid w:val="00FF74DF"/>
    <w:rsid w:val="00FF74F0"/>
    <w:rsid w:val="00FF7518"/>
    <w:rsid w:val="00FF7593"/>
    <w:rsid w:val="00FF75C1"/>
    <w:rsid w:val="00FF7652"/>
    <w:rsid w:val="00FF76E5"/>
    <w:rsid w:val="00FF770E"/>
    <w:rsid w:val="00FF7792"/>
    <w:rsid w:val="00FF77C4"/>
    <w:rsid w:val="00FF77E7"/>
    <w:rsid w:val="00FF7861"/>
    <w:rsid w:val="00FF789B"/>
    <w:rsid w:val="00FF7AAF"/>
    <w:rsid w:val="00FF7C35"/>
    <w:rsid w:val="00FF7EC3"/>
    <w:rsid w:val="00FF7EF5"/>
    <w:rsid w:val="0105F19F"/>
    <w:rsid w:val="0106C558"/>
    <w:rsid w:val="01082292"/>
    <w:rsid w:val="0108F0AD"/>
    <w:rsid w:val="010D390D"/>
    <w:rsid w:val="010EF2FD"/>
    <w:rsid w:val="01109398"/>
    <w:rsid w:val="011475DD"/>
    <w:rsid w:val="011B1299"/>
    <w:rsid w:val="011CFC77"/>
    <w:rsid w:val="011F8882"/>
    <w:rsid w:val="011F9151"/>
    <w:rsid w:val="0122E3E9"/>
    <w:rsid w:val="0124BCF5"/>
    <w:rsid w:val="01297295"/>
    <w:rsid w:val="0129C12C"/>
    <w:rsid w:val="013708F8"/>
    <w:rsid w:val="013F1A1F"/>
    <w:rsid w:val="013F8390"/>
    <w:rsid w:val="0142C985"/>
    <w:rsid w:val="0144201F"/>
    <w:rsid w:val="0147DC7C"/>
    <w:rsid w:val="014EE5AB"/>
    <w:rsid w:val="015059D2"/>
    <w:rsid w:val="01507324"/>
    <w:rsid w:val="01519B92"/>
    <w:rsid w:val="0157DB20"/>
    <w:rsid w:val="0159BAA2"/>
    <w:rsid w:val="015A80C2"/>
    <w:rsid w:val="0166C52F"/>
    <w:rsid w:val="0168D05E"/>
    <w:rsid w:val="0169E52A"/>
    <w:rsid w:val="016A78E9"/>
    <w:rsid w:val="016E3C2E"/>
    <w:rsid w:val="016EDA2A"/>
    <w:rsid w:val="016FB9DC"/>
    <w:rsid w:val="0174B25C"/>
    <w:rsid w:val="017561FD"/>
    <w:rsid w:val="017E9EA7"/>
    <w:rsid w:val="0180CEE6"/>
    <w:rsid w:val="018381CB"/>
    <w:rsid w:val="018F0D14"/>
    <w:rsid w:val="0191F4B6"/>
    <w:rsid w:val="019AFD90"/>
    <w:rsid w:val="019B2CB4"/>
    <w:rsid w:val="01A78BB8"/>
    <w:rsid w:val="01A8CCD9"/>
    <w:rsid w:val="01AA5B8B"/>
    <w:rsid w:val="01AE1EB8"/>
    <w:rsid w:val="01AE920E"/>
    <w:rsid w:val="01B2CCCE"/>
    <w:rsid w:val="01B89469"/>
    <w:rsid w:val="01B950FA"/>
    <w:rsid w:val="01C1B4B4"/>
    <w:rsid w:val="01C42ADF"/>
    <w:rsid w:val="01C5D84D"/>
    <w:rsid w:val="01C8DBD7"/>
    <w:rsid w:val="01CAD57C"/>
    <w:rsid w:val="01CAFD50"/>
    <w:rsid w:val="01CC69A2"/>
    <w:rsid w:val="01D0309A"/>
    <w:rsid w:val="01D6DCDA"/>
    <w:rsid w:val="01E3220F"/>
    <w:rsid w:val="01E5218B"/>
    <w:rsid w:val="01E9023D"/>
    <w:rsid w:val="01EB2EC4"/>
    <w:rsid w:val="01EC87A6"/>
    <w:rsid w:val="01ED083D"/>
    <w:rsid w:val="01F52F96"/>
    <w:rsid w:val="01F67240"/>
    <w:rsid w:val="01FA2A5C"/>
    <w:rsid w:val="01FB3068"/>
    <w:rsid w:val="01FBA9F6"/>
    <w:rsid w:val="0203A22A"/>
    <w:rsid w:val="0207D6E0"/>
    <w:rsid w:val="0208CC9F"/>
    <w:rsid w:val="020B836C"/>
    <w:rsid w:val="020EAEBC"/>
    <w:rsid w:val="020FFA5E"/>
    <w:rsid w:val="0213CD80"/>
    <w:rsid w:val="021993E4"/>
    <w:rsid w:val="0219E7E2"/>
    <w:rsid w:val="021DD337"/>
    <w:rsid w:val="02298EDE"/>
    <w:rsid w:val="022CE7D7"/>
    <w:rsid w:val="02303140"/>
    <w:rsid w:val="02352328"/>
    <w:rsid w:val="023C9424"/>
    <w:rsid w:val="023DDCE5"/>
    <w:rsid w:val="0242C20B"/>
    <w:rsid w:val="0243F18E"/>
    <w:rsid w:val="0244D6A2"/>
    <w:rsid w:val="024788D3"/>
    <w:rsid w:val="02483515"/>
    <w:rsid w:val="02551411"/>
    <w:rsid w:val="0255D277"/>
    <w:rsid w:val="02645351"/>
    <w:rsid w:val="02672763"/>
    <w:rsid w:val="026E2664"/>
    <w:rsid w:val="026EC03F"/>
    <w:rsid w:val="026F4F6F"/>
    <w:rsid w:val="026FCD1F"/>
    <w:rsid w:val="02724EAB"/>
    <w:rsid w:val="0273447B"/>
    <w:rsid w:val="0275740F"/>
    <w:rsid w:val="027A1FB9"/>
    <w:rsid w:val="027DE4D6"/>
    <w:rsid w:val="027F27E0"/>
    <w:rsid w:val="02823461"/>
    <w:rsid w:val="02885722"/>
    <w:rsid w:val="028FB6FC"/>
    <w:rsid w:val="028FD05C"/>
    <w:rsid w:val="02943EB7"/>
    <w:rsid w:val="0296C335"/>
    <w:rsid w:val="0296C3AC"/>
    <w:rsid w:val="0297EB40"/>
    <w:rsid w:val="02990B2D"/>
    <w:rsid w:val="02A010E0"/>
    <w:rsid w:val="02A05B2E"/>
    <w:rsid w:val="02A78CF6"/>
    <w:rsid w:val="02AA3955"/>
    <w:rsid w:val="02AFCB76"/>
    <w:rsid w:val="02B19613"/>
    <w:rsid w:val="02B21A66"/>
    <w:rsid w:val="02B7BD92"/>
    <w:rsid w:val="02B7EC8A"/>
    <w:rsid w:val="02B8A9A3"/>
    <w:rsid w:val="02B95F6E"/>
    <w:rsid w:val="02BD630F"/>
    <w:rsid w:val="02C14D6E"/>
    <w:rsid w:val="02C4EFE4"/>
    <w:rsid w:val="02CB550B"/>
    <w:rsid w:val="02CC3370"/>
    <w:rsid w:val="02CDEFB2"/>
    <w:rsid w:val="02CF58CF"/>
    <w:rsid w:val="02D51265"/>
    <w:rsid w:val="02D80A35"/>
    <w:rsid w:val="02DB62D9"/>
    <w:rsid w:val="02DB8483"/>
    <w:rsid w:val="02E3D5C4"/>
    <w:rsid w:val="02E761F2"/>
    <w:rsid w:val="02EBEB43"/>
    <w:rsid w:val="02ED1177"/>
    <w:rsid w:val="02ED3C3F"/>
    <w:rsid w:val="02EF0067"/>
    <w:rsid w:val="02F5670D"/>
    <w:rsid w:val="0301276D"/>
    <w:rsid w:val="03054BD4"/>
    <w:rsid w:val="0306E4F7"/>
    <w:rsid w:val="030AEEB7"/>
    <w:rsid w:val="030B3CC7"/>
    <w:rsid w:val="030B3DAB"/>
    <w:rsid w:val="031027D3"/>
    <w:rsid w:val="03164EC9"/>
    <w:rsid w:val="0316F32B"/>
    <w:rsid w:val="0317AF28"/>
    <w:rsid w:val="0319788F"/>
    <w:rsid w:val="031C4F8A"/>
    <w:rsid w:val="031C62C2"/>
    <w:rsid w:val="031D776C"/>
    <w:rsid w:val="031FBF31"/>
    <w:rsid w:val="0320E8EB"/>
    <w:rsid w:val="032491AE"/>
    <w:rsid w:val="0326DA58"/>
    <w:rsid w:val="032A3AA1"/>
    <w:rsid w:val="032B2A7C"/>
    <w:rsid w:val="0334B1A4"/>
    <w:rsid w:val="033723EB"/>
    <w:rsid w:val="0338B898"/>
    <w:rsid w:val="033D02FA"/>
    <w:rsid w:val="034357EB"/>
    <w:rsid w:val="034848F4"/>
    <w:rsid w:val="034A7758"/>
    <w:rsid w:val="034E4619"/>
    <w:rsid w:val="0356F3F1"/>
    <w:rsid w:val="0358CDA6"/>
    <w:rsid w:val="0359DE30"/>
    <w:rsid w:val="035FC59E"/>
    <w:rsid w:val="035FC89A"/>
    <w:rsid w:val="0362883D"/>
    <w:rsid w:val="0365B596"/>
    <w:rsid w:val="0368D6A0"/>
    <w:rsid w:val="03695340"/>
    <w:rsid w:val="037032B7"/>
    <w:rsid w:val="037066AF"/>
    <w:rsid w:val="037080CE"/>
    <w:rsid w:val="037422FE"/>
    <w:rsid w:val="03747EFC"/>
    <w:rsid w:val="0375E390"/>
    <w:rsid w:val="0377B620"/>
    <w:rsid w:val="037CA1D1"/>
    <w:rsid w:val="037EE5EC"/>
    <w:rsid w:val="037F5368"/>
    <w:rsid w:val="03813E31"/>
    <w:rsid w:val="03837F1E"/>
    <w:rsid w:val="0384A8B2"/>
    <w:rsid w:val="038925AA"/>
    <w:rsid w:val="038966E3"/>
    <w:rsid w:val="038B7606"/>
    <w:rsid w:val="038C2AA2"/>
    <w:rsid w:val="038CA2CD"/>
    <w:rsid w:val="038EE9E5"/>
    <w:rsid w:val="0392050A"/>
    <w:rsid w:val="0392682B"/>
    <w:rsid w:val="03974978"/>
    <w:rsid w:val="039A517B"/>
    <w:rsid w:val="03A12168"/>
    <w:rsid w:val="03A65B1D"/>
    <w:rsid w:val="03A68300"/>
    <w:rsid w:val="03A7269A"/>
    <w:rsid w:val="03B5B9E3"/>
    <w:rsid w:val="03BFC4CF"/>
    <w:rsid w:val="03C3F724"/>
    <w:rsid w:val="03C80B31"/>
    <w:rsid w:val="03D159FC"/>
    <w:rsid w:val="03D57992"/>
    <w:rsid w:val="03D90E51"/>
    <w:rsid w:val="03E5EC1B"/>
    <w:rsid w:val="03E852AA"/>
    <w:rsid w:val="03ED4643"/>
    <w:rsid w:val="03EFB897"/>
    <w:rsid w:val="03F6BF4D"/>
    <w:rsid w:val="03F9D822"/>
    <w:rsid w:val="03F9E1E3"/>
    <w:rsid w:val="0401C071"/>
    <w:rsid w:val="04028EC8"/>
    <w:rsid w:val="04037CCC"/>
    <w:rsid w:val="04099F10"/>
    <w:rsid w:val="040BC25D"/>
    <w:rsid w:val="040BD67B"/>
    <w:rsid w:val="040C7D2F"/>
    <w:rsid w:val="040E0F5C"/>
    <w:rsid w:val="041401F2"/>
    <w:rsid w:val="04188B61"/>
    <w:rsid w:val="041A5C2B"/>
    <w:rsid w:val="041DC769"/>
    <w:rsid w:val="041F2612"/>
    <w:rsid w:val="0421A1FE"/>
    <w:rsid w:val="042331ED"/>
    <w:rsid w:val="04266979"/>
    <w:rsid w:val="042C008A"/>
    <w:rsid w:val="042F268F"/>
    <w:rsid w:val="042FBD89"/>
    <w:rsid w:val="04309993"/>
    <w:rsid w:val="0432CA98"/>
    <w:rsid w:val="043594D7"/>
    <w:rsid w:val="043B61E9"/>
    <w:rsid w:val="043CAD97"/>
    <w:rsid w:val="043FBE59"/>
    <w:rsid w:val="0442FF18"/>
    <w:rsid w:val="044394A2"/>
    <w:rsid w:val="0444294C"/>
    <w:rsid w:val="044944A9"/>
    <w:rsid w:val="0452F63C"/>
    <w:rsid w:val="04569871"/>
    <w:rsid w:val="045EAAEB"/>
    <w:rsid w:val="04614AED"/>
    <w:rsid w:val="04623575"/>
    <w:rsid w:val="04662A20"/>
    <w:rsid w:val="046C1CEF"/>
    <w:rsid w:val="047134C6"/>
    <w:rsid w:val="0471DA42"/>
    <w:rsid w:val="04737515"/>
    <w:rsid w:val="047B231D"/>
    <w:rsid w:val="047B49CB"/>
    <w:rsid w:val="04814D0B"/>
    <w:rsid w:val="048344EA"/>
    <w:rsid w:val="04854045"/>
    <w:rsid w:val="0489C4EC"/>
    <w:rsid w:val="048A54C9"/>
    <w:rsid w:val="04914A5B"/>
    <w:rsid w:val="0491CFB3"/>
    <w:rsid w:val="049A9EE1"/>
    <w:rsid w:val="049C6A61"/>
    <w:rsid w:val="04A0FBCF"/>
    <w:rsid w:val="04B7AFE2"/>
    <w:rsid w:val="04BCAC25"/>
    <w:rsid w:val="04BFC38F"/>
    <w:rsid w:val="04BFE8C4"/>
    <w:rsid w:val="04C26C61"/>
    <w:rsid w:val="04C56FF0"/>
    <w:rsid w:val="04CD2E50"/>
    <w:rsid w:val="04CD70DD"/>
    <w:rsid w:val="04CDB017"/>
    <w:rsid w:val="04D0BBD2"/>
    <w:rsid w:val="04D0D26F"/>
    <w:rsid w:val="04D72897"/>
    <w:rsid w:val="04D8458B"/>
    <w:rsid w:val="04D97302"/>
    <w:rsid w:val="04DBD3F1"/>
    <w:rsid w:val="04DDA217"/>
    <w:rsid w:val="04DDB108"/>
    <w:rsid w:val="04EBDB69"/>
    <w:rsid w:val="04ECFA6F"/>
    <w:rsid w:val="04F18D0A"/>
    <w:rsid w:val="04F1CFED"/>
    <w:rsid w:val="04F7904B"/>
    <w:rsid w:val="04FECA2D"/>
    <w:rsid w:val="04FF0D6B"/>
    <w:rsid w:val="05066BDB"/>
    <w:rsid w:val="05097F62"/>
    <w:rsid w:val="050B4D06"/>
    <w:rsid w:val="050FDF0A"/>
    <w:rsid w:val="05109FFE"/>
    <w:rsid w:val="0511D50B"/>
    <w:rsid w:val="051EF5D6"/>
    <w:rsid w:val="052597BC"/>
    <w:rsid w:val="05262111"/>
    <w:rsid w:val="05288647"/>
    <w:rsid w:val="052A0D07"/>
    <w:rsid w:val="052A42A8"/>
    <w:rsid w:val="052C67E2"/>
    <w:rsid w:val="05342D38"/>
    <w:rsid w:val="0538A076"/>
    <w:rsid w:val="05397238"/>
    <w:rsid w:val="053D5790"/>
    <w:rsid w:val="0542EB94"/>
    <w:rsid w:val="05433172"/>
    <w:rsid w:val="0544CF2F"/>
    <w:rsid w:val="054B61DD"/>
    <w:rsid w:val="05555739"/>
    <w:rsid w:val="05569319"/>
    <w:rsid w:val="055A312E"/>
    <w:rsid w:val="055B66DC"/>
    <w:rsid w:val="055EBB83"/>
    <w:rsid w:val="056DDD56"/>
    <w:rsid w:val="0571377D"/>
    <w:rsid w:val="057583BF"/>
    <w:rsid w:val="05787E37"/>
    <w:rsid w:val="05810449"/>
    <w:rsid w:val="0583D086"/>
    <w:rsid w:val="0588270B"/>
    <w:rsid w:val="05885DCA"/>
    <w:rsid w:val="05898FE1"/>
    <w:rsid w:val="058CC781"/>
    <w:rsid w:val="058D50F1"/>
    <w:rsid w:val="0590689F"/>
    <w:rsid w:val="05927D06"/>
    <w:rsid w:val="05974692"/>
    <w:rsid w:val="05988962"/>
    <w:rsid w:val="0598A785"/>
    <w:rsid w:val="059CF459"/>
    <w:rsid w:val="059EBF03"/>
    <w:rsid w:val="059F096C"/>
    <w:rsid w:val="059FE115"/>
    <w:rsid w:val="05A2124A"/>
    <w:rsid w:val="05A486FA"/>
    <w:rsid w:val="05A7E23D"/>
    <w:rsid w:val="05AA1811"/>
    <w:rsid w:val="05AF2613"/>
    <w:rsid w:val="05AF36AD"/>
    <w:rsid w:val="05B853B7"/>
    <w:rsid w:val="05B8E81F"/>
    <w:rsid w:val="05BC8810"/>
    <w:rsid w:val="05BF75BC"/>
    <w:rsid w:val="05C9FB72"/>
    <w:rsid w:val="05CC1381"/>
    <w:rsid w:val="05D44443"/>
    <w:rsid w:val="05DF3488"/>
    <w:rsid w:val="05DF6524"/>
    <w:rsid w:val="05E431BF"/>
    <w:rsid w:val="05EB71E6"/>
    <w:rsid w:val="05EE6D67"/>
    <w:rsid w:val="05EFD615"/>
    <w:rsid w:val="05F39672"/>
    <w:rsid w:val="05F52561"/>
    <w:rsid w:val="05FA1C57"/>
    <w:rsid w:val="05FAC7F1"/>
    <w:rsid w:val="060DE916"/>
    <w:rsid w:val="060F2F69"/>
    <w:rsid w:val="061973B7"/>
    <w:rsid w:val="06228643"/>
    <w:rsid w:val="06242DC6"/>
    <w:rsid w:val="062FD1F7"/>
    <w:rsid w:val="06305D7A"/>
    <w:rsid w:val="06331EF6"/>
    <w:rsid w:val="063ADE46"/>
    <w:rsid w:val="063D9885"/>
    <w:rsid w:val="0643CA41"/>
    <w:rsid w:val="06444CA2"/>
    <w:rsid w:val="06473235"/>
    <w:rsid w:val="064BA66A"/>
    <w:rsid w:val="064FEBDD"/>
    <w:rsid w:val="0654AE27"/>
    <w:rsid w:val="06584445"/>
    <w:rsid w:val="06588B62"/>
    <w:rsid w:val="065A65D1"/>
    <w:rsid w:val="065CB9C3"/>
    <w:rsid w:val="065CD306"/>
    <w:rsid w:val="06617FF4"/>
    <w:rsid w:val="06639471"/>
    <w:rsid w:val="0665B008"/>
    <w:rsid w:val="06666E06"/>
    <w:rsid w:val="0666B3E4"/>
    <w:rsid w:val="066E270B"/>
    <w:rsid w:val="0673BBCB"/>
    <w:rsid w:val="067B9F0A"/>
    <w:rsid w:val="067EE6D5"/>
    <w:rsid w:val="067FCE45"/>
    <w:rsid w:val="068419B9"/>
    <w:rsid w:val="068DA1E1"/>
    <w:rsid w:val="068EA74C"/>
    <w:rsid w:val="0695F969"/>
    <w:rsid w:val="069A2FDC"/>
    <w:rsid w:val="069C4F26"/>
    <w:rsid w:val="069F8A2D"/>
    <w:rsid w:val="06A46BD0"/>
    <w:rsid w:val="06A8EC58"/>
    <w:rsid w:val="06A9AB7E"/>
    <w:rsid w:val="06AB0EBF"/>
    <w:rsid w:val="06ADD19C"/>
    <w:rsid w:val="06B0205E"/>
    <w:rsid w:val="06B425FA"/>
    <w:rsid w:val="06B5D687"/>
    <w:rsid w:val="06B66014"/>
    <w:rsid w:val="06BA0FF8"/>
    <w:rsid w:val="06BAC797"/>
    <w:rsid w:val="06C2FE34"/>
    <w:rsid w:val="06C44CA7"/>
    <w:rsid w:val="06C72EFD"/>
    <w:rsid w:val="06CC51D8"/>
    <w:rsid w:val="06D1C755"/>
    <w:rsid w:val="06D61138"/>
    <w:rsid w:val="06D67D0E"/>
    <w:rsid w:val="06D756AB"/>
    <w:rsid w:val="06D7FC65"/>
    <w:rsid w:val="06D9428B"/>
    <w:rsid w:val="06DA87B0"/>
    <w:rsid w:val="06DAEC59"/>
    <w:rsid w:val="06DBDF35"/>
    <w:rsid w:val="06DCE8D2"/>
    <w:rsid w:val="06DEC585"/>
    <w:rsid w:val="06E009E5"/>
    <w:rsid w:val="06E0D2AD"/>
    <w:rsid w:val="06E33ABD"/>
    <w:rsid w:val="06E4C94D"/>
    <w:rsid w:val="06E4E1CA"/>
    <w:rsid w:val="06E60EFC"/>
    <w:rsid w:val="06F25A10"/>
    <w:rsid w:val="06F80C1A"/>
    <w:rsid w:val="0702C56C"/>
    <w:rsid w:val="0704B9C8"/>
    <w:rsid w:val="0708E957"/>
    <w:rsid w:val="070A3F20"/>
    <w:rsid w:val="070B38A4"/>
    <w:rsid w:val="070FCF97"/>
    <w:rsid w:val="07110AF8"/>
    <w:rsid w:val="0717CD61"/>
    <w:rsid w:val="071A6690"/>
    <w:rsid w:val="071C944F"/>
    <w:rsid w:val="0724DB21"/>
    <w:rsid w:val="07283EC2"/>
    <w:rsid w:val="072A28FC"/>
    <w:rsid w:val="072C0821"/>
    <w:rsid w:val="072C133D"/>
    <w:rsid w:val="07309692"/>
    <w:rsid w:val="0733C647"/>
    <w:rsid w:val="073DC0B2"/>
    <w:rsid w:val="07485DF9"/>
    <w:rsid w:val="0749B9F6"/>
    <w:rsid w:val="074AE213"/>
    <w:rsid w:val="074BFA6F"/>
    <w:rsid w:val="074DC562"/>
    <w:rsid w:val="074ED924"/>
    <w:rsid w:val="074EFF13"/>
    <w:rsid w:val="075314E9"/>
    <w:rsid w:val="07547D1B"/>
    <w:rsid w:val="0757BCCB"/>
    <w:rsid w:val="075A7978"/>
    <w:rsid w:val="076399FF"/>
    <w:rsid w:val="0767B624"/>
    <w:rsid w:val="076CF2D8"/>
    <w:rsid w:val="076D70A8"/>
    <w:rsid w:val="076FB687"/>
    <w:rsid w:val="076FF7A0"/>
    <w:rsid w:val="07702156"/>
    <w:rsid w:val="0774049F"/>
    <w:rsid w:val="077733F7"/>
    <w:rsid w:val="0777C286"/>
    <w:rsid w:val="0779025F"/>
    <w:rsid w:val="077B0930"/>
    <w:rsid w:val="07825D57"/>
    <w:rsid w:val="078287EE"/>
    <w:rsid w:val="07832E48"/>
    <w:rsid w:val="07834125"/>
    <w:rsid w:val="0783595E"/>
    <w:rsid w:val="078CC06F"/>
    <w:rsid w:val="078E17FF"/>
    <w:rsid w:val="078F7FB1"/>
    <w:rsid w:val="07969CFC"/>
    <w:rsid w:val="07992EDD"/>
    <w:rsid w:val="07A3DFF7"/>
    <w:rsid w:val="07ACBF6F"/>
    <w:rsid w:val="07B9168E"/>
    <w:rsid w:val="07BA2F0A"/>
    <w:rsid w:val="07BDBBC8"/>
    <w:rsid w:val="07C014D3"/>
    <w:rsid w:val="07C25E79"/>
    <w:rsid w:val="07C2B3C8"/>
    <w:rsid w:val="07C9B3AB"/>
    <w:rsid w:val="07C9EE74"/>
    <w:rsid w:val="07D617D7"/>
    <w:rsid w:val="07D668C4"/>
    <w:rsid w:val="07D8CCB6"/>
    <w:rsid w:val="07E0C38C"/>
    <w:rsid w:val="07E0D1B8"/>
    <w:rsid w:val="07ECBF11"/>
    <w:rsid w:val="07F95DA4"/>
    <w:rsid w:val="08063F2C"/>
    <w:rsid w:val="0807AA7C"/>
    <w:rsid w:val="081A4443"/>
    <w:rsid w:val="081B89A5"/>
    <w:rsid w:val="081FBE04"/>
    <w:rsid w:val="08257619"/>
    <w:rsid w:val="0829DCA7"/>
    <w:rsid w:val="082AB4A8"/>
    <w:rsid w:val="082BD326"/>
    <w:rsid w:val="0830553E"/>
    <w:rsid w:val="0830B505"/>
    <w:rsid w:val="0831C437"/>
    <w:rsid w:val="0832EFF0"/>
    <w:rsid w:val="08368C1B"/>
    <w:rsid w:val="0836B787"/>
    <w:rsid w:val="083AA8F5"/>
    <w:rsid w:val="083BD85D"/>
    <w:rsid w:val="083C5EC9"/>
    <w:rsid w:val="083C7870"/>
    <w:rsid w:val="083C9B8E"/>
    <w:rsid w:val="0844E855"/>
    <w:rsid w:val="08452AAC"/>
    <w:rsid w:val="084570B7"/>
    <w:rsid w:val="0848DEE7"/>
    <w:rsid w:val="084EDA91"/>
    <w:rsid w:val="085138A5"/>
    <w:rsid w:val="08527E6B"/>
    <w:rsid w:val="0857B3BE"/>
    <w:rsid w:val="085E657F"/>
    <w:rsid w:val="086134BD"/>
    <w:rsid w:val="08637B39"/>
    <w:rsid w:val="0866B259"/>
    <w:rsid w:val="086F1A9C"/>
    <w:rsid w:val="08715A37"/>
    <w:rsid w:val="087441E5"/>
    <w:rsid w:val="08798090"/>
    <w:rsid w:val="087A9E46"/>
    <w:rsid w:val="087E3095"/>
    <w:rsid w:val="087EC8AB"/>
    <w:rsid w:val="0881513B"/>
    <w:rsid w:val="08894155"/>
    <w:rsid w:val="088B9F71"/>
    <w:rsid w:val="088EDC26"/>
    <w:rsid w:val="089A702D"/>
    <w:rsid w:val="089E7402"/>
    <w:rsid w:val="08A1D005"/>
    <w:rsid w:val="08AEB3A3"/>
    <w:rsid w:val="08B2E474"/>
    <w:rsid w:val="08B8560C"/>
    <w:rsid w:val="08BA3BD7"/>
    <w:rsid w:val="08C0ED1F"/>
    <w:rsid w:val="08C2D4EE"/>
    <w:rsid w:val="08C4F8F2"/>
    <w:rsid w:val="08CD978F"/>
    <w:rsid w:val="08D4F2DE"/>
    <w:rsid w:val="08D94906"/>
    <w:rsid w:val="08DCD68B"/>
    <w:rsid w:val="08DCEAE9"/>
    <w:rsid w:val="08DE9CCF"/>
    <w:rsid w:val="08E0355A"/>
    <w:rsid w:val="08E04F2D"/>
    <w:rsid w:val="08F29582"/>
    <w:rsid w:val="08F66BE6"/>
    <w:rsid w:val="08FF68BB"/>
    <w:rsid w:val="09027D28"/>
    <w:rsid w:val="0904789C"/>
    <w:rsid w:val="09047B64"/>
    <w:rsid w:val="09070749"/>
    <w:rsid w:val="0908712F"/>
    <w:rsid w:val="0909028A"/>
    <w:rsid w:val="0918C035"/>
    <w:rsid w:val="091C7BB4"/>
    <w:rsid w:val="0920B76B"/>
    <w:rsid w:val="09234139"/>
    <w:rsid w:val="09277CA0"/>
    <w:rsid w:val="092A3C2E"/>
    <w:rsid w:val="0933BF68"/>
    <w:rsid w:val="093532DC"/>
    <w:rsid w:val="09356CA2"/>
    <w:rsid w:val="093A662A"/>
    <w:rsid w:val="093F8C01"/>
    <w:rsid w:val="093F9C08"/>
    <w:rsid w:val="094086C5"/>
    <w:rsid w:val="09436207"/>
    <w:rsid w:val="094479EC"/>
    <w:rsid w:val="0945DAE0"/>
    <w:rsid w:val="0949C66E"/>
    <w:rsid w:val="094B3C28"/>
    <w:rsid w:val="094C0093"/>
    <w:rsid w:val="094CE7D1"/>
    <w:rsid w:val="094D3A68"/>
    <w:rsid w:val="094F29C3"/>
    <w:rsid w:val="094FBDE7"/>
    <w:rsid w:val="095534F5"/>
    <w:rsid w:val="0958FFF7"/>
    <w:rsid w:val="0959EE57"/>
    <w:rsid w:val="095CA53F"/>
    <w:rsid w:val="09612DB3"/>
    <w:rsid w:val="09651FC7"/>
    <w:rsid w:val="0965A180"/>
    <w:rsid w:val="0965FA9A"/>
    <w:rsid w:val="0966576D"/>
    <w:rsid w:val="0967BD36"/>
    <w:rsid w:val="0968D909"/>
    <w:rsid w:val="096AE4B9"/>
    <w:rsid w:val="096D72A0"/>
    <w:rsid w:val="096D9E32"/>
    <w:rsid w:val="0970CD9E"/>
    <w:rsid w:val="0973B3BB"/>
    <w:rsid w:val="0977F616"/>
    <w:rsid w:val="0983DE42"/>
    <w:rsid w:val="09877A4A"/>
    <w:rsid w:val="098C6C0F"/>
    <w:rsid w:val="098E1922"/>
    <w:rsid w:val="098EF22C"/>
    <w:rsid w:val="09941151"/>
    <w:rsid w:val="099589CD"/>
    <w:rsid w:val="099815A6"/>
    <w:rsid w:val="099ADE9D"/>
    <w:rsid w:val="099B456D"/>
    <w:rsid w:val="099DCF59"/>
    <w:rsid w:val="09A3848B"/>
    <w:rsid w:val="09A540E8"/>
    <w:rsid w:val="09A6D875"/>
    <w:rsid w:val="09A9C7D5"/>
    <w:rsid w:val="09B00056"/>
    <w:rsid w:val="09B59E61"/>
    <w:rsid w:val="09B8CA5F"/>
    <w:rsid w:val="09B91571"/>
    <w:rsid w:val="09BB3230"/>
    <w:rsid w:val="09BB3ACD"/>
    <w:rsid w:val="09C5CD71"/>
    <w:rsid w:val="09CBAF3C"/>
    <w:rsid w:val="09CEF718"/>
    <w:rsid w:val="09CF3BE7"/>
    <w:rsid w:val="09D6B125"/>
    <w:rsid w:val="09D90DB0"/>
    <w:rsid w:val="09D97939"/>
    <w:rsid w:val="09D9D359"/>
    <w:rsid w:val="09DC4BDE"/>
    <w:rsid w:val="09DCC573"/>
    <w:rsid w:val="09DD0894"/>
    <w:rsid w:val="09DD2942"/>
    <w:rsid w:val="09E1D7BF"/>
    <w:rsid w:val="09E4CA3E"/>
    <w:rsid w:val="09E51D5B"/>
    <w:rsid w:val="09E6735D"/>
    <w:rsid w:val="09E6B6E1"/>
    <w:rsid w:val="09E9FCB1"/>
    <w:rsid w:val="09EA484D"/>
    <w:rsid w:val="09EC618E"/>
    <w:rsid w:val="09ECCF3E"/>
    <w:rsid w:val="09F92744"/>
    <w:rsid w:val="09FADDD7"/>
    <w:rsid w:val="09FB4A8F"/>
    <w:rsid w:val="09FBDECC"/>
    <w:rsid w:val="09FE2848"/>
    <w:rsid w:val="0A02A3C7"/>
    <w:rsid w:val="0A04275D"/>
    <w:rsid w:val="0A04F961"/>
    <w:rsid w:val="0A0AACE4"/>
    <w:rsid w:val="0A0BFCE5"/>
    <w:rsid w:val="0A0C95D8"/>
    <w:rsid w:val="0A115C42"/>
    <w:rsid w:val="0A140974"/>
    <w:rsid w:val="0A15237F"/>
    <w:rsid w:val="0A19BCE3"/>
    <w:rsid w:val="0A21B977"/>
    <w:rsid w:val="0A2658B7"/>
    <w:rsid w:val="0A280106"/>
    <w:rsid w:val="0A296A80"/>
    <w:rsid w:val="0A2E61FE"/>
    <w:rsid w:val="0A3386D0"/>
    <w:rsid w:val="0A36A5EE"/>
    <w:rsid w:val="0A389DF4"/>
    <w:rsid w:val="0A3D8ACC"/>
    <w:rsid w:val="0A3DA53D"/>
    <w:rsid w:val="0A3E169A"/>
    <w:rsid w:val="0A3FBB51"/>
    <w:rsid w:val="0A42C9D0"/>
    <w:rsid w:val="0A4527C5"/>
    <w:rsid w:val="0A4567A2"/>
    <w:rsid w:val="0A45C037"/>
    <w:rsid w:val="0A47B75C"/>
    <w:rsid w:val="0A47B9E2"/>
    <w:rsid w:val="0A47C6EC"/>
    <w:rsid w:val="0A4FE65C"/>
    <w:rsid w:val="0A544F45"/>
    <w:rsid w:val="0A583723"/>
    <w:rsid w:val="0A5E53BD"/>
    <w:rsid w:val="0A6A6ED6"/>
    <w:rsid w:val="0A6A8D92"/>
    <w:rsid w:val="0A73DFAF"/>
    <w:rsid w:val="0A747414"/>
    <w:rsid w:val="0A74853B"/>
    <w:rsid w:val="0A80AA89"/>
    <w:rsid w:val="0A869FA7"/>
    <w:rsid w:val="0A8A5289"/>
    <w:rsid w:val="0A8B343F"/>
    <w:rsid w:val="0A8B3B50"/>
    <w:rsid w:val="0A8CE032"/>
    <w:rsid w:val="0A8D3DE0"/>
    <w:rsid w:val="0A90094D"/>
    <w:rsid w:val="0A915D2C"/>
    <w:rsid w:val="0A96265B"/>
    <w:rsid w:val="0A97ECC5"/>
    <w:rsid w:val="0A99ED27"/>
    <w:rsid w:val="0A9AE08D"/>
    <w:rsid w:val="0A9CBD01"/>
    <w:rsid w:val="0A9F3C75"/>
    <w:rsid w:val="0AA2A58A"/>
    <w:rsid w:val="0AAB486A"/>
    <w:rsid w:val="0AB2AFF8"/>
    <w:rsid w:val="0AB2DA00"/>
    <w:rsid w:val="0AB3550A"/>
    <w:rsid w:val="0AB467EC"/>
    <w:rsid w:val="0AB8C7A1"/>
    <w:rsid w:val="0ABD9B7E"/>
    <w:rsid w:val="0ABDE149"/>
    <w:rsid w:val="0AC8AE18"/>
    <w:rsid w:val="0ACCF02C"/>
    <w:rsid w:val="0ACFC866"/>
    <w:rsid w:val="0ADA01A1"/>
    <w:rsid w:val="0ADE4D1F"/>
    <w:rsid w:val="0ADEE4D1"/>
    <w:rsid w:val="0AE0F961"/>
    <w:rsid w:val="0AE225E1"/>
    <w:rsid w:val="0AEF5FE0"/>
    <w:rsid w:val="0AF31E10"/>
    <w:rsid w:val="0AF34967"/>
    <w:rsid w:val="0B016C60"/>
    <w:rsid w:val="0B0DF360"/>
    <w:rsid w:val="0B0F3E19"/>
    <w:rsid w:val="0B10E472"/>
    <w:rsid w:val="0B12A286"/>
    <w:rsid w:val="0B12B910"/>
    <w:rsid w:val="0B13E534"/>
    <w:rsid w:val="0B15BDFF"/>
    <w:rsid w:val="0B178AB6"/>
    <w:rsid w:val="0B1C8839"/>
    <w:rsid w:val="0B1E86B2"/>
    <w:rsid w:val="0B22E037"/>
    <w:rsid w:val="0B23901C"/>
    <w:rsid w:val="0B25E136"/>
    <w:rsid w:val="0B2625A9"/>
    <w:rsid w:val="0B284E06"/>
    <w:rsid w:val="0B289DA4"/>
    <w:rsid w:val="0B2EF7A6"/>
    <w:rsid w:val="0B315EAF"/>
    <w:rsid w:val="0B31ABBA"/>
    <w:rsid w:val="0B36F0A8"/>
    <w:rsid w:val="0B386341"/>
    <w:rsid w:val="0B3A8742"/>
    <w:rsid w:val="0B3CC355"/>
    <w:rsid w:val="0B3D8CF5"/>
    <w:rsid w:val="0B3F32B2"/>
    <w:rsid w:val="0B4B0823"/>
    <w:rsid w:val="0B4BF002"/>
    <w:rsid w:val="0B4CDD37"/>
    <w:rsid w:val="0B5369D4"/>
    <w:rsid w:val="0B54BEE1"/>
    <w:rsid w:val="0B57DD08"/>
    <w:rsid w:val="0B5BAA45"/>
    <w:rsid w:val="0B5CADAE"/>
    <w:rsid w:val="0B5CFFC4"/>
    <w:rsid w:val="0B5E8566"/>
    <w:rsid w:val="0B68A0AC"/>
    <w:rsid w:val="0B68E801"/>
    <w:rsid w:val="0B6905E0"/>
    <w:rsid w:val="0B6AA152"/>
    <w:rsid w:val="0B6D8FC6"/>
    <w:rsid w:val="0B6E289C"/>
    <w:rsid w:val="0B6F4CFD"/>
    <w:rsid w:val="0B729978"/>
    <w:rsid w:val="0B765F8C"/>
    <w:rsid w:val="0B76979C"/>
    <w:rsid w:val="0B78C6C0"/>
    <w:rsid w:val="0B84E7B7"/>
    <w:rsid w:val="0B85AB73"/>
    <w:rsid w:val="0B862899"/>
    <w:rsid w:val="0B87E8E4"/>
    <w:rsid w:val="0B886C7D"/>
    <w:rsid w:val="0B89B576"/>
    <w:rsid w:val="0B8C9461"/>
    <w:rsid w:val="0B8CE671"/>
    <w:rsid w:val="0B93E20E"/>
    <w:rsid w:val="0B9427D9"/>
    <w:rsid w:val="0B9770A3"/>
    <w:rsid w:val="0B979A55"/>
    <w:rsid w:val="0B9B1204"/>
    <w:rsid w:val="0B9D234E"/>
    <w:rsid w:val="0BA1A3AD"/>
    <w:rsid w:val="0BA85111"/>
    <w:rsid w:val="0BAE367B"/>
    <w:rsid w:val="0BB01630"/>
    <w:rsid w:val="0BB058AF"/>
    <w:rsid w:val="0BB08A09"/>
    <w:rsid w:val="0BBE3AD9"/>
    <w:rsid w:val="0BBF25A5"/>
    <w:rsid w:val="0BC1DE8C"/>
    <w:rsid w:val="0BC3BD0B"/>
    <w:rsid w:val="0BC90D05"/>
    <w:rsid w:val="0BC94D4D"/>
    <w:rsid w:val="0BC9F00E"/>
    <w:rsid w:val="0BCD3809"/>
    <w:rsid w:val="0BD0D663"/>
    <w:rsid w:val="0BD12D1E"/>
    <w:rsid w:val="0BD5CBC9"/>
    <w:rsid w:val="0BD74346"/>
    <w:rsid w:val="0BD8A50D"/>
    <w:rsid w:val="0BD98ABC"/>
    <w:rsid w:val="0BDABC28"/>
    <w:rsid w:val="0BDC0BD0"/>
    <w:rsid w:val="0BE18B97"/>
    <w:rsid w:val="0BE1F27E"/>
    <w:rsid w:val="0BE25B45"/>
    <w:rsid w:val="0BE564C3"/>
    <w:rsid w:val="0BE6B485"/>
    <w:rsid w:val="0BECCA27"/>
    <w:rsid w:val="0BED246F"/>
    <w:rsid w:val="0BEEB9A8"/>
    <w:rsid w:val="0BF1A6D2"/>
    <w:rsid w:val="0BF4D3F9"/>
    <w:rsid w:val="0BFD488F"/>
    <w:rsid w:val="0C03DA0A"/>
    <w:rsid w:val="0C04B139"/>
    <w:rsid w:val="0C084F9B"/>
    <w:rsid w:val="0C087B27"/>
    <w:rsid w:val="0C08F868"/>
    <w:rsid w:val="0C0E2328"/>
    <w:rsid w:val="0C103DCD"/>
    <w:rsid w:val="0C12837D"/>
    <w:rsid w:val="0C1572C2"/>
    <w:rsid w:val="0C15B7A4"/>
    <w:rsid w:val="0C197125"/>
    <w:rsid w:val="0C1A420F"/>
    <w:rsid w:val="0C1A4389"/>
    <w:rsid w:val="0C1D1D6C"/>
    <w:rsid w:val="0C2A0132"/>
    <w:rsid w:val="0C315741"/>
    <w:rsid w:val="0C38BC0A"/>
    <w:rsid w:val="0C3A8C28"/>
    <w:rsid w:val="0C3CAECB"/>
    <w:rsid w:val="0C3D153A"/>
    <w:rsid w:val="0C3E97AE"/>
    <w:rsid w:val="0C4865F6"/>
    <w:rsid w:val="0C4CC20B"/>
    <w:rsid w:val="0C5323D0"/>
    <w:rsid w:val="0C585CBB"/>
    <w:rsid w:val="0C5EB1FD"/>
    <w:rsid w:val="0C5EF2BE"/>
    <w:rsid w:val="0C67A37F"/>
    <w:rsid w:val="0C6899FB"/>
    <w:rsid w:val="0C697868"/>
    <w:rsid w:val="0C6985C2"/>
    <w:rsid w:val="0C6AC031"/>
    <w:rsid w:val="0C6C8A66"/>
    <w:rsid w:val="0C6D5CD0"/>
    <w:rsid w:val="0C6ED90F"/>
    <w:rsid w:val="0C6FA605"/>
    <w:rsid w:val="0C720771"/>
    <w:rsid w:val="0C77A69D"/>
    <w:rsid w:val="0C7E968E"/>
    <w:rsid w:val="0C85EA67"/>
    <w:rsid w:val="0C872E45"/>
    <w:rsid w:val="0C895657"/>
    <w:rsid w:val="0C8B27F9"/>
    <w:rsid w:val="0C92224F"/>
    <w:rsid w:val="0C964680"/>
    <w:rsid w:val="0C96F1ED"/>
    <w:rsid w:val="0C9E7BAA"/>
    <w:rsid w:val="0CA0D3A7"/>
    <w:rsid w:val="0CA357D5"/>
    <w:rsid w:val="0CA826DD"/>
    <w:rsid w:val="0CAB711B"/>
    <w:rsid w:val="0CAFEEFD"/>
    <w:rsid w:val="0CBDC422"/>
    <w:rsid w:val="0CC3F4EF"/>
    <w:rsid w:val="0CC71961"/>
    <w:rsid w:val="0CC79555"/>
    <w:rsid w:val="0CCB74CC"/>
    <w:rsid w:val="0CD53FF8"/>
    <w:rsid w:val="0CD81488"/>
    <w:rsid w:val="0CE7434E"/>
    <w:rsid w:val="0CEB07E6"/>
    <w:rsid w:val="0CF27450"/>
    <w:rsid w:val="0CF27AD8"/>
    <w:rsid w:val="0CF37F24"/>
    <w:rsid w:val="0CF5C5FF"/>
    <w:rsid w:val="0CF7ADF4"/>
    <w:rsid w:val="0CF86BE2"/>
    <w:rsid w:val="0D00D1E3"/>
    <w:rsid w:val="0D012C5E"/>
    <w:rsid w:val="0D02C99C"/>
    <w:rsid w:val="0D080D90"/>
    <w:rsid w:val="0D0ADD52"/>
    <w:rsid w:val="0D0ECF13"/>
    <w:rsid w:val="0D1231FE"/>
    <w:rsid w:val="0D1285DF"/>
    <w:rsid w:val="0D15DA60"/>
    <w:rsid w:val="0D18FE76"/>
    <w:rsid w:val="0D1C3B68"/>
    <w:rsid w:val="0D1EC85C"/>
    <w:rsid w:val="0D2A5CF0"/>
    <w:rsid w:val="0D2A6D91"/>
    <w:rsid w:val="0D2CE007"/>
    <w:rsid w:val="0D383687"/>
    <w:rsid w:val="0D3A3034"/>
    <w:rsid w:val="0D3FB863"/>
    <w:rsid w:val="0D42823B"/>
    <w:rsid w:val="0D430266"/>
    <w:rsid w:val="0D434495"/>
    <w:rsid w:val="0D444704"/>
    <w:rsid w:val="0D44BDD9"/>
    <w:rsid w:val="0D45B007"/>
    <w:rsid w:val="0D4E19E3"/>
    <w:rsid w:val="0D4FF336"/>
    <w:rsid w:val="0D535942"/>
    <w:rsid w:val="0D5821C6"/>
    <w:rsid w:val="0D5ED318"/>
    <w:rsid w:val="0D5F92B6"/>
    <w:rsid w:val="0D600D34"/>
    <w:rsid w:val="0D658E46"/>
    <w:rsid w:val="0D6A0470"/>
    <w:rsid w:val="0D6AF22F"/>
    <w:rsid w:val="0D6DE458"/>
    <w:rsid w:val="0D70A1E2"/>
    <w:rsid w:val="0D78859F"/>
    <w:rsid w:val="0D7F06C3"/>
    <w:rsid w:val="0D7FD1E5"/>
    <w:rsid w:val="0D83F3C6"/>
    <w:rsid w:val="0D849264"/>
    <w:rsid w:val="0D8617EB"/>
    <w:rsid w:val="0D893194"/>
    <w:rsid w:val="0D8AEC0A"/>
    <w:rsid w:val="0D8B7782"/>
    <w:rsid w:val="0D93A9B7"/>
    <w:rsid w:val="0D9585DA"/>
    <w:rsid w:val="0D9A93AF"/>
    <w:rsid w:val="0DA06EB8"/>
    <w:rsid w:val="0DA70508"/>
    <w:rsid w:val="0DAB99AA"/>
    <w:rsid w:val="0DAD3C4C"/>
    <w:rsid w:val="0DB007F0"/>
    <w:rsid w:val="0DB28006"/>
    <w:rsid w:val="0DB29FEA"/>
    <w:rsid w:val="0DB4DD6C"/>
    <w:rsid w:val="0DBD04C0"/>
    <w:rsid w:val="0DC2E58F"/>
    <w:rsid w:val="0DC73C6E"/>
    <w:rsid w:val="0DC815DA"/>
    <w:rsid w:val="0DC8E61F"/>
    <w:rsid w:val="0DCDA5BB"/>
    <w:rsid w:val="0DD3E464"/>
    <w:rsid w:val="0DE118DC"/>
    <w:rsid w:val="0DE2D803"/>
    <w:rsid w:val="0DE891BF"/>
    <w:rsid w:val="0DED45CF"/>
    <w:rsid w:val="0DEEB46E"/>
    <w:rsid w:val="0DF17543"/>
    <w:rsid w:val="0DF329B0"/>
    <w:rsid w:val="0DF44533"/>
    <w:rsid w:val="0DF5DFC5"/>
    <w:rsid w:val="0DF7D57D"/>
    <w:rsid w:val="0DFA87AD"/>
    <w:rsid w:val="0DFC9AEB"/>
    <w:rsid w:val="0E0478F3"/>
    <w:rsid w:val="0E08ECF6"/>
    <w:rsid w:val="0E0DA887"/>
    <w:rsid w:val="0E12A23E"/>
    <w:rsid w:val="0E181A93"/>
    <w:rsid w:val="0E1F86AB"/>
    <w:rsid w:val="0E25179A"/>
    <w:rsid w:val="0E27FCD3"/>
    <w:rsid w:val="0E2B8337"/>
    <w:rsid w:val="0E2F4EA9"/>
    <w:rsid w:val="0E339DEA"/>
    <w:rsid w:val="0E34D95E"/>
    <w:rsid w:val="0E3C831E"/>
    <w:rsid w:val="0E4078EA"/>
    <w:rsid w:val="0E4B0677"/>
    <w:rsid w:val="0E4E3C10"/>
    <w:rsid w:val="0E524CFE"/>
    <w:rsid w:val="0E5564CB"/>
    <w:rsid w:val="0E56849F"/>
    <w:rsid w:val="0E572F93"/>
    <w:rsid w:val="0E57EF13"/>
    <w:rsid w:val="0E5AE23B"/>
    <w:rsid w:val="0E5CB590"/>
    <w:rsid w:val="0E5ED188"/>
    <w:rsid w:val="0E62E096"/>
    <w:rsid w:val="0E63779B"/>
    <w:rsid w:val="0E69BCDE"/>
    <w:rsid w:val="0E6B95BA"/>
    <w:rsid w:val="0E73F479"/>
    <w:rsid w:val="0E794EBF"/>
    <w:rsid w:val="0E81BE33"/>
    <w:rsid w:val="0E822E28"/>
    <w:rsid w:val="0E822FFF"/>
    <w:rsid w:val="0E854776"/>
    <w:rsid w:val="0E8CDFDC"/>
    <w:rsid w:val="0E8E33D3"/>
    <w:rsid w:val="0E8EADA3"/>
    <w:rsid w:val="0E90DEBF"/>
    <w:rsid w:val="0E942776"/>
    <w:rsid w:val="0E964850"/>
    <w:rsid w:val="0E992B43"/>
    <w:rsid w:val="0E9C7619"/>
    <w:rsid w:val="0EA0D01A"/>
    <w:rsid w:val="0EAE5601"/>
    <w:rsid w:val="0EAFB3EF"/>
    <w:rsid w:val="0EB0145A"/>
    <w:rsid w:val="0EB1E357"/>
    <w:rsid w:val="0EB3957D"/>
    <w:rsid w:val="0EB40BDE"/>
    <w:rsid w:val="0ECB346F"/>
    <w:rsid w:val="0ED6AF7C"/>
    <w:rsid w:val="0EDE8530"/>
    <w:rsid w:val="0EE6E366"/>
    <w:rsid w:val="0EE9DD39"/>
    <w:rsid w:val="0EEE87F4"/>
    <w:rsid w:val="0EF031CA"/>
    <w:rsid w:val="0EF927AD"/>
    <w:rsid w:val="0EFB9203"/>
    <w:rsid w:val="0EFF7674"/>
    <w:rsid w:val="0F014FF8"/>
    <w:rsid w:val="0F03A264"/>
    <w:rsid w:val="0F0E9A5E"/>
    <w:rsid w:val="0F0F55A0"/>
    <w:rsid w:val="0F106614"/>
    <w:rsid w:val="0F1108A0"/>
    <w:rsid w:val="0F1A8AAF"/>
    <w:rsid w:val="0F1AC376"/>
    <w:rsid w:val="0F1E0F32"/>
    <w:rsid w:val="0F1E740B"/>
    <w:rsid w:val="0F1EF966"/>
    <w:rsid w:val="0F208C1A"/>
    <w:rsid w:val="0F24D5B9"/>
    <w:rsid w:val="0F261AE8"/>
    <w:rsid w:val="0F26944E"/>
    <w:rsid w:val="0F28C961"/>
    <w:rsid w:val="0F2B1714"/>
    <w:rsid w:val="0F2B8B1D"/>
    <w:rsid w:val="0F2DE579"/>
    <w:rsid w:val="0F31462B"/>
    <w:rsid w:val="0F3195F2"/>
    <w:rsid w:val="0F342B0C"/>
    <w:rsid w:val="0F353987"/>
    <w:rsid w:val="0F392553"/>
    <w:rsid w:val="0F3B602D"/>
    <w:rsid w:val="0F3F63EA"/>
    <w:rsid w:val="0F4432EC"/>
    <w:rsid w:val="0F46E429"/>
    <w:rsid w:val="0F47A36E"/>
    <w:rsid w:val="0F481666"/>
    <w:rsid w:val="0F4CDB90"/>
    <w:rsid w:val="0F4EA169"/>
    <w:rsid w:val="0F52DF23"/>
    <w:rsid w:val="0F568FB6"/>
    <w:rsid w:val="0F57E7C6"/>
    <w:rsid w:val="0F621ACD"/>
    <w:rsid w:val="0F6A0C8C"/>
    <w:rsid w:val="0F6C30A6"/>
    <w:rsid w:val="0F707B17"/>
    <w:rsid w:val="0F71538B"/>
    <w:rsid w:val="0F73C360"/>
    <w:rsid w:val="0F74764C"/>
    <w:rsid w:val="0F78BB3E"/>
    <w:rsid w:val="0F79FA00"/>
    <w:rsid w:val="0F7BE1BB"/>
    <w:rsid w:val="0F7D194B"/>
    <w:rsid w:val="0F88443C"/>
    <w:rsid w:val="0F930BF9"/>
    <w:rsid w:val="0F95F3C1"/>
    <w:rsid w:val="0F96F1F8"/>
    <w:rsid w:val="0FA31267"/>
    <w:rsid w:val="0FA38904"/>
    <w:rsid w:val="0FA569FD"/>
    <w:rsid w:val="0FA68613"/>
    <w:rsid w:val="0FA813B6"/>
    <w:rsid w:val="0FABE340"/>
    <w:rsid w:val="0FABF9D7"/>
    <w:rsid w:val="0FADD6FF"/>
    <w:rsid w:val="0FAEF3D9"/>
    <w:rsid w:val="0FAF7398"/>
    <w:rsid w:val="0FB496E4"/>
    <w:rsid w:val="0FBB00D8"/>
    <w:rsid w:val="0FBC4F27"/>
    <w:rsid w:val="0FC01498"/>
    <w:rsid w:val="0FC3BA6C"/>
    <w:rsid w:val="0FC4EFDF"/>
    <w:rsid w:val="0FCE7A84"/>
    <w:rsid w:val="0FDA8489"/>
    <w:rsid w:val="0FE43428"/>
    <w:rsid w:val="0FE59883"/>
    <w:rsid w:val="0FE6F252"/>
    <w:rsid w:val="0FE7D436"/>
    <w:rsid w:val="0FED69F3"/>
    <w:rsid w:val="0FEDDD4F"/>
    <w:rsid w:val="0FF08878"/>
    <w:rsid w:val="0FF0BC62"/>
    <w:rsid w:val="0FF3FC94"/>
    <w:rsid w:val="0FF6D4CD"/>
    <w:rsid w:val="0FF9DDD0"/>
    <w:rsid w:val="1000A0B5"/>
    <w:rsid w:val="10071B54"/>
    <w:rsid w:val="100B57A8"/>
    <w:rsid w:val="100FA145"/>
    <w:rsid w:val="10159F16"/>
    <w:rsid w:val="1015BF25"/>
    <w:rsid w:val="1017EBF8"/>
    <w:rsid w:val="101ABEC5"/>
    <w:rsid w:val="101AC511"/>
    <w:rsid w:val="101B8415"/>
    <w:rsid w:val="101E0414"/>
    <w:rsid w:val="102611E6"/>
    <w:rsid w:val="10287D82"/>
    <w:rsid w:val="1029E627"/>
    <w:rsid w:val="1032724E"/>
    <w:rsid w:val="1038CCAE"/>
    <w:rsid w:val="103AF96F"/>
    <w:rsid w:val="1046C535"/>
    <w:rsid w:val="104E3AAF"/>
    <w:rsid w:val="104E5247"/>
    <w:rsid w:val="104F0841"/>
    <w:rsid w:val="10571489"/>
    <w:rsid w:val="105A7672"/>
    <w:rsid w:val="105C9AD2"/>
    <w:rsid w:val="1065BAC3"/>
    <w:rsid w:val="10683BA6"/>
    <w:rsid w:val="106B43E4"/>
    <w:rsid w:val="106DFA6A"/>
    <w:rsid w:val="107398FC"/>
    <w:rsid w:val="1078192C"/>
    <w:rsid w:val="107D3EA9"/>
    <w:rsid w:val="10808C81"/>
    <w:rsid w:val="1080F2F8"/>
    <w:rsid w:val="108902C8"/>
    <w:rsid w:val="1089F785"/>
    <w:rsid w:val="108BC184"/>
    <w:rsid w:val="10951606"/>
    <w:rsid w:val="10976F56"/>
    <w:rsid w:val="109F6AD4"/>
    <w:rsid w:val="10A8D06F"/>
    <w:rsid w:val="10A94FE5"/>
    <w:rsid w:val="10AA5213"/>
    <w:rsid w:val="10AEF6C2"/>
    <w:rsid w:val="10B21D8B"/>
    <w:rsid w:val="10B308B8"/>
    <w:rsid w:val="10B661EC"/>
    <w:rsid w:val="10B6B9C7"/>
    <w:rsid w:val="10B87CA0"/>
    <w:rsid w:val="10B88045"/>
    <w:rsid w:val="10C25C9F"/>
    <w:rsid w:val="10C5993C"/>
    <w:rsid w:val="10C59CDB"/>
    <w:rsid w:val="10C6CAE6"/>
    <w:rsid w:val="10D48E6A"/>
    <w:rsid w:val="10D4F9D2"/>
    <w:rsid w:val="10D51011"/>
    <w:rsid w:val="10D95E6F"/>
    <w:rsid w:val="10D96B16"/>
    <w:rsid w:val="10D9EAAA"/>
    <w:rsid w:val="10DDB58E"/>
    <w:rsid w:val="10DFFFF9"/>
    <w:rsid w:val="10E4C1CA"/>
    <w:rsid w:val="10E603E6"/>
    <w:rsid w:val="10E627F4"/>
    <w:rsid w:val="10E81EA6"/>
    <w:rsid w:val="10EA7B0F"/>
    <w:rsid w:val="10EB387C"/>
    <w:rsid w:val="10EDC5F8"/>
    <w:rsid w:val="10EF07F4"/>
    <w:rsid w:val="10EFF2B4"/>
    <w:rsid w:val="10F4782C"/>
    <w:rsid w:val="10F495C7"/>
    <w:rsid w:val="10F608B1"/>
    <w:rsid w:val="10F6F44D"/>
    <w:rsid w:val="10F7116F"/>
    <w:rsid w:val="10F7C075"/>
    <w:rsid w:val="11029BFC"/>
    <w:rsid w:val="1103942C"/>
    <w:rsid w:val="110AE1A9"/>
    <w:rsid w:val="110DF41F"/>
    <w:rsid w:val="111F2584"/>
    <w:rsid w:val="11201EDB"/>
    <w:rsid w:val="1126B741"/>
    <w:rsid w:val="112871D8"/>
    <w:rsid w:val="112C0EE7"/>
    <w:rsid w:val="112CEA60"/>
    <w:rsid w:val="112E20E1"/>
    <w:rsid w:val="112F0290"/>
    <w:rsid w:val="11303505"/>
    <w:rsid w:val="11314B90"/>
    <w:rsid w:val="1132E421"/>
    <w:rsid w:val="11354A97"/>
    <w:rsid w:val="11391B90"/>
    <w:rsid w:val="113CC579"/>
    <w:rsid w:val="113F7A80"/>
    <w:rsid w:val="114424D2"/>
    <w:rsid w:val="11446685"/>
    <w:rsid w:val="1144DC60"/>
    <w:rsid w:val="114A17B8"/>
    <w:rsid w:val="114A6ADF"/>
    <w:rsid w:val="114BF6EF"/>
    <w:rsid w:val="1157F8E2"/>
    <w:rsid w:val="11615F5D"/>
    <w:rsid w:val="1162AE43"/>
    <w:rsid w:val="11674390"/>
    <w:rsid w:val="11674F66"/>
    <w:rsid w:val="116912BE"/>
    <w:rsid w:val="116BA286"/>
    <w:rsid w:val="116F4909"/>
    <w:rsid w:val="116FF1AD"/>
    <w:rsid w:val="1171C4E0"/>
    <w:rsid w:val="1173492B"/>
    <w:rsid w:val="1174B870"/>
    <w:rsid w:val="1175BC20"/>
    <w:rsid w:val="1176079F"/>
    <w:rsid w:val="1177C57F"/>
    <w:rsid w:val="117AF0CC"/>
    <w:rsid w:val="117C58F6"/>
    <w:rsid w:val="1182EDF8"/>
    <w:rsid w:val="118371B9"/>
    <w:rsid w:val="1184A915"/>
    <w:rsid w:val="118579F4"/>
    <w:rsid w:val="11869F19"/>
    <w:rsid w:val="11872CAB"/>
    <w:rsid w:val="118AAE98"/>
    <w:rsid w:val="118BEE8A"/>
    <w:rsid w:val="119389E7"/>
    <w:rsid w:val="1193DD43"/>
    <w:rsid w:val="1198EFAB"/>
    <w:rsid w:val="119A8EAB"/>
    <w:rsid w:val="119A97AC"/>
    <w:rsid w:val="119AA6FD"/>
    <w:rsid w:val="119C13E9"/>
    <w:rsid w:val="11A2949F"/>
    <w:rsid w:val="11A64F45"/>
    <w:rsid w:val="11ACF8B6"/>
    <w:rsid w:val="11ADCDCE"/>
    <w:rsid w:val="11B2B0FC"/>
    <w:rsid w:val="11B2C09F"/>
    <w:rsid w:val="11B40C23"/>
    <w:rsid w:val="11B47705"/>
    <w:rsid w:val="11B500AA"/>
    <w:rsid w:val="11BCF1D4"/>
    <w:rsid w:val="11C95E1F"/>
    <w:rsid w:val="11CBA02A"/>
    <w:rsid w:val="11CD3693"/>
    <w:rsid w:val="11CD6D4C"/>
    <w:rsid w:val="11CECBC1"/>
    <w:rsid w:val="11D5DF3F"/>
    <w:rsid w:val="11D5EEB2"/>
    <w:rsid w:val="11D72C0B"/>
    <w:rsid w:val="11D813E2"/>
    <w:rsid w:val="11E8FF92"/>
    <w:rsid w:val="11EE1FE4"/>
    <w:rsid w:val="11EE7D4E"/>
    <w:rsid w:val="11F06902"/>
    <w:rsid w:val="11F1385C"/>
    <w:rsid w:val="11F16489"/>
    <w:rsid w:val="11F759B7"/>
    <w:rsid w:val="11F8A0C8"/>
    <w:rsid w:val="11F936AD"/>
    <w:rsid w:val="11F9CF8F"/>
    <w:rsid w:val="11FA54B1"/>
    <w:rsid w:val="11FEB35C"/>
    <w:rsid w:val="1203CC47"/>
    <w:rsid w:val="1203ED5A"/>
    <w:rsid w:val="12054522"/>
    <w:rsid w:val="12067A4D"/>
    <w:rsid w:val="1206B9B9"/>
    <w:rsid w:val="120891B5"/>
    <w:rsid w:val="1208B1E1"/>
    <w:rsid w:val="120B54DA"/>
    <w:rsid w:val="120D190A"/>
    <w:rsid w:val="12147F2D"/>
    <w:rsid w:val="121906FC"/>
    <w:rsid w:val="121C5C3C"/>
    <w:rsid w:val="121D5365"/>
    <w:rsid w:val="121E0C52"/>
    <w:rsid w:val="1220CE24"/>
    <w:rsid w:val="122170F6"/>
    <w:rsid w:val="12253B98"/>
    <w:rsid w:val="12273204"/>
    <w:rsid w:val="122E9E2E"/>
    <w:rsid w:val="1230C66C"/>
    <w:rsid w:val="12388A50"/>
    <w:rsid w:val="123AB903"/>
    <w:rsid w:val="123C11E2"/>
    <w:rsid w:val="123E3FD1"/>
    <w:rsid w:val="12415EDB"/>
    <w:rsid w:val="124A6F6A"/>
    <w:rsid w:val="124DB392"/>
    <w:rsid w:val="124F4990"/>
    <w:rsid w:val="12504096"/>
    <w:rsid w:val="12548D54"/>
    <w:rsid w:val="1256F679"/>
    <w:rsid w:val="1257C742"/>
    <w:rsid w:val="125AAD10"/>
    <w:rsid w:val="125D03EB"/>
    <w:rsid w:val="125E735D"/>
    <w:rsid w:val="126482C5"/>
    <w:rsid w:val="12687D72"/>
    <w:rsid w:val="12749AFB"/>
    <w:rsid w:val="12765B5A"/>
    <w:rsid w:val="127762A5"/>
    <w:rsid w:val="1277E1D0"/>
    <w:rsid w:val="127884BC"/>
    <w:rsid w:val="127ECD7F"/>
    <w:rsid w:val="127F79CC"/>
    <w:rsid w:val="12858D5F"/>
    <w:rsid w:val="1294FEBC"/>
    <w:rsid w:val="12962BF7"/>
    <w:rsid w:val="12997D14"/>
    <w:rsid w:val="129D96F2"/>
    <w:rsid w:val="129DE15D"/>
    <w:rsid w:val="12A7E98D"/>
    <w:rsid w:val="12A8866B"/>
    <w:rsid w:val="12AAE0E4"/>
    <w:rsid w:val="12ACF570"/>
    <w:rsid w:val="12B56313"/>
    <w:rsid w:val="12B68FE7"/>
    <w:rsid w:val="12BD081D"/>
    <w:rsid w:val="12BEE951"/>
    <w:rsid w:val="12C70C70"/>
    <w:rsid w:val="12C7488D"/>
    <w:rsid w:val="12D542DE"/>
    <w:rsid w:val="12DD9159"/>
    <w:rsid w:val="12DFD62F"/>
    <w:rsid w:val="12E79D92"/>
    <w:rsid w:val="12E85F01"/>
    <w:rsid w:val="12E86FFB"/>
    <w:rsid w:val="12F8DC6C"/>
    <w:rsid w:val="12FDB054"/>
    <w:rsid w:val="12FE8A27"/>
    <w:rsid w:val="1301A66A"/>
    <w:rsid w:val="13047386"/>
    <w:rsid w:val="1305F461"/>
    <w:rsid w:val="13064A65"/>
    <w:rsid w:val="1306DF5C"/>
    <w:rsid w:val="130845C5"/>
    <w:rsid w:val="130AA583"/>
    <w:rsid w:val="130B1ABF"/>
    <w:rsid w:val="130C90E6"/>
    <w:rsid w:val="130E0562"/>
    <w:rsid w:val="130EBCBE"/>
    <w:rsid w:val="1312A699"/>
    <w:rsid w:val="13141509"/>
    <w:rsid w:val="1315D5DB"/>
    <w:rsid w:val="1316F932"/>
    <w:rsid w:val="13197CFD"/>
    <w:rsid w:val="131C4BE1"/>
    <w:rsid w:val="1320266D"/>
    <w:rsid w:val="1325928E"/>
    <w:rsid w:val="13279542"/>
    <w:rsid w:val="13295C18"/>
    <w:rsid w:val="132C8FEF"/>
    <w:rsid w:val="132E7796"/>
    <w:rsid w:val="13328492"/>
    <w:rsid w:val="1332A7FC"/>
    <w:rsid w:val="1332DCF6"/>
    <w:rsid w:val="134C2C3F"/>
    <w:rsid w:val="1354DB3A"/>
    <w:rsid w:val="1359B569"/>
    <w:rsid w:val="1360F4A1"/>
    <w:rsid w:val="136A31FB"/>
    <w:rsid w:val="136EC086"/>
    <w:rsid w:val="136ECE29"/>
    <w:rsid w:val="13703055"/>
    <w:rsid w:val="1371F5DB"/>
    <w:rsid w:val="13729034"/>
    <w:rsid w:val="13755556"/>
    <w:rsid w:val="137C975B"/>
    <w:rsid w:val="138361F6"/>
    <w:rsid w:val="1384F57A"/>
    <w:rsid w:val="13862CB1"/>
    <w:rsid w:val="1386EFDF"/>
    <w:rsid w:val="138E1FC1"/>
    <w:rsid w:val="13912859"/>
    <w:rsid w:val="13912D4C"/>
    <w:rsid w:val="13A24BA9"/>
    <w:rsid w:val="13A53881"/>
    <w:rsid w:val="13A62ADE"/>
    <w:rsid w:val="13A63451"/>
    <w:rsid w:val="13AC0614"/>
    <w:rsid w:val="13AD6BBF"/>
    <w:rsid w:val="13B40741"/>
    <w:rsid w:val="13B74CF7"/>
    <w:rsid w:val="13B85532"/>
    <w:rsid w:val="13B8FEFC"/>
    <w:rsid w:val="13BC30ED"/>
    <w:rsid w:val="13BD21B4"/>
    <w:rsid w:val="13BFFD83"/>
    <w:rsid w:val="13C70DB1"/>
    <w:rsid w:val="13C74893"/>
    <w:rsid w:val="13D4806B"/>
    <w:rsid w:val="13D50C6D"/>
    <w:rsid w:val="13D5911E"/>
    <w:rsid w:val="13D8E706"/>
    <w:rsid w:val="13DA441D"/>
    <w:rsid w:val="13DA68BB"/>
    <w:rsid w:val="13E2CAA3"/>
    <w:rsid w:val="13F13618"/>
    <w:rsid w:val="13F1ED98"/>
    <w:rsid w:val="13F64310"/>
    <w:rsid w:val="13F9016E"/>
    <w:rsid w:val="13FDE27B"/>
    <w:rsid w:val="14012C80"/>
    <w:rsid w:val="1405D48A"/>
    <w:rsid w:val="14087BEB"/>
    <w:rsid w:val="141007F9"/>
    <w:rsid w:val="1413F02E"/>
    <w:rsid w:val="14183E8D"/>
    <w:rsid w:val="141D675D"/>
    <w:rsid w:val="141F848E"/>
    <w:rsid w:val="14204325"/>
    <w:rsid w:val="1421491E"/>
    <w:rsid w:val="1422DFAB"/>
    <w:rsid w:val="142B539F"/>
    <w:rsid w:val="142C09FD"/>
    <w:rsid w:val="142C736F"/>
    <w:rsid w:val="142CA50D"/>
    <w:rsid w:val="142F0A19"/>
    <w:rsid w:val="14302382"/>
    <w:rsid w:val="1434E959"/>
    <w:rsid w:val="143614A9"/>
    <w:rsid w:val="143754C3"/>
    <w:rsid w:val="143792A1"/>
    <w:rsid w:val="1439EC76"/>
    <w:rsid w:val="14403263"/>
    <w:rsid w:val="144089A2"/>
    <w:rsid w:val="1447773A"/>
    <w:rsid w:val="14582896"/>
    <w:rsid w:val="1460C2A2"/>
    <w:rsid w:val="14617B7F"/>
    <w:rsid w:val="14624FC7"/>
    <w:rsid w:val="146521B1"/>
    <w:rsid w:val="146C4111"/>
    <w:rsid w:val="146C7EB5"/>
    <w:rsid w:val="146DAB7D"/>
    <w:rsid w:val="146DC426"/>
    <w:rsid w:val="146E24B3"/>
    <w:rsid w:val="146EEDF6"/>
    <w:rsid w:val="1471806B"/>
    <w:rsid w:val="147807D9"/>
    <w:rsid w:val="14789535"/>
    <w:rsid w:val="1478B86B"/>
    <w:rsid w:val="147B581F"/>
    <w:rsid w:val="1480220A"/>
    <w:rsid w:val="14846239"/>
    <w:rsid w:val="14848ACD"/>
    <w:rsid w:val="1484CA62"/>
    <w:rsid w:val="1485DCDE"/>
    <w:rsid w:val="1487B77E"/>
    <w:rsid w:val="14895561"/>
    <w:rsid w:val="148DC788"/>
    <w:rsid w:val="14938D6F"/>
    <w:rsid w:val="1495371F"/>
    <w:rsid w:val="149797F6"/>
    <w:rsid w:val="1498F00B"/>
    <w:rsid w:val="149A17C4"/>
    <w:rsid w:val="149F929E"/>
    <w:rsid w:val="14A07663"/>
    <w:rsid w:val="14A7EB28"/>
    <w:rsid w:val="14A8138C"/>
    <w:rsid w:val="14A96762"/>
    <w:rsid w:val="14AB7CA2"/>
    <w:rsid w:val="14B49128"/>
    <w:rsid w:val="14BC98FB"/>
    <w:rsid w:val="14BD1F6F"/>
    <w:rsid w:val="14BE2331"/>
    <w:rsid w:val="14C15CF4"/>
    <w:rsid w:val="14C5B30D"/>
    <w:rsid w:val="14CE79CB"/>
    <w:rsid w:val="14CF2A30"/>
    <w:rsid w:val="14D11C94"/>
    <w:rsid w:val="14D1FFBB"/>
    <w:rsid w:val="14D2F163"/>
    <w:rsid w:val="14D40460"/>
    <w:rsid w:val="14D6FEDE"/>
    <w:rsid w:val="14D73A1C"/>
    <w:rsid w:val="14D79ECC"/>
    <w:rsid w:val="14D88AC0"/>
    <w:rsid w:val="14DAB18D"/>
    <w:rsid w:val="14DAB678"/>
    <w:rsid w:val="14DC9254"/>
    <w:rsid w:val="14E2FABC"/>
    <w:rsid w:val="14E5B8C8"/>
    <w:rsid w:val="14E7EBBD"/>
    <w:rsid w:val="14E80398"/>
    <w:rsid w:val="14EABDAB"/>
    <w:rsid w:val="14EAE7CE"/>
    <w:rsid w:val="14EE14D3"/>
    <w:rsid w:val="14EE3F81"/>
    <w:rsid w:val="14F09C69"/>
    <w:rsid w:val="14F0FBCE"/>
    <w:rsid w:val="14F34243"/>
    <w:rsid w:val="14F68A2C"/>
    <w:rsid w:val="14FA7517"/>
    <w:rsid w:val="150CB4B7"/>
    <w:rsid w:val="15128BDE"/>
    <w:rsid w:val="1512A722"/>
    <w:rsid w:val="1518015C"/>
    <w:rsid w:val="151ED93F"/>
    <w:rsid w:val="1522EA45"/>
    <w:rsid w:val="1524C4C1"/>
    <w:rsid w:val="152C4BEB"/>
    <w:rsid w:val="152FCB08"/>
    <w:rsid w:val="15362CBF"/>
    <w:rsid w:val="153CC664"/>
    <w:rsid w:val="153E70BC"/>
    <w:rsid w:val="15405918"/>
    <w:rsid w:val="154280DE"/>
    <w:rsid w:val="15469C2F"/>
    <w:rsid w:val="1549839F"/>
    <w:rsid w:val="154F2EE3"/>
    <w:rsid w:val="15504704"/>
    <w:rsid w:val="1550A36D"/>
    <w:rsid w:val="1554E279"/>
    <w:rsid w:val="15564201"/>
    <w:rsid w:val="155DAF79"/>
    <w:rsid w:val="155E3620"/>
    <w:rsid w:val="15626559"/>
    <w:rsid w:val="1562DD27"/>
    <w:rsid w:val="156AD5E1"/>
    <w:rsid w:val="156C298B"/>
    <w:rsid w:val="156C9F4E"/>
    <w:rsid w:val="1576B8D3"/>
    <w:rsid w:val="157A4E31"/>
    <w:rsid w:val="157C2DAB"/>
    <w:rsid w:val="157CAD02"/>
    <w:rsid w:val="157D2F70"/>
    <w:rsid w:val="1581666A"/>
    <w:rsid w:val="1582C846"/>
    <w:rsid w:val="15873C64"/>
    <w:rsid w:val="158DEBE3"/>
    <w:rsid w:val="15945598"/>
    <w:rsid w:val="159D6D56"/>
    <w:rsid w:val="159E4C97"/>
    <w:rsid w:val="15A00603"/>
    <w:rsid w:val="15A54944"/>
    <w:rsid w:val="15A90C73"/>
    <w:rsid w:val="15B128A2"/>
    <w:rsid w:val="15B52484"/>
    <w:rsid w:val="15CEE368"/>
    <w:rsid w:val="15D070A5"/>
    <w:rsid w:val="15D18644"/>
    <w:rsid w:val="15DF09D3"/>
    <w:rsid w:val="15E20038"/>
    <w:rsid w:val="15EB8258"/>
    <w:rsid w:val="15EDD5B3"/>
    <w:rsid w:val="15F13FA5"/>
    <w:rsid w:val="15F1B01E"/>
    <w:rsid w:val="15F26A0C"/>
    <w:rsid w:val="15F3A0D6"/>
    <w:rsid w:val="15F721B1"/>
    <w:rsid w:val="15F97902"/>
    <w:rsid w:val="1609987D"/>
    <w:rsid w:val="160D912C"/>
    <w:rsid w:val="160E2F0B"/>
    <w:rsid w:val="16173D5F"/>
    <w:rsid w:val="16211A6D"/>
    <w:rsid w:val="162346BB"/>
    <w:rsid w:val="162389A3"/>
    <w:rsid w:val="1626C917"/>
    <w:rsid w:val="1634D2B0"/>
    <w:rsid w:val="163B0E1F"/>
    <w:rsid w:val="163BB577"/>
    <w:rsid w:val="163E12EC"/>
    <w:rsid w:val="1647A5CD"/>
    <w:rsid w:val="164D1483"/>
    <w:rsid w:val="164D160C"/>
    <w:rsid w:val="164F2644"/>
    <w:rsid w:val="1650EB05"/>
    <w:rsid w:val="1652671A"/>
    <w:rsid w:val="1653EE03"/>
    <w:rsid w:val="16545E50"/>
    <w:rsid w:val="165ADA0C"/>
    <w:rsid w:val="165B3F35"/>
    <w:rsid w:val="165E1211"/>
    <w:rsid w:val="165E41AB"/>
    <w:rsid w:val="1660C83F"/>
    <w:rsid w:val="1662196C"/>
    <w:rsid w:val="1664C3CA"/>
    <w:rsid w:val="166B62E7"/>
    <w:rsid w:val="166BB4F6"/>
    <w:rsid w:val="166FC713"/>
    <w:rsid w:val="166FF538"/>
    <w:rsid w:val="16757601"/>
    <w:rsid w:val="167BE1EC"/>
    <w:rsid w:val="167E0BBB"/>
    <w:rsid w:val="16809896"/>
    <w:rsid w:val="1680A6DC"/>
    <w:rsid w:val="16839DCB"/>
    <w:rsid w:val="16872380"/>
    <w:rsid w:val="1688D34F"/>
    <w:rsid w:val="168A4D82"/>
    <w:rsid w:val="168B667D"/>
    <w:rsid w:val="168C3C01"/>
    <w:rsid w:val="168C5799"/>
    <w:rsid w:val="168CCCB3"/>
    <w:rsid w:val="168E127A"/>
    <w:rsid w:val="1690694F"/>
    <w:rsid w:val="16921E70"/>
    <w:rsid w:val="169411B4"/>
    <w:rsid w:val="169C257B"/>
    <w:rsid w:val="169FC57A"/>
    <w:rsid w:val="169FC5F0"/>
    <w:rsid w:val="16A3062E"/>
    <w:rsid w:val="16A3601E"/>
    <w:rsid w:val="16ADB17C"/>
    <w:rsid w:val="16AE54B2"/>
    <w:rsid w:val="16B46787"/>
    <w:rsid w:val="16B65A5C"/>
    <w:rsid w:val="16B71C44"/>
    <w:rsid w:val="16C09D86"/>
    <w:rsid w:val="16C3C275"/>
    <w:rsid w:val="16C5B44B"/>
    <w:rsid w:val="16C88228"/>
    <w:rsid w:val="16CB8730"/>
    <w:rsid w:val="16CE35C9"/>
    <w:rsid w:val="16D82CEB"/>
    <w:rsid w:val="16D86C3B"/>
    <w:rsid w:val="16D99175"/>
    <w:rsid w:val="16DB07F6"/>
    <w:rsid w:val="16E4777E"/>
    <w:rsid w:val="16E748C8"/>
    <w:rsid w:val="16E7E5AF"/>
    <w:rsid w:val="16EA6DBE"/>
    <w:rsid w:val="16F1C026"/>
    <w:rsid w:val="16F55007"/>
    <w:rsid w:val="16F8D0B5"/>
    <w:rsid w:val="16F92CB0"/>
    <w:rsid w:val="16F998B9"/>
    <w:rsid w:val="16FC6FF7"/>
    <w:rsid w:val="16FCC404"/>
    <w:rsid w:val="1704FBED"/>
    <w:rsid w:val="1709D6D8"/>
    <w:rsid w:val="1709D858"/>
    <w:rsid w:val="170F33A1"/>
    <w:rsid w:val="170FF5F1"/>
    <w:rsid w:val="17104451"/>
    <w:rsid w:val="171999C4"/>
    <w:rsid w:val="171DD4FB"/>
    <w:rsid w:val="1720CD04"/>
    <w:rsid w:val="1726C429"/>
    <w:rsid w:val="172F4083"/>
    <w:rsid w:val="17317540"/>
    <w:rsid w:val="17321581"/>
    <w:rsid w:val="1734E7C9"/>
    <w:rsid w:val="17390407"/>
    <w:rsid w:val="173BB941"/>
    <w:rsid w:val="173BFF90"/>
    <w:rsid w:val="17422EA8"/>
    <w:rsid w:val="17453630"/>
    <w:rsid w:val="17465312"/>
    <w:rsid w:val="174D528E"/>
    <w:rsid w:val="174DB23A"/>
    <w:rsid w:val="1751D660"/>
    <w:rsid w:val="1753D7B1"/>
    <w:rsid w:val="1753DC9B"/>
    <w:rsid w:val="1757799B"/>
    <w:rsid w:val="1759557D"/>
    <w:rsid w:val="175CA593"/>
    <w:rsid w:val="175CD0D1"/>
    <w:rsid w:val="175E6786"/>
    <w:rsid w:val="17618CD8"/>
    <w:rsid w:val="1762709A"/>
    <w:rsid w:val="176CEFA5"/>
    <w:rsid w:val="176DC759"/>
    <w:rsid w:val="176DE2D6"/>
    <w:rsid w:val="176EFA16"/>
    <w:rsid w:val="17729795"/>
    <w:rsid w:val="1774E437"/>
    <w:rsid w:val="17772166"/>
    <w:rsid w:val="177726D7"/>
    <w:rsid w:val="1777366E"/>
    <w:rsid w:val="177E1700"/>
    <w:rsid w:val="1780C1AC"/>
    <w:rsid w:val="17826158"/>
    <w:rsid w:val="1789AC7C"/>
    <w:rsid w:val="178EB033"/>
    <w:rsid w:val="1793C003"/>
    <w:rsid w:val="17988F57"/>
    <w:rsid w:val="179BC874"/>
    <w:rsid w:val="17A3DEE1"/>
    <w:rsid w:val="17A499EC"/>
    <w:rsid w:val="17A49ED6"/>
    <w:rsid w:val="17A9269F"/>
    <w:rsid w:val="17B36F88"/>
    <w:rsid w:val="17B3CEE3"/>
    <w:rsid w:val="17B4451A"/>
    <w:rsid w:val="17BA5A54"/>
    <w:rsid w:val="17BEF7F9"/>
    <w:rsid w:val="17C212CF"/>
    <w:rsid w:val="17C46811"/>
    <w:rsid w:val="17C70212"/>
    <w:rsid w:val="17D01FD0"/>
    <w:rsid w:val="17D95A13"/>
    <w:rsid w:val="17DB65E5"/>
    <w:rsid w:val="17E260BB"/>
    <w:rsid w:val="17E4D63A"/>
    <w:rsid w:val="17EC5034"/>
    <w:rsid w:val="17EF5F06"/>
    <w:rsid w:val="17EF7141"/>
    <w:rsid w:val="17F338C0"/>
    <w:rsid w:val="17F8E2FE"/>
    <w:rsid w:val="17FC19EF"/>
    <w:rsid w:val="17FD2C1A"/>
    <w:rsid w:val="1800AF12"/>
    <w:rsid w:val="1800FD02"/>
    <w:rsid w:val="1802803F"/>
    <w:rsid w:val="1808F304"/>
    <w:rsid w:val="180A45CB"/>
    <w:rsid w:val="18112CF1"/>
    <w:rsid w:val="18114655"/>
    <w:rsid w:val="181199C5"/>
    <w:rsid w:val="1811ACF0"/>
    <w:rsid w:val="1818D303"/>
    <w:rsid w:val="181C9876"/>
    <w:rsid w:val="18231326"/>
    <w:rsid w:val="1828DAC8"/>
    <w:rsid w:val="18295BDD"/>
    <w:rsid w:val="182C577E"/>
    <w:rsid w:val="182F2241"/>
    <w:rsid w:val="1834A65B"/>
    <w:rsid w:val="183BCB27"/>
    <w:rsid w:val="18417860"/>
    <w:rsid w:val="18457000"/>
    <w:rsid w:val="18460A13"/>
    <w:rsid w:val="1848AFFF"/>
    <w:rsid w:val="184A8773"/>
    <w:rsid w:val="184B4992"/>
    <w:rsid w:val="184B97D4"/>
    <w:rsid w:val="1856322A"/>
    <w:rsid w:val="18581894"/>
    <w:rsid w:val="185C0947"/>
    <w:rsid w:val="185D3CE1"/>
    <w:rsid w:val="1860FCE7"/>
    <w:rsid w:val="18656475"/>
    <w:rsid w:val="18681FAE"/>
    <w:rsid w:val="187462E5"/>
    <w:rsid w:val="187BE4E6"/>
    <w:rsid w:val="187EF6B2"/>
    <w:rsid w:val="18873A3C"/>
    <w:rsid w:val="18876FBC"/>
    <w:rsid w:val="188CC266"/>
    <w:rsid w:val="18905D3F"/>
    <w:rsid w:val="1898A2A5"/>
    <w:rsid w:val="189CCE68"/>
    <w:rsid w:val="18A6256B"/>
    <w:rsid w:val="18B5FB70"/>
    <w:rsid w:val="18B623B9"/>
    <w:rsid w:val="18C0A65F"/>
    <w:rsid w:val="18C48AD5"/>
    <w:rsid w:val="18C60AB5"/>
    <w:rsid w:val="18C9F0B4"/>
    <w:rsid w:val="18CBA9CA"/>
    <w:rsid w:val="18CF2BE9"/>
    <w:rsid w:val="18D10A9E"/>
    <w:rsid w:val="18D1B3BE"/>
    <w:rsid w:val="18D2E096"/>
    <w:rsid w:val="18D37BF1"/>
    <w:rsid w:val="18D6811B"/>
    <w:rsid w:val="18E7C35A"/>
    <w:rsid w:val="18EEF332"/>
    <w:rsid w:val="18F02902"/>
    <w:rsid w:val="18F0510E"/>
    <w:rsid w:val="18F19C1A"/>
    <w:rsid w:val="18F43605"/>
    <w:rsid w:val="18FBF033"/>
    <w:rsid w:val="18FBF08E"/>
    <w:rsid w:val="19014F28"/>
    <w:rsid w:val="1901C267"/>
    <w:rsid w:val="190954F2"/>
    <w:rsid w:val="190AD188"/>
    <w:rsid w:val="190E37C2"/>
    <w:rsid w:val="190EDB91"/>
    <w:rsid w:val="1910B16D"/>
    <w:rsid w:val="1912C146"/>
    <w:rsid w:val="1915407E"/>
    <w:rsid w:val="191AE7B1"/>
    <w:rsid w:val="191B90B8"/>
    <w:rsid w:val="19201457"/>
    <w:rsid w:val="1924C63D"/>
    <w:rsid w:val="192A9AB1"/>
    <w:rsid w:val="19332204"/>
    <w:rsid w:val="1934E845"/>
    <w:rsid w:val="19362E39"/>
    <w:rsid w:val="193D2827"/>
    <w:rsid w:val="194042D1"/>
    <w:rsid w:val="19420A7F"/>
    <w:rsid w:val="1949FF98"/>
    <w:rsid w:val="194B2E44"/>
    <w:rsid w:val="194FA5E1"/>
    <w:rsid w:val="195596A7"/>
    <w:rsid w:val="1957782C"/>
    <w:rsid w:val="19587C82"/>
    <w:rsid w:val="195E2BFC"/>
    <w:rsid w:val="195F05B0"/>
    <w:rsid w:val="196FF965"/>
    <w:rsid w:val="1975A5FC"/>
    <w:rsid w:val="197990A0"/>
    <w:rsid w:val="197E6E85"/>
    <w:rsid w:val="1984E3CA"/>
    <w:rsid w:val="19869FF8"/>
    <w:rsid w:val="19883BDE"/>
    <w:rsid w:val="1989B341"/>
    <w:rsid w:val="198A392F"/>
    <w:rsid w:val="198C4FEF"/>
    <w:rsid w:val="198FB189"/>
    <w:rsid w:val="1990EC8F"/>
    <w:rsid w:val="1991F5A2"/>
    <w:rsid w:val="1994B38E"/>
    <w:rsid w:val="199675E2"/>
    <w:rsid w:val="199776C9"/>
    <w:rsid w:val="199D825B"/>
    <w:rsid w:val="19A47197"/>
    <w:rsid w:val="19AB2C53"/>
    <w:rsid w:val="19ABE083"/>
    <w:rsid w:val="19B6FCA9"/>
    <w:rsid w:val="19B71D1A"/>
    <w:rsid w:val="19CF0F0B"/>
    <w:rsid w:val="19D27D7D"/>
    <w:rsid w:val="19D7AAD4"/>
    <w:rsid w:val="19D9E7F2"/>
    <w:rsid w:val="19DC80A6"/>
    <w:rsid w:val="19E42501"/>
    <w:rsid w:val="19E785B6"/>
    <w:rsid w:val="19E7D419"/>
    <w:rsid w:val="19EC8781"/>
    <w:rsid w:val="19EE018D"/>
    <w:rsid w:val="19EF56CD"/>
    <w:rsid w:val="19F2A777"/>
    <w:rsid w:val="19F4846C"/>
    <w:rsid w:val="19F539A3"/>
    <w:rsid w:val="1A073B01"/>
    <w:rsid w:val="1A08F804"/>
    <w:rsid w:val="1A0BEE80"/>
    <w:rsid w:val="1A0D05BA"/>
    <w:rsid w:val="1A1186E5"/>
    <w:rsid w:val="1A17F785"/>
    <w:rsid w:val="1A190A69"/>
    <w:rsid w:val="1A19658E"/>
    <w:rsid w:val="1A19A61C"/>
    <w:rsid w:val="1A1B5898"/>
    <w:rsid w:val="1A1CA335"/>
    <w:rsid w:val="1A20C714"/>
    <w:rsid w:val="1A255728"/>
    <w:rsid w:val="1A262B8D"/>
    <w:rsid w:val="1A2D2F21"/>
    <w:rsid w:val="1A3129CC"/>
    <w:rsid w:val="1A33CB38"/>
    <w:rsid w:val="1A398462"/>
    <w:rsid w:val="1A39A63F"/>
    <w:rsid w:val="1A3A18E7"/>
    <w:rsid w:val="1A3BFD9A"/>
    <w:rsid w:val="1A43A07D"/>
    <w:rsid w:val="1A47CB8C"/>
    <w:rsid w:val="1A4C21AC"/>
    <w:rsid w:val="1A4FFB53"/>
    <w:rsid w:val="1A502DED"/>
    <w:rsid w:val="1A57D78D"/>
    <w:rsid w:val="1A58D480"/>
    <w:rsid w:val="1A5B6327"/>
    <w:rsid w:val="1A5BCA62"/>
    <w:rsid w:val="1A5D5C9F"/>
    <w:rsid w:val="1A61628D"/>
    <w:rsid w:val="1A61E34A"/>
    <w:rsid w:val="1A654B5A"/>
    <w:rsid w:val="1A659619"/>
    <w:rsid w:val="1A6A56F7"/>
    <w:rsid w:val="1A7332C4"/>
    <w:rsid w:val="1A77D3FA"/>
    <w:rsid w:val="1A7972B9"/>
    <w:rsid w:val="1A79AA02"/>
    <w:rsid w:val="1A7E77D7"/>
    <w:rsid w:val="1A87B2F1"/>
    <w:rsid w:val="1A89E307"/>
    <w:rsid w:val="1A8D3EB9"/>
    <w:rsid w:val="1A964613"/>
    <w:rsid w:val="1A97A150"/>
    <w:rsid w:val="1A98BF14"/>
    <w:rsid w:val="1A9B8B40"/>
    <w:rsid w:val="1A9DD5BB"/>
    <w:rsid w:val="1A9EA8BE"/>
    <w:rsid w:val="1AA34468"/>
    <w:rsid w:val="1AA3AF59"/>
    <w:rsid w:val="1AA3D647"/>
    <w:rsid w:val="1AAB5836"/>
    <w:rsid w:val="1AAFC68D"/>
    <w:rsid w:val="1AAFE9DC"/>
    <w:rsid w:val="1AB0F1A3"/>
    <w:rsid w:val="1AB38EC5"/>
    <w:rsid w:val="1AB6B5BD"/>
    <w:rsid w:val="1AB88ACF"/>
    <w:rsid w:val="1AB9E147"/>
    <w:rsid w:val="1ABA1269"/>
    <w:rsid w:val="1ABE8D24"/>
    <w:rsid w:val="1ABEDD59"/>
    <w:rsid w:val="1ABF5A82"/>
    <w:rsid w:val="1ABFBA6F"/>
    <w:rsid w:val="1AC4322A"/>
    <w:rsid w:val="1AC4CAD0"/>
    <w:rsid w:val="1AC8F939"/>
    <w:rsid w:val="1AC915E5"/>
    <w:rsid w:val="1AD09257"/>
    <w:rsid w:val="1AD373C9"/>
    <w:rsid w:val="1AD69F4E"/>
    <w:rsid w:val="1AD784BC"/>
    <w:rsid w:val="1ADA0430"/>
    <w:rsid w:val="1ADBC9F3"/>
    <w:rsid w:val="1ADD7E32"/>
    <w:rsid w:val="1AE08BD3"/>
    <w:rsid w:val="1AE3EC67"/>
    <w:rsid w:val="1AEA0FDB"/>
    <w:rsid w:val="1AF49CAD"/>
    <w:rsid w:val="1AF700A3"/>
    <w:rsid w:val="1B013A78"/>
    <w:rsid w:val="1B028D0F"/>
    <w:rsid w:val="1B02C5BE"/>
    <w:rsid w:val="1B02FE59"/>
    <w:rsid w:val="1B08D1A8"/>
    <w:rsid w:val="1B0D1056"/>
    <w:rsid w:val="1B0D24B2"/>
    <w:rsid w:val="1B0EE38E"/>
    <w:rsid w:val="1B13025C"/>
    <w:rsid w:val="1B1C1CC2"/>
    <w:rsid w:val="1B1DD9D8"/>
    <w:rsid w:val="1B253F73"/>
    <w:rsid w:val="1B2DB2C8"/>
    <w:rsid w:val="1B2E132E"/>
    <w:rsid w:val="1B31FC74"/>
    <w:rsid w:val="1B3489BE"/>
    <w:rsid w:val="1B365470"/>
    <w:rsid w:val="1B36C982"/>
    <w:rsid w:val="1B38E7A7"/>
    <w:rsid w:val="1B399FA2"/>
    <w:rsid w:val="1B3ADFD6"/>
    <w:rsid w:val="1B4530D5"/>
    <w:rsid w:val="1B46C7C4"/>
    <w:rsid w:val="1B4A4898"/>
    <w:rsid w:val="1B4A96DA"/>
    <w:rsid w:val="1B4EF5A7"/>
    <w:rsid w:val="1B54B1E6"/>
    <w:rsid w:val="1B593AC0"/>
    <w:rsid w:val="1B5D7FDA"/>
    <w:rsid w:val="1B5DE347"/>
    <w:rsid w:val="1B64AECE"/>
    <w:rsid w:val="1B667499"/>
    <w:rsid w:val="1B69C3D7"/>
    <w:rsid w:val="1B6DC603"/>
    <w:rsid w:val="1B6DDEE1"/>
    <w:rsid w:val="1B6E2522"/>
    <w:rsid w:val="1B7A0A45"/>
    <w:rsid w:val="1B804AF0"/>
    <w:rsid w:val="1B818589"/>
    <w:rsid w:val="1B832581"/>
    <w:rsid w:val="1B86113F"/>
    <w:rsid w:val="1B8B6375"/>
    <w:rsid w:val="1B8F6B94"/>
    <w:rsid w:val="1B930F77"/>
    <w:rsid w:val="1B98A954"/>
    <w:rsid w:val="1B993748"/>
    <w:rsid w:val="1B9C19BC"/>
    <w:rsid w:val="1BA27BCF"/>
    <w:rsid w:val="1BA99B39"/>
    <w:rsid w:val="1BAA2713"/>
    <w:rsid w:val="1BB3B065"/>
    <w:rsid w:val="1BB9F072"/>
    <w:rsid w:val="1BBA8674"/>
    <w:rsid w:val="1BBDCE6A"/>
    <w:rsid w:val="1BBFC391"/>
    <w:rsid w:val="1BC0DE2F"/>
    <w:rsid w:val="1BC4CC9D"/>
    <w:rsid w:val="1BC60C67"/>
    <w:rsid w:val="1BCC76CD"/>
    <w:rsid w:val="1BCF8740"/>
    <w:rsid w:val="1BD1F98E"/>
    <w:rsid w:val="1BD352F7"/>
    <w:rsid w:val="1BD70978"/>
    <w:rsid w:val="1BD986F7"/>
    <w:rsid w:val="1BDE7800"/>
    <w:rsid w:val="1BE7EF17"/>
    <w:rsid w:val="1BEFB912"/>
    <w:rsid w:val="1BF03B91"/>
    <w:rsid w:val="1BF1DEC2"/>
    <w:rsid w:val="1BF220AA"/>
    <w:rsid w:val="1BF65E40"/>
    <w:rsid w:val="1BF7694F"/>
    <w:rsid w:val="1BF9D047"/>
    <w:rsid w:val="1BFA7635"/>
    <w:rsid w:val="1BFD52E0"/>
    <w:rsid w:val="1BFFAB5A"/>
    <w:rsid w:val="1BFFCDCE"/>
    <w:rsid w:val="1C088EDA"/>
    <w:rsid w:val="1C0D874C"/>
    <w:rsid w:val="1C0DA6EC"/>
    <w:rsid w:val="1C15F6D2"/>
    <w:rsid w:val="1C16EC9B"/>
    <w:rsid w:val="1C172DF0"/>
    <w:rsid w:val="1C17515D"/>
    <w:rsid w:val="1C17CA99"/>
    <w:rsid w:val="1C19D516"/>
    <w:rsid w:val="1C1A1DA6"/>
    <w:rsid w:val="1C1D5CB5"/>
    <w:rsid w:val="1C25081D"/>
    <w:rsid w:val="1C27B89F"/>
    <w:rsid w:val="1C33C3EC"/>
    <w:rsid w:val="1C3845D1"/>
    <w:rsid w:val="1C389A47"/>
    <w:rsid w:val="1C3CABF5"/>
    <w:rsid w:val="1C41C925"/>
    <w:rsid w:val="1C480D45"/>
    <w:rsid w:val="1C4BB146"/>
    <w:rsid w:val="1C5C8A7F"/>
    <w:rsid w:val="1C5EBC03"/>
    <w:rsid w:val="1C6199DB"/>
    <w:rsid w:val="1C670E2B"/>
    <w:rsid w:val="1C6A5600"/>
    <w:rsid w:val="1C6AAE25"/>
    <w:rsid w:val="1C6CC35C"/>
    <w:rsid w:val="1C6D629C"/>
    <w:rsid w:val="1C6E00A6"/>
    <w:rsid w:val="1C6F3530"/>
    <w:rsid w:val="1C722D36"/>
    <w:rsid w:val="1C7380A6"/>
    <w:rsid w:val="1C75C62A"/>
    <w:rsid w:val="1C789BA3"/>
    <w:rsid w:val="1C7B0383"/>
    <w:rsid w:val="1C7BE7BD"/>
    <w:rsid w:val="1C7D1092"/>
    <w:rsid w:val="1C7E0109"/>
    <w:rsid w:val="1C800377"/>
    <w:rsid w:val="1C82D5B3"/>
    <w:rsid w:val="1C82D990"/>
    <w:rsid w:val="1C876676"/>
    <w:rsid w:val="1C8B193B"/>
    <w:rsid w:val="1C8D6487"/>
    <w:rsid w:val="1C8DE455"/>
    <w:rsid w:val="1C905516"/>
    <w:rsid w:val="1C92C443"/>
    <w:rsid w:val="1C96B63E"/>
    <w:rsid w:val="1C98355F"/>
    <w:rsid w:val="1CA81668"/>
    <w:rsid w:val="1CAE9AB8"/>
    <w:rsid w:val="1CAFCEDB"/>
    <w:rsid w:val="1CB07A51"/>
    <w:rsid w:val="1CB19B18"/>
    <w:rsid w:val="1CB4D3D1"/>
    <w:rsid w:val="1CB53F0F"/>
    <w:rsid w:val="1CBDBDCB"/>
    <w:rsid w:val="1CBDDD1F"/>
    <w:rsid w:val="1CC3E73E"/>
    <w:rsid w:val="1CC3EF96"/>
    <w:rsid w:val="1CC5F20B"/>
    <w:rsid w:val="1CCC6338"/>
    <w:rsid w:val="1CD18BE0"/>
    <w:rsid w:val="1CD26A62"/>
    <w:rsid w:val="1CD3AB50"/>
    <w:rsid w:val="1CD8F2B9"/>
    <w:rsid w:val="1CE59E8C"/>
    <w:rsid w:val="1CEE7B10"/>
    <w:rsid w:val="1CEF165A"/>
    <w:rsid w:val="1CF8F47E"/>
    <w:rsid w:val="1CFD37AA"/>
    <w:rsid w:val="1CFF61D4"/>
    <w:rsid w:val="1D04E9FB"/>
    <w:rsid w:val="1D125A64"/>
    <w:rsid w:val="1D145D23"/>
    <w:rsid w:val="1D16BBA6"/>
    <w:rsid w:val="1D1D6757"/>
    <w:rsid w:val="1D25AAEE"/>
    <w:rsid w:val="1D28FA26"/>
    <w:rsid w:val="1D2AA147"/>
    <w:rsid w:val="1D300A25"/>
    <w:rsid w:val="1D310B8A"/>
    <w:rsid w:val="1D36CA42"/>
    <w:rsid w:val="1D3A8474"/>
    <w:rsid w:val="1D3C6D66"/>
    <w:rsid w:val="1D3C8EEF"/>
    <w:rsid w:val="1D3CBD31"/>
    <w:rsid w:val="1D3E76EA"/>
    <w:rsid w:val="1D3EBAA9"/>
    <w:rsid w:val="1D403F65"/>
    <w:rsid w:val="1D4A416D"/>
    <w:rsid w:val="1D4D4FFA"/>
    <w:rsid w:val="1D5245BB"/>
    <w:rsid w:val="1D54367E"/>
    <w:rsid w:val="1D56B77A"/>
    <w:rsid w:val="1D599558"/>
    <w:rsid w:val="1D63DA9E"/>
    <w:rsid w:val="1D685DC7"/>
    <w:rsid w:val="1D6FD22F"/>
    <w:rsid w:val="1D723F6D"/>
    <w:rsid w:val="1D780355"/>
    <w:rsid w:val="1D793FCD"/>
    <w:rsid w:val="1D7A3833"/>
    <w:rsid w:val="1D7F81BC"/>
    <w:rsid w:val="1D82644C"/>
    <w:rsid w:val="1D847AAD"/>
    <w:rsid w:val="1D8581DF"/>
    <w:rsid w:val="1D86F171"/>
    <w:rsid w:val="1D8A778D"/>
    <w:rsid w:val="1D8C76C6"/>
    <w:rsid w:val="1D8DD4BD"/>
    <w:rsid w:val="1D8EE2B1"/>
    <w:rsid w:val="1D8EEE4F"/>
    <w:rsid w:val="1D8EF93E"/>
    <w:rsid w:val="1D9006D0"/>
    <w:rsid w:val="1D96C50F"/>
    <w:rsid w:val="1D977643"/>
    <w:rsid w:val="1D97B73C"/>
    <w:rsid w:val="1D99816E"/>
    <w:rsid w:val="1DA12B6B"/>
    <w:rsid w:val="1DA3C8EC"/>
    <w:rsid w:val="1DA7901F"/>
    <w:rsid w:val="1DABE220"/>
    <w:rsid w:val="1DAC23C0"/>
    <w:rsid w:val="1DB1B556"/>
    <w:rsid w:val="1DB5681A"/>
    <w:rsid w:val="1DBC0C2A"/>
    <w:rsid w:val="1DBC7CCE"/>
    <w:rsid w:val="1DBD25DC"/>
    <w:rsid w:val="1DBD3FEB"/>
    <w:rsid w:val="1DC4CB70"/>
    <w:rsid w:val="1DC5E09F"/>
    <w:rsid w:val="1DC94E4C"/>
    <w:rsid w:val="1DCC292A"/>
    <w:rsid w:val="1DCE73D3"/>
    <w:rsid w:val="1DCEBB76"/>
    <w:rsid w:val="1DD104D1"/>
    <w:rsid w:val="1DD5D6FD"/>
    <w:rsid w:val="1DD661EF"/>
    <w:rsid w:val="1DD7AE6E"/>
    <w:rsid w:val="1DDD1203"/>
    <w:rsid w:val="1DDE7B88"/>
    <w:rsid w:val="1DE3900A"/>
    <w:rsid w:val="1DE8078C"/>
    <w:rsid w:val="1DE829B3"/>
    <w:rsid w:val="1DE85EBF"/>
    <w:rsid w:val="1DF4BEB3"/>
    <w:rsid w:val="1DF801F7"/>
    <w:rsid w:val="1DF9350F"/>
    <w:rsid w:val="1DFA4713"/>
    <w:rsid w:val="1DFBE1DF"/>
    <w:rsid w:val="1DFD9F29"/>
    <w:rsid w:val="1DFE44B6"/>
    <w:rsid w:val="1E00ECB7"/>
    <w:rsid w:val="1E03E990"/>
    <w:rsid w:val="1E049F8C"/>
    <w:rsid w:val="1E0C0330"/>
    <w:rsid w:val="1E0D1C7D"/>
    <w:rsid w:val="1E160514"/>
    <w:rsid w:val="1E17B9B8"/>
    <w:rsid w:val="1E1DDC48"/>
    <w:rsid w:val="1E1DE12A"/>
    <w:rsid w:val="1E207685"/>
    <w:rsid w:val="1E21B483"/>
    <w:rsid w:val="1E21EAEF"/>
    <w:rsid w:val="1E29FA58"/>
    <w:rsid w:val="1E2A3C4D"/>
    <w:rsid w:val="1E30A9E8"/>
    <w:rsid w:val="1E3409F9"/>
    <w:rsid w:val="1E36DD40"/>
    <w:rsid w:val="1E37AC57"/>
    <w:rsid w:val="1E37D8FC"/>
    <w:rsid w:val="1E37D9C7"/>
    <w:rsid w:val="1E3AA9B0"/>
    <w:rsid w:val="1E3E95F6"/>
    <w:rsid w:val="1E3F1E5E"/>
    <w:rsid w:val="1E40F387"/>
    <w:rsid w:val="1E42100A"/>
    <w:rsid w:val="1E4347A1"/>
    <w:rsid w:val="1E435418"/>
    <w:rsid w:val="1E4D918D"/>
    <w:rsid w:val="1E52C48A"/>
    <w:rsid w:val="1E582154"/>
    <w:rsid w:val="1E5D871F"/>
    <w:rsid w:val="1E5FE653"/>
    <w:rsid w:val="1E63977F"/>
    <w:rsid w:val="1E662D1D"/>
    <w:rsid w:val="1E6688B5"/>
    <w:rsid w:val="1E684E89"/>
    <w:rsid w:val="1E6946A9"/>
    <w:rsid w:val="1E756CFF"/>
    <w:rsid w:val="1E75B071"/>
    <w:rsid w:val="1E8794FF"/>
    <w:rsid w:val="1E88FB1C"/>
    <w:rsid w:val="1E928080"/>
    <w:rsid w:val="1E9774B3"/>
    <w:rsid w:val="1EA31739"/>
    <w:rsid w:val="1EA8BA31"/>
    <w:rsid w:val="1EAB7832"/>
    <w:rsid w:val="1EB089C7"/>
    <w:rsid w:val="1EB18478"/>
    <w:rsid w:val="1EB57B79"/>
    <w:rsid w:val="1EB96805"/>
    <w:rsid w:val="1EBDA021"/>
    <w:rsid w:val="1EBE1A79"/>
    <w:rsid w:val="1EC1666A"/>
    <w:rsid w:val="1EC17E53"/>
    <w:rsid w:val="1EC8160E"/>
    <w:rsid w:val="1EC9780C"/>
    <w:rsid w:val="1ECA5AD0"/>
    <w:rsid w:val="1ECD1AC2"/>
    <w:rsid w:val="1ECD3DE6"/>
    <w:rsid w:val="1ECE4679"/>
    <w:rsid w:val="1ECFA298"/>
    <w:rsid w:val="1ED3661B"/>
    <w:rsid w:val="1EDE4715"/>
    <w:rsid w:val="1EE0CC18"/>
    <w:rsid w:val="1EE23834"/>
    <w:rsid w:val="1EE6147D"/>
    <w:rsid w:val="1EE65192"/>
    <w:rsid w:val="1EE93DE4"/>
    <w:rsid w:val="1EEA4309"/>
    <w:rsid w:val="1EECA61A"/>
    <w:rsid w:val="1EEE6DB7"/>
    <w:rsid w:val="1EEEA478"/>
    <w:rsid w:val="1EEEF052"/>
    <w:rsid w:val="1EF41BFE"/>
    <w:rsid w:val="1EF912B4"/>
    <w:rsid w:val="1EFA1653"/>
    <w:rsid w:val="1EFAE78C"/>
    <w:rsid w:val="1EFB7413"/>
    <w:rsid w:val="1EFEDF04"/>
    <w:rsid w:val="1F022267"/>
    <w:rsid w:val="1F0D0E8C"/>
    <w:rsid w:val="1F115A86"/>
    <w:rsid w:val="1F11BEB2"/>
    <w:rsid w:val="1F12DE96"/>
    <w:rsid w:val="1F1602D3"/>
    <w:rsid w:val="1F1742A4"/>
    <w:rsid w:val="1F2417EB"/>
    <w:rsid w:val="1F29F547"/>
    <w:rsid w:val="1F2B153D"/>
    <w:rsid w:val="1F331F03"/>
    <w:rsid w:val="1F34DDB0"/>
    <w:rsid w:val="1F36D96A"/>
    <w:rsid w:val="1F3D6644"/>
    <w:rsid w:val="1F3F99E7"/>
    <w:rsid w:val="1F4A0D75"/>
    <w:rsid w:val="1F53B72F"/>
    <w:rsid w:val="1F596D89"/>
    <w:rsid w:val="1F722932"/>
    <w:rsid w:val="1F72ADC7"/>
    <w:rsid w:val="1F730F73"/>
    <w:rsid w:val="1F74CD6A"/>
    <w:rsid w:val="1F772035"/>
    <w:rsid w:val="1F77BBD2"/>
    <w:rsid w:val="1F7C48DD"/>
    <w:rsid w:val="1F7CE0BD"/>
    <w:rsid w:val="1F7EF756"/>
    <w:rsid w:val="1F807D11"/>
    <w:rsid w:val="1F82DED0"/>
    <w:rsid w:val="1F857581"/>
    <w:rsid w:val="1F859988"/>
    <w:rsid w:val="1F8E2F21"/>
    <w:rsid w:val="1F8FE7B7"/>
    <w:rsid w:val="1F952C66"/>
    <w:rsid w:val="1F995FC1"/>
    <w:rsid w:val="1F9AE9FE"/>
    <w:rsid w:val="1F9B0784"/>
    <w:rsid w:val="1F9EAABD"/>
    <w:rsid w:val="1F9EBAEC"/>
    <w:rsid w:val="1FA279DE"/>
    <w:rsid w:val="1FA3B4E1"/>
    <w:rsid w:val="1FAAD5ED"/>
    <w:rsid w:val="1FAB195C"/>
    <w:rsid w:val="1FABE6D8"/>
    <w:rsid w:val="1FAEAAAD"/>
    <w:rsid w:val="1FB44471"/>
    <w:rsid w:val="1FB6493E"/>
    <w:rsid w:val="1FBABD17"/>
    <w:rsid w:val="1FBD2940"/>
    <w:rsid w:val="1FC1B215"/>
    <w:rsid w:val="1FC38F72"/>
    <w:rsid w:val="1FCB90F3"/>
    <w:rsid w:val="1FCCD985"/>
    <w:rsid w:val="1FCCE1FB"/>
    <w:rsid w:val="1FCCE8FA"/>
    <w:rsid w:val="1FD15FAE"/>
    <w:rsid w:val="1FD58865"/>
    <w:rsid w:val="1FDC3F95"/>
    <w:rsid w:val="1FDC9FCA"/>
    <w:rsid w:val="1FDCFF44"/>
    <w:rsid w:val="1FE6F515"/>
    <w:rsid w:val="1FE88F25"/>
    <w:rsid w:val="1FEC4E6F"/>
    <w:rsid w:val="1FF02259"/>
    <w:rsid w:val="1FF14EC5"/>
    <w:rsid w:val="1FF1F43E"/>
    <w:rsid w:val="1FF5AF37"/>
    <w:rsid w:val="1FFEA5D9"/>
    <w:rsid w:val="2001B98C"/>
    <w:rsid w:val="20035969"/>
    <w:rsid w:val="20042949"/>
    <w:rsid w:val="2006D08F"/>
    <w:rsid w:val="2008EEE1"/>
    <w:rsid w:val="200C7975"/>
    <w:rsid w:val="201442B5"/>
    <w:rsid w:val="201544A8"/>
    <w:rsid w:val="20186410"/>
    <w:rsid w:val="2019449D"/>
    <w:rsid w:val="2019A591"/>
    <w:rsid w:val="2025D190"/>
    <w:rsid w:val="20279180"/>
    <w:rsid w:val="20281492"/>
    <w:rsid w:val="2028A65C"/>
    <w:rsid w:val="20294E87"/>
    <w:rsid w:val="202A5E57"/>
    <w:rsid w:val="2034EB0D"/>
    <w:rsid w:val="20369212"/>
    <w:rsid w:val="203A3664"/>
    <w:rsid w:val="203DF94E"/>
    <w:rsid w:val="203EAB21"/>
    <w:rsid w:val="2041A015"/>
    <w:rsid w:val="20432F56"/>
    <w:rsid w:val="20458C8B"/>
    <w:rsid w:val="20469DB8"/>
    <w:rsid w:val="204AF498"/>
    <w:rsid w:val="204D6A7E"/>
    <w:rsid w:val="204D86E3"/>
    <w:rsid w:val="20522D81"/>
    <w:rsid w:val="2052D0EC"/>
    <w:rsid w:val="2053F0F5"/>
    <w:rsid w:val="205518BC"/>
    <w:rsid w:val="2055EF0C"/>
    <w:rsid w:val="20688266"/>
    <w:rsid w:val="207D23C7"/>
    <w:rsid w:val="207ED657"/>
    <w:rsid w:val="20826674"/>
    <w:rsid w:val="208466A5"/>
    <w:rsid w:val="20864255"/>
    <w:rsid w:val="2088E084"/>
    <w:rsid w:val="2094E1A4"/>
    <w:rsid w:val="209E9D25"/>
    <w:rsid w:val="209FBC87"/>
    <w:rsid w:val="20A2B5A6"/>
    <w:rsid w:val="20A315C6"/>
    <w:rsid w:val="20A6C144"/>
    <w:rsid w:val="20A75F4E"/>
    <w:rsid w:val="20A97AB1"/>
    <w:rsid w:val="20AA0541"/>
    <w:rsid w:val="20AA5F74"/>
    <w:rsid w:val="20AAB62C"/>
    <w:rsid w:val="20ADD4AE"/>
    <w:rsid w:val="20B34F4C"/>
    <w:rsid w:val="20B555B7"/>
    <w:rsid w:val="20B930FD"/>
    <w:rsid w:val="20BBEEA0"/>
    <w:rsid w:val="20C091F4"/>
    <w:rsid w:val="20C17EA0"/>
    <w:rsid w:val="20C28914"/>
    <w:rsid w:val="20CA00DC"/>
    <w:rsid w:val="20CB9546"/>
    <w:rsid w:val="20CD9E38"/>
    <w:rsid w:val="20D1CE87"/>
    <w:rsid w:val="20D4EA3B"/>
    <w:rsid w:val="20D5C44C"/>
    <w:rsid w:val="20D81A47"/>
    <w:rsid w:val="20D8B1FA"/>
    <w:rsid w:val="20DC5DBF"/>
    <w:rsid w:val="20E61A56"/>
    <w:rsid w:val="20E6697F"/>
    <w:rsid w:val="20EB2DA3"/>
    <w:rsid w:val="20F3FAC0"/>
    <w:rsid w:val="20F6642F"/>
    <w:rsid w:val="20F87482"/>
    <w:rsid w:val="2100054D"/>
    <w:rsid w:val="21022AB9"/>
    <w:rsid w:val="21049EFB"/>
    <w:rsid w:val="2109D2E1"/>
    <w:rsid w:val="210A088D"/>
    <w:rsid w:val="210BAC59"/>
    <w:rsid w:val="21114CE1"/>
    <w:rsid w:val="2111A65B"/>
    <w:rsid w:val="2111E0D8"/>
    <w:rsid w:val="2114A087"/>
    <w:rsid w:val="21153F2B"/>
    <w:rsid w:val="21235F1C"/>
    <w:rsid w:val="212D9D0D"/>
    <w:rsid w:val="212F2708"/>
    <w:rsid w:val="21355339"/>
    <w:rsid w:val="21355951"/>
    <w:rsid w:val="21366842"/>
    <w:rsid w:val="2138D709"/>
    <w:rsid w:val="213A0916"/>
    <w:rsid w:val="2140DC6F"/>
    <w:rsid w:val="21415720"/>
    <w:rsid w:val="2145A941"/>
    <w:rsid w:val="2147EE19"/>
    <w:rsid w:val="214B5DB1"/>
    <w:rsid w:val="21500549"/>
    <w:rsid w:val="21562CA4"/>
    <w:rsid w:val="21584555"/>
    <w:rsid w:val="215FA67C"/>
    <w:rsid w:val="2166C388"/>
    <w:rsid w:val="216AADE6"/>
    <w:rsid w:val="216D3F67"/>
    <w:rsid w:val="216EB71E"/>
    <w:rsid w:val="217005FF"/>
    <w:rsid w:val="2170F21F"/>
    <w:rsid w:val="217240D2"/>
    <w:rsid w:val="21726FE4"/>
    <w:rsid w:val="217599CC"/>
    <w:rsid w:val="21774911"/>
    <w:rsid w:val="2179323A"/>
    <w:rsid w:val="2183231D"/>
    <w:rsid w:val="21854EB3"/>
    <w:rsid w:val="218AC76B"/>
    <w:rsid w:val="218E791B"/>
    <w:rsid w:val="218F1A42"/>
    <w:rsid w:val="2196C32C"/>
    <w:rsid w:val="2197B769"/>
    <w:rsid w:val="219B5122"/>
    <w:rsid w:val="219F0D55"/>
    <w:rsid w:val="219F20D5"/>
    <w:rsid w:val="21A33A50"/>
    <w:rsid w:val="21A7CBF2"/>
    <w:rsid w:val="21A7DBA5"/>
    <w:rsid w:val="21A89CB9"/>
    <w:rsid w:val="21A8D9CE"/>
    <w:rsid w:val="21A94C35"/>
    <w:rsid w:val="21AA14B9"/>
    <w:rsid w:val="21AACA43"/>
    <w:rsid w:val="21AB8D08"/>
    <w:rsid w:val="21AD6D0C"/>
    <w:rsid w:val="21AE50C4"/>
    <w:rsid w:val="21AF9F56"/>
    <w:rsid w:val="21B320BF"/>
    <w:rsid w:val="21B69639"/>
    <w:rsid w:val="21B89450"/>
    <w:rsid w:val="21BAB1F2"/>
    <w:rsid w:val="21BF9B7E"/>
    <w:rsid w:val="21C10B37"/>
    <w:rsid w:val="21C1A7E0"/>
    <w:rsid w:val="21C63C27"/>
    <w:rsid w:val="21C7826D"/>
    <w:rsid w:val="21C80F32"/>
    <w:rsid w:val="21CD0CB4"/>
    <w:rsid w:val="21CDC513"/>
    <w:rsid w:val="21CEE03C"/>
    <w:rsid w:val="21D15D5E"/>
    <w:rsid w:val="21D94217"/>
    <w:rsid w:val="21DA1445"/>
    <w:rsid w:val="21DBCD15"/>
    <w:rsid w:val="21E1AE95"/>
    <w:rsid w:val="21E87A39"/>
    <w:rsid w:val="21EB3AD1"/>
    <w:rsid w:val="21EDFAE3"/>
    <w:rsid w:val="21F2A5A2"/>
    <w:rsid w:val="21F70412"/>
    <w:rsid w:val="21FAC849"/>
    <w:rsid w:val="21FDFBC3"/>
    <w:rsid w:val="220020AA"/>
    <w:rsid w:val="2200E3E0"/>
    <w:rsid w:val="2203F38F"/>
    <w:rsid w:val="2208AF87"/>
    <w:rsid w:val="220C6D39"/>
    <w:rsid w:val="22113C92"/>
    <w:rsid w:val="22146504"/>
    <w:rsid w:val="221CF85C"/>
    <w:rsid w:val="22223998"/>
    <w:rsid w:val="222277E6"/>
    <w:rsid w:val="22269D64"/>
    <w:rsid w:val="22285729"/>
    <w:rsid w:val="2229A447"/>
    <w:rsid w:val="2232974E"/>
    <w:rsid w:val="22351D72"/>
    <w:rsid w:val="223B0A5B"/>
    <w:rsid w:val="223DD386"/>
    <w:rsid w:val="223E28B9"/>
    <w:rsid w:val="22404605"/>
    <w:rsid w:val="2240C342"/>
    <w:rsid w:val="2244C88D"/>
    <w:rsid w:val="224B2B75"/>
    <w:rsid w:val="224BE37B"/>
    <w:rsid w:val="22538637"/>
    <w:rsid w:val="2258C97D"/>
    <w:rsid w:val="225B99B5"/>
    <w:rsid w:val="225F00E5"/>
    <w:rsid w:val="225F1B52"/>
    <w:rsid w:val="22613A6F"/>
    <w:rsid w:val="22631131"/>
    <w:rsid w:val="2265AE59"/>
    <w:rsid w:val="226986ED"/>
    <w:rsid w:val="226C7B6E"/>
    <w:rsid w:val="22719CBF"/>
    <w:rsid w:val="22753B63"/>
    <w:rsid w:val="227699F1"/>
    <w:rsid w:val="227896F7"/>
    <w:rsid w:val="2279D7D3"/>
    <w:rsid w:val="227EFA15"/>
    <w:rsid w:val="22826DC7"/>
    <w:rsid w:val="2285E930"/>
    <w:rsid w:val="2297B919"/>
    <w:rsid w:val="2297D32F"/>
    <w:rsid w:val="22A01AE2"/>
    <w:rsid w:val="22ABFEEA"/>
    <w:rsid w:val="22B13945"/>
    <w:rsid w:val="22B2F1D7"/>
    <w:rsid w:val="22B92BBD"/>
    <w:rsid w:val="22B99EF3"/>
    <w:rsid w:val="22BE7863"/>
    <w:rsid w:val="22C35940"/>
    <w:rsid w:val="22C3B9EF"/>
    <w:rsid w:val="22C5DF1A"/>
    <w:rsid w:val="22CA9F9D"/>
    <w:rsid w:val="22D0D03D"/>
    <w:rsid w:val="22D2074B"/>
    <w:rsid w:val="22D590F3"/>
    <w:rsid w:val="22E3B956"/>
    <w:rsid w:val="22EA25F2"/>
    <w:rsid w:val="22EC12D6"/>
    <w:rsid w:val="22ED0F5C"/>
    <w:rsid w:val="22F3EDBE"/>
    <w:rsid w:val="22F69272"/>
    <w:rsid w:val="22F73989"/>
    <w:rsid w:val="22F79A56"/>
    <w:rsid w:val="22F99FE8"/>
    <w:rsid w:val="22FFCBE6"/>
    <w:rsid w:val="2301FE8B"/>
    <w:rsid w:val="2308B201"/>
    <w:rsid w:val="2310A77D"/>
    <w:rsid w:val="2311B793"/>
    <w:rsid w:val="231742F0"/>
    <w:rsid w:val="231A1C14"/>
    <w:rsid w:val="231C8133"/>
    <w:rsid w:val="231EC7D0"/>
    <w:rsid w:val="2320E87E"/>
    <w:rsid w:val="232246DA"/>
    <w:rsid w:val="2327ED20"/>
    <w:rsid w:val="232B5898"/>
    <w:rsid w:val="232D1069"/>
    <w:rsid w:val="232DF09D"/>
    <w:rsid w:val="233280BD"/>
    <w:rsid w:val="2332874D"/>
    <w:rsid w:val="233732AC"/>
    <w:rsid w:val="233B6391"/>
    <w:rsid w:val="233DF6B8"/>
    <w:rsid w:val="233E13E5"/>
    <w:rsid w:val="233F7D45"/>
    <w:rsid w:val="233F9091"/>
    <w:rsid w:val="2343CE7D"/>
    <w:rsid w:val="23526071"/>
    <w:rsid w:val="23558E80"/>
    <w:rsid w:val="2355F85E"/>
    <w:rsid w:val="2358CC1B"/>
    <w:rsid w:val="235D217B"/>
    <w:rsid w:val="235E4772"/>
    <w:rsid w:val="23617F57"/>
    <w:rsid w:val="2366A491"/>
    <w:rsid w:val="236BF0AD"/>
    <w:rsid w:val="236DFBB2"/>
    <w:rsid w:val="236F8774"/>
    <w:rsid w:val="2372EB0A"/>
    <w:rsid w:val="237B9999"/>
    <w:rsid w:val="23816AFD"/>
    <w:rsid w:val="23826BDA"/>
    <w:rsid w:val="23830959"/>
    <w:rsid w:val="23874F9C"/>
    <w:rsid w:val="238BEEB2"/>
    <w:rsid w:val="238F32DD"/>
    <w:rsid w:val="2391E83A"/>
    <w:rsid w:val="239237BE"/>
    <w:rsid w:val="2397EC36"/>
    <w:rsid w:val="23A14B70"/>
    <w:rsid w:val="23A1E0F2"/>
    <w:rsid w:val="23ABB77F"/>
    <w:rsid w:val="23AF19B9"/>
    <w:rsid w:val="23B6B8D4"/>
    <w:rsid w:val="23BA6DA3"/>
    <w:rsid w:val="23BECEF8"/>
    <w:rsid w:val="23C25069"/>
    <w:rsid w:val="23C6C160"/>
    <w:rsid w:val="23CD3F90"/>
    <w:rsid w:val="23CDAB7B"/>
    <w:rsid w:val="23CDFAF2"/>
    <w:rsid w:val="23CFF102"/>
    <w:rsid w:val="23D1479D"/>
    <w:rsid w:val="23D3B1A1"/>
    <w:rsid w:val="23D45F55"/>
    <w:rsid w:val="23E14E21"/>
    <w:rsid w:val="23E35C85"/>
    <w:rsid w:val="23F2EC0B"/>
    <w:rsid w:val="23F6857C"/>
    <w:rsid w:val="23FC0262"/>
    <w:rsid w:val="23FD9E17"/>
    <w:rsid w:val="24036358"/>
    <w:rsid w:val="240447A9"/>
    <w:rsid w:val="240F3ABD"/>
    <w:rsid w:val="2410A5C2"/>
    <w:rsid w:val="24130806"/>
    <w:rsid w:val="2417AC05"/>
    <w:rsid w:val="241C9AD1"/>
    <w:rsid w:val="241F7A59"/>
    <w:rsid w:val="241F9C4D"/>
    <w:rsid w:val="24200E13"/>
    <w:rsid w:val="24206351"/>
    <w:rsid w:val="2421F0CB"/>
    <w:rsid w:val="2422D83D"/>
    <w:rsid w:val="2423F2A6"/>
    <w:rsid w:val="24264DDD"/>
    <w:rsid w:val="24271B74"/>
    <w:rsid w:val="24272065"/>
    <w:rsid w:val="242BEECC"/>
    <w:rsid w:val="24326EAF"/>
    <w:rsid w:val="2434E400"/>
    <w:rsid w:val="2436F090"/>
    <w:rsid w:val="2437F3C0"/>
    <w:rsid w:val="243C41DB"/>
    <w:rsid w:val="243DCAA8"/>
    <w:rsid w:val="243F435F"/>
    <w:rsid w:val="244012D0"/>
    <w:rsid w:val="2446F6F7"/>
    <w:rsid w:val="244E0579"/>
    <w:rsid w:val="244FA55F"/>
    <w:rsid w:val="24547C40"/>
    <w:rsid w:val="24557B1D"/>
    <w:rsid w:val="245730CB"/>
    <w:rsid w:val="245C92A2"/>
    <w:rsid w:val="2461C173"/>
    <w:rsid w:val="24639243"/>
    <w:rsid w:val="246B148C"/>
    <w:rsid w:val="246B3369"/>
    <w:rsid w:val="247089BA"/>
    <w:rsid w:val="2475EF63"/>
    <w:rsid w:val="247A46F4"/>
    <w:rsid w:val="247C773A"/>
    <w:rsid w:val="24855141"/>
    <w:rsid w:val="248AE27D"/>
    <w:rsid w:val="248C5760"/>
    <w:rsid w:val="24903792"/>
    <w:rsid w:val="2499E5A2"/>
    <w:rsid w:val="249C5342"/>
    <w:rsid w:val="249EC162"/>
    <w:rsid w:val="249F78B4"/>
    <w:rsid w:val="24A156E9"/>
    <w:rsid w:val="24A6715C"/>
    <w:rsid w:val="24A834B8"/>
    <w:rsid w:val="24AF5687"/>
    <w:rsid w:val="24AF6B43"/>
    <w:rsid w:val="24B5A6ED"/>
    <w:rsid w:val="24BD619D"/>
    <w:rsid w:val="24C2CB91"/>
    <w:rsid w:val="24C3D693"/>
    <w:rsid w:val="24CA1D24"/>
    <w:rsid w:val="24D31E29"/>
    <w:rsid w:val="24DBE49D"/>
    <w:rsid w:val="24E12C97"/>
    <w:rsid w:val="24E379C2"/>
    <w:rsid w:val="24E62FC9"/>
    <w:rsid w:val="24F72CB3"/>
    <w:rsid w:val="24F8DD83"/>
    <w:rsid w:val="2501B611"/>
    <w:rsid w:val="25037FC9"/>
    <w:rsid w:val="250FF8A0"/>
    <w:rsid w:val="2514BE5E"/>
    <w:rsid w:val="25158A3D"/>
    <w:rsid w:val="2515B46D"/>
    <w:rsid w:val="2519215F"/>
    <w:rsid w:val="251EA30E"/>
    <w:rsid w:val="252080FE"/>
    <w:rsid w:val="2522DEA7"/>
    <w:rsid w:val="25285EE7"/>
    <w:rsid w:val="252BB9E7"/>
    <w:rsid w:val="252D3388"/>
    <w:rsid w:val="252F20C2"/>
    <w:rsid w:val="252F28D7"/>
    <w:rsid w:val="253122FE"/>
    <w:rsid w:val="25316723"/>
    <w:rsid w:val="25341383"/>
    <w:rsid w:val="2534BF28"/>
    <w:rsid w:val="253704AB"/>
    <w:rsid w:val="2546C274"/>
    <w:rsid w:val="2548C09D"/>
    <w:rsid w:val="254AAAD9"/>
    <w:rsid w:val="254D4B59"/>
    <w:rsid w:val="25509FD8"/>
    <w:rsid w:val="2553B089"/>
    <w:rsid w:val="25551F7D"/>
    <w:rsid w:val="2555AC81"/>
    <w:rsid w:val="25585F39"/>
    <w:rsid w:val="2558A8FE"/>
    <w:rsid w:val="255EB28C"/>
    <w:rsid w:val="25628F05"/>
    <w:rsid w:val="25684ADF"/>
    <w:rsid w:val="256C1CB5"/>
    <w:rsid w:val="257365C4"/>
    <w:rsid w:val="257ECBEE"/>
    <w:rsid w:val="257EFD40"/>
    <w:rsid w:val="257F9B21"/>
    <w:rsid w:val="2585FB16"/>
    <w:rsid w:val="25877BD0"/>
    <w:rsid w:val="2588795F"/>
    <w:rsid w:val="25924FEF"/>
    <w:rsid w:val="2592551D"/>
    <w:rsid w:val="2595DC62"/>
    <w:rsid w:val="25975B9D"/>
    <w:rsid w:val="259DB4E1"/>
    <w:rsid w:val="25B1F7A7"/>
    <w:rsid w:val="25B2853C"/>
    <w:rsid w:val="25B52021"/>
    <w:rsid w:val="25B64DDF"/>
    <w:rsid w:val="25B6A0E6"/>
    <w:rsid w:val="25B7C124"/>
    <w:rsid w:val="25BF2398"/>
    <w:rsid w:val="25BF63E7"/>
    <w:rsid w:val="25C0C5DB"/>
    <w:rsid w:val="25C15E4C"/>
    <w:rsid w:val="25C1F8C1"/>
    <w:rsid w:val="25C350F6"/>
    <w:rsid w:val="25C37A03"/>
    <w:rsid w:val="25CC8FE3"/>
    <w:rsid w:val="25CF27D0"/>
    <w:rsid w:val="25D1445D"/>
    <w:rsid w:val="25D1B58E"/>
    <w:rsid w:val="25D20B15"/>
    <w:rsid w:val="25D8B242"/>
    <w:rsid w:val="25DB0434"/>
    <w:rsid w:val="25DC837D"/>
    <w:rsid w:val="25DE3A68"/>
    <w:rsid w:val="25E1484F"/>
    <w:rsid w:val="25E16BA8"/>
    <w:rsid w:val="25E589C7"/>
    <w:rsid w:val="25E709CF"/>
    <w:rsid w:val="25ED1A2E"/>
    <w:rsid w:val="25FBD514"/>
    <w:rsid w:val="25FCC46B"/>
    <w:rsid w:val="25FD4CE6"/>
    <w:rsid w:val="2605F41F"/>
    <w:rsid w:val="260734C4"/>
    <w:rsid w:val="260C983E"/>
    <w:rsid w:val="260E0320"/>
    <w:rsid w:val="260F44A1"/>
    <w:rsid w:val="26109D8B"/>
    <w:rsid w:val="2610A2D4"/>
    <w:rsid w:val="2611C1A5"/>
    <w:rsid w:val="2611D46F"/>
    <w:rsid w:val="26140EDB"/>
    <w:rsid w:val="261A8BB1"/>
    <w:rsid w:val="261C65D1"/>
    <w:rsid w:val="261C8C87"/>
    <w:rsid w:val="261EABEC"/>
    <w:rsid w:val="262065F6"/>
    <w:rsid w:val="2622D8FD"/>
    <w:rsid w:val="262E5FB1"/>
    <w:rsid w:val="26329E62"/>
    <w:rsid w:val="263564CB"/>
    <w:rsid w:val="263967CC"/>
    <w:rsid w:val="263BBD72"/>
    <w:rsid w:val="263C81A1"/>
    <w:rsid w:val="263D8F2C"/>
    <w:rsid w:val="263EC27C"/>
    <w:rsid w:val="263FF7DA"/>
    <w:rsid w:val="2642BA00"/>
    <w:rsid w:val="26469F4A"/>
    <w:rsid w:val="2648DF97"/>
    <w:rsid w:val="264E740E"/>
    <w:rsid w:val="264FBB53"/>
    <w:rsid w:val="2650B71B"/>
    <w:rsid w:val="26538904"/>
    <w:rsid w:val="2654404B"/>
    <w:rsid w:val="26649C44"/>
    <w:rsid w:val="2665C50A"/>
    <w:rsid w:val="26676464"/>
    <w:rsid w:val="2667D7B3"/>
    <w:rsid w:val="26689901"/>
    <w:rsid w:val="2669B0FC"/>
    <w:rsid w:val="266DBCB6"/>
    <w:rsid w:val="2672ABF6"/>
    <w:rsid w:val="2674669C"/>
    <w:rsid w:val="267A8DEF"/>
    <w:rsid w:val="2683DB51"/>
    <w:rsid w:val="26865905"/>
    <w:rsid w:val="2689052B"/>
    <w:rsid w:val="268F65B7"/>
    <w:rsid w:val="268F9D3F"/>
    <w:rsid w:val="2692354B"/>
    <w:rsid w:val="26936D27"/>
    <w:rsid w:val="269BD64C"/>
    <w:rsid w:val="26A658F6"/>
    <w:rsid w:val="26B1C00E"/>
    <w:rsid w:val="26BB5AC0"/>
    <w:rsid w:val="26C29DD3"/>
    <w:rsid w:val="26C748CF"/>
    <w:rsid w:val="26C929CA"/>
    <w:rsid w:val="26C96087"/>
    <w:rsid w:val="26CC8CD2"/>
    <w:rsid w:val="26E389CD"/>
    <w:rsid w:val="26E73923"/>
    <w:rsid w:val="26EEA217"/>
    <w:rsid w:val="26EF97F7"/>
    <w:rsid w:val="26F1481F"/>
    <w:rsid w:val="26F50EBD"/>
    <w:rsid w:val="26F643E3"/>
    <w:rsid w:val="26F7999E"/>
    <w:rsid w:val="26FCC323"/>
    <w:rsid w:val="26FD7676"/>
    <w:rsid w:val="26FF5925"/>
    <w:rsid w:val="27024992"/>
    <w:rsid w:val="2704F4FD"/>
    <w:rsid w:val="2705F3F3"/>
    <w:rsid w:val="27065A3F"/>
    <w:rsid w:val="27083A62"/>
    <w:rsid w:val="271344D5"/>
    <w:rsid w:val="27198ED0"/>
    <w:rsid w:val="271A21B0"/>
    <w:rsid w:val="271C693A"/>
    <w:rsid w:val="271D05F4"/>
    <w:rsid w:val="272C3ED8"/>
    <w:rsid w:val="272F3687"/>
    <w:rsid w:val="273120E2"/>
    <w:rsid w:val="2731BB0A"/>
    <w:rsid w:val="2732CE5D"/>
    <w:rsid w:val="2737D9C9"/>
    <w:rsid w:val="273823B8"/>
    <w:rsid w:val="27407010"/>
    <w:rsid w:val="27472FB7"/>
    <w:rsid w:val="2747CAC6"/>
    <w:rsid w:val="274A4A48"/>
    <w:rsid w:val="274EC7A2"/>
    <w:rsid w:val="27500993"/>
    <w:rsid w:val="2752A8CB"/>
    <w:rsid w:val="275507BC"/>
    <w:rsid w:val="2755BDC4"/>
    <w:rsid w:val="2755FBB3"/>
    <w:rsid w:val="275660A5"/>
    <w:rsid w:val="2757DA11"/>
    <w:rsid w:val="2758082B"/>
    <w:rsid w:val="275D1FF1"/>
    <w:rsid w:val="276235EA"/>
    <w:rsid w:val="2763882E"/>
    <w:rsid w:val="276454D9"/>
    <w:rsid w:val="2764CC18"/>
    <w:rsid w:val="27659FB1"/>
    <w:rsid w:val="276F8027"/>
    <w:rsid w:val="27752D65"/>
    <w:rsid w:val="277F4B79"/>
    <w:rsid w:val="278180D4"/>
    <w:rsid w:val="2782C9BD"/>
    <w:rsid w:val="27885BC6"/>
    <w:rsid w:val="278DAF81"/>
    <w:rsid w:val="278DC519"/>
    <w:rsid w:val="27913EC7"/>
    <w:rsid w:val="27930FED"/>
    <w:rsid w:val="27961044"/>
    <w:rsid w:val="279994ED"/>
    <w:rsid w:val="279B1163"/>
    <w:rsid w:val="27A14282"/>
    <w:rsid w:val="27A379A8"/>
    <w:rsid w:val="27A464AD"/>
    <w:rsid w:val="27A54DA9"/>
    <w:rsid w:val="27AE2C8A"/>
    <w:rsid w:val="27B243EB"/>
    <w:rsid w:val="27B6EEE1"/>
    <w:rsid w:val="27BC300E"/>
    <w:rsid w:val="27C1EE17"/>
    <w:rsid w:val="27C37A77"/>
    <w:rsid w:val="27C5ED1F"/>
    <w:rsid w:val="27C66D8F"/>
    <w:rsid w:val="27C85A2F"/>
    <w:rsid w:val="27CA8813"/>
    <w:rsid w:val="27DAEBCA"/>
    <w:rsid w:val="27DB6E6A"/>
    <w:rsid w:val="27DC5F76"/>
    <w:rsid w:val="27DD99DF"/>
    <w:rsid w:val="27E0D1A7"/>
    <w:rsid w:val="27E187A9"/>
    <w:rsid w:val="27EA18A1"/>
    <w:rsid w:val="27EBBED4"/>
    <w:rsid w:val="27EEA3B6"/>
    <w:rsid w:val="27F8CA06"/>
    <w:rsid w:val="27FDAE4F"/>
    <w:rsid w:val="28030D20"/>
    <w:rsid w:val="2807B64F"/>
    <w:rsid w:val="28098ECA"/>
    <w:rsid w:val="280D2D7A"/>
    <w:rsid w:val="280E2AA8"/>
    <w:rsid w:val="28195653"/>
    <w:rsid w:val="281ABD79"/>
    <w:rsid w:val="281C716A"/>
    <w:rsid w:val="281F212A"/>
    <w:rsid w:val="2820D17C"/>
    <w:rsid w:val="28224A04"/>
    <w:rsid w:val="28230BB7"/>
    <w:rsid w:val="2823DF11"/>
    <w:rsid w:val="2827E914"/>
    <w:rsid w:val="2828749A"/>
    <w:rsid w:val="28335BFB"/>
    <w:rsid w:val="283AAE7D"/>
    <w:rsid w:val="28402D84"/>
    <w:rsid w:val="28412E4B"/>
    <w:rsid w:val="2842E80E"/>
    <w:rsid w:val="28448329"/>
    <w:rsid w:val="284A6BA7"/>
    <w:rsid w:val="28562E51"/>
    <w:rsid w:val="28576D9F"/>
    <w:rsid w:val="285AD4A7"/>
    <w:rsid w:val="285DD934"/>
    <w:rsid w:val="28630FDC"/>
    <w:rsid w:val="286343D9"/>
    <w:rsid w:val="28648C20"/>
    <w:rsid w:val="28649250"/>
    <w:rsid w:val="2870AA3B"/>
    <w:rsid w:val="287414AD"/>
    <w:rsid w:val="28758693"/>
    <w:rsid w:val="2879ABBF"/>
    <w:rsid w:val="287C6B27"/>
    <w:rsid w:val="287CD5E4"/>
    <w:rsid w:val="288022D8"/>
    <w:rsid w:val="2882BCD7"/>
    <w:rsid w:val="288A3578"/>
    <w:rsid w:val="288B2121"/>
    <w:rsid w:val="288BC1D2"/>
    <w:rsid w:val="288E6648"/>
    <w:rsid w:val="289259FC"/>
    <w:rsid w:val="2897D020"/>
    <w:rsid w:val="28987D94"/>
    <w:rsid w:val="289D7596"/>
    <w:rsid w:val="289E27FF"/>
    <w:rsid w:val="28A4665F"/>
    <w:rsid w:val="28A6C26E"/>
    <w:rsid w:val="28A6CACC"/>
    <w:rsid w:val="28AD77DB"/>
    <w:rsid w:val="28ADD863"/>
    <w:rsid w:val="28AEDA19"/>
    <w:rsid w:val="28B01F31"/>
    <w:rsid w:val="28BD5FF5"/>
    <w:rsid w:val="28BE99FB"/>
    <w:rsid w:val="28C1DC19"/>
    <w:rsid w:val="28C8B98C"/>
    <w:rsid w:val="28D3FC28"/>
    <w:rsid w:val="28D52E7A"/>
    <w:rsid w:val="28D7FE31"/>
    <w:rsid w:val="28DB7A11"/>
    <w:rsid w:val="28E0A008"/>
    <w:rsid w:val="28E67283"/>
    <w:rsid w:val="28E9D985"/>
    <w:rsid w:val="28F08866"/>
    <w:rsid w:val="28F5ECF6"/>
    <w:rsid w:val="28F7615B"/>
    <w:rsid w:val="28F7CFEE"/>
    <w:rsid w:val="29013621"/>
    <w:rsid w:val="290573E3"/>
    <w:rsid w:val="29060189"/>
    <w:rsid w:val="2908AB3C"/>
    <w:rsid w:val="290C4668"/>
    <w:rsid w:val="2910D0B2"/>
    <w:rsid w:val="29111C07"/>
    <w:rsid w:val="29148C0F"/>
    <w:rsid w:val="2915B7F2"/>
    <w:rsid w:val="29165268"/>
    <w:rsid w:val="29188CC0"/>
    <w:rsid w:val="291A198A"/>
    <w:rsid w:val="291B5B13"/>
    <w:rsid w:val="291BEED7"/>
    <w:rsid w:val="291C0948"/>
    <w:rsid w:val="291C522D"/>
    <w:rsid w:val="291D44A3"/>
    <w:rsid w:val="2922409C"/>
    <w:rsid w:val="29258A38"/>
    <w:rsid w:val="29286BE6"/>
    <w:rsid w:val="292A0046"/>
    <w:rsid w:val="292D2000"/>
    <w:rsid w:val="29307A6C"/>
    <w:rsid w:val="293B1013"/>
    <w:rsid w:val="293C068D"/>
    <w:rsid w:val="293C5A2B"/>
    <w:rsid w:val="29429163"/>
    <w:rsid w:val="294513EE"/>
    <w:rsid w:val="29468249"/>
    <w:rsid w:val="295514F7"/>
    <w:rsid w:val="29586965"/>
    <w:rsid w:val="29596E59"/>
    <w:rsid w:val="295AFB66"/>
    <w:rsid w:val="295B3238"/>
    <w:rsid w:val="295C1E18"/>
    <w:rsid w:val="2966F5A5"/>
    <w:rsid w:val="296CC06B"/>
    <w:rsid w:val="297CF0AE"/>
    <w:rsid w:val="29830C71"/>
    <w:rsid w:val="298EA464"/>
    <w:rsid w:val="2990E1E9"/>
    <w:rsid w:val="2999CE17"/>
    <w:rsid w:val="299A8CEE"/>
    <w:rsid w:val="299BE475"/>
    <w:rsid w:val="299FA8A9"/>
    <w:rsid w:val="29B0CBB2"/>
    <w:rsid w:val="29B2A57F"/>
    <w:rsid w:val="29B4E262"/>
    <w:rsid w:val="29BABA52"/>
    <w:rsid w:val="29BABBB2"/>
    <w:rsid w:val="29BD3E46"/>
    <w:rsid w:val="29C84769"/>
    <w:rsid w:val="29CC8A3B"/>
    <w:rsid w:val="29D70729"/>
    <w:rsid w:val="29DE14C0"/>
    <w:rsid w:val="29E11F9C"/>
    <w:rsid w:val="29E2EED2"/>
    <w:rsid w:val="29E67589"/>
    <w:rsid w:val="29EC3CF2"/>
    <w:rsid w:val="29F3B602"/>
    <w:rsid w:val="29F84DA8"/>
    <w:rsid w:val="29F8B7E7"/>
    <w:rsid w:val="29FAD702"/>
    <w:rsid w:val="29FC873E"/>
    <w:rsid w:val="29FF0F52"/>
    <w:rsid w:val="2A0B7001"/>
    <w:rsid w:val="2A0DE60F"/>
    <w:rsid w:val="2A0ED146"/>
    <w:rsid w:val="2A14610C"/>
    <w:rsid w:val="2A1C0002"/>
    <w:rsid w:val="2A1E2B3D"/>
    <w:rsid w:val="2A21B912"/>
    <w:rsid w:val="2A233462"/>
    <w:rsid w:val="2A252128"/>
    <w:rsid w:val="2A296519"/>
    <w:rsid w:val="2A2D9E75"/>
    <w:rsid w:val="2A2DDB22"/>
    <w:rsid w:val="2A2F2194"/>
    <w:rsid w:val="2A31E028"/>
    <w:rsid w:val="2A324A0B"/>
    <w:rsid w:val="2A32BC31"/>
    <w:rsid w:val="2A340777"/>
    <w:rsid w:val="2A354764"/>
    <w:rsid w:val="2A375535"/>
    <w:rsid w:val="2A3B97C2"/>
    <w:rsid w:val="2A44E944"/>
    <w:rsid w:val="2A491F68"/>
    <w:rsid w:val="2A512D3F"/>
    <w:rsid w:val="2A51460B"/>
    <w:rsid w:val="2A589229"/>
    <w:rsid w:val="2A603AB1"/>
    <w:rsid w:val="2A62C561"/>
    <w:rsid w:val="2A688FA4"/>
    <w:rsid w:val="2A7232F8"/>
    <w:rsid w:val="2A7236A8"/>
    <w:rsid w:val="2A743F29"/>
    <w:rsid w:val="2A7709B8"/>
    <w:rsid w:val="2A78208A"/>
    <w:rsid w:val="2A810E69"/>
    <w:rsid w:val="2A82C12F"/>
    <w:rsid w:val="2A82EED7"/>
    <w:rsid w:val="2A852565"/>
    <w:rsid w:val="2A85F952"/>
    <w:rsid w:val="2A8618EA"/>
    <w:rsid w:val="2A8953D5"/>
    <w:rsid w:val="2A8BCD25"/>
    <w:rsid w:val="2A908336"/>
    <w:rsid w:val="2A90F52F"/>
    <w:rsid w:val="2A94E5A2"/>
    <w:rsid w:val="2A96E81F"/>
    <w:rsid w:val="2A9CEE8B"/>
    <w:rsid w:val="2A9F9B7E"/>
    <w:rsid w:val="2AA1E0A9"/>
    <w:rsid w:val="2AA2A7DC"/>
    <w:rsid w:val="2AA3DB5A"/>
    <w:rsid w:val="2AAD3E89"/>
    <w:rsid w:val="2AAE7943"/>
    <w:rsid w:val="2AAF0FB8"/>
    <w:rsid w:val="2ABADA58"/>
    <w:rsid w:val="2ABC35BF"/>
    <w:rsid w:val="2ABD0BE2"/>
    <w:rsid w:val="2ABE0D4F"/>
    <w:rsid w:val="2ABE16EA"/>
    <w:rsid w:val="2ABFF29A"/>
    <w:rsid w:val="2ACB2146"/>
    <w:rsid w:val="2ACC3969"/>
    <w:rsid w:val="2AD0D355"/>
    <w:rsid w:val="2AD3CC23"/>
    <w:rsid w:val="2ADBF066"/>
    <w:rsid w:val="2AE10ED7"/>
    <w:rsid w:val="2AE39284"/>
    <w:rsid w:val="2AE69CC2"/>
    <w:rsid w:val="2AEC30FB"/>
    <w:rsid w:val="2AEE0380"/>
    <w:rsid w:val="2AF5771F"/>
    <w:rsid w:val="2AF645D0"/>
    <w:rsid w:val="2AF84E05"/>
    <w:rsid w:val="2AFA9CAA"/>
    <w:rsid w:val="2AFDD566"/>
    <w:rsid w:val="2B00326E"/>
    <w:rsid w:val="2B0085A2"/>
    <w:rsid w:val="2B076C46"/>
    <w:rsid w:val="2B08246F"/>
    <w:rsid w:val="2B09037B"/>
    <w:rsid w:val="2B0D2EF3"/>
    <w:rsid w:val="2B12F6C5"/>
    <w:rsid w:val="2B1363E2"/>
    <w:rsid w:val="2B15592C"/>
    <w:rsid w:val="2B16A025"/>
    <w:rsid w:val="2B18A14A"/>
    <w:rsid w:val="2B19921D"/>
    <w:rsid w:val="2B1A21FC"/>
    <w:rsid w:val="2B271F4E"/>
    <w:rsid w:val="2B2B75DE"/>
    <w:rsid w:val="2B2CE609"/>
    <w:rsid w:val="2B2F9FF3"/>
    <w:rsid w:val="2B328538"/>
    <w:rsid w:val="2B341313"/>
    <w:rsid w:val="2B36BBBA"/>
    <w:rsid w:val="2B3CB099"/>
    <w:rsid w:val="2B3F5F44"/>
    <w:rsid w:val="2B404294"/>
    <w:rsid w:val="2B423412"/>
    <w:rsid w:val="2B44731D"/>
    <w:rsid w:val="2B453A44"/>
    <w:rsid w:val="2B549298"/>
    <w:rsid w:val="2B569A8E"/>
    <w:rsid w:val="2B5A8FC7"/>
    <w:rsid w:val="2B5D7513"/>
    <w:rsid w:val="2B6076B8"/>
    <w:rsid w:val="2B6AA741"/>
    <w:rsid w:val="2B6F29DF"/>
    <w:rsid w:val="2B6FE46E"/>
    <w:rsid w:val="2B75B396"/>
    <w:rsid w:val="2B844096"/>
    <w:rsid w:val="2B8509B6"/>
    <w:rsid w:val="2B85E7D5"/>
    <w:rsid w:val="2B87F24B"/>
    <w:rsid w:val="2B8A0A33"/>
    <w:rsid w:val="2B93AD14"/>
    <w:rsid w:val="2B94C623"/>
    <w:rsid w:val="2B9731ED"/>
    <w:rsid w:val="2B9BE4F0"/>
    <w:rsid w:val="2B9CEADA"/>
    <w:rsid w:val="2BA2D667"/>
    <w:rsid w:val="2BA2D9CE"/>
    <w:rsid w:val="2BA94992"/>
    <w:rsid w:val="2BB0EE6A"/>
    <w:rsid w:val="2BB717E0"/>
    <w:rsid w:val="2BBE5438"/>
    <w:rsid w:val="2BC36FCC"/>
    <w:rsid w:val="2BC3C362"/>
    <w:rsid w:val="2BC5ADB0"/>
    <w:rsid w:val="2BC9FCC8"/>
    <w:rsid w:val="2BDCE9B0"/>
    <w:rsid w:val="2BDE6FA7"/>
    <w:rsid w:val="2BE5C6B3"/>
    <w:rsid w:val="2BE62873"/>
    <w:rsid w:val="2BE6BCBA"/>
    <w:rsid w:val="2BE7C959"/>
    <w:rsid w:val="2BE8614C"/>
    <w:rsid w:val="2BEA83BC"/>
    <w:rsid w:val="2BEB6503"/>
    <w:rsid w:val="2BF149C2"/>
    <w:rsid w:val="2BF3A304"/>
    <w:rsid w:val="2BF655DC"/>
    <w:rsid w:val="2BF6A8D5"/>
    <w:rsid w:val="2C029D1C"/>
    <w:rsid w:val="2C09FB6C"/>
    <w:rsid w:val="2C1E3FE2"/>
    <w:rsid w:val="2C20E93E"/>
    <w:rsid w:val="2C234DDA"/>
    <w:rsid w:val="2C263D90"/>
    <w:rsid w:val="2C2642AD"/>
    <w:rsid w:val="2C276573"/>
    <w:rsid w:val="2C29090C"/>
    <w:rsid w:val="2C2920ED"/>
    <w:rsid w:val="2C34BFEE"/>
    <w:rsid w:val="2C375344"/>
    <w:rsid w:val="2C3D86C1"/>
    <w:rsid w:val="2C42E749"/>
    <w:rsid w:val="2C478363"/>
    <w:rsid w:val="2C4A9108"/>
    <w:rsid w:val="2C4C6BD4"/>
    <w:rsid w:val="2C501A07"/>
    <w:rsid w:val="2C508D9B"/>
    <w:rsid w:val="2C51FB67"/>
    <w:rsid w:val="2C53AF75"/>
    <w:rsid w:val="2C57E234"/>
    <w:rsid w:val="2C5C9E91"/>
    <w:rsid w:val="2C5F7B00"/>
    <w:rsid w:val="2C67002A"/>
    <w:rsid w:val="2C69EAAF"/>
    <w:rsid w:val="2C6A2DDA"/>
    <w:rsid w:val="2C8DF669"/>
    <w:rsid w:val="2C8F43BA"/>
    <w:rsid w:val="2C918DE8"/>
    <w:rsid w:val="2C92AE81"/>
    <w:rsid w:val="2C92BA4F"/>
    <w:rsid w:val="2C9EC084"/>
    <w:rsid w:val="2CAD5828"/>
    <w:rsid w:val="2CAF807B"/>
    <w:rsid w:val="2CB1BFF5"/>
    <w:rsid w:val="2CC2E0C8"/>
    <w:rsid w:val="2CC98971"/>
    <w:rsid w:val="2CCD8BA5"/>
    <w:rsid w:val="2CD2B1B0"/>
    <w:rsid w:val="2CDCD6D5"/>
    <w:rsid w:val="2CE00BF2"/>
    <w:rsid w:val="2CE03016"/>
    <w:rsid w:val="2CE281AA"/>
    <w:rsid w:val="2CE6DE9D"/>
    <w:rsid w:val="2CF057A0"/>
    <w:rsid w:val="2CF09090"/>
    <w:rsid w:val="2CF4C712"/>
    <w:rsid w:val="2CFDB60F"/>
    <w:rsid w:val="2CFFFC12"/>
    <w:rsid w:val="2D03A0D2"/>
    <w:rsid w:val="2D0D0975"/>
    <w:rsid w:val="2D111D03"/>
    <w:rsid w:val="2D1399EE"/>
    <w:rsid w:val="2D168CFE"/>
    <w:rsid w:val="2D16DD07"/>
    <w:rsid w:val="2D171EF1"/>
    <w:rsid w:val="2D220C79"/>
    <w:rsid w:val="2D22B6A5"/>
    <w:rsid w:val="2D230D9A"/>
    <w:rsid w:val="2D2748A4"/>
    <w:rsid w:val="2D28091F"/>
    <w:rsid w:val="2D280996"/>
    <w:rsid w:val="2D323CB1"/>
    <w:rsid w:val="2D32F08C"/>
    <w:rsid w:val="2D39411E"/>
    <w:rsid w:val="2D3B80B7"/>
    <w:rsid w:val="2D3C3AA6"/>
    <w:rsid w:val="2D3D7078"/>
    <w:rsid w:val="2D439906"/>
    <w:rsid w:val="2D4446BD"/>
    <w:rsid w:val="2D4A7709"/>
    <w:rsid w:val="2D4B889F"/>
    <w:rsid w:val="2D4C3FC0"/>
    <w:rsid w:val="2D4D7160"/>
    <w:rsid w:val="2D5053CD"/>
    <w:rsid w:val="2D52830A"/>
    <w:rsid w:val="2D528D40"/>
    <w:rsid w:val="2D602944"/>
    <w:rsid w:val="2D64B5E0"/>
    <w:rsid w:val="2D65320E"/>
    <w:rsid w:val="2D665783"/>
    <w:rsid w:val="2D6B75C2"/>
    <w:rsid w:val="2D6E5DAE"/>
    <w:rsid w:val="2D6EB471"/>
    <w:rsid w:val="2D7D397F"/>
    <w:rsid w:val="2D7FC7AC"/>
    <w:rsid w:val="2D8168AF"/>
    <w:rsid w:val="2D82BC55"/>
    <w:rsid w:val="2D8449D2"/>
    <w:rsid w:val="2D847B88"/>
    <w:rsid w:val="2D84E06E"/>
    <w:rsid w:val="2D8568F5"/>
    <w:rsid w:val="2D863B31"/>
    <w:rsid w:val="2D9125EB"/>
    <w:rsid w:val="2D97609A"/>
    <w:rsid w:val="2D99253D"/>
    <w:rsid w:val="2DA0BFA5"/>
    <w:rsid w:val="2DA3B44B"/>
    <w:rsid w:val="2DA9A480"/>
    <w:rsid w:val="2DB95889"/>
    <w:rsid w:val="2DBAF169"/>
    <w:rsid w:val="2DBBD307"/>
    <w:rsid w:val="2DBC6E1B"/>
    <w:rsid w:val="2DBE4EB9"/>
    <w:rsid w:val="2DC6A535"/>
    <w:rsid w:val="2DCA01F1"/>
    <w:rsid w:val="2DD03353"/>
    <w:rsid w:val="2DD1984B"/>
    <w:rsid w:val="2DD20E81"/>
    <w:rsid w:val="2DD5ADBF"/>
    <w:rsid w:val="2DD5CF4D"/>
    <w:rsid w:val="2DDA8BF5"/>
    <w:rsid w:val="2DE1C5BC"/>
    <w:rsid w:val="2DE5BBCC"/>
    <w:rsid w:val="2DE6B2BB"/>
    <w:rsid w:val="2DE75A05"/>
    <w:rsid w:val="2DEDFA7F"/>
    <w:rsid w:val="2DF11C5B"/>
    <w:rsid w:val="2DF891A5"/>
    <w:rsid w:val="2DFFA63D"/>
    <w:rsid w:val="2E0947BE"/>
    <w:rsid w:val="2E0DA53D"/>
    <w:rsid w:val="2E109622"/>
    <w:rsid w:val="2E141439"/>
    <w:rsid w:val="2E189E0A"/>
    <w:rsid w:val="2E1B713E"/>
    <w:rsid w:val="2E1BB07E"/>
    <w:rsid w:val="2E1C9E6E"/>
    <w:rsid w:val="2E2058E8"/>
    <w:rsid w:val="2E22E69A"/>
    <w:rsid w:val="2E2A8F7F"/>
    <w:rsid w:val="2E2F69EB"/>
    <w:rsid w:val="2E34AF1F"/>
    <w:rsid w:val="2E3A52EA"/>
    <w:rsid w:val="2E3AF0AA"/>
    <w:rsid w:val="2E3DECD2"/>
    <w:rsid w:val="2E431C46"/>
    <w:rsid w:val="2E466EE1"/>
    <w:rsid w:val="2E49B51A"/>
    <w:rsid w:val="2E4A1F98"/>
    <w:rsid w:val="2E4B6A05"/>
    <w:rsid w:val="2E4CC84F"/>
    <w:rsid w:val="2E4D6DFB"/>
    <w:rsid w:val="2E4F88FF"/>
    <w:rsid w:val="2E55605E"/>
    <w:rsid w:val="2E55CB7F"/>
    <w:rsid w:val="2E59E1D4"/>
    <w:rsid w:val="2E5B6E1A"/>
    <w:rsid w:val="2E5DEC94"/>
    <w:rsid w:val="2E5F7358"/>
    <w:rsid w:val="2E5F8FF2"/>
    <w:rsid w:val="2E60F6B6"/>
    <w:rsid w:val="2E6447CD"/>
    <w:rsid w:val="2E6564BA"/>
    <w:rsid w:val="2E69CCCB"/>
    <w:rsid w:val="2E70C6F6"/>
    <w:rsid w:val="2E76C64E"/>
    <w:rsid w:val="2E79746E"/>
    <w:rsid w:val="2E79ED73"/>
    <w:rsid w:val="2E7AFFE7"/>
    <w:rsid w:val="2E7FA128"/>
    <w:rsid w:val="2E823C87"/>
    <w:rsid w:val="2E826DDF"/>
    <w:rsid w:val="2E82BD8C"/>
    <w:rsid w:val="2E82C065"/>
    <w:rsid w:val="2E832845"/>
    <w:rsid w:val="2E923C99"/>
    <w:rsid w:val="2E931D8B"/>
    <w:rsid w:val="2E9661A0"/>
    <w:rsid w:val="2E96ECE3"/>
    <w:rsid w:val="2E97DE22"/>
    <w:rsid w:val="2E99B9EB"/>
    <w:rsid w:val="2E9B679D"/>
    <w:rsid w:val="2E9BE9B3"/>
    <w:rsid w:val="2E9C3921"/>
    <w:rsid w:val="2E9CE37D"/>
    <w:rsid w:val="2E9D0ED3"/>
    <w:rsid w:val="2EA053E3"/>
    <w:rsid w:val="2EA59F46"/>
    <w:rsid w:val="2EAAD614"/>
    <w:rsid w:val="2EB1FC29"/>
    <w:rsid w:val="2EB7698A"/>
    <w:rsid w:val="2EB959AD"/>
    <w:rsid w:val="2EBF5608"/>
    <w:rsid w:val="2EBF92B9"/>
    <w:rsid w:val="2ED2D4B6"/>
    <w:rsid w:val="2ED3977C"/>
    <w:rsid w:val="2ED91965"/>
    <w:rsid w:val="2EDA8340"/>
    <w:rsid w:val="2EDEFB60"/>
    <w:rsid w:val="2EE74757"/>
    <w:rsid w:val="2EE85BCE"/>
    <w:rsid w:val="2EE9E104"/>
    <w:rsid w:val="2EF4DEC8"/>
    <w:rsid w:val="2EFBC60A"/>
    <w:rsid w:val="2EFC642E"/>
    <w:rsid w:val="2EFD6274"/>
    <w:rsid w:val="2F05E882"/>
    <w:rsid w:val="2F077F82"/>
    <w:rsid w:val="2F0AC7DD"/>
    <w:rsid w:val="2F13B04E"/>
    <w:rsid w:val="2F181436"/>
    <w:rsid w:val="2F1B06AA"/>
    <w:rsid w:val="2F1B4929"/>
    <w:rsid w:val="2F1E29F4"/>
    <w:rsid w:val="2F29EDF4"/>
    <w:rsid w:val="2F2C86E7"/>
    <w:rsid w:val="2F2E08B7"/>
    <w:rsid w:val="2F3ABAFE"/>
    <w:rsid w:val="2F3C94DA"/>
    <w:rsid w:val="2F3F191B"/>
    <w:rsid w:val="2F4300E2"/>
    <w:rsid w:val="2F431F55"/>
    <w:rsid w:val="2F45BE7E"/>
    <w:rsid w:val="2F55C904"/>
    <w:rsid w:val="2F586BEF"/>
    <w:rsid w:val="2F5EAB75"/>
    <w:rsid w:val="2F611C64"/>
    <w:rsid w:val="2F617FB3"/>
    <w:rsid w:val="2F63F67F"/>
    <w:rsid w:val="2F6BD79F"/>
    <w:rsid w:val="2F6C730A"/>
    <w:rsid w:val="2F6C821E"/>
    <w:rsid w:val="2F737D7D"/>
    <w:rsid w:val="2F76367E"/>
    <w:rsid w:val="2F7C9076"/>
    <w:rsid w:val="2F7D823C"/>
    <w:rsid w:val="2F816F8B"/>
    <w:rsid w:val="2F85A07D"/>
    <w:rsid w:val="2F88C6C2"/>
    <w:rsid w:val="2F89D888"/>
    <w:rsid w:val="2F8EE7E8"/>
    <w:rsid w:val="2F91615B"/>
    <w:rsid w:val="2F95B614"/>
    <w:rsid w:val="2F977D86"/>
    <w:rsid w:val="2FA3723C"/>
    <w:rsid w:val="2FA498C7"/>
    <w:rsid w:val="2FA7462E"/>
    <w:rsid w:val="2FB2A8BF"/>
    <w:rsid w:val="2FB71EF9"/>
    <w:rsid w:val="2FBA5034"/>
    <w:rsid w:val="2FBCD4B5"/>
    <w:rsid w:val="2FC277B4"/>
    <w:rsid w:val="2FC47C0C"/>
    <w:rsid w:val="2FC54474"/>
    <w:rsid w:val="2FC7D67D"/>
    <w:rsid w:val="2FCAFBE3"/>
    <w:rsid w:val="2FD3D10A"/>
    <w:rsid w:val="2FDDAFBD"/>
    <w:rsid w:val="2FE4BB12"/>
    <w:rsid w:val="2FE892AD"/>
    <w:rsid w:val="2FF6F02D"/>
    <w:rsid w:val="2FF92CD8"/>
    <w:rsid w:val="2FFBF720"/>
    <w:rsid w:val="2FFD58B7"/>
    <w:rsid w:val="3001B390"/>
    <w:rsid w:val="30032B53"/>
    <w:rsid w:val="3005110B"/>
    <w:rsid w:val="300573C0"/>
    <w:rsid w:val="300AC977"/>
    <w:rsid w:val="3010025C"/>
    <w:rsid w:val="3011ED1F"/>
    <w:rsid w:val="30174AD5"/>
    <w:rsid w:val="30281577"/>
    <w:rsid w:val="302AC736"/>
    <w:rsid w:val="302B12CB"/>
    <w:rsid w:val="30310C22"/>
    <w:rsid w:val="3034F0F1"/>
    <w:rsid w:val="30353ECF"/>
    <w:rsid w:val="303FF523"/>
    <w:rsid w:val="3040363D"/>
    <w:rsid w:val="30403D78"/>
    <w:rsid w:val="3043C107"/>
    <w:rsid w:val="3047CA9B"/>
    <w:rsid w:val="30495E1C"/>
    <w:rsid w:val="304C462E"/>
    <w:rsid w:val="304FF1D6"/>
    <w:rsid w:val="3053BFC0"/>
    <w:rsid w:val="3057A03B"/>
    <w:rsid w:val="3058FCB6"/>
    <w:rsid w:val="305C7B14"/>
    <w:rsid w:val="3061C472"/>
    <w:rsid w:val="3062637D"/>
    <w:rsid w:val="3063E1FE"/>
    <w:rsid w:val="3067553E"/>
    <w:rsid w:val="306D51E4"/>
    <w:rsid w:val="306E8176"/>
    <w:rsid w:val="30712D5E"/>
    <w:rsid w:val="30716F1E"/>
    <w:rsid w:val="30759458"/>
    <w:rsid w:val="3077F02E"/>
    <w:rsid w:val="307F9EAE"/>
    <w:rsid w:val="3080434A"/>
    <w:rsid w:val="3080FC9F"/>
    <w:rsid w:val="308484DE"/>
    <w:rsid w:val="30870463"/>
    <w:rsid w:val="308F3150"/>
    <w:rsid w:val="30913830"/>
    <w:rsid w:val="30924052"/>
    <w:rsid w:val="309632B4"/>
    <w:rsid w:val="309A3B00"/>
    <w:rsid w:val="30A0A435"/>
    <w:rsid w:val="30A170FC"/>
    <w:rsid w:val="30A1A908"/>
    <w:rsid w:val="30A2C339"/>
    <w:rsid w:val="30ABE9F8"/>
    <w:rsid w:val="30B196E8"/>
    <w:rsid w:val="30B43E32"/>
    <w:rsid w:val="30B58BA9"/>
    <w:rsid w:val="30B599FD"/>
    <w:rsid w:val="30B61EA5"/>
    <w:rsid w:val="30B74471"/>
    <w:rsid w:val="30B76C9D"/>
    <w:rsid w:val="30B97CA2"/>
    <w:rsid w:val="30BC2FAE"/>
    <w:rsid w:val="30CE3FD7"/>
    <w:rsid w:val="30D3DFCC"/>
    <w:rsid w:val="30D71D99"/>
    <w:rsid w:val="30D8E436"/>
    <w:rsid w:val="30D96AFA"/>
    <w:rsid w:val="30DA90A9"/>
    <w:rsid w:val="30DB4528"/>
    <w:rsid w:val="30DDB544"/>
    <w:rsid w:val="30DE7278"/>
    <w:rsid w:val="30DF4DFE"/>
    <w:rsid w:val="30E4C2A9"/>
    <w:rsid w:val="30E7B149"/>
    <w:rsid w:val="30EA2F92"/>
    <w:rsid w:val="30EE012B"/>
    <w:rsid w:val="30F384CE"/>
    <w:rsid w:val="30F3AEBF"/>
    <w:rsid w:val="30F68288"/>
    <w:rsid w:val="30F7C8A8"/>
    <w:rsid w:val="30FDDFB9"/>
    <w:rsid w:val="3107D8A6"/>
    <w:rsid w:val="310A009F"/>
    <w:rsid w:val="310D59AE"/>
    <w:rsid w:val="3113666D"/>
    <w:rsid w:val="31157B75"/>
    <w:rsid w:val="311ABB98"/>
    <w:rsid w:val="31237AA0"/>
    <w:rsid w:val="3125A3B7"/>
    <w:rsid w:val="31278AF5"/>
    <w:rsid w:val="312C7C7A"/>
    <w:rsid w:val="312D935D"/>
    <w:rsid w:val="3135DFD1"/>
    <w:rsid w:val="3140CDF0"/>
    <w:rsid w:val="31425743"/>
    <w:rsid w:val="3146C18E"/>
    <w:rsid w:val="314D71D7"/>
    <w:rsid w:val="314E45A2"/>
    <w:rsid w:val="314EA928"/>
    <w:rsid w:val="31543010"/>
    <w:rsid w:val="3160CE66"/>
    <w:rsid w:val="3161CB8D"/>
    <w:rsid w:val="31631C2C"/>
    <w:rsid w:val="3163B5CE"/>
    <w:rsid w:val="316A2F97"/>
    <w:rsid w:val="316F7C64"/>
    <w:rsid w:val="317338C5"/>
    <w:rsid w:val="317A8EEB"/>
    <w:rsid w:val="317DEF2C"/>
    <w:rsid w:val="31803EDE"/>
    <w:rsid w:val="3180882F"/>
    <w:rsid w:val="318150FE"/>
    <w:rsid w:val="31833261"/>
    <w:rsid w:val="3184ACB2"/>
    <w:rsid w:val="318AF2A1"/>
    <w:rsid w:val="318B65F3"/>
    <w:rsid w:val="318E2C77"/>
    <w:rsid w:val="3192C32A"/>
    <w:rsid w:val="31A106F6"/>
    <w:rsid w:val="31A13950"/>
    <w:rsid w:val="31A60E0A"/>
    <w:rsid w:val="31A8A77B"/>
    <w:rsid w:val="31AE356B"/>
    <w:rsid w:val="31AF71B3"/>
    <w:rsid w:val="31B2C740"/>
    <w:rsid w:val="31B52F7D"/>
    <w:rsid w:val="31B6E523"/>
    <w:rsid w:val="31BAF000"/>
    <w:rsid w:val="31BFD3B2"/>
    <w:rsid w:val="31C23ED5"/>
    <w:rsid w:val="31C7E248"/>
    <w:rsid w:val="31C8A342"/>
    <w:rsid w:val="31C8B172"/>
    <w:rsid w:val="31D42796"/>
    <w:rsid w:val="31D9B334"/>
    <w:rsid w:val="31DA04FF"/>
    <w:rsid w:val="31DA91F2"/>
    <w:rsid w:val="31DB3B84"/>
    <w:rsid w:val="31DCE65F"/>
    <w:rsid w:val="31DD1A0E"/>
    <w:rsid w:val="31E1CB5E"/>
    <w:rsid w:val="31EE30BE"/>
    <w:rsid w:val="31F3133D"/>
    <w:rsid w:val="3209A9B8"/>
    <w:rsid w:val="320D9AF4"/>
    <w:rsid w:val="320E2FC4"/>
    <w:rsid w:val="32118CFA"/>
    <w:rsid w:val="32173908"/>
    <w:rsid w:val="321E3746"/>
    <w:rsid w:val="3222F64F"/>
    <w:rsid w:val="3224D7FB"/>
    <w:rsid w:val="3228C5A5"/>
    <w:rsid w:val="322B7AC1"/>
    <w:rsid w:val="32300E3F"/>
    <w:rsid w:val="3231C68F"/>
    <w:rsid w:val="3237E446"/>
    <w:rsid w:val="323F6B4B"/>
    <w:rsid w:val="32402192"/>
    <w:rsid w:val="324332A3"/>
    <w:rsid w:val="324C57F8"/>
    <w:rsid w:val="324E8599"/>
    <w:rsid w:val="324EB49A"/>
    <w:rsid w:val="32504672"/>
    <w:rsid w:val="32535EC4"/>
    <w:rsid w:val="32546F22"/>
    <w:rsid w:val="3257E297"/>
    <w:rsid w:val="32596C63"/>
    <w:rsid w:val="325EF4D3"/>
    <w:rsid w:val="32658684"/>
    <w:rsid w:val="32681800"/>
    <w:rsid w:val="326824EE"/>
    <w:rsid w:val="326CBFB7"/>
    <w:rsid w:val="327502F7"/>
    <w:rsid w:val="3277C439"/>
    <w:rsid w:val="327B5408"/>
    <w:rsid w:val="327F5A2E"/>
    <w:rsid w:val="32828192"/>
    <w:rsid w:val="32849300"/>
    <w:rsid w:val="3286B781"/>
    <w:rsid w:val="3289FDD5"/>
    <w:rsid w:val="328A48A7"/>
    <w:rsid w:val="32972C72"/>
    <w:rsid w:val="3298E9EC"/>
    <w:rsid w:val="3298F909"/>
    <w:rsid w:val="329C7566"/>
    <w:rsid w:val="32A5C136"/>
    <w:rsid w:val="32A61B44"/>
    <w:rsid w:val="32A8D9C6"/>
    <w:rsid w:val="32AB6068"/>
    <w:rsid w:val="32AEB896"/>
    <w:rsid w:val="32B004E6"/>
    <w:rsid w:val="32B5C19F"/>
    <w:rsid w:val="32B7A536"/>
    <w:rsid w:val="32B80ABF"/>
    <w:rsid w:val="32BD7077"/>
    <w:rsid w:val="32C0C93B"/>
    <w:rsid w:val="32C2B24A"/>
    <w:rsid w:val="32CC7F69"/>
    <w:rsid w:val="32CC9C62"/>
    <w:rsid w:val="32CF1A52"/>
    <w:rsid w:val="32D1C02A"/>
    <w:rsid w:val="32D6E38D"/>
    <w:rsid w:val="32D73AC8"/>
    <w:rsid w:val="32D78872"/>
    <w:rsid w:val="32D9FDBF"/>
    <w:rsid w:val="32DC4335"/>
    <w:rsid w:val="32E3BDA8"/>
    <w:rsid w:val="32E61799"/>
    <w:rsid w:val="32EA6F5E"/>
    <w:rsid w:val="32F5DB2A"/>
    <w:rsid w:val="32FB266B"/>
    <w:rsid w:val="32FB5482"/>
    <w:rsid w:val="32FE1DD9"/>
    <w:rsid w:val="3300132D"/>
    <w:rsid w:val="33022B7A"/>
    <w:rsid w:val="3309F513"/>
    <w:rsid w:val="330BC00D"/>
    <w:rsid w:val="3312FDFA"/>
    <w:rsid w:val="331448B1"/>
    <w:rsid w:val="331E2D1E"/>
    <w:rsid w:val="331FD350"/>
    <w:rsid w:val="3326CA7A"/>
    <w:rsid w:val="332B4B8C"/>
    <w:rsid w:val="332B7277"/>
    <w:rsid w:val="332F553A"/>
    <w:rsid w:val="333068E6"/>
    <w:rsid w:val="3337D060"/>
    <w:rsid w:val="333A3B4E"/>
    <w:rsid w:val="333A5BAD"/>
    <w:rsid w:val="333CB993"/>
    <w:rsid w:val="33403E1F"/>
    <w:rsid w:val="3344FC1D"/>
    <w:rsid w:val="334675C9"/>
    <w:rsid w:val="33493554"/>
    <w:rsid w:val="334A94EB"/>
    <w:rsid w:val="334B3DBF"/>
    <w:rsid w:val="3351DA82"/>
    <w:rsid w:val="3353CCD2"/>
    <w:rsid w:val="3357FA96"/>
    <w:rsid w:val="335A5B84"/>
    <w:rsid w:val="3360A338"/>
    <w:rsid w:val="3360E1FB"/>
    <w:rsid w:val="3364AA96"/>
    <w:rsid w:val="3366B380"/>
    <w:rsid w:val="336D40AA"/>
    <w:rsid w:val="3370DA79"/>
    <w:rsid w:val="3373E632"/>
    <w:rsid w:val="3376443D"/>
    <w:rsid w:val="3377A81B"/>
    <w:rsid w:val="337DA969"/>
    <w:rsid w:val="3386780F"/>
    <w:rsid w:val="3389FAD8"/>
    <w:rsid w:val="338BC4CA"/>
    <w:rsid w:val="338E4B30"/>
    <w:rsid w:val="338E691B"/>
    <w:rsid w:val="3390021E"/>
    <w:rsid w:val="339596F9"/>
    <w:rsid w:val="339A4D32"/>
    <w:rsid w:val="33A35AF0"/>
    <w:rsid w:val="33A8D5B0"/>
    <w:rsid w:val="33B44707"/>
    <w:rsid w:val="33BA76B8"/>
    <w:rsid w:val="33BB3BB3"/>
    <w:rsid w:val="33BE0AE4"/>
    <w:rsid w:val="33C0D5F7"/>
    <w:rsid w:val="33C24FEB"/>
    <w:rsid w:val="33C4A698"/>
    <w:rsid w:val="33CC5C7A"/>
    <w:rsid w:val="33CE46C0"/>
    <w:rsid w:val="33D0BA23"/>
    <w:rsid w:val="33D35F86"/>
    <w:rsid w:val="33D495EA"/>
    <w:rsid w:val="33D6C351"/>
    <w:rsid w:val="33D902B1"/>
    <w:rsid w:val="33DA9EA3"/>
    <w:rsid w:val="33DFFDE8"/>
    <w:rsid w:val="33E0BEFD"/>
    <w:rsid w:val="33E636C0"/>
    <w:rsid w:val="33E66E38"/>
    <w:rsid w:val="33E6B590"/>
    <w:rsid w:val="33E726FC"/>
    <w:rsid w:val="33EB028A"/>
    <w:rsid w:val="33EE75CB"/>
    <w:rsid w:val="33F64A35"/>
    <w:rsid w:val="33F73F08"/>
    <w:rsid w:val="33F9EA86"/>
    <w:rsid w:val="33FA8F8F"/>
    <w:rsid w:val="33FC2971"/>
    <w:rsid w:val="33FF49A6"/>
    <w:rsid w:val="340139C5"/>
    <w:rsid w:val="34041A48"/>
    <w:rsid w:val="340A0141"/>
    <w:rsid w:val="340D2D61"/>
    <w:rsid w:val="341C3FA5"/>
    <w:rsid w:val="3422FD9B"/>
    <w:rsid w:val="342733DE"/>
    <w:rsid w:val="342881EF"/>
    <w:rsid w:val="342A310B"/>
    <w:rsid w:val="3431B5D3"/>
    <w:rsid w:val="34321F37"/>
    <w:rsid w:val="343338F7"/>
    <w:rsid w:val="3438952B"/>
    <w:rsid w:val="343C0196"/>
    <w:rsid w:val="344231D9"/>
    <w:rsid w:val="34467E8F"/>
    <w:rsid w:val="3446D66B"/>
    <w:rsid w:val="345284BF"/>
    <w:rsid w:val="345C2147"/>
    <w:rsid w:val="3461B98B"/>
    <w:rsid w:val="3465FC37"/>
    <w:rsid w:val="34698AED"/>
    <w:rsid w:val="346AD22F"/>
    <w:rsid w:val="346AD4A8"/>
    <w:rsid w:val="3470C773"/>
    <w:rsid w:val="3473A370"/>
    <w:rsid w:val="34741B56"/>
    <w:rsid w:val="3474BF3E"/>
    <w:rsid w:val="3479F07A"/>
    <w:rsid w:val="347AA748"/>
    <w:rsid w:val="347D4000"/>
    <w:rsid w:val="347E345C"/>
    <w:rsid w:val="347EC4A8"/>
    <w:rsid w:val="34813BD3"/>
    <w:rsid w:val="3481A0CC"/>
    <w:rsid w:val="348209F6"/>
    <w:rsid w:val="3482DA78"/>
    <w:rsid w:val="348ACA44"/>
    <w:rsid w:val="348BE013"/>
    <w:rsid w:val="349374F0"/>
    <w:rsid w:val="349944C4"/>
    <w:rsid w:val="349A0991"/>
    <w:rsid w:val="349B1763"/>
    <w:rsid w:val="34A11E51"/>
    <w:rsid w:val="34A573BC"/>
    <w:rsid w:val="34A7B72C"/>
    <w:rsid w:val="34A9B15B"/>
    <w:rsid w:val="34AAC7EB"/>
    <w:rsid w:val="34B157CA"/>
    <w:rsid w:val="34B31175"/>
    <w:rsid w:val="34B64A0C"/>
    <w:rsid w:val="34C98479"/>
    <w:rsid w:val="34CBA0C2"/>
    <w:rsid w:val="34CFAB57"/>
    <w:rsid w:val="34D6653E"/>
    <w:rsid w:val="34D8473E"/>
    <w:rsid w:val="34DCB17D"/>
    <w:rsid w:val="34DDD896"/>
    <w:rsid w:val="34E3DA18"/>
    <w:rsid w:val="34E40FE0"/>
    <w:rsid w:val="34E59363"/>
    <w:rsid w:val="34E75571"/>
    <w:rsid w:val="34E7D366"/>
    <w:rsid w:val="34F09945"/>
    <w:rsid w:val="34F7DB44"/>
    <w:rsid w:val="34FDDA54"/>
    <w:rsid w:val="34FF0909"/>
    <w:rsid w:val="34FFA669"/>
    <w:rsid w:val="3502BF44"/>
    <w:rsid w:val="35035378"/>
    <w:rsid w:val="3505D801"/>
    <w:rsid w:val="3507ADD1"/>
    <w:rsid w:val="350AB00D"/>
    <w:rsid w:val="350C2E55"/>
    <w:rsid w:val="350EA803"/>
    <w:rsid w:val="35163821"/>
    <w:rsid w:val="351C6307"/>
    <w:rsid w:val="3526DB58"/>
    <w:rsid w:val="352ED265"/>
    <w:rsid w:val="353A374A"/>
    <w:rsid w:val="353B3971"/>
    <w:rsid w:val="353E9051"/>
    <w:rsid w:val="353F8DD4"/>
    <w:rsid w:val="3548E3D6"/>
    <w:rsid w:val="354CC75C"/>
    <w:rsid w:val="354D2FDD"/>
    <w:rsid w:val="35565876"/>
    <w:rsid w:val="35593D09"/>
    <w:rsid w:val="355AD2E6"/>
    <w:rsid w:val="355C3063"/>
    <w:rsid w:val="355E856A"/>
    <w:rsid w:val="355FA9E4"/>
    <w:rsid w:val="3560D58E"/>
    <w:rsid w:val="35657D47"/>
    <w:rsid w:val="3567AA0A"/>
    <w:rsid w:val="3568F8F4"/>
    <w:rsid w:val="3569DBC2"/>
    <w:rsid w:val="356ED801"/>
    <w:rsid w:val="3570196A"/>
    <w:rsid w:val="3570B769"/>
    <w:rsid w:val="357620E3"/>
    <w:rsid w:val="35792E15"/>
    <w:rsid w:val="35819863"/>
    <w:rsid w:val="35853E49"/>
    <w:rsid w:val="358C541D"/>
    <w:rsid w:val="358D930C"/>
    <w:rsid w:val="358F837E"/>
    <w:rsid w:val="3590887E"/>
    <w:rsid w:val="359124C9"/>
    <w:rsid w:val="3595042C"/>
    <w:rsid w:val="35958327"/>
    <w:rsid w:val="35966D68"/>
    <w:rsid w:val="3599ABA6"/>
    <w:rsid w:val="359A77B7"/>
    <w:rsid w:val="359CEA7B"/>
    <w:rsid w:val="35A3EDCA"/>
    <w:rsid w:val="35A5B9BD"/>
    <w:rsid w:val="35A5D144"/>
    <w:rsid w:val="35AA02AC"/>
    <w:rsid w:val="35AF11B3"/>
    <w:rsid w:val="35B03416"/>
    <w:rsid w:val="35B6927C"/>
    <w:rsid w:val="35B69958"/>
    <w:rsid w:val="35B77BDC"/>
    <w:rsid w:val="35BEC90D"/>
    <w:rsid w:val="35C04D25"/>
    <w:rsid w:val="35C599B5"/>
    <w:rsid w:val="35C93E98"/>
    <w:rsid w:val="35CD9001"/>
    <w:rsid w:val="35D237A2"/>
    <w:rsid w:val="35D2AD25"/>
    <w:rsid w:val="35D4591C"/>
    <w:rsid w:val="35DA19D9"/>
    <w:rsid w:val="35DC3865"/>
    <w:rsid w:val="35E426B8"/>
    <w:rsid w:val="35E46163"/>
    <w:rsid w:val="35E54C84"/>
    <w:rsid w:val="35E6E534"/>
    <w:rsid w:val="35E8BAAB"/>
    <w:rsid w:val="35EEA5BD"/>
    <w:rsid w:val="35F0826F"/>
    <w:rsid w:val="35F11EB8"/>
    <w:rsid w:val="35F19214"/>
    <w:rsid w:val="35F1CCD9"/>
    <w:rsid w:val="35F1FDF2"/>
    <w:rsid w:val="3602DA74"/>
    <w:rsid w:val="3603EC6F"/>
    <w:rsid w:val="36115EF8"/>
    <w:rsid w:val="3613A954"/>
    <w:rsid w:val="36142DBE"/>
    <w:rsid w:val="3615EC23"/>
    <w:rsid w:val="361826E9"/>
    <w:rsid w:val="361A931B"/>
    <w:rsid w:val="361B0B99"/>
    <w:rsid w:val="361FAB23"/>
    <w:rsid w:val="36243700"/>
    <w:rsid w:val="36255126"/>
    <w:rsid w:val="362A43F2"/>
    <w:rsid w:val="362B9F59"/>
    <w:rsid w:val="362FCD27"/>
    <w:rsid w:val="36353CE4"/>
    <w:rsid w:val="3635D700"/>
    <w:rsid w:val="3639D64E"/>
    <w:rsid w:val="36417F45"/>
    <w:rsid w:val="3641E9E9"/>
    <w:rsid w:val="3648A90E"/>
    <w:rsid w:val="3648DE79"/>
    <w:rsid w:val="36490FEE"/>
    <w:rsid w:val="364F835B"/>
    <w:rsid w:val="365429DE"/>
    <w:rsid w:val="3654FA5B"/>
    <w:rsid w:val="36569A2B"/>
    <w:rsid w:val="3658E47B"/>
    <w:rsid w:val="365A8538"/>
    <w:rsid w:val="36691AB7"/>
    <w:rsid w:val="366DD0DE"/>
    <w:rsid w:val="366EE709"/>
    <w:rsid w:val="367459B6"/>
    <w:rsid w:val="3674DC25"/>
    <w:rsid w:val="367D1B43"/>
    <w:rsid w:val="36859AAB"/>
    <w:rsid w:val="36879D74"/>
    <w:rsid w:val="3687CA38"/>
    <w:rsid w:val="36883900"/>
    <w:rsid w:val="36889788"/>
    <w:rsid w:val="368B94AF"/>
    <w:rsid w:val="3696DA84"/>
    <w:rsid w:val="369932F7"/>
    <w:rsid w:val="369A00A7"/>
    <w:rsid w:val="369C2F82"/>
    <w:rsid w:val="369F1BF2"/>
    <w:rsid w:val="369FC9AC"/>
    <w:rsid w:val="36A69E14"/>
    <w:rsid w:val="36AA2BB8"/>
    <w:rsid w:val="36AB5EC9"/>
    <w:rsid w:val="36B0A039"/>
    <w:rsid w:val="36B12F09"/>
    <w:rsid w:val="36B3D26C"/>
    <w:rsid w:val="36BC5E61"/>
    <w:rsid w:val="36BCCB50"/>
    <w:rsid w:val="36C3367E"/>
    <w:rsid w:val="36C48CFD"/>
    <w:rsid w:val="36C8BD32"/>
    <w:rsid w:val="36D7115D"/>
    <w:rsid w:val="36D73DC9"/>
    <w:rsid w:val="36DCB1C4"/>
    <w:rsid w:val="36DD2C08"/>
    <w:rsid w:val="36E2325D"/>
    <w:rsid w:val="36E2DD83"/>
    <w:rsid w:val="36E4AFFD"/>
    <w:rsid w:val="36E97A4B"/>
    <w:rsid w:val="36EE4465"/>
    <w:rsid w:val="36F1640B"/>
    <w:rsid w:val="36F2CADD"/>
    <w:rsid w:val="36F8D524"/>
    <w:rsid w:val="36FB6A70"/>
    <w:rsid w:val="370376EE"/>
    <w:rsid w:val="37082B2A"/>
    <w:rsid w:val="3709F813"/>
    <w:rsid w:val="37103B37"/>
    <w:rsid w:val="37164791"/>
    <w:rsid w:val="3720E15F"/>
    <w:rsid w:val="372349B3"/>
    <w:rsid w:val="372484CA"/>
    <w:rsid w:val="3724BAAD"/>
    <w:rsid w:val="37263AF6"/>
    <w:rsid w:val="372642CA"/>
    <w:rsid w:val="3726955E"/>
    <w:rsid w:val="3729D3AA"/>
    <w:rsid w:val="372B363C"/>
    <w:rsid w:val="373BAA29"/>
    <w:rsid w:val="373EBFC1"/>
    <w:rsid w:val="374114BB"/>
    <w:rsid w:val="374276F7"/>
    <w:rsid w:val="37435383"/>
    <w:rsid w:val="3745D67F"/>
    <w:rsid w:val="374B057E"/>
    <w:rsid w:val="374B5778"/>
    <w:rsid w:val="37508058"/>
    <w:rsid w:val="37529942"/>
    <w:rsid w:val="3754FCAC"/>
    <w:rsid w:val="375B959A"/>
    <w:rsid w:val="375F9850"/>
    <w:rsid w:val="37606B70"/>
    <w:rsid w:val="3760CAC2"/>
    <w:rsid w:val="37633CBC"/>
    <w:rsid w:val="376CAAE0"/>
    <w:rsid w:val="376E451C"/>
    <w:rsid w:val="377620BA"/>
    <w:rsid w:val="378750C3"/>
    <w:rsid w:val="37891EEB"/>
    <w:rsid w:val="378A01B9"/>
    <w:rsid w:val="378CAA3F"/>
    <w:rsid w:val="379E794D"/>
    <w:rsid w:val="379FD156"/>
    <w:rsid w:val="37A92EE1"/>
    <w:rsid w:val="37ADE2D8"/>
    <w:rsid w:val="37B1FE6B"/>
    <w:rsid w:val="37B516C8"/>
    <w:rsid w:val="37BA7F03"/>
    <w:rsid w:val="37C89162"/>
    <w:rsid w:val="37CAB5CB"/>
    <w:rsid w:val="37CBE585"/>
    <w:rsid w:val="37D5A175"/>
    <w:rsid w:val="37D63C65"/>
    <w:rsid w:val="37D90C46"/>
    <w:rsid w:val="37D98C77"/>
    <w:rsid w:val="37DA6A0A"/>
    <w:rsid w:val="37DCE772"/>
    <w:rsid w:val="37DCE860"/>
    <w:rsid w:val="37E13505"/>
    <w:rsid w:val="37F04D9A"/>
    <w:rsid w:val="37F5D10C"/>
    <w:rsid w:val="37F7C200"/>
    <w:rsid w:val="37FAF78D"/>
    <w:rsid w:val="37FD5D5F"/>
    <w:rsid w:val="3801B75D"/>
    <w:rsid w:val="380604FF"/>
    <w:rsid w:val="38089620"/>
    <w:rsid w:val="380FEBD6"/>
    <w:rsid w:val="381466A1"/>
    <w:rsid w:val="381767C6"/>
    <w:rsid w:val="3819DA12"/>
    <w:rsid w:val="381A533A"/>
    <w:rsid w:val="381D27B3"/>
    <w:rsid w:val="381D3918"/>
    <w:rsid w:val="38246CA2"/>
    <w:rsid w:val="3824A6A6"/>
    <w:rsid w:val="3825AFF5"/>
    <w:rsid w:val="382E8422"/>
    <w:rsid w:val="382EBA65"/>
    <w:rsid w:val="3831ECD6"/>
    <w:rsid w:val="38320051"/>
    <w:rsid w:val="383B0F4F"/>
    <w:rsid w:val="383EFA7B"/>
    <w:rsid w:val="38414F2D"/>
    <w:rsid w:val="3841D1FB"/>
    <w:rsid w:val="384318D4"/>
    <w:rsid w:val="3844A55E"/>
    <w:rsid w:val="38456F21"/>
    <w:rsid w:val="38499D03"/>
    <w:rsid w:val="384BE7E0"/>
    <w:rsid w:val="3852AF55"/>
    <w:rsid w:val="3855632E"/>
    <w:rsid w:val="3855716A"/>
    <w:rsid w:val="385731B5"/>
    <w:rsid w:val="385A5AFC"/>
    <w:rsid w:val="385A5E01"/>
    <w:rsid w:val="385A68A0"/>
    <w:rsid w:val="385DF4AA"/>
    <w:rsid w:val="385FA182"/>
    <w:rsid w:val="38608C2D"/>
    <w:rsid w:val="386171BE"/>
    <w:rsid w:val="3864DE74"/>
    <w:rsid w:val="3867A268"/>
    <w:rsid w:val="3868429B"/>
    <w:rsid w:val="3873CAE9"/>
    <w:rsid w:val="38742BA8"/>
    <w:rsid w:val="3877663B"/>
    <w:rsid w:val="38777C29"/>
    <w:rsid w:val="3878D83C"/>
    <w:rsid w:val="387B8A9E"/>
    <w:rsid w:val="3880E065"/>
    <w:rsid w:val="38848AB5"/>
    <w:rsid w:val="3884EAAB"/>
    <w:rsid w:val="3888F08B"/>
    <w:rsid w:val="388E43CB"/>
    <w:rsid w:val="38937F88"/>
    <w:rsid w:val="3893A409"/>
    <w:rsid w:val="3893E59C"/>
    <w:rsid w:val="389610BB"/>
    <w:rsid w:val="38980C96"/>
    <w:rsid w:val="389F48A4"/>
    <w:rsid w:val="38A3CCC0"/>
    <w:rsid w:val="38A8F1BA"/>
    <w:rsid w:val="38A9EDB9"/>
    <w:rsid w:val="38ACCCF3"/>
    <w:rsid w:val="38B5A71C"/>
    <w:rsid w:val="38B90358"/>
    <w:rsid w:val="38C3D5B9"/>
    <w:rsid w:val="38CA3690"/>
    <w:rsid w:val="38D06C8D"/>
    <w:rsid w:val="38DC5F3F"/>
    <w:rsid w:val="38E12371"/>
    <w:rsid w:val="38E5DA3C"/>
    <w:rsid w:val="38E969A5"/>
    <w:rsid w:val="38F02C3B"/>
    <w:rsid w:val="38F90619"/>
    <w:rsid w:val="38FAF867"/>
    <w:rsid w:val="39025985"/>
    <w:rsid w:val="3906599F"/>
    <w:rsid w:val="3907207E"/>
    <w:rsid w:val="3916367C"/>
    <w:rsid w:val="3918B5A9"/>
    <w:rsid w:val="39195FAD"/>
    <w:rsid w:val="391A6B1E"/>
    <w:rsid w:val="391B76C2"/>
    <w:rsid w:val="3921137B"/>
    <w:rsid w:val="3921BC5A"/>
    <w:rsid w:val="392A15AF"/>
    <w:rsid w:val="392BE462"/>
    <w:rsid w:val="392FEFF0"/>
    <w:rsid w:val="39319F5D"/>
    <w:rsid w:val="39325E5C"/>
    <w:rsid w:val="39341B79"/>
    <w:rsid w:val="3937BB64"/>
    <w:rsid w:val="39460F0C"/>
    <w:rsid w:val="394A0F85"/>
    <w:rsid w:val="394BC787"/>
    <w:rsid w:val="394EB596"/>
    <w:rsid w:val="3951094D"/>
    <w:rsid w:val="395A37B3"/>
    <w:rsid w:val="395B9EEC"/>
    <w:rsid w:val="395D10D3"/>
    <w:rsid w:val="395E313A"/>
    <w:rsid w:val="39633102"/>
    <w:rsid w:val="396A3997"/>
    <w:rsid w:val="396B4163"/>
    <w:rsid w:val="39742446"/>
    <w:rsid w:val="39792510"/>
    <w:rsid w:val="397B1875"/>
    <w:rsid w:val="397EC566"/>
    <w:rsid w:val="397EC9AD"/>
    <w:rsid w:val="398DDBCA"/>
    <w:rsid w:val="398E464F"/>
    <w:rsid w:val="398E4C1C"/>
    <w:rsid w:val="398F3F6D"/>
    <w:rsid w:val="39978A56"/>
    <w:rsid w:val="39A6D51D"/>
    <w:rsid w:val="39B7EC2B"/>
    <w:rsid w:val="39B9FB98"/>
    <w:rsid w:val="39BA0CBE"/>
    <w:rsid w:val="39BA858B"/>
    <w:rsid w:val="39C7813E"/>
    <w:rsid w:val="39C8AC7E"/>
    <w:rsid w:val="39C945C9"/>
    <w:rsid w:val="39D1DA5B"/>
    <w:rsid w:val="39D6734B"/>
    <w:rsid w:val="39D76B4B"/>
    <w:rsid w:val="39D8C8AF"/>
    <w:rsid w:val="39DA8B19"/>
    <w:rsid w:val="39E1D7EF"/>
    <w:rsid w:val="39E35788"/>
    <w:rsid w:val="39E3A555"/>
    <w:rsid w:val="39E6ACDC"/>
    <w:rsid w:val="39EA002A"/>
    <w:rsid w:val="39EB471D"/>
    <w:rsid w:val="39F2B7A0"/>
    <w:rsid w:val="39F52616"/>
    <w:rsid w:val="39F6EE2C"/>
    <w:rsid w:val="39F9F431"/>
    <w:rsid w:val="39FE6313"/>
    <w:rsid w:val="3A05E17F"/>
    <w:rsid w:val="3A083799"/>
    <w:rsid w:val="3A0896FE"/>
    <w:rsid w:val="3A09C74E"/>
    <w:rsid w:val="3A0A01C4"/>
    <w:rsid w:val="3A0A72A1"/>
    <w:rsid w:val="3A0D4C30"/>
    <w:rsid w:val="3A1100DF"/>
    <w:rsid w:val="3A112EEF"/>
    <w:rsid w:val="3A120C65"/>
    <w:rsid w:val="3A172E8E"/>
    <w:rsid w:val="3A1B82CD"/>
    <w:rsid w:val="3A1BE1E3"/>
    <w:rsid w:val="3A1E73D2"/>
    <w:rsid w:val="3A223F49"/>
    <w:rsid w:val="3A251902"/>
    <w:rsid w:val="3A261D3A"/>
    <w:rsid w:val="3A32F414"/>
    <w:rsid w:val="3A34847C"/>
    <w:rsid w:val="3A371255"/>
    <w:rsid w:val="3A3C0531"/>
    <w:rsid w:val="3A3C378F"/>
    <w:rsid w:val="3A3D1FE5"/>
    <w:rsid w:val="3A4358E9"/>
    <w:rsid w:val="3A445596"/>
    <w:rsid w:val="3A4B72B5"/>
    <w:rsid w:val="3A4F55C6"/>
    <w:rsid w:val="3A51FAB9"/>
    <w:rsid w:val="3A54BF37"/>
    <w:rsid w:val="3A55C325"/>
    <w:rsid w:val="3A569298"/>
    <w:rsid w:val="3A5C26BF"/>
    <w:rsid w:val="3A5C765E"/>
    <w:rsid w:val="3A5F1F37"/>
    <w:rsid w:val="3A6BD70F"/>
    <w:rsid w:val="3A6DA735"/>
    <w:rsid w:val="3A6F3408"/>
    <w:rsid w:val="3A7BCC0F"/>
    <w:rsid w:val="3A7E058E"/>
    <w:rsid w:val="3A83C6F1"/>
    <w:rsid w:val="3A857CC6"/>
    <w:rsid w:val="3A883B5A"/>
    <w:rsid w:val="3A8DD262"/>
    <w:rsid w:val="3A8DE66F"/>
    <w:rsid w:val="3A9117F8"/>
    <w:rsid w:val="3A9510AE"/>
    <w:rsid w:val="3A9B3DB4"/>
    <w:rsid w:val="3A9B51AE"/>
    <w:rsid w:val="3A9CE940"/>
    <w:rsid w:val="3A9E4BF0"/>
    <w:rsid w:val="3A9FAC5C"/>
    <w:rsid w:val="3AA38C76"/>
    <w:rsid w:val="3AACA188"/>
    <w:rsid w:val="3AB00285"/>
    <w:rsid w:val="3AB244F5"/>
    <w:rsid w:val="3AB2703A"/>
    <w:rsid w:val="3AB2E4FE"/>
    <w:rsid w:val="3AB4EA29"/>
    <w:rsid w:val="3ABFDEC6"/>
    <w:rsid w:val="3AC48349"/>
    <w:rsid w:val="3AC6207A"/>
    <w:rsid w:val="3ACD9E3C"/>
    <w:rsid w:val="3AD34868"/>
    <w:rsid w:val="3AD9B91A"/>
    <w:rsid w:val="3ADBBF37"/>
    <w:rsid w:val="3ADE31FE"/>
    <w:rsid w:val="3AE14014"/>
    <w:rsid w:val="3AF068E2"/>
    <w:rsid w:val="3AFA50A7"/>
    <w:rsid w:val="3B0240FD"/>
    <w:rsid w:val="3B044F3B"/>
    <w:rsid w:val="3B05DEE9"/>
    <w:rsid w:val="3B06CB76"/>
    <w:rsid w:val="3B072434"/>
    <w:rsid w:val="3B0B3467"/>
    <w:rsid w:val="3B0D4BDE"/>
    <w:rsid w:val="3B10CD07"/>
    <w:rsid w:val="3B16143A"/>
    <w:rsid w:val="3B1928B1"/>
    <w:rsid w:val="3B233861"/>
    <w:rsid w:val="3B27742D"/>
    <w:rsid w:val="3B2FF312"/>
    <w:rsid w:val="3B34F147"/>
    <w:rsid w:val="3B3785AE"/>
    <w:rsid w:val="3B3876A5"/>
    <w:rsid w:val="3B3A6CEF"/>
    <w:rsid w:val="3B3C4A95"/>
    <w:rsid w:val="3B3E7D6C"/>
    <w:rsid w:val="3B3E8B0C"/>
    <w:rsid w:val="3B40FFA8"/>
    <w:rsid w:val="3B41A8BE"/>
    <w:rsid w:val="3B428BBA"/>
    <w:rsid w:val="3B457F34"/>
    <w:rsid w:val="3B46006B"/>
    <w:rsid w:val="3B4892F5"/>
    <w:rsid w:val="3B4BD48F"/>
    <w:rsid w:val="3B51355E"/>
    <w:rsid w:val="3B581861"/>
    <w:rsid w:val="3B601BB5"/>
    <w:rsid w:val="3B6148F3"/>
    <w:rsid w:val="3B61735C"/>
    <w:rsid w:val="3B687BB2"/>
    <w:rsid w:val="3B6C4F32"/>
    <w:rsid w:val="3B6CCECD"/>
    <w:rsid w:val="3B6F3261"/>
    <w:rsid w:val="3B752907"/>
    <w:rsid w:val="3B754366"/>
    <w:rsid w:val="3B759746"/>
    <w:rsid w:val="3B7A5115"/>
    <w:rsid w:val="3B7F628F"/>
    <w:rsid w:val="3B80F7D1"/>
    <w:rsid w:val="3B88C601"/>
    <w:rsid w:val="3B8F6996"/>
    <w:rsid w:val="3B97BF67"/>
    <w:rsid w:val="3B9A7E63"/>
    <w:rsid w:val="3B9DF19A"/>
    <w:rsid w:val="3BA15C4A"/>
    <w:rsid w:val="3BA2340A"/>
    <w:rsid w:val="3BA5D104"/>
    <w:rsid w:val="3BA73AE5"/>
    <w:rsid w:val="3BAE1CCE"/>
    <w:rsid w:val="3BB3F40F"/>
    <w:rsid w:val="3BB6E5DC"/>
    <w:rsid w:val="3BBAA6CC"/>
    <w:rsid w:val="3BBD1070"/>
    <w:rsid w:val="3BC39AD9"/>
    <w:rsid w:val="3BC6A4FD"/>
    <w:rsid w:val="3BC70142"/>
    <w:rsid w:val="3BCEED82"/>
    <w:rsid w:val="3BD231D5"/>
    <w:rsid w:val="3BD2A5AA"/>
    <w:rsid w:val="3BD5A6A7"/>
    <w:rsid w:val="3BDF0C08"/>
    <w:rsid w:val="3BE113E9"/>
    <w:rsid w:val="3BE2EE59"/>
    <w:rsid w:val="3BE69740"/>
    <w:rsid w:val="3BEA940E"/>
    <w:rsid w:val="3BEBD20D"/>
    <w:rsid w:val="3BEE6AE2"/>
    <w:rsid w:val="3BEFE058"/>
    <w:rsid w:val="3BF737B8"/>
    <w:rsid w:val="3BFA5408"/>
    <w:rsid w:val="3BFA6EDA"/>
    <w:rsid w:val="3BFD1CA9"/>
    <w:rsid w:val="3BFE5BD9"/>
    <w:rsid w:val="3C032414"/>
    <w:rsid w:val="3C040C1F"/>
    <w:rsid w:val="3C0429B4"/>
    <w:rsid w:val="3C0544F5"/>
    <w:rsid w:val="3C077D82"/>
    <w:rsid w:val="3C08F1E0"/>
    <w:rsid w:val="3C090F9C"/>
    <w:rsid w:val="3C0A4AB3"/>
    <w:rsid w:val="3C1B4BFF"/>
    <w:rsid w:val="3C1BFEB4"/>
    <w:rsid w:val="3C1DDC27"/>
    <w:rsid w:val="3C1EEADE"/>
    <w:rsid w:val="3C1FC648"/>
    <w:rsid w:val="3C215E1B"/>
    <w:rsid w:val="3C2344DA"/>
    <w:rsid w:val="3C25759A"/>
    <w:rsid w:val="3C29E517"/>
    <w:rsid w:val="3C2DF5E4"/>
    <w:rsid w:val="3C2FA348"/>
    <w:rsid w:val="3C3361DE"/>
    <w:rsid w:val="3C38DDAD"/>
    <w:rsid w:val="3C3B728A"/>
    <w:rsid w:val="3C3E8C64"/>
    <w:rsid w:val="3C418959"/>
    <w:rsid w:val="3C4A56BC"/>
    <w:rsid w:val="3C4E7A70"/>
    <w:rsid w:val="3C4FE739"/>
    <w:rsid w:val="3C5A3436"/>
    <w:rsid w:val="3C614C6C"/>
    <w:rsid w:val="3C7072D1"/>
    <w:rsid w:val="3C7734CA"/>
    <w:rsid w:val="3C79107F"/>
    <w:rsid w:val="3C7A889A"/>
    <w:rsid w:val="3C8AB01B"/>
    <w:rsid w:val="3C8F7025"/>
    <w:rsid w:val="3C907532"/>
    <w:rsid w:val="3C9531E4"/>
    <w:rsid w:val="3C95DE96"/>
    <w:rsid w:val="3C9A3AAB"/>
    <w:rsid w:val="3C9F961B"/>
    <w:rsid w:val="3C9FB511"/>
    <w:rsid w:val="3C9FFF22"/>
    <w:rsid w:val="3CA18747"/>
    <w:rsid w:val="3CA5E51F"/>
    <w:rsid w:val="3CA78D48"/>
    <w:rsid w:val="3CA85F96"/>
    <w:rsid w:val="3CA8AB28"/>
    <w:rsid w:val="3CA9A010"/>
    <w:rsid w:val="3CAB2FA8"/>
    <w:rsid w:val="3CB0EBD0"/>
    <w:rsid w:val="3CBB3CF0"/>
    <w:rsid w:val="3CC6BEFD"/>
    <w:rsid w:val="3CD075A6"/>
    <w:rsid w:val="3CD35D01"/>
    <w:rsid w:val="3CDBEDCC"/>
    <w:rsid w:val="3CEA2E9C"/>
    <w:rsid w:val="3CEA56DC"/>
    <w:rsid w:val="3CEB2381"/>
    <w:rsid w:val="3CEE0332"/>
    <w:rsid w:val="3CF5DB72"/>
    <w:rsid w:val="3CF5EAB3"/>
    <w:rsid w:val="3CF88B79"/>
    <w:rsid w:val="3CF9D282"/>
    <w:rsid w:val="3CFB3FE1"/>
    <w:rsid w:val="3CFD8D22"/>
    <w:rsid w:val="3D0256C5"/>
    <w:rsid w:val="3D08D6EB"/>
    <w:rsid w:val="3D0D6F00"/>
    <w:rsid w:val="3D13B36B"/>
    <w:rsid w:val="3D2D67D4"/>
    <w:rsid w:val="3D323F10"/>
    <w:rsid w:val="3D3D6A98"/>
    <w:rsid w:val="3D3F77BA"/>
    <w:rsid w:val="3D404A3C"/>
    <w:rsid w:val="3D42B178"/>
    <w:rsid w:val="3D446253"/>
    <w:rsid w:val="3D45B25B"/>
    <w:rsid w:val="3D4B7047"/>
    <w:rsid w:val="3D4E3A9A"/>
    <w:rsid w:val="3D538340"/>
    <w:rsid w:val="3D5499FF"/>
    <w:rsid w:val="3D550F8B"/>
    <w:rsid w:val="3D55B6FF"/>
    <w:rsid w:val="3D57418A"/>
    <w:rsid w:val="3D57E3FA"/>
    <w:rsid w:val="3D5CE09B"/>
    <w:rsid w:val="3D607F6F"/>
    <w:rsid w:val="3D66EE1C"/>
    <w:rsid w:val="3D676AE3"/>
    <w:rsid w:val="3D698870"/>
    <w:rsid w:val="3D7411DA"/>
    <w:rsid w:val="3D77F4DF"/>
    <w:rsid w:val="3D788BFD"/>
    <w:rsid w:val="3D7E327C"/>
    <w:rsid w:val="3D7F1984"/>
    <w:rsid w:val="3D7FE356"/>
    <w:rsid w:val="3D87ED80"/>
    <w:rsid w:val="3D8B0C3E"/>
    <w:rsid w:val="3D8B8E04"/>
    <w:rsid w:val="3D8EE997"/>
    <w:rsid w:val="3D90DF5C"/>
    <w:rsid w:val="3D94C0C7"/>
    <w:rsid w:val="3D974A01"/>
    <w:rsid w:val="3D97F6B4"/>
    <w:rsid w:val="3D9A85BB"/>
    <w:rsid w:val="3D9AA37B"/>
    <w:rsid w:val="3D9AB35D"/>
    <w:rsid w:val="3DA5DAAB"/>
    <w:rsid w:val="3DABE1D6"/>
    <w:rsid w:val="3DB76035"/>
    <w:rsid w:val="3DBB8591"/>
    <w:rsid w:val="3DBC77EC"/>
    <w:rsid w:val="3DBDAE80"/>
    <w:rsid w:val="3DBF0DAC"/>
    <w:rsid w:val="3DC461AE"/>
    <w:rsid w:val="3DCDD8B7"/>
    <w:rsid w:val="3DCEE54C"/>
    <w:rsid w:val="3DD47665"/>
    <w:rsid w:val="3DD6E053"/>
    <w:rsid w:val="3DD9F321"/>
    <w:rsid w:val="3DDC787C"/>
    <w:rsid w:val="3DE06D66"/>
    <w:rsid w:val="3DE25BE3"/>
    <w:rsid w:val="3DE625B0"/>
    <w:rsid w:val="3DE68508"/>
    <w:rsid w:val="3DEEDB5B"/>
    <w:rsid w:val="3DFB44B8"/>
    <w:rsid w:val="3DFF08D2"/>
    <w:rsid w:val="3E0107D0"/>
    <w:rsid w:val="3E04493E"/>
    <w:rsid w:val="3E061649"/>
    <w:rsid w:val="3E06B1C4"/>
    <w:rsid w:val="3E0753AD"/>
    <w:rsid w:val="3E0A6467"/>
    <w:rsid w:val="3E135AE9"/>
    <w:rsid w:val="3E13F952"/>
    <w:rsid w:val="3E15C22E"/>
    <w:rsid w:val="3E187AC4"/>
    <w:rsid w:val="3E1924EA"/>
    <w:rsid w:val="3E1A652A"/>
    <w:rsid w:val="3E20B517"/>
    <w:rsid w:val="3E20F41D"/>
    <w:rsid w:val="3E23CCF9"/>
    <w:rsid w:val="3E24D480"/>
    <w:rsid w:val="3E267C73"/>
    <w:rsid w:val="3E2B9D29"/>
    <w:rsid w:val="3E2DC47D"/>
    <w:rsid w:val="3E2F8582"/>
    <w:rsid w:val="3E324C76"/>
    <w:rsid w:val="3E3379A6"/>
    <w:rsid w:val="3E362468"/>
    <w:rsid w:val="3E38FB0C"/>
    <w:rsid w:val="3E3A144D"/>
    <w:rsid w:val="3E40E233"/>
    <w:rsid w:val="3E452039"/>
    <w:rsid w:val="3E46319A"/>
    <w:rsid w:val="3E482406"/>
    <w:rsid w:val="3E494AEF"/>
    <w:rsid w:val="3E4BBAFF"/>
    <w:rsid w:val="3E4EE9E6"/>
    <w:rsid w:val="3E4FDB6B"/>
    <w:rsid w:val="3E501FCF"/>
    <w:rsid w:val="3E5241B4"/>
    <w:rsid w:val="3E578D4E"/>
    <w:rsid w:val="3E60A79E"/>
    <w:rsid w:val="3E640193"/>
    <w:rsid w:val="3E6B0EF7"/>
    <w:rsid w:val="3E6CF607"/>
    <w:rsid w:val="3E72C70E"/>
    <w:rsid w:val="3E772B1F"/>
    <w:rsid w:val="3E774FD8"/>
    <w:rsid w:val="3E7A2C95"/>
    <w:rsid w:val="3E7F67AF"/>
    <w:rsid w:val="3E8592CB"/>
    <w:rsid w:val="3E8BED20"/>
    <w:rsid w:val="3E8C2ED6"/>
    <w:rsid w:val="3E8CE016"/>
    <w:rsid w:val="3E8E4357"/>
    <w:rsid w:val="3E9026AC"/>
    <w:rsid w:val="3E911FFE"/>
    <w:rsid w:val="3E98F194"/>
    <w:rsid w:val="3E9C6E88"/>
    <w:rsid w:val="3E9DBAF0"/>
    <w:rsid w:val="3E9FE975"/>
    <w:rsid w:val="3EA66322"/>
    <w:rsid w:val="3EB3D9A8"/>
    <w:rsid w:val="3EB9C835"/>
    <w:rsid w:val="3EBC053A"/>
    <w:rsid w:val="3ED277DC"/>
    <w:rsid w:val="3ED58010"/>
    <w:rsid w:val="3ED73D76"/>
    <w:rsid w:val="3EDA5518"/>
    <w:rsid w:val="3EDB3D87"/>
    <w:rsid w:val="3EE7B304"/>
    <w:rsid w:val="3EF18F12"/>
    <w:rsid w:val="3EF24F38"/>
    <w:rsid w:val="3EF25B1A"/>
    <w:rsid w:val="3EF5E230"/>
    <w:rsid w:val="3EF6C5D3"/>
    <w:rsid w:val="3EFA68B9"/>
    <w:rsid w:val="3EFEB034"/>
    <w:rsid w:val="3F07DC28"/>
    <w:rsid w:val="3F090785"/>
    <w:rsid w:val="3F0DF549"/>
    <w:rsid w:val="3F21B673"/>
    <w:rsid w:val="3F2200F1"/>
    <w:rsid w:val="3F275C13"/>
    <w:rsid w:val="3F2FF1F0"/>
    <w:rsid w:val="3F3042E5"/>
    <w:rsid w:val="3F315D71"/>
    <w:rsid w:val="3F326620"/>
    <w:rsid w:val="3F33BB09"/>
    <w:rsid w:val="3F34F66C"/>
    <w:rsid w:val="3F358A27"/>
    <w:rsid w:val="3F37195D"/>
    <w:rsid w:val="3F3AF73E"/>
    <w:rsid w:val="3F3B8168"/>
    <w:rsid w:val="3F3FC994"/>
    <w:rsid w:val="3F554CAD"/>
    <w:rsid w:val="3F57971E"/>
    <w:rsid w:val="3F5A9ACF"/>
    <w:rsid w:val="3F5B21D3"/>
    <w:rsid w:val="3F5BF323"/>
    <w:rsid w:val="3F5D0484"/>
    <w:rsid w:val="3F5D9C58"/>
    <w:rsid w:val="3F60E128"/>
    <w:rsid w:val="3F61C9B9"/>
    <w:rsid w:val="3F62A29C"/>
    <w:rsid w:val="3F62D226"/>
    <w:rsid w:val="3F632B84"/>
    <w:rsid w:val="3F6561F7"/>
    <w:rsid w:val="3F67FA4F"/>
    <w:rsid w:val="3F6BC2A3"/>
    <w:rsid w:val="3F6CA36A"/>
    <w:rsid w:val="3F6FBB4A"/>
    <w:rsid w:val="3F702BFC"/>
    <w:rsid w:val="3F7109C9"/>
    <w:rsid w:val="3F78567A"/>
    <w:rsid w:val="3F7D42B5"/>
    <w:rsid w:val="3F7D59BF"/>
    <w:rsid w:val="3F7F7C06"/>
    <w:rsid w:val="3F850F1F"/>
    <w:rsid w:val="3F876B3B"/>
    <w:rsid w:val="3F888D95"/>
    <w:rsid w:val="3F8C176E"/>
    <w:rsid w:val="3F91B5C8"/>
    <w:rsid w:val="3F929FEB"/>
    <w:rsid w:val="3F95671F"/>
    <w:rsid w:val="3FA5F053"/>
    <w:rsid w:val="3FA60B51"/>
    <w:rsid w:val="3FA756B7"/>
    <w:rsid w:val="3FA969C4"/>
    <w:rsid w:val="3FAA3A7F"/>
    <w:rsid w:val="3FB41EDB"/>
    <w:rsid w:val="3FBB20A3"/>
    <w:rsid w:val="3FBB4C1F"/>
    <w:rsid w:val="3FC15047"/>
    <w:rsid w:val="3FC42D25"/>
    <w:rsid w:val="3FC86CCB"/>
    <w:rsid w:val="3FCAD926"/>
    <w:rsid w:val="3FCF1E93"/>
    <w:rsid w:val="3FD072C7"/>
    <w:rsid w:val="3FD19AFD"/>
    <w:rsid w:val="3FD84BFB"/>
    <w:rsid w:val="3FD8DB65"/>
    <w:rsid w:val="3FD9D395"/>
    <w:rsid w:val="3FDB74AC"/>
    <w:rsid w:val="3FE38CC8"/>
    <w:rsid w:val="3FF0E8A9"/>
    <w:rsid w:val="3FF44E3C"/>
    <w:rsid w:val="3FF6D7BF"/>
    <w:rsid w:val="4002196D"/>
    <w:rsid w:val="40058D9B"/>
    <w:rsid w:val="4005C808"/>
    <w:rsid w:val="4006A009"/>
    <w:rsid w:val="40079F03"/>
    <w:rsid w:val="4007A8EA"/>
    <w:rsid w:val="4007F417"/>
    <w:rsid w:val="400B9E71"/>
    <w:rsid w:val="401A76D8"/>
    <w:rsid w:val="401B8AA2"/>
    <w:rsid w:val="401D6DE1"/>
    <w:rsid w:val="401F7FEB"/>
    <w:rsid w:val="402CB439"/>
    <w:rsid w:val="4030473A"/>
    <w:rsid w:val="4035F181"/>
    <w:rsid w:val="4036C3C6"/>
    <w:rsid w:val="403C2357"/>
    <w:rsid w:val="403FEF0B"/>
    <w:rsid w:val="4040896A"/>
    <w:rsid w:val="40426D4E"/>
    <w:rsid w:val="40490E6E"/>
    <w:rsid w:val="404B8ABF"/>
    <w:rsid w:val="4051CA29"/>
    <w:rsid w:val="40568A4B"/>
    <w:rsid w:val="406283DC"/>
    <w:rsid w:val="4062E16A"/>
    <w:rsid w:val="4063AF58"/>
    <w:rsid w:val="40677999"/>
    <w:rsid w:val="406DBEA5"/>
    <w:rsid w:val="406FDA17"/>
    <w:rsid w:val="4072E136"/>
    <w:rsid w:val="40764F1E"/>
    <w:rsid w:val="4077D121"/>
    <w:rsid w:val="407A1D6A"/>
    <w:rsid w:val="407B7521"/>
    <w:rsid w:val="407E560F"/>
    <w:rsid w:val="40829A7C"/>
    <w:rsid w:val="4083E62E"/>
    <w:rsid w:val="408585D4"/>
    <w:rsid w:val="408744E5"/>
    <w:rsid w:val="40877A93"/>
    <w:rsid w:val="408A5AAC"/>
    <w:rsid w:val="408DE16D"/>
    <w:rsid w:val="408FD2A6"/>
    <w:rsid w:val="4098360C"/>
    <w:rsid w:val="40984B9C"/>
    <w:rsid w:val="40991A0C"/>
    <w:rsid w:val="40A1087F"/>
    <w:rsid w:val="40A26E81"/>
    <w:rsid w:val="40A2F995"/>
    <w:rsid w:val="40A33EAB"/>
    <w:rsid w:val="40A4857B"/>
    <w:rsid w:val="40A4B38C"/>
    <w:rsid w:val="40A6AAD3"/>
    <w:rsid w:val="40A94FF6"/>
    <w:rsid w:val="40B30A7E"/>
    <w:rsid w:val="40B4441C"/>
    <w:rsid w:val="40B92C2F"/>
    <w:rsid w:val="40C050B5"/>
    <w:rsid w:val="40C82CAC"/>
    <w:rsid w:val="40C9D82E"/>
    <w:rsid w:val="40CB9CB8"/>
    <w:rsid w:val="40CE9E3C"/>
    <w:rsid w:val="40D08A3A"/>
    <w:rsid w:val="40D1C193"/>
    <w:rsid w:val="40DA7D58"/>
    <w:rsid w:val="40E206FC"/>
    <w:rsid w:val="40E46E0A"/>
    <w:rsid w:val="40E6DBCB"/>
    <w:rsid w:val="40E71B32"/>
    <w:rsid w:val="40E9A800"/>
    <w:rsid w:val="40ED9BDE"/>
    <w:rsid w:val="40EF19F4"/>
    <w:rsid w:val="40F283A5"/>
    <w:rsid w:val="40F52387"/>
    <w:rsid w:val="40F72DC2"/>
    <w:rsid w:val="40FC05DD"/>
    <w:rsid w:val="40FE790E"/>
    <w:rsid w:val="40FEA294"/>
    <w:rsid w:val="410AB48A"/>
    <w:rsid w:val="410DB43F"/>
    <w:rsid w:val="4110329E"/>
    <w:rsid w:val="41106687"/>
    <w:rsid w:val="4110B301"/>
    <w:rsid w:val="4110B553"/>
    <w:rsid w:val="4112299C"/>
    <w:rsid w:val="4117BA80"/>
    <w:rsid w:val="411AAD00"/>
    <w:rsid w:val="411C93F7"/>
    <w:rsid w:val="411CB8E1"/>
    <w:rsid w:val="412EFA46"/>
    <w:rsid w:val="41329246"/>
    <w:rsid w:val="4135CE0A"/>
    <w:rsid w:val="413CFD9A"/>
    <w:rsid w:val="413D029E"/>
    <w:rsid w:val="413D96C8"/>
    <w:rsid w:val="4145BCE0"/>
    <w:rsid w:val="41468309"/>
    <w:rsid w:val="414A9405"/>
    <w:rsid w:val="4150EB4F"/>
    <w:rsid w:val="415A117E"/>
    <w:rsid w:val="415A3B4A"/>
    <w:rsid w:val="415E2EBD"/>
    <w:rsid w:val="41612BED"/>
    <w:rsid w:val="41627CB1"/>
    <w:rsid w:val="4162F1BF"/>
    <w:rsid w:val="416332A2"/>
    <w:rsid w:val="4165B1B6"/>
    <w:rsid w:val="4166FA4D"/>
    <w:rsid w:val="4168966F"/>
    <w:rsid w:val="416C2E14"/>
    <w:rsid w:val="416F4041"/>
    <w:rsid w:val="41737151"/>
    <w:rsid w:val="417EF671"/>
    <w:rsid w:val="4180B816"/>
    <w:rsid w:val="418E63AA"/>
    <w:rsid w:val="4194D9D3"/>
    <w:rsid w:val="419612F4"/>
    <w:rsid w:val="419E8A3C"/>
    <w:rsid w:val="41A97F55"/>
    <w:rsid w:val="41ADE38E"/>
    <w:rsid w:val="41B2BFB7"/>
    <w:rsid w:val="41B590CB"/>
    <w:rsid w:val="41B70F58"/>
    <w:rsid w:val="41BEE169"/>
    <w:rsid w:val="41C60231"/>
    <w:rsid w:val="41CD0D59"/>
    <w:rsid w:val="41CFBB4D"/>
    <w:rsid w:val="41D3913A"/>
    <w:rsid w:val="41DCAE1D"/>
    <w:rsid w:val="41E1F7B5"/>
    <w:rsid w:val="41E214D2"/>
    <w:rsid w:val="41E831DB"/>
    <w:rsid w:val="41E96C6A"/>
    <w:rsid w:val="41EC3EE0"/>
    <w:rsid w:val="41EC8FF4"/>
    <w:rsid w:val="41F20288"/>
    <w:rsid w:val="41F36815"/>
    <w:rsid w:val="41F4BCCA"/>
    <w:rsid w:val="41F5C43A"/>
    <w:rsid w:val="41F7C879"/>
    <w:rsid w:val="41F7F302"/>
    <w:rsid w:val="41F9681D"/>
    <w:rsid w:val="41FAD196"/>
    <w:rsid w:val="4202EC56"/>
    <w:rsid w:val="42074919"/>
    <w:rsid w:val="420A55A9"/>
    <w:rsid w:val="4219F1A8"/>
    <w:rsid w:val="421C4AFB"/>
    <w:rsid w:val="421C972B"/>
    <w:rsid w:val="421E4BEC"/>
    <w:rsid w:val="4223B241"/>
    <w:rsid w:val="422B4D0D"/>
    <w:rsid w:val="422C4F29"/>
    <w:rsid w:val="422D331C"/>
    <w:rsid w:val="422D72D3"/>
    <w:rsid w:val="42300625"/>
    <w:rsid w:val="423167AB"/>
    <w:rsid w:val="423539A1"/>
    <w:rsid w:val="423B9D31"/>
    <w:rsid w:val="42466B3C"/>
    <w:rsid w:val="4249BFE6"/>
    <w:rsid w:val="424EEED8"/>
    <w:rsid w:val="4258BAE7"/>
    <w:rsid w:val="425ADB8A"/>
    <w:rsid w:val="425DA072"/>
    <w:rsid w:val="425FCFA7"/>
    <w:rsid w:val="42624FA5"/>
    <w:rsid w:val="42653CA6"/>
    <w:rsid w:val="426900D8"/>
    <w:rsid w:val="426C2CEF"/>
    <w:rsid w:val="426C6448"/>
    <w:rsid w:val="426F1BDF"/>
    <w:rsid w:val="4283C36F"/>
    <w:rsid w:val="4287B220"/>
    <w:rsid w:val="4299EAD0"/>
    <w:rsid w:val="429A2F77"/>
    <w:rsid w:val="429A3749"/>
    <w:rsid w:val="429B3752"/>
    <w:rsid w:val="429B43A0"/>
    <w:rsid w:val="42A2D7BA"/>
    <w:rsid w:val="42A3E597"/>
    <w:rsid w:val="42A53EB2"/>
    <w:rsid w:val="42AE50A8"/>
    <w:rsid w:val="42B9D131"/>
    <w:rsid w:val="42C08D15"/>
    <w:rsid w:val="42C80519"/>
    <w:rsid w:val="42CACAFF"/>
    <w:rsid w:val="42D15313"/>
    <w:rsid w:val="42D82C2C"/>
    <w:rsid w:val="42D8ED5C"/>
    <w:rsid w:val="42D9B82C"/>
    <w:rsid w:val="42D9DB7D"/>
    <w:rsid w:val="42E23E32"/>
    <w:rsid w:val="42E265DE"/>
    <w:rsid w:val="42E2922D"/>
    <w:rsid w:val="42EACC9C"/>
    <w:rsid w:val="42EBF61C"/>
    <w:rsid w:val="42EC1303"/>
    <w:rsid w:val="42ECD286"/>
    <w:rsid w:val="42EF6E7B"/>
    <w:rsid w:val="42EFE6A6"/>
    <w:rsid w:val="42F2BE30"/>
    <w:rsid w:val="42F4C9CC"/>
    <w:rsid w:val="42F5E5F5"/>
    <w:rsid w:val="42FD9498"/>
    <w:rsid w:val="42FED3EB"/>
    <w:rsid w:val="430088E5"/>
    <w:rsid w:val="43048E72"/>
    <w:rsid w:val="43074D98"/>
    <w:rsid w:val="43092F3F"/>
    <w:rsid w:val="430A4F84"/>
    <w:rsid w:val="430EBAFC"/>
    <w:rsid w:val="430F2EC9"/>
    <w:rsid w:val="43152104"/>
    <w:rsid w:val="43152545"/>
    <w:rsid w:val="4316C323"/>
    <w:rsid w:val="43199B47"/>
    <w:rsid w:val="431CA3B4"/>
    <w:rsid w:val="432CBD2B"/>
    <w:rsid w:val="4331DE64"/>
    <w:rsid w:val="4332D114"/>
    <w:rsid w:val="43346418"/>
    <w:rsid w:val="43349C50"/>
    <w:rsid w:val="43364D66"/>
    <w:rsid w:val="43387DFE"/>
    <w:rsid w:val="433FDC91"/>
    <w:rsid w:val="43491709"/>
    <w:rsid w:val="434B96D3"/>
    <w:rsid w:val="4352EA78"/>
    <w:rsid w:val="43573CFF"/>
    <w:rsid w:val="43580ED5"/>
    <w:rsid w:val="435E5E59"/>
    <w:rsid w:val="435F52AF"/>
    <w:rsid w:val="435F997E"/>
    <w:rsid w:val="43606BD8"/>
    <w:rsid w:val="4362E1CE"/>
    <w:rsid w:val="43664CEE"/>
    <w:rsid w:val="436B538A"/>
    <w:rsid w:val="436E99D6"/>
    <w:rsid w:val="436FF54A"/>
    <w:rsid w:val="43783DAB"/>
    <w:rsid w:val="437840CC"/>
    <w:rsid w:val="437BA064"/>
    <w:rsid w:val="437CD5A4"/>
    <w:rsid w:val="437F0E95"/>
    <w:rsid w:val="438B1620"/>
    <w:rsid w:val="438BC68F"/>
    <w:rsid w:val="438E40D8"/>
    <w:rsid w:val="4394C391"/>
    <w:rsid w:val="4395D696"/>
    <w:rsid w:val="439B49FE"/>
    <w:rsid w:val="439CE403"/>
    <w:rsid w:val="43A0F4AB"/>
    <w:rsid w:val="43A64C31"/>
    <w:rsid w:val="43AB086A"/>
    <w:rsid w:val="43AB8184"/>
    <w:rsid w:val="43AC1449"/>
    <w:rsid w:val="43B178A2"/>
    <w:rsid w:val="43B4888B"/>
    <w:rsid w:val="43B76E3B"/>
    <w:rsid w:val="43BA3C5B"/>
    <w:rsid w:val="43BC0AC1"/>
    <w:rsid w:val="43C1F3F0"/>
    <w:rsid w:val="43CA93A5"/>
    <w:rsid w:val="43CEFD99"/>
    <w:rsid w:val="43CF42AF"/>
    <w:rsid w:val="43D12F90"/>
    <w:rsid w:val="43D21774"/>
    <w:rsid w:val="43D88FF2"/>
    <w:rsid w:val="43D962E0"/>
    <w:rsid w:val="43DA1402"/>
    <w:rsid w:val="43DCF18F"/>
    <w:rsid w:val="43DFD763"/>
    <w:rsid w:val="43DFEA23"/>
    <w:rsid w:val="43E0E855"/>
    <w:rsid w:val="43E1A445"/>
    <w:rsid w:val="43EBF816"/>
    <w:rsid w:val="43EC93A3"/>
    <w:rsid w:val="43EF39CB"/>
    <w:rsid w:val="43F3E4A3"/>
    <w:rsid w:val="43F3F109"/>
    <w:rsid w:val="43F66D40"/>
    <w:rsid w:val="43F7AD31"/>
    <w:rsid w:val="43FC9610"/>
    <w:rsid w:val="43FD6DAC"/>
    <w:rsid w:val="44019041"/>
    <w:rsid w:val="4402A143"/>
    <w:rsid w:val="44038422"/>
    <w:rsid w:val="44055DCB"/>
    <w:rsid w:val="4406232F"/>
    <w:rsid w:val="440AF28C"/>
    <w:rsid w:val="440B7E5F"/>
    <w:rsid w:val="440BC7C4"/>
    <w:rsid w:val="440C200B"/>
    <w:rsid w:val="440EA0F3"/>
    <w:rsid w:val="44124606"/>
    <w:rsid w:val="441694D4"/>
    <w:rsid w:val="44187093"/>
    <w:rsid w:val="441A85E1"/>
    <w:rsid w:val="44201A54"/>
    <w:rsid w:val="4422D9A6"/>
    <w:rsid w:val="44237DCC"/>
    <w:rsid w:val="442577F6"/>
    <w:rsid w:val="4428CC7A"/>
    <w:rsid w:val="442BD276"/>
    <w:rsid w:val="44381CB8"/>
    <w:rsid w:val="443B0EE9"/>
    <w:rsid w:val="4442173B"/>
    <w:rsid w:val="444244FE"/>
    <w:rsid w:val="4451C635"/>
    <w:rsid w:val="44526020"/>
    <w:rsid w:val="4452EEE3"/>
    <w:rsid w:val="4455672F"/>
    <w:rsid w:val="44589D7A"/>
    <w:rsid w:val="445EE0D6"/>
    <w:rsid w:val="445F3C79"/>
    <w:rsid w:val="44643502"/>
    <w:rsid w:val="44652D6C"/>
    <w:rsid w:val="446AE731"/>
    <w:rsid w:val="446CCC2A"/>
    <w:rsid w:val="44746450"/>
    <w:rsid w:val="447A32D1"/>
    <w:rsid w:val="447C968F"/>
    <w:rsid w:val="4485B46F"/>
    <w:rsid w:val="448ECAE5"/>
    <w:rsid w:val="44951E46"/>
    <w:rsid w:val="44995FF9"/>
    <w:rsid w:val="449A2DDB"/>
    <w:rsid w:val="449EA9C2"/>
    <w:rsid w:val="44A172C9"/>
    <w:rsid w:val="44A25D98"/>
    <w:rsid w:val="44AAE667"/>
    <w:rsid w:val="44AD1086"/>
    <w:rsid w:val="44AF018B"/>
    <w:rsid w:val="44B2D159"/>
    <w:rsid w:val="44B31786"/>
    <w:rsid w:val="44B60040"/>
    <w:rsid w:val="44BA06AC"/>
    <w:rsid w:val="44C3E6B6"/>
    <w:rsid w:val="44C79D5B"/>
    <w:rsid w:val="44D6EDA4"/>
    <w:rsid w:val="44D77DD4"/>
    <w:rsid w:val="44DBC4FC"/>
    <w:rsid w:val="44E06BAE"/>
    <w:rsid w:val="44E3EF95"/>
    <w:rsid w:val="44EE4323"/>
    <w:rsid w:val="44F15618"/>
    <w:rsid w:val="44F2C644"/>
    <w:rsid w:val="44F39D4E"/>
    <w:rsid w:val="44F5D5EB"/>
    <w:rsid w:val="44F7E001"/>
    <w:rsid w:val="44F84C61"/>
    <w:rsid w:val="44FEA63F"/>
    <w:rsid w:val="45003FE3"/>
    <w:rsid w:val="4508DBBF"/>
    <w:rsid w:val="45097876"/>
    <w:rsid w:val="450B7E6E"/>
    <w:rsid w:val="450D5E37"/>
    <w:rsid w:val="45149A31"/>
    <w:rsid w:val="4519A09D"/>
    <w:rsid w:val="451B1E8B"/>
    <w:rsid w:val="451F7BE5"/>
    <w:rsid w:val="45208F84"/>
    <w:rsid w:val="4522398E"/>
    <w:rsid w:val="4526A6E0"/>
    <w:rsid w:val="452E3A8A"/>
    <w:rsid w:val="452E700E"/>
    <w:rsid w:val="452F1259"/>
    <w:rsid w:val="452F3913"/>
    <w:rsid w:val="453741B6"/>
    <w:rsid w:val="4538DF27"/>
    <w:rsid w:val="453A045C"/>
    <w:rsid w:val="453CAB61"/>
    <w:rsid w:val="4540C74B"/>
    <w:rsid w:val="454463C8"/>
    <w:rsid w:val="4548B935"/>
    <w:rsid w:val="454ED595"/>
    <w:rsid w:val="45565EE4"/>
    <w:rsid w:val="4557C7A1"/>
    <w:rsid w:val="4557D07A"/>
    <w:rsid w:val="4559AED5"/>
    <w:rsid w:val="456CB7E1"/>
    <w:rsid w:val="457588EC"/>
    <w:rsid w:val="457BAF9A"/>
    <w:rsid w:val="457D811C"/>
    <w:rsid w:val="45836A51"/>
    <w:rsid w:val="45860171"/>
    <w:rsid w:val="4589D795"/>
    <w:rsid w:val="458B3D69"/>
    <w:rsid w:val="458CBE15"/>
    <w:rsid w:val="458CFF0C"/>
    <w:rsid w:val="458D3FE6"/>
    <w:rsid w:val="458D4D9E"/>
    <w:rsid w:val="4593253B"/>
    <w:rsid w:val="4593ADD4"/>
    <w:rsid w:val="45988A2D"/>
    <w:rsid w:val="459CD84C"/>
    <w:rsid w:val="45A424CA"/>
    <w:rsid w:val="45A7AEB4"/>
    <w:rsid w:val="45A85D49"/>
    <w:rsid w:val="45ACFE95"/>
    <w:rsid w:val="45ADF671"/>
    <w:rsid w:val="45B07E8B"/>
    <w:rsid w:val="45B3B761"/>
    <w:rsid w:val="45B446B8"/>
    <w:rsid w:val="45B67750"/>
    <w:rsid w:val="45B9E56E"/>
    <w:rsid w:val="45B9FF49"/>
    <w:rsid w:val="45BDED02"/>
    <w:rsid w:val="45BE3173"/>
    <w:rsid w:val="45C0F1E6"/>
    <w:rsid w:val="45CB9A45"/>
    <w:rsid w:val="45CCAE37"/>
    <w:rsid w:val="45D062D8"/>
    <w:rsid w:val="45D2A66D"/>
    <w:rsid w:val="45DDCF17"/>
    <w:rsid w:val="45DFF292"/>
    <w:rsid w:val="45E2F6D2"/>
    <w:rsid w:val="45E77A7B"/>
    <w:rsid w:val="45EFB755"/>
    <w:rsid w:val="45F14025"/>
    <w:rsid w:val="45F35606"/>
    <w:rsid w:val="45F8AAC4"/>
    <w:rsid w:val="46048844"/>
    <w:rsid w:val="4606F262"/>
    <w:rsid w:val="461061AB"/>
    <w:rsid w:val="4612C4EC"/>
    <w:rsid w:val="4615BE99"/>
    <w:rsid w:val="462029D6"/>
    <w:rsid w:val="4622D57C"/>
    <w:rsid w:val="46266602"/>
    <w:rsid w:val="4627D739"/>
    <w:rsid w:val="46326B0E"/>
    <w:rsid w:val="4632F242"/>
    <w:rsid w:val="463325B4"/>
    <w:rsid w:val="4638A842"/>
    <w:rsid w:val="463A1EB0"/>
    <w:rsid w:val="463D213A"/>
    <w:rsid w:val="46400EB3"/>
    <w:rsid w:val="464CBC19"/>
    <w:rsid w:val="464F658A"/>
    <w:rsid w:val="4659BDC0"/>
    <w:rsid w:val="4659C6C1"/>
    <w:rsid w:val="465D9748"/>
    <w:rsid w:val="465F98F3"/>
    <w:rsid w:val="466A0A31"/>
    <w:rsid w:val="466B6933"/>
    <w:rsid w:val="466D4A1E"/>
    <w:rsid w:val="46738880"/>
    <w:rsid w:val="46774EAC"/>
    <w:rsid w:val="4679513D"/>
    <w:rsid w:val="467CC592"/>
    <w:rsid w:val="467D2785"/>
    <w:rsid w:val="467EA4F1"/>
    <w:rsid w:val="46809BDD"/>
    <w:rsid w:val="4683199E"/>
    <w:rsid w:val="4688049D"/>
    <w:rsid w:val="468B6CAF"/>
    <w:rsid w:val="468C0992"/>
    <w:rsid w:val="468D0298"/>
    <w:rsid w:val="4691030E"/>
    <w:rsid w:val="4691D3DF"/>
    <w:rsid w:val="46985BD0"/>
    <w:rsid w:val="46988960"/>
    <w:rsid w:val="46992329"/>
    <w:rsid w:val="469A27D1"/>
    <w:rsid w:val="469DADEA"/>
    <w:rsid w:val="469DBBA9"/>
    <w:rsid w:val="469EF52C"/>
    <w:rsid w:val="46A5C445"/>
    <w:rsid w:val="46A6C4BC"/>
    <w:rsid w:val="46AD3FE8"/>
    <w:rsid w:val="46AF2A68"/>
    <w:rsid w:val="46B86649"/>
    <w:rsid w:val="46B99279"/>
    <w:rsid w:val="46BF1704"/>
    <w:rsid w:val="46BFAD9C"/>
    <w:rsid w:val="46C1832D"/>
    <w:rsid w:val="46C6A7E6"/>
    <w:rsid w:val="46D2AD97"/>
    <w:rsid w:val="46D3AE3A"/>
    <w:rsid w:val="46D734EE"/>
    <w:rsid w:val="46D90E5F"/>
    <w:rsid w:val="46DC47D3"/>
    <w:rsid w:val="46DC6BEF"/>
    <w:rsid w:val="46E965B4"/>
    <w:rsid w:val="46EF00E1"/>
    <w:rsid w:val="46F14B3D"/>
    <w:rsid w:val="46F8326A"/>
    <w:rsid w:val="46FB4BC1"/>
    <w:rsid w:val="46FCF279"/>
    <w:rsid w:val="46FF47C9"/>
    <w:rsid w:val="47002FD4"/>
    <w:rsid w:val="4703491D"/>
    <w:rsid w:val="470AB195"/>
    <w:rsid w:val="470BCEE7"/>
    <w:rsid w:val="470D6922"/>
    <w:rsid w:val="471387C4"/>
    <w:rsid w:val="4717B1D6"/>
    <w:rsid w:val="4719282F"/>
    <w:rsid w:val="471C98AA"/>
    <w:rsid w:val="4720FB35"/>
    <w:rsid w:val="472908DD"/>
    <w:rsid w:val="472A8FAC"/>
    <w:rsid w:val="47378665"/>
    <w:rsid w:val="47378DA0"/>
    <w:rsid w:val="4737BE1F"/>
    <w:rsid w:val="47383423"/>
    <w:rsid w:val="4739EE23"/>
    <w:rsid w:val="473A7057"/>
    <w:rsid w:val="473A941E"/>
    <w:rsid w:val="473E6297"/>
    <w:rsid w:val="4743148F"/>
    <w:rsid w:val="47439B66"/>
    <w:rsid w:val="4744711F"/>
    <w:rsid w:val="4745CAA2"/>
    <w:rsid w:val="4746FF96"/>
    <w:rsid w:val="4748B03C"/>
    <w:rsid w:val="474D95EF"/>
    <w:rsid w:val="474E9CEB"/>
    <w:rsid w:val="4753056D"/>
    <w:rsid w:val="4753BB19"/>
    <w:rsid w:val="47570290"/>
    <w:rsid w:val="47582A54"/>
    <w:rsid w:val="47597C31"/>
    <w:rsid w:val="475CDE6B"/>
    <w:rsid w:val="475ED2AB"/>
    <w:rsid w:val="4761A869"/>
    <w:rsid w:val="47668086"/>
    <w:rsid w:val="47687018"/>
    <w:rsid w:val="476CF634"/>
    <w:rsid w:val="4775575D"/>
    <w:rsid w:val="477F5310"/>
    <w:rsid w:val="47815B4A"/>
    <w:rsid w:val="478C2461"/>
    <w:rsid w:val="478C6B9D"/>
    <w:rsid w:val="478E535C"/>
    <w:rsid w:val="478ED436"/>
    <w:rsid w:val="479193F4"/>
    <w:rsid w:val="4792829E"/>
    <w:rsid w:val="4795458F"/>
    <w:rsid w:val="47958B5B"/>
    <w:rsid w:val="4796CB6A"/>
    <w:rsid w:val="479A3891"/>
    <w:rsid w:val="479A9229"/>
    <w:rsid w:val="479B9741"/>
    <w:rsid w:val="47A0AB12"/>
    <w:rsid w:val="47A13274"/>
    <w:rsid w:val="47A63CA2"/>
    <w:rsid w:val="47AE78D6"/>
    <w:rsid w:val="47AF77AD"/>
    <w:rsid w:val="47AF9887"/>
    <w:rsid w:val="47B1BE46"/>
    <w:rsid w:val="47B4359F"/>
    <w:rsid w:val="47B569C2"/>
    <w:rsid w:val="47B938AE"/>
    <w:rsid w:val="47BDF92F"/>
    <w:rsid w:val="47C72C5D"/>
    <w:rsid w:val="47D77EE9"/>
    <w:rsid w:val="47D81AB1"/>
    <w:rsid w:val="47DDED9B"/>
    <w:rsid w:val="47E7F677"/>
    <w:rsid w:val="47E9BA2F"/>
    <w:rsid w:val="47EDAC93"/>
    <w:rsid w:val="47EFA05C"/>
    <w:rsid w:val="47F590CC"/>
    <w:rsid w:val="47F9BD1E"/>
    <w:rsid w:val="48001E2A"/>
    <w:rsid w:val="4805E976"/>
    <w:rsid w:val="480DF336"/>
    <w:rsid w:val="480ED77C"/>
    <w:rsid w:val="4813C09A"/>
    <w:rsid w:val="4820880F"/>
    <w:rsid w:val="48226A9A"/>
    <w:rsid w:val="4825AD47"/>
    <w:rsid w:val="4827B14C"/>
    <w:rsid w:val="48281CB3"/>
    <w:rsid w:val="482C94D4"/>
    <w:rsid w:val="48378FA6"/>
    <w:rsid w:val="4837B643"/>
    <w:rsid w:val="48390250"/>
    <w:rsid w:val="483A9FDE"/>
    <w:rsid w:val="483C0F11"/>
    <w:rsid w:val="48407EFF"/>
    <w:rsid w:val="484BB537"/>
    <w:rsid w:val="485076BD"/>
    <w:rsid w:val="485A4B17"/>
    <w:rsid w:val="485D5870"/>
    <w:rsid w:val="4865F285"/>
    <w:rsid w:val="48688469"/>
    <w:rsid w:val="486CE251"/>
    <w:rsid w:val="486FD028"/>
    <w:rsid w:val="48726852"/>
    <w:rsid w:val="487FB0E4"/>
    <w:rsid w:val="48838BC1"/>
    <w:rsid w:val="4886EA84"/>
    <w:rsid w:val="4889C7A9"/>
    <w:rsid w:val="488DA489"/>
    <w:rsid w:val="488E01BF"/>
    <w:rsid w:val="488EFBAC"/>
    <w:rsid w:val="4891EB94"/>
    <w:rsid w:val="489C27F8"/>
    <w:rsid w:val="489D54A6"/>
    <w:rsid w:val="489F67D0"/>
    <w:rsid w:val="48A1BE2F"/>
    <w:rsid w:val="48A4184B"/>
    <w:rsid w:val="48A77820"/>
    <w:rsid w:val="48A9CB74"/>
    <w:rsid w:val="48AA06D3"/>
    <w:rsid w:val="48B1A4FE"/>
    <w:rsid w:val="48B3D2F3"/>
    <w:rsid w:val="48B445C6"/>
    <w:rsid w:val="48B6C28E"/>
    <w:rsid w:val="48B965F0"/>
    <w:rsid w:val="48B978A8"/>
    <w:rsid w:val="48BB399F"/>
    <w:rsid w:val="48BCD935"/>
    <w:rsid w:val="48BE6B13"/>
    <w:rsid w:val="48C2F1B1"/>
    <w:rsid w:val="48C34769"/>
    <w:rsid w:val="48C3611E"/>
    <w:rsid w:val="48C3A438"/>
    <w:rsid w:val="48C3F8B2"/>
    <w:rsid w:val="48C434C8"/>
    <w:rsid w:val="48CCF192"/>
    <w:rsid w:val="48CE3B90"/>
    <w:rsid w:val="48CEB714"/>
    <w:rsid w:val="48D8D742"/>
    <w:rsid w:val="48DFD212"/>
    <w:rsid w:val="48E4479C"/>
    <w:rsid w:val="48E863AD"/>
    <w:rsid w:val="48EAC44A"/>
    <w:rsid w:val="48EACB00"/>
    <w:rsid w:val="48EAF492"/>
    <w:rsid w:val="48EED9B0"/>
    <w:rsid w:val="48F00422"/>
    <w:rsid w:val="48F32D28"/>
    <w:rsid w:val="48F94006"/>
    <w:rsid w:val="4901CAF1"/>
    <w:rsid w:val="490338D8"/>
    <w:rsid w:val="49081F83"/>
    <w:rsid w:val="49094D70"/>
    <w:rsid w:val="49120210"/>
    <w:rsid w:val="49122FD1"/>
    <w:rsid w:val="49171B24"/>
    <w:rsid w:val="49178DB4"/>
    <w:rsid w:val="49252E5C"/>
    <w:rsid w:val="4925DACC"/>
    <w:rsid w:val="492CFB69"/>
    <w:rsid w:val="49349E83"/>
    <w:rsid w:val="49391A46"/>
    <w:rsid w:val="493A3B29"/>
    <w:rsid w:val="493A4549"/>
    <w:rsid w:val="495199FF"/>
    <w:rsid w:val="49534BA8"/>
    <w:rsid w:val="495878E4"/>
    <w:rsid w:val="4959328D"/>
    <w:rsid w:val="495A5115"/>
    <w:rsid w:val="4963D105"/>
    <w:rsid w:val="496BEBEB"/>
    <w:rsid w:val="496F1186"/>
    <w:rsid w:val="496FE8C4"/>
    <w:rsid w:val="49704F90"/>
    <w:rsid w:val="49727FCC"/>
    <w:rsid w:val="4975BD35"/>
    <w:rsid w:val="497DC11F"/>
    <w:rsid w:val="497EB87E"/>
    <w:rsid w:val="497ECA0D"/>
    <w:rsid w:val="4986F8FA"/>
    <w:rsid w:val="498EFDD4"/>
    <w:rsid w:val="4992F066"/>
    <w:rsid w:val="49946911"/>
    <w:rsid w:val="499C9D83"/>
    <w:rsid w:val="499FC973"/>
    <w:rsid w:val="49A887D4"/>
    <w:rsid w:val="49AA2514"/>
    <w:rsid w:val="49AFEA10"/>
    <w:rsid w:val="49B03185"/>
    <w:rsid w:val="49B636D5"/>
    <w:rsid w:val="49B8A899"/>
    <w:rsid w:val="49BB6DF9"/>
    <w:rsid w:val="49CA17F3"/>
    <w:rsid w:val="49CBCBE7"/>
    <w:rsid w:val="49CCFC68"/>
    <w:rsid w:val="49D43FBF"/>
    <w:rsid w:val="49D4D049"/>
    <w:rsid w:val="49D80984"/>
    <w:rsid w:val="49D939E1"/>
    <w:rsid w:val="49E14A19"/>
    <w:rsid w:val="49ED7805"/>
    <w:rsid w:val="49EEA797"/>
    <w:rsid w:val="49EF768A"/>
    <w:rsid w:val="49F1A2F3"/>
    <w:rsid w:val="49F3E98C"/>
    <w:rsid w:val="49F578C9"/>
    <w:rsid w:val="49F57E4F"/>
    <w:rsid w:val="49FADCE5"/>
    <w:rsid w:val="49FFC37F"/>
    <w:rsid w:val="4A009E37"/>
    <w:rsid w:val="4A011731"/>
    <w:rsid w:val="4A0206CE"/>
    <w:rsid w:val="4A0454A7"/>
    <w:rsid w:val="4A05B9BF"/>
    <w:rsid w:val="4A069B55"/>
    <w:rsid w:val="4A090D4A"/>
    <w:rsid w:val="4A0BB4DA"/>
    <w:rsid w:val="4A0D3969"/>
    <w:rsid w:val="4A1A3F3A"/>
    <w:rsid w:val="4A205A63"/>
    <w:rsid w:val="4A21EC3F"/>
    <w:rsid w:val="4A284D95"/>
    <w:rsid w:val="4A2B23EF"/>
    <w:rsid w:val="4A2FE0A7"/>
    <w:rsid w:val="4A3092F9"/>
    <w:rsid w:val="4A35B16B"/>
    <w:rsid w:val="4A3B76D8"/>
    <w:rsid w:val="4A3DAEE0"/>
    <w:rsid w:val="4A3DEE84"/>
    <w:rsid w:val="4A3E7027"/>
    <w:rsid w:val="4A3E7378"/>
    <w:rsid w:val="4A3F001D"/>
    <w:rsid w:val="4A3F0B78"/>
    <w:rsid w:val="4A3FAAD3"/>
    <w:rsid w:val="4A41FD29"/>
    <w:rsid w:val="4A429118"/>
    <w:rsid w:val="4A45220A"/>
    <w:rsid w:val="4A4AEA3E"/>
    <w:rsid w:val="4A4BB150"/>
    <w:rsid w:val="4A4DCC6F"/>
    <w:rsid w:val="4A4F805A"/>
    <w:rsid w:val="4A518974"/>
    <w:rsid w:val="4A56B8EE"/>
    <w:rsid w:val="4A578EC2"/>
    <w:rsid w:val="4A584C52"/>
    <w:rsid w:val="4A5A3C6A"/>
    <w:rsid w:val="4A5C8CFF"/>
    <w:rsid w:val="4A5D69F7"/>
    <w:rsid w:val="4A620FCE"/>
    <w:rsid w:val="4A63726D"/>
    <w:rsid w:val="4A641841"/>
    <w:rsid w:val="4A65DFC6"/>
    <w:rsid w:val="4A66890F"/>
    <w:rsid w:val="4A68174B"/>
    <w:rsid w:val="4A688C55"/>
    <w:rsid w:val="4A697932"/>
    <w:rsid w:val="4A6A59BF"/>
    <w:rsid w:val="4A6B3785"/>
    <w:rsid w:val="4A71FD4C"/>
    <w:rsid w:val="4A7580D0"/>
    <w:rsid w:val="4A7B5760"/>
    <w:rsid w:val="4A7CD3DE"/>
    <w:rsid w:val="4A7D535A"/>
    <w:rsid w:val="4A7DB535"/>
    <w:rsid w:val="4A7E03C9"/>
    <w:rsid w:val="4A7E2F16"/>
    <w:rsid w:val="4A7ECD61"/>
    <w:rsid w:val="4A7F0D98"/>
    <w:rsid w:val="4A8167F1"/>
    <w:rsid w:val="4A88485A"/>
    <w:rsid w:val="4A8881B4"/>
    <w:rsid w:val="4A8B3D38"/>
    <w:rsid w:val="4A8C7490"/>
    <w:rsid w:val="4A8F948E"/>
    <w:rsid w:val="4A900827"/>
    <w:rsid w:val="4A958CA5"/>
    <w:rsid w:val="4A994B2E"/>
    <w:rsid w:val="4A9F74C9"/>
    <w:rsid w:val="4AA4B16C"/>
    <w:rsid w:val="4AA6D092"/>
    <w:rsid w:val="4AAA33E3"/>
    <w:rsid w:val="4AABF5ED"/>
    <w:rsid w:val="4AACF4A5"/>
    <w:rsid w:val="4AADEA25"/>
    <w:rsid w:val="4AAEEE2B"/>
    <w:rsid w:val="4AAEF8A4"/>
    <w:rsid w:val="4AB04EDB"/>
    <w:rsid w:val="4AB2BA4C"/>
    <w:rsid w:val="4AB55805"/>
    <w:rsid w:val="4AB66E43"/>
    <w:rsid w:val="4AB82436"/>
    <w:rsid w:val="4ABABBD7"/>
    <w:rsid w:val="4ABC5A09"/>
    <w:rsid w:val="4AC35922"/>
    <w:rsid w:val="4AC3A5E8"/>
    <w:rsid w:val="4AC76442"/>
    <w:rsid w:val="4AC986C1"/>
    <w:rsid w:val="4ACD7315"/>
    <w:rsid w:val="4ADBA94D"/>
    <w:rsid w:val="4ADDC5E8"/>
    <w:rsid w:val="4ADE608F"/>
    <w:rsid w:val="4ADF10A9"/>
    <w:rsid w:val="4ADFC757"/>
    <w:rsid w:val="4AE4784C"/>
    <w:rsid w:val="4AE816FB"/>
    <w:rsid w:val="4AEAC2AA"/>
    <w:rsid w:val="4AF918EA"/>
    <w:rsid w:val="4AFFECA5"/>
    <w:rsid w:val="4B01CA4B"/>
    <w:rsid w:val="4B02E6F3"/>
    <w:rsid w:val="4B04AC17"/>
    <w:rsid w:val="4B0D2D70"/>
    <w:rsid w:val="4B11F5CC"/>
    <w:rsid w:val="4B1202A4"/>
    <w:rsid w:val="4B17AB1C"/>
    <w:rsid w:val="4B1811B0"/>
    <w:rsid w:val="4B19916E"/>
    <w:rsid w:val="4B1AAF92"/>
    <w:rsid w:val="4B2078A7"/>
    <w:rsid w:val="4B2342FD"/>
    <w:rsid w:val="4B2D2173"/>
    <w:rsid w:val="4B2EA1CE"/>
    <w:rsid w:val="4B381F17"/>
    <w:rsid w:val="4B3A1ECE"/>
    <w:rsid w:val="4B3A70BD"/>
    <w:rsid w:val="4B3EA6BA"/>
    <w:rsid w:val="4B3FA396"/>
    <w:rsid w:val="4B418B01"/>
    <w:rsid w:val="4B41E5AA"/>
    <w:rsid w:val="4B438136"/>
    <w:rsid w:val="4B4E3117"/>
    <w:rsid w:val="4B51A42F"/>
    <w:rsid w:val="4B55F2F4"/>
    <w:rsid w:val="4B5C91D0"/>
    <w:rsid w:val="4B610D54"/>
    <w:rsid w:val="4B634DB0"/>
    <w:rsid w:val="4B6B6908"/>
    <w:rsid w:val="4B6B6973"/>
    <w:rsid w:val="4B727A4A"/>
    <w:rsid w:val="4B77CAD7"/>
    <w:rsid w:val="4B790035"/>
    <w:rsid w:val="4B7BAB1B"/>
    <w:rsid w:val="4B7D2E8C"/>
    <w:rsid w:val="4B7D7B79"/>
    <w:rsid w:val="4B7FAA1B"/>
    <w:rsid w:val="4B816A83"/>
    <w:rsid w:val="4B853DA1"/>
    <w:rsid w:val="4B865476"/>
    <w:rsid w:val="4B88EA5F"/>
    <w:rsid w:val="4B9400E6"/>
    <w:rsid w:val="4B95C9C1"/>
    <w:rsid w:val="4B97AE9A"/>
    <w:rsid w:val="4B98A138"/>
    <w:rsid w:val="4B98BF88"/>
    <w:rsid w:val="4B9E3E55"/>
    <w:rsid w:val="4BA7AF3F"/>
    <w:rsid w:val="4BA7C0F4"/>
    <w:rsid w:val="4BA94269"/>
    <w:rsid w:val="4BAAD3C8"/>
    <w:rsid w:val="4BB12C15"/>
    <w:rsid w:val="4BB220CD"/>
    <w:rsid w:val="4BB38059"/>
    <w:rsid w:val="4BB3EA82"/>
    <w:rsid w:val="4BBB1D0C"/>
    <w:rsid w:val="4BBB48FF"/>
    <w:rsid w:val="4BBBB59A"/>
    <w:rsid w:val="4BBE1A11"/>
    <w:rsid w:val="4BBF2253"/>
    <w:rsid w:val="4BC1D54E"/>
    <w:rsid w:val="4BC4318C"/>
    <w:rsid w:val="4BCFA2BE"/>
    <w:rsid w:val="4BD0BBB4"/>
    <w:rsid w:val="4BDBD6D5"/>
    <w:rsid w:val="4BDCBF2A"/>
    <w:rsid w:val="4BE1C64E"/>
    <w:rsid w:val="4BE7282B"/>
    <w:rsid w:val="4BE86C9D"/>
    <w:rsid w:val="4BF0126F"/>
    <w:rsid w:val="4BF117D3"/>
    <w:rsid w:val="4BF5B96E"/>
    <w:rsid w:val="4C00130A"/>
    <w:rsid w:val="4C0557AD"/>
    <w:rsid w:val="4C06DD98"/>
    <w:rsid w:val="4C0822F5"/>
    <w:rsid w:val="4C0E1A64"/>
    <w:rsid w:val="4C0FFD99"/>
    <w:rsid w:val="4C1814B2"/>
    <w:rsid w:val="4C1DD403"/>
    <w:rsid w:val="4C22F175"/>
    <w:rsid w:val="4C24F11F"/>
    <w:rsid w:val="4C278BFF"/>
    <w:rsid w:val="4C2B9A00"/>
    <w:rsid w:val="4C3273FE"/>
    <w:rsid w:val="4C3919E6"/>
    <w:rsid w:val="4C397E68"/>
    <w:rsid w:val="4C39D9FF"/>
    <w:rsid w:val="4C3A70CF"/>
    <w:rsid w:val="4C3D11A7"/>
    <w:rsid w:val="4C3E4B39"/>
    <w:rsid w:val="4C402AA3"/>
    <w:rsid w:val="4C42B664"/>
    <w:rsid w:val="4C46BA20"/>
    <w:rsid w:val="4C485025"/>
    <w:rsid w:val="4C49C088"/>
    <w:rsid w:val="4C52D407"/>
    <w:rsid w:val="4C5AF7A5"/>
    <w:rsid w:val="4C5BED6D"/>
    <w:rsid w:val="4C5C9A4B"/>
    <w:rsid w:val="4C5DC005"/>
    <w:rsid w:val="4C5F13F5"/>
    <w:rsid w:val="4C609FDE"/>
    <w:rsid w:val="4C6A9F64"/>
    <w:rsid w:val="4C6D1F26"/>
    <w:rsid w:val="4C6D4EC4"/>
    <w:rsid w:val="4C6EA6C3"/>
    <w:rsid w:val="4C781E95"/>
    <w:rsid w:val="4C8A972A"/>
    <w:rsid w:val="4C92DFE9"/>
    <w:rsid w:val="4C94D1CD"/>
    <w:rsid w:val="4C95F430"/>
    <w:rsid w:val="4C9B65AC"/>
    <w:rsid w:val="4C9C6CA3"/>
    <w:rsid w:val="4C9CA798"/>
    <w:rsid w:val="4C9DA890"/>
    <w:rsid w:val="4CA25392"/>
    <w:rsid w:val="4CA5E69D"/>
    <w:rsid w:val="4CA70168"/>
    <w:rsid w:val="4CABD766"/>
    <w:rsid w:val="4CAE6A87"/>
    <w:rsid w:val="4CBE1395"/>
    <w:rsid w:val="4CBF53F0"/>
    <w:rsid w:val="4CC3C126"/>
    <w:rsid w:val="4CC5C38C"/>
    <w:rsid w:val="4CC6D16A"/>
    <w:rsid w:val="4CCA3568"/>
    <w:rsid w:val="4CCAB9A0"/>
    <w:rsid w:val="4CCD7585"/>
    <w:rsid w:val="4CCE5A5E"/>
    <w:rsid w:val="4CD7AB7A"/>
    <w:rsid w:val="4CD87739"/>
    <w:rsid w:val="4CDA40BE"/>
    <w:rsid w:val="4CE52624"/>
    <w:rsid w:val="4CECD678"/>
    <w:rsid w:val="4CEFB698"/>
    <w:rsid w:val="4CF1E136"/>
    <w:rsid w:val="4CF54537"/>
    <w:rsid w:val="4CF5E341"/>
    <w:rsid w:val="4CF7DC1A"/>
    <w:rsid w:val="4CFA5735"/>
    <w:rsid w:val="4CFD9356"/>
    <w:rsid w:val="4CFFDE12"/>
    <w:rsid w:val="4D009610"/>
    <w:rsid w:val="4D02B66E"/>
    <w:rsid w:val="4D087FE0"/>
    <w:rsid w:val="4D0C48BE"/>
    <w:rsid w:val="4D0FBC0D"/>
    <w:rsid w:val="4D111E68"/>
    <w:rsid w:val="4D14BAAD"/>
    <w:rsid w:val="4D17BB23"/>
    <w:rsid w:val="4D1A4B0E"/>
    <w:rsid w:val="4D1C8FCD"/>
    <w:rsid w:val="4D1EB7BB"/>
    <w:rsid w:val="4D21E58A"/>
    <w:rsid w:val="4D249A4F"/>
    <w:rsid w:val="4D289C58"/>
    <w:rsid w:val="4D2947DE"/>
    <w:rsid w:val="4D2A91CF"/>
    <w:rsid w:val="4D2E8C27"/>
    <w:rsid w:val="4D2ED929"/>
    <w:rsid w:val="4D331142"/>
    <w:rsid w:val="4D37FEB3"/>
    <w:rsid w:val="4D389F16"/>
    <w:rsid w:val="4D38C30E"/>
    <w:rsid w:val="4D39A643"/>
    <w:rsid w:val="4D39C7AF"/>
    <w:rsid w:val="4D3A1147"/>
    <w:rsid w:val="4D3C3F9E"/>
    <w:rsid w:val="4D3C52C8"/>
    <w:rsid w:val="4D3FD6AB"/>
    <w:rsid w:val="4D445C59"/>
    <w:rsid w:val="4D45EE90"/>
    <w:rsid w:val="4D499C98"/>
    <w:rsid w:val="4D4A8E32"/>
    <w:rsid w:val="4D4C1182"/>
    <w:rsid w:val="4D4D1E0E"/>
    <w:rsid w:val="4D4E4930"/>
    <w:rsid w:val="4D4ED67A"/>
    <w:rsid w:val="4D5DC247"/>
    <w:rsid w:val="4D5E14D9"/>
    <w:rsid w:val="4D63B219"/>
    <w:rsid w:val="4D69AF82"/>
    <w:rsid w:val="4D6CA4CA"/>
    <w:rsid w:val="4D6E0DD6"/>
    <w:rsid w:val="4D72BDC9"/>
    <w:rsid w:val="4D7ACC58"/>
    <w:rsid w:val="4D821DFE"/>
    <w:rsid w:val="4D851FE2"/>
    <w:rsid w:val="4D89C6E9"/>
    <w:rsid w:val="4D8A3616"/>
    <w:rsid w:val="4D8B4142"/>
    <w:rsid w:val="4D8D5490"/>
    <w:rsid w:val="4D91BC79"/>
    <w:rsid w:val="4D986308"/>
    <w:rsid w:val="4D9912CB"/>
    <w:rsid w:val="4D99AF88"/>
    <w:rsid w:val="4D9C249C"/>
    <w:rsid w:val="4D9CC803"/>
    <w:rsid w:val="4D9F116C"/>
    <w:rsid w:val="4DA17EF4"/>
    <w:rsid w:val="4DA22DA9"/>
    <w:rsid w:val="4DA2F0E4"/>
    <w:rsid w:val="4DA3E151"/>
    <w:rsid w:val="4DA66698"/>
    <w:rsid w:val="4DA6A8F2"/>
    <w:rsid w:val="4DAE8894"/>
    <w:rsid w:val="4DB62C2D"/>
    <w:rsid w:val="4DB9DFC5"/>
    <w:rsid w:val="4DBB13D2"/>
    <w:rsid w:val="4DBBF6A7"/>
    <w:rsid w:val="4DC38B39"/>
    <w:rsid w:val="4DC3E903"/>
    <w:rsid w:val="4DC3F315"/>
    <w:rsid w:val="4DC476EF"/>
    <w:rsid w:val="4DC67ACE"/>
    <w:rsid w:val="4DC8B5E7"/>
    <w:rsid w:val="4DC91F3E"/>
    <w:rsid w:val="4DCAF1A7"/>
    <w:rsid w:val="4DCFB19A"/>
    <w:rsid w:val="4DD2E39D"/>
    <w:rsid w:val="4DD66762"/>
    <w:rsid w:val="4DD944CE"/>
    <w:rsid w:val="4DDA8F01"/>
    <w:rsid w:val="4DDE3D9F"/>
    <w:rsid w:val="4DE8D41D"/>
    <w:rsid w:val="4DFE54A4"/>
    <w:rsid w:val="4E05EE45"/>
    <w:rsid w:val="4E0B89CE"/>
    <w:rsid w:val="4E0BA39F"/>
    <w:rsid w:val="4E1239DF"/>
    <w:rsid w:val="4E1299F7"/>
    <w:rsid w:val="4E158055"/>
    <w:rsid w:val="4E1A1B20"/>
    <w:rsid w:val="4E1A3E09"/>
    <w:rsid w:val="4E1BC244"/>
    <w:rsid w:val="4E1DE5FA"/>
    <w:rsid w:val="4E22E15F"/>
    <w:rsid w:val="4E233A51"/>
    <w:rsid w:val="4E23A926"/>
    <w:rsid w:val="4E242AE6"/>
    <w:rsid w:val="4E25C82E"/>
    <w:rsid w:val="4E26C9F8"/>
    <w:rsid w:val="4E273862"/>
    <w:rsid w:val="4E2A472B"/>
    <w:rsid w:val="4E2A539E"/>
    <w:rsid w:val="4E2D3E3B"/>
    <w:rsid w:val="4E2F5A12"/>
    <w:rsid w:val="4E2FF123"/>
    <w:rsid w:val="4E30C425"/>
    <w:rsid w:val="4E31519D"/>
    <w:rsid w:val="4E3152D5"/>
    <w:rsid w:val="4E31CBB3"/>
    <w:rsid w:val="4E3C0E27"/>
    <w:rsid w:val="4E440EBC"/>
    <w:rsid w:val="4E44A7F2"/>
    <w:rsid w:val="4E48425C"/>
    <w:rsid w:val="4E4C0282"/>
    <w:rsid w:val="4E4D8AB2"/>
    <w:rsid w:val="4E4DACFB"/>
    <w:rsid w:val="4E55EA72"/>
    <w:rsid w:val="4E598C6F"/>
    <w:rsid w:val="4E5B4B68"/>
    <w:rsid w:val="4E5D3252"/>
    <w:rsid w:val="4E611196"/>
    <w:rsid w:val="4E62B950"/>
    <w:rsid w:val="4E6349B0"/>
    <w:rsid w:val="4E674811"/>
    <w:rsid w:val="4E694354"/>
    <w:rsid w:val="4E75EE58"/>
    <w:rsid w:val="4E785705"/>
    <w:rsid w:val="4E792516"/>
    <w:rsid w:val="4E7AA050"/>
    <w:rsid w:val="4E7CB049"/>
    <w:rsid w:val="4E84E423"/>
    <w:rsid w:val="4E91C28F"/>
    <w:rsid w:val="4E941935"/>
    <w:rsid w:val="4E9531C3"/>
    <w:rsid w:val="4E95B9C4"/>
    <w:rsid w:val="4E984F16"/>
    <w:rsid w:val="4E98AE74"/>
    <w:rsid w:val="4E9CBB50"/>
    <w:rsid w:val="4EA325D7"/>
    <w:rsid w:val="4EA75FE4"/>
    <w:rsid w:val="4EAB4A01"/>
    <w:rsid w:val="4EAD2CD2"/>
    <w:rsid w:val="4EAFB447"/>
    <w:rsid w:val="4EB1688C"/>
    <w:rsid w:val="4EB3E1C3"/>
    <w:rsid w:val="4EB70CE9"/>
    <w:rsid w:val="4EB70E79"/>
    <w:rsid w:val="4EB7D8E2"/>
    <w:rsid w:val="4EB9524E"/>
    <w:rsid w:val="4EBAD197"/>
    <w:rsid w:val="4EBD71F7"/>
    <w:rsid w:val="4EBE931D"/>
    <w:rsid w:val="4EC02EC2"/>
    <w:rsid w:val="4EC0F3CD"/>
    <w:rsid w:val="4ECACC7C"/>
    <w:rsid w:val="4ECE9744"/>
    <w:rsid w:val="4ED034F6"/>
    <w:rsid w:val="4ED163AF"/>
    <w:rsid w:val="4ED3B9F1"/>
    <w:rsid w:val="4ED863EF"/>
    <w:rsid w:val="4ED8732A"/>
    <w:rsid w:val="4EDD54EB"/>
    <w:rsid w:val="4EE25890"/>
    <w:rsid w:val="4EE74155"/>
    <w:rsid w:val="4EEB52D2"/>
    <w:rsid w:val="4EFFFE43"/>
    <w:rsid w:val="4F0150D0"/>
    <w:rsid w:val="4F049F25"/>
    <w:rsid w:val="4F0697E8"/>
    <w:rsid w:val="4F0E418E"/>
    <w:rsid w:val="4F0FD36C"/>
    <w:rsid w:val="4F100BA7"/>
    <w:rsid w:val="4F14DD47"/>
    <w:rsid w:val="4F1A7571"/>
    <w:rsid w:val="4F2AD4D7"/>
    <w:rsid w:val="4F2C68D7"/>
    <w:rsid w:val="4F2E6A94"/>
    <w:rsid w:val="4F2F61D6"/>
    <w:rsid w:val="4F324DDB"/>
    <w:rsid w:val="4F3651FD"/>
    <w:rsid w:val="4F3695AA"/>
    <w:rsid w:val="4F3BECA1"/>
    <w:rsid w:val="4F4D26F7"/>
    <w:rsid w:val="4F52D92C"/>
    <w:rsid w:val="4F551C9D"/>
    <w:rsid w:val="4F592855"/>
    <w:rsid w:val="4F59BC2C"/>
    <w:rsid w:val="4F5DB48C"/>
    <w:rsid w:val="4F5DBC0A"/>
    <w:rsid w:val="4F5F131C"/>
    <w:rsid w:val="4F6122AA"/>
    <w:rsid w:val="4F613DAF"/>
    <w:rsid w:val="4F66408D"/>
    <w:rsid w:val="4F6BCEC5"/>
    <w:rsid w:val="4F7022C9"/>
    <w:rsid w:val="4F740D92"/>
    <w:rsid w:val="4F75E6EE"/>
    <w:rsid w:val="4F76BB72"/>
    <w:rsid w:val="4F76D6DF"/>
    <w:rsid w:val="4F7996B3"/>
    <w:rsid w:val="4F7B9D1F"/>
    <w:rsid w:val="4F7D2CCB"/>
    <w:rsid w:val="4F7F03E1"/>
    <w:rsid w:val="4F8170D0"/>
    <w:rsid w:val="4F84EC8A"/>
    <w:rsid w:val="4F8679EF"/>
    <w:rsid w:val="4F88FA47"/>
    <w:rsid w:val="4F8A7A81"/>
    <w:rsid w:val="4F8AD6A4"/>
    <w:rsid w:val="4F8C0484"/>
    <w:rsid w:val="4F8C3FBF"/>
    <w:rsid w:val="4F90B281"/>
    <w:rsid w:val="4F90DFC1"/>
    <w:rsid w:val="4F91F186"/>
    <w:rsid w:val="4F93D49B"/>
    <w:rsid w:val="4F944F5D"/>
    <w:rsid w:val="4F982011"/>
    <w:rsid w:val="4F988F6F"/>
    <w:rsid w:val="4F9BF41B"/>
    <w:rsid w:val="4F9EB067"/>
    <w:rsid w:val="4FA08F3F"/>
    <w:rsid w:val="4FA375F8"/>
    <w:rsid w:val="4FA4AFCF"/>
    <w:rsid w:val="4FA98F93"/>
    <w:rsid w:val="4FBA030F"/>
    <w:rsid w:val="4FBA0BD7"/>
    <w:rsid w:val="4FC40A5E"/>
    <w:rsid w:val="4FC992B2"/>
    <w:rsid w:val="4FD22471"/>
    <w:rsid w:val="4FD4EAB2"/>
    <w:rsid w:val="4FDB3415"/>
    <w:rsid w:val="4FDCA21F"/>
    <w:rsid w:val="4FE11F11"/>
    <w:rsid w:val="4FE2D171"/>
    <w:rsid w:val="4FE523AF"/>
    <w:rsid w:val="4FED67F8"/>
    <w:rsid w:val="4FEEFB0F"/>
    <w:rsid w:val="4FF24A41"/>
    <w:rsid w:val="4FF2FEE8"/>
    <w:rsid w:val="50006537"/>
    <w:rsid w:val="5005CC14"/>
    <w:rsid w:val="5009C149"/>
    <w:rsid w:val="5009D6F4"/>
    <w:rsid w:val="50265C1A"/>
    <w:rsid w:val="50290392"/>
    <w:rsid w:val="502D3F7F"/>
    <w:rsid w:val="502DFAF7"/>
    <w:rsid w:val="503530EF"/>
    <w:rsid w:val="503B3FC0"/>
    <w:rsid w:val="503D6CD6"/>
    <w:rsid w:val="503D9E9C"/>
    <w:rsid w:val="5043C00C"/>
    <w:rsid w:val="5044A40B"/>
    <w:rsid w:val="5045602F"/>
    <w:rsid w:val="5047AEA0"/>
    <w:rsid w:val="50480159"/>
    <w:rsid w:val="5049949B"/>
    <w:rsid w:val="5053B9E1"/>
    <w:rsid w:val="50550E33"/>
    <w:rsid w:val="5057E9E2"/>
    <w:rsid w:val="5059B04D"/>
    <w:rsid w:val="505A7827"/>
    <w:rsid w:val="505D2954"/>
    <w:rsid w:val="505E1AD0"/>
    <w:rsid w:val="505EC66E"/>
    <w:rsid w:val="505FE2D5"/>
    <w:rsid w:val="506C6716"/>
    <w:rsid w:val="507913D2"/>
    <w:rsid w:val="507AFF21"/>
    <w:rsid w:val="507D43B9"/>
    <w:rsid w:val="507E5466"/>
    <w:rsid w:val="508043E0"/>
    <w:rsid w:val="5082BBA4"/>
    <w:rsid w:val="5083C02D"/>
    <w:rsid w:val="5086B1A3"/>
    <w:rsid w:val="50893084"/>
    <w:rsid w:val="508E10AE"/>
    <w:rsid w:val="50906F6D"/>
    <w:rsid w:val="509134B5"/>
    <w:rsid w:val="50914AFA"/>
    <w:rsid w:val="5095D269"/>
    <w:rsid w:val="5096351A"/>
    <w:rsid w:val="5097EE08"/>
    <w:rsid w:val="509A9A81"/>
    <w:rsid w:val="509B4713"/>
    <w:rsid w:val="509B76F8"/>
    <w:rsid w:val="50A2B260"/>
    <w:rsid w:val="50A73F6C"/>
    <w:rsid w:val="50A81288"/>
    <w:rsid w:val="50A8248F"/>
    <w:rsid w:val="50A9B0CF"/>
    <w:rsid w:val="50B397CB"/>
    <w:rsid w:val="50B5A5B4"/>
    <w:rsid w:val="50B76AD5"/>
    <w:rsid w:val="50BEEAEB"/>
    <w:rsid w:val="50C04E3E"/>
    <w:rsid w:val="50C785F7"/>
    <w:rsid w:val="50C9E6AB"/>
    <w:rsid w:val="50CC8D45"/>
    <w:rsid w:val="50CCEA30"/>
    <w:rsid w:val="50CF8A93"/>
    <w:rsid w:val="50D3C9B1"/>
    <w:rsid w:val="50DD0E41"/>
    <w:rsid w:val="50DD5342"/>
    <w:rsid w:val="50EFE2CB"/>
    <w:rsid w:val="50F350DB"/>
    <w:rsid w:val="50F5B5A4"/>
    <w:rsid w:val="50F6C2E6"/>
    <w:rsid w:val="50FBDB5A"/>
    <w:rsid w:val="5100EBFC"/>
    <w:rsid w:val="5109AEE1"/>
    <w:rsid w:val="5114A5D6"/>
    <w:rsid w:val="51189172"/>
    <w:rsid w:val="511ADBC4"/>
    <w:rsid w:val="511BB1B8"/>
    <w:rsid w:val="5120157D"/>
    <w:rsid w:val="51201DE2"/>
    <w:rsid w:val="5122D0CD"/>
    <w:rsid w:val="51230FFF"/>
    <w:rsid w:val="512328DF"/>
    <w:rsid w:val="512586C0"/>
    <w:rsid w:val="512A8A03"/>
    <w:rsid w:val="512AC833"/>
    <w:rsid w:val="512C509F"/>
    <w:rsid w:val="512E0E63"/>
    <w:rsid w:val="512E9E50"/>
    <w:rsid w:val="51312431"/>
    <w:rsid w:val="5131B2AD"/>
    <w:rsid w:val="513402AB"/>
    <w:rsid w:val="513A9FB6"/>
    <w:rsid w:val="513C6FEF"/>
    <w:rsid w:val="513DD8FB"/>
    <w:rsid w:val="513F6B6F"/>
    <w:rsid w:val="513FB8D7"/>
    <w:rsid w:val="51406300"/>
    <w:rsid w:val="51436BA0"/>
    <w:rsid w:val="51446759"/>
    <w:rsid w:val="514B4F8E"/>
    <w:rsid w:val="514CD52C"/>
    <w:rsid w:val="514EA825"/>
    <w:rsid w:val="5151CE01"/>
    <w:rsid w:val="51535E19"/>
    <w:rsid w:val="51539E24"/>
    <w:rsid w:val="51569F70"/>
    <w:rsid w:val="51574CEA"/>
    <w:rsid w:val="515921DB"/>
    <w:rsid w:val="515BE90B"/>
    <w:rsid w:val="51604AE4"/>
    <w:rsid w:val="51609ED0"/>
    <w:rsid w:val="5162B492"/>
    <w:rsid w:val="51682A49"/>
    <w:rsid w:val="5168FAA3"/>
    <w:rsid w:val="516D8312"/>
    <w:rsid w:val="516E90A5"/>
    <w:rsid w:val="51772BE4"/>
    <w:rsid w:val="517CF668"/>
    <w:rsid w:val="517D4FAA"/>
    <w:rsid w:val="5184434D"/>
    <w:rsid w:val="51850400"/>
    <w:rsid w:val="51862E51"/>
    <w:rsid w:val="5187EAEC"/>
    <w:rsid w:val="518AFA1F"/>
    <w:rsid w:val="518E412B"/>
    <w:rsid w:val="519388EE"/>
    <w:rsid w:val="51971434"/>
    <w:rsid w:val="5198EEC2"/>
    <w:rsid w:val="519A35E4"/>
    <w:rsid w:val="51A3D16F"/>
    <w:rsid w:val="51A3E460"/>
    <w:rsid w:val="51A5C053"/>
    <w:rsid w:val="51AAB1D6"/>
    <w:rsid w:val="51AB220D"/>
    <w:rsid w:val="51ABC166"/>
    <w:rsid w:val="51AEDA9D"/>
    <w:rsid w:val="51B47ECA"/>
    <w:rsid w:val="51B86624"/>
    <w:rsid w:val="51BD343A"/>
    <w:rsid w:val="51BF9479"/>
    <w:rsid w:val="51C13482"/>
    <w:rsid w:val="51C4A1F2"/>
    <w:rsid w:val="51D7B1DC"/>
    <w:rsid w:val="51D99E4C"/>
    <w:rsid w:val="51E32F17"/>
    <w:rsid w:val="51E3586D"/>
    <w:rsid w:val="51E3C0FD"/>
    <w:rsid w:val="51E5426F"/>
    <w:rsid w:val="51E62E12"/>
    <w:rsid w:val="51E6D656"/>
    <w:rsid w:val="51EC3037"/>
    <w:rsid w:val="51EC95E6"/>
    <w:rsid w:val="51ED5A70"/>
    <w:rsid w:val="51F1FD9F"/>
    <w:rsid w:val="51F4F1B0"/>
    <w:rsid w:val="51FA3F21"/>
    <w:rsid w:val="5204EA07"/>
    <w:rsid w:val="52077EEE"/>
    <w:rsid w:val="520E0336"/>
    <w:rsid w:val="5214B0F3"/>
    <w:rsid w:val="521C145F"/>
    <w:rsid w:val="521CB3B3"/>
    <w:rsid w:val="522AADE9"/>
    <w:rsid w:val="522B1FAD"/>
    <w:rsid w:val="522EEAB8"/>
    <w:rsid w:val="52312B08"/>
    <w:rsid w:val="5234561E"/>
    <w:rsid w:val="52347EEB"/>
    <w:rsid w:val="52384E8B"/>
    <w:rsid w:val="523FCFF3"/>
    <w:rsid w:val="52427F91"/>
    <w:rsid w:val="5242D665"/>
    <w:rsid w:val="5245DECE"/>
    <w:rsid w:val="524F86CA"/>
    <w:rsid w:val="52580EE5"/>
    <w:rsid w:val="5258FC81"/>
    <w:rsid w:val="525A7825"/>
    <w:rsid w:val="525B60D3"/>
    <w:rsid w:val="5260EC35"/>
    <w:rsid w:val="526416C8"/>
    <w:rsid w:val="526C3B7A"/>
    <w:rsid w:val="526CC8E1"/>
    <w:rsid w:val="526E2BA3"/>
    <w:rsid w:val="526E82E2"/>
    <w:rsid w:val="5271821E"/>
    <w:rsid w:val="527547CC"/>
    <w:rsid w:val="527604B0"/>
    <w:rsid w:val="5279BA24"/>
    <w:rsid w:val="527E55B9"/>
    <w:rsid w:val="527FB474"/>
    <w:rsid w:val="5285A752"/>
    <w:rsid w:val="528AD861"/>
    <w:rsid w:val="528C1C48"/>
    <w:rsid w:val="5297411F"/>
    <w:rsid w:val="529B03C3"/>
    <w:rsid w:val="529B60BD"/>
    <w:rsid w:val="529F71C9"/>
    <w:rsid w:val="52A20A36"/>
    <w:rsid w:val="52A71667"/>
    <w:rsid w:val="52AA298B"/>
    <w:rsid w:val="52B046EA"/>
    <w:rsid w:val="52B382EB"/>
    <w:rsid w:val="52B4F62A"/>
    <w:rsid w:val="52B77927"/>
    <w:rsid w:val="52C09337"/>
    <w:rsid w:val="52C9D8AD"/>
    <w:rsid w:val="52CB6D8D"/>
    <w:rsid w:val="52D3610C"/>
    <w:rsid w:val="52D54DB6"/>
    <w:rsid w:val="52D5524C"/>
    <w:rsid w:val="52D81E32"/>
    <w:rsid w:val="52D9909E"/>
    <w:rsid w:val="52DCB119"/>
    <w:rsid w:val="52DCB617"/>
    <w:rsid w:val="52E1620F"/>
    <w:rsid w:val="52E30218"/>
    <w:rsid w:val="52E84C57"/>
    <w:rsid w:val="52EA69DF"/>
    <w:rsid w:val="52EB92FE"/>
    <w:rsid w:val="52EBC819"/>
    <w:rsid w:val="52F73065"/>
    <w:rsid w:val="52FC3799"/>
    <w:rsid w:val="52FF148A"/>
    <w:rsid w:val="52FFC54A"/>
    <w:rsid w:val="5306A9CE"/>
    <w:rsid w:val="5307AC2D"/>
    <w:rsid w:val="530E5248"/>
    <w:rsid w:val="53124ADB"/>
    <w:rsid w:val="53147728"/>
    <w:rsid w:val="5314A6CE"/>
    <w:rsid w:val="5315A417"/>
    <w:rsid w:val="5319A3C9"/>
    <w:rsid w:val="5320DFDB"/>
    <w:rsid w:val="53217AEC"/>
    <w:rsid w:val="532B00F9"/>
    <w:rsid w:val="53326F50"/>
    <w:rsid w:val="53329D8C"/>
    <w:rsid w:val="533324AA"/>
    <w:rsid w:val="533356AD"/>
    <w:rsid w:val="533575D2"/>
    <w:rsid w:val="5335EEBC"/>
    <w:rsid w:val="533DECC2"/>
    <w:rsid w:val="5345475D"/>
    <w:rsid w:val="5348D42C"/>
    <w:rsid w:val="534947FF"/>
    <w:rsid w:val="534CF2A7"/>
    <w:rsid w:val="534EB0EB"/>
    <w:rsid w:val="534FE62F"/>
    <w:rsid w:val="5353E16A"/>
    <w:rsid w:val="53556E23"/>
    <w:rsid w:val="535B7777"/>
    <w:rsid w:val="5365B3DC"/>
    <w:rsid w:val="53667384"/>
    <w:rsid w:val="5369B835"/>
    <w:rsid w:val="536A1044"/>
    <w:rsid w:val="536D0608"/>
    <w:rsid w:val="536DB144"/>
    <w:rsid w:val="536FF0AD"/>
    <w:rsid w:val="53710C59"/>
    <w:rsid w:val="53730A62"/>
    <w:rsid w:val="5376E593"/>
    <w:rsid w:val="537CDE0C"/>
    <w:rsid w:val="53826A97"/>
    <w:rsid w:val="53830C7E"/>
    <w:rsid w:val="53849708"/>
    <w:rsid w:val="538911A2"/>
    <w:rsid w:val="538B8303"/>
    <w:rsid w:val="538CBAF1"/>
    <w:rsid w:val="538F92E6"/>
    <w:rsid w:val="5391BF7B"/>
    <w:rsid w:val="5395B24B"/>
    <w:rsid w:val="53973F4E"/>
    <w:rsid w:val="539A20ED"/>
    <w:rsid w:val="539C1241"/>
    <w:rsid w:val="53A0C64E"/>
    <w:rsid w:val="53A54DD2"/>
    <w:rsid w:val="53A65B6D"/>
    <w:rsid w:val="53AA3E89"/>
    <w:rsid w:val="53B35542"/>
    <w:rsid w:val="53B6E54E"/>
    <w:rsid w:val="53BF7971"/>
    <w:rsid w:val="53C2BE69"/>
    <w:rsid w:val="53C61A5E"/>
    <w:rsid w:val="53CB64DE"/>
    <w:rsid w:val="53D2933A"/>
    <w:rsid w:val="53D3E34F"/>
    <w:rsid w:val="53D7C671"/>
    <w:rsid w:val="53D8E9F7"/>
    <w:rsid w:val="53DFE536"/>
    <w:rsid w:val="53E1EA47"/>
    <w:rsid w:val="53E33B85"/>
    <w:rsid w:val="53E3E9CE"/>
    <w:rsid w:val="53E45132"/>
    <w:rsid w:val="53E488E3"/>
    <w:rsid w:val="53E7A647"/>
    <w:rsid w:val="53E95434"/>
    <w:rsid w:val="53E9762D"/>
    <w:rsid w:val="53ED07A5"/>
    <w:rsid w:val="53EF6440"/>
    <w:rsid w:val="53F69C87"/>
    <w:rsid w:val="53FE535A"/>
    <w:rsid w:val="53FEC0D4"/>
    <w:rsid w:val="54071CEB"/>
    <w:rsid w:val="5407906A"/>
    <w:rsid w:val="54084A23"/>
    <w:rsid w:val="54085252"/>
    <w:rsid w:val="540A8325"/>
    <w:rsid w:val="540E4E0A"/>
    <w:rsid w:val="5413C5FB"/>
    <w:rsid w:val="5414B0A6"/>
    <w:rsid w:val="542079E2"/>
    <w:rsid w:val="5421929C"/>
    <w:rsid w:val="542FEE23"/>
    <w:rsid w:val="5436073F"/>
    <w:rsid w:val="543AC545"/>
    <w:rsid w:val="543EDA03"/>
    <w:rsid w:val="543F64BC"/>
    <w:rsid w:val="5440FABD"/>
    <w:rsid w:val="5449E88B"/>
    <w:rsid w:val="544CCCA6"/>
    <w:rsid w:val="544D9A10"/>
    <w:rsid w:val="545B3B25"/>
    <w:rsid w:val="545BB575"/>
    <w:rsid w:val="5461701C"/>
    <w:rsid w:val="546245DE"/>
    <w:rsid w:val="5463EDE5"/>
    <w:rsid w:val="54645E34"/>
    <w:rsid w:val="54670509"/>
    <w:rsid w:val="5468FD83"/>
    <w:rsid w:val="546A60B6"/>
    <w:rsid w:val="546B1F7B"/>
    <w:rsid w:val="5476135B"/>
    <w:rsid w:val="547DD776"/>
    <w:rsid w:val="5486C30A"/>
    <w:rsid w:val="5486FCF3"/>
    <w:rsid w:val="548C5751"/>
    <w:rsid w:val="548CB0F9"/>
    <w:rsid w:val="548CE9A5"/>
    <w:rsid w:val="54938308"/>
    <w:rsid w:val="549CBC10"/>
    <w:rsid w:val="54A3FD53"/>
    <w:rsid w:val="54A5DA3C"/>
    <w:rsid w:val="54B110E1"/>
    <w:rsid w:val="54B1EF67"/>
    <w:rsid w:val="54B56E7E"/>
    <w:rsid w:val="54B5A4EE"/>
    <w:rsid w:val="54B6E299"/>
    <w:rsid w:val="54B70628"/>
    <w:rsid w:val="54B954D4"/>
    <w:rsid w:val="54BAFA39"/>
    <w:rsid w:val="54C65872"/>
    <w:rsid w:val="54C8DA81"/>
    <w:rsid w:val="54CC1B71"/>
    <w:rsid w:val="54D270F2"/>
    <w:rsid w:val="54D4989E"/>
    <w:rsid w:val="54D51FA5"/>
    <w:rsid w:val="54D74EBF"/>
    <w:rsid w:val="54DAA8FA"/>
    <w:rsid w:val="54DC428B"/>
    <w:rsid w:val="54DD47E4"/>
    <w:rsid w:val="54DD9BAF"/>
    <w:rsid w:val="54E1307F"/>
    <w:rsid w:val="54E9D3FC"/>
    <w:rsid w:val="54F2FF2F"/>
    <w:rsid w:val="54F7A1DF"/>
    <w:rsid w:val="550815A7"/>
    <w:rsid w:val="550A86C0"/>
    <w:rsid w:val="550B9D92"/>
    <w:rsid w:val="550C9771"/>
    <w:rsid w:val="550D67AB"/>
    <w:rsid w:val="550E460E"/>
    <w:rsid w:val="5512F5F3"/>
    <w:rsid w:val="551BE9EC"/>
    <w:rsid w:val="551ECB1C"/>
    <w:rsid w:val="551FB639"/>
    <w:rsid w:val="5521F815"/>
    <w:rsid w:val="5522E9D7"/>
    <w:rsid w:val="5527B421"/>
    <w:rsid w:val="552D1884"/>
    <w:rsid w:val="55302BF3"/>
    <w:rsid w:val="5530D99D"/>
    <w:rsid w:val="55347446"/>
    <w:rsid w:val="5535B062"/>
    <w:rsid w:val="55385A81"/>
    <w:rsid w:val="55395A97"/>
    <w:rsid w:val="553BCEA2"/>
    <w:rsid w:val="55425DF9"/>
    <w:rsid w:val="5549F54F"/>
    <w:rsid w:val="554A646C"/>
    <w:rsid w:val="554B89BE"/>
    <w:rsid w:val="554FE08B"/>
    <w:rsid w:val="5551D6B1"/>
    <w:rsid w:val="55565FEB"/>
    <w:rsid w:val="555966E6"/>
    <w:rsid w:val="555D30DB"/>
    <w:rsid w:val="555E2824"/>
    <w:rsid w:val="555E93C2"/>
    <w:rsid w:val="5560782F"/>
    <w:rsid w:val="5571ACD6"/>
    <w:rsid w:val="5571DB3D"/>
    <w:rsid w:val="557C4CC2"/>
    <w:rsid w:val="55886DCC"/>
    <w:rsid w:val="558AC5BC"/>
    <w:rsid w:val="5590D4AB"/>
    <w:rsid w:val="5594B3DC"/>
    <w:rsid w:val="5595C7BD"/>
    <w:rsid w:val="559D5097"/>
    <w:rsid w:val="55A55390"/>
    <w:rsid w:val="55ABFAB1"/>
    <w:rsid w:val="55AF6524"/>
    <w:rsid w:val="55B1E105"/>
    <w:rsid w:val="55B256F8"/>
    <w:rsid w:val="55B79CCE"/>
    <w:rsid w:val="55BD13E2"/>
    <w:rsid w:val="55BE7D06"/>
    <w:rsid w:val="55BEC43E"/>
    <w:rsid w:val="55C0D22A"/>
    <w:rsid w:val="55C6A4C4"/>
    <w:rsid w:val="55C8D0E4"/>
    <w:rsid w:val="55C9DAB6"/>
    <w:rsid w:val="55CF4FDF"/>
    <w:rsid w:val="55D2ADA2"/>
    <w:rsid w:val="55D4F0DB"/>
    <w:rsid w:val="55D68171"/>
    <w:rsid w:val="55D8D267"/>
    <w:rsid w:val="55E3A4D9"/>
    <w:rsid w:val="55EAC3F8"/>
    <w:rsid w:val="55EB740F"/>
    <w:rsid w:val="55EC88BB"/>
    <w:rsid w:val="55F367B3"/>
    <w:rsid w:val="55F450D3"/>
    <w:rsid w:val="55F6692F"/>
    <w:rsid w:val="55F8334D"/>
    <w:rsid w:val="55F9E423"/>
    <w:rsid w:val="55FA54A0"/>
    <w:rsid w:val="55FBDF4A"/>
    <w:rsid w:val="55FC6D7E"/>
    <w:rsid w:val="56071D23"/>
    <w:rsid w:val="5607FCB3"/>
    <w:rsid w:val="56094B80"/>
    <w:rsid w:val="561109FA"/>
    <w:rsid w:val="561B05EF"/>
    <w:rsid w:val="561B222F"/>
    <w:rsid w:val="561DC015"/>
    <w:rsid w:val="561E05AD"/>
    <w:rsid w:val="561E4E9C"/>
    <w:rsid w:val="561FC077"/>
    <w:rsid w:val="5626A1C2"/>
    <w:rsid w:val="5627BE5E"/>
    <w:rsid w:val="562AB3E4"/>
    <w:rsid w:val="562DB29D"/>
    <w:rsid w:val="5636348C"/>
    <w:rsid w:val="56376190"/>
    <w:rsid w:val="563803B4"/>
    <w:rsid w:val="5638824B"/>
    <w:rsid w:val="5638E211"/>
    <w:rsid w:val="563CAE37"/>
    <w:rsid w:val="5644C7D8"/>
    <w:rsid w:val="5646CCBA"/>
    <w:rsid w:val="564DC309"/>
    <w:rsid w:val="5650F327"/>
    <w:rsid w:val="56512E46"/>
    <w:rsid w:val="56609B23"/>
    <w:rsid w:val="56656F6F"/>
    <w:rsid w:val="566798CB"/>
    <w:rsid w:val="5667D2F4"/>
    <w:rsid w:val="5668C02D"/>
    <w:rsid w:val="566D2AF2"/>
    <w:rsid w:val="566EDE2A"/>
    <w:rsid w:val="56702875"/>
    <w:rsid w:val="567364C9"/>
    <w:rsid w:val="567789B9"/>
    <w:rsid w:val="56793846"/>
    <w:rsid w:val="5679D46D"/>
    <w:rsid w:val="567DDA38"/>
    <w:rsid w:val="567E41E3"/>
    <w:rsid w:val="5683397C"/>
    <w:rsid w:val="56840216"/>
    <w:rsid w:val="5687910A"/>
    <w:rsid w:val="56883E45"/>
    <w:rsid w:val="568961C3"/>
    <w:rsid w:val="568E0DA2"/>
    <w:rsid w:val="5698E620"/>
    <w:rsid w:val="56AA254B"/>
    <w:rsid w:val="56AA85B0"/>
    <w:rsid w:val="56ABC0D4"/>
    <w:rsid w:val="56AE3EDD"/>
    <w:rsid w:val="56B05F06"/>
    <w:rsid w:val="56B14FC2"/>
    <w:rsid w:val="56BFA6CF"/>
    <w:rsid w:val="56BFC356"/>
    <w:rsid w:val="56BFFCED"/>
    <w:rsid w:val="56C147BB"/>
    <w:rsid w:val="56C16B81"/>
    <w:rsid w:val="56C1C374"/>
    <w:rsid w:val="56C52693"/>
    <w:rsid w:val="56C6FB84"/>
    <w:rsid w:val="56D44D28"/>
    <w:rsid w:val="56D5E1EA"/>
    <w:rsid w:val="56DA350D"/>
    <w:rsid w:val="56DB1B8A"/>
    <w:rsid w:val="56DEAB89"/>
    <w:rsid w:val="56E044C3"/>
    <w:rsid w:val="56E0625D"/>
    <w:rsid w:val="56E28D1F"/>
    <w:rsid w:val="56EAF773"/>
    <w:rsid w:val="56ED7EFE"/>
    <w:rsid w:val="56EFEF0D"/>
    <w:rsid w:val="56F7669E"/>
    <w:rsid w:val="56FB1B95"/>
    <w:rsid w:val="56FCC417"/>
    <w:rsid w:val="56FDFDDE"/>
    <w:rsid w:val="5701DA65"/>
    <w:rsid w:val="57067CD1"/>
    <w:rsid w:val="57076DE5"/>
    <w:rsid w:val="5710F52D"/>
    <w:rsid w:val="5712F7F6"/>
    <w:rsid w:val="571504DE"/>
    <w:rsid w:val="57168420"/>
    <w:rsid w:val="5719B991"/>
    <w:rsid w:val="5720065A"/>
    <w:rsid w:val="572533F3"/>
    <w:rsid w:val="5726A994"/>
    <w:rsid w:val="5732075C"/>
    <w:rsid w:val="57356B0B"/>
    <w:rsid w:val="573B94F9"/>
    <w:rsid w:val="573FDEE7"/>
    <w:rsid w:val="574504D1"/>
    <w:rsid w:val="574B998B"/>
    <w:rsid w:val="574D74C9"/>
    <w:rsid w:val="57525955"/>
    <w:rsid w:val="57555274"/>
    <w:rsid w:val="575669B5"/>
    <w:rsid w:val="57570303"/>
    <w:rsid w:val="5759CD6E"/>
    <w:rsid w:val="5762AF58"/>
    <w:rsid w:val="576354FA"/>
    <w:rsid w:val="5770D45D"/>
    <w:rsid w:val="57784FAD"/>
    <w:rsid w:val="5779DD40"/>
    <w:rsid w:val="577E1AFF"/>
    <w:rsid w:val="5785DC4E"/>
    <w:rsid w:val="57924A39"/>
    <w:rsid w:val="57936D4F"/>
    <w:rsid w:val="5795B962"/>
    <w:rsid w:val="57979056"/>
    <w:rsid w:val="57987679"/>
    <w:rsid w:val="579D691D"/>
    <w:rsid w:val="579DA965"/>
    <w:rsid w:val="57A3AF8F"/>
    <w:rsid w:val="57A66253"/>
    <w:rsid w:val="57A6797A"/>
    <w:rsid w:val="57A7AAA4"/>
    <w:rsid w:val="57A7CCDF"/>
    <w:rsid w:val="57ADBBE0"/>
    <w:rsid w:val="57B1F15A"/>
    <w:rsid w:val="57B55510"/>
    <w:rsid w:val="57BB2A20"/>
    <w:rsid w:val="57BF055A"/>
    <w:rsid w:val="57BF8C6F"/>
    <w:rsid w:val="57C239FB"/>
    <w:rsid w:val="57C6D53F"/>
    <w:rsid w:val="57D0FDBE"/>
    <w:rsid w:val="57D5CCC5"/>
    <w:rsid w:val="57D73573"/>
    <w:rsid w:val="57D805FE"/>
    <w:rsid w:val="57D808E6"/>
    <w:rsid w:val="57DA8D75"/>
    <w:rsid w:val="57DC6CCC"/>
    <w:rsid w:val="57E34FCC"/>
    <w:rsid w:val="57E430C4"/>
    <w:rsid w:val="57E8AAF1"/>
    <w:rsid w:val="57ED1745"/>
    <w:rsid w:val="57EE4BD8"/>
    <w:rsid w:val="57EF15CF"/>
    <w:rsid w:val="57F0C544"/>
    <w:rsid w:val="57F22D82"/>
    <w:rsid w:val="57F2E514"/>
    <w:rsid w:val="57F9AB2E"/>
    <w:rsid w:val="57F9BED3"/>
    <w:rsid w:val="57FAB731"/>
    <w:rsid w:val="57FC4C6E"/>
    <w:rsid w:val="5803AAE8"/>
    <w:rsid w:val="580E8777"/>
    <w:rsid w:val="581014D0"/>
    <w:rsid w:val="581119B2"/>
    <w:rsid w:val="581248AC"/>
    <w:rsid w:val="5813FE19"/>
    <w:rsid w:val="581438CB"/>
    <w:rsid w:val="5817F753"/>
    <w:rsid w:val="58180B03"/>
    <w:rsid w:val="5818146C"/>
    <w:rsid w:val="581A01B6"/>
    <w:rsid w:val="581A0D68"/>
    <w:rsid w:val="581A3196"/>
    <w:rsid w:val="581BB92A"/>
    <w:rsid w:val="581E30D8"/>
    <w:rsid w:val="581F374C"/>
    <w:rsid w:val="58215D41"/>
    <w:rsid w:val="5822649F"/>
    <w:rsid w:val="582701D4"/>
    <w:rsid w:val="5829270A"/>
    <w:rsid w:val="582ADD27"/>
    <w:rsid w:val="5831FFE3"/>
    <w:rsid w:val="58343710"/>
    <w:rsid w:val="5838804D"/>
    <w:rsid w:val="584135D2"/>
    <w:rsid w:val="5848DE21"/>
    <w:rsid w:val="584A756E"/>
    <w:rsid w:val="584BD645"/>
    <w:rsid w:val="58506A9D"/>
    <w:rsid w:val="5856D6C9"/>
    <w:rsid w:val="58586391"/>
    <w:rsid w:val="58593EE3"/>
    <w:rsid w:val="585A7C65"/>
    <w:rsid w:val="585C3515"/>
    <w:rsid w:val="585EF32C"/>
    <w:rsid w:val="5862B163"/>
    <w:rsid w:val="587D41F2"/>
    <w:rsid w:val="587F6DBA"/>
    <w:rsid w:val="587FD25D"/>
    <w:rsid w:val="58810F42"/>
    <w:rsid w:val="588116BC"/>
    <w:rsid w:val="58841B45"/>
    <w:rsid w:val="5887D8F6"/>
    <w:rsid w:val="58883804"/>
    <w:rsid w:val="5889B183"/>
    <w:rsid w:val="588F46B9"/>
    <w:rsid w:val="58939E79"/>
    <w:rsid w:val="589DF02A"/>
    <w:rsid w:val="58A21801"/>
    <w:rsid w:val="58A22E57"/>
    <w:rsid w:val="58A6FF9C"/>
    <w:rsid w:val="58A8264A"/>
    <w:rsid w:val="58A85839"/>
    <w:rsid w:val="58A89D50"/>
    <w:rsid w:val="58AB56B9"/>
    <w:rsid w:val="58ACF606"/>
    <w:rsid w:val="58B4DAB0"/>
    <w:rsid w:val="58BA6334"/>
    <w:rsid w:val="58BBBD2E"/>
    <w:rsid w:val="58BC41F2"/>
    <w:rsid w:val="58C10DCE"/>
    <w:rsid w:val="58C5C03F"/>
    <w:rsid w:val="58CC97B1"/>
    <w:rsid w:val="58CEF49B"/>
    <w:rsid w:val="58D0D3E9"/>
    <w:rsid w:val="58D1AC42"/>
    <w:rsid w:val="58D4CD87"/>
    <w:rsid w:val="58D6F514"/>
    <w:rsid w:val="58DB7522"/>
    <w:rsid w:val="58DE00F0"/>
    <w:rsid w:val="58E2AC89"/>
    <w:rsid w:val="58E49C15"/>
    <w:rsid w:val="58EC19DD"/>
    <w:rsid w:val="58F20D8F"/>
    <w:rsid w:val="58F3ABD5"/>
    <w:rsid w:val="58F4F7E1"/>
    <w:rsid w:val="58F790AB"/>
    <w:rsid w:val="58F82683"/>
    <w:rsid w:val="58F896AE"/>
    <w:rsid w:val="58F8B2CB"/>
    <w:rsid w:val="58FA67FE"/>
    <w:rsid w:val="58FE4C05"/>
    <w:rsid w:val="58FF8D94"/>
    <w:rsid w:val="590225AE"/>
    <w:rsid w:val="59028C8E"/>
    <w:rsid w:val="59097141"/>
    <w:rsid w:val="590BC31C"/>
    <w:rsid w:val="590F4D90"/>
    <w:rsid w:val="5914627A"/>
    <w:rsid w:val="59181B5A"/>
    <w:rsid w:val="59183C43"/>
    <w:rsid w:val="591AAE3C"/>
    <w:rsid w:val="59208BB2"/>
    <w:rsid w:val="59222EB8"/>
    <w:rsid w:val="5927EBCE"/>
    <w:rsid w:val="5930D51C"/>
    <w:rsid w:val="593138E3"/>
    <w:rsid w:val="5933561B"/>
    <w:rsid w:val="593DDBDD"/>
    <w:rsid w:val="594505EA"/>
    <w:rsid w:val="594808B4"/>
    <w:rsid w:val="594B809D"/>
    <w:rsid w:val="594D2631"/>
    <w:rsid w:val="5951FD50"/>
    <w:rsid w:val="5952DAC7"/>
    <w:rsid w:val="59553C8F"/>
    <w:rsid w:val="59560AEC"/>
    <w:rsid w:val="59564B89"/>
    <w:rsid w:val="595BFF9E"/>
    <w:rsid w:val="5962E83E"/>
    <w:rsid w:val="596557A6"/>
    <w:rsid w:val="59686043"/>
    <w:rsid w:val="596B19A3"/>
    <w:rsid w:val="596B891E"/>
    <w:rsid w:val="596C811F"/>
    <w:rsid w:val="596E4A15"/>
    <w:rsid w:val="5972C3D5"/>
    <w:rsid w:val="59751E7D"/>
    <w:rsid w:val="59791E2A"/>
    <w:rsid w:val="59866887"/>
    <w:rsid w:val="5989487B"/>
    <w:rsid w:val="598955E9"/>
    <w:rsid w:val="598BB2BE"/>
    <w:rsid w:val="598C9310"/>
    <w:rsid w:val="598F5A3C"/>
    <w:rsid w:val="598FC1B3"/>
    <w:rsid w:val="5993DE81"/>
    <w:rsid w:val="59989A45"/>
    <w:rsid w:val="599C3543"/>
    <w:rsid w:val="59A1D650"/>
    <w:rsid w:val="59A30A34"/>
    <w:rsid w:val="59A5C9A7"/>
    <w:rsid w:val="59A9146B"/>
    <w:rsid w:val="59A9C422"/>
    <w:rsid w:val="59AC5DE1"/>
    <w:rsid w:val="59B20A90"/>
    <w:rsid w:val="59B24EBC"/>
    <w:rsid w:val="59B798BA"/>
    <w:rsid w:val="59B7AD6B"/>
    <w:rsid w:val="59B99D21"/>
    <w:rsid w:val="59BD3108"/>
    <w:rsid w:val="59BF1F0F"/>
    <w:rsid w:val="59C5A60A"/>
    <w:rsid w:val="59C60045"/>
    <w:rsid w:val="59C7F315"/>
    <w:rsid w:val="59CA3E48"/>
    <w:rsid w:val="59CD64C9"/>
    <w:rsid w:val="59CDDCFF"/>
    <w:rsid w:val="59D0E67B"/>
    <w:rsid w:val="59D794B9"/>
    <w:rsid w:val="59D8115C"/>
    <w:rsid w:val="59DB2D30"/>
    <w:rsid w:val="59E303A7"/>
    <w:rsid w:val="59E5CD53"/>
    <w:rsid w:val="59E9C2D8"/>
    <w:rsid w:val="59EB1021"/>
    <w:rsid w:val="59EBC5C5"/>
    <w:rsid w:val="59EC6F95"/>
    <w:rsid w:val="5A0658D8"/>
    <w:rsid w:val="5A080C2D"/>
    <w:rsid w:val="5A0848CA"/>
    <w:rsid w:val="5A0AFB7D"/>
    <w:rsid w:val="5A0B2F21"/>
    <w:rsid w:val="5A0F275F"/>
    <w:rsid w:val="5A0F69C5"/>
    <w:rsid w:val="5A18D7EE"/>
    <w:rsid w:val="5A1AE0C2"/>
    <w:rsid w:val="5A1CF1AC"/>
    <w:rsid w:val="5A1F0165"/>
    <w:rsid w:val="5A21677D"/>
    <w:rsid w:val="5A226D42"/>
    <w:rsid w:val="5A22A59C"/>
    <w:rsid w:val="5A237E71"/>
    <w:rsid w:val="5A2578D0"/>
    <w:rsid w:val="5A2C4AB8"/>
    <w:rsid w:val="5A2DC55A"/>
    <w:rsid w:val="5A30960B"/>
    <w:rsid w:val="5A31EEEC"/>
    <w:rsid w:val="5A33B860"/>
    <w:rsid w:val="5A349D4D"/>
    <w:rsid w:val="5A37B663"/>
    <w:rsid w:val="5A3899CD"/>
    <w:rsid w:val="5A38ADBC"/>
    <w:rsid w:val="5A4ED720"/>
    <w:rsid w:val="5A532202"/>
    <w:rsid w:val="5A5B069F"/>
    <w:rsid w:val="5A608A6E"/>
    <w:rsid w:val="5A615498"/>
    <w:rsid w:val="5A61F3CA"/>
    <w:rsid w:val="5A6265E5"/>
    <w:rsid w:val="5A6C717C"/>
    <w:rsid w:val="5A72FF72"/>
    <w:rsid w:val="5A7682B6"/>
    <w:rsid w:val="5A777F66"/>
    <w:rsid w:val="5A7B7EDF"/>
    <w:rsid w:val="5A847D63"/>
    <w:rsid w:val="5A8A02B6"/>
    <w:rsid w:val="5A90B4AA"/>
    <w:rsid w:val="5A94A96C"/>
    <w:rsid w:val="5A9518EA"/>
    <w:rsid w:val="5AA9C481"/>
    <w:rsid w:val="5AAFB5BC"/>
    <w:rsid w:val="5AB27A0B"/>
    <w:rsid w:val="5AB96FE6"/>
    <w:rsid w:val="5AC34D21"/>
    <w:rsid w:val="5AC8116D"/>
    <w:rsid w:val="5ACA0C3E"/>
    <w:rsid w:val="5ACEB69C"/>
    <w:rsid w:val="5AD03EC0"/>
    <w:rsid w:val="5AD13580"/>
    <w:rsid w:val="5AD17C73"/>
    <w:rsid w:val="5AD43F11"/>
    <w:rsid w:val="5AD7FA83"/>
    <w:rsid w:val="5ADB71B4"/>
    <w:rsid w:val="5ADD47B4"/>
    <w:rsid w:val="5ADF3BC5"/>
    <w:rsid w:val="5AE0A749"/>
    <w:rsid w:val="5AE1A392"/>
    <w:rsid w:val="5AE8447E"/>
    <w:rsid w:val="5AE9C926"/>
    <w:rsid w:val="5AF74FF9"/>
    <w:rsid w:val="5AFCBE91"/>
    <w:rsid w:val="5AFEE335"/>
    <w:rsid w:val="5AFFB374"/>
    <w:rsid w:val="5B0324E6"/>
    <w:rsid w:val="5B0455A0"/>
    <w:rsid w:val="5B0CEA55"/>
    <w:rsid w:val="5B0D5747"/>
    <w:rsid w:val="5B10FD86"/>
    <w:rsid w:val="5B130059"/>
    <w:rsid w:val="5B212D8F"/>
    <w:rsid w:val="5B2B6300"/>
    <w:rsid w:val="5B304203"/>
    <w:rsid w:val="5B30F438"/>
    <w:rsid w:val="5B3DEF00"/>
    <w:rsid w:val="5B426ECC"/>
    <w:rsid w:val="5B445308"/>
    <w:rsid w:val="5B4816CD"/>
    <w:rsid w:val="5B489A76"/>
    <w:rsid w:val="5B4BFDDA"/>
    <w:rsid w:val="5B4F4202"/>
    <w:rsid w:val="5B4FC6C5"/>
    <w:rsid w:val="5B5183B1"/>
    <w:rsid w:val="5B5AE2D1"/>
    <w:rsid w:val="5B5CC5CF"/>
    <w:rsid w:val="5B5DC9CC"/>
    <w:rsid w:val="5B5DEE61"/>
    <w:rsid w:val="5B680419"/>
    <w:rsid w:val="5B6C95CC"/>
    <w:rsid w:val="5B70DD53"/>
    <w:rsid w:val="5B7317A4"/>
    <w:rsid w:val="5B7523CC"/>
    <w:rsid w:val="5B8D6101"/>
    <w:rsid w:val="5B92A998"/>
    <w:rsid w:val="5B945A82"/>
    <w:rsid w:val="5B962B0B"/>
    <w:rsid w:val="5B9F06BA"/>
    <w:rsid w:val="5B9F4E1D"/>
    <w:rsid w:val="5B9F9BD1"/>
    <w:rsid w:val="5BA3222E"/>
    <w:rsid w:val="5BA56774"/>
    <w:rsid w:val="5BA56B2B"/>
    <w:rsid w:val="5BA9EC8C"/>
    <w:rsid w:val="5BB3353B"/>
    <w:rsid w:val="5BB5D337"/>
    <w:rsid w:val="5BB9B6E3"/>
    <w:rsid w:val="5BB9CBF0"/>
    <w:rsid w:val="5BBA7F58"/>
    <w:rsid w:val="5BBF6B4B"/>
    <w:rsid w:val="5BCC3B9E"/>
    <w:rsid w:val="5BD208C8"/>
    <w:rsid w:val="5BD3526D"/>
    <w:rsid w:val="5BD67D5D"/>
    <w:rsid w:val="5BD89B93"/>
    <w:rsid w:val="5BD8BBED"/>
    <w:rsid w:val="5BD9E459"/>
    <w:rsid w:val="5BDC247E"/>
    <w:rsid w:val="5BDEF5E0"/>
    <w:rsid w:val="5BDFFAD0"/>
    <w:rsid w:val="5BE01381"/>
    <w:rsid w:val="5BE23726"/>
    <w:rsid w:val="5BE45222"/>
    <w:rsid w:val="5BE9AF37"/>
    <w:rsid w:val="5BEFCCCF"/>
    <w:rsid w:val="5BF59B11"/>
    <w:rsid w:val="5BF674D1"/>
    <w:rsid w:val="5BF7CA62"/>
    <w:rsid w:val="5BFC1F93"/>
    <w:rsid w:val="5BFF3B59"/>
    <w:rsid w:val="5C027725"/>
    <w:rsid w:val="5C09E05C"/>
    <w:rsid w:val="5C14244C"/>
    <w:rsid w:val="5C194144"/>
    <w:rsid w:val="5C2115AA"/>
    <w:rsid w:val="5C270880"/>
    <w:rsid w:val="5C277445"/>
    <w:rsid w:val="5C27EA51"/>
    <w:rsid w:val="5C2A81A7"/>
    <w:rsid w:val="5C2A824A"/>
    <w:rsid w:val="5C2A88D6"/>
    <w:rsid w:val="5C384CD8"/>
    <w:rsid w:val="5C3CCB61"/>
    <w:rsid w:val="5C3F1DC2"/>
    <w:rsid w:val="5C41EEB5"/>
    <w:rsid w:val="5C43F1F6"/>
    <w:rsid w:val="5C46DF32"/>
    <w:rsid w:val="5C47E757"/>
    <w:rsid w:val="5C51381B"/>
    <w:rsid w:val="5C551B45"/>
    <w:rsid w:val="5C55B91F"/>
    <w:rsid w:val="5C56944B"/>
    <w:rsid w:val="5C5A82EC"/>
    <w:rsid w:val="5C5AD2CD"/>
    <w:rsid w:val="5C5F05B0"/>
    <w:rsid w:val="5C61A742"/>
    <w:rsid w:val="5C624886"/>
    <w:rsid w:val="5C6964E7"/>
    <w:rsid w:val="5C6F7D44"/>
    <w:rsid w:val="5C74A4F7"/>
    <w:rsid w:val="5C75FE4B"/>
    <w:rsid w:val="5C7899CA"/>
    <w:rsid w:val="5C7A270A"/>
    <w:rsid w:val="5C7CCFEF"/>
    <w:rsid w:val="5C806A45"/>
    <w:rsid w:val="5C889202"/>
    <w:rsid w:val="5C8B1FAA"/>
    <w:rsid w:val="5C8D28EB"/>
    <w:rsid w:val="5C8E8B64"/>
    <w:rsid w:val="5C95189C"/>
    <w:rsid w:val="5C953FD7"/>
    <w:rsid w:val="5C965252"/>
    <w:rsid w:val="5C96E92C"/>
    <w:rsid w:val="5C97130F"/>
    <w:rsid w:val="5C9D2D56"/>
    <w:rsid w:val="5CA0E03F"/>
    <w:rsid w:val="5CA384FB"/>
    <w:rsid w:val="5CAC51BF"/>
    <w:rsid w:val="5CAEC3D0"/>
    <w:rsid w:val="5CB64C15"/>
    <w:rsid w:val="5CB87DFC"/>
    <w:rsid w:val="5CBC902D"/>
    <w:rsid w:val="5CBDD60A"/>
    <w:rsid w:val="5CBF0E9C"/>
    <w:rsid w:val="5CC3D76E"/>
    <w:rsid w:val="5CC633F0"/>
    <w:rsid w:val="5CC7C530"/>
    <w:rsid w:val="5CC83585"/>
    <w:rsid w:val="5CCB668B"/>
    <w:rsid w:val="5CCD4F25"/>
    <w:rsid w:val="5CD70050"/>
    <w:rsid w:val="5CDC150F"/>
    <w:rsid w:val="5CDDBF27"/>
    <w:rsid w:val="5CDFC89C"/>
    <w:rsid w:val="5CE2AF55"/>
    <w:rsid w:val="5CEBEBB1"/>
    <w:rsid w:val="5CF31DAF"/>
    <w:rsid w:val="5CF5A71A"/>
    <w:rsid w:val="5CFCC262"/>
    <w:rsid w:val="5D00237C"/>
    <w:rsid w:val="5D041FFC"/>
    <w:rsid w:val="5D07F0AD"/>
    <w:rsid w:val="5D0DE4CB"/>
    <w:rsid w:val="5D126A28"/>
    <w:rsid w:val="5D133F69"/>
    <w:rsid w:val="5D1651B3"/>
    <w:rsid w:val="5D199B8B"/>
    <w:rsid w:val="5D1D5BF7"/>
    <w:rsid w:val="5D1E48FF"/>
    <w:rsid w:val="5D1EB5F2"/>
    <w:rsid w:val="5D20CBB2"/>
    <w:rsid w:val="5D289626"/>
    <w:rsid w:val="5D3BDF48"/>
    <w:rsid w:val="5D3EBFF3"/>
    <w:rsid w:val="5D3F864B"/>
    <w:rsid w:val="5D428B10"/>
    <w:rsid w:val="5D4337C6"/>
    <w:rsid w:val="5D45C791"/>
    <w:rsid w:val="5D543819"/>
    <w:rsid w:val="5D587935"/>
    <w:rsid w:val="5D5AB1D8"/>
    <w:rsid w:val="5D683D2E"/>
    <w:rsid w:val="5D699CC1"/>
    <w:rsid w:val="5D6DE58B"/>
    <w:rsid w:val="5D78FB8F"/>
    <w:rsid w:val="5D7B6D0B"/>
    <w:rsid w:val="5D8182BB"/>
    <w:rsid w:val="5D82ED82"/>
    <w:rsid w:val="5D86C771"/>
    <w:rsid w:val="5D884C05"/>
    <w:rsid w:val="5D8A1A63"/>
    <w:rsid w:val="5D8BD56B"/>
    <w:rsid w:val="5D8C6315"/>
    <w:rsid w:val="5D8CEAB7"/>
    <w:rsid w:val="5D8ED2CF"/>
    <w:rsid w:val="5D929238"/>
    <w:rsid w:val="5D957E43"/>
    <w:rsid w:val="5D99C05D"/>
    <w:rsid w:val="5D99F4B4"/>
    <w:rsid w:val="5D9CF833"/>
    <w:rsid w:val="5D9D668A"/>
    <w:rsid w:val="5D9EB9F8"/>
    <w:rsid w:val="5DA02A03"/>
    <w:rsid w:val="5DA7DD2A"/>
    <w:rsid w:val="5DA7EE8B"/>
    <w:rsid w:val="5DAC962D"/>
    <w:rsid w:val="5DACC9A3"/>
    <w:rsid w:val="5DAE65A2"/>
    <w:rsid w:val="5DB5346C"/>
    <w:rsid w:val="5DB543F3"/>
    <w:rsid w:val="5DB7A17E"/>
    <w:rsid w:val="5DB9C4BB"/>
    <w:rsid w:val="5DB9ED84"/>
    <w:rsid w:val="5DBFA9A5"/>
    <w:rsid w:val="5DC47A18"/>
    <w:rsid w:val="5DC621C1"/>
    <w:rsid w:val="5DC9681F"/>
    <w:rsid w:val="5DCB1E09"/>
    <w:rsid w:val="5DCCD6DC"/>
    <w:rsid w:val="5DD8B886"/>
    <w:rsid w:val="5DDC5718"/>
    <w:rsid w:val="5DDF6E41"/>
    <w:rsid w:val="5DDFB9AF"/>
    <w:rsid w:val="5DE57439"/>
    <w:rsid w:val="5DE79801"/>
    <w:rsid w:val="5DE92F2B"/>
    <w:rsid w:val="5DE9D761"/>
    <w:rsid w:val="5DEDF697"/>
    <w:rsid w:val="5DF2A36F"/>
    <w:rsid w:val="5DF3DCCB"/>
    <w:rsid w:val="5DF4F6C9"/>
    <w:rsid w:val="5DFBB2A6"/>
    <w:rsid w:val="5DFC8AF1"/>
    <w:rsid w:val="5DFFB828"/>
    <w:rsid w:val="5E0365D4"/>
    <w:rsid w:val="5E08F0E1"/>
    <w:rsid w:val="5E1105C7"/>
    <w:rsid w:val="5E147CF4"/>
    <w:rsid w:val="5E14F707"/>
    <w:rsid w:val="5E155A8E"/>
    <w:rsid w:val="5E1625B7"/>
    <w:rsid w:val="5E1CDC33"/>
    <w:rsid w:val="5E1D215C"/>
    <w:rsid w:val="5E1F16AF"/>
    <w:rsid w:val="5E227DBD"/>
    <w:rsid w:val="5E238C1B"/>
    <w:rsid w:val="5E23E454"/>
    <w:rsid w:val="5E260E78"/>
    <w:rsid w:val="5E367834"/>
    <w:rsid w:val="5E38FBF1"/>
    <w:rsid w:val="5E3DFC9B"/>
    <w:rsid w:val="5E3E8266"/>
    <w:rsid w:val="5E43F610"/>
    <w:rsid w:val="5E45260B"/>
    <w:rsid w:val="5E4D6158"/>
    <w:rsid w:val="5E57C350"/>
    <w:rsid w:val="5E630690"/>
    <w:rsid w:val="5E64BDFF"/>
    <w:rsid w:val="5E658DD3"/>
    <w:rsid w:val="5E6812AD"/>
    <w:rsid w:val="5E69EF6E"/>
    <w:rsid w:val="5E707E4B"/>
    <w:rsid w:val="5E707F18"/>
    <w:rsid w:val="5E763D98"/>
    <w:rsid w:val="5E7A5DBB"/>
    <w:rsid w:val="5E7A8B4C"/>
    <w:rsid w:val="5E7CA458"/>
    <w:rsid w:val="5E7CFC4F"/>
    <w:rsid w:val="5E7FA48D"/>
    <w:rsid w:val="5E800897"/>
    <w:rsid w:val="5E81DDEF"/>
    <w:rsid w:val="5E83BDC1"/>
    <w:rsid w:val="5E86465D"/>
    <w:rsid w:val="5E87C272"/>
    <w:rsid w:val="5E8C66D6"/>
    <w:rsid w:val="5E8FEE76"/>
    <w:rsid w:val="5E912198"/>
    <w:rsid w:val="5E920270"/>
    <w:rsid w:val="5E92E39C"/>
    <w:rsid w:val="5E9311AA"/>
    <w:rsid w:val="5E94F3D4"/>
    <w:rsid w:val="5E9B06E8"/>
    <w:rsid w:val="5E9B9C4B"/>
    <w:rsid w:val="5EA08A04"/>
    <w:rsid w:val="5EA16005"/>
    <w:rsid w:val="5EA20F07"/>
    <w:rsid w:val="5EAA2855"/>
    <w:rsid w:val="5EAF9DE9"/>
    <w:rsid w:val="5EBCA00E"/>
    <w:rsid w:val="5EBD647B"/>
    <w:rsid w:val="5EC1746D"/>
    <w:rsid w:val="5EC2A7AF"/>
    <w:rsid w:val="5EC34F54"/>
    <w:rsid w:val="5EC564FF"/>
    <w:rsid w:val="5ECA1218"/>
    <w:rsid w:val="5ECDC18F"/>
    <w:rsid w:val="5ECE185F"/>
    <w:rsid w:val="5ED5ECE5"/>
    <w:rsid w:val="5ED7CC8E"/>
    <w:rsid w:val="5EDD8B27"/>
    <w:rsid w:val="5EE07A18"/>
    <w:rsid w:val="5EE18598"/>
    <w:rsid w:val="5EEFF894"/>
    <w:rsid w:val="5EF260D7"/>
    <w:rsid w:val="5EFA9C90"/>
    <w:rsid w:val="5EFE6FCB"/>
    <w:rsid w:val="5F0083CB"/>
    <w:rsid w:val="5F1208C1"/>
    <w:rsid w:val="5F136DA7"/>
    <w:rsid w:val="5F1AB260"/>
    <w:rsid w:val="5F1C0ECA"/>
    <w:rsid w:val="5F1CA60D"/>
    <w:rsid w:val="5F1E7881"/>
    <w:rsid w:val="5F200736"/>
    <w:rsid w:val="5F215851"/>
    <w:rsid w:val="5F241B08"/>
    <w:rsid w:val="5F2428C0"/>
    <w:rsid w:val="5F274F8C"/>
    <w:rsid w:val="5F2E6C2C"/>
    <w:rsid w:val="5F306A17"/>
    <w:rsid w:val="5F317220"/>
    <w:rsid w:val="5F34E68E"/>
    <w:rsid w:val="5F362691"/>
    <w:rsid w:val="5F367F8F"/>
    <w:rsid w:val="5F371982"/>
    <w:rsid w:val="5F3D0D7C"/>
    <w:rsid w:val="5F3DFAD5"/>
    <w:rsid w:val="5F4685AC"/>
    <w:rsid w:val="5F495FBA"/>
    <w:rsid w:val="5F4C701C"/>
    <w:rsid w:val="5F4E2B84"/>
    <w:rsid w:val="5F5A9FB2"/>
    <w:rsid w:val="5F60EDEF"/>
    <w:rsid w:val="5F63D676"/>
    <w:rsid w:val="5F64613F"/>
    <w:rsid w:val="5F668948"/>
    <w:rsid w:val="5F67F818"/>
    <w:rsid w:val="5F6C1825"/>
    <w:rsid w:val="5F6C1A6E"/>
    <w:rsid w:val="5F6DF38A"/>
    <w:rsid w:val="5F71A3C5"/>
    <w:rsid w:val="5F71CA41"/>
    <w:rsid w:val="5F7BFA9F"/>
    <w:rsid w:val="5F7E9F13"/>
    <w:rsid w:val="5F7F833B"/>
    <w:rsid w:val="5F815E7E"/>
    <w:rsid w:val="5F8676A9"/>
    <w:rsid w:val="5F86C97D"/>
    <w:rsid w:val="5F871101"/>
    <w:rsid w:val="5F8B18DB"/>
    <w:rsid w:val="5F943DFE"/>
    <w:rsid w:val="5F9F618E"/>
    <w:rsid w:val="5FA20752"/>
    <w:rsid w:val="5FA4D78A"/>
    <w:rsid w:val="5FA71D1A"/>
    <w:rsid w:val="5FA76E15"/>
    <w:rsid w:val="5FAAC7D2"/>
    <w:rsid w:val="5FABC436"/>
    <w:rsid w:val="5FAC2102"/>
    <w:rsid w:val="5FAD1BA5"/>
    <w:rsid w:val="5FB0F10E"/>
    <w:rsid w:val="5FB12AA9"/>
    <w:rsid w:val="5FB70137"/>
    <w:rsid w:val="5FC07680"/>
    <w:rsid w:val="5FC07FF4"/>
    <w:rsid w:val="5FC53E55"/>
    <w:rsid w:val="5FC577AE"/>
    <w:rsid w:val="5FC64342"/>
    <w:rsid w:val="5FC6CFA4"/>
    <w:rsid w:val="5FCAF00F"/>
    <w:rsid w:val="5FCBC3D3"/>
    <w:rsid w:val="5FD73264"/>
    <w:rsid w:val="5FD96C33"/>
    <w:rsid w:val="5FDB2FB3"/>
    <w:rsid w:val="5FDB9616"/>
    <w:rsid w:val="5FDE06B1"/>
    <w:rsid w:val="5FDF40FA"/>
    <w:rsid w:val="5FE06958"/>
    <w:rsid w:val="5FE34E7D"/>
    <w:rsid w:val="5FE7B06F"/>
    <w:rsid w:val="5FEB6E3E"/>
    <w:rsid w:val="5FEDB5F9"/>
    <w:rsid w:val="5FEFB14A"/>
    <w:rsid w:val="5FF13D2D"/>
    <w:rsid w:val="5FF71AD9"/>
    <w:rsid w:val="60017CC7"/>
    <w:rsid w:val="60032788"/>
    <w:rsid w:val="60059ED9"/>
    <w:rsid w:val="60066941"/>
    <w:rsid w:val="60068A7E"/>
    <w:rsid w:val="600D09B6"/>
    <w:rsid w:val="601191EE"/>
    <w:rsid w:val="601195C3"/>
    <w:rsid w:val="601BFD12"/>
    <w:rsid w:val="60207BFB"/>
    <w:rsid w:val="6020C9C5"/>
    <w:rsid w:val="602372BE"/>
    <w:rsid w:val="6024EFED"/>
    <w:rsid w:val="6025BE2E"/>
    <w:rsid w:val="602860A2"/>
    <w:rsid w:val="6029F636"/>
    <w:rsid w:val="602BC821"/>
    <w:rsid w:val="602EA318"/>
    <w:rsid w:val="60313268"/>
    <w:rsid w:val="60444C25"/>
    <w:rsid w:val="60446E78"/>
    <w:rsid w:val="604487FF"/>
    <w:rsid w:val="6046478B"/>
    <w:rsid w:val="60510E46"/>
    <w:rsid w:val="605CBA22"/>
    <w:rsid w:val="605DA0B7"/>
    <w:rsid w:val="605E78D3"/>
    <w:rsid w:val="60617302"/>
    <w:rsid w:val="60633018"/>
    <w:rsid w:val="606F27B2"/>
    <w:rsid w:val="60751FA3"/>
    <w:rsid w:val="60787495"/>
    <w:rsid w:val="607BD82B"/>
    <w:rsid w:val="607D1EA9"/>
    <w:rsid w:val="60828BA6"/>
    <w:rsid w:val="6082D35E"/>
    <w:rsid w:val="60873D9B"/>
    <w:rsid w:val="608ED841"/>
    <w:rsid w:val="608EDDAA"/>
    <w:rsid w:val="608FFFB6"/>
    <w:rsid w:val="6094327B"/>
    <w:rsid w:val="6096D986"/>
    <w:rsid w:val="6097226C"/>
    <w:rsid w:val="60980FE1"/>
    <w:rsid w:val="60A00D42"/>
    <w:rsid w:val="60A594CE"/>
    <w:rsid w:val="60A5D1A8"/>
    <w:rsid w:val="60A92216"/>
    <w:rsid w:val="60AB17FA"/>
    <w:rsid w:val="60B1A395"/>
    <w:rsid w:val="60B66FAF"/>
    <w:rsid w:val="60B838F0"/>
    <w:rsid w:val="60BA0FF6"/>
    <w:rsid w:val="60BB3C14"/>
    <w:rsid w:val="60BD1DF7"/>
    <w:rsid w:val="60C1B496"/>
    <w:rsid w:val="60C6AD7B"/>
    <w:rsid w:val="60CE01B1"/>
    <w:rsid w:val="60D0E7C0"/>
    <w:rsid w:val="60D1E4E6"/>
    <w:rsid w:val="60E02164"/>
    <w:rsid w:val="60E200FE"/>
    <w:rsid w:val="60E408E2"/>
    <w:rsid w:val="60EFFA8D"/>
    <w:rsid w:val="60F31DC5"/>
    <w:rsid w:val="60F39C06"/>
    <w:rsid w:val="60F666A8"/>
    <w:rsid w:val="60F7A1E7"/>
    <w:rsid w:val="60F7C82B"/>
    <w:rsid w:val="610204E4"/>
    <w:rsid w:val="610B007C"/>
    <w:rsid w:val="610B21D8"/>
    <w:rsid w:val="6112B96E"/>
    <w:rsid w:val="61152199"/>
    <w:rsid w:val="611857DD"/>
    <w:rsid w:val="61219858"/>
    <w:rsid w:val="6126BE1A"/>
    <w:rsid w:val="61281937"/>
    <w:rsid w:val="6128F3D7"/>
    <w:rsid w:val="6129C95C"/>
    <w:rsid w:val="612B1DC3"/>
    <w:rsid w:val="6130C20D"/>
    <w:rsid w:val="61358138"/>
    <w:rsid w:val="61404BCA"/>
    <w:rsid w:val="614658B3"/>
    <w:rsid w:val="6147955C"/>
    <w:rsid w:val="614BE2C5"/>
    <w:rsid w:val="614E8D87"/>
    <w:rsid w:val="61507214"/>
    <w:rsid w:val="615079ED"/>
    <w:rsid w:val="615370F3"/>
    <w:rsid w:val="6154DE11"/>
    <w:rsid w:val="615761E3"/>
    <w:rsid w:val="615B85F8"/>
    <w:rsid w:val="615E8789"/>
    <w:rsid w:val="616019D8"/>
    <w:rsid w:val="61623D1D"/>
    <w:rsid w:val="616DCDEA"/>
    <w:rsid w:val="616FAAFA"/>
    <w:rsid w:val="617739EF"/>
    <w:rsid w:val="6180D984"/>
    <w:rsid w:val="618B0DAF"/>
    <w:rsid w:val="618EC191"/>
    <w:rsid w:val="618FD3A0"/>
    <w:rsid w:val="619073C9"/>
    <w:rsid w:val="61978490"/>
    <w:rsid w:val="6199EAFA"/>
    <w:rsid w:val="619F6ABC"/>
    <w:rsid w:val="61A20EB8"/>
    <w:rsid w:val="61A63D51"/>
    <w:rsid w:val="61A81CD6"/>
    <w:rsid w:val="61B7DE37"/>
    <w:rsid w:val="61B8987A"/>
    <w:rsid w:val="61B8DDAA"/>
    <w:rsid w:val="61BA381E"/>
    <w:rsid w:val="61BBE314"/>
    <w:rsid w:val="61BC265F"/>
    <w:rsid w:val="61BE120B"/>
    <w:rsid w:val="61C69A8B"/>
    <w:rsid w:val="61C7D035"/>
    <w:rsid w:val="61CA17DA"/>
    <w:rsid w:val="61CC3FFB"/>
    <w:rsid w:val="61D3AB97"/>
    <w:rsid w:val="61E293C1"/>
    <w:rsid w:val="61EBE29E"/>
    <w:rsid w:val="61F2AC3D"/>
    <w:rsid w:val="61F47990"/>
    <w:rsid w:val="61F6C169"/>
    <w:rsid w:val="61FBB571"/>
    <w:rsid w:val="62036DC1"/>
    <w:rsid w:val="6207C7FB"/>
    <w:rsid w:val="620C78A1"/>
    <w:rsid w:val="620D8DE2"/>
    <w:rsid w:val="620FF2BA"/>
    <w:rsid w:val="62160EC2"/>
    <w:rsid w:val="621B5C49"/>
    <w:rsid w:val="62202B7F"/>
    <w:rsid w:val="62233C55"/>
    <w:rsid w:val="6223A6B5"/>
    <w:rsid w:val="6224701A"/>
    <w:rsid w:val="622A66A9"/>
    <w:rsid w:val="622E4F8A"/>
    <w:rsid w:val="6232A81A"/>
    <w:rsid w:val="6234222F"/>
    <w:rsid w:val="6239EBC3"/>
    <w:rsid w:val="623A22DC"/>
    <w:rsid w:val="623A543B"/>
    <w:rsid w:val="623FCB16"/>
    <w:rsid w:val="624398B0"/>
    <w:rsid w:val="6244E979"/>
    <w:rsid w:val="624702B4"/>
    <w:rsid w:val="624AFE7D"/>
    <w:rsid w:val="624B3010"/>
    <w:rsid w:val="624B894E"/>
    <w:rsid w:val="624E5C82"/>
    <w:rsid w:val="62568C12"/>
    <w:rsid w:val="625AA7E2"/>
    <w:rsid w:val="625B0B76"/>
    <w:rsid w:val="625E1054"/>
    <w:rsid w:val="6265D923"/>
    <w:rsid w:val="626CECFB"/>
    <w:rsid w:val="626F8B20"/>
    <w:rsid w:val="6271913D"/>
    <w:rsid w:val="62740F1E"/>
    <w:rsid w:val="62747595"/>
    <w:rsid w:val="62791B79"/>
    <w:rsid w:val="627B8689"/>
    <w:rsid w:val="627E8A01"/>
    <w:rsid w:val="62821299"/>
    <w:rsid w:val="62822259"/>
    <w:rsid w:val="62853779"/>
    <w:rsid w:val="62859F1A"/>
    <w:rsid w:val="6288FD1E"/>
    <w:rsid w:val="628B0732"/>
    <w:rsid w:val="628B1E91"/>
    <w:rsid w:val="628BFDF9"/>
    <w:rsid w:val="628CC737"/>
    <w:rsid w:val="628E7E65"/>
    <w:rsid w:val="6292895D"/>
    <w:rsid w:val="62955AB2"/>
    <w:rsid w:val="629866D1"/>
    <w:rsid w:val="62993E9E"/>
    <w:rsid w:val="629A2EFE"/>
    <w:rsid w:val="629E28CB"/>
    <w:rsid w:val="62A189FF"/>
    <w:rsid w:val="62A8FC19"/>
    <w:rsid w:val="62AA19ED"/>
    <w:rsid w:val="62AFEDD5"/>
    <w:rsid w:val="62B08E6C"/>
    <w:rsid w:val="62B1BE59"/>
    <w:rsid w:val="62BD03AC"/>
    <w:rsid w:val="62C1923A"/>
    <w:rsid w:val="62C33198"/>
    <w:rsid w:val="62C5854F"/>
    <w:rsid w:val="62C62029"/>
    <w:rsid w:val="62C7D112"/>
    <w:rsid w:val="62C8A79E"/>
    <w:rsid w:val="62D1C20C"/>
    <w:rsid w:val="62D1EA30"/>
    <w:rsid w:val="62D791AB"/>
    <w:rsid w:val="62DF137E"/>
    <w:rsid w:val="62E43D19"/>
    <w:rsid w:val="62E63D95"/>
    <w:rsid w:val="62E6D6DB"/>
    <w:rsid w:val="62E7A5AA"/>
    <w:rsid w:val="62EEDC29"/>
    <w:rsid w:val="62F6F395"/>
    <w:rsid w:val="62FC0F45"/>
    <w:rsid w:val="62FE6B91"/>
    <w:rsid w:val="63041977"/>
    <w:rsid w:val="6304A6AC"/>
    <w:rsid w:val="630ECE70"/>
    <w:rsid w:val="631111F3"/>
    <w:rsid w:val="6311F349"/>
    <w:rsid w:val="63165764"/>
    <w:rsid w:val="631794C8"/>
    <w:rsid w:val="6319C9AF"/>
    <w:rsid w:val="631A85FA"/>
    <w:rsid w:val="63207653"/>
    <w:rsid w:val="6320DD3E"/>
    <w:rsid w:val="632108F7"/>
    <w:rsid w:val="6321C760"/>
    <w:rsid w:val="63241F66"/>
    <w:rsid w:val="6327984D"/>
    <w:rsid w:val="6328AF4D"/>
    <w:rsid w:val="632DDFC5"/>
    <w:rsid w:val="632ECEAB"/>
    <w:rsid w:val="6335712D"/>
    <w:rsid w:val="6343B227"/>
    <w:rsid w:val="6344E615"/>
    <w:rsid w:val="63462640"/>
    <w:rsid w:val="63466332"/>
    <w:rsid w:val="63476225"/>
    <w:rsid w:val="6349012A"/>
    <w:rsid w:val="634A579E"/>
    <w:rsid w:val="6350D57D"/>
    <w:rsid w:val="6351FE2F"/>
    <w:rsid w:val="63564CEE"/>
    <w:rsid w:val="6359DFE2"/>
    <w:rsid w:val="635AB972"/>
    <w:rsid w:val="635B4394"/>
    <w:rsid w:val="635CC01D"/>
    <w:rsid w:val="635D3A78"/>
    <w:rsid w:val="635D5EF8"/>
    <w:rsid w:val="635FFFC4"/>
    <w:rsid w:val="6360208F"/>
    <w:rsid w:val="63613507"/>
    <w:rsid w:val="6367C9E6"/>
    <w:rsid w:val="63681A15"/>
    <w:rsid w:val="6368E1B1"/>
    <w:rsid w:val="636B58A8"/>
    <w:rsid w:val="636C7153"/>
    <w:rsid w:val="636E27C8"/>
    <w:rsid w:val="63704223"/>
    <w:rsid w:val="6377B70D"/>
    <w:rsid w:val="637A9CE3"/>
    <w:rsid w:val="637BF7E9"/>
    <w:rsid w:val="6386D8E5"/>
    <w:rsid w:val="638E3D69"/>
    <w:rsid w:val="63986C30"/>
    <w:rsid w:val="639A9F45"/>
    <w:rsid w:val="639E0EC9"/>
    <w:rsid w:val="63A0A0BB"/>
    <w:rsid w:val="63A113F0"/>
    <w:rsid w:val="63A98548"/>
    <w:rsid w:val="63AAC980"/>
    <w:rsid w:val="63AADEE8"/>
    <w:rsid w:val="63AC6F0A"/>
    <w:rsid w:val="63AC9DB2"/>
    <w:rsid w:val="63B00116"/>
    <w:rsid w:val="63B6FBC2"/>
    <w:rsid w:val="63B8608D"/>
    <w:rsid w:val="63BC97A8"/>
    <w:rsid w:val="63C0CC0D"/>
    <w:rsid w:val="63C7BEFF"/>
    <w:rsid w:val="63CD5648"/>
    <w:rsid w:val="63D35267"/>
    <w:rsid w:val="63D521F3"/>
    <w:rsid w:val="63D62357"/>
    <w:rsid w:val="63E11FAE"/>
    <w:rsid w:val="63E60B57"/>
    <w:rsid w:val="63F18135"/>
    <w:rsid w:val="63F73820"/>
    <w:rsid w:val="63FAB7CC"/>
    <w:rsid w:val="63FB6BCE"/>
    <w:rsid w:val="64004DAD"/>
    <w:rsid w:val="6405A267"/>
    <w:rsid w:val="6409D8EB"/>
    <w:rsid w:val="640B305D"/>
    <w:rsid w:val="64158613"/>
    <w:rsid w:val="641BDE76"/>
    <w:rsid w:val="641C20AB"/>
    <w:rsid w:val="64214183"/>
    <w:rsid w:val="642A6371"/>
    <w:rsid w:val="64311653"/>
    <w:rsid w:val="6432F914"/>
    <w:rsid w:val="643307F2"/>
    <w:rsid w:val="6433CE52"/>
    <w:rsid w:val="64372F96"/>
    <w:rsid w:val="643ADC8F"/>
    <w:rsid w:val="643C15A6"/>
    <w:rsid w:val="643D5EE9"/>
    <w:rsid w:val="643E3293"/>
    <w:rsid w:val="644ABCD9"/>
    <w:rsid w:val="644D2159"/>
    <w:rsid w:val="644E834C"/>
    <w:rsid w:val="6450EC02"/>
    <w:rsid w:val="6459CD4F"/>
    <w:rsid w:val="645A0194"/>
    <w:rsid w:val="645A58A2"/>
    <w:rsid w:val="645B8100"/>
    <w:rsid w:val="6460B828"/>
    <w:rsid w:val="64621868"/>
    <w:rsid w:val="6463C0B0"/>
    <w:rsid w:val="6467655F"/>
    <w:rsid w:val="646EFBEC"/>
    <w:rsid w:val="64735403"/>
    <w:rsid w:val="647411EF"/>
    <w:rsid w:val="6476C7E9"/>
    <w:rsid w:val="647BF886"/>
    <w:rsid w:val="6482A42B"/>
    <w:rsid w:val="648346DD"/>
    <w:rsid w:val="648AB83F"/>
    <w:rsid w:val="648D6E16"/>
    <w:rsid w:val="648E2DB1"/>
    <w:rsid w:val="64918AE2"/>
    <w:rsid w:val="64987158"/>
    <w:rsid w:val="649E43EF"/>
    <w:rsid w:val="649E8415"/>
    <w:rsid w:val="649ED99E"/>
    <w:rsid w:val="64AB545A"/>
    <w:rsid w:val="64B10899"/>
    <w:rsid w:val="64B2025F"/>
    <w:rsid w:val="64B70636"/>
    <w:rsid w:val="64B80213"/>
    <w:rsid w:val="64B8C558"/>
    <w:rsid w:val="64BBDFCB"/>
    <w:rsid w:val="64BD8C5D"/>
    <w:rsid w:val="64C3875F"/>
    <w:rsid w:val="64C3C568"/>
    <w:rsid w:val="64C73420"/>
    <w:rsid w:val="64C7416B"/>
    <w:rsid w:val="64D16759"/>
    <w:rsid w:val="64D55D83"/>
    <w:rsid w:val="64D5E749"/>
    <w:rsid w:val="64D92959"/>
    <w:rsid w:val="64DF79AD"/>
    <w:rsid w:val="64E0722E"/>
    <w:rsid w:val="64EA1098"/>
    <w:rsid w:val="64EB7504"/>
    <w:rsid w:val="64EF5B0F"/>
    <w:rsid w:val="64EFA72A"/>
    <w:rsid w:val="64F4414A"/>
    <w:rsid w:val="64F64B3A"/>
    <w:rsid w:val="64F96CC2"/>
    <w:rsid w:val="64FDB94D"/>
    <w:rsid w:val="65000B39"/>
    <w:rsid w:val="6500BC72"/>
    <w:rsid w:val="65066ABB"/>
    <w:rsid w:val="6509882B"/>
    <w:rsid w:val="650EC771"/>
    <w:rsid w:val="65127A67"/>
    <w:rsid w:val="651358EC"/>
    <w:rsid w:val="65203741"/>
    <w:rsid w:val="6524AEC0"/>
    <w:rsid w:val="6526B13E"/>
    <w:rsid w:val="652884FA"/>
    <w:rsid w:val="6528ACD3"/>
    <w:rsid w:val="65299317"/>
    <w:rsid w:val="652B3AD1"/>
    <w:rsid w:val="65351667"/>
    <w:rsid w:val="6539869A"/>
    <w:rsid w:val="653A1EC6"/>
    <w:rsid w:val="653A3FE9"/>
    <w:rsid w:val="653C8EFC"/>
    <w:rsid w:val="653FE040"/>
    <w:rsid w:val="6540A37A"/>
    <w:rsid w:val="654B2DA9"/>
    <w:rsid w:val="654CE534"/>
    <w:rsid w:val="65518B8B"/>
    <w:rsid w:val="6552E66D"/>
    <w:rsid w:val="6553A74E"/>
    <w:rsid w:val="655407BE"/>
    <w:rsid w:val="6555D2C7"/>
    <w:rsid w:val="65575BAE"/>
    <w:rsid w:val="65579C99"/>
    <w:rsid w:val="65610255"/>
    <w:rsid w:val="65672A63"/>
    <w:rsid w:val="6572C582"/>
    <w:rsid w:val="65761A8B"/>
    <w:rsid w:val="657921EE"/>
    <w:rsid w:val="657982D2"/>
    <w:rsid w:val="657CDA5A"/>
    <w:rsid w:val="65814D30"/>
    <w:rsid w:val="65868C9C"/>
    <w:rsid w:val="658E63C5"/>
    <w:rsid w:val="6595EEF5"/>
    <w:rsid w:val="6598576B"/>
    <w:rsid w:val="65A03979"/>
    <w:rsid w:val="65A264A0"/>
    <w:rsid w:val="65A28D5D"/>
    <w:rsid w:val="65A55145"/>
    <w:rsid w:val="65A5C144"/>
    <w:rsid w:val="65A84D44"/>
    <w:rsid w:val="65B06976"/>
    <w:rsid w:val="65B24A91"/>
    <w:rsid w:val="65B48094"/>
    <w:rsid w:val="65B4D5F0"/>
    <w:rsid w:val="65B790B7"/>
    <w:rsid w:val="65BA3EE3"/>
    <w:rsid w:val="65BD5D60"/>
    <w:rsid w:val="65BE7B0E"/>
    <w:rsid w:val="65BE9A01"/>
    <w:rsid w:val="65CAA8B4"/>
    <w:rsid w:val="65CE6FBC"/>
    <w:rsid w:val="65D16CDD"/>
    <w:rsid w:val="65D2692A"/>
    <w:rsid w:val="65D5534F"/>
    <w:rsid w:val="65D58430"/>
    <w:rsid w:val="65DA2A53"/>
    <w:rsid w:val="65DAE8F8"/>
    <w:rsid w:val="65DFE4D9"/>
    <w:rsid w:val="65E09040"/>
    <w:rsid w:val="65E0E03D"/>
    <w:rsid w:val="65EC2F67"/>
    <w:rsid w:val="65EEC578"/>
    <w:rsid w:val="65F12C3C"/>
    <w:rsid w:val="65F50925"/>
    <w:rsid w:val="65F9C0B4"/>
    <w:rsid w:val="65FA2840"/>
    <w:rsid w:val="65FD1762"/>
    <w:rsid w:val="65FFAB6C"/>
    <w:rsid w:val="66044C90"/>
    <w:rsid w:val="6604E592"/>
    <w:rsid w:val="66066DFD"/>
    <w:rsid w:val="660B2E76"/>
    <w:rsid w:val="660D625E"/>
    <w:rsid w:val="660E997A"/>
    <w:rsid w:val="661497A0"/>
    <w:rsid w:val="6617FF19"/>
    <w:rsid w:val="661C2D77"/>
    <w:rsid w:val="661CEDD6"/>
    <w:rsid w:val="6620D83A"/>
    <w:rsid w:val="6621C070"/>
    <w:rsid w:val="6622F65C"/>
    <w:rsid w:val="662499D7"/>
    <w:rsid w:val="662512D8"/>
    <w:rsid w:val="662C43C7"/>
    <w:rsid w:val="662D5BDE"/>
    <w:rsid w:val="66316E85"/>
    <w:rsid w:val="663176E4"/>
    <w:rsid w:val="66362747"/>
    <w:rsid w:val="663BEED5"/>
    <w:rsid w:val="663DCC64"/>
    <w:rsid w:val="66471AE5"/>
    <w:rsid w:val="6648E6D8"/>
    <w:rsid w:val="664C4904"/>
    <w:rsid w:val="664D44CF"/>
    <w:rsid w:val="664EAB1C"/>
    <w:rsid w:val="66502469"/>
    <w:rsid w:val="66534857"/>
    <w:rsid w:val="66577C8D"/>
    <w:rsid w:val="6659C82A"/>
    <w:rsid w:val="665A0C4A"/>
    <w:rsid w:val="665AB22E"/>
    <w:rsid w:val="6663A21D"/>
    <w:rsid w:val="666464BA"/>
    <w:rsid w:val="666565B9"/>
    <w:rsid w:val="666A3909"/>
    <w:rsid w:val="666DCBCC"/>
    <w:rsid w:val="6670064E"/>
    <w:rsid w:val="66733262"/>
    <w:rsid w:val="66765FB2"/>
    <w:rsid w:val="667F98CB"/>
    <w:rsid w:val="6680B11D"/>
    <w:rsid w:val="6683654D"/>
    <w:rsid w:val="668567B4"/>
    <w:rsid w:val="668946AA"/>
    <w:rsid w:val="668A08F6"/>
    <w:rsid w:val="668D04FB"/>
    <w:rsid w:val="668FD221"/>
    <w:rsid w:val="66923418"/>
    <w:rsid w:val="669A94F6"/>
    <w:rsid w:val="66A6FB5F"/>
    <w:rsid w:val="66B2D85E"/>
    <w:rsid w:val="66B5DF7C"/>
    <w:rsid w:val="66BA2048"/>
    <w:rsid w:val="66C03F21"/>
    <w:rsid w:val="66C1AE32"/>
    <w:rsid w:val="66C44673"/>
    <w:rsid w:val="66C8D874"/>
    <w:rsid w:val="66CE4324"/>
    <w:rsid w:val="66D364C9"/>
    <w:rsid w:val="66D56836"/>
    <w:rsid w:val="66DFBC53"/>
    <w:rsid w:val="66E7C5E6"/>
    <w:rsid w:val="66EB02C5"/>
    <w:rsid w:val="66F4BA32"/>
    <w:rsid w:val="66F94491"/>
    <w:rsid w:val="66FA1755"/>
    <w:rsid w:val="66FE233D"/>
    <w:rsid w:val="6709C550"/>
    <w:rsid w:val="6709D248"/>
    <w:rsid w:val="670CFE7E"/>
    <w:rsid w:val="670D83F1"/>
    <w:rsid w:val="670DB02B"/>
    <w:rsid w:val="671367CD"/>
    <w:rsid w:val="6713FE1B"/>
    <w:rsid w:val="6714A78F"/>
    <w:rsid w:val="6715F2DF"/>
    <w:rsid w:val="67168A2D"/>
    <w:rsid w:val="671A8DD0"/>
    <w:rsid w:val="671FB39B"/>
    <w:rsid w:val="67241DD9"/>
    <w:rsid w:val="6725BF9C"/>
    <w:rsid w:val="6728D42B"/>
    <w:rsid w:val="672968AF"/>
    <w:rsid w:val="6730B0C1"/>
    <w:rsid w:val="6733FDC6"/>
    <w:rsid w:val="6734805C"/>
    <w:rsid w:val="673AA84D"/>
    <w:rsid w:val="673BF389"/>
    <w:rsid w:val="673C80FE"/>
    <w:rsid w:val="673F478C"/>
    <w:rsid w:val="673F57E6"/>
    <w:rsid w:val="6743F081"/>
    <w:rsid w:val="67440BDD"/>
    <w:rsid w:val="67469407"/>
    <w:rsid w:val="6746EE56"/>
    <w:rsid w:val="674A6285"/>
    <w:rsid w:val="67537D00"/>
    <w:rsid w:val="6754C0DD"/>
    <w:rsid w:val="6756DEF2"/>
    <w:rsid w:val="675701B4"/>
    <w:rsid w:val="675A2F29"/>
    <w:rsid w:val="675A65FE"/>
    <w:rsid w:val="675B9FC3"/>
    <w:rsid w:val="675C4513"/>
    <w:rsid w:val="675D8D90"/>
    <w:rsid w:val="675FC97A"/>
    <w:rsid w:val="676164EE"/>
    <w:rsid w:val="6766407A"/>
    <w:rsid w:val="67692276"/>
    <w:rsid w:val="6778314B"/>
    <w:rsid w:val="677C0610"/>
    <w:rsid w:val="677D59B2"/>
    <w:rsid w:val="677E9DFC"/>
    <w:rsid w:val="677EB432"/>
    <w:rsid w:val="6782534F"/>
    <w:rsid w:val="678E59A1"/>
    <w:rsid w:val="678F63A7"/>
    <w:rsid w:val="6795B419"/>
    <w:rsid w:val="67969D21"/>
    <w:rsid w:val="679794B1"/>
    <w:rsid w:val="679D03E9"/>
    <w:rsid w:val="679D692E"/>
    <w:rsid w:val="679D6D38"/>
    <w:rsid w:val="67A151A8"/>
    <w:rsid w:val="67ADDCB8"/>
    <w:rsid w:val="67B9F9F4"/>
    <w:rsid w:val="67BFDA16"/>
    <w:rsid w:val="67CEBE65"/>
    <w:rsid w:val="67D6F9EF"/>
    <w:rsid w:val="67DBB197"/>
    <w:rsid w:val="67DBF7E7"/>
    <w:rsid w:val="67DC1736"/>
    <w:rsid w:val="67DD24C1"/>
    <w:rsid w:val="67E7D452"/>
    <w:rsid w:val="67E7FFBB"/>
    <w:rsid w:val="67E95DB2"/>
    <w:rsid w:val="67EAB0CD"/>
    <w:rsid w:val="67EE8CEF"/>
    <w:rsid w:val="67F06E12"/>
    <w:rsid w:val="67F144AC"/>
    <w:rsid w:val="67F4C43A"/>
    <w:rsid w:val="67F5A20F"/>
    <w:rsid w:val="67FF0645"/>
    <w:rsid w:val="67FF8E59"/>
    <w:rsid w:val="6808A52D"/>
    <w:rsid w:val="68095D6F"/>
    <w:rsid w:val="680BF956"/>
    <w:rsid w:val="68114600"/>
    <w:rsid w:val="68165FC8"/>
    <w:rsid w:val="6822D546"/>
    <w:rsid w:val="6829B24B"/>
    <w:rsid w:val="682B275A"/>
    <w:rsid w:val="68339FA3"/>
    <w:rsid w:val="683453BB"/>
    <w:rsid w:val="6836EC42"/>
    <w:rsid w:val="68422C01"/>
    <w:rsid w:val="6844585A"/>
    <w:rsid w:val="68453C9D"/>
    <w:rsid w:val="684C0039"/>
    <w:rsid w:val="684CF741"/>
    <w:rsid w:val="684DC6EB"/>
    <w:rsid w:val="684E399E"/>
    <w:rsid w:val="68573816"/>
    <w:rsid w:val="685E7B06"/>
    <w:rsid w:val="685E973E"/>
    <w:rsid w:val="68626AF5"/>
    <w:rsid w:val="68666EC4"/>
    <w:rsid w:val="6867E0D8"/>
    <w:rsid w:val="686941D6"/>
    <w:rsid w:val="686D2468"/>
    <w:rsid w:val="6873CA33"/>
    <w:rsid w:val="68757C1B"/>
    <w:rsid w:val="68762FCA"/>
    <w:rsid w:val="68774A36"/>
    <w:rsid w:val="6886693F"/>
    <w:rsid w:val="688682A3"/>
    <w:rsid w:val="68868BE3"/>
    <w:rsid w:val="68873B32"/>
    <w:rsid w:val="688D18BD"/>
    <w:rsid w:val="68941EE0"/>
    <w:rsid w:val="68947950"/>
    <w:rsid w:val="68965E21"/>
    <w:rsid w:val="689747EA"/>
    <w:rsid w:val="689D7207"/>
    <w:rsid w:val="68A82ABB"/>
    <w:rsid w:val="68AE0628"/>
    <w:rsid w:val="68B18B18"/>
    <w:rsid w:val="68BA1A03"/>
    <w:rsid w:val="68C031DB"/>
    <w:rsid w:val="68C8900F"/>
    <w:rsid w:val="68C98CC1"/>
    <w:rsid w:val="68CCC7F8"/>
    <w:rsid w:val="68CD102E"/>
    <w:rsid w:val="68CDF054"/>
    <w:rsid w:val="68CF65A3"/>
    <w:rsid w:val="68D1B3B8"/>
    <w:rsid w:val="68DA720D"/>
    <w:rsid w:val="68E00935"/>
    <w:rsid w:val="68E4F359"/>
    <w:rsid w:val="68E76D97"/>
    <w:rsid w:val="68E89944"/>
    <w:rsid w:val="68EA463F"/>
    <w:rsid w:val="68EA7D93"/>
    <w:rsid w:val="68EAEAEB"/>
    <w:rsid w:val="68EAF3C3"/>
    <w:rsid w:val="68EEF741"/>
    <w:rsid w:val="68EEF92F"/>
    <w:rsid w:val="68F7C1C0"/>
    <w:rsid w:val="68F970BF"/>
    <w:rsid w:val="69005E73"/>
    <w:rsid w:val="6908D843"/>
    <w:rsid w:val="690B8E29"/>
    <w:rsid w:val="690D3C42"/>
    <w:rsid w:val="6911F724"/>
    <w:rsid w:val="6916585C"/>
    <w:rsid w:val="6918A619"/>
    <w:rsid w:val="691B3FA5"/>
    <w:rsid w:val="691B7353"/>
    <w:rsid w:val="691D493B"/>
    <w:rsid w:val="6925592F"/>
    <w:rsid w:val="6927EE80"/>
    <w:rsid w:val="6928B48C"/>
    <w:rsid w:val="692A8B26"/>
    <w:rsid w:val="692F4930"/>
    <w:rsid w:val="692FACB5"/>
    <w:rsid w:val="6932805F"/>
    <w:rsid w:val="6933CD68"/>
    <w:rsid w:val="6949870F"/>
    <w:rsid w:val="694A3F96"/>
    <w:rsid w:val="694B0511"/>
    <w:rsid w:val="694EE7EA"/>
    <w:rsid w:val="6959EDFC"/>
    <w:rsid w:val="69615702"/>
    <w:rsid w:val="696367D4"/>
    <w:rsid w:val="696943BB"/>
    <w:rsid w:val="696A30C2"/>
    <w:rsid w:val="696AE1CA"/>
    <w:rsid w:val="696D21DE"/>
    <w:rsid w:val="696E0245"/>
    <w:rsid w:val="69717670"/>
    <w:rsid w:val="697AEB29"/>
    <w:rsid w:val="6982D96E"/>
    <w:rsid w:val="698A365C"/>
    <w:rsid w:val="698A941F"/>
    <w:rsid w:val="698C8A17"/>
    <w:rsid w:val="698DEF0A"/>
    <w:rsid w:val="69917EA6"/>
    <w:rsid w:val="699BE5AD"/>
    <w:rsid w:val="69AAC8D6"/>
    <w:rsid w:val="69AAFDE3"/>
    <w:rsid w:val="69ABFA0B"/>
    <w:rsid w:val="69B05FF4"/>
    <w:rsid w:val="69B678D5"/>
    <w:rsid w:val="69BDF2D0"/>
    <w:rsid w:val="69C585C2"/>
    <w:rsid w:val="69C69886"/>
    <w:rsid w:val="69CD29FB"/>
    <w:rsid w:val="69D0D14C"/>
    <w:rsid w:val="69D450CD"/>
    <w:rsid w:val="69D4E6ED"/>
    <w:rsid w:val="69D83E21"/>
    <w:rsid w:val="69D84A2D"/>
    <w:rsid w:val="69DB4C15"/>
    <w:rsid w:val="69DFB413"/>
    <w:rsid w:val="69E36809"/>
    <w:rsid w:val="69E484EA"/>
    <w:rsid w:val="69E8C167"/>
    <w:rsid w:val="69EDF52B"/>
    <w:rsid w:val="69EE36FC"/>
    <w:rsid w:val="69F09EF2"/>
    <w:rsid w:val="69F4D717"/>
    <w:rsid w:val="69F6FB05"/>
    <w:rsid w:val="69F9A629"/>
    <w:rsid w:val="69F9C769"/>
    <w:rsid w:val="69FE25FC"/>
    <w:rsid w:val="6A0234B9"/>
    <w:rsid w:val="6A046DF5"/>
    <w:rsid w:val="6A04B21E"/>
    <w:rsid w:val="6A0586C0"/>
    <w:rsid w:val="6A095E59"/>
    <w:rsid w:val="6A09E5A8"/>
    <w:rsid w:val="6A0A352F"/>
    <w:rsid w:val="6A0BA0F1"/>
    <w:rsid w:val="6A0C8928"/>
    <w:rsid w:val="6A12BA09"/>
    <w:rsid w:val="6A168134"/>
    <w:rsid w:val="6A213727"/>
    <w:rsid w:val="6A22C5BF"/>
    <w:rsid w:val="6A2E7D01"/>
    <w:rsid w:val="6A2ED717"/>
    <w:rsid w:val="6A2F663C"/>
    <w:rsid w:val="6A31739D"/>
    <w:rsid w:val="6A320C6A"/>
    <w:rsid w:val="6A346EF5"/>
    <w:rsid w:val="6A381137"/>
    <w:rsid w:val="6A38B670"/>
    <w:rsid w:val="6A3C039B"/>
    <w:rsid w:val="6A3E64B8"/>
    <w:rsid w:val="6A3FC98A"/>
    <w:rsid w:val="6A3FE84B"/>
    <w:rsid w:val="6A42A765"/>
    <w:rsid w:val="6A449ACA"/>
    <w:rsid w:val="6A48EB2D"/>
    <w:rsid w:val="6A4BACF0"/>
    <w:rsid w:val="6A4D4046"/>
    <w:rsid w:val="6A4D5F80"/>
    <w:rsid w:val="6A4DE15C"/>
    <w:rsid w:val="6A57CFC0"/>
    <w:rsid w:val="6A5B9D39"/>
    <w:rsid w:val="6A5D8F4C"/>
    <w:rsid w:val="6A5FE7FB"/>
    <w:rsid w:val="6A603FFE"/>
    <w:rsid w:val="6A624B25"/>
    <w:rsid w:val="6A638F26"/>
    <w:rsid w:val="6A698762"/>
    <w:rsid w:val="6A6EC30E"/>
    <w:rsid w:val="6A72ACEB"/>
    <w:rsid w:val="6A735F25"/>
    <w:rsid w:val="6A74B2B9"/>
    <w:rsid w:val="6A79FF88"/>
    <w:rsid w:val="6A7A1CFF"/>
    <w:rsid w:val="6A7D55A6"/>
    <w:rsid w:val="6A7EC4A9"/>
    <w:rsid w:val="6A890A53"/>
    <w:rsid w:val="6A8916B0"/>
    <w:rsid w:val="6A8D9F2A"/>
    <w:rsid w:val="6A929D4C"/>
    <w:rsid w:val="6A944D68"/>
    <w:rsid w:val="6A94B20F"/>
    <w:rsid w:val="6A986474"/>
    <w:rsid w:val="6A9CA94D"/>
    <w:rsid w:val="6A9DB0E1"/>
    <w:rsid w:val="6AA2CDE3"/>
    <w:rsid w:val="6AA503A0"/>
    <w:rsid w:val="6AAD950A"/>
    <w:rsid w:val="6AADEADB"/>
    <w:rsid w:val="6AB02F99"/>
    <w:rsid w:val="6AB0DC50"/>
    <w:rsid w:val="6AB416C6"/>
    <w:rsid w:val="6AB4264C"/>
    <w:rsid w:val="6AB864A5"/>
    <w:rsid w:val="6ABEDAE6"/>
    <w:rsid w:val="6ABEEB72"/>
    <w:rsid w:val="6AC6CB26"/>
    <w:rsid w:val="6AC736E5"/>
    <w:rsid w:val="6AC76F39"/>
    <w:rsid w:val="6ACA92DC"/>
    <w:rsid w:val="6ACD64CC"/>
    <w:rsid w:val="6ACF8D27"/>
    <w:rsid w:val="6ADC2969"/>
    <w:rsid w:val="6ADD21F6"/>
    <w:rsid w:val="6AE0FB5B"/>
    <w:rsid w:val="6AE8C64F"/>
    <w:rsid w:val="6AEAF7BF"/>
    <w:rsid w:val="6AFE09CF"/>
    <w:rsid w:val="6B0726DF"/>
    <w:rsid w:val="6B0A8D42"/>
    <w:rsid w:val="6B199416"/>
    <w:rsid w:val="6B1D8D76"/>
    <w:rsid w:val="6B1FAC3D"/>
    <w:rsid w:val="6B22766D"/>
    <w:rsid w:val="6B23A216"/>
    <w:rsid w:val="6B25D0FF"/>
    <w:rsid w:val="6B27A61E"/>
    <w:rsid w:val="6B283A7F"/>
    <w:rsid w:val="6B28C50F"/>
    <w:rsid w:val="6B28F642"/>
    <w:rsid w:val="6B296E64"/>
    <w:rsid w:val="6B2B9A66"/>
    <w:rsid w:val="6B2C5CBB"/>
    <w:rsid w:val="6B2E5054"/>
    <w:rsid w:val="6B30C645"/>
    <w:rsid w:val="6B31BA67"/>
    <w:rsid w:val="6B3E5053"/>
    <w:rsid w:val="6B3EC958"/>
    <w:rsid w:val="6B418C47"/>
    <w:rsid w:val="6B4249B9"/>
    <w:rsid w:val="6B43546F"/>
    <w:rsid w:val="6B4C9C69"/>
    <w:rsid w:val="6B4EC9A1"/>
    <w:rsid w:val="6B4F3F73"/>
    <w:rsid w:val="6B56E482"/>
    <w:rsid w:val="6B572E42"/>
    <w:rsid w:val="6B578CB3"/>
    <w:rsid w:val="6B5E5567"/>
    <w:rsid w:val="6B62C8B8"/>
    <w:rsid w:val="6B68F418"/>
    <w:rsid w:val="6B6AE8DB"/>
    <w:rsid w:val="6B6C3EB2"/>
    <w:rsid w:val="6B6E30B1"/>
    <w:rsid w:val="6B70BB36"/>
    <w:rsid w:val="6B73341C"/>
    <w:rsid w:val="6B754C98"/>
    <w:rsid w:val="6B7869FF"/>
    <w:rsid w:val="6B794A1E"/>
    <w:rsid w:val="6B7ADAB4"/>
    <w:rsid w:val="6B7B72FF"/>
    <w:rsid w:val="6B7E57C1"/>
    <w:rsid w:val="6B7E8AF9"/>
    <w:rsid w:val="6B81E948"/>
    <w:rsid w:val="6B857207"/>
    <w:rsid w:val="6B8B2D78"/>
    <w:rsid w:val="6B9070AE"/>
    <w:rsid w:val="6B91D2E5"/>
    <w:rsid w:val="6B9C8CC8"/>
    <w:rsid w:val="6B9E93AF"/>
    <w:rsid w:val="6B9FF592"/>
    <w:rsid w:val="6BA17A19"/>
    <w:rsid w:val="6BA6E44C"/>
    <w:rsid w:val="6BAF1A2F"/>
    <w:rsid w:val="6BB6A2B3"/>
    <w:rsid w:val="6BBB5727"/>
    <w:rsid w:val="6BC06AE2"/>
    <w:rsid w:val="6BC597D5"/>
    <w:rsid w:val="6BCDFAD8"/>
    <w:rsid w:val="6BD7FB97"/>
    <w:rsid w:val="6BD85BE6"/>
    <w:rsid w:val="6BD9A923"/>
    <w:rsid w:val="6BDA6285"/>
    <w:rsid w:val="6BDF4BDE"/>
    <w:rsid w:val="6BDFB1DE"/>
    <w:rsid w:val="6BE03553"/>
    <w:rsid w:val="6BE0D143"/>
    <w:rsid w:val="6BE106E6"/>
    <w:rsid w:val="6BE33121"/>
    <w:rsid w:val="6BE5843E"/>
    <w:rsid w:val="6BED3C02"/>
    <w:rsid w:val="6BF0FD2A"/>
    <w:rsid w:val="6BF7470B"/>
    <w:rsid w:val="6BF921B1"/>
    <w:rsid w:val="6BFD95C2"/>
    <w:rsid w:val="6C033313"/>
    <w:rsid w:val="6C057D1B"/>
    <w:rsid w:val="6C109E75"/>
    <w:rsid w:val="6C10C1FD"/>
    <w:rsid w:val="6C1138F3"/>
    <w:rsid w:val="6C161E9F"/>
    <w:rsid w:val="6C18565B"/>
    <w:rsid w:val="6C19D7CA"/>
    <w:rsid w:val="6C1B2F50"/>
    <w:rsid w:val="6C1DA576"/>
    <w:rsid w:val="6C38305C"/>
    <w:rsid w:val="6C3AF48C"/>
    <w:rsid w:val="6C3DDE7F"/>
    <w:rsid w:val="6C406913"/>
    <w:rsid w:val="6C457C60"/>
    <w:rsid w:val="6C47A496"/>
    <w:rsid w:val="6C4810D7"/>
    <w:rsid w:val="6C495606"/>
    <w:rsid w:val="6C5038C8"/>
    <w:rsid w:val="6C51D4AC"/>
    <w:rsid w:val="6C52B1DB"/>
    <w:rsid w:val="6C539827"/>
    <w:rsid w:val="6C544466"/>
    <w:rsid w:val="6C5C34C9"/>
    <w:rsid w:val="6C5CD2FD"/>
    <w:rsid w:val="6C6690E2"/>
    <w:rsid w:val="6C6C9C64"/>
    <w:rsid w:val="6C6E26B5"/>
    <w:rsid w:val="6C72C66D"/>
    <w:rsid w:val="6C78B83E"/>
    <w:rsid w:val="6C7A17BC"/>
    <w:rsid w:val="6C7B65B6"/>
    <w:rsid w:val="6C7C3493"/>
    <w:rsid w:val="6C7E3F7F"/>
    <w:rsid w:val="6C80425B"/>
    <w:rsid w:val="6C85F32C"/>
    <w:rsid w:val="6C882800"/>
    <w:rsid w:val="6C8925FD"/>
    <w:rsid w:val="6C8AE31E"/>
    <w:rsid w:val="6C8E8DA2"/>
    <w:rsid w:val="6C8FB7CF"/>
    <w:rsid w:val="6C9251A3"/>
    <w:rsid w:val="6C96E36F"/>
    <w:rsid w:val="6CA638D7"/>
    <w:rsid w:val="6CAAA4E2"/>
    <w:rsid w:val="6CAB436D"/>
    <w:rsid w:val="6CABAC85"/>
    <w:rsid w:val="6CB14F8A"/>
    <w:rsid w:val="6CB32DD0"/>
    <w:rsid w:val="6CB3D120"/>
    <w:rsid w:val="6CC7D3A5"/>
    <w:rsid w:val="6CCBE024"/>
    <w:rsid w:val="6CCBF8D1"/>
    <w:rsid w:val="6CCE1CD2"/>
    <w:rsid w:val="6CD393AE"/>
    <w:rsid w:val="6CD5516D"/>
    <w:rsid w:val="6CD5A6CF"/>
    <w:rsid w:val="6CD68860"/>
    <w:rsid w:val="6CD7975D"/>
    <w:rsid w:val="6CE1C8B9"/>
    <w:rsid w:val="6CE28EF5"/>
    <w:rsid w:val="6CEFC94F"/>
    <w:rsid w:val="6CF0E860"/>
    <w:rsid w:val="6CF77EBB"/>
    <w:rsid w:val="6CFCC366"/>
    <w:rsid w:val="6CFD06AC"/>
    <w:rsid w:val="6CFFC542"/>
    <w:rsid w:val="6D00E761"/>
    <w:rsid w:val="6D0216C4"/>
    <w:rsid w:val="6D11B600"/>
    <w:rsid w:val="6D12DD5C"/>
    <w:rsid w:val="6D144D61"/>
    <w:rsid w:val="6D15D875"/>
    <w:rsid w:val="6D174230"/>
    <w:rsid w:val="6D1A35A4"/>
    <w:rsid w:val="6D1A58A7"/>
    <w:rsid w:val="6D1D6627"/>
    <w:rsid w:val="6D1E512E"/>
    <w:rsid w:val="6D201C43"/>
    <w:rsid w:val="6D25CF39"/>
    <w:rsid w:val="6D2949CB"/>
    <w:rsid w:val="6D2CA53D"/>
    <w:rsid w:val="6D32FDC8"/>
    <w:rsid w:val="6D39D283"/>
    <w:rsid w:val="6D3F65D9"/>
    <w:rsid w:val="6D3F7438"/>
    <w:rsid w:val="6D48CE6B"/>
    <w:rsid w:val="6D54C3A6"/>
    <w:rsid w:val="6D582B47"/>
    <w:rsid w:val="6D62F9A2"/>
    <w:rsid w:val="6D725D02"/>
    <w:rsid w:val="6D741A2A"/>
    <w:rsid w:val="6D7BB383"/>
    <w:rsid w:val="6D7C492B"/>
    <w:rsid w:val="6D7EFA47"/>
    <w:rsid w:val="6D810235"/>
    <w:rsid w:val="6D93FD6A"/>
    <w:rsid w:val="6D9F45E1"/>
    <w:rsid w:val="6DA92C0A"/>
    <w:rsid w:val="6DAB1AD9"/>
    <w:rsid w:val="6DB00159"/>
    <w:rsid w:val="6DB3CABD"/>
    <w:rsid w:val="6DB41FC1"/>
    <w:rsid w:val="6DB54B2F"/>
    <w:rsid w:val="6DB63744"/>
    <w:rsid w:val="6DB6D534"/>
    <w:rsid w:val="6DB933B4"/>
    <w:rsid w:val="6DBB5149"/>
    <w:rsid w:val="6DBB68FC"/>
    <w:rsid w:val="6DBDCAF6"/>
    <w:rsid w:val="6DBFFE1E"/>
    <w:rsid w:val="6DC355EA"/>
    <w:rsid w:val="6DC43441"/>
    <w:rsid w:val="6DC54737"/>
    <w:rsid w:val="6DC6C998"/>
    <w:rsid w:val="6DC77492"/>
    <w:rsid w:val="6DCB8CF4"/>
    <w:rsid w:val="6DD29BB9"/>
    <w:rsid w:val="6DD95DFC"/>
    <w:rsid w:val="6DD9A0BC"/>
    <w:rsid w:val="6DDA6D65"/>
    <w:rsid w:val="6DE0590C"/>
    <w:rsid w:val="6DE3DB52"/>
    <w:rsid w:val="6DE5B241"/>
    <w:rsid w:val="6DEA625D"/>
    <w:rsid w:val="6DEB41B2"/>
    <w:rsid w:val="6DF4FAC8"/>
    <w:rsid w:val="6DF56FAB"/>
    <w:rsid w:val="6DFA9446"/>
    <w:rsid w:val="6E02AB4B"/>
    <w:rsid w:val="6E0AFA82"/>
    <w:rsid w:val="6E11716D"/>
    <w:rsid w:val="6E167F80"/>
    <w:rsid w:val="6E1E3257"/>
    <w:rsid w:val="6E215DA1"/>
    <w:rsid w:val="6E21A263"/>
    <w:rsid w:val="6E23DAB8"/>
    <w:rsid w:val="6E253ABB"/>
    <w:rsid w:val="6E265A9C"/>
    <w:rsid w:val="6E3ECE79"/>
    <w:rsid w:val="6E4260BC"/>
    <w:rsid w:val="6E455A02"/>
    <w:rsid w:val="6E46080F"/>
    <w:rsid w:val="6E4AA26F"/>
    <w:rsid w:val="6E4B45A1"/>
    <w:rsid w:val="6E562D56"/>
    <w:rsid w:val="6E5792C8"/>
    <w:rsid w:val="6E5C2C2F"/>
    <w:rsid w:val="6E5EFAC0"/>
    <w:rsid w:val="6E5F0F0A"/>
    <w:rsid w:val="6E6066AB"/>
    <w:rsid w:val="6E649C36"/>
    <w:rsid w:val="6E66DC92"/>
    <w:rsid w:val="6E70B4C8"/>
    <w:rsid w:val="6E7253F5"/>
    <w:rsid w:val="6E73555C"/>
    <w:rsid w:val="6E7DAA37"/>
    <w:rsid w:val="6E80715B"/>
    <w:rsid w:val="6E81FB8D"/>
    <w:rsid w:val="6E962842"/>
    <w:rsid w:val="6E970BC5"/>
    <w:rsid w:val="6E995DAE"/>
    <w:rsid w:val="6E9AF4BE"/>
    <w:rsid w:val="6EA54CCF"/>
    <w:rsid w:val="6EAB9E28"/>
    <w:rsid w:val="6EB0F404"/>
    <w:rsid w:val="6EBA715D"/>
    <w:rsid w:val="6EBED0FB"/>
    <w:rsid w:val="6EC32AD6"/>
    <w:rsid w:val="6EC758CF"/>
    <w:rsid w:val="6EC8B498"/>
    <w:rsid w:val="6EC8DB43"/>
    <w:rsid w:val="6EC90933"/>
    <w:rsid w:val="6EC92567"/>
    <w:rsid w:val="6ECB4752"/>
    <w:rsid w:val="6ECCC4CC"/>
    <w:rsid w:val="6ED1784E"/>
    <w:rsid w:val="6ED5EFAD"/>
    <w:rsid w:val="6ED88879"/>
    <w:rsid w:val="6EDA984F"/>
    <w:rsid w:val="6EDABDAE"/>
    <w:rsid w:val="6EE4650D"/>
    <w:rsid w:val="6EE51CFF"/>
    <w:rsid w:val="6EE5CF57"/>
    <w:rsid w:val="6EE78FBB"/>
    <w:rsid w:val="6EEBBC6F"/>
    <w:rsid w:val="6EF5E75D"/>
    <w:rsid w:val="6EFE9C5B"/>
    <w:rsid w:val="6EFECBD9"/>
    <w:rsid w:val="6F007D52"/>
    <w:rsid w:val="6F04A613"/>
    <w:rsid w:val="6F069E8D"/>
    <w:rsid w:val="6F0B9AE2"/>
    <w:rsid w:val="6F0BC10F"/>
    <w:rsid w:val="6F0C6ADE"/>
    <w:rsid w:val="6F0E4BF5"/>
    <w:rsid w:val="6F12D721"/>
    <w:rsid w:val="6F131296"/>
    <w:rsid w:val="6F1739E9"/>
    <w:rsid w:val="6F17446C"/>
    <w:rsid w:val="6F175961"/>
    <w:rsid w:val="6F192BF8"/>
    <w:rsid w:val="6F1A2506"/>
    <w:rsid w:val="6F1CB0BF"/>
    <w:rsid w:val="6F1D6453"/>
    <w:rsid w:val="6F1F26DE"/>
    <w:rsid w:val="6F22FE60"/>
    <w:rsid w:val="6F27FE07"/>
    <w:rsid w:val="6F29D5FA"/>
    <w:rsid w:val="6F2E5A23"/>
    <w:rsid w:val="6F312F35"/>
    <w:rsid w:val="6F336CC4"/>
    <w:rsid w:val="6F364902"/>
    <w:rsid w:val="6F4342A7"/>
    <w:rsid w:val="6F454D66"/>
    <w:rsid w:val="6F4777EA"/>
    <w:rsid w:val="6F4C900C"/>
    <w:rsid w:val="6F50C91C"/>
    <w:rsid w:val="6F52D4DC"/>
    <w:rsid w:val="6F560764"/>
    <w:rsid w:val="6F572AB8"/>
    <w:rsid w:val="6F590712"/>
    <w:rsid w:val="6F5945C9"/>
    <w:rsid w:val="6F59B948"/>
    <w:rsid w:val="6F678E61"/>
    <w:rsid w:val="6F696F67"/>
    <w:rsid w:val="6F749664"/>
    <w:rsid w:val="6F7AE800"/>
    <w:rsid w:val="6F7C58B3"/>
    <w:rsid w:val="6F7EAA94"/>
    <w:rsid w:val="6F8238C1"/>
    <w:rsid w:val="6F87B23A"/>
    <w:rsid w:val="6F89897C"/>
    <w:rsid w:val="6F8B81CB"/>
    <w:rsid w:val="6F9209A5"/>
    <w:rsid w:val="6F9267CE"/>
    <w:rsid w:val="6F99823E"/>
    <w:rsid w:val="6F9BB2C5"/>
    <w:rsid w:val="6F9EE8CE"/>
    <w:rsid w:val="6F9F49F3"/>
    <w:rsid w:val="6FA7E06D"/>
    <w:rsid w:val="6FACEA16"/>
    <w:rsid w:val="6FAED298"/>
    <w:rsid w:val="6FAED9AE"/>
    <w:rsid w:val="6FB3ACC2"/>
    <w:rsid w:val="6FB8BB85"/>
    <w:rsid w:val="6FBDE389"/>
    <w:rsid w:val="6FBF093A"/>
    <w:rsid w:val="6FC201A4"/>
    <w:rsid w:val="6FC51A5A"/>
    <w:rsid w:val="6FCAB6EC"/>
    <w:rsid w:val="6FCC9781"/>
    <w:rsid w:val="6FD709D1"/>
    <w:rsid w:val="6FD83A60"/>
    <w:rsid w:val="6FE30988"/>
    <w:rsid w:val="6FE964B6"/>
    <w:rsid w:val="6FEBF46D"/>
    <w:rsid w:val="6FEEB134"/>
    <w:rsid w:val="6FEED8E5"/>
    <w:rsid w:val="6FF44B2E"/>
    <w:rsid w:val="6FFF673B"/>
    <w:rsid w:val="700102E6"/>
    <w:rsid w:val="7001527F"/>
    <w:rsid w:val="7006E61E"/>
    <w:rsid w:val="700FDC09"/>
    <w:rsid w:val="70126983"/>
    <w:rsid w:val="701BD83E"/>
    <w:rsid w:val="701D343B"/>
    <w:rsid w:val="701E576F"/>
    <w:rsid w:val="7020748B"/>
    <w:rsid w:val="702312C1"/>
    <w:rsid w:val="702658A5"/>
    <w:rsid w:val="702773E4"/>
    <w:rsid w:val="703508FA"/>
    <w:rsid w:val="70353D10"/>
    <w:rsid w:val="703C54C7"/>
    <w:rsid w:val="7040629E"/>
    <w:rsid w:val="704666B6"/>
    <w:rsid w:val="7048088B"/>
    <w:rsid w:val="704E836C"/>
    <w:rsid w:val="7051A6B9"/>
    <w:rsid w:val="70523551"/>
    <w:rsid w:val="70536C58"/>
    <w:rsid w:val="7055151F"/>
    <w:rsid w:val="705E09F9"/>
    <w:rsid w:val="7061AB25"/>
    <w:rsid w:val="7062BC75"/>
    <w:rsid w:val="70661A8E"/>
    <w:rsid w:val="706BB6B1"/>
    <w:rsid w:val="707489E0"/>
    <w:rsid w:val="7074F3E4"/>
    <w:rsid w:val="70763FE5"/>
    <w:rsid w:val="70798016"/>
    <w:rsid w:val="707B1BD8"/>
    <w:rsid w:val="70827B9D"/>
    <w:rsid w:val="7082F54C"/>
    <w:rsid w:val="70939B1B"/>
    <w:rsid w:val="709A43AC"/>
    <w:rsid w:val="70A4312B"/>
    <w:rsid w:val="70A48E6D"/>
    <w:rsid w:val="70B1C0DB"/>
    <w:rsid w:val="70B7F0F6"/>
    <w:rsid w:val="70BB2F83"/>
    <w:rsid w:val="70BCAA27"/>
    <w:rsid w:val="70BD726D"/>
    <w:rsid w:val="70C37153"/>
    <w:rsid w:val="70C4BAE3"/>
    <w:rsid w:val="70C682F1"/>
    <w:rsid w:val="70C9D0E0"/>
    <w:rsid w:val="70CB47BF"/>
    <w:rsid w:val="70CBEB8F"/>
    <w:rsid w:val="70CDA8CF"/>
    <w:rsid w:val="70D20413"/>
    <w:rsid w:val="70DBEA82"/>
    <w:rsid w:val="70DBF35D"/>
    <w:rsid w:val="70DD744D"/>
    <w:rsid w:val="70E2E57E"/>
    <w:rsid w:val="70E6A79D"/>
    <w:rsid w:val="70E87507"/>
    <w:rsid w:val="70EC0576"/>
    <w:rsid w:val="70FAD816"/>
    <w:rsid w:val="70FB8A26"/>
    <w:rsid w:val="7101366D"/>
    <w:rsid w:val="71049613"/>
    <w:rsid w:val="7104CC91"/>
    <w:rsid w:val="7109CA11"/>
    <w:rsid w:val="7114D0D2"/>
    <w:rsid w:val="711789DE"/>
    <w:rsid w:val="711DB487"/>
    <w:rsid w:val="711E9255"/>
    <w:rsid w:val="711EFAB3"/>
    <w:rsid w:val="71220B54"/>
    <w:rsid w:val="7126490F"/>
    <w:rsid w:val="7129EE2E"/>
    <w:rsid w:val="712D91AE"/>
    <w:rsid w:val="71369A17"/>
    <w:rsid w:val="7137741B"/>
    <w:rsid w:val="713BC32E"/>
    <w:rsid w:val="7144346C"/>
    <w:rsid w:val="71447F95"/>
    <w:rsid w:val="714532D4"/>
    <w:rsid w:val="71476305"/>
    <w:rsid w:val="71479F53"/>
    <w:rsid w:val="71486D71"/>
    <w:rsid w:val="714940F9"/>
    <w:rsid w:val="714D7374"/>
    <w:rsid w:val="7150461B"/>
    <w:rsid w:val="715078CA"/>
    <w:rsid w:val="71544B42"/>
    <w:rsid w:val="715D9C2D"/>
    <w:rsid w:val="715E9C25"/>
    <w:rsid w:val="71605A94"/>
    <w:rsid w:val="71621B16"/>
    <w:rsid w:val="716A3117"/>
    <w:rsid w:val="716D92B8"/>
    <w:rsid w:val="7171C0EC"/>
    <w:rsid w:val="717594A2"/>
    <w:rsid w:val="71799DBF"/>
    <w:rsid w:val="717E3AF7"/>
    <w:rsid w:val="7182CB09"/>
    <w:rsid w:val="71833099"/>
    <w:rsid w:val="7185B868"/>
    <w:rsid w:val="718A9B8B"/>
    <w:rsid w:val="71999EF9"/>
    <w:rsid w:val="719BD133"/>
    <w:rsid w:val="719C653D"/>
    <w:rsid w:val="719EAA8A"/>
    <w:rsid w:val="719FDE59"/>
    <w:rsid w:val="71A1813F"/>
    <w:rsid w:val="71A7216A"/>
    <w:rsid w:val="71A76B5C"/>
    <w:rsid w:val="71A800D5"/>
    <w:rsid w:val="71A8E82B"/>
    <w:rsid w:val="71AA4096"/>
    <w:rsid w:val="71AD5528"/>
    <w:rsid w:val="71AF176E"/>
    <w:rsid w:val="71B3E464"/>
    <w:rsid w:val="71B845AB"/>
    <w:rsid w:val="71BF8E4C"/>
    <w:rsid w:val="71C15372"/>
    <w:rsid w:val="71C9A59A"/>
    <w:rsid w:val="71C9CA10"/>
    <w:rsid w:val="71D2C42F"/>
    <w:rsid w:val="71D6B113"/>
    <w:rsid w:val="71D73015"/>
    <w:rsid w:val="71DE81BF"/>
    <w:rsid w:val="71E1E089"/>
    <w:rsid w:val="71E40CFF"/>
    <w:rsid w:val="71E47FB6"/>
    <w:rsid w:val="71E6FD12"/>
    <w:rsid w:val="71F59792"/>
    <w:rsid w:val="71FFF38E"/>
    <w:rsid w:val="72004528"/>
    <w:rsid w:val="72005147"/>
    <w:rsid w:val="72051CDE"/>
    <w:rsid w:val="72085383"/>
    <w:rsid w:val="720F005B"/>
    <w:rsid w:val="7211C149"/>
    <w:rsid w:val="72141D0D"/>
    <w:rsid w:val="7221A83B"/>
    <w:rsid w:val="7226A438"/>
    <w:rsid w:val="722A20B3"/>
    <w:rsid w:val="72310F8D"/>
    <w:rsid w:val="723158ED"/>
    <w:rsid w:val="72407D7D"/>
    <w:rsid w:val="72474351"/>
    <w:rsid w:val="7252EA12"/>
    <w:rsid w:val="725B8707"/>
    <w:rsid w:val="725C1562"/>
    <w:rsid w:val="7260013C"/>
    <w:rsid w:val="72615740"/>
    <w:rsid w:val="72624FBE"/>
    <w:rsid w:val="7263913F"/>
    <w:rsid w:val="7264EE40"/>
    <w:rsid w:val="727305CE"/>
    <w:rsid w:val="7275F907"/>
    <w:rsid w:val="728103C9"/>
    <w:rsid w:val="7283587F"/>
    <w:rsid w:val="7287E355"/>
    <w:rsid w:val="7287F851"/>
    <w:rsid w:val="72886A5E"/>
    <w:rsid w:val="728F465B"/>
    <w:rsid w:val="72939ADB"/>
    <w:rsid w:val="72973A2B"/>
    <w:rsid w:val="72987D4C"/>
    <w:rsid w:val="7299EA48"/>
    <w:rsid w:val="729A5C4C"/>
    <w:rsid w:val="729E983A"/>
    <w:rsid w:val="72A1646A"/>
    <w:rsid w:val="72A1EFD2"/>
    <w:rsid w:val="72B5C744"/>
    <w:rsid w:val="72B78119"/>
    <w:rsid w:val="72B891A8"/>
    <w:rsid w:val="72BC3560"/>
    <w:rsid w:val="72BE3DA5"/>
    <w:rsid w:val="72BE4C3C"/>
    <w:rsid w:val="72BEC98B"/>
    <w:rsid w:val="72C5FF8A"/>
    <w:rsid w:val="72C60972"/>
    <w:rsid w:val="72CFD0DB"/>
    <w:rsid w:val="72D049EB"/>
    <w:rsid w:val="72D2F56D"/>
    <w:rsid w:val="72D914DC"/>
    <w:rsid w:val="72DC4B8D"/>
    <w:rsid w:val="72DDC28D"/>
    <w:rsid w:val="72E44735"/>
    <w:rsid w:val="72E47210"/>
    <w:rsid w:val="72E7A838"/>
    <w:rsid w:val="72E8873C"/>
    <w:rsid w:val="72F620DF"/>
    <w:rsid w:val="72F7EFE1"/>
    <w:rsid w:val="72F8B296"/>
    <w:rsid w:val="72F8BF40"/>
    <w:rsid w:val="72FB1709"/>
    <w:rsid w:val="72FF3497"/>
    <w:rsid w:val="7300E1BE"/>
    <w:rsid w:val="7301B669"/>
    <w:rsid w:val="7305597B"/>
    <w:rsid w:val="730940EF"/>
    <w:rsid w:val="730BC991"/>
    <w:rsid w:val="730FECBB"/>
    <w:rsid w:val="7315EE74"/>
    <w:rsid w:val="7317BA49"/>
    <w:rsid w:val="73190A23"/>
    <w:rsid w:val="731B7645"/>
    <w:rsid w:val="731EB5E2"/>
    <w:rsid w:val="73257082"/>
    <w:rsid w:val="7326B013"/>
    <w:rsid w:val="7327B516"/>
    <w:rsid w:val="732E2CFD"/>
    <w:rsid w:val="73305175"/>
    <w:rsid w:val="7334CE06"/>
    <w:rsid w:val="73403961"/>
    <w:rsid w:val="7340C4D3"/>
    <w:rsid w:val="734762BE"/>
    <w:rsid w:val="7349CB6C"/>
    <w:rsid w:val="734AF2E9"/>
    <w:rsid w:val="734B2CF3"/>
    <w:rsid w:val="7352959D"/>
    <w:rsid w:val="735BB764"/>
    <w:rsid w:val="735EF233"/>
    <w:rsid w:val="73633CAB"/>
    <w:rsid w:val="736769E5"/>
    <w:rsid w:val="736B302A"/>
    <w:rsid w:val="73720B9C"/>
    <w:rsid w:val="7375E19B"/>
    <w:rsid w:val="737724AE"/>
    <w:rsid w:val="737769E6"/>
    <w:rsid w:val="737C67DB"/>
    <w:rsid w:val="73815659"/>
    <w:rsid w:val="73825322"/>
    <w:rsid w:val="73847C6B"/>
    <w:rsid w:val="738A91C8"/>
    <w:rsid w:val="738E9A07"/>
    <w:rsid w:val="738F269B"/>
    <w:rsid w:val="739781CE"/>
    <w:rsid w:val="7397F9B6"/>
    <w:rsid w:val="739FB2E3"/>
    <w:rsid w:val="739FBAC3"/>
    <w:rsid w:val="73A2690A"/>
    <w:rsid w:val="73B17927"/>
    <w:rsid w:val="73B43B40"/>
    <w:rsid w:val="73B491AE"/>
    <w:rsid w:val="73B856B1"/>
    <w:rsid w:val="73BD10DD"/>
    <w:rsid w:val="73C25B19"/>
    <w:rsid w:val="73C48C7F"/>
    <w:rsid w:val="73C78414"/>
    <w:rsid w:val="73C81861"/>
    <w:rsid w:val="73CE5C62"/>
    <w:rsid w:val="73CE5F73"/>
    <w:rsid w:val="73D0C1B9"/>
    <w:rsid w:val="73D3A650"/>
    <w:rsid w:val="73DDF017"/>
    <w:rsid w:val="73DEAD49"/>
    <w:rsid w:val="73E05ACC"/>
    <w:rsid w:val="73EA22D3"/>
    <w:rsid w:val="73ED4239"/>
    <w:rsid w:val="73EED767"/>
    <w:rsid w:val="73F4EACD"/>
    <w:rsid w:val="73F66908"/>
    <w:rsid w:val="73FAD459"/>
    <w:rsid w:val="73FB1A48"/>
    <w:rsid w:val="73FDD939"/>
    <w:rsid w:val="740241AC"/>
    <w:rsid w:val="74034FDA"/>
    <w:rsid w:val="7405FBC1"/>
    <w:rsid w:val="7413EC8C"/>
    <w:rsid w:val="741AD32A"/>
    <w:rsid w:val="741BE82A"/>
    <w:rsid w:val="741ED1F8"/>
    <w:rsid w:val="742465ED"/>
    <w:rsid w:val="742AE53B"/>
    <w:rsid w:val="742DB090"/>
    <w:rsid w:val="742E98CB"/>
    <w:rsid w:val="742F014F"/>
    <w:rsid w:val="742F2572"/>
    <w:rsid w:val="742F449A"/>
    <w:rsid w:val="7430D8F2"/>
    <w:rsid w:val="7430F1A0"/>
    <w:rsid w:val="74312D7A"/>
    <w:rsid w:val="74379EA0"/>
    <w:rsid w:val="74386304"/>
    <w:rsid w:val="743D2611"/>
    <w:rsid w:val="7444068C"/>
    <w:rsid w:val="744A6CD8"/>
    <w:rsid w:val="744C87AC"/>
    <w:rsid w:val="7450DAB3"/>
    <w:rsid w:val="745A1569"/>
    <w:rsid w:val="745F2D50"/>
    <w:rsid w:val="74603771"/>
    <w:rsid w:val="7469FB71"/>
    <w:rsid w:val="7471D424"/>
    <w:rsid w:val="74776FF4"/>
    <w:rsid w:val="7479DA6F"/>
    <w:rsid w:val="7480D69E"/>
    <w:rsid w:val="74848000"/>
    <w:rsid w:val="7486F2D6"/>
    <w:rsid w:val="748992E0"/>
    <w:rsid w:val="748C1E29"/>
    <w:rsid w:val="7493F049"/>
    <w:rsid w:val="7498DADC"/>
    <w:rsid w:val="749A272D"/>
    <w:rsid w:val="749BA66A"/>
    <w:rsid w:val="749F26D6"/>
    <w:rsid w:val="74A2250E"/>
    <w:rsid w:val="74A6EBE2"/>
    <w:rsid w:val="74A80CF7"/>
    <w:rsid w:val="74A94670"/>
    <w:rsid w:val="74ADB82A"/>
    <w:rsid w:val="74B1B8DD"/>
    <w:rsid w:val="74B51771"/>
    <w:rsid w:val="74B83CB3"/>
    <w:rsid w:val="74B8CD85"/>
    <w:rsid w:val="74BBA0C1"/>
    <w:rsid w:val="74C0C87C"/>
    <w:rsid w:val="74C17F52"/>
    <w:rsid w:val="74C4C513"/>
    <w:rsid w:val="74C76033"/>
    <w:rsid w:val="74CABF08"/>
    <w:rsid w:val="74CD3227"/>
    <w:rsid w:val="74D22852"/>
    <w:rsid w:val="74D3EC5F"/>
    <w:rsid w:val="74DA1EC0"/>
    <w:rsid w:val="74E4EA36"/>
    <w:rsid w:val="74E65D86"/>
    <w:rsid w:val="74E68E78"/>
    <w:rsid w:val="74EA774F"/>
    <w:rsid w:val="74F5D6F8"/>
    <w:rsid w:val="74F7ED0F"/>
    <w:rsid w:val="75012AE5"/>
    <w:rsid w:val="75013165"/>
    <w:rsid w:val="750525A0"/>
    <w:rsid w:val="750AFF47"/>
    <w:rsid w:val="750C2674"/>
    <w:rsid w:val="750C9824"/>
    <w:rsid w:val="750CB31C"/>
    <w:rsid w:val="750D54EA"/>
    <w:rsid w:val="751221F5"/>
    <w:rsid w:val="7513E87B"/>
    <w:rsid w:val="7514E146"/>
    <w:rsid w:val="751BD95B"/>
    <w:rsid w:val="751C9E76"/>
    <w:rsid w:val="7520777E"/>
    <w:rsid w:val="75214F41"/>
    <w:rsid w:val="75216F6F"/>
    <w:rsid w:val="75231A3B"/>
    <w:rsid w:val="7529EAB9"/>
    <w:rsid w:val="752A24F6"/>
    <w:rsid w:val="752AF8CC"/>
    <w:rsid w:val="752C1216"/>
    <w:rsid w:val="752EC2EB"/>
    <w:rsid w:val="753EBE74"/>
    <w:rsid w:val="754269B1"/>
    <w:rsid w:val="75466C93"/>
    <w:rsid w:val="7547FCDF"/>
    <w:rsid w:val="754DE2E2"/>
    <w:rsid w:val="754F40C2"/>
    <w:rsid w:val="754F668E"/>
    <w:rsid w:val="75506F90"/>
    <w:rsid w:val="755093BE"/>
    <w:rsid w:val="75510E00"/>
    <w:rsid w:val="7554299B"/>
    <w:rsid w:val="755A2689"/>
    <w:rsid w:val="755AE805"/>
    <w:rsid w:val="755F5C4F"/>
    <w:rsid w:val="7566CAD2"/>
    <w:rsid w:val="756B0229"/>
    <w:rsid w:val="75712572"/>
    <w:rsid w:val="75712DC2"/>
    <w:rsid w:val="757208F1"/>
    <w:rsid w:val="7573F064"/>
    <w:rsid w:val="757492FF"/>
    <w:rsid w:val="7580463F"/>
    <w:rsid w:val="75806004"/>
    <w:rsid w:val="75807445"/>
    <w:rsid w:val="758230B2"/>
    <w:rsid w:val="75824A9C"/>
    <w:rsid w:val="75938AB9"/>
    <w:rsid w:val="75963D26"/>
    <w:rsid w:val="759BA08F"/>
    <w:rsid w:val="759FDD61"/>
    <w:rsid w:val="75B22806"/>
    <w:rsid w:val="75B35D12"/>
    <w:rsid w:val="75B7653D"/>
    <w:rsid w:val="75B96C9D"/>
    <w:rsid w:val="75BB2D6F"/>
    <w:rsid w:val="75C67D9A"/>
    <w:rsid w:val="75C9A226"/>
    <w:rsid w:val="75CA300A"/>
    <w:rsid w:val="75CCC45C"/>
    <w:rsid w:val="75CCC8F7"/>
    <w:rsid w:val="75CF21A4"/>
    <w:rsid w:val="75D1A130"/>
    <w:rsid w:val="75D40832"/>
    <w:rsid w:val="75D72EFD"/>
    <w:rsid w:val="75D88BB0"/>
    <w:rsid w:val="75DE1AE2"/>
    <w:rsid w:val="75E59737"/>
    <w:rsid w:val="75E8D579"/>
    <w:rsid w:val="75ED87EC"/>
    <w:rsid w:val="75EEAB1B"/>
    <w:rsid w:val="75F11108"/>
    <w:rsid w:val="75F11FFF"/>
    <w:rsid w:val="75F15651"/>
    <w:rsid w:val="75FDD080"/>
    <w:rsid w:val="75FF341F"/>
    <w:rsid w:val="7601B6B9"/>
    <w:rsid w:val="76088EF3"/>
    <w:rsid w:val="7609DC72"/>
    <w:rsid w:val="760A33A8"/>
    <w:rsid w:val="760B7A7C"/>
    <w:rsid w:val="760F8184"/>
    <w:rsid w:val="760F8DAF"/>
    <w:rsid w:val="76101979"/>
    <w:rsid w:val="76104FF2"/>
    <w:rsid w:val="7616D781"/>
    <w:rsid w:val="7620529E"/>
    <w:rsid w:val="76265CEC"/>
    <w:rsid w:val="7626C52B"/>
    <w:rsid w:val="7628E2C0"/>
    <w:rsid w:val="762CFEED"/>
    <w:rsid w:val="762F4406"/>
    <w:rsid w:val="76322727"/>
    <w:rsid w:val="7632406F"/>
    <w:rsid w:val="7633EFD6"/>
    <w:rsid w:val="7635BBDB"/>
    <w:rsid w:val="7637634C"/>
    <w:rsid w:val="763D3BC9"/>
    <w:rsid w:val="764A2DDF"/>
    <w:rsid w:val="764A97A4"/>
    <w:rsid w:val="764C5005"/>
    <w:rsid w:val="764DE417"/>
    <w:rsid w:val="76538BB4"/>
    <w:rsid w:val="76540AC5"/>
    <w:rsid w:val="7657CF6A"/>
    <w:rsid w:val="765BD8F0"/>
    <w:rsid w:val="765CEB5F"/>
    <w:rsid w:val="765D43BC"/>
    <w:rsid w:val="76643487"/>
    <w:rsid w:val="76647D3B"/>
    <w:rsid w:val="766A1F81"/>
    <w:rsid w:val="766BAAC1"/>
    <w:rsid w:val="766C8684"/>
    <w:rsid w:val="766DDC8D"/>
    <w:rsid w:val="7673B947"/>
    <w:rsid w:val="76751F12"/>
    <w:rsid w:val="7675F2E8"/>
    <w:rsid w:val="767626E3"/>
    <w:rsid w:val="7677F955"/>
    <w:rsid w:val="76786FEB"/>
    <w:rsid w:val="767B30A4"/>
    <w:rsid w:val="767BAC4A"/>
    <w:rsid w:val="767DA86D"/>
    <w:rsid w:val="767F0678"/>
    <w:rsid w:val="7681B8C3"/>
    <w:rsid w:val="7686E2E0"/>
    <w:rsid w:val="76884984"/>
    <w:rsid w:val="76894F5A"/>
    <w:rsid w:val="768CD748"/>
    <w:rsid w:val="76933763"/>
    <w:rsid w:val="7694830D"/>
    <w:rsid w:val="7694AC42"/>
    <w:rsid w:val="7697822C"/>
    <w:rsid w:val="7699A172"/>
    <w:rsid w:val="7699F2EF"/>
    <w:rsid w:val="769DAA4A"/>
    <w:rsid w:val="769EA4B2"/>
    <w:rsid w:val="76A3ED3A"/>
    <w:rsid w:val="76A616EC"/>
    <w:rsid w:val="76A765C5"/>
    <w:rsid w:val="76A7ADC1"/>
    <w:rsid w:val="76A9EBBD"/>
    <w:rsid w:val="76AD1001"/>
    <w:rsid w:val="76B803DC"/>
    <w:rsid w:val="76B99640"/>
    <w:rsid w:val="76BEEE12"/>
    <w:rsid w:val="76C159B4"/>
    <w:rsid w:val="76C30D6C"/>
    <w:rsid w:val="76C7425D"/>
    <w:rsid w:val="76C91621"/>
    <w:rsid w:val="76CC6900"/>
    <w:rsid w:val="76D0CCD6"/>
    <w:rsid w:val="76D0E16C"/>
    <w:rsid w:val="76D717BB"/>
    <w:rsid w:val="76D9C74E"/>
    <w:rsid w:val="76DBBDC2"/>
    <w:rsid w:val="76DD6BF4"/>
    <w:rsid w:val="76DD71F6"/>
    <w:rsid w:val="76DD963E"/>
    <w:rsid w:val="76DFD4E9"/>
    <w:rsid w:val="76E1A8DD"/>
    <w:rsid w:val="76E6AEBF"/>
    <w:rsid w:val="76E9386B"/>
    <w:rsid w:val="76EACD20"/>
    <w:rsid w:val="76ECB704"/>
    <w:rsid w:val="76F80143"/>
    <w:rsid w:val="76FE23F0"/>
    <w:rsid w:val="77038F03"/>
    <w:rsid w:val="770A5D9D"/>
    <w:rsid w:val="770BC05D"/>
    <w:rsid w:val="770C1F29"/>
    <w:rsid w:val="770D2737"/>
    <w:rsid w:val="770E744A"/>
    <w:rsid w:val="77118A77"/>
    <w:rsid w:val="77174F81"/>
    <w:rsid w:val="77181B1B"/>
    <w:rsid w:val="771D24E8"/>
    <w:rsid w:val="771D8D4C"/>
    <w:rsid w:val="771E8E55"/>
    <w:rsid w:val="772025FD"/>
    <w:rsid w:val="7720E0C1"/>
    <w:rsid w:val="7725B9DF"/>
    <w:rsid w:val="77267F71"/>
    <w:rsid w:val="7729DCEF"/>
    <w:rsid w:val="772A27F0"/>
    <w:rsid w:val="772C2D8A"/>
    <w:rsid w:val="772C82EF"/>
    <w:rsid w:val="77311DB8"/>
    <w:rsid w:val="7735BA60"/>
    <w:rsid w:val="7735C44B"/>
    <w:rsid w:val="77379810"/>
    <w:rsid w:val="77380391"/>
    <w:rsid w:val="773B093C"/>
    <w:rsid w:val="773BC4BA"/>
    <w:rsid w:val="773F8B93"/>
    <w:rsid w:val="7746430F"/>
    <w:rsid w:val="774A3632"/>
    <w:rsid w:val="774F312F"/>
    <w:rsid w:val="7755DD74"/>
    <w:rsid w:val="77563277"/>
    <w:rsid w:val="77579FC0"/>
    <w:rsid w:val="77589F51"/>
    <w:rsid w:val="7758B482"/>
    <w:rsid w:val="7758F86B"/>
    <w:rsid w:val="775B607C"/>
    <w:rsid w:val="775C4951"/>
    <w:rsid w:val="7761D2EF"/>
    <w:rsid w:val="7764636C"/>
    <w:rsid w:val="77652989"/>
    <w:rsid w:val="77695697"/>
    <w:rsid w:val="7769DC18"/>
    <w:rsid w:val="776CACAA"/>
    <w:rsid w:val="77740CEB"/>
    <w:rsid w:val="777690E0"/>
    <w:rsid w:val="77769116"/>
    <w:rsid w:val="7777D799"/>
    <w:rsid w:val="7777DD34"/>
    <w:rsid w:val="777924E9"/>
    <w:rsid w:val="777D945E"/>
    <w:rsid w:val="7780D2AC"/>
    <w:rsid w:val="7787B3E4"/>
    <w:rsid w:val="778A4BC9"/>
    <w:rsid w:val="778F9D05"/>
    <w:rsid w:val="778FEAC9"/>
    <w:rsid w:val="7790F435"/>
    <w:rsid w:val="77917A25"/>
    <w:rsid w:val="7793C1BD"/>
    <w:rsid w:val="7795932D"/>
    <w:rsid w:val="77977BC2"/>
    <w:rsid w:val="77979DD0"/>
    <w:rsid w:val="77981781"/>
    <w:rsid w:val="779A58A9"/>
    <w:rsid w:val="779BF418"/>
    <w:rsid w:val="77A0E3EF"/>
    <w:rsid w:val="77A1E2A6"/>
    <w:rsid w:val="77A27CB0"/>
    <w:rsid w:val="77A4AB01"/>
    <w:rsid w:val="77AE541F"/>
    <w:rsid w:val="77B41D19"/>
    <w:rsid w:val="77B6D3AE"/>
    <w:rsid w:val="77B827BD"/>
    <w:rsid w:val="77B9ACDD"/>
    <w:rsid w:val="77BC4700"/>
    <w:rsid w:val="77BE744C"/>
    <w:rsid w:val="77BF92C2"/>
    <w:rsid w:val="77C19EB5"/>
    <w:rsid w:val="77C5577E"/>
    <w:rsid w:val="77C73057"/>
    <w:rsid w:val="77C9DEBF"/>
    <w:rsid w:val="77CDDFB0"/>
    <w:rsid w:val="77E05A62"/>
    <w:rsid w:val="77E22D90"/>
    <w:rsid w:val="77E3BDFB"/>
    <w:rsid w:val="77EFE2ED"/>
    <w:rsid w:val="77F03F7B"/>
    <w:rsid w:val="77F1CB42"/>
    <w:rsid w:val="77F47CFC"/>
    <w:rsid w:val="77FF2DC4"/>
    <w:rsid w:val="7801239E"/>
    <w:rsid w:val="780131D8"/>
    <w:rsid w:val="7802AB39"/>
    <w:rsid w:val="780EECC2"/>
    <w:rsid w:val="78105444"/>
    <w:rsid w:val="78135542"/>
    <w:rsid w:val="7818D6C4"/>
    <w:rsid w:val="781EC2B0"/>
    <w:rsid w:val="781F4B2C"/>
    <w:rsid w:val="78207368"/>
    <w:rsid w:val="782482CE"/>
    <w:rsid w:val="78267F93"/>
    <w:rsid w:val="78286A8B"/>
    <w:rsid w:val="782CF980"/>
    <w:rsid w:val="782EBB06"/>
    <w:rsid w:val="78351746"/>
    <w:rsid w:val="78354073"/>
    <w:rsid w:val="783CBE6B"/>
    <w:rsid w:val="783FC0E6"/>
    <w:rsid w:val="7840603F"/>
    <w:rsid w:val="784ABB47"/>
    <w:rsid w:val="784C3EDD"/>
    <w:rsid w:val="784CC2EF"/>
    <w:rsid w:val="784CDEAF"/>
    <w:rsid w:val="784DAABE"/>
    <w:rsid w:val="785324AA"/>
    <w:rsid w:val="7854D9D9"/>
    <w:rsid w:val="7855BD5D"/>
    <w:rsid w:val="785D5B1A"/>
    <w:rsid w:val="785FC78A"/>
    <w:rsid w:val="786500E5"/>
    <w:rsid w:val="7865E593"/>
    <w:rsid w:val="78663702"/>
    <w:rsid w:val="78677A5C"/>
    <w:rsid w:val="7869640C"/>
    <w:rsid w:val="786CC2F6"/>
    <w:rsid w:val="787A44B1"/>
    <w:rsid w:val="787BD6BB"/>
    <w:rsid w:val="787CD54E"/>
    <w:rsid w:val="788514A1"/>
    <w:rsid w:val="7885C5B5"/>
    <w:rsid w:val="7887B128"/>
    <w:rsid w:val="788898DD"/>
    <w:rsid w:val="788D75F7"/>
    <w:rsid w:val="78941898"/>
    <w:rsid w:val="7895727A"/>
    <w:rsid w:val="7897E77A"/>
    <w:rsid w:val="789AF51A"/>
    <w:rsid w:val="78A2EF59"/>
    <w:rsid w:val="78A39370"/>
    <w:rsid w:val="78AA02F0"/>
    <w:rsid w:val="78AAEE54"/>
    <w:rsid w:val="78AB86E0"/>
    <w:rsid w:val="78AF481C"/>
    <w:rsid w:val="78B04D3A"/>
    <w:rsid w:val="78B5BCAC"/>
    <w:rsid w:val="78BA641C"/>
    <w:rsid w:val="78BDC511"/>
    <w:rsid w:val="78BEBA4E"/>
    <w:rsid w:val="78C03F6F"/>
    <w:rsid w:val="78C4E017"/>
    <w:rsid w:val="78C9BEE9"/>
    <w:rsid w:val="78CBB260"/>
    <w:rsid w:val="78CF8794"/>
    <w:rsid w:val="78D41ACB"/>
    <w:rsid w:val="78DB2834"/>
    <w:rsid w:val="78DF3135"/>
    <w:rsid w:val="78E067BB"/>
    <w:rsid w:val="78E08DBB"/>
    <w:rsid w:val="78E1E155"/>
    <w:rsid w:val="78E4F164"/>
    <w:rsid w:val="78E594FF"/>
    <w:rsid w:val="78E8BCDB"/>
    <w:rsid w:val="78ECF51F"/>
    <w:rsid w:val="78EDE3CE"/>
    <w:rsid w:val="78EF9210"/>
    <w:rsid w:val="78F035EA"/>
    <w:rsid w:val="78F3C535"/>
    <w:rsid w:val="78F3FE68"/>
    <w:rsid w:val="78F79D14"/>
    <w:rsid w:val="78FC9162"/>
    <w:rsid w:val="7907535B"/>
    <w:rsid w:val="7907C824"/>
    <w:rsid w:val="7908730F"/>
    <w:rsid w:val="790D56A9"/>
    <w:rsid w:val="7912A5FA"/>
    <w:rsid w:val="79135EF2"/>
    <w:rsid w:val="791BA951"/>
    <w:rsid w:val="791E63A4"/>
    <w:rsid w:val="79210825"/>
    <w:rsid w:val="79213011"/>
    <w:rsid w:val="792665E0"/>
    <w:rsid w:val="7929B4A7"/>
    <w:rsid w:val="792A55C8"/>
    <w:rsid w:val="792F9CD2"/>
    <w:rsid w:val="79376096"/>
    <w:rsid w:val="793AEC7D"/>
    <w:rsid w:val="793B4989"/>
    <w:rsid w:val="794137C6"/>
    <w:rsid w:val="7946576F"/>
    <w:rsid w:val="7946CAF5"/>
    <w:rsid w:val="794919A6"/>
    <w:rsid w:val="794AA26D"/>
    <w:rsid w:val="7951C17F"/>
    <w:rsid w:val="795550D3"/>
    <w:rsid w:val="7955C9CA"/>
    <w:rsid w:val="79567564"/>
    <w:rsid w:val="79580AAD"/>
    <w:rsid w:val="795B2067"/>
    <w:rsid w:val="79604339"/>
    <w:rsid w:val="7965BCC4"/>
    <w:rsid w:val="7969118A"/>
    <w:rsid w:val="796E322D"/>
    <w:rsid w:val="796EE1E9"/>
    <w:rsid w:val="796F9B29"/>
    <w:rsid w:val="7970C834"/>
    <w:rsid w:val="797BD961"/>
    <w:rsid w:val="797CAB09"/>
    <w:rsid w:val="7981D3AB"/>
    <w:rsid w:val="79877A8F"/>
    <w:rsid w:val="798A19CF"/>
    <w:rsid w:val="79923891"/>
    <w:rsid w:val="7995773F"/>
    <w:rsid w:val="79961004"/>
    <w:rsid w:val="7996AA03"/>
    <w:rsid w:val="799741DF"/>
    <w:rsid w:val="799CB1D8"/>
    <w:rsid w:val="799CE7B5"/>
    <w:rsid w:val="799ECBF8"/>
    <w:rsid w:val="799F44D1"/>
    <w:rsid w:val="79A0801C"/>
    <w:rsid w:val="79A0E478"/>
    <w:rsid w:val="79A2891B"/>
    <w:rsid w:val="79A4032D"/>
    <w:rsid w:val="79A6E37B"/>
    <w:rsid w:val="79B38D16"/>
    <w:rsid w:val="79C34956"/>
    <w:rsid w:val="79CD943D"/>
    <w:rsid w:val="79D43B30"/>
    <w:rsid w:val="79D530FB"/>
    <w:rsid w:val="79D62640"/>
    <w:rsid w:val="79D94D6A"/>
    <w:rsid w:val="79DA97FD"/>
    <w:rsid w:val="79DB759F"/>
    <w:rsid w:val="79DF1E88"/>
    <w:rsid w:val="79E4C8DC"/>
    <w:rsid w:val="79F1AA0B"/>
    <w:rsid w:val="79F58DE5"/>
    <w:rsid w:val="79FC51A1"/>
    <w:rsid w:val="7A05A1A7"/>
    <w:rsid w:val="7A0688F1"/>
    <w:rsid w:val="7A0EA3D9"/>
    <w:rsid w:val="7A13C1AF"/>
    <w:rsid w:val="7A156FB8"/>
    <w:rsid w:val="7A15E4E4"/>
    <w:rsid w:val="7A1C6B6C"/>
    <w:rsid w:val="7A1CD679"/>
    <w:rsid w:val="7A1F338D"/>
    <w:rsid w:val="7A222192"/>
    <w:rsid w:val="7A264757"/>
    <w:rsid w:val="7A26DA6A"/>
    <w:rsid w:val="7A29EF9B"/>
    <w:rsid w:val="7A30C6AC"/>
    <w:rsid w:val="7A3734E2"/>
    <w:rsid w:val="7A37C4B0"/>
    <w:rsid w:val="7A3F5FF2"/>
    <w:rsid w:val="7A422D63"/>
    <w:rsid w:val="7A42E228"/>
    <w:rsid w:val="7A472D5B"/>
    <w:rsid w:val="7A475AE5"/>
    <w:rsid w:val="7A48DA99"/>
    <w:rsid w:val="7A4CD6A5"/>
    <w:rsid w:val="7A4F214A"/>
    <w:rsid w:val="7A5173CC"/>
    <w:rsid w:val="7A547F42"/>
    <w:rsid w:val="7A5E24A4"/>
    <w:rsid w:val="7A60B2F2"/>
    <w:rsid w:val="7A687A9D"/>
    <w:rsid w:val="7A6E8BA1"/>
    <w:rsid w:val="7A71B5F3"/>
    <w:rsid w:val="7A724BF8"/>
    <w:rsid w:val="7A72B4B5"/>
    <w:rsid w:val="7A7BC66A"/>
    <w:rsid w:val="7A7EB7E5"/>
    <w:rsid w:val="7A83B472"/>
    <w:rsid w:val="7A867D07"/>
    <w:rsid w:val="7A8B9D1A"/>
    <w:rsid w:val="7A8E5A04"/>
    <w:rsid w:val="7A91C647"/>
    <w:rsid w:val="7A968145"/>
    <w:rsid w:val="7A9B0C97"/>
    <w:rsid w:val="7A9EB355"/>
    <w:rsid w:val="7AA6FB53"/>
    <w:rsid w:val="7AA917F3"/>
    <w:rsid w:val="7AA92575"/>
    <w:rsid w:val="7AAA0B66"/>
    <w:rsid w:val="7AABD920"/>
    <w:rsid w:val="7AAFB3FA"/>
    <w:rsid w:val="7AB284BD"/>
    <w:rsid w:val="7AB48227"/>
    <w:rsid w:val="7AB7DE0B"/>
    <w:rsid w:val="7ABAFC6F"/>
    <w:rsid w:val="7ABCCE64"/>
    <w:rsid w:val="7ABE5E62"/>
    <w:rsid w:val="7ABF0D02"/>
    <w:rsid w:val="7AC7196B"/>
    <w:rsid w:val="7ACD957A"/>
    <w:rsid w:val="7ACF63C6"/>
    <w:rsid w:val="7AD33BFD"/>
    <w:rsid w:val="7AD4DF22"/>
    <w:rsid w:val="7ADCDD8E"/>
    <w:rsid w:val="7ADF1A0B"/>
    <w:rsid w:val="7AF14E5E"/>
    <w:rsid w:val="7AF61CC2"/>
    <w:rsid w:val="7AFA3B1B"/>
    <w:rsid w:val="7AFB9E73"/>
    <w:rsid w:val="7AFD0C44"/>
    <w:rsid w:val="7AFD3F92"/>
    <w:rsid w:val="7B043DB9"/>
    <w:rsid w:val="7B06A96D"/>
    <w:rsid w:val="7B088C3D"/>
    <w:rsid w:val="7B0C0BEC"/>
    <w:rsid w:val="7B12EA8F"/>
    <w:rsid w:val="7B1877B1"/>
    <w:rsid w:val="7B188AED"/>
    <w:rsid w:val="7B18AE6B"/>
    <w:rsid w:val="7B197F59"/>
    <w:rsid w:val="7B1992C6"/>
    <w:rsid w:val="7B19C56E"/>
    <w:rsid w:val="7B1D605E"/>
    <w:rsid w:val="7B1DFB85"/>
    <w:rsid w:val="7B23E27C"/>
    <w:rsid w:val="7B256C04"/>
    <w:rsid w:val="7B25FC0C"/>
    <w:rsid w:val="7B2E32D1"/>
    <w:rsid w:val="7B2F6A35"/>
    <w:rsid w:val="7B2F83C8"/>
    <w:rsid w:val="7B353D93"/>
    <w:rsid w:val="7B362755"/>
    <w:rsid w:val="7B36C0AF"/>
    <w:rsid w:val="7B3AC4F3"/>
    <w:rsid w:val="7B3B61D4"/>
    <w:rsid w:val="7B3F1B80"/>
    <w:rsid w:val="7B418BC6"/>
    <w:rsid w:val="7B43EED9"/>
    <w:rsid w:val="7B47F964"/>
    <w:rsid w:val="7B4906E5"/>
    <w:rsid w:val="7B4979B9"/>
    <w:rsid w:val="7B498678"/>
    <w:rsid w:val="7B4BBF77"/>
    <w:rsid w:val="7B4D75E9"/>
    <w:rsid w:val="7B4F56EB"/>
    <w:rsid w:val="7B53AA3F"/>
    <w:rsid w:val="7B53F4D9"/>
    <w:rsid w:val="7B551F6F"/>
    <w:rsid w:val="7B59C679"/>
    <w:rsid w:val="7B5B71D8"/>
    <w:rsid w:val="7B5D2165"/>
    <w:rsid w:val="7B5DF48B"/>
    <w:rsid w:val="7B5ED941"/>
    <w:rsid w:val="7B60EF6B"/>
    <w:rsid w:val="7B612572"/>
    <w:rsid w:val="7B616FB9"/>
    <w:rsid w:val="7B62F236"/>
    <w:rsid w:val="7B641C20"/>
    <w:rsid w:val="7B6C6649"/>
    <w:rsid w:val="7B737EE5"/>
    <w:rsid w:val="7B781323"/>
    <w:rsid w:val="7B80E3C6"/>
    <w:rsid w:val="7B81DB94"/>
    <w:rsid w:val="7B821EC8"/>
    <w:rsid w:val="7B8232B8"/>
    <w:rsid w:val="7B8616E1"/>
    <w:rsid w:val="7B8716FF"/>
    <w:rsid w:val="7B8E7432"/>
    <w:rsid w:val="7B90BA9B"/>
    <w:rsid w:val="7B90EE13"/>
    <w:rsid w:val="7B924A7A"/>
    <w:rsid w:val="7B95C2F5"/>
    <w:rsid w:val="7B96820F"/>
    <w:rsid w:val="7B993FE6"/>
    <w:rsid w:val="7B9AB17B"/>
    <w:rsid w:val="7B9B35C4"/>
    <w:rsid w:val="7BA207C7"/>
    <w:rsid w:val="7BA21E52"/>
    <w:rsid w:val="7BA2AC90"/>
    <w:rsid w:val="7BA3629B"/>
    <w:rsid w:val="7BA6A9FB"/>
    <w:rsid w:val="7BA988DE"/>
    <w:rsid w:val="7BAF2033"/>
    <w:rsid w:val="7BB31E8F"/>
    <w:rsid w:val="7BB64F1C"/>
    <w:rsid w:val="7BB6BD3D"/>
    <w:rsid w:val="7BB84E82"/>
    <w:rsid w:val="7BBB1870"/>
    <w:rsid w:val="7BBB4C6E"/>
    <w:rsid w:val="7BBC8D6B"/>
    <w:rsid w:val="7BBCBC0F"/>
    <w:rsid w:val="7BBF806B"/>
    <w:rsid w:val="7BC3FD44"/>
    <w:rsid w:val="7BC67B36"/>
    <w:rsid w:val="7BC7FD4B"/>
    <w:rsid w:val="7BCF8F83"/>
    <w:rsid w:val="7BD08911"/>
    <w:rsid w:val="7BE14EF2"/>
    <w:rsid w:val="7BE396A1"/>
    <w:rsid w:val="7BE50A1E"/>
    <w:rsid w:val="7BE9D846"/>
    <w:rsid w:val="7BEADA3B"/>
    <w:rsid w:val="7BEB6AC7"/>
    <w:rsid w:val="7BECA0A0"/>
    <w:rsid w:val="7BEEAF4F"/>
    <w:rsid w:val="7BEEF98C"/>
    <w:rsid w:val="7BF0F600"/>
    <w:rsid w:val="7BF624A3"/>
    <w:rsid w:val="7BFA3C6F"/>
    <w:rsid w:val="7BFC46AC"/>
    <w:rsid w:val="7BFCCD87"/>
    <w:rsid w:val="7C04083B"/>
    <w:rsid w:val="7C08B595"/>
    <w:rsid w:val="7C090DA7"/>
    <w:rsid w:val="7C09909F"/>
    <w:rsid w:val="7C0A1DBD"/>
    <w:rsid w:val="7C0B4E4D"/>
    <w:rsid w:val="7C0B9255"/>
    <w:rsid w:val="7C0EC0DE"/>
    <w:rsid w:val="7C12C1B5"/>
    <w:rsid w:val="7C1672C4"/>
    <w:rsid w:val="7C1690FF"/>
    <w:rsid w:val="7C1BC8C7"/>
    <w:rsid w:val="7C1BE86F"/>
    <w:rsid w:val="7C218FF5"/>
    <w:rsid w:val="7C225089"/>
    <w:rsid w:val="7C259020"/>
    <w:rsid w:val="7C27DDA2"/>
    <w:rsid w:val="7C31680B"/>
    <w:rsid w:val="7C3E1E3F"/>
    <w:rsid w:val="7C3FE404"/>
    <w:rsid w:val="7C4023A0"/>
    <w:rsid w:val="7C4BEE39"/>
    <w:rsid w:val="7C4EBEE2"/>
    <w:rsid w:val="7C51E567"/>
    <w:rsid w:val="7C570D0C"/>
    <w:rsid w:val="7C5D5E2D"/>
    <w:rsid w:val="7C5FFDE4"/>
    <w:rsid w:val="7C61FC30"/>
    <w:rsid w:val="7C62AC93"/>
    <w:rsid w:val="7C660049"/>
    <w:rsid w:val="7C6C6A21"/>
    <w:rsid w:val="7C6D1E60"/>
    <w:rsid w:val="7C6DD37C"/>
    <w:rsid w:val="7C73AB26"/>
    <w:rsid w:val="7C781207"/>
    <w:rsid w:val="7C7E3930"/>
    <w:rsid w:val="7C7F5F95"/>
    <w:rsid w:val="7C891703"/>
    <w:rsid w:val="7C90242B"/>
    <w:rsid w:val="7C93CCD8"/>
    <w:rsid w:val="7C993D38"/>
    <w:rsid w:val="7C9FF2C8"/>
    <w:rsid w:val="7CA1C15E"/>
    <w:rsid w:val="7CA46C03"/>
    <w:rsid w:val="7CA500FD"/>
    <w:rsid w:val="7CA63596"/>
    <w:rsid w:val="7CAB3DBF"/>
    <w:rsid w:val="7CADFBAF"/>
    <w:rsid w:val="7CAF3C84"/>
    <w:rsid w:val="7CB05C46"/>
    <w:rsid w:val="7CB329D6"/>
    <w:rsid w:val="7CB365F3"/>
    <w:rsid w:val="7CBA86B9"/>
    <w:rsid w:val="7CBE51F5"/>
    <w:rsid w:val="7CBF85AC"/>
    <w:rsid w:val="7CC1D09C"/>
    <w:rsid w:val="7CC6799E"/>
    <w:rsid w:val="7CCACED6"/>
    <w:rsid w:val="7CCBEA9E"/>
    <w:rsid w:val="7CCE3C46"/>
    <w:rsid w:val="7CCE4CEE"/>
    <w:rsid w:val="7CCFB033"/>
    <w:rsid w:val="7CDBEDC7"/>
    <w:rsid w:val="7CDCD2B7"/>
    <w:rsid w:val="7CDED36A"/>
    <w:rsid w:val="7CE09725"/>
    <w:rsid w:val="7CF01803"/>
    <w:rsid w:val="7CF16E2B"/>
    <w:rsid w:val="7CFA8C82"/>
    <w:rsid w:val="7CFC1355"/>
    <w:rsid w:val="7CFCDD8B"/>
    <w:rsid w:val="7CFF7B30"/>
    <w:rsid w:val="7CFFBD85"/>
    <w:rsid w:val="7D013CFA"/>
    <w:rsid w:val="7D039C80"/>
    <w:rsid w:val="7D0523EE"/>
    <w:rsid w:val="7D0E0280"/>
    <w:rsid w:val="7D1BD767"/>
    <w:rsid w:val="7D259B57"/>
    <w:rsid w:val="7D26FF74"/>
    <w:rsid w:val="7D30BDBA"/>
    <w:rsid w:val="7D32228E"/>
    <w:rsid w:val="7D389540"/>
    <w:rsid w:val="7D38ADFF"/>
    <w:rsid w:val="7D39E632"/>
    <w:rsid w:val="7D3FCA4D"/>
    <w:rsid w:val="7D52835E"/>
    <w:rsid w:val="7D546932"/>
    <w:rsid w:val="7D5A3A59"/>
    <w:rsid w:val="7D5BEC62"/>
    <w:rsid w:val="7D5D2718"/>
    <w:rsid w:val="7D62789C"/>
    <w:rsid w:val="7D654407"/>
    <w:rsid w:val="7D6C367E"/>
    <w:rsid w:val="7D70C2C9"/>
    <w:rsid w:val="7D714AED"/>
    <w:rsid w:val="7D73F85C"/>
    <w:rsid w:val="7D76C73D"/>
    <w:rsid w:val="7D777874"/>
    <w:rsid w:val="7D7B13CB"/>
    <w:rsid w:val="7D7D7D25"/>
    <w:rsid w:val="7D7DD8F9"/>
    <w:rsid w:val="7D81FB99"/>
    <w:rsid w:val="7D8367C0"/>
    <w:rsid w:val="7D838245"/>
    <w:rsid w:val="7D847E60"/>
    <w:rsid w:val="7D864B99"/>
    <w:rsid w:val="7D8832E7"/>
    <w:rsid w:val="7D8E9E78"/>
    <w:rsid w:val="7D91EDBB"/>
    <w:rsid w:val="7D964191"/>
    <w:rsid w:val="7D979327"/>
    <w:rsid w:val="7D983023"/>
    <w:rsid w:val="7D9E3199"/>
    <w:rsid w:val="7D9F6369"/>
    <w:rsid w:val="7DA7EADC"/>
    <w:rsid w:val="7DB81683"/>
    <w:rsid w:val="7DB81E56"/>
    <w:rsid w:val="7DC147BC"/>
    <w:rsid w:val="7DC1FFBF"/>
    <w:rsid w:val="7DC5FC43"/>
    <w:rsid w:val="7DC6ECFF"/>
    <w:rsid w:val="7DCD4404"/>
    <w:rsid w:val="7DD791F6"/>
    <w:rsid w:val="7DD83153"/>
    <w:rsid w:val="7DE3713F"/>
    <w:rsid w:val="7DE3D591"/>
    <w:rsid w:val="7DE9056C"/>
    <w:rsid w:val="7DE97352"/>
    <w:rsid w:val="7DE9AC78"/>
    <w:rsid w:val="7DECF778"/>
    <w:rsid w:val="7DED5B72"/>
    <w:rsid w:val="7DF0EE93"/>
    <w:rsid w:val="7DF6F5A8"/>
    <w:rsid w:val="7DFA8C81"/>
    <w:rsid w:val="7E002F34"/>
    <w:rsid w:val="7E05EFE5"/>
    <w:rsid w:val="7E09A149"/>
    <w:rsid w:val="7E0C680A"/>
    <w:rsid w:val="7E18F3AD"/>
    <w:rsid w:val="7E1C1556"/>
    <w:rsid w:val="7E1DC192"/>
    <w:rsid w:val="7E246032"/>
    <w:rsid w:val="7E2776AD"/>
    <w:rsid w:val="7E2CE350"/>
    <w:rsid w:val="7E334071"/>
    <w:rsid w:val="7E34ACA0"/>
    <w:rsid w:val="7E3E3FC0"/>
    <w:rsid w:val="7E4DBCC4"/>
    <w:rsid w:val="7E4DE8D9"/>
    <w:rsid w:val="7E4FBBE1"/>
    <w:rsid w:val="7E54C357"/>
    <w:rsid w:val="7E5A7D9E"/>
    <w:rsid w:val="7E5FD259"/>
    <w:rsid w:val="7E651581"/>
    <w:rsid w:val="7E6516C3"/>
    <w:rsid w:val="7E691394"/>
    <w:rsid w:val="7E694BAD"/>
    <w:rsid w:val="7E699411"/>
    <w:rsid w:val="7E75B70C"/>
    <w:rsid w:val="7E774920"/>
    <w:rsid w:val="7E796F17"/>
    <w:rsid w:val="7E857E82"/>
    <w:rsid w:val="7E8717F2"/>
    <w:rsid w:val="7E87D134"/>
    <w:rsid w:val="7E88B0BD"/>
    <w:rsid w:val="7E8FAA0D"/>
    <w:rsid w:val="7E9018CA"/>
    <w:rsid w:val="7E981DDE"/>
    <w:rsid w:val="7EA1ADA0"/>
    <w:rsid w:val="7EA22674"/>
    <w:rsid w:val="7EA49452"/>
    <w:rsid w:val="7EA4D66B"/>
    <w:rsid w:val="7EA5C06B"/>
    <w:rsid w:val="7EA6FDC3"/>
    <w:rsid w:val="7EA787AC"/>
    <w:rsid w:val="7EA84329"/>
    <w:rsid w:val="7EA96614"/>
    <w:rsid w:val="7EA9FAC6"/>
    <w:rsid w:val="7EB30668"/>
    <w:rsid w:val="7EB400CE"/>
    <w:rsid w:val="7EB70A50"/>
    <w:rsid w:val="7EB7FF8C"/>
    <w:rsid w:val="7EBF31BD"/>
    <w:rsid w:val="7EC54E6F"/>
    <w:rsid w:val="7EC73A54"/>
    <w:rsid w:val="7ECD1174"/>
    <w:rsid w:val="7ECFACC8"/>
    <w:rsid w:val="7ED0F1F8"/>
    <w:rsid w:val="7ED5D19A"/>
    <w:rsid w:val="7ED67E77"/>
    <w:rsid w:val="7EDB7C4B"/>
    <w:rsid w:val="7EE570A3"/>
    <w:rsid w:val="7EEDB3E1"/>
    <w:rsid w:val="7EEEBDB7"/>
    <w:rsid w:val="7EF050A1"/>
    <w:rsid w:val="7EF654BD"/>
    <w:rsid w:val="7EFAE088"/>
    <w:rsid w:val="7EFDC2C3"/>
    <w:rsid w:val="7F059621"/>
    <w:rsid w:val="7F078F6D"/>
    <w:rsid w:val="7F09A9C5"/>
    <w:rsid w:val="7F12B358"/>
    <w:rsid w:val="7F153C9D"/>
    <w:rsid w:val="7F174325"/>
    <w:rsid w:val="7F1ACD41"/>
    <w:rsid w:val="7F1B176A"/>
    <w:rsid w:val="7F1BAFBD"/>
    <w:rsid w:val="7F1D6EFA"/>
    <w:rsid w:val="7F2387B1"/>
    <w:rsid w:val="7F2AFE92"/>
    <w:rsid w:val="7F2FC6FE"/>
    <w:rsid w:val="7F31B1D3"/>
    <w:rsid w:val="7F329AFD"/>
    <w:rsid w:val="7F32CB87"/>
    <w:rsid w:val="7F348143"/>
    <w:rsid w:val="7F350A02"/>
    <w:rsid w:val="7F40CA06"/>
    <w:rsid w:val="7F426C93"/>
    <w:rsid w:val="7F45E6B0"/>
    <w:rsid w:val="7F460E96"/>
    <w:rsid w:val="7F468D27"/>
    <w:rsid w:val="7F49383F"/>
    <w:rsid w:val="7F4B6D1C"/>
    <w:rsid w:val="7F4DEF2F"/>
    <w:rsid w:val="7F4EA3C4"/>
    <w:rsid w:val="7F51D72F"/>
    <w:rsid w:val="7F542102"/>
    <w:rsid w:val="7F571A68"/>
    <w:rsid w:val="7F572933"/>
    <w:rsid w:val="7F5CB301"/>
    <w:rsid w:val="7F5D5EEA"/>
    <w:rsid w:val="7F5FA496"/>
    <w:rsid w:val="7F604022"/>
    <w:rsid w:val="7F6079B8"/>
    <w:rsid w:val="7F612DB2"/>
    <w:rsid w:val="7F618094"/>
    <w:rsid w:val="7F62106B"/>
    <w:rsid w:val="7F64BDD3"/>
    <w:rsid w:val="7F67E441"/>
    <w:rsid w:val="7F6DB2D2"/>
    <w:rsid w:val="7F6F8D61"/>
    <w:rsid w:val="7F771F90"/>
    <w:rsid w:val="7F7AC414"/>
    <w:rsid w:val="7F7ACEAE"/>
    <w:rsid w:val="7F7F21DD"/>
    <w:rsid w:val="7F8A6078"/>
    <w:rsid w:val="7F8E20FE"/>
    <w:rsid w:val="7F8F40B5"/>
    <w:rsid w:val="7F937A90"/>
    <w:rsid w:val="7F978983"/>
    <w:rsid w:val="7F9B920D"/>
    <w:rsid w:val="7F9CAC2B"/>
    <w:rsid w:val="7F9F762F"/>
    <w:rsid w:val="7FA48D1A"/>
    <w:rsid w:val="7FA50D1D"/>
    <w:rsid w:val="7FACB78A"/>
    <w:rsid w:val="7FAFA857"/>
    <w:rsid w:val="7FB1CB7F"/>
    <w:rsid w:val="7FB26CBC"/>
    <w:rsid w:val="7FB47FDA"/>
    <w:rsid w:val="7FB4E18E"/>
    <w:rsid w:val="7FC18344"/>
    <w:rsid w:val="7FC2FB94"/>
    <w:rsid w:val="7FC66178"/>
    <w:rsid w:val="7FCA3336"/>
    <w:rsid w:val="7FCACB9E"/>
    <w:rsid w:val="7FCD0926"/>
    <w:rsid w:val="7FCD4F3A"/>
    <w:rsid w:val="7FCEF3EF"/>
    <w:rsid w:val="7FD268D9"/>
    <w:rsid w:val="7FD620C0"/>
    <w:rsid w:val="7FD83839"/>
    <w:rsid w:val="7FDA1631"/>
    <w:rsid w:val="7FDB3B0B"/>
    <w:rsid w:val="7FDCD445"/>
    <w:rsid w:val="7FDD1F70"/>
    <w:rsid w:val="7FDD7F0B"/>
    <w:rsid w:val="7FDFDE4F"/>
    <w:rsid w:val="7FE0C883"/>
    <w:rsid w:val="7FE3048F"/>
    <w:rsid w:val="7FF021B8"/>
    <w:rsid w:val="7FF056EC"/>
    <w:rsid w:val="7FF19266"/>
    <w:rsid w:val="7FF7D2C3"/>
    <w:rsid w:val="7FF817AC"/>
    <w:rsid w:val="7FFABFDD"/>
    <w:rsid w:val="7FFC683C"/>
    <w:rsid w:val="7FFDC2DF"/>
    <w:rsid w:val="7FFE5C96"/>
    <w:rsid w:val="7FFF7D52"/>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C6A0B5"/>
  <w14:defaultImageDpi w14:val="330"/>
  <w15:chartTrackingRefBased/>
  <w15:docId w15:val="{A8590AF4-E698-40BB-A157-B8C5E594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F4DBB"/>
    <w:pPr>
      <w:spacing w:before="120" w:line="276" w:lineRule="auto"/>
    </w:pPr>
    <w:rPr>
      <w:sz w:val="24"/>
      <w:lang w:val="et-EE"/>
    </w:rPr>
  </w:style>
  <w:style w:type="paragraph" w:styleId="Heading1">
    <w:name w:val="heading 1"/>
    <w:basedOn w:val="Normal"/>
    <w:next w:val="Normal"/>
    <w:link w:val="Heading1Char"/>
    <w:uiPriority w:val="9"/>
    <w:qFormat/>
    <w:rsid w:val="000D5143"/>
    <w:pPr>
      <w:keepNext/>
      <w:keepLines/>
      <w:numPr>
        <w:numId w:val="60"/>
      </w:numPr>
      <w:spacing w:before="400" w:line="264" w:lineRule="auto"/>
      <w:contextualSpacing/>
      <w:outlineLvl w:val="0"/>
    </w:pPr>
    <w:rPr>
      <w:rFonts w:asciiTheme="majorHAnsi" w:eastAsiaTheme="majorEastAsia" w:hAnsiTheme="majorHAnsi" w:cstheme="majorBidi"/>
      <w:color w:val="1A1A1A" w:themeColor="accent1" w:themeShade="BF"/>
      <w:sz w:val="40"/>
      <w:szCs w:val="32"/>
    </w:rPr>
  </w:style>
  <w:style w:type="paragraph" w:styleId="Heading2">
    <w:name w:val="heading 2"/>
    <w:basedOn w:val="Normal"/>
    <w:next w:val="Normal"/>
    <w:link w:val="Heading2Char"/>
    <w:uiPriority w:val="9"/>
    <w:qFormat/>
    <w:rsid w:val="009E373E"/>
    <w:pPr>
      <w:keepNext/>
      <w:keepLines/>
      <w:numPr>
        <w:ilvl w:val="1"/>
        <w:numId w:val="60"/>
      </w:numPr>
      <w:spacing w:before="200" w:after="120" w:line="264" w:lineRule="auto"/>
      <w:contextualSpacing/>
      <w:outlineLvl w:val="1"/>
    </w:pPr>
    <w:rPr>
      <w:rFonts w:asciiTheme="majorHAnsi" w:eastAsiaTheme="majorEastAsia" w:hAnsiTheme="majorHAnsi" w:cstheme="majorBidi"/>
      <w:color w:val="1A1A1A" w:themeColor="accent1" w:themeShade="BF"/>
      <w:sz w:val="28"/>
      <w:szCs w:val="26"/>
    </w:rPr>
  </w:style>
  <w:style w:type="paragraph" w:styleId="Heading3">
    <w:name w:val="heading 3"/>
    <w:basedOn w:val="Normal"/>
    <w:next w:val="Normal"/>
    <w:link w:val="Heading3Char"/>
    <w:uiPriority w:val="9"/>
    <w:qFormat/>
    <w:rsid w:val="00464FC2"/>
    <w:pPr>
      <w:keepNext/>
      <w:keepLines/>
      <w:numPr>
        <w:ilvl w:val="2"/>
        <w:numId w:val="60"/>
      </w:numPr>
      <w:spacing w:before="160" w:after="120"/>
      <w:contextualSpacing/>
      <w:outlineLvl w:val="2"/>
    </w:pPr>
    <w:rPr>
      <w:rFonts w:asciiTheme="majorHAnsi" w:eastAsiaTheme="majorEastAsia" w:hAnsiTheme="majorHAnsi" w:cstheme="majorBidi"/>
      <w:color w:val="1A1A1A" w:themeColor="accent1" w:themeShade="BF"/>
      <w:szCs w:val="24"/>
    </w:rPr>
  </w:style>
  <w:style w:type="paragraph" w:styleId="Heading4">
    <w:name w:val="heading 4"/>
    <w:basedOn w:val="Normal"/>
    <w:next w:val="Normal"/>
    <w:link w:val="Heading4Char"/>
    <w:uiPriority w:val="9"/>
    <w:unhideWhenUsed/>
    <w:qFormat/>
    <w:rsid w:val="00464FC2"/>
    <w:pPr>
      <w:keepNext/>
      <w:keepLines/>
      <w:numPr>
        <w:ilvl w:val="3"/>
        <w:numId w:val="60"/>
      </w:numPr>
      <w:spacing w:before="40" w:after="120"/>
      <w:contextualSpacing/>
      <w:outlineLvl w:val="3"/>
    </w:pPr>
    <w:rPr>
      <w:rFonts w:asciiTheme="majorHAnsi" w:eastAsiaTheme="majorEastAsia" w:hAnsiTheme="majorHAnsi" w:cstheme="majorBidi"/>
      <w:color w:val="1A1A1A" w:themeColor="accent1" w:themeShade="BF"/>
      <w:szCs w:val="24"/>
    </w:rPr>
  </w:style>
  <w:style w:type="paragraph" w:styleId="Heading5">
    <w:name w:val="heading 5"/>
    <w:basedOn w:val="Normal"/>
    <w:next w:val="Normal"/>
    <w:link w:val="Heading5Char"/>
    <w:uiPriority w:val="9"/>
    <w:unhideWhenUsed/>
    <w:qFormat/>
    <w:rsid w:val="00464FC2"/>
    <w:pPr>
      <w:keepNext/>
      <w:keepLines/>
      <w:numPr>
        <w:ilvl w:val="4"/>
        <w:numId w:val="60"/>
      </w:numPr>
      <w:spacing w:before="40" w:after="120"/>
      <w:contextualSpacing/>
      <w:outlineLvl w:val="4"/>
    </w:pPr>
    <w:rPr>
      <w:rFonts w:asciiTheme="majorHAnsi" w:eastAsiaTheme="majorEastAsia" w:hAnsiTheme="majorHAnsi" w:cstheme="majorBidi"/>
      <w:color w:val="82009B" w:themeColor="accent6"/>
      <w:szCs w:val="24"/>
    </w:rPr>
  </w:style>
  <w:style w:type="paragraph" w:styleId="Heading6">
    <w:name w:val="heading 6"/>
    <w:basedOn w:val="Normal"/>
    <w:next w:val="Normal"/>
    <w:link w:val="Heading6Char"/>
    <w:uiPriority w:val="9"/>
    <w:unhideWhenUsed/>
    <w:qFormat/>
    <w:rsid w:val="00464FC2"/>
    <w:pPr>
      <w:keepNext/>
      <w:keepLines/>
      <w:numPr>
        <w:ilvl w:val="5"/>
        <w:numId w:val="60"/>
      </w:numPr>
      <w:spacing w:before="40" w:after="0"/>
      <w:contextualSpacing/>
      <w:outlineLvl w:val="5"/>
    </w:pPr>
    <w:rPr>
      <w:rFonts w:asciiTheme="majorHAnsi" w:eastAsiaTheme="majorEastAsia" w:hAnsiTheme="majorHAnsi" w:cstheme="majorBidi"/>
      <w:color w:val="3CEB9D" w:themeColor="accent5"/>
      <w:szCs w:val="24"/>
    </w:rPr>
  </w:style>
  <w:style w:type="paragraph" w:styleId="Heading7">
    <w:name w:val="heading 7"/>
    <w:basedOn w:val="Normal"/>
    <w:next w:val="Normal"/>
    <w:link w:val="Heading7Char"/>
    <w:uiPriority w:val="9"/>
    <w:unhideWhenUsed/>
    <w:qFormat/>
    <w:rsid w:val="00464FC2"/>
    <w:pPr>
      <w:keepNext/>
      <w:keepLines/>
      <w:numPr>
        <w:ilvl w:val="6"/>
        <w:numId w:val="60"/>
      </w:numPr>
      <w:spacing w:before="40" w:after="0"/>
      <w:contextualSpacing/>
      <w:outlineLvl w:val="6"/>
    </w:pPr>
    <w:rPr>
      <w:rFonts w:asciiTheme="majorHAnsi" w:eastAsiaTheme="majorEastAsia" w:hAnsiTheme="majorHAnsi" w:cstheme="majorBidi"/>
      <w:color w:val="ACAEAC" w:themeColor="accent2"/>
      <w:szCs w:val="24"/>
    </w:rPr>
  </w:style>
  <w:style w:type="paragraph" w:styleId="Heading8">
    <w:name w:val="heading 8"/>
    <w:basedOn w:val="Normal"/>
    <w:next w:val="Normal"/>
    <w:link w:val="Heading8Char"/>
    <w:uiPriority w:val="9"/>
    <w:unhideWhenUsed/>
    <w:qFormat/>
    <w:rsid w:val="00464FC2"/>
    <w:pPr>
      <w:keepNext/>
      <w:keepLines/>
      <w:numPr>
        <w:ilvl w:val="7"/>
        <w:numId w:val="60"/>
      </w:numPr>
      <w:spacing w:before="40" w:after="0"/>
      <w:contextualSpacing/>
      <w:outlineLvl w:val="7"/>
    </w:pPr>
    <w:rPr>
      <w:rFonts w:asciiTheme="majorHAnsi" w:eastAsiaTheme="majorEastAsia" w:hAnsiTheme="majorHAnsi" w:cstheme="majorBidi"/>
      <w:color w:val="E6E6E6" w:themeColor="accent3"/>
      <w:sz w:val="21"/>
      <w:szCs w:val="21"/>
    </w:rPr>
  </w:style>
  <w:style w:type="paragraph" w:styleId="Heading9">
    <w:name w:val="heading 9"/>
    <w:basedOn w:val="Normal"/>
    <w:next w:val="Normal"/>
    <w:link w:val="Heading9Char"/>
    <w:uiPriority w:val="9"/>
    <w:unhideWhenUsed/>
    <w:qFormat/>
    <w:rsid w:val="00464FC2"/>
    <w:pPr>
      <w:keepNext/>
      <w:keepLines/>
      <w:spacing w:before="40" w:after="0"/>
      <w:outlineLvl w:val="8"/>
    </w:pPr>
    <w:rPr>
      <w:rFonts w:asciiTheme="majorHAnsi" w:eastAsiaTheme="majorEastAsia" w:hAnsiTheme="majorHAnsi" w:cstheme="majorBidi"/>
      <w:i/>
      <w:iCs/>
      <w:color w:val="444444"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FC2"/>
    <w:rPr>
      <w:rFonts w:asciiTheme="majorHAnsi" w:eastAsiaTheme="majorEastAsia" w:hAnsiTheme="majorHAnsi" w:cstheme="majorBidi"/>
      <w:color w:val="1A1A1A" w:themeColor="accent1" w:themeShade="BF"/>
      <w:sz w:val="40"/>
      <w:szCs w:val="32"/>
      <w:lang w:val="et-EE"/>
    </w:rPr>
  </w:style>
  <w:style w:type="character" w:customStyle="1" w:styleId="Heading2Char">
    <w:name w:val="Heading 2 Char"/>
    <w:basedOn w:val="DefaultParagraphFont"/>
    <w:link w:val="Heading2"/>
    <w:uiPriority w:val="9"/>
    <w:rsid w:val="526E82E2"/>
    <w:rPr>
      <w:rFonts w:asciiTheme="majorHAnsi" w:eastAsiaTheme="majorEastAsia" w:hAnsiTheme="majorHAnsi" w:cstheme="majorBidi"/>
      <w:color w:val="1A1A1A" w:themeColor="accent1" w:themeShade="BF"/>
      <w:sz w:val="28"/>
      <w:szCs w:val="26"/>
      <w:lang w:val="et-EE"/>
    </w:rPr>
  </w:style>
  <w:style w:type="character" w:customStyle="1" w:styleId="Heading3Char">
    <w:name w:val="Heading 3 Char"/>
    <w:basedOn w:val="DefaultParagraphFont"/>
    <w:link w:val="Heading3"/>
    <w:uiPriority w:val="9"/>
    <w:rsid w:val="00464FC2"/>
    <w:rPr>
      <w:rFonts w:asciiTheme="majorHAnsi" w:eastAsiaTheme="majorEastAsia" w:hAnsiTheme="majorHAnsi" w:cstheme="majorBidi"/>
      <w:color w:val="1A1A1A" w:themeColor="accent1" w:themeShade="BF"/>
      <w:sz w:val="24"/>
      <w:szCs w:val="24"/>
      <w:lang w:val="et-EE"/>
    </w:rPr>
  </w:style>
  <w:style w:type="character" w:customStyle="1" w:styleId="Heading4Char">
    <w:name w:val="Heading 4 Char"/>
    <w:basedOn w:val="DefaultParagraphFont"/>
    <w:link w:val="Heading4"/>
    <w:uiPriority w:val="9"/>
    <w:rsid w:val="00464FC2"/>
    <w:rPr>
      <w:rFonts w:asciiTheme="majorHAnsi" w:eastAsiaTheme="majorEastAsia" w:hAnsiTheme="majorHAnsi" w:cstheme="majorBidi"/>
      <w:color w:val="1A1A1A" w:themeColor="accent1" w:themeShade="BF"/>
      <w:sz w:val="24"/>
      <w:szCs w:val="24"/>
      <w:lang w:val="et-EE"/>
    </w:rPr>
  </w:style>
  <w:style w:type="character" w:customStyle="1" w:styleId="Heading5Char">
    <w:name w:val="Heading 5 Char"/>
    <w:basedOn w:val="DefaultParagraphFont"/>
    <w:link w:val="Heading5"/>
    <w:uiPriority w:val="9"/>
    <w:rsid w:val="00464FC2"/>
    <w:rPr>
      <w:rFonts w:asciiTheme="majorHAnsi" w:eastAsiaTheme="majorEastAsia" w:hAnsiTheme="majorHAnsi" w:cstheme="majorBidi"/>
      <w:color w:val="82009B" w:themeColor="accent6"/>
      <w:sz w:val="24"/>
      <w:szCs w:val="24"/>
      <w:lang w:val="et-EE"/>
    </w:rPr>
  </w:style>
  <w:style w:type="character" w:customStyle="1" w:styleId="Heading6Char">
    <w:name w:val="Heading 6 Char"/>
    <w:basedOn w:val="DefaultParagraphFont"/>
    <w:link w:val="Heading6"/>
    <w:uiPriority w:val="9"/>
    <w:rsid w:val="00464FC2"/>
    <w:rPr>
      <w:rFonts w:asciiTheme="majorHAnsi" w:eastAsiaTheme="majorEastAsia" w:hAnsiTheme="majorHAnsi" w:cstheme="majorBidi"/>
      <w:color w:val="3CEB9D" w:themeColor="accent5"/>
      <w:sz w:val="24"/>
      <w:szCs w:val="24"/>
      <w:lang w:val="et-EE"/>
    </w:rPr>
  </w:style>
  <w:style w:type="paragraph" w:styleId="Title">
    <w:name w:val="Title"/>
    <w:basedOn w:val="Normal"/>
    <w:next w:val="Normal"/>
    <w:link w:val="TitleChar"/>
    <w:uiPriority w:val="10"/>
    <w:qFormat/>
    <w:rsid w:val="00F53547"/>
    <w:pPr>
      <w:spacing w:after="0" w:line="240" w:lineRule="auto"/>
      <w:contextualSpacing/>
    </w:pPr>
    <w:rPr>
      <w:rFonts w:asciiTheme="majorHAnsi" w:eastAsiaTheme="majorEastAsia" w:hAnsiTheme="majorHAnsi" w:cstheme="majorBidi"/>
      <w:b/>
      <w:kern w:val="28"/>
      <w:sz w:val="64"/>
      <w:szCs w:val="56"/>
    </w:rPr>
  </w:style>
  <w:style w:type="character" w:customStyle="1" w:styleId="TitleChar">
    <w:name w:val="Title Char"/>
    <w:basedOn w:val="DefaultParagraphFont"/>
    <w:link w:val="Title"/>
    <w:uiPriority w:val="10"/>
    <w:rsid w:val="00F53547"/>
    <w:rPr>
      <w:rFonts w:asciiTheme="majorHAnsi" w:eastAsiaTheme="majorEastAsia" w:hAnsiTheme="majorHAnsi" w:cstheme="majorBidi"/>
      <w:b/>
      <w:kern w:val="28"/>
      <w:sz w:val="64"/>
      <w:szCs w:val="56"/>
    </w:rPr>
  </w:style>
  <w:style w:type="paragraph" w:styleId="Subtitle">
    <w:name w:val="Subtitle"/>
    <w:basedOn w:val="Normal"/>
    <w:next w:val="Normal"/>
    <w:link w:val="SubtitleChar"/>
    <w:uiPriority w:val="11"/>
    <w:qFormat/>
    <w:rsid w:val="00BD2319"/>
    <w:pPr>
      <w:numPr>
        <w:ilvl w:val="1"/>
      </w:numPr>
      <w:spacing w:before="240" w:after="240"/>
    </w:pPr>
    <w:rPr>
      <w:rFonts w:eastAsiaTheme="minorEastAsia"/>
      <w:color w:val="ACAEAC" w:themeColor="accent2"/>
      <w:sz w:val="40"/>
    </w:rPr>
  </w:style>
  <w:style w:type="character" w:customStyle="1" w:styleId="SubtitleChar">
    <w:name w:val="Subtitle Char"/>
    <w:basedOn w:val="DefaultParagraphFont"/>
    <w:link w:val="Subtitle"/>
    <w:uiPriority w:val="11"/>
    <w:rsid w:val="00BD2319"/>
    <w:rPr>
      <w:rFonts w:eastAsiaTheme="minorEastAsia"/>
      <w:color w:val="ACAEAC" w:themeColor="accent2"/>
      <w:sz w:val="40"/>
    </w:rPr>
  </w:style>
  <w:style w:type="character" w:styleId="BookTitle">
    <w:name w:val="Book Title"/>
    <w:basedOn w:val="DefaultParagraphFont"/>
    <w:uiPriority w:val="33"/>
    <w:semiHidden/>
    <w:qFormat/>
    <w:rsid w:val="0056786E"/>
    <w:rPr>
      <w:b/>
      <w:bCs/>
      <w:i/>
      <w:iCs/>
      <w:spacing w:val="5"/>
    </w:rPr>
  </w:style>
  <w:style w:type="paragraph" w:styleId="TOCHeading">
    <w:name w:val="TOC Heading"/>
    <w:aliases w:val="Table of Contents"/>
    <w:basedOn w:val="Heading1"/>
    <w:next w:val="Normal"/>
    <w:uiPriority w:val="39"/>
    <w:qFormat/>
    <w:rsid w:val="003619A6"/>
    <w:pPr>
      <w:outlineLvl w:val="9"/>
    </w:pPr>
    <w:rPr>
      <w:color w:val="232323" w:themeColor="accent1"/>
      <w:kern w:val="0"/>
      <w:sz w:val="72"/>
      <w14:ligatures w14:val="none"/>
    </w:rPr>
  </w:style>
  <w:style w:type="paragraph" w:styleId="TOC1">
    <w:name w:val="toc 1"/>
    <w:basedOn w:val="Normal"/>
    <w:next w:val="Normal"/>
    <w:autoRedefine/>
    <w:uiPriority w:val="39"/>
    <w:rsid w:val="00A647FA"/>
    <w:pPr>
      <w:tabs>
        <w:tab w:val="left" w:pos="397"/>
        <w:tab w:val="right" w:leader="dot" w:pos="10252"/>
      </w:tabs>
      <w:spacing w:before="240" w:after="100"/>
      <w:ind w:left="340" w:hanging="340"/>
    </w:pPr>
  </w:style>
  <w:style w:type="paragraph" w:styleId="TOC2">
    <w:name w:val="toc 2"/>
    <w:basedOn w:val="Normal"/>
    <w:next w:val="Normal"/>
    <w:autoRedefine/>
    <w:uiPriority w:val="39"/>
    <w:rsid w:val="00F10E5E"/>
    <w:pPr>
      <w:tabs>
        <w:tab w:val="left" w:pos="1361"/>
        <w:tab w:val="right" w:leader="dot" w:pos="10252"/>
      </w:tabs>
      <w:spacing w:after="100"/>
      <w:ind w:left="680" w:right="-178" w:hanging="340"/>
    </w:pPr>
    <w:rPr>
      <w:rFonts w:asciiTheme="majorHAnsi" w:eastAsiaTheme="majorEastAsia" w:hAnsiTheme="majorHAnsi" w:cstheme="majorBidi"/>
      <w:b/>
      <w:bCs/>
      <w:noProof/>
    </w:rPr>
  </w:style>
  <w:style w:type="paragraph" w:styleId="TOC3">
    <w:name w:val="toc 3"/>
    <w:basedOn w:val="Normal"/>
    <w:next w:val="Normal"/>
    <w:autoRedefine/>
    <w:uiPriority w:val="39"/>
    <w:rsid w:val="00A647FA"/>
    <w:pPr>
      <w:spacing w:after="100"/>
      <w:ind w:left="1190" w:hanging="510"/>
    </w:pPr>
  </w:style>
  <w:style w:type="character" w:styleId="Hyperlink">
    <w:name w:val="Hyperlink"/>
    <w:basedOn w:val="DefaultParagraphFont"/>
    <w:uiPriority w:val="99"/>
    <w:rsid w:val="0056786E"/>
    <w:rPr>
      <w:color w:val="82009B" w:themeColor="hyperlink"/>
      <w:u w:val="single"/>
    </w:rPr>
  </w:style>
  <w:style w:type="character" w:styleId="Strong">
    <w:name w:val="Strong"/>
    <w:basedOn w:val="DefaultParagraphFont"/>
    <w:uiPriority w:val="22"/>
    <w:qFormat/>
    <w:rsid w:val="0089712F"/>
    <w:rPr>
      <w:b/>
      <w:bCs/>
    </w:rPr>
  </w:style>
  <w:style w:type="character" w:styleId="Emphasis">
    <w:name w:val="Emphasis"/>
    <w:aliases w:val="citation"/>
    <w:basedOn w:val="DefaultParagraphFont"/>
    <w:uiPriority w:val="20"/>
    <w:qFormat/>
    <w:rsid w:val="00B17F79"/>
    <w:rPr>
      <w:i/>
      <w:iCs/>
      <w:color w:val="ACAEAC" w:themeColor="accent2"/>
      <w:sz w:val="20"/>
    </w:rPr>
  </w:style>
  <w:style w:type="character" w:customStyle="1" w:styleId="YellowText">
    <w:name w:val="Yellow Text"/>
    <w:basedOn w:val="DefaultParagraphFont"/>
    <w:uiPriority w:val="4"/>
    <w:qFormat/>
    <w:rsid w:val="0089712F"/>
    <w:rPr>
      <w:color w:val="EBFE41" w:themeColor="accent4"/>
    </w:rPr>
  </w:style>
  <w:style w:type="paragraph" w:customStyle="1" w:styleId="DarkBlock">
    <w:name w:val="Dark Block"/>
    <w:basedOn w:val="Normal"/>
    <w:link w:val="DarkBlockChar"/>
    <w:uiPriority w:val="14"/>
    <w:qFormat/>
    <w:rsid w:val="00464FC2"/>
    <w:pPr>
      <w:pBdr>
        <w:top w:val="single" w:sz="48" w:space="31" w:color="232323" w:themeColor="text2"/>
        <w:left w:val="single" w:sz="48" w:space="31" w:color="232323" w:themeColor="text2"/>
        <w:bottom w:val="single" w:sz="48" w:space="31" w:color="232323" w:themeColor="text2"/>
        <w:right w:val="single" w:sz="48" w:space="31" w:color="232323" w:themeColor="text2"/>
      </w:pBdr>
      <w:shd w:val="clear" w:color="auto" w:fill="232323" w:themeFill="text2"/>
      <w:ind w:left="-68" w:right="-68"/>
      <w:contextualSpacing/>
    </w:pPr>
    <w:rPr>
      <w:rFonts w:asciiTheme="majorHAnsi" w:hAnsiTheme="majorHAnsi"/>
      <w:color w:val="FEFEFE" w:themeColor="background1"/>
      <w:sz w:val="56"/>
    </w:rPr>
  </w:style>
  <w:style w:type="paragraph" w:styleId="NoSpacing">
    <w:name w:val="No Spacing"/>
    <w:link w:val="NoSpacingChar"/>
    <w:uiPriority w:val="1"/>
    <w:qFormat/>
    <w:rsid w:val="009174DF"/>
    <w:pPr>
      <w:spacing w:after="0" w:line="240" w:lineRule="auto"/>
    </w:pPr>
  </w:style>
  <w:style w:type="paragraph" w:styleId="Header">
    <w:name w:val="header"/>
    <w:basedOn w:val="Normal"/>
    <w:link w:val="HeaderChar"/>
    <w:uiPriority w:val="99"/>
    <w:semiHidden/>
    <w:rsid w:val="00F00630"/>
    <w:pPr>
      <w:tabs>
        <w:tab w:val="center" w:pos="4513"/>
        <w:tab w:val="right" w:pos="9026"/>
      </w:tabs>
      <w:spacing w:before="40" w:after="40" w:line="240" w:lineRule="auto"/>
      <w:jc w:val="right"/>
    </w:pPr>
    <w:rPr>
      <w:color w:val="909090" w:themeColor="text1" w:themeTint="80"/>
      <w:sz w:val="19"/>
    </w:rPr>
  </w:style>
  <w:style w:type="character" w:customStyle="1" w:styleId="HeaderChar">
    <w:name w:val="Header Char"/>
    <w:basedOn w:val="DefaultParagraphFont"/>
    <w:link w:val="Header"/>
    <w:uiPriority w:val="99"/>
    <w:semiHidden/>
    <w:rsid w:val="00707FA1"/>
    <w:rPr>
      <w:color w:val="909090" w:themeColor="text1" w:themeTint="80"/>
      <w:sz w:val="19"/>
      <w:lang w:val="en-US"/>
    </w:rPr>
  </w:style>
  <w:style w:type="paragraph" w:styleId="Footer">
    <w:name w:val="footer"/>
    <w:basedOn w:val="Normal"/>
    <w:link w:val="FooterChar"/>
    <w:uiPriority w:val="99"/>
    <w:semiHidden/>
    <w:rsid w:val="00BA2BE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07FA1"/>
    <w:rPr>
      <w:lang w:val="en-US"/>
    </w:rPr>
  </w:style>
  <w:style w:type="paragraph" w:customStyle="1" w:styleId="SectionHeader">
    <w:name w:val="Section Header"/>
    <w:basedOn w:val="Heading1"/>
    <w:link w:val="SectionHeaderChar"/>
    <w:uiPriority w:val="13"/>
    <w:qFormat/>
    <w:rsid w:val="00671ABD"/>
    <w:pPr>
      <w:numPr>
        <w:numId w:val="10"/>
      </w:numPr>
      <w:ind w:left="357" w:hanging="357"/>
    </w:pPr>
    <w:rPr>
      <w:sz w:val="72"/>
    </w:rPr>
  </w:style>
  <w:style w:type="paragraph" w:customStyle="1" w:styleId="SectionSubtitle">
    <w:name w:val="Section Subtitle"/>
    <w:basedOn w:val="Subtitle"/>
    <w:uiPriority w:val="24"/>
    <w:qFormat/>
    <w:rsid w:val="00A019FA"/>
    <w:pPr>
      <w:spacing w:before="160" w:line="269" w:lineRule="auto"/>
    </w:pPr>
    <w:rPr>
      <w:color w:val="82009B" w:themeColor="accent6"/>
    </w:rPr>
  </w:style>
  <w:style w:type="character" w:styleId="PlaceholderText">
    <w:name w:val="Placeholder Text"/>
    <w:basedOn w:val="DefaultParagraphFont"/>
    <w:uiPriority w:val="99"/>
    <w:semiHidden/>
    <w:rsid w:val="00450ED5"/>
    <w:rPr>
      <w:color w:val="666666"/>
    </w:rPr>
  </w:style>
  <w:style w:type="paragraph" w:customStyle="1" w:styleId="GraphiteBlock">
    <w:name w:val="Graphite Block"/>
    <w:basedOn w:val="DarkBlock"/>
    <w:uiPriority w:val="8"/>
    <w:qFormat/>
    <w:rsid w:val="007D745F"/>
    <w:pPr>
      <w:pBdr>
        <w:top w:val="single" w:sz="48" w:space="20" w:color="232323" w:themeColor="text2"/>
        <w:bottom w:val="single" w:sz="48" w:space="20" w:color="232323" w:themeColor="text2"/>
      </w:pBdr>
      <w:spacing w:line="264" w:lineRule="auto"/>
    </w:pPr>
    <w:rPr>
      <w:rFonts w:asciiTheme="minorHAnsi" w:hAnsiTheme="minorHAnsi"/>
      <w:noProof/>
      <w:sz w:val="28"/>
    </w:rPr>
  </w:style>
  <w:style w:type="paragraph" w:customStyle="1" w:styleId="MintBlock">
    <w:name w:val="Mint Block"/>
    <w:basedOn w:val="GraphiteBlock"/>
    <w:uiPriority w:val="8"/>
    <w:qFormat/>
    <w:rsid w:val="00B4421F"/>
    <w:pPr>
      <w:pBdr>
        <w:top w:val="single" w:sz="48" w:space="20" w:color="3CEB9D" w:themeColor="accent5"/>
        <w:left w:val="single" w:sz="48" w:space="31" w:color="3CEB9D" w:themeColor="accent5"/>
        <w:bottom w:val="single" w:sz="48" w:space="20" w:color="3CEB9D" w:themeColor="accent5"/>
        <w:right w:val="single" w:sz="48" w:space="31" w:color="3CEB9D" w:themeColor="accent5"/>
      </w:pBdr>
      <w:shd w:val="clear" w:color="auto" w:fill="3CEB9D" w:themeFill="accent5"/>
      <w:spacing w:before="60" w:after="60" w:line="240" w:lineRule="auto"/>
      <w:ind w:left="-72" w:right="-72"/>
      <w:jc w:val="both"/>
    </w:pPr>
    <w:rPr>
      <w:color w:val="auto"/>
      <w:sz w:val="24"/>
    </w:rPr>
  </w:style>
  <w:style w:type="paragraph" w:customStyle="1" w:styleId="PurpleBlock">
    <w:name w:val="Purple Block"/>
    <w:basedOn w:val="MintBlock"/>
    <w:uiPriority w:val="8"/>
    <w:qFormat/>
    <w:rsid w:val="007D745F"/>
    <w:pPr>
      <w:pBdr>
        <w:top w:val="single" w:sz="48" w:space="20" w:color="82009B" w:themeColor="accent6"/>
        <w:left w:val="single" w:sz="48" w:space="31" w:color="82009B" w:themeColor="accent6"/>
        <w:bottom w:val="single" w:sz="48" w:space="20" w:color="82009B" w:themeColor="accent6"/>
        <w:right w:val="single" w:sz="48" w:space="31" w:color="82009B" w:themeColor="accent6"/>
      </w:pBdr>
      <w:shd w:val="clear" w:color="auto" w:fill="82009B" w:themeFill="accent6"/>
    </w:pPr>
  </w:style>
  <w:style w:type="paragraph" w:customStyle="1" w:styleId="YellowBlock">
    <w:name w:val="Yellow Block"/>
    <w:basedOn w:val="PurpleBlock"/>
    <w:uiPriority w:val="8"/>
    <w:qFormat/>
    <w:rsid w:val="007D745F"/>
    <w:pPr>
      <w:pBdr>
        <w:top w:val="single" w:sz="48" w:space="20" w:color="EBFE41" w:themeColor="accent4"/>
        <w:left w:val="single" w:sz="48" w:space="31" w:color="EBFE41" w:themeColor="accent4"/>
        <w:bottom w:val="single" w:sz="48" w:space="20" w:color="EBFE41" w:themeColor="accent4"/>
        <w:right w:val="single" w:sz="48" w:space="31" w:color="EBFE41" w:themeColor="accent4"/>
      </w:pBdr>
      <w:shd w:val="clear" w:color="auto" w:fill="EBFE41" w:themeFill="accent4"/>
    </w:pPr>
  </w:style>
  <w:style w:type="paragraph" w:customStyle="1" w:styleId="AshGreyBlock">
    <w:name w:val="Ash Grey Block"/>
    <w:basedOn w:val="YellowBlock"/>
    <w:uiPriority w:val="8"/>
    <w:qFormat/>
    <w:rsid w:val="007D745F"/>
    <w:pPr>
      <w:pBdr>
        <w:top w:val="single" w:sz="48" w:space="20" w:color="ACAEAC" w:themeColor="accent2"/>
        <w:left w:val="single" w:sz="48" w:space="31" w:color="ACAEAC" w:themeColor="accent2"/>
        <w:bottom w:val="single" w:sz="48" w:space="20" w:color="ACAEAC" w:themeColor="accent2"/>
        <w:right w:val="single" w:sz="48" w:space="31" w:color="ACAEAC" w:themeColor="accent2"/>
      </w:pBdr>
      <w:shd w:val="clear" w:color="auto" w:fill="ACAEAC" w:themeFill="accent2"/>
    </w:pPr>
  </w:style>
  <w:style w:type="paragraph" w:customStyle="1" w:styleId="PaleGreyBlock">
    <w:name w:val="Pale Grey Block"/>
    <w:basedOn w:val="AshGreyBlock"/>
    <w:uiPriority w:val="8"/>
    <w:qFormat/>
    <w:rsid w:val="007D745F"/>
    <w:pPr>
      <w:pBdr>
        <w:top w:val="single" w:sz="48" w:space="20" w:color="E6E6E6" w:themeColor="accent3"/>
        <w:left w:val="single" w:sz="48" w:space="31" w:color="E6E6E6" w:themeColor="accent3"/>
        <w:bottom w:val="single" w:sz="48" w:space="20" w:color="E6E6E6" w:themeColor="accent3"/>
        <w:right w:val="single" w:sz="48" w:space="31" w:color="E6E6E6" w:themeColor="accent3"/>
      </w:pBdr>
      <w:shd w:val="clear" w:color="auto" w:fill="E6E6E6" w:themeFill="accent3"/>
    </w:pPr>
  </w:style>
  <w:style w:type="paragraph" w:styleId="ListBullet">
    <w:name w:val="List Bullet"/>
    <w:basedOn w:val="Normal"/>
    <w:uiPriority w:val="3"/>
    <w:unhideWhenUsed/>
    <w:rsid w:val="00730CDF"/>
    <w:pPr>
      <w:numPr>
        <w:numId w:val="4"/>
      </w:numPr>
      <w:contextualSpacing/>
    </w:pPr>
  </w:style>
  <w:style w:type="paragraph" w:styleId="ListBullet2">
    <w:name w:val="List Bullet 2"/>
    <w:basedOn w:val="Normal"/>
    <w:uiPriority w:val="3"/>
    <w:unhideWhenUsed/>
    <w:rsid w:val="004F4DBB"/>
    <w:pPr>
      <w:numPr>
        <w:numId w:val="5"/>
      </w:numPr>
      <w:spacing w:after="120"/>
      <w:ind w:left="697" w:hanging="357"/>
      <w:contextualSpacing/>
    </w:pPr>
  </w:style>
  <w:style w:type="paragraph" w:styleId="ListBullet3">
    <w:name w:val="List Bullet 3"/>
    <w:basedOn w:val="Normal"/>
    <w:uiPriority w:val="3"/>
    <w:unhideWhenUsed/>
    <w:rsid w:val="004F4DBB"/>
    <w:pPr>
      <w:numPr>
        <w:numId w:val="6"/>
      </w:numPr>
      <w:spacing w:after="120"/>
      <w:ind w:left="1020" w:hanging="340"/>
      <w:contextualSpacing/>
    </w:pPr>
  </w:style>
  <w:style w:type="paragraph" w:styleId="ListBullet4">
    <w:name w:val="List Bullet 4"/>
    <w:basedOn w:val="Normal"/>
    <w:uiPriority w:val="3"/>
    <w:semiHidden/>
    <w:rsid w:val="00B3744D"/>
    <w:pPr>
      <w:numPr>
        <w:numId w:val="7"/>
      </w:numPr>
      <w:ind w:left="1361" w:hanging="340"/>
      <w:contextualSpacing/>
    </w:pPr>
  </w:style>
  <w:style w:type="paragraph" w:styleId="ListBullet5">
    <w:name w:val="List Bullet 5"/>
    <w:basedOn w:val="Normal"/>
    <w:uiPriority w:val="3"/>
    <w:semiHidden/>
    <w:unhideWhenUsed/>
    <w:rsid w:val="00B3744D"/>
    <w:pPr>
      <w:numPr>
        <w:numId w:val="8"/>
      </w:numPr>
      <w:ind w:left="1701" w:hanging="340"/>
      <w:contextualSpacing/>
    </w:pPr>
  </w:style>
  <w:style w:type="table" w:styleId="TableGrid">
    <w:name w:val="Table Grid"/>
    <w:basedOn w:val="TableNormal"/>
    <w:uiPriority w:val="39"/>
    <w:rsid w:val="004C4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table" w:styleId="PlainTable5">
    <w:name w:val="Plain Table 5"/>
    <w:basedOn w:val="TableNormal"/>
    <w:uiPriority w:val="45"/>
    <w:rsid w:val="000146F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90" w:themeColor="text1" w:themeTint="80"/>
        </w:tcBorders>
        <w:shd w:val="clear" w:color="auto" w:fill="FEFEFE" w:themeFill="background1"/>
      </w:tcPr>
    </w:tblStylePr>
    <w:tblStylePr w:type="lastRow">
      <w:rPr>
        <w:rFonts w:asciiTheme="majorHAnsi" w:eastAsiaTheme="majorEastAsia" w:hAnsiTheme="majorHAnsi" w:cstheme="majorBidi"/>
        <w:i/>
        <w:iCs/>
        <w:sz w:val="26"/>
      </w:rPr>
      <w:tblPr/>
      <w:tcPr>
        <w:tcBorders>
          <w:top w:val="single" w:sz="4" w:space="0" w:color="909090" w:themeColor="text1" w:themeTint="80"/>
        </w:tcBorders>
        <w:shd w:val="clear" w:color="auto" w:fill="FEFE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90" w:themeColor="text1" w:themeTint="80"/>
        </w:tcBorders>
        <w:shd w:val="clear" w:color="auto" w:fill="FEFEFE" w:themeFill="background1"/>
      </w:tcPr>
    </w:tblStylePr>
    <w:tblStylePr w:type="lastCol">
      <w:rPr>
        <w:rFonts w:asciiTheme="majorHAnsi" w:eastAsiaTheme="majorEastAsia" w:hAnsiTheme="majorHAnsi" w:cstheme="majorBidi"/>
        <w:i/>
        <w:iCs/>
        <w:sz w:val="26"/>
      </w:rPr>
      <w:tblPr/>
      <w:tcPr>
        <w:tcBorders>
          <w:left w:val="single" w:sz="4" w:space="0" w:color="909090" w:themeColor="text1" w:themeTint="80"/>
        </w:tcBorders>
        <w:shd w:val="clear" w:color="auto" w:fill="FEFEFE" w:themeFill="background1"/>
      </w:tcPr>
    </w:tblStylePr>
    <w:tblStylePr w:type="band1Vert">
      <w:tblPr/>
      <w:tcPr>
        <w:shd w:val="clear" w:color="auto" w:fill="F1F1F1" w:themeFill="background1" w:themeFillShade="F2"/>
      </w:tcPr>
    </w:tblStylePr>
    <w:tblStylePr w:type="band1Horz">
      <w:tblPr/>
      <w:tcPr>
        <w:shd w:val="clear" w:color="auto" w:fill="F1F1F1"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oSpacingChar">
    <w:name w:val="No Spacing Char"/>
    <w:basedOn w:val="DefaultParagraphFont"/>
    <w:link w:val="NoSpacing"/>
    <w:uiPriority w:val="1"/>
    <w:rsid w:val="00707FA1"/>
  </w:style>
  <w:style w:type="character" w:customStyle="1" w:styleId="PurpleText">
    <w:name w:val="Purple Text"/>
    <w:basedOn w:val="YellowText"/>
    <w:uiPriority w:val="4"/>
    <w:qFormat/>
    <w:rsid w:val="00BD2319"/>
    <w:rPr>
      <w:color w:val="82009B" w:themeColor="accent6"/>
    </w:rPr>
  </w:style>
  <w:style w:type="character" w:customStyle="1" w:styleId="MintText">
    <w:name w:val="Mint Text"/>
    <w:basedOn w:val="PurpleText"/>
    <w:uiPriority w:val="4"/>
    <w:qFormat/>
    <w:rsid w:val="00BD2319"/>
    <w:rPr>
      <w:color w:val="3CEB9D" w:themeColor="accent5"/>
    </w:rPr>
  </w:style>
  <w:style w:type="paragraph" w:styleId="FootnoteText">
    <w:name w:val="footnote text"/>
    <w:basedOn w:val="Normal"/>
    <w:link w:val="FootnoteTextChar"/>
    <w:uiPriority w:val="99"/>
    <w:unhideWhenUsed/>
    <w:rsid w:val="00251CE1"/>
    <w:pPr>
      <w:pBdr>
        <w:left w:val="double" w:sz="6" w:space="5" w:color="3CEB9D" w:themeColor="accent5"/>
      </w:pBdr>
      <w:spacing w:after="0" w:line="288" w:lineRule="auto"/>
    </w:pPr>
    <w:rPr>
      <w:sz w:val="18"/>
      <w:szCs w:val="20"/>
    </w:rPr>
  </w:style>
  <w:style w:type="character" w:customStyle="1" w:styleId="FootnoteTextChar">
    <w:name w:val="Footnote Text Char"/>
    <w:basedOn w:val="DefaultParagraphFont"/>
    <w:link w:val="FootnoteText"/>
    <w:uiPriority w:val="99"/>
    <w:rsid w:val="00251CE1"/>
    <w:rPr>
      <w:sz w:val="18"/>
      <w:szCs w:val="20"/>
      <w:lang w:val="en-US"/>
    </w:rPr>
  </w:style>
  <w:style w:type="character" w:styleId="FootnoteReference">
    <w:name w:val="footnote reference"/>
    <w:basedOn w:val="DefaultParagraphFont"/>
    <w:uiPriority w:val="99"/>
    <w:unhideWhenUsed/>
    <w:rsid w:val="00BD2319"/>
    <w:rPr>
      <w:vertAlign w:val="superscript"/>
    </w:rPr>
  </w:style>
  <w:style w:type="character" w:styleId="Hashtag">
    <w:name w:val="Hashtag"/>
    <w:basedOn w:val="DefaultParagraphFont"/>
    <w:uiPriority w:val="99"/>
    <w:semiHidden/>
    <w:unhideWhenUsed/>
    <w:rsid w:val="00A019FA"/>
    <w:rPr>
      <w:color w:val="82009B" w:themeColor="accent6"/>
      <w:shd w:val="clear" w:color="auto" w:fill="E1DFDD"/>
    </w:rPr>
  </w:style>
  <w:style w:type="character" w:customStyle="1" w:styleId="Heading7Char">
    <w:name w:val="Heading 7 Char"/>
    <w:basedOn w:val="DefaultParagraphFont"/>
    <w:link w:val="Heading7"/>
    <w:uiPriority w:val="9"/>
    <w:rsid w:val="00464FC2"/>
    <w:rPr>
      <w:rFonts w:asciiTheme="majorHAnsi" w:eastAsiaTheme="majorEastAsia" w:hAnsiTheme="majorHAnsi" w:cstheme="majorBidi"/>
      <w:color w:val="ACAEAC" w:themeColor="accent2"/>
      <w:sz w:val="24"/>
      <w:szCs w:val="24"/>
      <w:lang w:val="et-EE"/>
    </w:rPr>
  </w:style>
  <w:style w:type="table" w:styleId="GridTable5Dark-Accent6">
    <w:name w:val="Grid Table 5 Dark Accent 6"/>
    <w:basedOn w:val="TableNormal"/>
    <w:uiPriority w:val="50"/>
    <w:rsid w:val="00C21E0C"/>
    <w:pPr>
      <w:spacing w:after="0" w:line="240" w:lineRule="auto"/>
    </w:pPr>
    <w:tblPr>
      <w:tblStyleRowBandSize w:val="1"/>
      <w:tblStyleColBandSize w:val="1"/>
      <w:tblBorders>
        <w:top w:val="single" w:sz="4" w:space="0" w:color="FEFEFE" w:themeColor="background1"/>
        <w:left w:val="single" w:sz="4" w:space="0" w:color="FEFEFE" w:themeColor="background1"/>
        <w:bottom w:val="single" w:sz="4" w:space="0" w:color="FEFEFE" w:themeColor="background1"/>
        <w:right w:val="single" w:sz="4" w:space="0" w:color="FEFEFE" w:themeColor="background1"/>
        <w:insideH w:val="single" w:sz="4" w:space="0" w:color="FEFEFE" w:themeColor="background1"/>
        <w:insideV w:val="single" w:sz="4" w:space="0" w:color="FEFEFE" w:themeColor="background1"/>
      </w:tblBorders>
    </w:tblPr>
    <w:tcPr>
      <w:shd w:val="clear" w:color="auto" w:fill="F3B8FF" w:themeFill="accent6"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82009B" w:themeFill="accent6"/>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82009B" w:themeFill="accent6"/>
      </w:tcPr>
    </w:tblStylePr>
    <w:tblStylePr w:type="firstCol">
      <w:rPr>
        <w:b/>
        <w:bCs/>
        <w:color w:val="FEFEFE" w:themeColor="background1"/>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82009B" w:themeFill="accent6"/>
      </w:tcPr>
    </w:tblStylePr>
    <w:tblStylePr w:type="lastCol">
      <w:rPr>
        <w:b/>
        <w:bCs/>
        <w:color w:val="FEFEFE" w:themeColor="background1"/>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82009B" w:themeFill="accent6"/>
      </w:tcPr>
    </w:tblStylePr>
    <w:tblStylePr w:type="band1Vert">
      <w:tblPr/>
      <w:tcPr>
        <w:shd w:val="clear" w:color="auto" w:fill="E771FF" w:themeFill="accent6" w:themeFillTint="66"/>
      </w:tcPr>
    </w:tblStylePr>
    <w:tblStylePr w:type="band1Horz">
      <w:tblPr/>
      <w:tcPr>
        <w:shd w:val="clear" w:color="auto" w:fill="E771FF" w:themeFill="accent6" w:themeFillTint="66"/>
      </w:tcPr>
    </w:tblStylePr>
  </w:style>
  <w:style w:type="table" w:styleId="ListTable1Light-Accent3">
    <w:name w:val="List Table 1 Light Accent 3"/>
    <w:basedOn w:val="TableNormal"/>
    <w:uiPriority w:val="46"/>
    <w:rsid w:val="00C21E0C"/>
    <w:pPr>
      <w:spacing w:after="0" w:line="240" w:lineRule="auto"/>
    </w:pPr>
    <w:tblPr>
      <w:tblStyleRowBandSize w:val="1"/>
      <w:tblStyleColBandSize w:val="1"/>
    </w:tblPr>
    <w:tblStylePr w:type="firstRow">
      <w:rPr>
        <w:b/>
        <w:bCs/>
      </w:rPr>
      <w:tblPr/>
      <w:tcPr>
        <w:tcBorders>
          <w:bottom w:val="single" w:sz="4" w:space="0" w:color="F0F0F0" w:themeColor="accent3" w:themeTint="99"/>
        </w:tcBorders>
      </w:tcPr>
    </w:tblStylePr>
    <w:tblStylePr w:type="lastRow">
      <w:rPr>
        <w:b/>
        <w:bCs/>
      </w:rPr>
      <w:tblPr/>
      <w:tcPr>
        <w:tcBorders>
          <w:top w:val="single" w:sz="4" w:space="0" w:color="F0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7Colorful-Accent3">
    <w:name w:val="List Table 7 Colorful Accent 3"/>
    <w:basedOn w:val="TableNormal"/>
    <w:uiPriority w:val="52"/>
    <w:rsid w:val="00C21E0C"/>
    <w:pPr>
      <w:spacing w:after="0" w:line="240" w:lineRule="auto"/>
    </w:pPr>
    <w:rPr>
      <w:color w:val="ACACAC" w:themeColor="accent3" w:themeShade="BF"/>
    </w:rPr>
    <w:tblPr>
      <w:tblStyleRowBandSize w:val="1"/>
      <w:tblStyleColBandSize w:val="1"/>
    </w:tblPr>
    <w:tblStylePr w:type="firstRow">
      <w:rPr>
        <w:rFonts w:asciiTheme="majorHAnsi" w:eastAsiaTheme="majorEastAsia" w:hAnsiTheme="majorHAnsi" w:cstheme="majorBidi"/>
        <w:i w:val="0"/>
        <w:iCs/>
        <w:sz w:val="26"/>
      </w:rPr>
      <w:tblPr/>
      <w:tcPr>
        <w:tcBorders>
          <w:bottom w:val="single" w:sz="4" w:space="0" w:color="E6E6E6" w:themeColor="accent3"/>
        </w:tcBorders>
        <w:shd w:val="clear" w:color="auto" w:fill="FEFEFE" w:themeFill="background1"/>
      </w:tcPr>
    </w:tblStylePr>
    <w:tblStylePr w:type="lastRow">
      <w:rPr>
        <w:rFonts w:asciiTheme="majorHAnsi" w:eastAsiaTheme="majorEastAsia" w:hAnsiTheme="majorHAnsi" w:cstheme="majorBidi"/>
        <w:i/>
        <w:iCs/>
        <w:sz w:val="26"/>
      </w:rPr>
      <w:tblPr/>
      <w:tcPr>
        <w:tcBorders>
          <w:top w:val="single" w:sz="4" w:space="0" w:color="E6E6E6" w:themeColor="accent3"/>
        </w:tcBorders>
        <w:shd w:val="clear" w:color="auto" w:fill="FEFE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6E6E6" w:themeColor="accent3"/>
        </w:tcBorders>
        <w:shd w:val="clear" w:color="auto" w:fill="FEFEFE" w:themeFill="background1"/>
      </w:tcPr>
    </w:tblStylePr>
    <w:tblStylePr w:type="lastCol">
      <w:rPr>
        <w:rFonts w:asciiTheme="majorHAnsi" w:eastAsiaTheme="majorEastAsia" w:hAnsiTheme="majorHAnsi" w:cstheme="majorBidi"/>
        <w:i/>
        <w:iCs/>
        <w:sz w:val="26"/>
      </w:rPr>
      <w:tblPr/>
      <w:tcPr>
        <w:tcBorders>
          <w:left w:val="single" w:sz="4" w:space="0" w:color="E6E6E6" w:themeColor="accent3"/>
        </w:tcBorders>
        <w:shd w:val="clear" w:color="auto" w:fill="FEFEFE"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Accent4">
    <w:name w:val="Grid Table 7 Colorful Accent 4"/>
    <w:basedOn w:val="TableNormal"/>
    <w:uiPriority w:val="52"/>
    <w:rsid w:val="00C21E0C"/>
    <w:pPr>
      <w:spacing w:after="0" w:line="240" w:lineRule="auto"/>
    </w:pPr>
    <w:rPr>
      <w:color w:val="D5ED01" w:themeColor="accent4" w:themeShade="BF"/>
    </w:rPr>
    <w:tblPr>
      <w:tblStyleRowBandSize w:val="1"/>
      <w:tblStyleColBandSize w:val="1"/>
      <w:tblBorders>
        <w:top w:val="single" w:sz="4" w:space="0" w:color="F2FE8C" w:themeColor="accent4" w:themeTint="99"/>
        <w:left w:val="single" w:sz="4" w:space="0" w:color="F2FE8C" w:themeColor="accent4" w:themeTint="99"/>
        <w:bottom w:val="single" w:sz="4" w:space="0" w:color="F2FE8C" w:themeColor="accent4" w:themeTint="99"/>
        <w:right w:val="single" w:sz="4" w:space="0" w:color="F2FE8C" w:themeColor="accent4" w:themeTint="99"/>
        <w:insideH w:val="single" w:sz="4" w:space="0" w:color="F2FE8C" w:themeColor="accent4" w:themeTint="99"/>
        <w:insideV w:val="single" w:sz="4" w:space="0" w:color="F2FE8C" w:themeColor="accent4" w:themeTint="99"/>
      </w:tblBorders>
    </w:tblPr>
    <w:tblStylePr w:type="firstRow">
      <w:rPr>
        <w:b/>
        <w:bCs/>
      </w:rPr>
      <w:tblPr/>
      <w:tcPr>
        <w:tcBorders>
          <w:top w:val="nil"/>
          <w:left w:val="nil"/>
          <w:right w:val="nil"/>
          <w:insideH w:val="nil"/>
          <w:insideV w:val="nil"/>
        </w:tcBorders>
        <w:shd w:val="clear" w:color="auto" w:fill="FEFEFE" w:themeFill="background1"/>
      </w:tcPr>
    </w:tblStylePr>
    <w:tblStylePr w:type="lastRow">
      <w:rPr>
        <w:b/>
        <w:bCs/>
      </w:rPr>
      <w:tblPr/>
      <w:tcPr>
        <w:tcBorders>
          <w:left w:val="nil"/>
          <w:bottom w:val="nil"/>
          <w:right w:val="nil"/>
          <w:insideH w:val="nil"/>
          <w:insideV w:val="nil"/>
        </w:tcBorders>
        <w:shd w:val="clear" w:color="auto" w:fill="FEFEFE" w:themeFill="background1"/>
      </w:tcPr>
    </w:tblStylePr>
    <w:tblStylePr w:type="firstCol">
      <w:pPr>
        <w:jc w:val="right"/>
      </w:pPr>
      <w:rPr>
        <w:i/>
        <w:iCs/>
      </w:rPr>
      <w:tblPr/>
      <w:tcPr>
        <w:tcBorders>
          <w:top w:val="nil"/>
          <w:left w:val="nil"/>
          <w:bottom w:val="nil"/>
          <w:insideH w:val="nil"/>
          <w:insideV w:val="nil"/>
        </w:tcBorders>
        <w:shd w:val="clear" w:color="auto" w:fill="FEFEFE" w:themeFill="background1"/>
      </w:tcPr>
    </w:tblStylePr>
    <w:tblStylePr w:type="lastCol">
      <w:rPr>
        <w:i/>
        <w:iCs/>
      </w:rPr>
      <w:tblPr/>
      <w:tcPr>
        <w:tcBorders>
          <w:top w:val="nil"/>
          <w:bottom w:val="nil"/>
          <w:right w:val="nil"/>
          <w:insideH w:val="nil"/>
          <w:insideV w:val="nil"/>
        </w:tcBorders>
        <w:shd w:val="clear" w:color="auto" w:fill="FEFEFE" w:themeFill="background1"/>
      </w:tcPr>
    </w:tblStylePr>
    <w:tblStylePr w:type="band1Vert">
      <w:tblPr/>
      <w:tcPr>
        <w:shd w:val="clear" w:color="auto" w:fill="FAFED8" w:themeFill="accent4" w:themeFillTint="33"/>
      </w:tcPr>
    </w:tblStylePr>
    <w:tblStylePr w:type="band1Horz">
      <w:tblPr/>
      <w:tcPr>
        <w:shd w:val="clear" w:color="auto" w:fill="FAFED8" w:themeFill="accent4" w:themeFillTint="33"/>
      </w:tcPr>
    </w:tblStylePr>
    <w:tblStylePr w:type="neCell">
      <w:tblPr/>
      <w:tcPr>
        <w:tcBorders>
          <w:bottom w:val="single" w:sz="4" w:space="0" w:color="F2FE8C" w:themeColor="accent4" w:themeTint="99"/>
        </w:tcBorders>
      </w:tcPr>
    </w:tblStylePr>
    <w:tblStylePr w:type="nwCell">
      <w:tblPr/>
      <w:tcPr>
        <w:tcBorders>
          <w:bottom w:val="single" w:sz="4" w:space="0" w:color="F2FE8C" w:themeColor="accent4" w:themeTint="99"/>
        </w:tcBorders>
      </w:tcPr>
    </w:tblStylePr>
    <w:tblStylePr w:type="seCell">
      <w:tblPr/>
      <w:tcPr>
        <w:tcBorders>
          <w:top w:val="single" w:sz="4" w:space="0" w:color="F2FE8C" w:themeColor="accent4" w:themeTint="99"/>
        </w:tcBorders>
      </w:tcPr>
    </w:tblStylePr>
    <w:tblStylePr w:type="swCell">
      <w:tblPr/>
      <w:tcPr>
        <w:tcBorders>
          <w:top w:val="single" w:sz="4" w:space="0" w:color="F2FE8C" w:themeColor="accent4" w:themeTint="99"/>
        </w:tcBorders>
      </w:tcPr>
    </w:tblStylePr>
  </w:style>
  <w:style w:type="table" w:styleId="GridTable6Colorful">
    <w:name w:val="Grid Table 6 Colorful"/>
    <w:basedOn w:val="TableNormal"/>
    <w:uiPriority w:val="51"/>
    <w:rsid w:val="00C21E0C"/>
    <w:pPr>
      <w:spacing w:after="0" w:line="240" w:lineRule="auto"/>
    </w:pPr>
    <w:rPr>
      <w:color w:val="232323" w:themeColor="text1"/>
    </w:r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rPr>
      <w:tblPr/>
      <w:tcPr>
        <w:tcBorders>
          <w:bottom w:val="single" w:sz="12" w:space="0" w:color="7B7B7B" w:themeColor="text1" w:themeTint="99"/>
        </w:tcBorders>
      </w:tcPr>
    </w:tblStylePr>
    <w:tblStylePr w:type="lastRow">
      <w:rPr>
        <w:b/>
        <w:bCs/>
      </w:rPr>
      <w:tblPr/>
      <w:tcPr>
        <w:tcBorders>
          <w:top w:val="double" w:sz="4" w:space="0" w:color="7B7B7B" w:themeColor="text1" w:themeTint="99"/>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GridTable7Colorful-Accent2">
    <w:name w:val="Grid Table 7 Colorful Accent 2"/>
    <w:basedOn w:val="TableNormal"/>
    <w:uiPriority w:val="52"/>
    <w:rsid w:val="00C21E0C"/>
    <w:pPr>
      <w:spacing w:after="0" w:line="240" w:lineRule="auto"/>
    </w:pPr>
    <w:rPr>
      <w:color w:val="808380" w:themeColor="accent2" w:themeShade="BF"/>
    </w:rPr>
    <w:tblPr>
      <w:tblStyleRowBandSize w:val="1"/>
      <w:tblStyleColBandSize w:val="1"/>
      <w:tblBorders>
        <w:top w:val="single" w:sz="4" w:space="0" w:color="CDCECD" w:themeColor="accent2" w:themeTint="99"/>
        <w:left w:val="single" w:sz="4" w:space="0" w:color="CDCECD" w:themeColor="accent2" w:themeTint="99"/>
        <w:bottom w:val="single" w:sz="4" w:space="0" w:color="CDCECD" w:themeColor="accent2" w:themeTint="99"/>
        <w:right w:val="single" w:sz="4" w:space="0" w:color="CDCECD" w:themeColor="accent2" w:themeTint="99"/>
        <w:insideH w:val="single" w:sz="4" w:space="0" w:color="CDCECD" w:themeColor="accent2" w:themeTint="99"/>
        <w:insideV w:val="single" w:sz="4" w:space="0" w:color="CDCECD" w:themeColor="accent2" w:themeTint="99"/>
      </w:tblBorders>
    </w:tblPr>
    <w:tblStylePr w:type="firstRow">
      <w:rPr>
        <w:b/>
        <w:bCs/>
      </w:rPr>
      <w:tblPr/>
      <w:tcPr>
        <w:tcBorders>
          <w:top w:val="nil"/>
          <w:left w:val="nil"/>
          <w:right w:val="nil"/>
          <w:insideH w:val="nil"/>
          <w:insideV w:val="nil"/>
        </w:tcBorders>
        <w:shd w:val="clear" w:color="auto" w:fill="FEFEFE" w:themeFill="background1"/>
      </w:tcPr>
    </w:tblStylePr>
    <w:tblStylePr w:type="lastRow">
      <w:rPr>
        <w:b/>
        <w:bCs/>
      </w:rPr>
      <w:tblPr/>
      <w:tcPr>
        <w:tcBorders>
          <w:left w:val="nil"/>
          <w:bottom w:val="nil"/>
          <w:right w:val="nil"/>
          <w:insideH w:val="nil"/>
          <w:insideV w:val="nil"/>
        </w:tcBorders>
        <w:shd w:val="clear" w:color="auto" w:fill="FEFEFE" w:themeFill="background1"/>
      </w:tcPr>
    </w:tblStylePr>
    <w:tblStylePr w:type="firstCol">
      <w:pPr>
        <w:jc w:val="right"/>
      </w:pPr>
      <w:rPr>
        <w:i/>
        <w:iCs/>
      </w:rPr>
      <w:tblPr/>
      <w:tcPr>
        <w:tcBorders>
          <w:top w:val="nil"/>
          <w:left w:val="nil"/>
          <w:bottom w:val="nil"/>
          <w:insideH w:val="nil"/>
          <w:insideV w:val="nil"/>
        </w:tcBorders>
        <w:shd w:val="clear" w:color="auto" w:fill="FEFEFE" w:themeFill="background1"/>
      </w:tcPr>
    </w:tblStylePr>
    <w:tblStylePr w:type="lastCol">
      <w:rPr>
        <w:i/>
        <w:iCs/>
      </w:rPr>
      <w:tblPr/>
      <w:tcPr>
        <w:tcBorders>
          <w:top w:val="nil"/>
          <w:bottom w:val="nil"/>
          <w:right w:val="nil"/>
          <w:insideH w:val="nil"/>
          <w:insideV w:val="nil"/>
        </w:tcBorders>
        <w:shd w:val="clear" w:color="auto" w:fill="FEFEFE" w:themeFill="background1"/>
      </w:tcPr>
    </w:tblStylePr>
    <w:tblStylePr w:type="band1Vert">
      <w:tblPr/>
      <w:tcPr>
        <w:shd w:val="clear" w:color="auto" w:fill="EEEEEE" w:themeFill="accent2" w:themeFillTint="33"/>
      </w:tcPr>
    </w:tblStylePr>
    <w:tblStylePr w:type="band1Horz">
      <w:tblPr/>
      <w:tcPr>
        <w:shd w:val="clear" w:color="auto" w:fill="EEEEEE" w:themeFill="accent2" w:themeFillTint="33"/>
      </w:tcPr>
    </w:tblStylePr>
    <w:tblStylePr w:type="neCell">
      <w:tblPr/>
      <w:tcPr>
        <w:tcBorders>
          <w:bottom w:val="single" w:sz="4" w:space="0" w:color="CDCECD" w:themeColor="accent2" w:themeTint="99"/>
        </w:tcBorders>
      </w:tcPr>
    </w:tblStylePr>
    <w:tblStylePr w:type="nwCell">
      <w:tblPr/>
      <w:tcPr>
        <w:tcBorders>
          <w:bottom w:val="single" w:sz="4" w:space="0" w:color="CDCECD" w:themeColor="accent2" w:themeTint="99"/>
        </w:tcBorders>
      </w:tcPr>
    </w:tblStylePr>
    <w:tblStylePr w:type="seCell">
      <w:tblPr/>
      <w:tcPr>
        <w:tcBorders>
          <w:top w:val="single" w:sz="4" w:space="0" w:color="CDCECD" w:themeColor="accent2" w:themeTint="99"/>
        </w:tcBorders>
      </w:tcPr>
    </w:tblStylePr>
    <w:tblStylePr w:type="swCell">
      <w:tblPr/>
      <w:tcPr>
        <w:tcBorders>
          <w:top w:val="single" w:sz="4" w:space="0" w:color="CDCECD" w:themeColor="accent2" w:themeTint="99"/>
        </w:tcBorders>
      </w:tcPr>
    </w:tblStylePr>
  </w:style>
  <w:style w:type="table" w:styleId="ListTable7Colorful-Accent2">
    <w:name w:val="List Table 7 Colorful Accent 2"/>
    <w:basedOn w:val="TableNormal"/>
    <w:uiPriority w:val="52"/>
    <w:rsid w:val="00C21E0C"/>
    <w:pPr>
      <w:spacing w:after="0" w:line="240" w:lineRule="auto"/>
    </w:pPr>
    <w:rPr>
      <w:color w:val="80838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CAEAC" w:themeColor="accent2"/>
        </w:tcBorders>
        <w:shd w:val="clear" w:color="auto" w:fill="FEFEFE" w:themeFill="background1"/>
      </w:tcPr>
    </w:tblStylePr>
    <w:tblStylePr w:type="lastRow">
      <w:rPr>
        <w:rFonts w:asciiTheme="majorHAnsi" w:eastAsiaTheme="majorEastAsia" w:hAnsiTheme="majorHAnsi" w:cstheme="majorBidi"/>
        <w:i/>
        <w:iCs/>
        <w:sz w:val="26"/>
      </w:rPr>
      <w:tblPr/>
      <w:tcPr>
        <w:tcBorders>
          <w:top w:val="single" w:sz="4" w:space="0" w:color="ACAEAC" w:themeColor="accent2"/>
        </w:tcBorders>
        <w:shd w:val="clear" w:color="auto" w:fill="FEFE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CAEAC" w:themeColor="accent2"/>
        </w:tcBorders>
        <w:shd w:val="clear" w:color="auto" w:fill="FEFEFE" w:themeFill="background1"/>
      </w:tcPr>
    </w:tblStylePr>
    <w:tblStylePr w:type="lastCol">
      <w:rPr>
        <w:rFonts w:asciiTheme="majorHAnsi" w:eastAsiaTheme="majorEastAsia" w:hAnsiTheme="majorHAnsi" w:cstheme="majorBidi"/>
        <w:i/>
        <w:iCs/>
        <w:sz w:val="26"/>
      </w:rPr>
      <w:tblPr/>
      <w:tcPr>
        <w:tcBorders>
          <w:left w:val="single" w:sz="4" w:space="0" w:color="ACAEAC" w:themeColor="accent2"/>
        </w:tcBorders>
        <w:shd w:val="clear" w:color="auto" w:fill="FEFEFE" w:themeFill="background1"/>
      </w:tcPr>
    </w:tblStylePr>
    <w:tblStylePr w:type="band1Vert">
      <w:tblPr/>
      <w:tcPr>
        <w:shd w:val="clear" w:color="auto" w:fill="EEEEEE" w:themeFill="accent2" w:themeFillTint="33"/>
      </w:tcPr>
    </w:tblStylePr>
    <w:tblStylePr w:type="band1Horz">
      <w:tblPr/>
      <w:tcPr>
        <w:shd w:val="clear" w:color="auto" w:fill="EEEE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C21E0C"/>
    <w:pPr>
      <w:spacing w:after="0" w:line="240" w:lineRule="auto"/>
    </w:pPr>
    <w:tblPr>
      <w:tblStyleRowBandSize w:val="1"/>
      <w:tblStyleColBandSize w:val="1"/>
      <w:tblBorders>
        <w:top w:val="single" w:sz="4" w:space="0" w:color="909090" w:themeColor="text1" w:themeTint="80"/>
        <w:bottom w:val="single" w:sz="4" w:space="0" w:color="909090" w:themeColor="text1" w:themeTint="80"/>
      </w:tblBorders>
    </w:tblPr>
    <w:tblStylePr w:type="firstRow">
      <w:rPr>
        <w:b/>
        <w:bCs/>
      </w:rPr>
      <w:tblPr/>
      <w:tcPr>
        <w:tcBorders>
          <w:bottom w:val="single" w:sz="4" w:space="0" w:color="909090" w:themeColor="text1" w:themeTint="80"/>
        </w:tcBorders>
      </w:tcPr>
    </w:tblStylePr>
    <w:tblStylePr w:type="lastRow">
      <w:rPr>
        <w:b/>
        <w:bCs/>
      </w:rPr>
      <w:tblPr/>
      <w:tcPr>
        <w:tcBorders>
          <w:top w:val="single" w:sz="4" w:space="0" w:color="909090" w:themeColor="text1" w:themeTint="80"/>
        </w:tcBorders>
      </w:tcPr>
    </w:tblStylePr>
    <w:tblStylePr w:type="firstCol">
      <w:rPr>
        <w:b/>
        <w:bCs/>
      </w:rPr>
    </w:tblStylePr>
    <w:tblStylePr w:type="lastCol">
      <w:rPr>
        <w:b/>
        <w:bCs/>
      </w:rPr>
    </w:tblStylePr>
    <w:tblStylePr w:type="band1Vert">
      <w:tblPr/>
      <w:tcPr>
        <w:tcBorders>
          <w:left w:val="single" w:sz="4" w:space="0" w:color="909090" w:themeColor="text1" w:themeTint="80"/>
          <w:right w:val="single" w:sz="4" w:space="0" w:color="909090" w:themeColor="text1" w:themeTint="80"/>
        </w:tcBorders>
      </w:tcPr>
    </w:tblStylePr>
    <w:tblStylePr w:type="band2Vert">
      <w:tblPr/>
      <w:tcPr>
        <w:tcBorders>
          <w:left w:val="single" w:sz="4" w:space="0" w:color="909090" w:themeColor="text1" w:themeTint="80"/>
          <w:right w:val="single" w:sz="4" w:space="0" w:color="909090" w:themeColor="text1" w:themeTint="80"/>
        </w:tcBorders>
      </w:tcPr>
    </w:tblStylePr>
    <w:tblStylePr w:type="band1Horz">
      <w:tblPr/>
      <w:tcPr>
        <w:tcBorders>
          <w:top w:val="single" w:sz="4" w:space="0" w:color="909090" w:themeColor="text1" w:themeTint="80"/>
          <w:bottom w:val="single" w:sz="4" w:space="0" w:color="909090" w:themeColor="text1" w:themeTint="80"/>
        </w:tcBorders>
      </w:tcPr>
    </w:tblStylePr>
  </w:style>
  <w:style w:type="table" w:styleId="ListTable3-Accent1">
    <w:name w:val="List Table 3 Accent 1"/>
    <w:basedOn w:val="TableNormal"/>
    <w:uiPriority w:val="48"/>
    <w:rsid w:val="004C47BD"/>
    <w:pPr>
      <w:spacing w:after="0" w:line="240" w:lineRule="auto"/>
    </w:pPr>
    <w:tblPr>
      <w:tblStyleRowBandSize w:val="1"/>
      <w:tblStyleColBandSize w:val="1"/>
      <w:tblBorders>
        <w:top w:val="single" w:sz="4" w:space="0" w:color="232323" w:themeColor="accent1"/>
        <w:left w:val="single" w:sz="4" w:space="0" w:color="232323" w:themeColor="accent1"/>
        <w:bottom w:val="single" w:sz="4" w:space="0" w:color="232323" w:themeColor="accent1"/>
        <w:right w:val="single" w:sz="4" w:space="0" w:color="232323" w:themeColor="accent1"/>
      </w:tblBorders>
      <w:tblCellMar>
        <w:top w:w="57" w:type="dxa"/>
        <w:bottom w:w="57" w:type="dxa"/>
      </w:tblCellMar>
    </w:tblPr>
    <w:tblStylePr w:type="firstRow">
      <w:rPr>
        <w:b/>
        <w:bCs/>
        <w:color w:val="FEFEFE" w:themeColor="background1"/>
      </w:rPr>
      <w:tblPr/>
      <w:tcPr>
        <w:shd w:val="clear" w:color="auto" w:fill="232323" w:themeFill="accent1"/>
      </w:tcPr>
    </w:tblStylePr>
    <w:tblStylePr w:type="lastRow">
      <w:rPr>
        <w:b/>
        <w:bCs/>
      </w:rPr>
      <w:tblPr/>
      <w:tcPr>
        <w:tcBorders>
          <w:top w:val="double" w:sz="4" w:space="0" w:color="232323" w:themeColor="accent1"/>
        </w:tcBorders>
        <w:shd w:val="clear" w:color="auto" w:fill="FEFEFE" w:themeFill="background1"/>
      </w:tcPr>
    </w:tblStylePr>
    <w:tblStylePr w:type="firstCol">
      <w:rPr>
        <w:b/>
        <w:bCs/>
      </w:rPr>
      <w:tblPr/>
      <w:tcPr>
        <w:tcBorders>
          <w:right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single" w:sz="4" w:space="0" w:color="232323" w:themeColor="accent1"/>
          <w:right w:val="single" w:sz="4" w:space="0" w:color="232323" w:themeColor="accent1"/>
        </w:tcBorders>
      </w:tcPr>
    </w:tblStylePr>
    <w:tblStylePr w:type="band1Horz">
      <w:tblPr/>
      <w:tcPr>
        <w:tcBorders>
          <w:top w:val="single" w:sz="4" w:space="0" w:color="232323" w:themeColor="accent1"/>
          <w:bottom w:val="single" w:sz="4" w:space="0" w:color="23232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323" w:themeColor="accent1"/>
          <w:left w:val="nil"/>
        </w:tcBorders>
      </w:tcPr>
    </w:tblStylePr>
    <w:tblStylePr w:type="swCell">
      <w:tblPr/>
      <w:tcPr>
        <w:tcBorders>
          <w:top w:val="double" w:sz="4" w:space="0" w:color="232323" w:themeColor="accent1"/>
          <w:right w:val="nil"/>
        </w:tcBorders>
      </w:tcPr>
    </w:tblStylePr>
  </w:style>
  <w:style w:type="table" w:styleId="ListTable3-Accent5">
    <w:name w:val="List Table 3 Accent 5"/>
    <w:basedOn w:val="TableNormal"/>
    <w:uiPriority w:val="48"/>
    <w:rsid w:val="00664653"/>
    <w:pPr>
      <w:spacing w:after="0" w:line="240" w:lineRule="auto"/>
    </w:pPr>
    <w:tblPr>
      <w:tblStyleRowBandSize w:val="1"/>
      <w:tblStyleColBandSize w:val="1"/>
      <w:tblBorders>
        <w:top w:val="single" w:sz="4" w:space="0" w:color="3CEB9D" w:themeColor="accent5"/>
        <w:left w:val="single" w:sz="4" w:space="0" w:color="3CEB9D" w:themeColor="accent5"/>
        <w:bottom w:val="single" w:sz="4" w:space="0" w:color="3CEB9D" w:themeColor="accent5"/>
        <w:right w:val="single" w:sz="4" w:space="0" w:color="3CEB9D" w:themeColor="accent5"/>
        <w:insideH w:val="single" w:sz="4" w:space="0" w:color="3CEB9D" w:themeColor="accent5"/>
      </w:tblBorders>
    </w:tblPr>
    <w:tblStylePr w:type="firstRow">
      <w:rPr>
        <w:b/>
        <w:bCs/>
        <w:color w:val="FEFEFE" w:themeColor="background1"/>
      </w:rPr>
      <w:tblPr/>
      <w:tcPr>
        <w:tcBorders>
          <w:top w:val="single" w:sz="4" w:space="0" w:color="3CEB9D" w:themeColor="accent5"/>
          <w:left w:val="single" w:sz="4" w:space="0" w:color="3CEB9D" w:themeColor="accent5"/>
          <w:bottom w:val="single" w:sz="4" w:space="0" w:color="3CEB9D" w:themeColor="accent5"/>
          <w:right w:val="single" w:sz="4" w:space="0" w:color="3CEB9D" w:themeColor="accent5"/>
          <w:insideH w:val="nil"/>
          <w:insideV w:val="nil"/>
          <w:tl2br w:val="nil"/>
          <w:tr2bl w:val="nil"/>
        </w:tcBorders>
        <w:shd w:val="clear" w:color="auto" w:fill="3CEB9D" w:themeFill="accent5"/>
      </w:tcPr>
    </w:tblStylePr>
    <w:tblStylePr w:type="lastRow">
      <w:rPr>
        <w:b/>
        <w:bCs/>
      </w:rPr>
      <w:tblPr/>
      <w:tcPr>
        <w:tcBorders>
          <w:top w:val="single" w:sz="4" w:space="0" w:color="3CEB9D" w:themeColor="accent5"/>
        </w:tcBorders>
        <w:shd w:val="clear" w:color="auto" w:fill="FEFEFE" w:themeFill="background1"/>
      </w:tcPr>
    </w:tblStylePr>
    <w:tblStylePr w:type="firstCol">
      <w:rPr>
        <w:b/>
        <w:bCs/>
      </w:rPr>
      <w:tblPr/>
      <w:tcPr>
        <w:tcBorders>
          <w:top w:val="single" w:sz="4" w:space="0" w:color="3CEB9D" w:themeColor="accent5"/>
          <w:left w:val="single" w:sz="4" w:space="0" w:color="3CEB9D" w:themeColor="accent5"/>
          <w:bottom w:val="single" w:sz="4" w:space="0" w:color="3CEB9D" w:themeColor="accent5"/>
          <w:right w:val="nil"/>
          <w:insideH w:val="single" w:sz="4" w:space="0" w:color="3CEB9D" w:themeColor="accent5"/>
          <w:insideV w:val="nil"/>
          <w:tl2br w:val="nil"/>
          <w:tr2bl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single" w:sz="4" w:space="0" w:color="3CEB9D" w:themeColor="accent5"/>
          <w:right w:val="single" w:sz="4" w:space="0" w:color="3CEB9D" w:themeColor="accent5"/>
        </w:tcBorders>
      </w:tcPr>
    </w:tblStylePr>
    <w:tblStylePr w:type="band1Horz">
      <w:tblPr/>
      <w:tcPr>
        <w:tcBorders>
          <w:top w:val="single" w:sz="4" w:space="0" w:color="3CEB9D" w:themeColor="accent5"/>
          <w:bottom w:val="single" w:sz="4" w:space="0" w:color="3CEB9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EB9D" w:themeColor="accent5"/>
          <w:left w:val="nil"/>
        </w:tcBorders>
      </w:tcPr>
    </w:tblStylePr>
    <w:tblStylePr w:type="swCell">
      <w:tblPr/>
      <w:tcPr>
        <w:tcBorders>
          <w:top w:val="double" w:sz="4" w:space="0" w:color="3CEB9D" w:themeColor="accent5"/>
          <w:right w:val="nil"/>
        </w:tcBorders>
      </w:tcPr>
    </w:tblStylePr>
  </w:style>
  <w:style w:type="paragraph" w:customStyle="1" w:styleId="CoverTitle">
    <w:name w:val="Cover Title"/>
    <w:basedOn w:val="Title"/>
    <w:uiPriority w:val="24"/>
    <w:unhideWhenUsed/>
    <w:qFormat/>
    <w:rsid w:val="001E0CF3"/>
    <w:pPr>
      <w:spacing w:after="240"/>
      <w:jc w:val="right"/>
    </w:pPr>
    <w:rPr>
      <w:sz w:val="80"/>
    </w:rPr>
  </w:style>
  <w:style w:type="paragraph" w:customStyle="1" w:styleId="CoverSubject">
    <w:name w:val="Cover Subject"/>
    <w:basedOn w:val="CoverTitle"/>
    <w:uiPriority w:val="24"/>
    <w:unhideWhenUsed/>
    <w:qFormat/>
    <w:rsid w:val="001E0CF3"/>
    <w:pPr>
      <w:spacing w:after="360"/>
    </w:pPr>
    <w:rPr>
      <w:b w:val="0"/>
      <w:bCs/>
      <w:color w:val="ACAEAC" w:themeColor="accent2"/>
    </w:rPr>
  </w:style>
  <w:style w:type="paragraph" w:customStyle="1" w:styleId="CoverText">
    <w:name w:val="Cover Text"/>
    <w:basedOn w:val="Normal"/>
    <w:uiPriority w:val="24"/>
    <w:unhideWhenUsed/>
    <w:qFormat/>
    <w:rsid w:val="003333FD"/>
    <w:pPr>
      <w:spacing w:before="240" w:after="120"/>
      <w:contextualSpacing/>
      <w:jc w:val="right"/>
      <w:textDirection w:val="btLr"/>
    </w:pPr>
    <w:rPr>
      <w:rFonts w:cs="Calibri"/>
      <w:color w:val="232323"/>
    </w:rPr>
  </w:style>
  <w:style w:type="character" w:customStyle="1" w:styleId="GreyText">
    <w:name w:val="Grey Text"/>
    <w:basedOn w:val="PurpleText"/>
    <w:uiPriority w:val="4"/>
    <w:qFormat/>
    <w:rsid w:val="00662A47"/>
    <w:rPr>
      <w:color w:val="ACAEAC" w:themeColor="accent2"/>
    </w:rPr>
  </w:style>
  <w:style w:type="paragraph" w:customStyle="1" w:styleId="Disclaimer">
    <w:name w:val="Disclaimer"/>
    <w:basedOn w:val="Normal"/>
    <w:uiPriority w:val="25"/>
    <w:semiHidden/>
    <w:qFormat/>
    <w:rsid w:val="00CC16BE"/>
    <w:pPr>
      <w:pBdr>
        <w:top w:val="single" w:sz="8" w:space="20" w:color="3CEB9D" w:themeColor="accent5"/>
        <w:bottom w:val="dotted" w:sz="2" w:space="8" w:color="E6E6E6" w:themeColor="accent3"/>
      </w:pBdr>
      <w:spacing w:before="40" w:after="40" w:line="240" w:lineRule="auto"/>
    </w:pPr>
    <w:rPr>
      <w:rFonts w:asciiTheme="majorHAnsi" w:hAnsiTheme="majorHAnsi"/>
      <w:color w:val="ACAEAC" w:themeColor="accent2"/>
    </w:rPr>
  </w:style>
  <w:style w:type="character" w:customStyle="1" w:styleId="Heading8Char">
    <w:name w:val="Heading 8 Char"/>
    <w:basedOn w:val="DefaultParagraphFont"/>
    <w:link w:val="Heading8"/>
    <w:uiPriority w:val="9"/>
    <w:rsid w:val="00464FC2"/>
    <w:rPr>
      <w:rFonts w:asciiTheme="majorHAnsi" w:eastAsiaTheme="majorEastAsia" w:hAnsiTheme="majorHAnsi" w:cstheme="majorBidi"/>
      <w:color w:val="E6E6E6" w:themeColor="accent3"/>
      <w:sz w:val="21"/>
      <w:szCs w:val="21"/>
      <w:lang w:val="et-EE"/>
    </w:rPr>
  </w:style>
  <w:style w:type="paragraph" w:customStyle="1" w:styleId="TableTitle">
    <w:name w:val="Table Title"/>
    <w:basedOn w:val="TableofFigures"/>
    <w:next w:val="Normal"/>
    <w:uiPriority w:val="3"/>
    <w:qFormat/>
    <w:rsid w:val="00102CD7"/>
    <w:pPr>
      <w:spacing w:before="160"/>
    </w:pPr>
    <w:rPr>
      <w:noProof/>
      <w:color w:val="82009B" w:themeColor="accent6"/>
    </w:rPr>
  </w:style>
  <w:style w:type="paragraph" w:styleId="TableofFigures">
    <w:name w:val="table of figures"/>
    <w:basedOn w:val="Normal"/>
    <w:next w:val="Normal"/>
    <w:uiPriority w:val="99"/>
    <w:semiHidden/>
    <w:unhideWhenUsed/>
    <w:rsid w:val="00DD655F"/>
    <w:pPr>
      <w:spacing w:after="0"/>
    </w:pPr>
  </w:style>
  <w:style w:type="paragraph" w:styleId="IntenseQuote">
    <w:name w:val="Intense Quote"/>
    <w:basedOn w:val="Normal"/>
    <w:next w:val="Normal"/>
    <w:link w:val="IntenseQuoteChar"/>
    <w:uiPriority w:val="30"/>
    <w:qFormat/>
    <w:rsid w:val="003C0669"/>
    <w:pPr>
      <w:pBdr>
        <w:top w:val="single" w:sz="4" w:space="10" w:color="232323" w:themeColor="accent1"/>
        <w:bottom w:val="single" w:sz="4" w:space="10" w:color="232323" w:themeColor="accent1"/>
      </w:pBdr>
      <w:spacing w:before="360" w:after="360"/>
      <w:ind w:left="864" w:right="864"/>
      <w:jc w:val="center"/>
    </w:pPr>
    <w:rPr>
      <w:i/>
      <w:iCs/>
      <w:color w:val="232323" w:themeColor="accent1"/>
    </w:rPr>
  </w:style>
  <w:style w:type="character" w:customStyle="1" w:styleId="IntenseQuoteChar">
    <w:name w:val="Intense Quote Char"/>
    <w:basedOn w:val="DefaultParagraphFont"/>
    <w:link w:val="IntenseQuote"/>
    <w:uiPriority w:val="30"/>
    <w:rsid w:val="00707FA1"/>
    <w:rPr>
      <w:i/>
      <w:iCs/>
      <w:color w:val="232323" w:themeColor="accent1"/>
      <w:lang w:val="en-US"/>
    </w:rPr>
  </w:style>
  <w:style w:type="paragraph" w:styleId="Quote">
    <w:name w:val="Quote"/>
    <w:basedOn w:val="Normal"/>
    <w:next w:val="Normal"/>
    <w:link w:val="QuoteChar"/>
    <w:uiPriority w:val="29"/>
    <w:qFormat/>
    <w:rsid w:val="003C0669"/>
    <w:pPr>
      <w:spacing w:before="200"/>
      <w:ind w:left="864" w:right="864"/>
      <w:jc w:val="center"/>
    </w:pPr>
    <w:rPr>
      <w:i/>
      <w:iCs/>
      <w:color w:val="5A5A5A" w:themeColor="text1" w:themeTint="BF"/>
    </w:rPr>
  </w:style>
  <w:style w:type="character" w:customStyle="1" w:styleId="QuoteChar">
    <w:name w:val="Quote Char"/>
    <w:basedOn w:val="DefaultParagraphFont"/>
    <w:link w:val="Quote"/>
    <w:uiPriority w:val="29"/>
    <w:rsid w:val="00707FA1"/>
    <w:rPr>
      <w:i/>
      <w:iCs/>
      <w:color w:val="5A5A5A" w:themeColor="text1" w:themeTint="BF"/>
      <w:lang w:val="en-US"/>
    </w:rPr>
  </w:style>
  <w:style w:type="paragraph" w:customStyle="1" w:styleId="NumberedDarkBlock">
    <w:name w:val="Numbered Dark Block"/>
    <w:basedOn w:val="SectionHeader"/>
    <w:next w:val="DarkBlockwoTOC"/>
    <w:uiPriority w:val="14"/>
    <w:qFormat/>
    <w:rsid w:val="00464FC2"/>
    <w:pPr>
      <w:pBdr>
        <w:top w:val="single" w:sz="48" w:space="31" w:color="232323" w:themeColor="text1"/>
        <w:left w:val="single" w:sz="48" w:space="31" w:color="232323" w:themeColor="text1"/>
        <w:bottom w:val="single" w:sz="48" w:space="31" w:color="232323" w:themeColor="text1"/>
        <w:right w:val="single" w:sz="48" w:space="31" w:color="232323" w:themeColor="text1"/>
      </w:pBdr>
      <w:shd w:val="clear" w:color="auto" w:fill="232323" w:themeFill="text1"/>
      <w:spacing w:before="120" w:line="276" w:lineRule="auto"/>
      <w:ind w:left="-68" w:right="-68" w:firstLine="0"/>
    </w:pPr>
    <w:rPr>
      <w:color w:val="auto"/>
      <w:sz w:val="56"/>
    </w:rPr>
  </w:style>
  <w:style w:type="table" w:styleId="ListTable3-Accent4">
    <w:name w:val="List Table 3 Accent 4"/>
    <w:basedOn w:val="TableNormal"/>
    <w:uiPriority w:val="48"/>
    <w:rsid w:val="0046767C"/>
    <w:pPr>
      <w:spacing w:after="0" w:line="240" w:lineRule="auto"/>
    </w:pPr>
    <w:tblPr>
      <w:tblStyleRowBandSize w:val="1"/>
      <w:tblStyleColBandSize w:val="1"/>
      <w:tblBorders>
        <w:top w:val="single" w:sz="4" w:space="0" w:color="EBFE41" w:themeColor="accent4"/>
        <w:left w:val="single" w:sz="4" w:space="0" w:color="EBFE41" w:themeColor="accent4"/>
        <w:bottom w:val="single" w:sz="4" w:space="0" w:color="EBFE41" w:themeColor="accent4"/>
        <w:right w:val="single" w:sz="4" w:space="0" w:color="EBFE41" w:themeColor="accent4"/>
      </w:tblBorders>
    </w:tblPr>
    <w:tblStylePr w:type="firstRow">
      <w:rPr>
        <w:b/>
        <w:bCs/>
        <w:color w:val="FEFEFE" w:themeColor="background1"/>
      </w:rPr>
      <w:tblPr/>
      <w:tcPr>
        <w:shd w:val="clear" w:color="auto" w:fill="EBFE41" w:themeFill="accent4"/>
      </w:tcPr>
    </w:tblStylePr>
    <w:tblStylePr w:type="lastRow">
      <w:rPr>
        <w:b/>
        <w:bCs/>
      </w:rPr>
      <w:tblPr/>
      <w:tcPr>
        <w:tcBorders>
          <w:top w:val="double" w:sz="4" w:space="0" w:color="EBFE41" w:themeColor="accent4"/>
        </w:tcBorders>
        <w:shd w:val="clear" w:color="auto" w:fill="FEFEFE" w:themeFill="background1"/>
      </w:tcPr>
    </w:tblStylePr>
    <w:tblStylePr w:type="firstCol">
      <w:rPr>
        <w:b/>
        <w:bCs/>
      </w:rPr>
      <w:tblPr/>
      <w:tcPr>
        <w:tcBorders>
          <w:right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single" w:sz="4" w:space="0" w:color="EBFE41" w:themeColor="accent4"/>
          <w:right w:val="single" w:sz="4" w:space="0" w:color="EBFE41" w:themeColor="accent4"/>
        </w:tcBorders>
      </w:tcPr>
    </w:tblStylePr>
    <w:tblStylePr w:type="band1Horz">
      <w:tblPr/>
      <w:tcPr>
        <w:tcBorders>
          <w:top w:val="single" w:sz="4" w:space="0" w:color="EBFE41" w:themeColor="accent4"/>
          <w:bottom w:val="single" w:sz="4" w:space="0" w:color="EBFE4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FE41" w:themeColor="accent4"/>
          <w:left w:val="nil"/>
        </w:tcBorders>
      </w:tcPr>
    </w:tblStylePr>
    <w:tblStylePr w:type="swCell">
      <w:tblPr/>
      <w:tcPr>
        <w:tcBorders>
          <w:top w:val="double" w:sz="4" w:space="0" w:color="EBFE41" w:themeColor="accent4"/>
          <w:right w:val="nil"/>
        </w:tcBorders>
      </w:tcPr>
    </w:tblStylePr>
  </w:style>
  <w:style w:type="table" w:styleId="GridTable5Dark">
    <w:name w:val="Grid Table 5 Dark"/>
    <w:basedOn w:val="TableNormal"/>
    <w:uiPriority w:val="50"/>
    <w:rsid w:val="00E90C6C"/>
    <w:pPr>
      <w:spacing w:after="0" w:line="240" w:lineRule="auto"/>
    </w:pPr>
    <w:tblPr>
      <w:tblStyleRowBandSize w:val="1"/>
      <w:tblStyleColBandSize w:val="1"/>
      <w:tblBorders>
        <w:top w:val="single" w:sz="4" w:space="0" w:color="FEFEFE" w:themeColor="background1"/>
        <w:left w:val="single" w:sz="4" w:space="0" w:color="FEFEFE" w:themeColor="background1"/>
        <w:bottom w:val="single" w:sz="4" w:space="0" w:color="FEFEFE" w:themeColor="background1"/>
        <w:right w:val="single" w:sz="4" w:space="0" w:color="FEFEFE" w:themeColor="background1"/>
        <w:insideH w:val="single" w:sz="4" w:space="0" w:color="FEFEFE" w:themeColor="background1"/>
        <w:insideV w:val="single" w:sz="4" w:space="0" w:color="FEFEFE" w:themeColor="background1"/>
      </w:tblBorders>
    </w:tblPr>
    <w:tcPr>
      <w:shd w:val="clear" w:color="auto" w:fill="D3D3D3" w:themeFill="tex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tex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text1"/>
      </w:tcPr>
    </w:tblStylePr>
    <w:tblStylePr w:type="firstCol">
      <w:rPr>
        <w:b/>
        <w:bCs/>
        <w:color w:val="FEFEFE" w:themeColor="background1"/>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text1"/>
      </w:tcPr>
    </w:tblStylePr>
    <w:tblStylePr w:type="lastCol">
      <w:rPr>
        <w:b/>
        <w:bCs/>
        <w:color w:val="FEFEFE" w:themeColor="background1"/>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232323" w:themeFill="text1"/>
      </w:tcPr>
    </w:tblStylePr>
    <w:tblStylePr w:type="band1Vert">
      <w:tblPr/>
      <w:tcPr>
        <w:shd w:val="clear" w:color="auto" w:fill="A7A7A7" w:themeFill="text1" w:themeFillTint="66"/>
      </w:tcPr>
    </w:tblStylePr>
    <w:tblStylePr w:type="band1Horz">
      <w:tblPr/>
      <w:tcPr>
        <w:shd w:val="clear" w:color="auto" w:fill="A7A7A7" w:themeFill="text1" w:themeFillTint="66"/>
      </w:tcPr>
    </w:tblStylePr>
  </w:style>
  <w:style w:type="table" w:styleId="GridTable4-Accent1">
    <w:name w:val="Grid Table 4 Accent 1"/>
    <w:basedOn w:val="TableNormal"/>
    <w:uiPriority w:val="49"/>
    <w:rsid w:val="00E90C6C"/>
    <w:pPr>
      <w:spacing w:after="0" w:line="240" w:lineRule="auto"/>
    </w:pPr>
    <w:tblPr>
      <w:tblStyleRowBandSize w:val="1"/>
      <w:tblStyleColBandSize w:val="1"/>
      <w:tblBorders>
        <w:top w:val="single" w:sz="4" w:space="0" w:color="7B7B7B" w:themeColor="accent1" w:themeTint="99"/>
        <w:left w:val="single" w:sz="4" w:space="0" w:color="7B7B7B" w:themeColor="accent1" w:themeTint="99"/>
        <w:bottom w:val="single" w:sz="4" w:space="0" w:color="7B7B7B" w:themeColor="accent1" w:themeTint="99"/>
        <w:right w:val="single" w:sz="4" w:space="0" w:color="7B7B7B" w:themeColor="accent1" w:themeTint="99"/>
        <w:insideH w:val="single" w:sz="4" w:space="0" w:color="7B7B7B" w:themeColor="accent1" w:themeTint="99"/>
        <w:insideV w:val="single" w:sz="4" w:space="0" w:color="7B7B7B" w:themeColor="accent1" w:themeTint="99"/>
      </w:tblBorders>
    </w:tblPr>
    <w:tblStylePr w:type="firstRow">
      <w:rPr>
        <w:b/>
        <w:bCs/>
        <w:color w:val="FEFEFE" w:themeColor="background1"/>
      </w:rPr>
      <w:tblPr/>
      <w:tcPr>
        <w:tcBorders>
          <w:top w:val="single" w:sz="4" w:space="0" w:color="232323" w:themeColor="accent1"/>
          <w:left w:val="single" w:sz="4" w:space="0" w:color="232323" w:themeColor="accent1"/>
          <w:bottom w:val="single" w:sz="4" w:space="0" w:color="232323" w:themeColor="accent1"/>
          <w:right w:val="single" w:sz="4" w:space="0" w:color="232323" w:themeColor="accent1"/>
          <w:insideH w:val="nil"/>
          <w:insideV w:val="nil"/>
        </w:tcBorders>
        <w:shd w:val="clear" w:color="auto" w:fill="232323" w:themeFill="accent1"/>
      </w:tcPr>
    </w:tblStylePr>
    <w:tblStylePr w:type="lastRow">
      <w:rPr>
        <w:b/>
        <w:bCs/>
      </w:rPr>
      <w:tblPr/>
      <w:tcPr>
        <w:tcBorders>
          <w:top w:val="double" w:sz="4" w:space="0" w:color="232323" w:themeColor="accent1"/>
        </w:tcBorders>
      </w:tc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table" w:styleId="GridTable4">
    <w:name w:val="Grid Table 4"/>
    <w:basedOn w:val="TableNormal"/>
    <w:uiPriority w:val="49"/>
    <w:rsid w:val="00E90C6C"/>
    <w:pPr>
      <w:spacing w:after="0" w:line="240" w:lineRule="auto"/>
    </w:p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color w:val="FEFEFE" w:themeColor="background1"/>
      </w:rPr>
      <w:tblPr/>
      <w:tcPr>
        <w:tcBorders>
          <w:top w:val="single" w:sz="4" w:space="0" w:color="232323" w:themeColor="text1"/>
          <w:left w:val="single" w:sz="4" w:space="0" w:color="232323" w:themeColor="text1"/>
          <w:bottom w:val="single" w:sz="4" w:space="0" w:color="232323" w:themeColor="text1"/>
          <w:right w:val="single" w:sz="4" w:space="0" w:color="232323" w:themeColor="text1"/>
          <w:insideH w:val="nil"/>
          <w:insideV w:val="nil"/>
        </w:tcBorders>
        <w:shd w:val="clear" w:color="auto" w:fill="232323" w:themeFill="text1"/>
      </w:tcPr>
    </w:tblStylePr>
    <w:tblStylePr w:type="lastRow">
      <w:rPr>
        <w:b/>
        <w:bCs/>
      </w:rPr>
      <w:tblPr/>
      <w:tcPr>
        <w:tcBorders>
          <w:top w:val="double" w:sz="4" w:space="0" w:color="232323" w:themeColor="text1"/>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GridTable3">
    <w:name w:val="Grid Table 3"/>
    <w:basedOn w:val="TableNormal"/>
    <w:uiPriority w:val="48"/>
    <w:rsid w:val="009610F4"/>
    <w:pPr>
      <w:spacing w:after="0" w:line="240" w:lineRule="auto"/>
    </w:p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rPr>
      <w:tblPr/>
      <w:tcPr>
        <w:tcBorders>
          <w:top w:val="nil"/>
          <w:left w:val="nil"/>
          <w:right w:val="nil"/>
          <w:insideH w:val="nil"/>
          <w:insideV w:val="nil"/>
        </w:tcBorders>
        <w:shd w:val="clear" w:color="auto" w:fill="FEFEFE" w:themeFill="background1"/>
      </w:tcPr>
    </w:tblStylePr>
    <w:tblStylePr w:type="lastRow">
      <w:rPr>
        <w:b/>
        <w:bCs/>
      </w:rPr>
      <w:tblPr/>
      <w:tcPr>
        <w:tcBorders>
          <w:left w:val="nil"/>
          <w:bottom w:val="nil"/>
          <w:right w:val="nil"/>
          <w:insideH w:val="nil"/>
          <w:insideV w:val="nil"/>
        </w:tcBorders>
        <w:shd w:val="clear" w:color="auto" w:fill="FEFEFE" w:themeFill="background1"/>
      </w:tcPr>
    </w:tblStylePr>
    <w:tblStylePr w:type="firstCol">
      <w:pPr>
        <w:jc w:val="right"/>
      </w:pPr>
      <w:rPr>
        <w:b/>
        <w:i w:val="0"/>
        <w:iCs/>
      </w:rPr>
      <w:tblPr/>
      <w:tcPr>
        <w:tcBorders>
          <w:top w:val="nil"/>
          <w:left w:val="nil"/>
          <w:bottom w:val="nil"/>
          <w:insideH w:val="nil"/>
          <w:insideV w:val="nil"/>
        </w:tcBorders>
        <w:shd w:val="clear" w:color="auto" w:fill="FEFEFE" w:themeFill="background1"/>
      </w:tcPr>
    </w:tblStylePr>
    <w:tblStylePr w:type="lastCol">
      <w:rPr>
        <w:i/>
        <w:iCs/>
      </w:rPr>
      <w:tblPr/>
      <w:tcPr>
        <w:tcBorders>
          <w:top w:val="nil"/>
          <w:bottom w:val="nil"/>
          <w:right w:val="nil"/>
          <w:insideH w:val="nil"/>
          <w:insideV w:val="nil"/>
        </w:tcBorders>
        <w:shd w:val="clear" w:color="auto" w:fill="FEFEFE" w:themeFill="background1"/>
      </w:tcPr>
    </w:tblStylePr>
    <w:tblStylePr w:type="band1Vert">
      <w:tblPr/>
      <w:tcPr>
        <w:shd w:val="clear" w:color="auto" w:fill="D3D3D3" w:themeFill="text1" w:themeFillTint="33"/>
      </w:tcPr>
    </w:tblStylePr>
    <w:tblStylePr w:type="band1Horz">
      <w:tblPr/>
      <w:tcPr>
        <w:shd w:val="clear" w:color="auto" w:fill="D3D3D3" w:themeFill="text1" w:themeFillTint="33"/>
      </w:tcPr>
    </w:tblStylePr>
    <w:tblStylePr w:type="neCell">
      <w:tblPr/>
      <w:tcPr>
        <w:tcBorders>
          <w:bottom w:val="single" w:sz="4" w:space="0" w:color="7B7B7B" w:themeColor="text1" w:themeTint="99"/>
        </w:tcBorders>
      </w:tcPr>
    </w:tblStylePr>
    <w:tblStylePr w:type="nwCell">
      <w:rPr>
        <w:color w:val="FEFEFE" w:themeColor="background1"/>
      </w:rPr>
      <w:tblPr/>
      <w:tcPr>
        <w:tcBorders>
          <w:top w:val="single" w:sz="4" w:space="0" w:color="232323" w:themeColor="text1"/>
          <w:left w:val="single" w:sz="4" w:space="0" w:color="232323" w:themeColor="text1"/>
          <w:bottom w:val="single" w:sz="4" w:space="0" w:color="232323" w:themeColor="text1"/>
          <w:right w:val="single" w:sz="4" w:space="0" w:color="232323" w:themeColor="text1"/>
          <w:insideH w:val="nil"/>
          <w:insideV w:val="nil"/>
          <w:tl2br w:val="nil"/>
          <w:tr2bl w:val="nil"/>
        </w:tcBorders>
        <w:shd w:val="clear" w:color="auto" w:fill="232323" w:themeFill="text1"/>
      </w:tcPr>
    </w:tblStylePr>
    <w:tblStylePr w:type="seCell">
      <w:tblPr/>
      <w:tcPr>
        <w:tcBorders>
          <w:top w:val="single" w:sz="4" w:space="0" w:color="7B7B7B" w:themeColor="text1" w:themeTint="99"/>
        </w:tcBorders>
      </w:tcPr>
    </w:tblStylePr>
    <w:tblStylePr w:type="swCell">
      <w:tblPr/>
      <w:tcPr>
        <w:tcBorders>
          <w:top w:val="single" w:sz="4" w:space="0" w:color="7B7B7B" w:themeColor="text1" w:themeTint="99"/>
        </w:tcBorders>
      </w:tcPr>
    </w:tblStylePr>
  </w:style>
  <w:style w:type="table" w:styleId="ListTable3">
    <w:name w:val="List Table 3"/>
    <w:basedOn w:val="TableNormal"/>
    <w:uiPriority w:val="48"/>
    <w:rsid w:val="00E90C6C"/>
    <w:pPr>
      <w:spacing w:after="0" w:line="240" w:lineRule="auto"/>
    </w:pPr>
    <w:tblPr>
      <w:tblStyleRowBandSize w:val="1"/>
      <w:tblStyleColBandSize w:val="1"/>
      <w:tblBorders>
        <w:top w:val="single" w:sz="4" w:space="0" w:color="232323" w:themeColor="text1"/>
        <w:left w:val="single" w:sz="4" w:space="0" w:color="232323" w:themeColor="text1"/>
        <w:bottom w:val="single" w:sz="4" w:space="0" w:color="232323" w:themeColor="text1"/>
        <w:right w:val="single" w:sz="4" w:space="0" w:color="232323" w:themeColor="text1"/>
      </w:tblBorders>
    </w:tblPr>
    <w:tblStylePr w:type="firstRow">
      <w:rPr>
        <w:b/>
        <w:bCs/>
        <w:color w:val="FEFEFE" w:themeColor="background1"/>
      </w:rPr>
      <w:tblPr/>
      <w:tcPr>
        <w:shd w:val="clear" w:color="auto" w:fill="232323" w:themeFill="text1"/>
      </w:tcPr>
    </w:tblStylePr>
    <w:tblStylePr w:type="lastRow">
      <w:rPr>
        <w:b/>
        <w:bCs/>
      </w:rPr>
      <w:tblPr/>
      <w:tcPr>
        <w:tcBorders>
          <w:top w:val="double" w:sz="4" w:space="0" w:color="232323" w:themeColor="text1"/>
        </w:tcBorders>
        <w:shd w:val="clear" w:color="auto" w:fill="FEFEFE" w:themeFill="background1"/>
      </w:tcPr>
    </w:tblStylePr>
    <w:tblStylePr w:type="firstCol">
      <w:rPr>
        <w:b/>
        <w:bCs/>
      </w:rPr>
      <w:tblPr/>
      <w:tcPr>
        <w:tcBorders>
          <w:right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single" w:sz="4" w:space="0" w:color="232323" w:themeColor="text1"/>
          <w:right w:val="single" w:sz="4" w:space="0" w:color="232323" w:themeColor="text1"/>
        </w:tcBorders>
      </w:tcPr>
    </w:tblStylePr>
    <w:tblStylePr w:type="band1Horz">
      <w:tblPr/>
      <w:tcPr>
        <w:tcBorders>
          <w:top w:val="single" w:sz="4" w:space="0" w:color="232323" w:themeColor="text1"/>
          <w:bottom w:val="single" w:sz="4" w:space="0" w:color="23232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323" w:themeColor="text1"/>
          <w:left w:val="nil"/>
        </w:tcBorders>
      </w:tcPr>
    </w:tblStylePr>
    <w:tblStylePr w:type="swCell">
      <w:tblPr/>
      <w:tcPr>
        <w:tcBorders>
          <w:top w:val="double" w:sz="4" w:space="0" w:color="232323" w:themeColor="text1"/>
          <w:right w:val="nil"/>
        </w:tcBorders>
      </w:tcPr>
    </w:tblStylePr>
  </w:style>
  <w:style w:type="table" w:styleId="GridTable2">
    <w:name w:val="Grid Table 2"/>
    <w:basedOn w:val="TableNormal"/>
    <w:uiPriority w:val="47"/>
    <w:rsid w:val="00F1771B"/>
    <w:pPr>
      <w:spacing w:after="0" w:line="240" w:lineRule="auto"/>
    </w:pPr>
    <w:tblPr>
      <w:tblStyleRowBandSize w:val="1"/>
      <w:tblStyleColBandSize w:val="1"/>
      <w:tblBorders>
        <w:top w:val="single" w:sz="2" w:space="0" w:color="7B7B7B" w:themeColor="text1" w:themeTint="99"/>
        <w:bottom w:val="single" w:sz="2" w:space="0" w:color="7B7B7B" w:themeColor="text1" w:themeTint="99"/>
        <w:insideH w:val="single" w:sz="2" w:space="0" w:color="7B7B7B" w:themeColor="text1" w:themeTint="99"/>
        <w:insideV w:val="single" w:sz="2" w:space="0" w:color="7B7B7B" w:themeColor="text1" w:themeTint="99"/>
      </w:tblBorders>
    </w:tblPr>
    <w:tblStylePr w:type="firstRow">
      <w:rPr>
        <w:b/>
        <w:bCs/>
      </w:rPr>
      <w:tblPr/>
      <w:tcPr>
        <w:tcBorders>
          <w:top w:val="nil"/>
          <w:bottom w:val="single" w:sz="12" w:space="0" w:color="7B7B7B" w:themeColor="text1" w:themeTint="99"/>
          <w:insideH w:val="nil"/>
          <w:insideV w:val="nil"/>
        </w:tcBorders>
        <w:shd w:val="clear" w:color="auto" w:fill="FEFEFE" w:themeFill="background1"/>
      </w:tcPr>
    </w:tblStylePr>
    <w:tblStylePr w:type="lastRow">
      <w:rPr>
        <w:b/>
        <w:bCs/>
      </w:rPr>
      <w:tblPr/>
      <w:tcPr>
        <w:tcBorders>
          <w:top w:val="double" w:sz="2" w:space="0" w:color="7B7B7B" w:themeColor="text1" w:themeTint="99"/>
          <w:bottom w:val="nil"/>
          <w:insideH w:val="nil"/>
          <w:insideV w:val="nil"/>
        </w:tcBorders>
        <w:shd w:val="clear" w:color="auto" w:fill="FEFEFE" w:themeFill="background1"/>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ListTable4-Accent1">
    <w:name w:val="List Table 4 Accent 1"/>
    <w:basedOn w:val="TableNormal"/>
    <w:uiPriority w:val="49"/>
    <w:rsid w:val="005044D3"/>
    <w:pPr>
      <w:spacing w:after="0" w:line="240" w:lineRule="auto"/>
    </w:pPr>
    <w:tblPr>
      <w:tblStyleRowBandSize w:val="1"/>
      <w:tblStyleColBandSize w:val="1"/>
      <w:tblBorders>
        <w:top w:val="single" w:sz="4" w:space="0" w:color="7B7B7B" w:themeColor="accent1" w:themeTint="99"/>
        <w:left w:val="single" w:sz="4" w:space="0" w:color="7B7B7B" w:themeColor="accent1" w:themeTint="99"/>
        <w:bottom w:val="single" w:sz="4" w:space="0" w:color="7B7B7B" w:themeColor="accent1" w:themeTint="99"/>
        <w:right w:val="single" w:sz="4" w:space="0" w:color="7B7B7B" w:themeColor="accent1" w:themeTint="99"/>
        <w:insideH w:val="single" w:sz="4" w:space="0" w:color="7B7B7B" w:themeColor="accent1" w:themeTint="99"/>
      </w:tblBorders>
    </w:tblPr>
    <w:tblStylePr w:type="firstRow">
      <w:rPr>
        <w:b/>
        <w:bCs/>
        <w:color w:val="FEFEFE" w:themeColor="background1"/>
      </w:rPr>
      <w:tblPr/>
      <w:tcPr>
        <w:tcBorders>
          <w:top w:val="single" w:sz="4" w:space="0" w:color="232323" w:themeColor="accent1"/>
          <w:left w:val="single" w:sz="4" w:space="0" w:color="232323" w:themeColor="accent1"/>
          <w:bottom w:val="single" w:sz="4" w:space="0" w:color="232323" w:themeColor="accent1"/>
          <w:right w:val="single" w:sz="4" w:space="0" w:color="232323" w:themeColor="accent1"/>
          <w:insideH w:val="nil"/>
        </w:tcBorders>
        <w:shd w:val="clear" w:color="auto" w:fill="232323" w:themeFill="accent1"/>
      </w:tcPr>
    </w:tblStylePr>
    <w:tblStylePr w:type="lastRow">
      <w:rPr>
        <w:b/>
        <w:bCs/>
      </w:rPr>
      <w:tblPr/>
      <w:tcPr>
        <w:tcBorders>
          <w:top w:val="double" w:sz="4" w:space="0" w:color="7B7B7B" w:themeColor="accent1" w:themeTint="99"/>
        </w:tcBorders>
      </w:tc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paragraph" w:styleId="ListParagraph">
    <w:name w:val="List Paragraph"/>
    <w:aliases w:val="Mummuga loetelu,Numbered List,List (bullet),Table of contents numbered,ERP-List Paragraph,List Paragraph11,Bullet EY,List Paragraph1,List (services),Loetelu (bulletid),Loendi l›ik,Heading 1 Hidden,Colorful List - Accent 11,Laad1,Loendi lõ"/>
    <w:basedOn w:val="Normal"/>
    <w:link w:val="ListParagraphChar"/>
    <w:uiPriority w:val="34"/>
    <w:qFormat/>
    <w:rsid w:val="001555D2"/>
    <w:pPr>
      <w:ind w:left="720"/>
      <w:contextualSpacing/>
    </w:pPr>
  </w:style>
  <w:style w:type="table" w:customStyle="1" w:styleId="CivittaTable2DarkGrey">
    <w:name w:val="Civitta Table 2 Dark Grey"/>
    <w:basedOn w:val="GridTable5Dark-Accent1"/>
    <w:uiPriority w:val="99"/>
    <w:rsid w:val="00BC03FA"/>
    <w:tblPr>
      <w:tblCellMar>
        <w:top w:w="85" w:type="dxa"/>
        <w:bottom w:w="85" w:type="dxa"/>
      </w:tblCellMar>
    </w:tbl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accen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rPr>
        <w:b/>
        <w:bCs/>
        <w:color w:val="auto"/>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auto"/>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E6E6E6" w:themeFill="accent3"/>
      </w:tcPr>
    </w:tblStylePr>
    <w:tblStylePr w:type="band1Vert">
      <w:tblPr/>
      <w:tcPr>
        <w:shd w:val="clear" w:color="auto" w:fill="A7A7A7" w:themeFill="accent1" w:themeFillTint="66"/>
      </w:tcPr>
    </w:tblStylePr>
    <w:tblStylePr w:type="band1Horz">
      <w:tblPr/>
      <w:tcPr>
        <w:shd w:val="clear" w:color="auto" w:fill="CDCECD" w:themeFill="accent2" w:themeFillTint="99"/>
      </w:tcPr>
    </w:tblStylePr>
    <w:tblStylePr w:type="band2Horz">
      <w:tblPr/>
      <w:tcPr>
        <w:shd w:val="clear" w:color="auto" w:fill="FEFEFE" w:themeFill="background1"/>
      </w:tcPr>
    </w:tblStylePr>
  </w:style>
  <w:style w:type="table" w:customStyle="1" w:styleId="CivittaTable2Green">
    <w:name w:val="Civitta Table 2 Green"/>
    <w:basedOn w:val="CivittaTable2DarkGrey"/>
    <w:uiPriority w:val="99"/>
    <w:rsid w:val="00BC03FA"/>
    <w:tbl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accen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rPr>
        <w:b/>
        <w:bCs/>
        <w:color w:val="auto"/>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auto"/>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B1F7D7" w:themeFill="accent5" w:themeFillTint="66"/>
      </w:tcPr>
    </w:tblStylePr>
    <w:tblStylePr w:type="band1Vert">
      <w:tblPr/>
      <w:tcPr>
        <w:shd w:val="clear" w:color="auto" w:fill="A7A7A7" w:themeFill="accent1" w:themeFillTint="66"/>
      </w:tcPr>
    </w:tblStylePr>
    <w:tblStylePr w:type="band1Horz">
      <w:tblPr/>
      <w:tcPr>
        <w:shd w:val="clear" w:color="auto" w:fill="CDCECD" w:themeFill="accent2" w:themeFillTint="99"/>
      </w:tcPr>
    </w:tblStylePr>
    <w:tblStylePr w:type="band2Horz">
      <w:tblPr/>
      <w:tcPr>
        <w:shd w:val="clear" w:color="auto" w:fill="FEFEFE" w:themeFill="background1"/>
      </w:tcPr>
    </w:tblStylePr>
    <w:tblStylePr w:type="neCell">
      <w:tblPr/>
      <w:tcPr>
        <w:shd w:val="clear" w:color="auto" w:fill="3CEB9D" w:themeFill="accent5"/>
      </w:tcPr>
    </w:tblStylePr>
  </w:style>
  <w:style w:type="table" w:styleId="GridTable5Dark-Accent1">
    <w:name w:val="Grid Table 5 Dark Accent 1"/>
    <w:basedOn w:val="TableNormal"/>
    <w:uiPriority w:val="50"/>
    <w:rsid w:val="00974A63"/>
    <w:pPr>
      <w:spacing w:after="0" w:line="240" w:lineRule="auto"/>
    </w:pPr>
    <w:tblPr>
      <w:tblStyleRowBandSize w:val="1"/>
      <w:tblStyleColBandSize w:val="1"/>
      <w:tblBorders>
        <w:top w:val="single" w:sz="4" w:space="0" w:color="FEFEFE" w:themeColor="background1"/>
        <w:left w:val="single" w:sz="4" w:space="0" w:color="FEFEFE" w:themeColor="background1"/>
        <w:bottom w:val="single" w:sz="4" w:space="0" w:color="FEFEFE" w:themeColor="background1"/>
        <w:right w:val="single" w:sz="4" w:space="0" w:color="FEFEFE" w:themeColor="background1"/>
        <w:insideH w:val="single" w:sz="4" w:space="0" w:color="FEFEFE" w:themeColor="background1"/>
        <w:insideV w:val="single" w:sz="4" w:space="0" w:color="FEFEFE" w:themeColor="background1"/>
      </w:tblBorders>
    </w:tblPr>
    <w:tcPr>
      <w:shd w:val="clear" w:color="auto" w:fill="D3D3D3" w:themeFill="accen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accen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rPr>
        <w:b/>
        <w:bCs/>
        <w:color w:val="FEFEFE" w:themeColor="background1"/>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FEFEFE" w:themeColor="background1"/>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232323" w:themeFill="accent1"/>
      </w:tcPr>
    </w:tblStylePr>
    <w:tblStylePr w:type="band1Vert">
      <w:tblPr/>
      <w:tcPr>
        <w:shd w:val="clear" w:color="auto" w:fill="A7A7A7" w:themeFill="accent1" w:themeFillTint="66"/>
      </w:tcPr>
    </w:tblStylePr>
    <w:tblStylePr w:type="band1Horz">
      <w:tblPr/>
      <w:tcPr>
        <w:shd w:val="clear" w:color="auto" w:fill="A7A7A7" w:themeFill="accent1" w:themeFillTint="66"/>
      </w:tcPr>
    </w:tblStylePr>
  </w:style>
  <w:style w:type="table" w:customStyle="1" w:styleId="CivittaTable2Purple">
    <w:name w:val="Civitta Table 2 Purple"/>
    <w:basedOn w:val="CivittaTable2DarkGrey"/>
    <w:uiPriority w:val="99"/>
    <w:rsid w:val="00BC03FA"/>
    <w:tbl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accen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rPr>
        <w:b/>
        <w:bCs/>
        <w:color w:val="auto"/>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auto"/>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E771FF" w:themeFill="accent6" w:themeFillTint="66"/>
      </w:tcPr>
    </w:tblStylePr>
    <w:tblStylePr w:type="band1Vert">
      <w:tblPr/>
      <w:tcPr>
        <w:shd w:val="clear" w:color="auto" w:fill="A7A7A7" w:themeFill="accent1" w:themeFillTint="66"/>
      </w:tcPr>
    </w:tblStylePr>
    <w:tblStylePr w:type="band1Horz">
      <w:tblPr/>
      <w:tcPr>
        <w:shd w:val="clear" w:color="auto" w:fill="CDCECD" w:themeFill="accent2" w:themeFillTint="99"/>
      </w:tcPr>
    </w:tblStylePr>
    <w:tblStylePr w:type="band2Horz">
      <w:tblPr/>
      <w:tcPr>
        <w:shd w:val="clear" w:color="auto" w:fill="FEFEFE" w:themeFill="background1"/>
      </w:tcPr>
    </w:tblStylePr>
    <w:tblStylePr w:type="neCell">
      <w:tblPr/>
      <w:tcPr>
        <w:shd w:val="clear" w:color="auto" w:fill="82009B" w:themeFill="accent6"/>
      </w:tcPr>
    </w:tblStylePr>
  </w:style>
  <w:style w:type="table" w:customStyle="1" w:styleId="Style1">
    <w:name w:val="Style1"/>
    <w:basedOn w:val="CivittaTable2DarkGrey"/>
    <w:uiPriority w:val="99"/>
    <w:rsid w:val="00CC776E"/>
    <w:tbl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82009B" w:themeFill="accent6"/>
      </w:tcPr>
    </w:tblStylePr>
    <w:tblStylePr w:type="lastRow">
      <w:rPr>
        <w:b/>
        <w:bCs/>
        <w:color w:val="auto"/>
      </w:rPr>
      <w:tblPr/>
      <w:tcPr>
        <w:tcBorders>
          <w:top w:val="single" w:sz="12" w:space="0" w:color="82009B" w:themeColor="accent6"/>
          <w:left w:val="single" w:sz="4" w:space="0" w:color="FEFEFE" w:themeColor="background1"/>
          <w:bottom w:val="single" w:sz="4" w:space="0" w:color="FEFEFE" w:themeColor="background1"/>
          <w:right w:val="single" w:sz="4" w:space="0" w:color="FEFEFE" w:themeColor="background1"/>
          <w:insideH w:val="nil"/>
          <w:insideV w:val="nil"/>
        </w:tcBorders>
        <w:shd w:val="clear" w:color="auto" w:fill="C7C7C7" w:themeFill="accent1" w:themeFillTint="40"/>
      </w:tcPr>
    </w:tblStylePr>
    <w:tblStylePr w:type="firstCol">
      <w:rPr>
        <w:b/>
        <w:bCs/>
        <w:color w:val="auto"/>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auto"/>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E6E6E6" w:themeFill="accent3"/>
      </w:tcPr>
    </w:tblStylePr>
    <w:tblStylePr w:type="band1Vert">
      <w:tblPr/>
      <w:tcPr>
        <w:shd w:val="clear" w:color="auto" w:fill="A7A7A7" w:themeFill="accent1" w:themeFillTint="66"/>
      </w:tcPr>
    </w:tblStylePr>
    <w:tblStylePr w:type="band1Horz">
      <w:tblPr/>
      <w:tcPr>
        <w:shd w:val="clear" w:color="auto" w:fill="CDCECD" w:themeFill="accent2" w:themeFillTint="99"/>
      </w:tcPr>
    </w:tblStylePr>
    <w:tblStylePr w:type="band2Horz">
      <w:tblPr/>
      <w:tcPr>
        <w:shd w:val="clear" w:color="auto" w:fill="EEEEEE" w:themeFill="accent2" w:themeFillTint="33"/>
      </w:tcPr>
    </w:tblStylePr>
    <w:tblStylePr w:type="nwCell">
      <w:tblPr/>
      <w:tcPr>
        <w:shd w:val="clear" w:color="auto" w:fill="232323" w:themeFill="text2"/>
      </w:tcPr>
    </w:tblStylePr>
    <w:tblStylePr w:type="swCell">
      <w:tblPr/>
      <w:tcPr>
        <w:tcBorders>
          <w:top w:val="single" w:sz="4" w:space="0" w:color="E8E8E8" w:themeColor="text1" w:themeTint="1A"/>
          <w:left w:val="single" w:sz="4" w:space="0" w:color="E8E8E8" w:themeColor="text1" w:themeTint="1A"/>
          <w:bottom w:val="single" w:sz="4" w:space="0" w:color="E8E8E8" w:themeColor="text1" w:themeTint="1A"/>
          <w:right w:val="single" w:sz="4" w:space="0" w:color="E8E8E8" w:themeColor="text1" w:themeTint="1A"/>
          <w:insideH w:val="single" w:sz="4" w:space="0" w:color="E8E8E8" w:themeColor="text1" w:themeTint="1A"/>
          <w:insideV w:val="single" w:sz="4" w:space="0" w:color="E8E8E8" w:themeColor="text1" w:themeTint="1A"/>
        </w:tcBorders>
        <w:shd w:val="clear" w:color="auto" w:fill="D3D3D3" w:themeFill="accent1" w:themeFillTint="33"/>
      </w:tcPr>
    </w:tblStylePr>
  </w:style>
  <w:style w:type="paragraph" w:styleId="TOC4">
    <w:name w:val="toc 4"/>
    <w:basedOn w:val="Normal"/>
    <w:next w:val="Normal"/>
    <w:autoRedefine/>
    <w:uiPriority w:val="39"/>
    <w:rsid w:val="00A647FA"/>
    <w:pPr>
      <w:spacing w:after="100"/>
      <w:ind w:left="1701" w:hanging="680"/>
    </w:pPr>
  </w:style>
  <w:style w:type="paragraph" w:customStyle="1" w:styleId="DarkBlockwoTOC">
    <w:name w:val="Dark Block w/o TOC"/>
    <w:basedOn w:val="DarkBlock"/>
    <w:link w:val="DarkBlockwoTOCChar"/>
    <w:uiPriority w:val="14"/>
    <w:qFormat/>
    <w:rsid w:val="00464FC2"/>
    <w:pPr>
      <w:contextualSpacing w:val="0"/>
    </w:pPr>
  </w:style>
  <w:style w:type="character" w:customStyle="1" w:styleId="DarkBlockChar">
    <w:name w:val="Dark Block Char"/>
    <w:basedOn w:val="DefaultParagraphFont"/>
    <w:link w:val="DarkBlock"/>
    <w:uiPriority w:val="14"/>
    <w:rsid w:val="00464FC2"/>
    <w:rPr>
      <w:rFonts w:asciiTheme="majorHAnsi" w:hAnsiTheme="majorHAnsi"/>
      <w:color w:val="FEFEFE" w:themeColor="background1"/>
      <w:sz w:val="56"/>
      <w:shd w:val="clear" w:color="auto" w:fill="232323" w:themeFill="text2"/>
      <w:lang w:val="en-US"/>
    </w:rPr>
  </w:style>
  <w:style w:type="character" w:customStyle="1" w:styleId="DarkBlockwoTOCChar">
    <w:name w:val="Dark Block w/o TOC Char"/>
    <w:basedOn w:val="DarkBlockChar"/>
    <w:link w:val="DarkBlockwoTOC"/>
    <w:uiPriority w:val="14"/>
    <w:rsid w:val="00464FC2"/>
    <w:rPr>
      <w:rFonts w:asciiTheme="majorHAnsi" w:hAnsiTheme="majorHAnsi"/>
      <w:color w:val="FEFEFE" w:themeColor="background1"/>
      <w:sz w:val="56"/>
      <w:shd w:val="clear" w:color="auto" w:fill="232323" w:themeFill="text2"/>
      <w:lang w:val="en-US"/>
    </w:rPr>
  </w:style>
  <w:style w:type="table" w:styleId="ListTable3-Accent6">
    <w:name w:val="List Table 3 Accent 6"/>
    <w:basedOn w:val="TableNormal"/>
    <w:uiPriority w:val="48"/>
    <w:rsid w:val="00F2683B"/>
    <w:pPr>
      <w:spacing w:after="0" w:line="240" w:lineRule="auto"/>
    </w:pPr>
    <w:tblPr>
      <w:tblStyleRowBandSize w:val="1"/>
      <w:tblStyleColBandSize w:val="1"/>
    </w:tblPr>
    <w:tblStylePr w:type="firstRow">
      <w:rPr>
        <w:b/>
        <w:bCs/>
        <w:color w:val="FEFEFE" w:themeColor="background1"/>
      </w:rPr>
      <w:tblPr/>
      <w:tcPr>
        <w:shd w:val="clear" w:color="auto" w:fill="82009B" w:themeFill="accent6"/>
      </w:tcPr>
    </w:tblStylePr>
    <w:tblStylePr w:type="lastRow">
      <w:rPr>
        <w:b/>
        <w:bCs/>
      </w:rPr>
      <w:tblPr/>
      <w:tcPr>
        <w:tcBorders>
          <w:top w:val="single" w:sz="12" w:space="0" w:color="82009B" w:themeColor="accent6"/>
        </w:tcBorders>
        <w:shd w:val="clear" w:color="auto" w:fill="FEFEFE" w:themeFill="background1"/>
      </w:tcPr>
    </w:tblStylePr>
    <w:tblStylePr w:type="firstCol">
      <w:rPr>
        <w:b/>
        <w:bCs/>
      </w:rPr>
      <w:tblPr/>
      <w:tcPr>
        <w:tcBorders>
          <w:top w:val="nil"/>
          <w:left w:val="nil"/>
          <w:bottom w:val="nil"/>
          <w:right w:val="nil"/>
          <w:insideH w:val="nil"/>
          <w:insideV w:val="nil"/>
          <w:tl2br w:val="nil"/>
          <w:tr2bl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nil"/>
          <w:right w:val="nil"/>
        </w:tcBorders>
      </w:tcPr>
    </w:tblStylePr>
    <w:tblStylePr w:type="band1Horz">
      <w:tblPr/>
      <w:tcPr>
        <w:tcBorders>
          <w:top w:val="nil"/>
          <w:bottom w:val="nil"/>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09B" w:themeColor="accent6"/>
          <w:left w:val="nil"/>
        </w:tcBorders>
      </w:tcPr>
    </w:tblStylePr>
    <w:tblStylePr w:type="swCell">
      <w:tblPr/>
      <w:tcPr>
        <w:tcBorders>
          <w:top w:val="single" w:sz="12" w:space="0" w:color="auto"/>
          <w:left w:val="nil"/>
          <w:bottom w:val="nil"/>
          <w:right w:val="nil"/>
          <w:insideH w:val="nil"/>
          <w:insideV w:val="nil"/>
          <w:tl2br w:val="nil"/>
          <w:tr2bl w:val="nil"/>
        </w:tcBorders>
      </w:tcPr>
    </w:tblStylePr>
  </w:style>
  <w:style w:type="character" w:customStyle="1" w:styleId="SectionHeaderChar">
    <w:name w:val="Section Header Char"/>
    <w:basedOn w:val="Heading1Char"/>
    <w:link w:val="SectionHeader"/>
    <w:uiPriority w:val="13"/>
    <w:rsid w:val="00671ABD"/>
    <w:rPr>
      <w:rFonts w:asciiTheme="majorHAnsi" w:eastAsiaTheme="majorEastAsia" w:hAnsiTheme="majorHAnsi" w:cstheme="majorBidi"/>
      <w:color w:val="1A1A1A" w:themeColor="accent1" w:themeShade="BF"/>
      <w:sz w:val="72"/>
      <w:szCs w:val="32"/>
      <w:lang w:val="et-EE"/>
    </w:rPr>
  </w:style>
  <w:style w:type="character" w:customStyle="1" w:styleId="ApplySectionHeaderForHeader">
    <w:name w:val="Apply Section Header For Header"/>
    <w:basedOn w:val="DefaultParagraphFont"/>
    <w:uiPriority w:val="1"/>
    <w:qFormat/>
    <w:rsid w:val="00C31AFB"/>
  </w:style>
  <w:style w:type="paragraph" w:customStyle="1" w:styleId="GraphTitle">
    <w:name w:val="Graph Title"/>
    <w:basedOn w:val="TableTitle"/>
    <w:next w:val="Normal"/>
    <w:uiPriority w:val="4"/>
    <w:qFormat/>
    <w:rsid w:val="00102CD7"/>
    <w:rPr>
      <w:color w:val="14C877" w:themeColor="accent5" w:themeShade="BF"/>
    </w:rPr>
  </w:style>
  <w:style w:type="paragraph" w:styleId="Caption">
    <w:name w:val="caption"/>
    <w:aliases w:val="Top captionPealdis,Top caption,Joonise/tabeli pealkiri,Caption Char Char Char Char Char Char Char Char Char Char Char Char Char Char Char Char Char Char,Beschriftung Char2 Char,Beschriftung Char1 Cha...,Beschriftung Char2"/>
    <w:basedOn w:val="Normal"/>
    <w:next w:val="Normal"/>
    <w:link w:val="CaptionChar"/>
    <w:uiPriority w:val="35"/>
    <w:unhideWhenUsed/>
    <w:qFormat/>
    <w:rsid w:val="009015D2"/>
    <w:pPr>
      <w:spacing w:before="0" w:after="200" w:line="240" w:lineRule="auto"/>
    </w:pPr>
    <w:rPr>
      <w:iCs/>
      <w:color w:val="82009B" w:themeColor="accent6"/>
      <w:szCs w:val="18"/>
    </w:rPr>
  </w:style>
  <w:style w:type="character" w:styleId="CommentReference">
    <w:name w:val="annotation reference"/>
    <w:basedOn w:val="DefaultParagraphFont"/>
    <w:uiPriority w:val="99"/>
    <w:semiHidden/>
    <w:unhideWhenUsed/>
    <w:rsid w:val="004F4DBB"/>
    <w:rPr>
      <w:sz w:val="16"/>
      <w:szCs w:val="16"/>
    </w:rPr>
  </w:style>
  <w:style w:type="character" w:customStyle="1" w:styleId="Heading9Char">
    <w:name w:val="Heading 9 Char"/>
    <w:basedOn w:val="DefaultParagraphFont"/>
    <w:link w:val="Heading9"/>
    <w:uiPriority w:val="9"/>
    <w:rsid w:val="00464FC2"/>
    <w:rPr>
      <w:rFonts w:asciiTheme="majorHAnsi" w:eastAsiaTheme="majorEastAsia" w:hAnsiTheme="majorHAnsi" w:cstheme="majorBidi"/>
      <w:i/>
      <w:iCs/>
      <w:color w:val="444444" w:themeColor="text1" w:themeTint="D8"/>
      <w:sz w:val="21"/>
      <w:szCs w:val="21"/>
      <w:lang w:val="en-US"/>
    </w:rPr>
  </w:style>
  <w:style w:type="paragraph" w:customStyle="1" w:styleId="BottomCaption">
    <w:name w:val="Bottom Caption"/>
    <w:basedOn w:val="Normal"/>
    <w:uiPriority w:val="36"/>
    <w:qFormat/>
    <w:rsid w:val="0064708B"/>
    <w:pPr>
      <w:jc w:val="right"/>
    </w:pPr>
    <w:rPr>
      <w:i/>
      <w:color w:val="ACAEAC" w:themeColor="accent2"/>
      <w:sz w:val="20"/>
    </w:rPr>
  </w:style>
  <w:style w:type="table" w:customStyle="1" w:styleId="CivittaGreenTable">
    <w:name w:val="Civitta Green Table"/>
    <w:basedOn w:val="GridTable4"/>
    <w:uiPriority w:val="99"/>
    <w:rsid w:val="008054B6"/>
    <w:tblPr>
      <w:tblBorders>
        <w:top w:val="none" w:sz="0" w:space="0" w:color="auto"/>
        <w:left w:val="none" w:sz="0" w:space="0" w:color="auto"/>
        <w:bottom w:val="none" w:sz="0" w:space="0" w:color="auto"/>
        <w:right w:val="none" w:sz="0" w:space="0" w:color="auto"/>
        <w:insideH w:val="none" w:sz="0" w:space="0" w:color="auto"/>
        <w:insideV w:val="single" w:sz="4" w:space="0" w:color="3CEB9D" w:themeColor="accent5"/>
      </w:tblBorders>
      <w:tblCellMar>
        <w:top w:w="85" w:type="dxa"/>
        <w:left w:w="113" w:type="dxa"/>
        <w:bottom w:w="85" w:type="dxa"/>
        <w:right w:w="113" w:type="dxa"/>
      </w:tblCellMar>
    </w:tblPr>
    <w:tcPr>
      <w:shd w:val="clear" w:color="auto" w:fill="auto"/>
    </w:tcPr>
    <w:tblStylePr w:type="firstRow">
      <w:rPr>
        <w:b/>
        <w:bCs/>
        <w:color w:val="FEFEFE" w:themeColor="background1"/>
      </w:rPr>
      <w:tblPr/>
      <w:tcPr>
        <w:tcBorders>
          <w:top w:val="single" w:sz="4" w:space="0" w:color="FEFEFE" w:themeColor="background1"/>
          <w:left w:val="single" w:sz="4" w:space="0" w:color="FEFEFE" w:themeColor="background1"/>
          <w:bottom w:val="single" w:sz="4" w:space="0" w:color="232323" w:themeColor="text1"/>
          <w:right w:val="single" w:sz="4" w:space="0" w:color="FEFEFE" w:themeColor="background1"/>
          <w:insideH w:val="nil"/>
          <w:insideV w:val="single" w:sz="4" w:space="0" w:color="3CEB9D" w:themeColor="accent5"/>
        </w:tcBorders>
        <w:shd w:val="clear" w:color="auto" w:fill="232323" w:themeFill="accent1"/>
      </w:tcPr>
    </w:tblStylePr>
    <w:tblStylePr w:type="lastRow">
      <w:rPr>
        <w:b/>
        <w:bCs/>
        <w:color w:val="FEFEFE" w:themeColor="background1"/>
      </w:rPr>
      <w:tblPr/>
      <w:tcPr>
        <w:tcBorders>
          <w:top w:val="double" w:sz="4" w:space="0" w:color="232323" w:themeColor="text1"/>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pPr>
        <w:jc w:val="left"/>
      </w:pPr>
      <w:rPr>
        <w:b/>
        <w:bCs/>
        <w:color w:val="232323" w:themeColor="text1"/>
      </w:rPr>
      <w:tblPr/>
      <w:tcPr>
        <w:vAlign w:val="center"/>
      </w:tcPr>
    </w:tblStylePr>
    <w:tblStylePr w:type="lastCol">
      <w:rPr>
        <w:b/>
        <w:bCs/>
        <w:color w:val="232323" w:themeColor="text1"/>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customStyle="1" w:styleId="CivittaGreyTable">
    <w:name w:val="Civitta Grey Table"/>
    <w:basedOn w:val="CivittaGreenTable"/>
    <w:uiPriority w:val="99"/>
    <w:rsid w:val="008054B6"/>
    <w:tblPr>
      <w:tblBorders>
        <w:insideH w:val="single" w:sz="4" w:space="0" w:color="FEFEFE" w:themeColor="background1"/>
        <w:insideV w:val="single" w:sz="4" w:space="0" w:color="ACAEAC" w:themeColor="accent2"/>
      </w:tblBorders>
    </w:tblPr>
    <w:tblStylePr w:type="firstRow">
      <w:rPr>
        <w:b/>
        <w:bCs/>
        <w:color w:val="FEFEFE" w:themeColor="background1"/>
      </w:rPr>
      <w:tblPr/>
      <w:tcPr>
        <w:tcBorders>
          <w:top w:val="single" w:sz="4" w:space="0" w:color="FEFEFE" w:themeColor="background1"/>
          <w:left w:val="single" w:sz="4" w:space="0" w:color="FEFEFE" w:themeColor="background1"/>
          <w:bottom w:val="single" w:sz="4" w:space="0" w:color="232323" w:themeColor="text1"/>
          <w:right w:val="single" w:sz="4" w:space="0" w:color="FEFEFE" w:themeColor="background1"/>
          <w:insideH w:val="nil"/>
          <w:insideV w:val="single" w:sz="4" w:space="0" w:color="ACAEAC" w:themeColor="accent2"/>
        </w:tcBorders>
        <w:shd w:val="clear" w:color="auto" w:fill="232323" w:themeFill="accent1"/>
      </w:tcPr>
    </w:tblStylePr>
    <w:tblStylePr w:type="lastRow">
      <w:rPr>
        <w:b/>
        <w:bCs/>
        <w:color w:val="FEFEFE" w:themeColor="background1"/>
      </w:rPr>
      <w:tblPr/>
      <w:tcPr>
        <w:tcBorders>
          <w:top w:val="double" w:sz="4" w:space="0" w:color="232323" w:themeColor="text1"/>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pPr>
        <w:jc w:val="left"/>
      </w:pPr>
      <w:rPr>
        <w:b/>
        <w:bCs/>
        <w:color w:val="232323" w:themeColor="text1"/>
      </w:rPr>
      <w:tblPr/>
      <w:tcPr>
        <w:vAlign w:val="center"/>
      </w:tcPr>
    </w:tblStylePr>
    <w:tblStylePr w:type="lastCol">
      <w:rPr>
        <w:b/>
        <w:bCs/>
        <w:color w:val="232323" w:themeColor="text1"/>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character" w:customStyle="1" w:styleId="ListParagraphChar">
    <w:name w:val="List Paragraph Char"/>
    <w:aliases w:val="Mummuga loetelu Char,Numbered List Char,List (bullet) Char,Table of contents numbered Char,ERP-List Paragraph Char,List Paragraph11 Char,Bullet EY Char,List Paragraph1 Char,List (services) Char,Loetelu (bulletid) Char,Laad1 Char"/>
    <w:link w:val="ListParagraph"/>
    <w:uiPriority w:val="34"/>
    <w:qFormat/>
    <w:locked/>
    <w:rsid w:val="00042C1F"/>
    <w:rPr>
      <w:sz w:val="24"/>
      <w:lang w:val="et-EE"/>
    </w:rPr>
  </w:style>
  <w:style w:type="character" w:customStyle="1" w:styleId="CaptionChar">
    <w:name w:val="Caption Char"/>
    <w:aliases w:val="Top captionPealdis Char,Top caption Char,Joonise/tabeli pealkiri Char,Caption Char Char Char Char Char Char Char Char Char Char Char Char Char Char Char Char Char Char Char,Beschriftung Char2 Char Char,Beschriftung Char1 Cha... Char"/>
    <w:link w:val="Caption"/>
    <w:uiPriority w:val="35"/>
    <w:rsid w:val="00042C1F"/>
    <w:rPr>
      <w:iCs/>
      <w:color w:val="82009B" w:themeColor="accent6"/>
      <w:sz w:val="24"/>
      <w:szCs w:val="18"/>
      <w:lang w:val="et-EE"/>
    </w:rPr>
  </w:style>
  <w:style w:type="paragraph" w:customStyle="1" w:styleId="Default">
    <w:name w:val="Default"/>
    <w:rsid w:val="004B0460"/>
    <w:pPr>
      <w:autoSpaceDE w:val="0"/>
      <w:autoSpaceDN w:val="0"/>
      <w:adjustRightInd w:val="0"/>
      <w:spacing w:after="0" w:line="240" w:lineRule="auto"/>
    </w:pPr>
    <w:rPr>
      <w:rFonts w:ascii="Arial" w:hAnsi="Arial" w:cs="Arial"/>
      <w:color w:val="000000"/>
      <w:kern w:val="0"/>
      <w:sz w:val="24"/>
      <w:szCs w:val="24"/>
      <w:lang w:val="en-US"/>
    </w:rPr>
  </w:style>
  <w:style w:type="paragraph" w:styleId="CommentText">
    <w:name w:val="annotation text"/>
    <w:basedOn w:val="Normal"/>
    <w:link w:val="CommentTextChar"/>
    <w:uiPriority w:val="99"/>
    <w:unhideWhenUsed/>
    <w:rsid w:val="00430676"/>
    <w:pPr>
      <w:spacing w:before="0" w:line="240" w:lineRule="auto"/>
    </w:pPr>
    <w:rPr>
      <w:sz w:val="20"/>
      <w:szCs w:val="20"/>
    </w:rPr>
  </w:style>
  <w:style w:type="character" w:customStyle="1" w:styleId="CommentTextChar">
    <w:name w:val="Comment Text Char"/>
    <w:basedOn w:val="DefaultParagraphFont"/>
    <w:link w:val="CommentText"/>
    <w:uiPriority w:val="99"/>
    <w:rsid w:val="00430676"/>
    <w:rPr>
      <w:sz w:val="20"/>
      <w:szCs w:val="20"/>
      <w:lang w:val="et-EE"/>
    </w:rPr>
  </w:style>
  <w:style w:type="character" w:styleId="UnresolvedMention">
    <w:name w:val="Unresolved Mention"/>
    <w:basedOn w:val="DefaultParagraphFont"/>
    <w:uiPriority w:val="99"/>
    <w:semiHidden/>
    <w:unhideWhenUsed/>
    <w:rsid w:val="00414A0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0266A"/>
    <w:pPr>
      <w:spacing w:before="120"/>
    </w:pPr>
    <w:rPr>
      <w:b/>
      <w:bCs/>
    </w:rPr>
  </w:style>
  <w:style w:type="character" w:customStyle="1" w:styleId="CommentSubjectChar">
    <w:name w:val="Comment Subject Char"/>
    <w:basedOn w:val="CommentTextChar"/>
    <w:link w:val="CommentSubject"/>
    <w:uiPriority w:val="99"/>
    <w:semiHidden/>
    <w:rsid w:val="0000266A"/>
    <w:rPr>
      <w:b/>
      <w:bCs/>
      <w:sz w:val="20"/>
      <w:szCs w:val="20"/>
      <w:lang w:val="et-EE"/>
    </w:rPr>
  </w:style>
  <w:style w:type="paragraph" w:styleId="NormalWeb">
    <w:name w:val="Normal (Web)"/>
    <w:basedOn w:val="Normal"/>
    <w:uiPriority w:val="99"/>
    <w:unhideWhenUsed/>
    <w:rsid w:val="00534FF5"/>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table" w:styleId="ListTable4">
    <w:name w:val="List Table 4"/>
    <w:basedOn w:val="TableNormal"/>
    <w:uiPriority w:val="49"/>
    <w:rsid w:val="00FB1A82"/>
    <w:pPr>
      <w:spacing w:after="0" w:line="240" w:lineRule="auto"/>
    </w:p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tblBorders>
    </w:tblPr>
    <w:tblStylePr w:type="firstRow">
      <w:rPr>
        <w:b/>
        <w:bCs/>
        <w:color w:val="FEFEFE" w:themeColor="background1"/>
      </w:rPr>
      <w:tblPr/>
      <w:tcPr>
        <w:tcBorders>
          <w:top w:val="single" w:sz="4" w:space="0" w:color="232323" w:themeColor="text1"/>
          <w:left w:val="single" w:sz="4" w:space="0" w:color="232323" w:themeColor="text1"/>
          <w:bottom w:val="single" w:sz="4" w:space="0" w:color="232323" w:themeColor="text1"/>
          <w:right w:val="single" w:sz="4" w:space="0" w:color="232323" w:themeColor="text1"/>
          <w:insideH w:val="nil"/>
        </w:tcBorders>
        <w:shd w:val="clear" w:color="auto" w:fill="232323" w:themeFill="text1"/>
      </w:tcPr>
    </w:tblStylePr>
    <w:tblStylePr w:type="lastRow">
      <w:rPr>
        <w:b/>
        <w:bCs/>
      </w:rPr>
      <w:tblPr/>
      <w:tcPr>
        <w:tcBorders>
          <w:top w:val="double" w:sz="4" w:space="0" w:color="7B7B7B" w:themeColor="text1" w:themeTint="99"/>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paragraph" w:styleId="TOC5">
    <w:name w:val="toc 5"/>
    <w:basedOn w:val="Normal"/>
    <w:next w:val="Normal"/>
    <w:autoRedefine/>
    <w:uiPriority w:val="39"/>
    <w:unhideWhenUsed/>
    <w:rsid w:val="0053135B"/>
    <w:pPr>
      <w:spacing w:after="100"/>
      <w:ind w:left="960"/>
    </w:pPr>
  </w:style>
  <w:style w:type="paragraph" w:styleId="TOC6">
    <w:name w:val="toc 6"/>
    <w:basedOn w:val="Normal"/>
    <w:next w:val="Normal"/>
    <w:autoRedefine/>
    <w:uiPriority w:val="39"/>
    <w:unhideWhenUsed/>
    <w:rsid w:val="0053135B"/>
    <w:pPr>
      <w:spacing w:before="0" w:after="0"/>
      <w:ind w:left="1100"/>
    </w:pPr>
    <w:rPr>
      <w:rFonts w:cstheme="minorHAnsi"/>
      <w:sz w:val="20"/>
      <w:szCs w:val="20"/>
    </w:rPr>
  </w:style>
  <w:style w:type="paragraph" w:styleId="TOC7">
    <w:name w:val="toc 7"/>
    <w:basedOn w:val="Normal"/>
    <w:next w:val="Normal"/>
    <w:autoRedefine/>
    <w:uiPriority w:val="39"/>
    <w:unhideWhenUsed/>
    <w:rsid w:val="0053135B"/>
    <w:pPr>
      <w:spacing w:before="0" w:after="0"/>
      <w:ind w:left="1320"/>
    </w:pPr>
    <w:rPr>
      <w:rFonts w:cstheme="minorHAnsi"/>
      <w:sz w:val="20"/>
      <w:szCs w:val="20"/>
    </w:rPr>
  </w:style>
  <w:style w:type="paragraph" w:styleId="TOC8">
    <w:name w:val="toc 8"/>
    <w:basedOn w:val="Normal"/>
    <w:next w:val="Normal"/>
    <w:autoRedefine/>
    <w:uiPriority w:val="39"/>
    <w:unhideWhenUsed/>
    <w:rsid w:val="0053135B"/>
    <w:pPr>
      <w:spacing w:before="0" w:after="0"/>
      <w:ind w:left="1540"/>
    </w:pPr>
    <w:rPr>
      <w:rFonts w:cstheme="minorHAnsi"/>
      <w:sz w:val="20"/>
      <w:szCs w:val="20"/>
    </w:rPr>
  </w:style>
  <w:style w:type="paragraph" w:styleId="TOC9">
    <w:name w:val="toc 9"/>
    <w:basedOn w:val="Normal"/>
    <w:next w:val="Normal"/>
    <w:autoRedefine/>
    <w:uiPriority w:val="39"/>
    <w:unhideWhenUsed/>
    <w:rsid w:val="0053135B"/>
    <w:pPr>
      <w:spacing w:before="0" w:after="0"/>
      <w:ind w:left="1760"/>
    </w:pPr>
    <w:rPr>
      <w:rFonts w:cstheme="minorHAnsi"/>
      <w:sz w:val="20"/>
      <w:szCs w:val="20"/>
    </w:rPr>
  </w:style>
  <w:style w:type="character" w:styleId="FollowedHyperlink">
    <w:name w:val="FollowedHyperlink"/>
    <w:basedOn w:val="DefaultParagraphFont"/>
    <w:uiPriority w:val="99"/>
    <w:semiHidden/>
    <w:unhideWhenUsed/>
    <w:rsid w:val="0053135B"/>
    <w:rPr>
      <w:color w:val="82009B" w:themeColor="followedHyperlink"/>
      <w:u w:val="single"/>
    </w:rPr>
  </w:style>
  <w:style w:type="character" w:styleId="Mention">
    <w:name w:val="Mention"/>
    <w:basedOn w:val="DefaultParagraphFont"/>
    <w:uiPriority w:val="99"/>
    <w:unhideWhenUsed/>
    <w:rsid w:val="000D36AA"/>
    <w:rPr>
      <w:color w:val="2B579A"/>
      <w:shd w:val="clear" w:color="auto" w:fill="E1DFDD"/>
    </w:rPr>
  </w:style>
  <w:style w:type="paragraph" w:styleId="Revision">
    <w:name w:val="Revision"/>
    <w:hidden/>
    <w:uiPriority w:val="99"/>
    <w:semiHidden/>
    <w:rsid w:val="00BA43D3"/>
    <w:pPr>
      <w:spacing w:after="0" w:line="240" w:lineRule="auto"/>
    </w:pPr>
    <w:rPr>
      <w:sz w:val="24"/>
      <w:lang w:val="et-EE"/>
    </w:rPr>
  </w:style>
  <w:style w:type="paragraph" w:customStyle="1" w:styleId="paragraph">
    <w:name w:val="paragraph"/>
    <w:basedOn w:val="Normal"/>
    <w:rsid w:val="00F6461E"/>
    <w:pPr>
      <w:spacing w:before="100" w:beforeAutospacing="1" w:after="100" w:afterAutospacing="1" w:line="240" w:lineRule="auto"/>
    </w:pPr>
    <w:rPr>
      <w:rFonts w:ascii="Times New Roman" w:eastAsia="Times New Roman" w:hAnsi="Times New Roman" w:cs="Times New Roman"/>
      <w:kern w:val="0"/>
      <w:szCs w:val="24"/>
      <w:lang w:val="en-US"/>
      <w14:ligatures w14:val="none"/>
    </w:rPr>
  </w:style>
  <w:style w:type="character" w:customStyle="1" w:styleId="normaltextrun">
    <w:name w:val="normaltextrun"/>
    <w:basedOn w:val="DefaultParagraphFont"/>
    <w:rsid w:val="00F6461E"/>
  </w:style>
  <w:style w:type="character" w:customStyle="1" w:styleId="superscript">
    <w:name w:val="superscript"/>
    <w:basedOn w:val="DefaultParagraphFont"/>
    <w:rsid w:val="00F6461E"/>
  </w:style>
  <w:style w:type="character" w:customStyle="1" w:styleId="eop">
    <w:name w:val="eop"/>
    <w:basedOn w:val="DefaultParagraphFont"/>
    <w:rsid w:val="00F6461E"/>
  </w:style>
  <w:style w:type="table" w:styleId="TableGridLight">
    <w:name w:val="Grid Table Light"/>
    <w:basedOn w:val="TableNormal"/>
    <w:uiPriority w:val="40"/>
    <w:rsid w:val="0095480C"/>
    <w:pPr>
      <w:spacing w:after="0" w:line="240" w:lineRule="auto"/>
    </w:pPr>
    <w:tblPr>
      <w:tblBorders>
        <w:top w:val="single" w:sz="4" w:space="0" w:color="BEBEBE" w:themeColor="background1" w:themeShade="BF"/>
        <w:left w:val="single" w:sz="4" w:space="0" w:color="BEBEBE" w:themeColor="background1" w:themeShade="BF"/>
        <w:bottom w:val="single" w:sz="4" w:space="0" w:color="BEBEBE" w:themeColor="background1" w:themeShade="BF"/>
        <w:right w:val="single" w:sz="4" w:space="0" w:color="BEBEBE" w:themeColor="background1" w:themeShade="BF"/>
        <w:insideH w:val="single" w:sz="4" w:space="0" w:color="BEBEBE" w:themeColor="background1" w:themeShade="BF"/>
        <w:insideV w:val="single" w:sz="4" w:space="0" w:color="BEBEBE" w:themeColor="background1" w:themeShade="BF"/>
      </w:tblBorders>
    </w:tblPr>
  </w:style>
  <w:style w:type="character" w:customStyle="1" w:styleId="footnotedescriptionChar">
    <w:name w:val="footnote description Char"/>
    <w:link w:val="footnotedescription"/>
    <w:locked/>
    <w:rsid w:val="004F52D2"/>
    <w:rPr>
      <w:rFonts w:ascii="Georgia" w:eastAsia="Georgia" w:hAnsi="Georgia" w:cs="Georgia"/>
      <w:color w:val="000000"/>
      <w:sz w:val="16"/>
    </w:rPr>
  </w:style>
  <w:style w:type="paragraph" w:customStyle="1" w:styleId="footnotedescription">
    <w:name w:val="footnote description"/>
    <w:next w:val="Normal"/>
    <w:link w:val="footnotedescriptionChar"/>
    <w:rsid w:val="004F52D2"/>
    <w:pPr>
      <w:spacing w:after="12" w:line="256" w:lineRule="auto"/>
    </w:pPr>
    <w:rPr>
      <w:rFonts w:ascii="Georgia" w:eastAsia="Georgia" w:hAnsi="Georgia" w:cs="Georgia"/>
      <w:color w:val="000000"/>
      <w:sz w:val="16"/>
    </w:rPr>
  </w:style>
  <w:style w:type="character" w:customStyle="1" w:styleId="wacimagecontainer">
    <w:name w:val="wacimagecontainer"/>
    <w:basedOn w:val="DefaultParagraphFont"/>
    <w:rsid w:val="00ED0E64"/>
  </w:style>
  <w:style w:type="character" w:customStyle="1" w:styleId="scxw103395305">
    <w:name w:val="scxw103395305"/>
    <w:basedOn w:val="DefaultParagraphFont"/>
    <w:rsid w:val="00ED0E64"/>
  </w:style>
  <w:style w:type="character" w:styleId="IntenseEmphasis">
    <w:name w:val="Intense Emphasis"/>
    <w:basedOn w:val="DefaultParagraphFont"/>
    <w:uiPriority w:val="21"/>
    <w:qFormat/>
    <w:rsid w:val="00872DC3"/>
    <w:rPr>
      <w:i/>
      <w:iCs/>
      <w:color w:val="1A1A1A" w:themeColor="accent1" w:themeShade="BF"/>
    </w:rPr>
  </w:style>
  <w:style w:type="character" w:styleId="IntenseReference">
    <w:name w:val="Intense Reference"/>
    <w:basedOn w:val="DefaultParagraphFont"/>
    <w:uiPriority w:val="32"/>
    <w:qFormat/>
    <w:rsid w:val="00872DC3"/>
    <w:rPr>
      <w:b/>
      <w:bCs/>
      <w:smallCaps/>
      <w:color w:val="1A1A1A" w:themeColor="accent1" w:themeShade="BF"/>
      <w:spacing w:val="5"/>
    </w:rPr>
  </w:style>
  <w:style w:type="table" w:customStyle="1" w:styleId="Loetelutabel3rhk11">
    <w:name w:val="Loetelutabel 3 – rõhk 11"/>
    <w:basedOn w:val="TableNormal"/>
    <w:next w:val="ListTable3-Accent1"/>
    <w:uiPriority w:val="48"/>
    <w:rsid w:val="009D325D"/>
    <w:pPr>
      <w:spacing w:after="0" w:line="240" w:lineRule="auto"/>
    </w:pPr>
    <w:tblPr>
      <w:tblStyleRowBandSize w:val="1"/>
      <w:tblStyleColBandSize w:val="1"/>
      <w:tblBorders>
        <w:top w:val="single" w:sz="4" w:space="0" w:color="232323"/>
        <w:left w:val="single" w:sz="4" w:space="0" w:color="232323"/>
        <w:bottom w:val="single" w:sz="4" w:space="0" w:color="232323"/>
        <w:right w:val="single" w:sz="4" w:space="0" w:color="232323"/>
      </w:tblBorders>
      <w:tblCellMar>
        <w:top w:w="57" w:type="dxa"/>
        <w:bottom w:w="57" w:type="dxa"/>
      </w:tblCellMar>
    </w:tblPr>
    <w:tblStylePr w:type="firstRow">
      <w:rPr>
        <w:b/>
        <w:bCs/>
        <w:color w:val="FEFEFE"/>
      </w:rPr>
      <w:tblPr/>
      <w:tcPr>
        <w:shd w:val="clear" w:color="auto" w:fill="232323"/>
      </w:tcPr>
    </w:tblStylePr>
    <w:tblStylePr w:type="lastRow">
      <w:rPr>
        <w:b/>
        <w:bCs/>
      </w:rPr>
      <w:tblPr/>
      <w:tcPr>
        <w:tcBorders>
          <w:top w:val="double" w:sz="4" w:space="0" w:color="232323"/>
        </w:tcBorders>
        <w:shd w:val="clear" w:color="auto" w:fill="FEFEFE"/>
      </w:tcPr>
    </w:tblStylePr>
    <w:tblStylePr w:type="firstCol">
      <w:rPr>
        <w:b/>
        <w:bCs/>
      </w:rPr>
      <w:tblPr/>
      <w:tcPr>
        <w:tcBorders>
          <w:right w:val="nil"/>
        </w:tcBorders>
        <w:shd w:val="clear" w:color="auto" w:fill="FEFEFE"/>
      </w:tcPr>
    </w:tblStylePr>
    <w:tblStylePr w:type="lastCol">
      <w:rPr>
        <w:b/>
        <w:bCs/>
      </w:rPr>
      <w:tblPr/>
      <w:tcPr>
        <w:tcBorders>
          <w:left w:val="nil"/>
        </w:tcBorders>
        <w:shd w:val="clear" w:color="auto" w:fill="FEFEFE"/>
      </w:tcPr>
    </w:tblStylePr>
    <w:tblStylePr w:type="band1Vert">
      <w:tblPr/>
      <w:tcPr>
        <w:tcBorders>
          <w:left w:val="single" w:sz="4" w:space="0" w:color="232323"/>
          <w:right w:val="single" w:sz="4" w:space="0" w:color="232323"/>
        </w:tcBorders>
      </w:tcPr>
    </w:tblStylePr>
    <w:tblStylePr w:type="band1Horz">
      <w:tblPr/>
      <w:tcPr>
        <w:tcBorders>
          <w:top w:val="single" w:sz="4" w:space="0" w:color="232323"/>
          <w:bottom w:val="single" w:sz="4" w:space="0" w:color="23232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323"/>
          <w:left w:val="nil"/>
        </w:tcBorders>
      </w:tcPr>
    </w:tblStylePr>
    <w:tblStylePr w:type="swCell">
      <w:tblPr/>
      <w:tcPr>
        <w:tcBorders>
          <w:top w:val="double" w:sz="4" w:space="0" w:color="232323"/>
          <w:right w:val="nil"/>
        </w:tcBorders>
      </w:tcPr>
    </w:tblStylePr>
  </w:style>
  <w:style w:type="table" w:customStyle="1" w:styleId="Loetelutabel3rhk12">
    <w:name w:val="Loetelutabel 3 – rõhk 12"/>
    <w:basedOn w:val="TableNormal"/>
    <w:next w:val="ListTable3-Accent1"/>
    <w:uiPriority w:val="48"/>
    <w:rsid w:val="00715979"/>
    <w:pPr>
      <w:spacing w:after="0" w:line="240" w:lineRule="auto"/>
    </w:pPr>
    <w:tblPr>
      <w:tblStyleRowBandSize w:val="1"/>
      <w:tblStyleColBandSize w:val="1"/>
      <w:tblBorders>
        <w:top w:val="single" w:sz="4" w:space="0" w:color="232323"/>
        <w:left w:val="single" w:sz="4" w:space="0" w:color="232323"/>
        <w:bottom w:val="single" w:sz="4" w:space="0" w:color="232323"/>
        <w:right w:val="single" w:sz="4" w:space="0" w:color="232323"/>
      </w:tblBorders>
      <w:tblCellMar>
        <w:top w:w="57" w:type="dxa"/>
        <w:bottom w:w="57" w:type="dxa"/>
      </w:tblCellMar>
    </w:tblPr>
    <w:tblStylePr w:type="firstRow">
      <w:rPr>
        <w:b/>
        <w:bCs/>
        <w:color w:val="FEFEFE"/>
      </w:rPr>
      <w:tblPr/>
      <w:tcPr>
        <w:shd w:val="clear" w:color="auto" w:fill="232323"/>
      </w:tcPr>
    </w:tblStylePr>
    <w:tblStylePr w:type="lastRow">
      <w:rPr>
        <w:b/>
        <w:bCs/>
      </w:rPr>
      <w:tblPr/>
      <w:tcPr>
        <w:tcBorders>
          <w:top w:val="double" w:sz="4" w:space="0" w:color="232323"/>
        </w:tcBorders>
        <w:shd w:val="clear" w:color="auto" w:fill="FEFEFE"/>
      </w:tcPr>
    </w:tblStylePr>
    <w:tblStylePr w:type="firstCol">
      <w:rPr>
        <w:b/>
        <w:bCs/>
      </w:rPr>
      <w:tblPr/>
      <w:tcPr>
        <w:tcBorders>
          <w:right w:val="nil"/>
        </w:tcBorders>
        <w:shd w:val="clear" w:color="auto" w:fill="FEFEFE"/>
      </w:tcPr>
    </w:tblStylePr>
    <w:tblStylePr w:type="lastCol">
      <w:rPr>
        <w:b/>
        <w:bCs/>
      </w:rPr>
      <w:tblPr/>
      <w:tcPr>
        <w:tcBorders>
          <w:left w:val="nil"/>
        </w:tcBorders>
        <w:shd w:val="clear" w:color="auto" w:fill="FEFEFE"/>
      </w:tcPr>
    </w:tblStylePr>
    <w:tblStylePr w:type="band1Vert">
      <w:tblPr/>
      <w:tcPr>
        <w:tcBorders>
          <w:left w:val="single" w:sz="4" w:space="0" w:color="232323"/>
          <w:right w:val="single" w:sz="4" w:space="0" w:color="232323"/>
        </w:tcBorders>
      </w:tcPr>
    </w:tblStylePr>
    <w:tblStylePr w:type="band1Horz">
      <w:tblPr/>
      <w:tcPr>
        <w:tcBorders>
          <w:top w:val="single" w:sz="4" w:space="0" w:color="232323"/>
          <w:bottom w:val="single" w:sz="4" w:space="0" w:color="23232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323"/>
          <w:left w:val="nil"/>
        </w:tcBorders>
      </w:tcPr>
    </w:tblStylePr>
    <w:tblStylePr w:type="swCell">
      <w:tblPr/>
      <w:tcPr>
        <w:tcBorders>
          <w:top w:val="double" w:sz="4" w:space="0" w:color="232323"/>
          <w:right w:val="nil"/>
        </w:tcBorders>
      </w:tcPr>
    </w:tblStylePr>
  </w:style>
  <w:style w:type="table" w:customStyle="1" w:styleId="Loetelutabel3rhk13">
    <w:name w:val="Loetelutabel 3 – rõhk 13"/>
    <w:basedOn w:val="TableNormal"/>
    <w:next w:val="ListTable3-Accent1"/>
    <w:uiPriority w:val="48"/>
    <w:rsid w:val="00E1692B"/>
    <w:pPr>
      <w:spacing w:after="0" w:line="240" w:lineRule="auto"/>
    </w:pPr>
    <w:tblPr>
      <w:tblStyleRowBandSize w:val="1"/>
      <w:tblStyleColBandSize w:val="1"/>
      <w:tblBorders>
        <w:top w:val="single" w:sz="4" w:space="0" w:color="232323"/>
        <w:left w:val="single" w:sz="4" w:space="0" w:color="232323"/>
        <w:bottom w:val="single" w:sz="4" w:space="0" w:color="232323"/>
        <w:right w:val="single" w:sz="4" w:space="0" w:color="232323"/>
      </w:tblBorders>
      <w:tblCellMar>
        <w:top w:w="57" w:type="dxa"/>
        <w:bottom w:w="57" w:type="dxa"/>
      </w:tblCellMar>
    </w:tblPr>
    <w:tblStylePr w:type="firstRow">
      <w:rPr>
        <w:b/>
        <w:bCs/>
        <w:color w:val="FEFEFE"/>
      </w:rPr>
      <w:tblPr/>
      <w:tcPr>
        <w:shd w:val="clear" w:color="auto" w:fill="232323"/>
      </w:tcPr>
    </w:tblStylePr>
    <w:tblStylePr w:type="lastRow">
      <w:rPr>
        <w:b/>
        <w:bCs/>
      </w:rPr>
      <w:tblPr/>
      <w:tcPr>
        <w:tcBorders>
          <w:top w:val="double" w:sz="4" w:space="0" w:color="232323"/>
        </w:tcBorders>
        <w:shd w:val="clear" w:color="auto" w:fill="FEFEFE"/>
      </w:tcPr>
    </w:tblStylePr>
    <w:tblStylePr w:type="firstCol">
      <w:rPr>
        <w:b/>
        <w:bCs/>
      </w:rPr>
      <w:tblPr/>
      <w:tcPr>
        <w:tcBorders>
          <w:right w:val="nil"/>
        </w:tcBorders>
        <w:shd w:val="clear" w:color="auto" w:fill="FEFEFE"/>
      </w:tcPr>
    </w:tblStylePr>
    <w:tblStylePr w:type="lastCol">
      <w:rPr>
        <w:b/>
        <w:bCs/>
      </w:rPr>
      <w:tblPr/>
      <w:tcPr>
        <w:tcBorders>
          <w:left w:val="nil"/>
        </w:tcBorders>
        <w:shd w:val="clear" w:color="auto" w:fill="FEFEFE"/>
      </w:tcPr>
    </w:tblStylePr>
    <w:tblStylePr w:type="band1Vert">
      <w:tblPr/>
      <w:tcPr>
        <w:tcBorders>
          <w:left w:val="single" w:sz="4" w:space="0" w:color="232323"/>
          <w:right w:val="single" w:sz="4" w:space="0" w:color="232323"/>
        </w:tcBorders>
      </w:tcPr>
    </w:tblStylePr>
    <w:tblStylePr w:type="band1Horz">
      <w:tblPr/>
      <w:tcPr>
        <w:tcBorders>
          <w:top w:val="single" w:sz="4" w:space="0" w:color="232323"/>
          <w:bottom w:val="single" w:sz="4" w:space="0" w:color="23232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323"/>
          <w:left w:val="nil"/>
        </w:tcBorders>
      </w:tcPr>
    </w:tblStylePr>
    <w:tblStylePr w:type="swCell">
      <w:tblPr/>
      <w:tcPr>
        <w:tcBorders>
          <w:top w:val="double" w:sz="4" w:space="0" w:color="232323"/>
          <w:right w:val="nil"/>
        </w:tcBorders>
      </w:tcPr>
    </w:tblStylePr>
  </w:style>
  <w:style w:type="table" w:customStyle="1" w:styleId="Loetelutabel3rhk14">
    <w:name w:val="Loetelutabel 3 – rõhk 14"/>
    <w:basedOn w:val="TableNormal"/>
    <w:next w:val="ListTable3-Accent1"/>
    <w:uiPriority w:val="48"/>
    <w:rsid w:val="008E60A9"/>
    <w:pPr>
      <w:spacing w:after="0" w:line="240" w:lineRule="auto"/>
    </w:pPr>
    <w:tblPr>
      <w:tblStyleRowBandSize w:val="1"/>
      <w:tblStyleColBandSize w:val="1"/>
      <w:tblBorders>
        <w:top w:val="single" w:sz="4" w:space="0" w:color="232323"/>
        <w:left w:val="single" w:sz="4" w:space="0" w:color="232323"/>
        <w:bottom w:val="single" w:sz="4" w:space="0" w:color="232323"/>
        <w:right w:val="single" w:sz="4" w:space="0" w:color="232323"/>
      </w:tblBorders>
      <w:tblCellMar>
        <w:top w:w="57" w:type="dxa"/>
        <w:bottom w:w="57" w:type="dxa"/>
      </w:tblCellMar>
    </w:tblPr>
    <w:tblStylePr w:type="firstRow">
      <w:rPr>
        <w:b/>
        <w:bCs/>
        <w:color w:val="FEFEFE"/>
      </w:rPr>
      <w:tblPr/>
      <w:tcPr>
        <w:shd w:val="clear" w:color="auto" w:fill="232323"/>
      </w:tcPr>
    </w:tblStylePr>
    <w:tblStylePr w:type="lastRow">
      <w:rPr>
        <w:b/>
        <w:bCs/>
      </w:rPr>
      <w:tblPr/>
      <w:tcPr>
        <w:tcBorders>
          <w:top w:val="double" w:sz="4" w:space="0" w:color="232323"/>
        </w:tcBorders>
        <w:shd w:val="clear" w:color="auto" w:fill="FEFEFE"/>
      </w:tcPr>
    </w:tblStylePr>
    <w:tblStylePr w:type="firstCol">
      <w:rPr>
        <w:b/>
        <w:bCs/>
      </w:rPr>
      <w:tblPr/>
      <w:tcPr>
        <w:tcBorders>
          <w:right w:val="nil"/>
        </w:tcBorders>
        <w:shd w:val="clear" w:color="auto" w:fill="FEFEFE"/>
      </w:tcPr>
    </w:tblStylePr>
    <w:tblStylePr w:type="lastCol">
      <w:rPr>
        <w:b/>
        <w:bCs/>
      </w:rPr>
      <w:tblPr/>
      <w:tcPr>
        <w:tcBorders>
          <w:left w:val="nil"/>
        </w:tcBorders>
        <w:shd w:val="clear" w:color="auto" w:fill="FEFEFE"/>
      </w:tcPr>
    </w:tblStylePr>
    <w:tblStylePr w:type="band1Vert">
      <w:tblPr/>
      <w:tcPr>
        <w:tcBorders>
          <w:left w:val="single" w:sz="4" w:space="0" w:color="232323"/>
          <w:right w:val="single" w:sz="4" w:space="0" w:color="232323"/>
        </w:tcBorders>
      </w:tcPr>
    </w:tblStylePr>
    <w:tblStylePr w:type="band1Horz">
      <w:tblPr/>
      <w:tcPr>
        <w:tcBorders>
          <w:top w:val="single" w:sz="4" w:space="0" w:color="232323"/>
          <w:bottom w:val="single" w:sz="4" w:space="0" w:color="23232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323"/>
          <w:left w:val="nil"/>
        </w:tcBorders>
      </w:tcPr>
    </w:tblStylePr>
    <w:tblStylePr w:type="swCell">
      <w:tblPr/>
      <w:tcPr>
        <w:tcBorders>
          <w:top w:val="double" w:sz="4" w:space="0" w:color="232323"/>
          <w:right w:val="nil"/>
        </w:tcBorders>
      </w:tcPr>
    </w:tblStylePr>
  </w:style>
  <w:style w:type="table" w:customStyle="1" w:styleId="Loetelutabel3rhk15">
    <w:name w:val="Loetelutabel 3 – rõhk 15"/>
    <w:basedOn w:val="TableNormal"/>
    <w:next w:val="ListTable3-Accent1"/>
    <w:uiPriority w:val="48"/>
    <w:rsid w:val="00FD6D76"/>
    <w:pPr>
      <w:spacing w:after="0" w:line="240" w:lineRule="auto"/>
    </w:pPr>
    <w:tblPr>
      <w:tblStyleRowBandSize w:val="1"/>
      <w:tblStyleColBandSize w:val="1"/>
      <w:tblBorders>
        <w:top w:val="single" w:sz="4" w:space="0" w:color="232323"/>
        <w:left w:val="single" w:sz="4" w:space="0" w:color="232323"/>
        <w:bottom w:val="single" w:sz="4" w:space="0" w:color="232323"/>
        <w:right w:val="single" w:sz="4" w:space="0" w:color="232323"/>
      </w:tblBorders>
      <w:tblCellMar>
        <w:top w:w="57" w:type="dxa"/>
        <w:bottom w:w="57" w:type="dxa"/>
      </w:tblCellMar>
    </w:tblPr>
    <w:tblStylePr w:type="firstRow">
      <w:rPr>
        <w:b/>
        <w:bCs/>
        <w:color w:val="FEFEFE"/>
      </w:rPr>
      <w:tblPr/>
      <w:tcPr>
        <w:shd w:val="clear" w:color="auto" w:fill="232323"/>
      </w:tcPr>
    </w:tblStylePr>
    <w:tblStylePr w:type="lastRow">
      <w:rPr>
        <w:b/>
        <w:bCs/>
      </w:rPr>
      <w:tblPr/>
      <w:tcPr>
        <w:tcBorders>
          <w:top w:val="double" w:sz="4" w:space="0" w:color="232323"/>
        </w:tcBorders>
        <w:shd w:val="clear" w:color="auto" w:fill="FEFEFE"/>
      </w:tcPr>
    </w:tblStylePr>
    <w:tblStylePr w:type="firstCol">
      <w:rPr>
        <w:b/>
        <w:bCs/>
      </w:rPr>
      <w:tblPr/>
      <w:tcPr>
        <w:tcBorders>
          <w:right w:val="nil"/>
        </w:tcBorders>
        <w:shd w:val="clear" w:color="auto" w:fill="FEFEFE"/>
      </w:tcPr>
    </w:tblStylePr>
    <w:tblStylePr w:type="lastCol">
      <w:rPr>
        <w:b/>
        <w:bCs/>
      </w:rPr>
      <w:tblPr/>
      <w:tcPr>
        <w:tcBorders>
          <w:left w:val="nil"/>
        </w:tcBorders>
        <w:shd w:val="clear" w:color="auto" w:fill="FEFEFE"/>
      </w:tcPr>
    </w:tblStylePr>
    <w:tblStylePr w:type="band1Vert">
      <w:tblPr/>
      <w:tcPr>
        <w:tcBorders>
          <w:left w:val="single" w:sz="4" w:space="0" w:color="232323"/>
          <w:right w:val="single" w:sz="4" w:space="0" w:color="232323"/>
        </w:tcBorders>
      </w:tcPr>
    </w:tblStylePr>
    <w:tblStylePr w:type="band1Horz">
      <w:tblPr/>
      <w:tcPr>
        <w:tcBorders>
          <w:top w:val="single" w:sz="4" w:space="0" w:color="232323"/>
          <w:bottom w:val="single" w:sz="4" w:space="0" w:color="23232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323"/>
          <w:left w:val="nil"/>
        </w:tcBorders>
      </w:tcPr>
    </w:tblStylePr>
    <w:tblStylePr w:type="swCell">
      <w:tblPr/>
      <w:tcPr>
        <w:tcBorders>
          <w:top w:val="double" w:sz="4" w:space="0" w:color="232323"/>
          <w:right w:val="nil"/>
        </w:tcBorders>
      </w:tcPr>
    </w:tblStylePr>
  </w:style>
  <w:style w:type="character" w:customStyle="1" w:styleId="Hyperlink1">
    <w:name w:val="Hyperlink1"/>
    <w:basedOn w:val="DefaultParagraphFont"/>
    <w:uiPriority w:val="99"/>
    <w:rsid w:val="00864E92"/>
    <w:rPr>
      <w:color w:val="82009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0455">
      <w:bodyDiv w:val="1"/>
      <w:marLeft w:val="0"/>
      <w:marRight w:val="0"/>
      <w:marTop w:val="0"/>
      <w:marBottom w:val="0"/>
      <w:divBdr>
        <w:top w:val="none" w:sz="0" w:space="0" w:color="auto"/>
        <w:left w:val="none" w:sz="0" w:space="0" w:color="auto"/>
        <w:bottom w:val="none" w:sz="0" w:space="0" w:color="auto"/>
        <w:right w:val="none" w:sz="0" w:space="0" w:color="auto"/>
      </w:divBdr>
      <w:divsChild>
        <w:div w:id="803620532">
          <w:marLeft w:val="0"/>
          <w:marRight w:val="0"/>
          <w:marTop w:val="0"/>
          <w:marBottom w:val="0"/>
          <w:divBdr>
            <w:top w:val="none" w:sz="0" w:space="0" w:color="auto"/>
            <w:left w:val="none" w:sz="0" w:space="0" w:color="auto"/>
            <w:bottom w:val="none" w:sz="0" w:space="0" w:color="auto"/>
            <w:right w:val="none" w:sz="0" w:space="0" w:color="auto"/>
          </w:divBdr>
          <w:divsChild>
            <w:div w:id="798304383">
              <w:marLeft w:val="0"/>
              <w:marRight w:val="0"/>
              <w:marTop w:val="0"/>
              <w:marBottom w:val="0"/>
              <w:divBdr>
                <w:top w:val="none" w:sz="0" w:space="0" w:color="auto"/>
                <w:left w:val="none" w:sz="0" w:space="0" w:color="auto"/>
                <w:bottom w:val="none" w:sz="0" w:space="0" w:color="auto"/>
                <w:right w:val="none" w:sz="0" w:space="0" w:color="auto"/>
              </w:divBdr>
              <w:divsChild>
                <w:div w:id="700933201">
                  <w:marLeft w:val="0"/>
                  <w:marRight w:val="0"/>
                  <w:marTop w:val="0"/>
                  <w:marBottom w:val="0"/>
                  <w:divBdr>
                    <w:top w:val="none" w:sz="0" w:space="0" w:color="auto"/>
                    <w:left w:val="none" w:sz="0" w:space="0" w:color="auto"/>
                    <w:bottom w:val="none" w:sz="0" w:space="0" w:color="auto"/>
                    <w:right w:val="none" w:sz="0" w:space="0" w:color="auto"/>
                  </w:divBdr>
                  <w:divsChild>
                    <w:div w:id="1680427354">
                      <w:marLeft w:val="0"/>
                      <w:marRight w:val="0"/>
                      <w:marTop w:val="0"/>
                      <w:marBottom w:val="0"/>
                      <w:divBdr>
                        <w:top w:val="none" w:sz="0" w:space="0" w:color="auto"/>
                        <w:left w:val="none" w:sz="0" w:space="0" w:color="auto"/>
                        <w:bottom w:val="none" w:sz="0" w:space="0" w:color="auto"/>
                        <w:right w:val="none" w:sz="0" w:space="0" w:color="auto"/>
                      </w:divBdr>
                      <w:divsChild>
                        <w:div w:id="628822947">
                          <w:marLeft w:val="0"/>
                          <w:marRight w:val="0"/>
                          <w:marTop w:val="0"/>
                          <w:marBottom w:val="0"/>
                          <w:divBdr>
                            <w:top w:val="none" w:sz="0" w:space="0" w:color="auto"/>
                            <w:left w:val="none" w:sz="0" w:space="0" w:color="auto"/>
                            <w:bottom w:val="none" w:sz="0" w:space="0" w:color="auto"/>
                            <w:right w:val="none" w:sz="0" w:space="0" w:color="auto"/>
                          </w:divBdr>
                          <w:divsChild>
                            <w:div w:id="13357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22040">
      <w:bodyDiv w:val="1"/>
      <w:marLeft w:val="0"/>
      <w:marRight w:val="0"/>
      <w:marTop w:val="0"/>
      <w:marBottom w:val="0"/>
      <w:divBdr>
        <w:top w:val="none" w:sz="0" w:space="0" w:color="auto"/>
        <w:left w:val="none" w:sz="0" w:space="0" w:color="auto"/>
        <w:bottom w:val="none" w:sz="0" w:space="0" w:color="auto"/>
        <w:right w:val="none" w:sz="0" w:space="0" w:color="auto"/>
      </w:divBdr>
    </w:div>
    <w:div w:id="50271131">
      <w:bodyDiv w:val="1"/>
      <w:marLeft w:val="0"/>
      <w:marRight w:val="0"/>
      <w:marTop w:val="0"/>
      <w:marBottom w:val="0"/>
      <w:divBdr>
        <w:top w:val="none" w:sz="0" w:space="0" w:color="auto"/>
        <w:left w:val="none" w:sz="0" w:space="0" w:color="auto"/>
        <w:bottom w:val="none" w:sz="0" w:space="0" w:color="auto"/>
        <w:right w:val="none" w:sz="0" w:space="0" w:color="auto"/>
      </w:divBdr>
    </w:div>
    <w:div w:id="60447391">
      <w:bodyDiv w:val="1"/>
      <w:marLeft w:val="0"/>
      <w:marRight w:val="0"/>
      <w:marTop w:val="0"/>
      <w:marBottom w:val="0"/>
      <w:divBdr>
        <w:top w:val="none" w:sz="0" w:space="0" w:color="auto"/>
        <w:left w:val="none" w:sz="0" w:space="0" w:color="auto"/>
        <w:bottom w:val="none" w:sz="0" w:space="0" w:color="auto"/>
        <w:right w:val="none" w:sz="0" w:space="0" w:color="auto"/>
      </w:divBdr>
    </w:div>
    <w:div w:id="64495930">
      <w:bodyDiv w:val="1"/>
      <w:marLeft w:val="0"/>
      <w:marRight w:val="0"/>
      <w:marTop w:val="0"/>
      <w:marBottom w:val="0"/>
      <w:divBdr>
        <w:top w:val="none" w:sz="0" w:space="0" w:color="auto"/>
        <w:left w:val="none" w:sz="0" w:space="0" w:color="auto"/>
        <w:bottom w:val="none" w:sz="0" w:space="0" w:color="auto"/>
        <w:right w:val="none" w:sz="0" w:space="0" w:color="auto"/>
      </w:divBdr>
    </w:div>
    <w:div w:id="82721991">
      <w:bodyDiv w:val="1"/>
      <w:marLeft w:val="0"/>
      <w:marRight w:val="0"/>
      <w:marTop w:val="0"/>
      <w:marBottom w:val="0"/>
      <w:divBdr>
        <w:top w:val="none" w:sz="0" w:space="0" w:color="auto"/>
        <w:left w:val="none" w:sz="0" w:space="0" w:color="auto"/>
        <w:bottom w:val="none" w:sz="0" w:space="0" w:color="auto"/>
        <w:right w:val="none" w:sz="0" w:space="0" w:color="auto"/>
      </w:divBdr>
    </w:div>
    <w:div w:id="115030939">
      <w:bodyDiv w:val="1"/>
      <w:marLeft w:val="0"/>
      <w:marRight w:val="0"/>
      <w:marTop w:val="0"/>
      <w:marBottom w:val="0"/>
      <w:divBdr>
        <w:top w:val="none" w:sz="0" w:space="0" w:color="auto"/>
        <w:left w:val="none" w:sz="0" w:space="0" w:color="auto"/>
        <w:bottom w:val="none" w:sz="0" w:space="0" w:color="auto"/>
        <w:right w:val="none" w:sz="0" w:space="0" w:color="auto"/>
      </w:divBdr>
    </w:div>
    <w:div w:id="139345573">
      <w:bodyDiv w:val="1"/>
      <w:marLeft w:val="0"/>
      <w:marRight w:val="0"/>
      <w:marTop w:val="0"/>
      <w:marBottom w:val="0"/>
      <w:divBdr>
        <w:top w:val="none" w:sz="0" w:space="0" w:color="auto"/>
        <w:left w:val="none" w:sz="0" w:space="0" w:color="auto"/>
        <w:bottom w:val="none" w:sz="0" w:space="0" w:color="auto"/>
        <w:right w:val="none" w:sz="0" w:space="0" w:color="auto"/>
      </w:divBdr>
    </w:div>
    <w:div w:id="142896438">
      <w:bodyDiv w:val="1"/>
      <w:marLeft w:val="0"/>
      <w:marRight w:val="0"/>
      <w:marTop w:val="0"/>
      <w:marBottom w:val="0"/>
      <w:divBdr>
        <w:top w:val="none" w:sz="0" w:space="0" w:color="auto"/>
        <w:left w:val="none" w:sz="0" w:space="0" w:color="auto"/>
        <w:bottom w:val="none" w:sz="0" w:space="0" w:color="auto"/>
        <w:right w:val="none" w:sz="0" w:space="0" w:color="auto"/>
      </w:divBdr>
    </w:div>
    <w:div w:id="176308407">
      <w:bodyDiv w:val="1"/>
      <w:marLeft w:val="0"/>
      <w:marRight w:val="0"/>
      <w:marTop w:val="0"/>
      <w:marBottom w:val="0"/>
      <w:divBdr>
        <w:top w:val="none" w:sz="0" w:space="0" w:color="auto"/>
        <w:left w:val="none" w:sz="0" w:space="0" w:color="auto"/>
        <w:bottom w:val="none" w:sz="0" w:space="0" w:color="auto"/>
        <w:right w:val="none" w:sz="0" w:space="0" w:color="auto"/>
      </w:divBdr>
    </w:div>
    <w:div w:id="178206361">
      <w:bodyDiv w:val="1"/>
      <w:marLeft w:val="0"/>
      <w:marRight w:val="0"/>
      <w:marTop w:val="0"/>
      <w:marBottom w:val="0"/>
      <w:divBdr>
        <w:top w:val="none" w:sz="0" w:space="0" w:color="auto"/>
        <w:left w:val="none" w:sz="0" w:space="0" w:color="auto"/>
        <w:bottom w:val="none" w:sz="0" w:space="0" w:color="auto"/>
        <w:right w:val="none" w:sz="0" w:space="0" w:color="auto"/>
      </w:divBdr>
    </w:div>
    <w:div w:id="197084170">
      <w:bodyDiv w:val="1"/>
      <w:marLeft w:val="0"/>
      <w:marRight w:val="0"/>
      <w:marTop w:val="0"/>
      <w:marBottom w:val="0"/>
      <w:divBdr>
        <w:top w:val="none" w:sz="0" w:space="0" w:color="auto"/>
        <w:left w:val="none" w:sz="0" w:space="0" w:color="auto"/>
        <w:bottom w:val="none" w:sz="0" w:space="0" w:color="auto"/>
        <w:right w:val="none" w:sz="0" w:space="0" w:color="auto"/>
      </w:divBdr>
    </w:div>
    <w:div w:id="218594801">
      <w:bodyDiv w:val="1"/>
      <w:marLeft w:val="0"/>
      <w:marRight w:val="0"/>
      <w:marTop w:val="0"/>
      <w:marBottom w:val="0"/>
      <w:divBdr>
        <w:top w:val="none" w:sz="0" w:space="0" w:color="auto"/>
        <w:left w:val="none" w:sz="0" w:space="0" w:color="auto"/>
        <w:bottom w:val="none" w:sz="0" w:space="0" w:color="auto"/>
        <w:right w:val="none" w:sz="0" w:space="0" w:color="auto"/>
      </w:divBdr>
    </w:div>
    <w:div w:id="241067783">
      <w:bodyDiv w:val="1"/>
      <w:marLeft w:val="0"/>
      <w:marRight w:val="0"/>
      <w:marTop w:val="0"/>
      <w:marBottom w:val="0"/>
      <w:divBdr>
        <w:top w:val="none" w:sz="0" w:space="0" w:color="auto"/>
        <w:left w:val="none" w:sz="0" w:space="0" w:color="auto"/>
        <w:bottom w:val="none" w:sz="0" w:space="0" w:color="auto"/>
        <w:right w:val="none" w:sz="0" w:space="0" w:color="auto"/>
      </w:divBdr>
    </w:div>
    <w:div w:id="252279420">
      <w:bodyDiv w:val="1"/>
      <w:marLeft w:val="0"/>
      <w:marRight w:val="0"/>
      <w:marTop w:val="0"/>
      <w:marBottom w:val="0"/>
      <w:divBdr>
        <w:top w:val="none" w:sz="0" w:space="0" w:color="auto"/>
        <w:left w:val="none" w:sz="0" w:space="0" w:color="auto"/>
        <w:bottom w:val="none" w:sz="0" w:space="0" w:color="auto"/>
        <w:right w:val="none" w:sz="0" w:space="0" w:color="auto"/>
      </w:divBdr>
    </w:div>
    <w:div w:id="257099027">
      <w:bodyDiv w:val="1"/>
      <w:marLeft w:val="0"/>
      <w:marRight w:val="0"/>
      <w:marTop w:val="0"/>
      <w:marBottom w:val="0"/>
      <w:divBdr>
        <w:top w:val="none" w:sz="0" w:space="0" w:color="auto"/>
        <w:left w:val="none" w:sz="0" w:space="0" w:color="auto"/>
        <w:bottom w:val="none" w:sz="0" w:space="0" w:color="auto"/>
        <w:right w:val="none" w:sz="0" w:space="0" w:color="auto"/>
      </w:divBdr>
    </w:div>
    <w:div w:id="279801413">
      <w:bodyDiv w:val="1"/>
      <w:marLeft w:val="0"/>
      <w:marRight w:val="0"/>
      <w:marTop w:val="0"/>
      <w:marBottom w:val="0"/>
      <w:divBdr>
        <w:top w:val="none" w:sz="0" w:space="0" w:color="auto"/>
        <w:left w:val="none" w:sz="0" w:space="0" w:color="auto"/>
        <w:bottom w:val="none" w:sz="0" w:space="0" w:color="auto"/>
        <w:right w:val="none" w:sz="0" w:space="0" w:color="auto"/>
      </w:divBdr>
    </w:div>
    <w:div w:id="281882595">
      <w:bodyDiv w:val="1"/>
      <w:marLeft w:val="0"/>
      <w:marRight w:val="0"/>
      <w:marTop w:val="0"/>
      <w:marBottom w:val="0"/>
      <w:divBdr>
        <w:top w:val="none" w:sz="0" w:space="0" w:color="auto"/>
        <w:left w:val="none" w:sz="0" w:space="0" w:color="auto"/>
        <w:bottom w:val="none" w:sz="0" w:space="0" w:color="auto"/>
        <w:right w:val="none" w:sz="0" w:space="0" w:color="auto"/>
      </w:divBdr>
    </w:div>
    <w:div w:id="292104319">
      <w:bodyDiv w:val="1"/>
      <w:marLeft w:val="0"/>
      <w:marRight w:val="0"/>
      <w:marTop w:val="0"/>
      <w:marBottom w:val="0"/>
      <w:divBdr>
        <w:top w:val="none" w:sz="0" w:space="0" w:color="auto"/>
        <w:left w:val="none" w:sz="0" w:space="0" w:color="auto"/>
        <w:bottom w:val="none" w:sz="0" w:space="0" w:color="auto"/>
        <w:right w:val="none" w:sz="0" w:space="0" w:color="auto"/>
      </w:divBdr>
      <w:divsChild>
        <w:div w:id="306788259">
          <w:marLeft w:val="0"/>
          <w:marRight w:val="0"/>
          <w:marTop w:val="0"/>
          <w:marBottom w:val="0"/>
          <w:divBdr>
            <w:top w:val="none" w:sz="0" w:space="0" w:color="auto"/>
            <w:left w:val="none" w:sz="0" w:space="0" w:color="auto"/>
            <w:bottom w:val="none" w:sz="0" w:space="0" w:color="auto"/>
            <w:right w:val="none" w:sz="0" w:space="0" w:color="auto"/>
          </w:divBdr>
          <w:divsChild>
            <w:div w:id="1495492776">
              <w:marLeft w:val="0"/>
              <w:marRight w:val="0"/>
              <w:marTop w:val="0"/>
              <w:marBottom w:val="0"/>
              <w:divBdr>
                <w:top w:val="none" w:sz="0" w:space="0" w:color="auto"/>
                <w:left w:val="none" w:sz="0" w:space="0" w:color="auto"/>
                <w:bottom w:val="none" w:sz="0" w:space="0" w:color="auto"/>
                <w:right w:val="none" w:sz="0" w:space="0" w:color="auto"/>
              </w:divBdr>
              <w:divsChild>
                <w:div w:id="2132353929">
                  <w:marLeft w:val="0"/>
                  <w:marRight w:val="0"/>
                  <w:marTop w:val="0"/>
                  <w:marBottom w:val="0"/>
                  <w:divBdr>
                    <w:top w:val="none" w:sz="0" w:space="0" w:color="auto"/>
                    <w:left w:val="none" w:sz="0" w:space="0" w:color="auto"/>
                    <w:bottom w:val="none" w:sz="0" w:space="0" w:color="auto"/>
                    <w:right w:val="none" w:sz="0" w:space="0" w:color="auto"/>
                  </w:divBdr>
                  <w:divsChild>
                    <w:div w:id="44407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017038">
      <w:bodyDiv w:val="1"/>
      <w:marLeft w:val="0"/>
      <w:marRight w:val="0"/>
      <w:marTop w:val="0"/>
      <w:marBottom w:val="0"/>
      <w:divBdr>
        <w:top w:val="none" w:sz="0" w:space="0" w:color="auto"/>
        <w:left w:val="none" w:sz="0" w:space="0" w:color="auto"/>
        <w:bottom w:val="none" w:sz="0" w:space="0" w:color="auto"/>
        <w:right w:val="none" w:sz="0" w:space="0" w:color="auto"/>
      </w:divBdr>
      <w:divsChild>
        <w:div w:id="1249921323">
          <w:marLeft w:val="0"/>
          <w:marRight w:val="0"/>
          <w:marTop w:val="0"/>
          <w:marBottom w:val="0"/>
          <w:divBdr>
            <w:top w:val="none" w:sz="0" w:space="0" w:color="auto"/>
            <w:left w:val="none" w:sz="0" w:space="0" w:color="auto"/>
            <w:bottom w:val="none" w:sz="0" w:space="0" w:color="auto"/>
            <w:right w:val="none" w:sz="0" w:space="0" w:color="auto"/>
          </w:divBdr>
          <w:divsChild>
            <w:div w:id="1851485227">
              <w:marLeft w:val="0"/>
              <w:marRight w:val="0"/>
              <w:marTop w:val="0"/>
              <w:marBottom w:val="0"/>
              <w:divBdr>
                <w:top w:val="none" w:sz="0" w:space="0" w:color="auto"/>
                <w:left w:val="none" w:sz="0" w:space="0" w:color="auto"/>
                <w:bottom w:val="none" w:sz="0" w:space="0" w:color="auto"/>
                <w:right w:val="none" w:sz="0" w:space="0" w:color="auto"/>
              </w:divBdr>
              <w:divsChild>
                <w:div w:id="1680305533">
                  <w:marLeft w:val="0"/>
                  <w:marRight w:val="0"/>
                  <w:marTop w:val="0"/>
                  <w:marBottom w:val="0"/>
                  <w:divBdr>
                    <w:top w:val="none" w:sz="0" w:space="0" w:color="auto"/>
                    <w:left w:val="none" w:sz="0" w:space="0" w:color="auto"/>
                    <w:bottom w:val="none" w:sz="0" w:space="0" w:color="auto"/>
                    <w:right w:val="none" w:sz="0" w:space="0" w:color="auto"/>
                  </w:divBdr>
                  <w:divsChild>
                    <w:div w:id="137180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366599">
      <w:bodyDiv w:val="1"/>
      <w:marLeft w:val="0"/>
      <w:marRight w:val="0"/>
      <w:marTop w:val="0"/>
      <w:marBottom w:val="0"/>
      <w:divBdr>
        <w:top w:val="none" w:sz="0" w:space="0" w:color="auto"/>
        <w:left w:val="none" w:sz="0" w:space="0" w:color="auto"/>
        <w:bottom w:val="none" w:sz="0" w:space="0" w:color="auto"/>
        <w:right w:val="none" w:sz="0" w:space="0" w:color="auto"/>
      </w:divBdr>
    </w:div>
    <w:div w:id="371417871">
      <w:bodyDiv w:val="1"/>
      <w:marLeft w:val="0"/>
      <w:marRight w:val="0"/>
      <w:marTop w:val="0"/>
      <w:marBottom w:val="0"/>
      <w:divBdr>
        <w:top w:val="none" w:sz="0" w:space="0" w:color="auto"/>
        <w:left w:val="none" w:sz="0" w:space="0" w:color="auto"/>
        <w:bottom w:val="none" w:sz="0" w:space="0" w:color="auto"/>
        <w:right w:val="none" w:sz="0" w:space="0" w:color="auto"/>
      </w:divBdr>
    </w:div>
    <w:div w:id="393814187">
      <w:bodyDiv w:val="1"/>
      <w:marLeft w:val="0"/>
      <w:marRight w:val="0"/>
      <w:marTop w:val="0"/>
      <w:marBottom w:val="0"/>
      <w:divBdr>
        <w:top w:val="none" w:sz="0" w:space="0" w:color="auto"/>
        <w:left w:val="none" w:sz="0" w:space="0" w:color="auto"/>
        <w:bottom w:val="none" w:sz="0" w:space="0" w:color="auto"/>
        <w:right w:val="none" w:sz="0" w:space="0" w:color="auto"/>
      </w:divBdr>
    </w:div>
    <w:div w:id="394547956">
      <w:bodyDiv w:val="1"/>
      <w:marLeft w:val="0"/>
      <w:marRight w:val="0"/>
      <w:marTop w:val="0"/>
      <w:marBottom w:val="0"/>
      <w:divBdr>
        <w:top w:val="none" w:sz="0" w:space="0" w:color="auto"/>
        <w:left w:val="none" w:sz="0" w:space="0" w:color="auto"/>
        <w:bottom w:val="none" w:sz="0" w:space="0" w:color="auto"/>
        <w:right w:val="none" w:sz="0" w:space="0" w:color="auto"/>
      </w:divBdr>
    </w:div>
    <w:div w:id="401948039">
      <w:bodyDiv w:val="1"/>
      <w:marLeft w:val="0"/>
      <w:marRight w:val="0"/>
      <w:marTop w:val="0"/>
      <w:marBottom w:val="0"/>
      <w:divBdr>
        <w:top w:val="none" w:sz="0" w:space="0" w:color="auto"/>
        <w:left w:val="none" w:sz="0" w:space="0" w:color="auto"/>
        <w:bottom w:val="none" w:sz="0" w:space="0" w:color="auto"/>
        <w:right w:val="none" w:sz="0" w:space="0" w:color="auto"/>
      </w:divBdr>
    </w:div>
    <w:div w:id="406078843">
      <w:bodyDiv w:val="1"/>
      <w:marLeft w:val="0"/>
      <w:marRight w:val="0"/>
      <w:marTop w:val="0"/>
      <w:marBottom w:val="0"/>
      <w:divBdr>
        <w:top w:val="none" w:sz="0" w:space="0" w:color="auto"/>
        <w:left w:val="none" w:sz="0" w:space="0" w:color="auto"/>
        <w:bottom w:val="none" w:sz="0" w:space="0" w:color="auto"/>
        <w:right w:val="none" w:sz="0" w:space="0" w:color="auto"/>
      </w:divBdr>
    </w:div>
    <w:div w:id="408386420">
      <w:bodyDiv w:val="1"/>
      <w:marLeft w:val="0"/>
      <w:marRight w:val="0"/>
      <w:marTop w:val="0"/>
      <w:marBottom w:val="0"/>
      <w:divBdr>
        <w:top w:val="none" w:sz="0" w:space="0" w:color="auto"/>
        <w:left w:val="none" w:sz="0" w:space="0" w:color="auto"/>
        <w:bottom w:val="none" w:sz="0" w:space="0" w:color="auto"/>
        <w:right w:val="none" w:sz="0" w:space="0" w:color="auto"/>
      </w:divBdr>
    </w:div>
    <w:div w:id="418335777">
      <w:bodyDiv w:val="1"/>
      <w:marLeft w:val="0"/>
      <w:marRight w:val="0"/>
      <w:marTop w:val="0"/>
      <w:marBottom w:val="0"/>
      <w:divBdr>
        <w:top w:val="none" w:sz="0" w:space="0" w:color="auto"/>
        <w:left w:val="none" w:sz="0" w:space="0" w:color="auto"/>
        <w:bottom w:val="none" w:sz="0" w:space="0" w:color="auto"/>
        <w:right w:val="none" w:sz="0" w:space="0" w:color="auto"/>
      </w:divBdr>
    </w:div>
    <w:div w:id="425543213">
      <w:bodyDiv w:val="1"/>
      <w:marLeft w:val="0"/>
      <w:marRight w:val="0"/>
      <w:marTop w:val="0"/>
      <w:marBottom w:val="0"/>
      <w:divBdr>
        <w:top w:val="none" w:sz="0" w:space="0" w:color="auto"/>
        <w:left w:val="none" w:sz="0" w:space="0" w:color="auto"/>
        <w:bottom w:val="none" w:sz="0" w:space="0" w:color="auto"/>
        <w:right w:val="none" w:sz="0" w:space="0" w:color="auto"/>
      </w:divBdr>
    </w:div>
    <w:div w:id="448209301">
      <w:bodyDiv w:val="1"/>
      <w:marLeft w:val="0"/>
      <w:marRight w:val="0"/>
      <w:marTop w:val="0"/>
      <w:marBottom w:val="0"/>
      <w:divBdr>
        <w:top w:val="none" w:sz="0" w:space="0" w:color="auto"/>
        <w:left w:val="none" w:sz="0" w:space="0" w:color="auto"/>
        <w:bottom w:val="none" w:sz="0" w:space="0" w:color="auto"/>
        <w:right w:val="none" w:sz="0" w:space="0" w:color="auto"/>
      </w:divBdr>
    </w:div>
    <w:div w:id="481776027">
      <w:bodyDiv w:val="1"/>
      <w:marLeft w:val="0"/>
      <w:marRight w:val="0"/>
      <w:marTop w:val="0"/>
      <w:marBottom w:val="0"/>
      <w:divBdr>
        <w:top w:val="none" w:sz="0" w:space="0" w:color="auto"/>
        <w:left w:val="none" w:sz="0" w:space="0" w:color="auto"/>
        <w:bottom w:val="none" w:sz="0" w:space="0" w:color="auto"/>
        <w:right w:val="none" w:sz="0" w:space="0" w:color="auto"/>
      </w:divBdr>
    </w:div>
    <w:div w:id="487483243">
      <w:bodyDiv w:val="1"/>
      <w:marLeft w:val="0"/>
      <w:marRight w:val="0"/>
      <w:marTop w:val="0"/>
      <w:marBottom w:val="0"/>
      <w:divBdr>
        <w:top w:val="none" w:sz="0" w:space="0" w:color="auto"/>
        <w:left w:val="none" w:sz="0" w:space="0" w:color="auto"/>
        <w:bottom w:val="none" w:sz="0" w:space="0" w:color="auto"/>
        <w:right w:val="none" w:sz="0" w:space="0" w:color="auto"/>
      </w:divBdr>
    </w:div>
    <w:div w:id="523665364">
      <w:bodyDiv w:val="1"/>
      <w:marLeft w:val="0"/>
      <w:marRight w:val="0"/>
      <w:marTop w:val="0"/>
      <w:marBottom w:val="0"/>
      <w:divBdr>
        <w:top w:val="none" w:sz="0" w:space="0" w:color="auto"/>
        <w:left w:val="none" w:sz="0" w:space="0" w:color="auto"/>
        <w:bottom w:val="none" w:sz="0" w:space="0" w:color="auto"/>
        <w:right w:val="none" w:sz="0" w:space="0" w:color="auto"/>
      </w:divBdr>
    </w:div>
    <w:div w:id="526790810">
      <w:bodyDiv w:val="1"/>
      <w:marLeft w:val="0"/>
      <w:marRight w:val="0"/>
      <w:marTop w:val="0"/>
      <w:marBottom w:val="0"/>
      <w:divBdr>
        <w:top w:val="none" w:sz="0" w:space="0" w:color="auto"/>
        <w:left w:val="none" w:sz="0" w:space="0" w:color="auto"/>
        <w:bottom w:val="none" w:sz="0" w:space="0" w:color="auto"/>
        <w:right w:val="none" w:sz="0" w:space="0" w:color="auto"/>
      </w:divBdr>
    </w:div>
    <w:div w:id="548803389">
      <w:bodyDiv w:val="1"/>
      <w:marLeft w:val="0"/>
      <w:marRight w:val="0"/>
      <w:marTop w:val="0"/>
      <w:marBottom w:val="0"/>
      <w:divBdr>
        <w:top w:val="none" w:sz="0" w:space="0" w:color="auto"/>
        <w:left w:val="none" w:sz="0" w:space="0" w:color="auto"/>
        <w:bottom w:val="none" w:sz="0" w:space="0" w:color="auto"/>
        <w:right w:val="none" w:sz="0" w:space="0" w:color="auto"/>
      </w:divBdr>
    </w:div>
    <w:div w:id="549418561">
      <w:bodyDiv w:val="1"/>
      <w:marLeft w:val="0"/>
      <w:marRight w:val="0"/>
      <w:marTop w:val="0"/>
      <w:marBottom w:val="0"/>
      <w:divBdr>
        <w:top w:val="none" w:sz="0" w:space="0" w:color="auto"/>
        <w:left w:val="none" w:sz="0" w:space="0" w:color="auto"/>
        <w:bottom w:val="none" w:sz="0" w:space="0" w:color="auto"/>
        <w:right w:val="none" w:sz="0" w:space="0" w:color="auto"/>
      </w:divBdr>
    </w:div>
    <w:div w:id="550380571">
      <w:bodyDiv w:val="1"/>
      <w:marLeft w:val="0"/>
      <w:marRight w:val="0"/>
      <w:marTop w:val="0"/>
      <w:marBottom w:val="0"/>
      <w:divBdr>
        <w:top w:val="none" w:sz="0" w:space="0" w:color="auto"/>
        <w:left w:val="none" w:sz="0" w:space="0" w:color="auto"/>
        <w:bottom w:val="none" w:sz="0" w:space="0" w:color="auto"/>
        <w:right w:val="none" w:sz="0" w:space="0" w:color="auto"/>
      </w:divBdr>
    </w:div>
    <w:div w:id="551618366">
      <w:bodyDiv w:val="1"/>
      <w:marLeft w:val="0"/>
      <w:marRight w:val="0"/>
      <w:marTop w:val="0"/>
      <w:marBottom w:val="0"/>
      <w:divBdr>
        <w:top w:val="none" w:sz="0" w:space="0" w:color="auto"/>
        <w:left w:val="none" w:sz="0" w:space="0" w:color="auto"/>
        <w:bottom w:val="none" w:sz="0" w:space="0" w:color="auto"/>
        <w:right w:val="none" w:sz="0" w:space="0" w:color="auto"/>
      </w:divBdr>
    </w:div>
    <w:div w:id="557668259">
      <w:bodyDiv w:val="1"/>
      <w:marLeft w:val="0"/>
      <w:marRight w:val="0"/>
      <w:marTop w:val="0"/>
      <w:marBottom w:val="0"/>
      <w:divBdr>
        <w:top w:val="none" w:sz="0" w:space="0" w:color="auto"/>
        <w:left w:val="none" w:sz="0" w:space="0" w:color="auto"/>
        <w:bottom w:val="none" w:sz="0" w:space="0" w:color="auto"/>
        <w:right w:val="none" w:sz="0" w:space="0" w:color="auto"/>
      </w:divBdr>
    </w:div>
    <w:div w:id="584845508">
      <w:bodyDiv w:val="1"/>
      <w:marLeft w:val="0"/>
      <w:marRight w:val="0"/>
      <w:marTop w:val="0"/>
      <w:marBottom w:val="0"/>
      <w:divBdr>
        <w:top w:val="none" w:sz="0" w:space="0" w:color="auto"/>
        <w:left w:val="none" w:sz="0" w:space="0" w:color="auto"/>
        <w:bottom w:val="none" w:sz="0" w:space="0" w:color="auto"/>
        <w:right w:val="none" w:sz="0" w:space="0" w:color="auto"/>
      </w:divBdr>
    </w:div>
    <w:div w:id="589199391">
      <w:bodyDiv w:val="1"/>
      <w:marLeft w:val="0"/>
      <w:marRight w:val="0"/>
      <w:marTop w:val="0"/>
      <w:marBottom w:val="0"/>
      <w:divBdr>
        <w:top w:val="none" w:sz="0" w:space="0" w:color="auto"/>
        <w:left w:val="none" w:sz="0" w:space="0" w:color="auto"/>
        <w:bottom w:val="none" w:sz="0" w:space="0" w:color="auto"/>
        <w:right w:val="none" w:sz="0" w:space="0" w:color="auto"/>
      </w:divBdr>
    </w:div>
    <w:div w:id="601300417">
      <w:bodyDiv w:val="1"/>
      <w:marLeft w:val="0"/>
      <w:marRight w:val="0"/>
      <w:marTop w:val="0"/>
      <w:marBottom w:val="0"/>
      <w:divBdr>
        <w:top w:val="none" w:sz="0" w:space="0" w:color="auto"/>
        <w:left w:val="none" w:sz="0" w:space="0" w:color="auto"/>
        <w:bottom w:val="none" w:sz="0" w:space="0" w:color="auto"/>
        <w:right w:val="none" w:sz="0" w:space="0" w:color="auto"/>
      </w:divBdr>
    </w:div>
    <w:div w:id="606354437">
      <w:bodyDiv w:val="1"/>
      <w:marLeft w:val="0"/>
      <w:marRight w:val="0"/>
      <w:marTop w:val="0"/>
      <w:marBottom w:val="0"/>
      <w:divBdr>
        <w:top w:val="none" w:sz="0" w:space="0" w:color="auto"/>
        <w:left w:val="none" w:sz="0" w:space="0" w:color="auto"/>
        <w:bottom w:val="none" w:sz="0" w:space="0" w:color="auto"/>
        <w:right w:val="none" w:sz="0" w:space="0" w:color="auto"/>
      </w:divBdr>
      <w:divsChild>
        <w:div w:id="2076855859">
          <w:marLeft w:val="0"/>
          <w:marRight w:val="0"/>
          <w:marTop w:val="0"/>
          <w:marBottom w:val="0"/>
          <w:divBdr>
            <w:top w:val="none" w:sz="0" w:space="0" w:color="auto"/>
            <w:left w:val="none" w:sz="0" w:space="0" w:color="auto"/>
            <w:bottom w:val="none" w:sz="0" w:space="0" w:color="auto"/>
            <w:right w:val="none" w:sz="0" w:space="0" w:color="auto"/>
          </w:divBdr>
          <w:divsChild>
            <w:div w:id="1392272221">
              <w:marLeft w:val="0"/>
              <w:marRight w:val="0"/>
              <w:marTop w:val="0"/>
              <w:marBottom w:val="0"/>
              <w:divBdr>
                <w:top w:val="none" w:sz="0" w:space="0" w:color="auto"/>
                <w:left w:val="none" w:sz="0" w:space="0" w:color="auto"/>
                <w:bottom w:val="none" w:sz="0" w:space="0" w:color="auto"/>
                <w:right w:val="none" w:sz="0" w:space="0" w:color="auto"/>
              </w:divBdr>
              <w:divsChild>
                <w:div w:id="441998591">
                  <w:marLeft w:val="0"/>
                  <w:marRight w:val="0"/>
                  <w:marTop w:val="0"/>
                  <w:marBottom w:val="0"/>
                  <w:divBdr>
                    <w:top w:val="none" w:sz="0" w:space="0" w:color="auto"/>
                    <w:left w:val="none" w:sz="0" w:space="0" w:color="auto"/>
                    <w:bottom w:val="none" w:sz="0" w:space="0" w:color="auto"/>
                    <w:right w:val="none" w:sz="0" w:space="0" w:color="auto"/>
                  </w:divBdr>
                  <w:divsChild>
                    <w:div w:id="7808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514947">
      <w:bodyDiv w:val="1"/>
      <w:marLeft w:val="0"/>
      <w:marRight w:val="0"/>
      <w:marTop w:val="0"/>
      <w:marBottom w:val="0"/>
      <w:divBdr>
        <w:top w:val="none" w:sz="0" w:space="0" w:color="auto"/>
        <w:left w:val="none" w:sz="0" w:space="0" w:color="auto"/>
        <w:bottom w:val="none" w:sz="0" w:space="0" w:color="auto"/>
        <w:right w:val="none" w:sz="0" w:space="0" w:color="auto"/>
      </w:divBdr>
    </w:div>
    <w:div w:id="638806215">
      <w:bodyDiv w:val="1"/>
      <w:marLeft w:val="0"/>
      <w:marRight w:val="0"/>
      <w:marTop w:val="0"/>
      <w:marBottom w:val="0"/>
      <w:divBdr>
        <w:top w:val="none" w:sz="0" w:space="0" w:color="auto"/>
        <w:left w:val="none" w:sz="0" w:space="0" w:color="auto"/>
        <w:bottom w:val="none" w:sz="0" w:space="0" w:color="auto"/>
        <w:right w:val="none" w:sz="0" w:space="0" w:color="auto"/>
      </w:divBdr>
    </w:div>
    <w:div w:id="668099218">
      <w:bodyDiv w:val="1"/>
      <w:marLeft w:val="0"/>
      <w:marRight w:val="0"/>
      <w:marTop w:val="0"/>
      <w:marBottom w:val="0"/>
      <w:divBdr>
        <w:top w:val="none" w:sz="0" w:space="0" w:color="auto"/>
        <w:left w:val="none" w:sz="0" w:space="0" w:color="auto"/>
        <w:bottom w:val="none" w:sz="0" w:space="0" w:color="auto"/>
        <w:right w:val="none" w:sz="0" w:space="0" w:color="auto"/>
      </w:divBdr>
      <w:divsChild>
        <w:div w:id="291401733">
          <w:marLeft w:val="0"/>
          <w:marRight w:val="0"/>
          <w:marTop w:val="0"/>
          <w:marBottom w:val="0"/>
          <w:divBdr>
            <w:top w:val="none" w:sz="0" w:space="0" w:color="auto"/>
            <w:left w:val="none" w:sz="0" w:space="0" w:color="auto"/>
            <w:bottom w:val="none" w:sz="0" w:space="0" w:color="auto"/>
            <w:right w:val="none" w:sz="0" w:space="0" w:color="auto"/>
          </w:divBdr>
          <w:divsChild>
            <w:div w:id="1682585694">
              <w:marLeft w:val="0"/>
              <w:marRight w:val="0"/>
              <w:marTop w:val="0"/>
              <w:marBottom w:val="0"/>
              <w:divBdr>
                <w:top w:val="none" w:sz="0" w:space="0" w:color="auto"/>
                <w:left w:val="none" w:sz="0" w:space="0" w:color="auto"/>
                <w:bottom w:val="none" w:sz="0" w:space="0" w:color="auto"/>
                <w:right w:val="none" w:sz="0" w:space="0" w:color="auto"/>
              </w:divBdr>
              <w:divsChild>
                <w:div w:id="854196507">
                  <w:marLeft w:val="0"/>
                  <w:marRight w:val="0"/>
                  <w:marTop w:val="0"/>
                  <w:marBottom w:val="0"/>
                  <w:divBdr>
                    <w:top w:val="none" w:sz="0" w:space="0" w:color="auto"/>
                    <w:left w:val="none" w:sz="0" w:space="0" w:color="auto"/>
                    <w:bottom w:val="none" w:sz="0" w:space="0" w:color="auto"/>
                    <w:right w:val="none" w:sz="0" w:space="0" w:color="auto"/>
                  </w:divBdr>
                  <w:divsChild>
                    <w:div w:id="11648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176021">
      <w:bodyDiv w:val="1"/>
      <w:marLeft w:val="0"/>
      <w:marRight w:val="0"/>
      <w:marTop w:val="0"/>
      <w:marBottom w:val="0"/>
      <w:divBdr>
        <w:top w:val="none" w:sz="0" w:space="0" w:color="auto"/>
        <w:left w:val="none" w:sz="0" w:space="0" w:color="auto"/>
        <w:bottom w:val="none" w:sz="0" w:space="0" w:color="auto"/>
        <w:right w:val="none" w:sz="0" w:space="0" w:color="auto"/>
      </w:divBdr>
    </w:div>
    <w:div w:id="692027277">
      <w:bodyDiv w:val="1"/>
      <w:marLeft w:val="0"/>
      <w:marRight w:val="0"/>
      <w:marTop w:val="0"/>
      <w:marBottom w:val="0"/>
      <w:divBdr>
        <w:top w:val="none" w:sz="0" w:space="0" w:color="auto"/>
        <w:left w:val="none" w:sz="0" w:space="0" w:color="auto"/>
        <w:bottom w:val="none" w:sz="0" w:space="0" w:color="auto"/>
        <w:right w:val="none" w:sz="0" w:space="0" w:color="auto"/>
      </w:divBdr>
    </w:div>
    <w:div w:id="733703039">
      <w:bodyDiv w:val="1"/>
      <w:marLeft w:val="0"/>
      <w:marRight w:val="0"/>
      <w:marTop w:val="0"/>
      <w:marBottom w:val="0"/>
      <w:divBdr>
        <w:top w:val="none" w:sz="0" w:space="0" w:color="auto"/>
        <w:left w:val="none" w:sz="0" w:space="0" w:color="auto"/>
        <w:bottom w:val="none" w:sz="0" w:space="0" w:color="auto"/>
        <w:right w:val="none" w:sz="0" w:space="0" w:color="auto"/>
      </w:divBdr>
    </w:div>
    <w:div w:id="737440168">
      <w:bodyDiv w:val="1"/>
      <w:marLeft w:val="0"/>
      <w:marRight w:val="0"/>
      <w:marTop w:val="0"/>
      <w:marBottom w:val="0"/>
      <w:divBdr>
        <w:top w:val="none" w:sz="0" w:space="0" w:color="auto"/>
        <w:left w:val="none" w:sz="0" w:space="0" w:color="auto"/>
        <w:bottom w:val="none" w:sz="0" w:space="0" w:color="auto"/>
        <w:right w:val="none" w:sz="0" w:space="0" w:color="auto"/>
      </w:divBdr>
    </w:div>
    <w:div w:id="759835140">
      <w:bodyDiv w:val="1"/>
      <w:marLeft w:val="0"/>
      <w:marRight w:val="0"/>
      <w:marTop w:val="0"/>
      <w:marBottom w:val="0"/>
      <w:divBdr>
        <w:top w:val="none" w:sz="0" w:space="0" w:color="auto"/>
        <w:left w:val="none" w:sz="0" w:space="0" w:color="auto"/>
        <w:bottom w:val="none" w:sz="0" w:space="0" w:color="auto"/>
        <w:right w:val="none" w:sz="0" w:space="0" w:color="auto"/>
      </w:divBdr>
    </w:div>
    <w:div w:id="776368107">
      <w:bodyDiv w:val="1"/>
      <w:marLeft w:val="0"/>
      <w:marRight w:val="0"/>
      <w:marTop w:val="0"/>
      <w:marBottom w:val="0"/>
      <w:divBdr>
        <w:top w:val="none" w:sz="0" w:space="0" w:color="auto"/>
        <w:left w:val="none" w:sz="0" w:space="0" w:color="auto"/>
        <w:bottom w:val="none" w:sz="0" w:space="0" w:color="auto"/>
        <w:right w:val="none" w:sz="0" w:space="0" w:color="auto"/>
      </w:divBdr>
    </w:div>
    <w:div w:id="801456729">
      <w:bodyDiv w:val="1"/>
      <w:marLeft w:val="0"/>
      <w:marRight w:val="0"/>
      <w:marTop w:val="0"/>
      <w:marBottom w:val="0"/>
      <w:divBdr>
        <w:top w:val="none" w:sz="0" w:space="0" w:color="auto"/>
        <w:left w:val="none" w:sz="0" w:space="0" w:color="auto"/>
        <w:bottom w:val="none" w:sz="0" w:space="0" w:color="auto"/>
        <w:right w:val="none" w:sz="0" w:space="0" w:color="auto"/>
      </w:divBdr>
      <w:divsChild>
        <w:div w:id="2080210357">
          <w:marLeft w:val="0"/>
          <w:marRight w:val="0"/>
          <w:marTop w:val="0"/>
          <w:marBottom w:val="0"/>
          <w:divBdr>
            <w:top w:val="none" w:sz="0" w:space="0" w:color="auto"/>
            <w:left w:val="none" w:sz="0" w:space="0" w:color="auto"/>
            <w:bottom w:val="none" w:sz="0" w:space="0" w:color="auto"/>
            <w:right w:val="none" w:sz="0" w:space="0" w:color="auto"/>
          </w:divBdr>
          <w:divsChild>
            <w:div w:id="1731801081">
              <w:marLeft w:val="0"/>
              <w:marRight w:val="0"/>
              <w:marTop w:val="0"/>
              <w:marBottom w:val="0"/>
              <w:divBdr>
                <w:top w:val="none" w:sz="0" w:space="0" w:color="auto"/>
                <w:left w:val="none" w:sz="0" w:space="0" w:color="auto"/>
                <w:bottom w:val="none" w:sz="0" w:space="0" w:color="auto"/>
                <w:right w:val="none" w:sz="0" w:space="0" w:color="auto"/>
              </w:divBdr>
              <w:divsChild>
                <w:div w:id="463810399">
                  <w:marLeft w:val="0"/>
                  <w:marRight w:val="0"/>
                  <w:marTop w:val="0"/>
                  <w:marBottom w:val="0"/>
                  <w:divBdr>
                    <w:top w:val="none" w:sz="0" w:space="0" w:color="auto"/>
                    <w:left w:val="none" w:sz="0" w:space="0" w:color="auto"/>
                    <w:bottom w:val="none" w:sz="0" w:space="0" w:color="auto"/>
                    <w:right w:val="none" w:sz="0" w:space="0" w:color="auto"/>
                  </w:divBdr>
                  <w:divsChild>
                    <w:div w:id="15599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948730">
      <w:bodyDiv w:val="1"/>
      <w:marLeft w:val="0"/>
      <w:marRight w:val="0"/>
      <w:marTop w:val="0"/>
      <w:marBottom w:val="0"/>
      <w:divBdr>
        <w:top w:val="none" w:sz="0" w:space="0" w:color="auto"/>
        <w:left w:val="none" w:sz="0" w:space="0" w:color="auto"/>
        <w:bottom w:val="none" w:sz="0" w:space="0" w:color="auto"/>
        <w:right w:val="none" w:sz="0" w:space="0" w:color="auto"/>
      </w:divBdr>
    </w:div>
    <w:div w:id="816265606">
      <w:bodyDiv w:val="1"/>
      <w:marLeft w:val="0"/>
      <w:marRight w:val="0"/>
      <w:marTop w:val="0"/>
      <w:marBottom w:val="0"/>
      <w:divBdr>
        <w:top w:val="none" w:sz="0" w:space="0" w:color="auto"/>
        <w:left w:val="none" w:sz="0" w:space="0" w:color="auto"/>
        <w:bottom w:val="none" w:sz="0" w:space="0" w:color="auto"/>
        <w:right w:val="none" w:sz="0" w:space="0" w:color="auto"/>
      </w:divBdr>
    </w:div>
    <w:div w:id="843936867">
      <w:bodyDiv w:val="1"/>
      <w:marLeft w:val="0"/>
      <w:marRight w:val="0"/>
      <w:marTop w:val="0"/>
      <w:marBottom w:val="0"/>
      <w:divBdr>
        <w:top w:val="none" w:sz="0" w:space="0" w:color="auto"/>
        <w:left w:val="none" w:sz="0" w:space="0" w:color="auto"/>
        <w:bottom w:val="none" w:sz="0" w:space="0" w:color="auto"/>
        <w:right w:val="none" w:sz="0" w:space="0" w:color="auto"/>
      </w:divBdr>
    </w:div>
    <w:div w:id="846408108">
      <w:bodyDiv w:val="1"/>
      <w:marLeft w:val="0"/>
      <w:marRight w:val="0"/>
      <w:marTop w:val="0"/>
      <w:marBottom w:val="0"/>
      <w:divBdr>
        <w:top w:val="none" w:sz="0" w:space="0" w:color="auto"/>
        <w:left w:val="none" w:sz="0" w:space="0" w:color="auto"/>
        <w:bottom w:val="none" w:sz="0" w:space="0" w:color="auto"/>
        <w:right w:val="none" w:sz="0" w:space="0" w:color="auto"/>
      </w:divBdr>
    </w:div>
    <w:div w:id="873613182">
      <w:bodyDiv w:val="1"/>
      <w:marLeft w:val="0"/>
      <w:marRight w:val="0"/>
      <w:marTop w:val="0"/>
      <w:marBottom w:val="0"/>
      <w:divBdr>
        <w:top w:val="none" w:sz="0" w:space="0" w:color="auto"/>
        <w:left w:val="none" w:sz="0" w:space="0" w:color="auto"/>
        <w:bottom w:val="none" w:sz="0" w:space="0" w:color="auto"/>
        <w:right w:val="none" w:sz="0" w:space="0" w:color="auto"/>
      </w:divBdr>
    </w:div>
    <w:div w:id="901528228">
      <w:bodyDiv w:val="1"/>
      <w:marLeft w:val="0"/>
      <w:marRight w:val="0"/>
      <w:marTop w:val="0"/>
      <w:marBottom w:val="0"/>
      <w:divBdr>
        <w:top w:val="none" w:sz="0" w:space="0" w:color="auto"/>
        <w:left w:val="none" w:sz="0" w:space="0" w:color="auto"/>
        <w:bottom w:val="none" w:sz="0" w:space="0" w:color="auto"/>
        <w:right w:val="none" w:sz="0" w:space="0" w:color="auto"/>
      </w:divBdr>
    </w:div>
    <w:div w:id="926958097">
      <w:bodyDiv w:val="1"/>
      <w:marLeft w:val="0"/>
      <w:marRight w:val="0"/>
      <w:marTop w:val="0"/>
      <w:marBottom w:val="0"/>
      <w:divBdr>
        <w:top w:val="none" w:sz="0" w:space="0" w:color="auto"/>
        <w:left w:val="none" w:sz="0" w:space="0" w:color="auto"/>
        <w:bottom w:val="none" w:sz="0" w:space="0" w:color="auto"/>
        <w:right w:val="none" w:sz="0" w:space="0" w:color="auto"/>
      </w:divBdr>
    </w:div>
    <w:div w:id="929779550">
      <w:bodyDiv w:val="1"/>
      <w:marLeft w:val="0"/>
      <w:marRight w:val="0"/>
      <w:marTop w:val="0"/>
      <w:marBottom w:val="0"/>
      <w:divBdr>
        <w:top w:val="none" w:sz="0" w:space="0" w:color="auto"/>
        <w:left w:val="none" w:sz="0" w:space="0" w:color="auto"/>
        <w:bottom w:val="none" w:sz="0" w:space="0" w:color="auto"/>
        <w:right w:val="none" w:sz="0" w:space="0" w:color="auto"/>
      </w:divBdr>
    </w:div>
    <w:div w:id="957218876">
      <w:bodyDiv w:val="1"/>
      <w:marLeft w:val="0"/>
      <w:marRight w:val="0"/>
      <w:marTop w:val="0"/>
      <w:marBottom w:val="0"/>
      <w:divBdr>
        <w:top w:val="none" w:sz="0" w:space="0" w:color="auto"/>
        <w:left w:val="none" w:sz="0" w:space="0" w:color="auto"/>
        <w:bottom w:val="none" w:sz="0" w:space="0" w:color="auto"/>
        <w:right w:val="none" w:sz="0" w:space="0" w:color="auto"/>
      </w:divBdr>
    </w:div>
    <w:div w:id="961301344">
      <w:bodyDiv w:val="1"/>
      <w:marLeft w:val="0"/>
      <w:marRight w:val="0"/>
      <w:marTop w:val="0"/>
      <w:marBottom w:val="0"/>
      <w:divBdr>
        <w:top w:val="none" w:sz="0" w:space="0" w:color="auto"/>
        <w:left w:val="none" w:sz="0" w:space="0" w:color="auto"/>
        <w:bottom w:val="none" w:sz="0" w:space="0" w:color="auto"/>
        <w:right w:val="none" w:sz="0" w:space="0" w:color="auto"/>
      </w:divBdr>
    </w:div>
    <w:div w:id="964504636">
      <w:bodyDiv w:val="1"/>
      <w:marLeft w:val="0"/>
      <w:marRight w:val="0"/>
      <w:marTop w:val="0"/>
      <w:marBottom w:val="0"/>
      <w:divBdr>
        <w:top w:val="none" w:sz="0" w:space="0" w:color="auto"/>
        <w:left w:val="none" w:sz="0" w:space="0" w:color="auto"/>
        <w:bottom w:val="none" w:sz="0" w:space="0" w:color="auto"/>
        <w:right w:val="none" w:sz="0" w:space="0" w:color="auto"/>
      </w:divBdr>
    </w:div>
    <w:div w:id="985162076">
      <w:bodyDiv w:val="1"/>
      <w:marLeft w:val="0"/>
      <w:marRight w:val="0"/>
      <w:marTop w:val="0"/>
      <w:marBottom w:val="0"/>
      <w:divBdr>
        <w:top w:val="none" w:sz="0" w:space="0" w:color="auto"/>
        <w:left w:val="none" w:sz="0" w:space="0" w:color="auto"/>
        <w:bottom w:val="none" w:sz="0" w:space="0" w:color="auto"/>
        <w:right w:val="none" w:sz="0" w:space="0" w:color="auto"/>
      </w:divBdr>
    </w:div>
    <w:div w:id="988940186">
      <w:bodyDiv w:val="1"/>
      <w:marLeft w:val="0"/>
      <w:marRight w:val="0"/>
      <w:marTop w:val="0"/>
      <w:marBottom w:val="0"/>
      <w:divBdr>
        <w:top w:val="none" w:sz="0" w:space="0" w:color="auto"/>
        <w:left w:val="none" w:sz="0" w:space="0" w:color="auto"/>
        <w:bottom w:val="none" w:sz="0" w:space="0" w:color="auto"/>
        <w:right w:val="none" w:sz="0" w:space="0" w:color="auto"/>
      </w:divBdr>
    </w:div>
    <w:div w:id="998728779">
      <w:bodyDiv w:val="1"/>
      <w:marLeft w:val="0"/>
      <w:marRight w:val="0"/>
      <w:marTop w:val="0"/>
      <w:marBottom w:val="0"/>
      <w:divBdr>
        <w:top w:val="none" w:sz="0" w:space="0" w:color="auto"/>
        <w:left w:val="none" w:sz="0" w:space="0" w:color="auto"/>
        <w:bottom w:val="none" w:sz="0" w:space="0" w:color="auto"/>
        <w:right w:val="none" w:sz="0" w:space="0" w:color="auto"/>
      </w:divBdr>
    </w:div>
    <w:div w:id="1005136888">
      <w:bodyDiv w:val="1"/>
      <w:marLeft w:val="0"/>
      <w:marRight w:val="0"/>
      <w:marTop w:val="0"/>
      <w:marBottom w:val="0"/>
      <w:divBdr>
        <w:top w:val="none" w:sz="0" w:space="0" w:color="auto"/>
        <w:left w:val="none" w:sz="0" w:space="0" w:color="auto"/>
        <w:bottom w:val="none" w:sz="0" w:space="0" w:color="auto"/>
        <w:right w:val="none" w:sz="0" w:space="0" w:color="auto"/>
      </w:divBdr>
    </w:div>
    <w:div w:id="1008486308">
      <w:bodyDiv w:val="1"/>
      <w:marLeft w:val="0"/>
      <w:marRight w:val="0"/>
      <w:marTop w:val="0"/>
      <w:marBottom w:val="0"/>
      <w:divBdr>
        <w:top w:val="none" w:sz="0" w:space="0" w:color="auto"/>
        <w:left w:val="none" w:sz="0" w:space="0" w:color="auto"/>
        <w:bottom w:val="none" w:sz="0" w:space="0" w:color="auto"/>
        <w:right w:val="none" w:sz="0" w:space="0" w:color="auto"/>
      </w:divBdr>
    </w:div>
    <w:div w:id="1019887819">
      <w:bodyDiv w:val="1"/>
      <w:marLeft w:val="0"/>
      <w:marRight w:val="0"/>
      <w:marTop w:val="0"/>
      <w:marBottom w:val="0"/>
      <w:divBdr>
        <w:top w:val="none" w:sz="0" w:space="0" w:color="auto"/>
        <w:left w:val="none" w:sz="0" w:space="0" w:color="auto"/>
        <w:bottom w:val="none" w:sz="0" w:space="0" w:color="auto"/>
        <w:right w:val="none" w:sz="0" w:space="0" w:color="auto"/>
      </w:divBdr>
    </w:div>
    <w:div w:id="1031608987">
      <w:bodyDiv w:val="1"/>
      <w:marLeft w:val="0"/>
      <w:marRight w:val="0"/>
      <w:marTop w:val="0"/>
      <w:marBottom w:val="0"/>
      <w:divBdr>
        <w:top w:val="none" w:sz="0" w:space="0" w:color="auto"/>
        <w:left w:val="none" w:sz="0" w:space="0" w:color="auto"/>
        <w:bottom w:val="none" w:sz="0" w:space="0" w:color="auto"/>
        <w:right w:val="none" w:sz="0" w:space="0" w:color="auto"/>
      </w:divBdr>
    </w:div>
    <w:div w:id="1061637106">
      <w:bodyDiv w:val="1"/>
      <w:marLeft w:val="0"/>
      <w:marRight w:val="0"/>
      <w:marTop w:val="0"/>
      <w:marBottom w:val="0"/>
      <w:divBdr>
        <w:top w:val="none" w:sz="0" w:space="0" w:color="auto"/>
        <w:left w:val="none" w:sz="0" w:space="0" w:color="auto"/>
        <w:bottom w:val="none" w:sz="0" w:space="0" w:color="auto"/>
        <w:right w:val="none" w:sz="0" w:space="0" w:color="auto"/>
      </w:divBdr>
    </w:div>
    <w:div w:id="1064108203">
      <w:bodyDiv w:val="1"/>
      <w:marLeft w:val="0"/>
      <w:marRight w:val="0"/>
      <w:marTop w:val="0"/>
      <w:marBottom w:val="0"/>
      <w:divBdr>
        <w:top w:val="none" w:sz="0" w:space="0" w:color="auto"/>
        <w:left w:val="none" w:sz="0" w:space="0" w:color="auto"/>
        <w:bottom w:val="none" w:sz="0" w:space="0" w:color="auto"/>
        <w:right w:val="none" w:sz="0" w:space="0" w:color="auto"/>
      </w:divBdr>
    </w:div>
    <w:div w:id="1078020137">
      <w:bodyDiv w:val="1"/>
      <w:marLeft w:val="0"/>
      <w:marRight w:val="0"/>
      <w:marTop w:val="0"/>
      <w:marBottom w:val="0"/>
      <w:divBdr>
        <w:top w:val="none" w:sz="0" w:space="0" w:color="auto"/>
        <w:left w:val="none" w:sz="0" w:space="0" w:color="auto"/>
        <w:bottom w:val="none" w:sz="0" w:space="0" w:color="auto"/>
        <w:right w:val="none" w:sz="0" w:space="0" w:color="auto"/>
      </w:divBdr>
    </w:div>
    <w:div w:id="1121072278">
      <w:bodyDiv w:val="1"/>
      <w:marLeft w:val="0"/>
      <w:marRight w:val="0"/>
      <w:marTop w:val="0"/>
      <w:marBottom w:val="0"/>
      <w:divBdr>
        <w:top w:val="none" w:sz="0" w:space="0" w:color="auto"/>
        <w:left w:val="none" w:sz="0" w:space="0" w:color="auto"/>
        <w:bottom w:val="none" w:sz="0" w:space="0" w:color="auto"/>
        <w:right w:val="none" w:sz="0" w:space="0" w:color="auto"/>
      </w:divBdr>
    </w:div>
    <w:div w:id="1125201557">
      <w:bodyDiv w:val="1"/>
      <w:marLeft w:val="0"/>
      <w:marRight w:val="0"/>
      <w:marTop w:val="0"/>
      <w:marBottom w:val="0"/>
      <w:divBdr>
        <w:top w:val="none" w:sz="0" w:space="0" w:color="auto"/>
        <w:left w:val="none" w:sz="0" w:space="0" w:color="auto"/>
        <w:bottom w:val="none" w:sz="0" w:space="0" w:color="auto"/>
        <w:right w:val="none" w:sz="0" w:space="0" w:color="auto"/>
      </w:divBdr>
    </w:div>
    <w:div w:id="1155103275">
      <w:bodyDiv w:val="1"/>
      <w:marLeft w:val="0"/>
      <w:marRight w:val="0"/>
      <w:marTop w:val="0"/>
      <w:marBottom w:val="0"/>
      <w:divBdr>
        <w:top w:val="none" w:sz="0" w:space="0" w:color="auto"/>
        <w:left w:val="none" w:sz="0" w:space="0" w:color="auto"/>
        <w:bottom w:val="none" w:sz="0" w:space="0" w:color="auto"/>
        <w:right w:val="none" w:sz="0" w:space="0" w:color="auto"/>
      </w:divBdr>
    </w:div>
    <w:div w:id="1202983433">
      <w:bodyDiv w:val="1"/>
      <w:marLeft w:val="0"/>
      <w:marRight w:val="0"/>
      <w:marTop w:val="0"/>
      <w:marBottom w:val="0"/>
      <w:divBdr>
        <w:top w:val="none" w:sz="0" w:space="0" w:color="auto"/>
        <w:left w:val="none" w:sz="0" w:space="0" w:color="auto"/>
        <w:bottom w:val="none" w:sz="0" w:space="0" w:color="auto"/>
        <w:right w:val="none" w:sz="0" w:space="0" w:color="auto"/>
      </w:divBdr>
      <w:divsChild>
        <w:div w:id="1473133260">
          <w:marLeft w:val="0"/>
          <w:marRight w:val="0"/>
          <w:marTop w:val="0"/>
          <w:marBottom w:val="0"/>
          <w:divBdr>
            <w:top w:val="none" w:sz="0" w:space="0" w:color="auto"/>
            <w:left w:val="none" w:sz="0" w:space="0" w:color="auto"/>
            <w:bottom w:val="none" w:sz="0" w:space="0" w:color="auto"/>
            <w:right w:val="none" w:sz="0" w:space="0" w:color="auto"/>
          </w:divBdr>
          <w:divsChild>
            <w:div w:id="2146651841">
              <w:marLeft w:val="0"/>
              <w:marRight w:val="0"/>
              <w:marTop w:val="0"/>
              <w:marBottom w:val="0"/>
              <w:divBdr>
                <w:top w:val="none" w:sz="0" w:space="0" w:color="auto"/>
                <w:left w:val="none" w:sz="0" w:space="0" w:color="auto"/>
                <w:bottom w:val="none" w:sz="0" w:space="0" w:color="auto"/>
                <w:right w:val="none" w:sz="0" w:space="0" w:color="auto"/>
              </w:divBdr>
              <w:divsChild>
                <w:div w:id="1129589343">
                  <w:marLeft w:val="0"/>
                  <w:marRight w:val="0"/>
                  <w:marTop w:val="0"/>
                  <w:marBottom w:val="0"/>
                  <w:divBdr>
                    <w:top w:val="none" w:sz="0" w:space="0" w:color="auto"/>
                    <w:left w:val="none" w:sz="0" w:space="0" w:color="auto"/>
                    <w:bottom w:val="none" w:sz="0" w:space="0" w:color="auto"/>
                    <w:right w:val="none" w:sz="0" w:space="0" w:color="auto"/>
                  </w:divBdr>
                  <w:divsChild>
                    <w:div w:id="39678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482445">
      <w:bodyDiv w:val="1"/>
      <w:marLeft w:val="0"/>
      <w:marRight w:val="0"/>
      <w:marTop w:val="0"/>
      <w:marBottom w:val="0"/>
      <w:divBdr>
        <w:top w:val="none" w:sz="0" w:space="0" w:color="auto"/>
        <w:left w:val="none" w:sz="0" w:space="0" w:color="auto"/>
        <w:bottom w:val="none" w:sz="0" w:space="0" w:color="auto"/>
        <w:right w:val="none" w:sz="0" w:space="0" w:color="auto"/>
      </w:divBdr>
    </w:div>
    <w:div w:id="1270695667">
      <w:bodyDiv w:val="1"/>
      <w:marLeft w:val="0"/>
      <w:marRight w:val="0"/>
      <w:marTop w:val="0"/>
      <w:marBottom w:val="0"/>
      <w:divBdr>
        <w:top w:val="none" w:sz="0" w:space="0" w:color="auto"/>
        <w:left w:val="none" w:sz="0" w:space="0" w:color="auto"/>
        <w:bottom w:val="none" w:sz="0" w:space="0" w:color="auto"/>
        <w:right w:val="none" w:sz="0" w:space="0" w:color="auto"/>
      </w:divBdr>
    </w:div>
    <w:div w:id="1272738838">
      <w:bodyDiv w:val="1"/>
      <w:marLeft w:val="0"/>
      <w:marRight w:val="0"/>
      <w:marTop w:val="0"/>
      <w:marBottom w:val="0"/>
      <w:divBdr>
        <w:top w:val="none" w:sz="0" w:space="0" w:color="auto"/>
        <w:left w:val="none" w:sz="0" w:space="0" w:color="auto"/>
        <w:bottom w:val="none" w:sz="0" w:space="0" w:color="auto"/>
        <w:right w:val="none" w:sz="0" w:space="0" w:color="auto"/>
      </w:divBdr>
    </w:div>
    <w:div w:id="1273130313">
      <w:bodyDiv w:val="1"/>
      <w:marLeft w:val="0"/>
      <w:marRight w:val="0"/>
      <w:marTop w:val="0"/>
      <w:marBottom w:val="0"/>
      <w:divBdr>
        <w:top w:val="none" w:sz="0" w:space="0" w:color="auto"/>
        <w:left w:val="none" w:sz="0" w:space="0" w:color="auto"/>
        <w:bottom w:val="none" w:sz="0" w:space="0" w:color="auto"/>
        <w:right w:val="none" w:sz="0" w:space="0" w:color="auto"/>
      </w:divBdr>
    </w:div>
    <w:div w:id="1287347521">
      <w:bodyDiv w:val="1"/>
      <w:marLeft w:val="0"/>
      <w:marRight w:val="0"/>
      <w:marTop w:val="0"/>
      <w:marBottom w:val="0"/>
      <w:divBdr>
        <w:top w:val="none" w:sz="0" w:space="0" w:color="auto"/>
        <w:left w:val="none" w:sz="0" w:space="0" w:color="auto"/>
        <w:bottom w:val="none" w:sz="0" w:space="0" w:color="auto"/>
        <w:right w:val="none" w:sz="0" w:space="0" w:color="auto"/>
      </w:divBdr>
      <w:divsChild>
        <w:div w:id="23140539">
          <w:marLeft w:val="0"/>
          <w:marRight w:val="0"/>
          <w:marTop w:val="0"/>
          <w:marBottom w:val="0"/>
          <w:divBdr>
            <w:top w:val="none" w:sz="0" w:space="0" w:color="auto"/>
            <w:left w:val="none" w:sz="0" w:space="0" w:color="auto"/>
            <w:bottom w:val="none" w:sz="0" w:space="0" w:color="auto"/>
            <w:right w:val="none" w:sz="0" w:space="0" w:color="auto"/>
          </w:divBdr>
          <w:divsChild>
            <w:div w:id="2112972800">
              <w:marLeft w:val="0"/>
              <w:marRight w:val="0"/>
              <w:marTop w:val="0"/>
              <w:marBottom w:val="0"/>
              <w:divBdr>
                <w:top w:val="none" w:sz="0" w:space="0" w:color="auto"/>
                <w:left w:val="none" w:sz="0" w:space="0" w:color="auto"/>
                <w:bottom w:val="none" w:sz="0" w:space="0" w:color="auto"/>
                <w:right w:val="none" w:sz="0" w:space="0" w:color="auto"/>
              </w:divBdr>
              <w:divsChild>
                <w:div w:id="1150246715">
                  <w:marLeft w:val="0"/>
                  <w:marRight w:val="0"/>
                  <w:marTop w:val="0"/>
                  <w:marBottom w:val="0"/>
                  <w:divBdr>
                    <w:top w:val="none" w:sz="0" w:space="0" w:color="auto"/>
                    <w:left w:val="none" w:sz="0" w:space="0" w:color="auto"/>
                    <w:bottom w:val="none" w:sz="0" w:space="0" w:color="auto"/>
                    <w:right w:val="none" w:sz="0" w:space="0" w:color="auto"/>
                  </w:divBdr>
                  <w:divsChild>
                    <w:div w:id="4688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685532">
      <w:bodyDiv w:val="1"/>
      <w:marLeft w:val="0"/>
      <w:marRight w:val="0"/>
      <w:marTop w:val="0"/>
      <w:marBottom w:val="0"/>
      <w:divBdr>
        <w:top w:val="none" w:sz="0" w:space="0" w:color="auto"/>
        <w:left w:val="none" w:sz="0" w:space="0" w:color="auto"/>
        <w:bottom w:val="none" w:sz="0" w:space="0" w:color="auto"/>
        <w:right w:val="none" w:sz="0" w:space="0" w:color="auto"/>
      </w:divBdr>
      <w:divsChild>
        <w:div w:id="1903446367">
          <w:marLeft w:val="0"/>
          <w:marRight w:val="0"/>
          <w:marTop w:val="0"/>
          <w:marBottom w:val="0"/>
          <w:divBdr>
            <w:top w:val="none" w:sz="0" w:space="0" w:color="auto"/>
            <w:left w:val="none" w:sz="0" w:space="0" w:color="auto"/>
            <w:bottom w:val="none" w:sz="0" w:space="0" w:color="auto"/>
            <w:right w:val="none" w:sz="0" w:space="0" w:color="auto"/>
          </w:divBdr>
          <w:divsChild>
            <w:div w:id="2076664435">
              <w:marLeft w:val="0"/>
              <w:marRight w:val="0"/>
              <w:marTop w:val="0"/>
              <w:marBottom w:val="0"/>
              <w:divBdr>
                <w:top w:val="none" w:sz="0" w:space="0" w:color="auto"/>
                <w:left w:val="none" w:sz="0" w:space="0" w:color="auto"/>
                <w:bottom w:val="none" w:sz="0" w:space="0" w:color="auto"/>
                <w:right w:val="none" w:sz="0" w:space="0" w:color="auto"/>
              </w:divBdr>
              <w:divsChild>
                <w:div w:id="1380204138">
                  <w:marLeft w:val="0"/>
                  <w:marRight w:val="0"/>
                  <w:marTop w:val="0"/>
                  <w:marBottom w:val="0"/>
                  <w:divBdr>
                    <w:top w:val="none" w:sz="0" w:space="0" w:color="auto"/>
                    <w:left w:val="none" w:sz="0" w:space="0" w:color="auto"/>
                    <w:bottom w:val="none" w:sz="0" w:space="0" w:color="auto"/>
                    <w:right w:val="none" w:sz="0" w:space="0" w:color="auto"/>
                  </w:divBdr>
                  <w:divsChild>
                    <w:div w:id="8211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79179">
      <w:bodyDiv w:val="1"/>
      <w:marLeft w:val="0"/>
      <w:marRight w:val="0"/>
      <w:marTop w:val="0"/>
      <w:marBottom w:val="0"/>
      <w:divBdr>
        <w:top w:val="none" w:sz="0" w:space="0" w:color="auto"/>
        <w:left w:val="none" w:sz="0" w:space="0" w:color="auto"/>
        <w:bottom w:val="none" w:sz="0" w:space="0" w:color="auto"/>
        <w:right w:val="none" w:sz="0" w:space="0" w:color="auto"/>
      </w:divBdr>
    </w:div>
    <w:div w:id="1318069728">
      <w:bodyDiv w:val="1"/>
      <w:marLeft w:val="0"/>
      <w:marRight w:val="0"/>
      <w:marTop w:val="0"/>
      <w:marBottom w:val="0"/>
      <w:divBdr>
        <w:top w:val="none" w:sz="0" w:space="0" w:color="auto"/>
        <w:left w:val="none" w:sz="0" w:space="0" w:color="auto"/>
        <w:bottom w:val="none" w:sz="0" w:space="0" w:color="auto"/>
        <w:right w:val="none" w:sz="0" w:space="0" w:color="auto"/>
      </w:divBdr>
    </w:div>
    <w:div w:id="1325743074">
      <w:bodyDiv w:val="1"/>
      <w:marLeft w:val="0"/>
      <w:marRight w:val="0"/>
      <w:marTop w:val="0"/>
      <w:marBottom w:val="0"/>
      <w:divBdr>
        <w:top w:val="none" w:sz="0" w:space="0" w:color="auto"/>
        <w:left w:val="none" w:sz="0" w:space="0" w:color="auto"/>
        <w:bottom w:val="none" w:sz="0" w:space="0" w:color="auto"/>
        <w:right w:val="none" w:sz="0" w:space="0" w:color="auto"/>
      </w:divBdr>
    </w:div>
    <w:div w:id="1341421630">
      <w:bodyDiv w:val="1"/>
      <w:marLeft w:val="0"/>
      <w:marRight w:val="0"/>
      <w:marTop w:val="0"/>
      <w:marBottom w:val="0"/>
      <w:divBdr>
        <w:top w:val="none" w:sz="0" w:space="0" w:color="auto"/>
        <w:left w:val="none" w:sz="0" w:space="0" w:color="auto"/>
        <w:bottom w:val="none" w:sz="0" w:space="0" w:color="auto"/>
        <w:right w:val="none" w:sz="0" w:space="0" w:color="auto"/>
      </w:divBdr>
    </w:div>
    <w:div w:id="1350138566">
      <w:bodyDiv w:val="1"/>
      <w:marLeft w:val="0"/>
      <w:marRight w:val="0"/>
      <w:marTop w:val="0"/>
      <w:marBottom w:val="0"/>
      <w:divBdr>
        <w:top w:val="none" w:sz="0" w:space="0" w:color="auto"/>
        <w:left w:val="none" w:sz="0" w:space="0" w:color="auto"/>
        <w:bottom w:val="none" w:sz="0" w:space="0" w:color="auto"/>
        <w:right w:val="none" w:sz="0" w:space="0" w:color="auto"/>
      </w:divBdr>
    </w:div>
    <w:div w:id="1390420549">
      <w:bodyDiv w:val="1"/>
      <w:marLeft w:val="0"/>
      <w:marRight w:val="0"/>
      <w:marTop w:val="0"/>
      <w:marBottom w:val="0"/>
      <w:divBdr>
        <w:top w:val="none" w:sz="0" w:space="0" w:color="auto"/>
        <w:left w:val="none" w:sz="0" w:space="0" w:color="auto"/>
        <w:bottom w:val="none" w:sz="0" w:space="0" w:color="auto"/>
        <w:right w:val="none" w:sz="0" w:space="0" w:color="auto"/>
      </w:divBdr>
    </w:div>
    <w:div w:id="1392849734">
      <w:bodyDiv w:val="1"/>
      <w:marLeft w:val="0"/>
      <w:marRight w:val="0"/>
      <w:marTop w:val="0"/>
      <w:marBottom w:val="0"/>
      <w:divBdr>
        <w:top w:val="none" w:sz="0" w:space="0" w:color="auto"/>
        <w:left w:val="none" w:sz="0" w:space="0" w:color="auto"/>
        <w:bottom w:val="none" w:sz="0" w:space="0" w:color="auto"/>
        <w:right w:val="none" w:sz="0" w:space="0" w:color="auto"/>
      </w:divBdr>
    </w:div>
    <w:div w:id="1409886877">
      <w:bodyDiv w:val="1"/>
      <w:marLeft w:val="0"/>
      <w:marRight w:val="0"/>
      <w:marTop w:val="0"/>
      <w:marBottom w:val="0"/>
      <w:divBdr>
        <w:top w:val="none" w:sz="0" w:space="0" w:color="auto"/>
        <w:left w:val="none" w:sz="0" w:space="0" w:color="auto"/>
        <w:bottom w:val="none" w:sz="0" w:space="0" w:color="auto"/>
        <w:right w:val="none" w:sz="0" w:space="0" w:color="auto"/>
      </w:divBdr>
    </w:div>
    <w:div w:id="1414815678">
      <w:bodyDiv w:val="1"/>
      <w:marLeft w:val="0"/>
      <w:marRight w:val="0"/>
      <w:marTop w:val="0"/>
      <w:marBottom w:val="0"/>
      <w:divBdr>
        <w:top w:val="none" w:sz="0" w:space="0" w:color="auto"/>
        <w:left w:val="none" w:sz="0" w:space="0" w:color="auto"/>
        <w:bottom w:val="none" w:sz="0" w:space="0" w:color="auto"/>
        <w:right w:val="none" w:sz="0" w:space="0" w:color="auto"/>
      </w:divBdr>
    </w:div>
    <w:div w:id="1427187192">
      <w:bodyDiv w:val="1"/>
      <w:marLeft w:val="0"/>
      <w:marRight w:val="0"/>
      <w:marTop w:val="0"/>
      <w:marBottom w:val="0"/>
      <w:divBdr>
        <w:top w:val="none" w:sz="0" w:space="0" w:color="auto"/>
        <w:left w:val="none" w:sz="0" w:space="0" w:color="auto"/>
        <w:bottom w:val="none" w:sz="0" w:space="0" w:color="auto"/>
        <w:right w:val="none" w:sz="0" w:space="0" w:color="auto"/>
      </w:divBdr>
    </w:div>
    <w:div w:id="1428113851">
      <w:bodyDiv w:val="1"/>
      <w:marLeft w:val="0"/>
      <w:marRight w:val="0"/>
      <w:marTop w:val="0"/>
      <w:marBottom w:val="0"/>
      <w:divBdr>
        <w:top w:val="none" w:sz="0" w:space="0" w:color="auto"/>
        <w:left w:val="none" w:sz="0" w:space="0" w:color="auto"/>
        <w:bottom w:val="none" w:sz="0" w:space="0" w:color="auto"/>
        <w:right w:val="none" w:sz="0" w:space="0" w:color="auto"/>
      </w:divBdr>
    </w:div>
    <w:div w:id="1441341525">
      <w:bodyDiv w:val="1"/>
      <w:marLeft w:val="0"/>
      <w:marRight w:val="0"/>
      <w:marTop w:val="0"/>
      <w:marBottom w:val="0"/>
      <w:divBdr>
        <w:top w:val="none" w:sz="0" w:space="0" w:color="auto"/>
        <w:left w:val="none" w:sz="0" w:space="0" w:color="auto"/>
        <w:bottom w:val="none" w:sz="0" w:space="0" w:color="auto"/>
        <w:right w:val="none" w:sz="0" w:space="0" w:color="auto"/>
      </w:divBdr>
    </w:div>
    <w:div w:id="1443303709">
      <w:bodyDiv w:val="1"/>
      <w:marLeft w:val="0"/>
      <w:marRight w:val="0"/>
      <w:marTop w:val="0"/>
      <w:marBottom w:val="0"/>
      <w:divBdr>
        <w:top w:val="none" w:sz="0" w:space="0" w:color="auto"/>
        <w:left w:val="none" w:sz="0" w:space="0" w:color="auto"/>
        <w:bottom w:val="none" w:sz="0" w:space="0" w:color="auto"/>
        <w:right w:val="none" w:sz="0" w:space="0" w:color="auto"/>
      </w:divBdr>
    </w:div>
    <w:div w:id="1449544526">
      <w:bodyDiv w:val="1"/>
      <w:marLeft w:val="0"/>
      <w:marRight w:val="0"/>
      <w:marTop w:val="0"/>
      <w:marBottom w:val="0"/>
      <w:divBdr>
        <w:top w:val="none" w:sz="0" w:space="0" w:color="auto"/>
        <w:left w:val="none" w:sz="0" w:space="0" w:color="auto"/>
        <w:bottom w:val="none" w:sz="0" w:space="0" w:color="auto"/>
        <w:right w:val="none" w:sz="0" w:space="0" w:color="auto"/>
      </w:divBdr>
    </w:div>
    <w:div w:id="1493375977">
      <w:bodyDiv w:val="1"/>
      <w:marLeft w:val="0"/>
      <w:marRight w:val="0"/>
      <w:marTop w:val="0"/>
      <w:marBottom w:val="0"/>
      <w:divBdr>
        <w:top w:val="none" w:sz="0" w:space="0" w:color="auto"/>
        <w:left w:val="none" w:sz="0" w:space="0" w:color="auto"/>
        <w:bottom w:val="none" w:sz="0" w:space="0" w:color="auto"/>
        <w:right w:val="none" w:sz="0" w:space="0" w:color="auto"/>
      </w:divBdr>
    </w:div>
    <w:div w:id="1506942865">
      <w:bodyDiv w:val="1"/>
      <w:marLeft w:val="0"/>
      <w:marRight w:val="0"/>
      <w:marTop w:val="0"/>
      <w:marBottom w:val="0"/>
      <w:divBdr>
        <w:top w:val="none" w:sz="0" w:space="0" w:color="auto"/>
        <w:left w:val="none" w:sz="0" w:space="0" w:color="auto"/>
        <w:bottom w:val="none" w:sz="0" w:space="0" w:color="auto"/>
        <w:right w:val="none" w:sz="0" w:space="0" w:color="auto"/>
      </w:divBdr>
    </w:div>
    <w:div w:id="1531797723">
      <w:bodyDiv w:val="1"/>
      <w:marLeft w:val="0"/>
      <w:marRight w:val="0"/>
      <w:marTop w:val="0"/>
      <w:marBottom w:val="0"/>
      <w:divBdr>
        <w:top w:val="none" w:sz="0" w:space="0" w:color="auto"/>
        <w:left w:val="none" w:sz="0" w:space="0" w:color="auto"/>
        <w:bottom w:val="none" w:sz="0" w:space="0" w:color="auto"/>
        <w:right w:val="none" w:sz="0" w:space="0" w:color="auto"/>
      </w:divBdr>
    </w:div>
    <w:div w:id="1533693273">
      <w:bodyDiv w:val="1"/>
      <w:marLeft w:val="0"/>
      <w:marRight w:val="0"/>
      <w:marTop w:val="0"/>
      <w:marBottom w:val="0"/>
      <w:divBdr>
        <w:top w:val="none" w:sz="0" w:space="0" w:color="auto"/>
        <w:left w:val="none" w:sz="0" w:space="0" w:color="auto"/>
        <w:bottom w:val="none" w:sz="0" w:space="0" w:color="auto"/>
        <w:right w:val="none" w:sz="0" w:space="0" w:color="auto"/>
      </w:divBdr>
    </w:div>
    <w:div w:id="1572231240">
      <w:bodyDiv w:val="1"/>
      <w:marLeft w:val="0"/>
      <w:marRight w:val="0"/>
      <w:marTop w:val="0"/>
      <w:marBottom w:val="0"/>
      <w:divBdr>
        <w:top w:val="none" w:sz="0" w:space="0" w:color="auto"/>
        <w:left w:val="none" w:sz="0" w:space="0" w:color="auto"/>
        <w:bottom w:val="none" w:sz="0" w:space="0" w:color="auto"/>
        <w:right w:val="none" w:sz="0" w:space="0" w:color="auto"/>
      </w:divBdr>
      <w:divsChild>
        <w:div w:id="1241212107">
          <w:marLeft w:val="0"/>
          <w:marRight w:val="0"/>
          <w:marTop w:val="0"/>
          <w:marBottom w:val="0"/>
          <w:divBdr>
            <w:top w:val="none" w:sz="0" w:space="0" w:color="auto"/>
            <w:left w:val="none" w:sz="0" w:space="0" w:color="auto"/>
            <w:bottom w:val="none" w:sz="0" w:space="0" w:color="auto"/>
            <w:right w:val="none" w:sz="0" w:space="0" w:color="auto"/>
          </w:divBdr>
          <w:divsChild>
            <w:div w:id="1086658920">
              <w:marLeft w:val="0"/>
              <w:marRight w:val="0"/>
              <w:marTop w:val="0"/>
              <w:marBottom w:val="0"/>
              <w:divBdr>
                <w:top w:val="none" w:sz="0" w:space="0" w:color="auto"/>
                <w:left w:val="none" w:sz="0" w:space="0" w:color="auto"/>
                <w:bottom w:val="none" w:sz="0" w:space="0" w:color="auto"/>
                <w:right w:val="none" w:sz="0" w:space="0" w:color="auto"/>
              </w:divBdr>
              <w:divsChild>
                <w:div w:id="677734993">
                  <w:marLeft w:val="0"/>
                  <w:marRight w:val="0"/>
                  <w:marTop w:val="0"/>
                  <w:marBottom w:val="0"/>
                  <w:divBdr>
                    <w:top w:val="none" w:sz="0" w:space="0" w:color="auto"/>
                    <w:left w:val="none" w:sz="0" w:space="0" w:color="auto"/>
                    <w:bottom w:val="none" w:sz="0" w:space="0" w:color="auto"/>
                    <w:right w:val="none" w:sz="0" w:space="0" w:color="auto"/>
                  </w:divBdr>
                  <w:divsChild>
                    <w:div w:id="914314040">
                      <w:marLeft w:val="0"/>
                      <w:marRight w:val="0"/>
                      <w:marTop w:val="0"/>
                      <w:marBottom w:val="0"/>
                      <w:divBdr>
                        <w:top w:val="none" w:sz="0" w:space="0" w:color="auto"/>
                        <w:left w:val="none" w:sz="0" w:space="0" w:color="auto"/>
                        <w:bottom w:val="none" w:sz="0" w:space="0" w:color="auto"/>
                        <w:right w:val="none" w:sz="0" w:space="0" w:color="auto"/>
                      </w:divBdr>
                      <w:divsChild>
                        <w:div w:id="2113091382">
                          <w:marLeft w:val="0"/>
                          <w:marRight w:val="0"/>
                          <w:marTop w:val="0"/>
                          <w:marBottom w:val="0"/>
                          <w:divBdr>
                            <w:top w:val="none" w:sz="0" w:space="0" w:color="auto"/>
                            <w:left w:val="none" w:sz="0" w:space="0" w:color="auto"/>
                            <w:bottom w:val="none" w:sz="0" w:space="0" w:color="auto"/>
                            <w:right w:val="none" w:sz="0" w:space="0" w:color="auto"/>
                          </w:divBdr>
                          <w:divsChild>
                            <w:div w:id="13893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678039">
      <w:bodyDiv w:val="1"/>
      <w:marLeft w:val="0"/>
      <w:marRight w:val="0"/>
      <w:marTop w:val="0"/>
      <w:marBottom w:val="0"/>
      <w:divBdr>
        <w:top w:val="none" w:sz="0" w:space="0" w:color="auto"/>
        <w:left w:val="none" w:sz="0" w:space="0" w:color="auto"/>
        <w:bottom w:val="none" w:sz="0" w:space="0" w:color="auto"/>
        <w:right w:val="none" w:sz="0" w:space="0" w:color="auto"/>
      </w:divBdr>
    </w:div>
    <w:div w:id="1590427698">
      <w:bodyDiv w:val="1"/>
      <w:marLeft w:val="0"/>
      <w:marRight w:val="0"/>
      <w:marTop w:val="0"/>
      <w:marBottom w:val="0"/>
      <w:divBdr>
        <w:top w:val="none" w:sz="0" w:space="0" w:color="auto"/>
        <w:left w:val="none" w:sz="0" w:space="0" w:color="auto"/>
        <w:bottom w:val="none" w:sz="0" w:space="0" w:color="auto"/>
        <w:right w:val="none" w:sz="0" w:space="0" w:color="auto"/>
      </w:divBdr>
    </w:div>
    <w:div w:id="1619750231">
      <w:bodyDiv w:val="1"/>
      <w:marLeft w:val="0"/>
      <w:marRight w:val="0"/>
      <w:marTop w:val="0"/>
      <w:marBottom w:val="0"/>
      <w:divBdr>
        <w:top w:val="none" w:sz="0" w:space="0" w:color="auto"/>
        <w:left w:val="none" w:sz="0" w:space="0" w:color="auto"/>
        <w:bottom w:val="none" w:sz="0" w:space="0" w:color="auto"/>
        <w:right w:val="none" w:sz="0" w:space="0" w:color="auto"/>
      </w:divBdr>
    </w:div>
    <w:div w:id="1621300532">
      <w:bodyDiv w:val="1"/>
      <w:marLeft w:val="0"/>
      <w:marRight w:val="0"/>
      <w:marTop w:val="0"/>
      <w:marBottom w:val="0"/>
      <w:divBdr>
        <w:top w:val="none" w:sz="0" w:space="0" w:color="auto"/>
        <w:left w:val="none" w:sz="0" w:space="0" w:color="auto"/>
        <w:bottom w:val="none" w:sz="0" w:space="0" w:color="auto"/>
        <w:right w:val="none" w:sz="0" w:space="0" w:color="auto"/>
      </w:divBdr>
    </w:div>
    <w:div w:id="1665671197">
      <w:bodyDiv w:val="1"/>
      <w:marLeft w:val="0"/>
      <w:marRight w:val="0"/>
      <w:marTop w:val="0"/>
      <w:marBottom w:val="0"/>
      <w:divBdr>
        <w:top w:val="none" w:sz="0" w:space="0" w:color="auto"/>
        <w:left w:val="none" w:sz="0" w:space="0" w:color="auto"/>
        <w:bottom w:val="none" w:sz="0" w:space="0" w:color="auto"/>
        <w:right w:val="none" w:sz="0" w:space="0" w:color="auto"/>
      </w:divBdr>
    </w:div>
    <w:div w:id="1667828667">
      <w:bodyDiv w:val="1"/>
      <w:marLeft w:val="0"/>
      <w:marRight w:val="0"/>
      <w:marTop w:val="0"/>
      <w:marBottom w:val="0"/>
      <w:divBdr>
        <w:top w:val="none" w:sz="0" w:space="0" w:color="auto"/>
        <w:left w:val="none" w:sz="0" w:space="0" w:color="auto"/>
        <w:bottom w:val="none" w:sz="0" w:space="0" w:color="auto"/>
        <w:right w:val="none" w:sz="0" w:space="0" w:color="auto"/>
      </w:divBdr>
    </w:div>
    <w:div w:id="1668902078">
      <w:bodyDiv w:val="1"/>
      <w:marLeft w:val="0"/>
      <w:marRight w:val="0"/>
      <w:marTop w:val="0"/>
      <w:marBottom w:val="0"/>
      <w:divBdr>
        <w:top w:val="none" w:sz="0" w:space="0" w:color="auto"/>
        <w:left w:val="none" w:sz="0" w:space="0" w:color="auto"/>
        <w:bottom w:val="none" w:sz="0" w:space="0" w:color="auto"/>
        <w:right w:val="none" w:sz="0" w:space="0" w:color="auto"/>
      </w:divBdr>
    </w:div>
    <w:div w:id="1673215654">
      <w:bodyDiv w:val="1"/>
      <w:marLeft w:val="0"/>
      <w:marRight w:val="0"/>
      <w:marTop w:val="0"/>
      <w:marBottom w:val="0"/>
      <w:divBdr>
        <w:top w:val="none" w:sz="0" w:space="0" w:color="auto"/>
        <w:left w:val="none" w:sz="0" w:space="0" w:color="auto"/>
        <w:bottom w:val="none" w:sz="0" w:space="0" w:color="auto"/>
        <w:right w:val="none" w:sz="0" w:space="0" w:color="auto"/>
      </w:divBdr>
      <w:divsChild>
        <w:div w:id="24329055">
          <w:marLeft w:val="274"/>
          <w:marRight w:val="0"/>
          <w:marTop w:val="0"/>
          <w:marBottom w:val="0"/>
          <w:divBdr>
            <w:top w:val="none" w:sz="0" w:space="0" w:color="auto"/>
            <w:left w:val="none" w:sz="0" w:space="0" w:color="auto"/>
            <w:bottom w:val="none" w:sz="0" w:space="0" w:color="auto"/>
            <w:right w:val="none" w:sz="0" w:space="0" w:color="auto"/>
          </w:divBdr>
        </w:div>
        <w:div w:id="113208417">
          <w:marLeft w:val="274"/>
          <w:marRight w:val="0"/>
          <w:marTop w:val="120"/>
          <w:marBottom w:val="0"/>
          <w:divBdr>
            <w:top w:val="none" w:sz="0" w:space="0" w:color="auto"/>
            <w:left w:val="none" w:sz="0" w:space="0" w:color="auto"/>
            <w:bottom w:val="none" w:sz="0" w:space="0" w:color="auto"/>
            <w:right w:val="none" w:sz="0" w:space="0" w:color="auto"/>
          </w:divBdr>
        </w:div>
        <w:div w:id="200822693">
          <w:marLeft w:val="274"/>
          <w:marRight w:val="0"/>
          <w:marTop w:val="120"/>
          <w:marBottom w:val="0"/>
          <w:divBdr>
            <w:top w:val="none" w:sz="0" w:space="0" w:color="auto"/>
            <w:left w:val="none" w:sz="0" w:space="0" w:color="auto"/>
            <w:bottom w:val="none" w:sz="0" w:space="0" w:color="auto"/>
            <w:right w:val="none" w:sz="0" w:space="0" w:color="auto"/>
          </w:divBdr>
        </w:div>
        <w:div w:id="314408441">
          <w:marLeft w:val="274"/>
          <w:marRight w:val="0"/>
          <w:marTop w:val="0"/>
          <w:marBottom w:val="0"/>
          <w:divBdr>
            <w:top w:val="none" w:sz="0" w:space="0" w:color="auto"/>
            <w:left w:val="none" w:sz="0" w:space="0" w:color="auto"/>
            <w:bottom w:val="none" w:sz="0" w:space="0" w:color="auto"/>
            <w:right w:val="none" w:sz="0" w:space="0" w:color="auto"/>
          </w:divBdr>
        </w:div>
        <w:div w:id="332530521">
          <w:marLeft w:val="274"/>
          <w:marRight w:val="0"/>
          <w:marTop w:val="120"/>
          <w:marBottom w:val="0"/>
          <w:divBdr>
            <w:top w:val="none" w:sz="0" w:space="0" w:color="auto"/>
            <w:left w:val="none" w:sz="0" w:space="0" w:color="auto"/>
            <w:bottom w:val="none" w:sz="0" w:space="0" w:color="auto"/>
            <w:right w:val="none" w:sz="0" w:space="0" w:color="auto"/>
          </w:divBdr>
        </w:div>
        <w:div w:id="334767617">
          <w:marLeft w:val="274"/>
          <w:marRight w:val="0"/>
          <w:marTop w:val="0"/>
          <w:marBottom w:val="0"/>
          <w:divBdr>
            <w:top w:val="none" w:sz="0" w:space="0" w:color="auto"/>
            <w:left w:val="none" w:sz="0" w:space="0" w:color="auto"/>
            <w:bottom w:val="none" w:sz="0" w:space="0" w:color="auto"/>
            <w:right w:val="none" w:sz="0" w:space="0" w:color="auto"/>
          </w:divBdr>
        </w:div>
        <w:div w:id="586039205">
          <w:marLeft w:val="274"/>
          <w:marRight w:val="0"/>
          <w:marTop w:val="0"/>
          <w:marBottom w:val="0"/>
          <w:divBdr>
            <w:top w:val="none" w:sz="0" w:space="0" w:color="auto"/>
            <w:left w:val="none" w:sz="0" w:space="0" w:color="auto"/>
            <w:bottom w:val="none" w:sz="0" w:space="0" w:color="auto"/>
            <w:right w:val="none" w:sz="0" w:space="0" w:color="auto"/>
          </w:divBdr>
        </w:div>
        <w:div w:id="869416358">
          <w:marLeft w:val="274"/>
          <w:marRight w:val="0"/>
          <w:marTop w:val="0"/>
          <w:marBottom w:val="0"/>
          <w:divBdr>
            <w:top w:val="none" w:sz="0" w:space="0" w:color="auto"/>
            <w:left w:val="none" w:sz="0" w:space="0" w:color="auto"/>
            <w:bottom w:val="none" w:sz="0" w:space="0" w:color="auto"/>
            <w:right w:val="none" w:sz="0" w:space="0" w:color="auto"/>
          </w:divBdr>
        </w:div>
        <w:div w:id="893009358">
          <w:marLeft w:val="274"/>
          <w:marRight w:val="0"/>
          <w:marTop w:val="0"/>
          <w:marBottom w:val="0"/>
          <w:divBdr>
            <w:top w:val="none" w:sz="0" w:space="0" w:color="auto"/>
            <w:left w:val="none" w:sz="0" w:space="0" w:color="auto"/>
            <w:bottom w:val="none" w:sz="0" w:space="0" w:color="auto"/>
            <w:right w:val="none" w:sz="0" w:space="0" w:color="auto"/>
          </w:divBdr>
        </w:div>
        <w:div w:id="1101801509">
          <w:marLeft w:val="274"/>
          <w:marRight w:val="0"/>
          <w:marTop w:val="120"/>
          <w:marBottom w:val="0"/>
          <w:divBdr>
            <w:top w:val="none" w:sz="0" w:space="0" w:color="auto"/>
            <w:left w:val="none" w:sz="0" w:space="0" w:color="auto"/>
            <w:bottom w:val="none" w:sz="0" w:space="0" w:color="auto"/>
            <w:right w:val="none" w:sz="0" w:space="0" w:color="auto"/>
          </w:divBdr>
        </w:div>
        <w:div w:id="1250700007">
          <w:marLeft w:val="274"/>
          <w:marRight w:val="0"/>
          <w:marTop w:val="120"/>
          <w:marBottom w:val="0"/>
          <w:divBdr>
            <w:top w:val="none" w:sz="0" w:space="0" w:color="auto"/>
            <w:left w:val="none" w:sz="0" w:space="0" w:color="auto"/>
            <w:bottom w:val="none" w:sz="0" w:space="0" w:color="auto"/>
            <w:right w:val="none" w:sz="0" w:space="0" w:color="auto"/>
          </w:divBdr>
        </w:div>
        <w:div w:id="1431706122">
          <w:marLeft w:val="274"/>
          <w:marRight w:val="0"/>
          <w:marTop w:val="0"/>
          <w:marBottom w:val="0"/>
          <w:divBdr>
            <w:top w:val="none" w:sz="0" w:space="0" w:color="auto"/>
            <w:left w:val="none" w:sz="0" w:space="0" w:color="auto"/>
            <w:bottom w:val="none" w:sz="0" w:space="0" w:color="auto"/>
            <w:right w:val="none" w:sz="0" w:space="0" w:color="auto"/>
          </w:divBdr>
        </w:div>
        <w:div w:id="1682244603">
          <w:marLeft w:val="274"/>
          <w:marRight w:val="0"/>
          <w:marTop w:val="0"/>
          <w:marBottom w:val="0"/>
          <w:divBdr>
            <w:top w:val="none" w:sz="0" w:space="0" w:color="auto"/>
            <w:left w:val="none" w:sz="0" w:space="0" w:color="auto"/>
            <w:bottom w:val="none" w:sz="0" w:space="0" w:color="auto"/>
            <w:right w:val="none" w:sz="0" w:space="0" w:color="auto"/>
          </w:divBdr>
        </w:div>
        <w:div w:id="1821119350">
          <w:marLeft w:val="274"/>
          <w:marRight w:val="0"/>
          <w:marTop w:val="120"/>
          <w:marBottom w:val="0"/>
          <w:divBdr>
            <w:top w:val="none" w:sz="0" w:space="0" w:color="auto"/>
            <w:left w:val="none" w:sz="0" w:space="0" w:color="auto"/>
            <w:bottom w:val="none" w:sz="0" w:space="0" w:color="auto"/>
            <w:right w:val="none" w:sz="0" w:space="0" w:color="auto"/>
          </w:divBdr>
        </w:div>
        <w:div w:id="1989087345">
          <w:marLeft w:val="274"/>
          <w:marRight w:val="0"/>
          <w:marTop w:val="120"/>
          <w:marBottom w:val="0"/>
          <w:divBdr>
            <w:top w:val="none" w:sz="0" w:space="0" w:color="auto"/>
            <w:left w:val="none" w:sz="0" w:space="0" w:color="auto"/>
            <w:bottom w:val="none" w:sz="0" w:space="0" w:color="auto"/>
            <w:right w:val="none" w:sz="0" w:space="0" w:color="auto"/>
          </w:divBdr>
        </w:div>
        <w:div w:id="2099673833">
          <w:marLeft w:val="274"/>
          <w:marRight w:val="0"/>
          <w:marTop w:val="120"/>
          <w:marBottom w:val="0"/>
          <w:divBdr>
            <w:top w:val="none" w:sz="0" w:space="0" w:color="auto"/>
            <w:left w:val="none" w:sz="0" w:space="0" w:color="auto"/>
            <w:bottom w:val="none" w:sz="0" w:space="0" w:color="auto"/>
            <w:right w:val="none" w:sz="0" w:space="0" w:color="auto"/>
          </w:divBdr>
        </w:div>
      </w:divsChild>
    </w:div>
    <w:div w:id="1686054220">
      <w:bodyDiv w:val="1"/>
      <w:marLeft w:val="0"/>
      <w:marRight w:val="0"/>
      <w:marTop w:val="0"/>
      <w:marBottom w:val="0"/>
      <w:divBdr>
        <w:top w:val="none" w:sz="0" w:space="0" w:color="auto"/>
        <w:left w:val="none" w:sz="0" w:space="0" w:color="auto"/>
        <w:bottom w:val="none" w:sz="0" w:space="0" w:color="auto"/>
        <w:right w:val="none" w:sz="0" w:space="0" w:color="auto"/>
      </w:divBdr>
    </w:div>
    <w:div w:id="1686402843">
      <w:bodyDiv w:val="1"/>
      <w:marLeft w:val="0"/>
      <w:marRight w:val="0"/>
      <w:marTop w:val="0"/>
      <w:marBottom w:val="0"/>
      <w:divBdr>
        <w:top w:val="none" w:sz="0" w:space="0" w:color="auto"/>
        <w:left w:val="none" w:sz="0" w:space="0" w:color="auto"/>
        <w:bottom w:val="none" w:sz="0" w:space="0" w:color="auto"/>
        <w:right w:val="none" w:sz="0" w:space="0" w:color="auto"/>
      </w:divBdr>
    </w:div>
    <w:div w:id="1701708408">
      <w:bodyDiv w:val="1"/>
      <w:marLeft w:val="0"/>
      <w:marRight w:val="0"/>
      <w:marTop w:val="0"/>
      <w:marBottom w:val="0"/>
      <w:divBdr>
        <w:top w:val="none" w:sz="0" w:space="0" w:color="auto"/>
        <w:left w:val="none" w:sz="0" w:space="0" w:color="auto"/>
        <w:bottom w:val="none" w:sz="0" w:space="0" w:color="auto"/>
        <w:right w:val="none" w:sz="0" w:space="0" w:color="auto"/>
      </w:divBdr>
      <w:divsChild>
        <w:div w:id="255134486">
          <w:marLeft w:val="274"/>
          <w:marRight w:val="0"/>
          <w:marTop w:val="120"/>
          <w:marBottom w:val="0"/>
          <w:divBdr>
            <w:top w:val="none" w:sz="0" w:space="0" w:color="auto"/>
            <w:left w:val="none" w:sz="0" w:space="0" w:color="auto"/>
            <w:bottom w:val="none" w:sz="0" w:space="0" w:color="auto"/>
            <w:right w:val="none" w:sz="0" w:space="0" w:color="auto"/>
          </w:divBdr>
        </w:div>
        <w:div w:id="364646940">
          <w:marLeft w:val="274"/>
          <w:marRight w:val="0"/>
          <w:marTop w:val="0"/>
          <w:marBottom w:val="0"/>
          <w:divBdr>
            <w:top w:val="none" w:sz="0" w:space="0" w:color="auto"/>
            <w:left w:val="none" w:sz="0" w:space="0" w:color="auto"/>
            <w:bottom w:val="none" w:sz="0" w:space="0" w:color="auto"/>
            <w:right w:val="none" w:sz="0" w:space="0" w:color="auto"/>
          </w:divBdr>
        </w:div>
        <w:div w:id="615255890">
          <w:marLeft w:val="274"/>
          <w:marRight w:val="0"/>
          <w:marTop w:val="0"/>
          <w:marBottom w:val="0"/>
          <w:divBdr>
            <w:top w:val="none" w:sz="0" w:space="0" w:color="auto"/>
            <w:left w:val="none" w:sz="0" w:space="0" w:color="auto"/>
            <w:bottom w:val="none" w:sz="0" w:space="0" w:color="auto"/>
            <w:right w:val="none" w:sz="0" w:space="0" w:color="auto"/>
          </w:divBdr>
        </w:div>
        <w:div w:id="764156116">
          <w:marLeft w:val="274"/>
          <w:marRight w:val="0"/>
          <w:marTop w:val="0"/>
          <w:marBottom w:val="0"/>
          <w:divBdr>
            <w:top w:val="none" w:sz="0" w:space="0" w:color="auto"/>
            <w:left w:val="none" w:sz="0" w:space="0" w:color="auto"/>
            <w:bottom w:val="none" w:sz="0" w:space="0" w:color="auto"/>
            <w:right w:val="none" w:sz="0" w:space="0" w:color="auto"/>
          </w:divBdr>
        </w:div>
        <w:div w:id="815339875">
          <w:marLeft w:val="274"/>
          <w:marRight w:val="0"/>
          <w:marTop w:val="0"/>
          <w:marBottom w:val="0"/>
          <w:divBdr>
            <w:top w:val="none" w:sz="0" w:space="0" w:color="auto"/>
            <w:left w:val="none" w:sz="0" w:space="0" w:color="auto"/>
            <w:bottom w:val="none" w:sz="0" w:space="0" w:color="auto"/>
            <w:right w:val="none" w:sz="0" w:space="0" w:color="auto"/>
          </w:divBdr>
        </w:div>
        <w:div w:id="980034862">
          <w:marLeft w:val="274"/>
          <w:marRight w:val="0"/>
          <w:marTop w:val="0"/>
          <w:marBottom w:val="0"/>
          <w:divBdr>
            <w:top w:val="none" w:sz="0" w:space="0" w:color="auto"/>
            <w:left w:val="none" w:sz="0" w:space="0" w:color="auto"/>
            <w:bottom w:val="none" w:sz="0" w:space="0" w:color="auto"/>
            <w:right w:val="none" w:sz="0" w:space="0" w:color="auto"/>
          </w:divBdr>
        </w:div>
        <w:div w:id="1026754668">
          <w:marLeft w:val="274"/>
          <w:marRight w:val="0"/>
          <w:marTop w:val="120"/>
          <w:marBottom w:val="0"/>
          <w:divBdr>
            <w:top w:val="none" w:sz="0" w:space="0" w:color="auto"/>
            <w:left w:val="none" w:sz="0" w:space="0" w:color="auto"/>
            <w:bottom w:val="none" w:sz="0" w:space="0" w:color="auto"/>
            <w:right w:val="none" w:sz="0" w:space="0" w:color="auto"/>
          </w:divBdr>
        </w:div>
        <w:div w:id="1130977134">
          <w:marLeft w:val="274"/>
          <w:marRight w:val="0"/>
          <w:marTop w:val="0"/>
          <w:marBottom w:val="0"/>
          <w:divBdr>
            <w:top w:val="none" w:sz="0" w:space="0" w:color="auto"/>
            <w:left w:val="none" w:sz="0" w:space="0" w:color="auto"/>
            <w:bottom w:val="none" w:sz="0" w:space="0" w:color="auto"/>
            <w:right w:val="none" w:sz="0" w:space="0" w:color="auto"/>
          </w:divBdr>
        </w:div>
        <w:div w:id="1328021672">
          <w:marLeft w:val="274"/>
          <w:marRight w:val="0"/>
          <w:marTop w:val="120"/>
          <w:marBottom w:val="0"/>
          <w:divBdr>
            <w:top w:val="none" w:sz="0" w:space="0" w:color="auto"/>
            <w:left w:val="none" w:sz="0" w:space="0" w:color="auto"/>
            <w:bottom w:val="none" w:sz="0" w:space="0" w:color="auto"/>
            <w:right w:val="none" w:sz="0" w:space="0" w:color="auto"/>
          </w:divBdr>
        </w:div>
        <w:div w:id="1573152083">
          <w:marLeft w:val="274"/>
          <w:marRight w:val="0"/>
          <w:marTop w:val="120"/>
          <w:marBottom w:val="0"/>
          <w:divBdr>
            <w:top w:val="none" w:sz="0" w:space="0" w:color="auto"/>
            <w:left w:val="none" w:sz="0" w:space="0" w:color="auto"/>
            <w:bottom w:val="none" w:sz="0" w:space="0" w:color="auto"/>
            <w:right w:val="none" w:sz="0" w:space="0" w:color="auto"/>
          </w:divBdr>
        </w:div>
        <w:div w:id="1632708836">
          <w:marLeft w:val="274"/>
          <w:marRight w:val="0"/>
          <w:marTop w:val="120"/>
          <w:marBottom w:val="0"/>
          <w:divBdr>
            <w:top w:val="none" w:sz="0" w:space="0" w:color="auto"/>
            <w:left w:val="none" w:sz="0" w:space="0" w:color="auto"/>
            <w:bottom w:val="none" w:sz="0" w:space="0" w:color="auto"/>
            <w:right w:val="none" w:sz="0" w:space="0" w:color="auto"/>
          </w:divBdr>
        </w:div>
        <w:div w:id="1694064280">
          <w:marLeft w:val="274"/>
          <w:marRight w:val="0"/>
          <w:marTop w:val="120"/>
          <w:marBottom w:val="0"/>
          <w:divBdr>
            <w:top w:val="none" w:sz="0" w:space="0" w:color="auto"/>
            <w:left w:val="none" w:sz="0" w:space="0" w:color="auto"/>
            <w:bottom w:val="none" w:sz="0" w:space="0" w:color="auto"/>
            <w:right w:val="none" w:sz="0" w:space="0" w:color="auto"/>
          </w:divBdr>
        </w:div>
        <w:div w:id="1844083645">
          <w:marLeft w:val="274"/>
          <w:marRight w:val="0"/>
          <w:marTop w:val="120"/>
          <w:marBottom w:val="0"/>
          <w:divBdr>
            <w:top w:val="none" w:sz="0" w:space="0" w:color="auto"/>
            <w:left w:val="none" w:sz="0" w:space="0" w:color="auto"/>
            <w:bottom w:val="none" w:sz="0" w:space="0" w:color="auto"/>
            <w:right w:val="none" w:sz="0" w:space="0" w:color="auto"/>
          </w:divBdr>
        </w:div>
        <w:div w:id="2019886383">
          <w:marLeft w:val="274"/>
          <w:marRight w:val="0"/>
          <w:marTop w:val="120"/>
          <w:marBottom w:val="0"/>
          <w:divBdr>
            <w:top w:val="none" w:sz="0" w:space="0" w:color="auto"/>
            <w:left w:val="none" w:sz="0" w:space="0" w:color="auto"/>
            <w:bottom w:val="none" w:sz="0" w:space="0" w:color="auto"/>
            <w:right w:val="none" w:sz="0" w:space="0" w:color="auto"/>
          </w:divBdr>
        </w:div>
        <w:div w:id="2084642598">
          <w:marLeft w:val="274"/>
          <w:marRight w:val="0"/>
          <w:marTop w:val="0"/>
          <w:marBottom w:val="0"/>
          <w:divBdr>
            <w:top w:val="none" w:sz="0" w:space="0" w:color="auto"/>
            <w:left w:val="none" w:sz="0" w:space="0" w:color="auto"/>
            <w:bottom w:val="none" w:sz="0" w:space="0" w:color="auto"/>
            <w:right w:val="none" w:sz="0" w:space="0" w:color="auto"/>
          </w:divBdr>
        </w:div>
        <w:div w:id="2142569546">
          <w:marLeft w:val="274"/>
          <w:marRight w:val="0"/>
          <w:marTop w:val="0"/>
          <w:marBottom w:val="0"/>
          <w:divBdr>
            <w:top w:val="none" w:sz="0" w:space="0" w:color="auto"/>
            <w:left w:val="none" w:sz="0" w:space="0" w:color="auto"/>
            <w:bottom w:val="none" w:sz="0" w:space="0" w:color="auto"/>
            <w:right w:val="none" w:sz="0" w:space="0" w:color="auto"/>
          </w:divBdr>
        </w:div>
      </w:divsChild>
    </w:div>
    <w:div w:id="1751850178">
      <w:bodyDiv w:val="1"/>
      <w:marLeft w:val="0"/>
      <w:marRight w:val="0"/>
      <w:marTop w:val="0"/>
      <w:marBottom w:val="0"/>
      <w:divBdr>
        <w:top w:val="none" w:sz="0" w:space="0" w:color="auto"/>
        <w:left w:val="none" w:sz="0" w:space="0" w:color="auto"/>
        <w:bottom w:val="none" w:sz="0" w:space="0" w:color="auto"/>
        <w:right w:val="none" w:sz="0" w:space="0" w:color="auto"/>
      </w:divBdr>
    </w:div>
    <w:div w:id="1812794687">
      <w:bodyDiv w:val="1"/>
      <w:marLeft w:val="0"/>
      <w:marRight w:val="0"/>
      <w:marTop w:val="0"/>
      <w:marBottom w:val="0"/>
      <w:divBdr>
        <w:top w:val="none" w:sz="0" w:space="0" w:color="auto"/>
        <w:left w:val="none" w:sz="0" w:space="0" w:color="auto"/>
        <w:bottom w:val="none" w:sz="0" w:space="0" w:color="auto"/>
        <w:right w:val="none" w:sz="0" w:space="0" w:color="auto"/>
      </w:divBdr>
    </w:div>
    <w:div w:id="1825314795">
      <w:bodyDiv w:val="1"/>
      <w:marLeft w:val="0"/>
      <w:marRight w:val="0"/>
      <w:marTop w:val="0"/>
      <w:marBottom w:val="0"/>
      <w:divBdr>
        <w:top w:val="none" w:sz="0" w:space="0" w:color="auto"/>
        <w:left w:val="none" w:sz="0" w:space="0" w:color="auto"/>
        <w:bottom w:val="none" w:sz="0" w:space="0" w:color="auto"/>
        <w:right w:val="none" w:sz="0" w:space="0" w:color="auto"/>
      </w:divBdr>
    </w:div>
    <w:div w:id="1876581534">
      <w:bodyDiv w:val="1"/>
      <w:marLeft w:val="0"/>
      <w:marRight w:val="0"/>
      <w:marTop w:val="0"/>
      <w:marBottom w:val="0"/>
      <w:divBdr>
        <w:top w:val="none" w:sz="0" w:space="0" w:color="auto"/>
        <w:left w:val="none" w:sz="0" w:space="0" w:color="auto"/>
        <w:bottom w:val="none" w:sz="0" w:space="0" w:color="auto"/>
        <w:right w:val="none" w:sz="0" w:space="0" w:color="auto"/>
      </w:divBdr>
    </w:div>
    <w:div w:id="1899123018">
      <w:bodyDiv w:val="1"/>
      <w:marLeft w:val="0"/>
      <w:marRight w:val="0"/>
      <w:marTop w:val="0"/>
      <w:marBottom w:val="0"/>
      <w:divBdr>
        <w:top w:val="none" w:sz="0" w:space="0" w:color="auto"/>
        <w:left w:val="none" w:sz="0" w:space="0" w:color="auto"/>
        <w:bottom w:val="none" w:sz="0" w:space="0" w:color="auto"/>
        <w:right w:val="none" w:sz="0" w:space="0" w:color="auto"/>
      </w:divBdr>
    </w:div>
    <w:div w:id="1955556343">
      <w:bodyDiv w:val="1"/>
      <w:marLeft w:val="0"/>
      <w:marRight w:val="0"/>
      <w:marTop w:val="0"/>
      <w:marBottom w:val="0"/>
      <w:divBdr>
        <w:top w:val="none" w:sz="0" w:space="0" w:color="auto"/>
        <w:left w:val="none" w:sz="0" w:space="0" w:color="auto"/>
        <w:bottom w:val="none" w:sz="0" w:space="0" w:color="auto"/>
        <w:right w:val="none" w:sz="0" w:space="0" w:color="auto"/>
      </w:divBdr>
    </w:div>
    <w:div w:id="1955868216">
      <w:bodyDiv w:val="1"/>
      <w:marLeft w:val="0"/>
      <w:marRight w:val="0"/>
      <w:marTop w:val="0"/>
      <w:marBottom w:val="0"/>
      <w:divBdr>
        <w:top w:val="none" w:sz="0" w:space="0" w:color="auto"/>
        <w:left w:val="none" w:sz="0" w:space="0" w:color="auto"/>
        <w:bottom w:val="none" w:sz="0" w:space="0" w:color="auto"/>
        <w:right w:val="none" w:sz="0" w:space="0" w:color="auto"/>
      </w:divBdr>
    </w:div>
    <w:div w:id="1965774252">
      <w:bodyDiv w:val="1"/>
      <w:marLeft w:val="0"/>
      <w:marRight w:val="0"/>
      <w:marTop w:val="0"/>
      <w:marBottom w:val="0"/>
      <w:divBdr>
        <w:top w:val="none" w:sz="0" w:space="0" w:color="auto"/>
        <w:left w:val="none" w:sz="0" w:space="0" w:color="auto"/>
        <w:bottom w:val="none" w:sz="0" w:space="0" w:color="auto"/>
        <w:right w:val="none" w:sz="0" w:space="0" w:color="auto"/>
      </w:divBdr>
    </w:div>
    <w:div w:id="1968008498">
      <w:bodyDiv w:val="1"/>
      <w:marLeft w:val="0"/>
      <w:marRight w:val="0"/>
      <w:marTop w:val="0"/>
      <w:marBottom w:val="0"/>
      <w:divBdr>
        <w:top w:val="none" w:sz="0" w:space="0" w:color="auto"/>
        <w:left w:val="none" w:sz="0" w:space="0" w:color="auto"/>
        <w:bottom w:val="none" w:sz="0" w:space="0" w:color="auto"/>
        <w:right w:val="none" w:sz="0" w:space="0" w:color="auto"/>
      </w:divBdr>
    </w:div>
    <w:div w:id="1979141441">
      <w:bodyDiv w:val="1"/>
      <w:marLeft w:val="0"/>
      <w:marRight w:val="0"/>
      <w:marTop w:val="0"/>
      <w:marBottom w:val="0"/>
      <w:divBdr>
        <w:top w:val="none" w:sz="0" w:space="0" w:color="auto"/>
        <w:left w:val="none" w:sz="0" w:space="0" w:color="auto"/>
        <w:bottom w:val="none" w:sz="0" w:space="0" w:color="auto"/>
        <w:right w:val="none" w:sz="0" w:space="0" w:color="auto"/>
      </w:divBdr>
    </w:div>
    <w:div w:id="2000421116">
      <w:bodyDiv w:val="1"/>
      <w:marLeft w:val="0"/>
      <w:marRight w:val="0"/>
      <w:marTop w:val="0"/>
      <w:marBottom w:val="0"/>
      <w:divBdr>
        <w:top w:val="none" w:sz="0" w:space="0" w:color="auto"/>
        <w:left w:val="none" w:sz="0" w:space="0" w:color="auto"/>
        <w:bottom w:val="none" w:sz="0" w:space="0" w:color="auto"/>
        <w:right w:val="none" w:sz="0" w:space="0" w:color="auto"/>
      </w:divBdr>
    </w:div>
    <w:div w:id="2016612674">
      <w:bodyDiv w:val="1"/>
      <w:marLeft w:val="0"/>
      <w:marRight w:val="0"/>
      <w:marTop w:val="0"/>
      <w:marBottom w:val="0"/>
      <w:divBdr>
        <w:top w:val="none" w:sz="0" w:space="0" w:color="auto"/>
        <w:left w:val="none" w:sz="0" w:space="0" w:color="auto"/>
        <w:bottom w:val="none" w:sz="0" w:space="0" w:color="auto"/>
        <w:right w:val="none" w:sz="0" w:space="0" w:color="auto"/>
      </w:divBdr>
    </w:div>
    <w:div w:id="2057662400">
      <w:bodyDiv w:val="1"/>
      <w:marLeft w:val="0"/>
      <w:marRight w:val="0"/>
      <w:marTop w:val="0"/>
      <w:marBottom w:val="0"/>
      <w:divBdr>
        <w:top w:val="none" w:sz="0" w:space="0" w:color="auto"/>
        <w:left w:val="none" w:sz="0" w:space="0" w:color="auto"/>
        <w:bottom w:val="none" w:sz="0" w:space="0" w:color="auto"/>
        <w:right w:val="none" w:sz="0" w:space="0" w:color="auto"/>
      </w:divBdr>
    </w:div>
    <w:div w:id="2087846684">
      <w:bodyDiv w:val="1"/>
      <w:marLeft w:val="0"/>
      <w:marRight w:val="0"/>
      <w:marTop w:val="0"/>
      <w:marBottom w:val="0"/>
      <w:divBdr>
        <w:top w:val="none" w:sz="0" w:space="0" w:color="auto"/>
        <w:left w:val="none" w:sz="0" w:space="0" w:color="auto"/>
        <w:bottom w:val="none" w:sz="0" w:space="0" w:color="auto"/>
        <w:right w:val="none" w:sz="0" w:space="0" w:color="auto"/>
      </w:divBdr>
    </w:div>
    <w:div w:id="2089224200">
      <w:bodyDiv w:val="1"/>
      <w:marLeft w:val="0"/>
      <w:marRight w:val="0"/>
      <w:marTop w:val="0"/>
      <w:marBottom w:val="0"/>
      <w:divBdr>
        <w:top w:val="none" w:sz="0" w:space="0" w:color="auto"/>
        <w:left w:val="none" w:sz="0" w:space="0" w:color="auto"/>
        <w:bottom w:val="none" w:sz="0" w:space="0" w:color="auto"/>
        <w:right w:val="none" w:sz="0" w:space="0" w:color="auto"/>
      </w:divBdr>
    </w:div>
    <w:div w:id="2097436601">
      <w:bodyDiv w:val="1"/>
      <w:marLeft w:val="0"/>
      <w:marRight w:val="0"/>
      <w:marTop w:val="0"/>
      <w:marBottom w:val="0"/>
      <w:divBdr>
        <w:top w:val="none" w:sz="0" w:space="0" w:color="auto"/>
        <w:left w:val="none" w:sz="0" w:space="0" w:color="auto"/>
        <w:bottom w:val="none" w:sz="0" w:space="0" w:color="auto"/>
        <w:right w:val="none" w:sz="0" w:space="0" w:color="auto"/>
      </w:divBdr>
    </w:div>
    <w:div w:id="2117290859">
      <w:bodyDiv w:val="1"/>
      <w:marLeft w:val="0"/>
      <w:marRight w:val="0"/>
      <w:marTop w:val="0"/>
      <w:marBottom w:val="0"/>
      <w:divBdr>
        <w:top w:val="none" w:sz="0" w:space="0" w:color="auto"/>
        <w:left w:val="none" w:sz="0" w:space="0" w:color="auto"/>
        <w:bottom w:val="none" w:sz="0" w:space="0" w:color="auto"/>
        <w:right w:val="none" w:sz="0" w:space="0" w:color="auto"/>
      </w:divBdr>
    </w:div>
    <w:div w:id="2117631774">
      <w:bodyDiv w:val="1"/>
      <w:marLeft w:val="0"/>
      <w:marRight w:val="0"/>
      <w:marTop w:val="0"/>
      <w:marBottom w:val="0"/>
      <w:divBdr>
        <w:top w:val="none" w:sz="0" w:space="0" w:color="auto"/>
        <w:left w:val="none" w:sz="0" w:space="0" w:color="auto"/>
        <w:bottom w:val="none" w:sz="0" w:space="0" w:color="auto"/>
        <w:right w:val="none" w:sz="0" w:space="0" w:color="auto"/>
      </w:divBdr>
    </w:div>
    <w:div w:id="2119568861">
      <w:bodyDiv w:val="1"/>
      <w:marLeft w:val="0"/>
      <w:marRight w:val="0"/>
      <w:marTop w:val="0"/>
      <w:marBottom w:val="0"/>
      <w:divBdr>
        <w:top w:val="none" w:sz="0" w:space="0" w:color="auto"/>
        <w:left w:val="none" w:sz="0" w:space="0" w:color="auto"/>
        <w:bottom w:val="none" w:sz="0" w:space="0" w:color="auto"/>
        <w:right w:val="none" w:sz="0" w:space="0" w:color="auto"/>
      </w:divBdr>
    </w:div>
    <w:div w:id="2127236290">
      <w:bodyDiv w:val="1"/>
      <w:marLeft w:val="0"/>
      <w:marRight w:val="0"/>
      <w:marTop w:val="0"/>
      <w:marBottom w:val="0"/>
      <w:divBdr>
        <w:top w:val="none" w:sz="0" w:space="0" w:color="auto"/>
        <w:left w:val="none" w:sz="0" w:space="0" w:color="auto"/>
        <w:bottom w:val="none" w:sz="0" w:space="0" w:color="auto"/>
        <w:right w:val="none" w:sz="0" w:space="0" w:color="auto"/>
      </w:divBdr>
    </w:div>
    <w:div w:id="2143620722">
      <w:bodyDiv w:val="1"/>
      <w:marLeft w:val="0"/>
      <w:marRight w:val="0"/>
      <w:marTop w:val="0"/>
      <w:marBottom w:val="0"/>
      <w:divBdr>
        <w:top w:val="none" w:sz="0" w:space="0" w:color="auto"/>
        <w:left w:val="none" w:sz="0" w:space="0" w:color="auto"/>
        <w:bottom w:val="none" w:sz="0" w:space="0" w:color="auto"/>
        <w:right w:val="none" w:sz="0" w:space="0" w:color="auto"/>
      </w:divBdr>
    </w:div>
    <w:div w:id="214519758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1.xml"/><Relationship Id="rId26" Type="http://schemas.openxmlformats.org/officeDocument/2006/relationships/footer" Target="footer3.xml"/><Relationship Id="rId39" Type="http://schemas.openxmlformats.org/officeDocument/2006/relationships/hyperlink" Target="https://www.exchange-rates.org/exchange-rate-history/usd-eur-2023?utm_source=chatgpt.com" TargetMode="External"/><Relationship Id="rId21" Type="http://schemas.openxmlformats.org/officeDocument/2006/relationships/chart" Target="charts/chart4.xml"/><Relationship Id="rId34" Type="http://schemas.openxmlformats.org/officeDocument/2006/relationships/image" Target="media/image8.png"/><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chart" Target="charts/chart3.xml"/><Relationship Id="rId29" Type="http://schemas.openxmlformats.org/officeDocument/2006/relationships/hyperlink" Target="https://www.diw.de/de/diw_01.c.833179.de/publikationen/roundup/2022_0139/rent_control_effects_through_the_lens_of_empirical_research.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footer" Target="footer4.xml"/><Relationship Id="rId37" Type="http://schemas.openxmlformats.org/officeDocument/2006/relationships/image" Target="media/image11.png"/><Relationship Id="rId40"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2.xml"/><Relationship Id="rId28" Type="http://schemas.openxmlformats.org/officeDocument/2006/relationships/hyperlink" Target="https://www.destatis.de/DE/Themen/Gesellschaft-Umwelt/Wohnen/_inhalt.html" TargetMode="External"/><Relationship Id="rId36" Type="http://schemas.openxmlformats.org/officeDocument/2006/relationships/image" Target="media/image10.png"/><Relationship Id="rId10" Type="http://schemas.openxmlformats.org/officeDocument/2006/relationships/footnotes" Target="footnotes.xml"/><Relationship Id="rId19" Type="http://schemas.openxmlformats.org/officeDocument/2006/relationships/chart" Target="charts/chart2.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www.immowelt.de/immobilienpreise/deutschland" TargetMode="External"/><Relationship Id="rId30" Type="http://schemas.openxmlformats.org/officeDocument/2006/relationships/header" Target="header4.xml"/><Relationship Id="rId35" Type="http://schemas.openxmlformats.org/officeDocument/2006/relationships/image" Target="media/image9.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hugedomains.com/domain_profile.cfm?d=visitsaaremaa.com" TargetMode="External"/><Relationship Id="rId25" Type="http://schemas.openxmlformats.org/officeDocument/2006/relationships/header" Target="header3.xml"/><Relationship Id="rId33" Type="http://schemas.openxmlformats.org/officeDocument/2006/relationships/hyperlink" Target="https://www.amsterdam.nl/en/housing/holiday-rentals/apply-holiday-rental-registration-number/" TargetMode="External"/><Relationship Id="rId38" Type="http://schemas.openxmlformats.org/officeDocument/2006/relationships/hyperlink" Target="https://www.exchange-rates.org/exchange-rate-history/usd-eur-2023?utm_source=chatgpt.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17" Type="http://schemas.openxmlformats.org/officeDocument/2006/relationships/hyperlink" Target="https://doi.org/10.1108/jchmsd-03-2022-0046" TargetMode="External"/><Relationship Id="rId21" Type="http://schemas.openxmlformats.org/officeDocument/2006/relationships/hyperlink" Target="https://www.eesc.europa.eu/et/news-media/eesc-info/042023" TargetMode="External"/><Relationship Id="rId42" Type="http://schemas.openxmlformats.org/officeDocument/2006/relationships/hyperlink" Target="https://ec.europa.eu/eurostat/documents/7894008/12961561/CETOUR-Methodological-note.pdf/1dee049f-5612-1b47-c7ce-75eacaf49790?t=1624886311053" TargetMode="External"/><Relationship Id="rId63" Type="http://schemas.openxmlformats.org/officeDocument/2006/relationships/hyperlink" Target="https://reldor.ee/kulaliskorterid/" TargetMode="External"/><Relationship Id="rId84" Type="http://schemas.openxmlformats.org/officeDocument/2006/relationships/hyperlink" Target="chrome-extension://efaidnbmnnnibpcajpcglclefindmkaj/https:/informacoeseservicos.lisboa.pt/fileadmin/informacoes_servicos/pedidos/pagamentos_taxas_tarifas/taxa_turistica_flyer_2024_EN.pdf" TargetMode="External"/><Relationship Id="rId138" Type="http://schemas.openxmlformats.org/officeDocument/2006/relationships/hyperlink" Target="https://www.gesetze-im-internet.de/bgb/index.html" TargetMode="External"/><Relationship Id="rId159" Type="http://schemas.openxmlformats.org/officeDocument/2006/relationships/hyperlink" Target="https://www.sciencedirect.com/science/article/pii/S0166046224000310" TargetMode="External"/><Relationship Id="rId170" Type="http://schemas.openxmlformats.org/officeDocument/2006/relationships/hyperlink" Target="https://shorttermrentalz.com/news/finland-permits-short-term-rental-hosts/" TargetMode="External"/><Relationship Id="rId191" Type="http://schemas.openxmlformats.org/officeDocument/2006/relationships/hyperlink" Target="https://assets.airbnb.com/help/airbnb-pwc-taxguide-finland-en.pdf" TargetMode="External"/><Relationship Id="rId205" Type="http://schemas.openxmlformats.org/officeDocument/2006/relationships/hyperlink" Target="https://csu.gov.cz/produkty/online-accommodation-platforms-data" TargetMode="External"/><Relationship Id="rId226" Type="http://schemas.openxmlformats.org/officeDocument/2006/relationships/hyperlink" Target="https://www.bazonline.ch/airbnb-wird-in-der-schweiz-zum-milliardengeschaeft-849383456817" TargetMode="External"/><Relationship Id="rId107" Type="http://schemas.openxmlformats.org/officeDocument/2006/relationships/hyperlink" Target="https://andmed.stat.ee/et/stat/majandus__ettevetete-majandusnaitajad__ettevetete-tulud-kulud-kasum__aastastatistika/EM001" TargetMode="External"/><Relationship Id="rId11" Type="http://schemas.openxmlformats.org/officeDocument/2006/relationships/hyperlink" Target="https://ec.europa.eu/eurostat/statistics-explained/index.php?title=Short-stay_accommodation_offered_via_online_collaborative_economy_platforms_-_monthly_data" TargetMode="External"/><Relationship Id="rId32" Type="http://schemas.openxmlformats.org/officeDocument/2006/relationships/hyperlink" Target="https://www.riigiteataja.ee/akt/104042017014?leiaKehtiv" TargetMode="External"/><Relationship Id="rId53" Type="http://schemas.openxmlformats.org/officeDocument/2006/relationships/hyperlink" Target="https://puhkaeestis.ee/et/traveltrade/eestisse-lisandub-kamaluga-uusi-kohti-kus-puhata-oobida-einestada-ja-lahutada-meelt" TargetMode="External"/><Relationship Id="rId74" Type="http://schemas.openxmlformats.org/officeDocument/2006/relationships/hyperlink" Target="https://www.nyc.gov/site/specialenforcement/stay-in-the-know/about-illegal-short-term-rentals.page" TargetMode="External"/><Relationship Id="rId128" Type="http://schemas.openxmlformats.org/officeDocument/2006/relationships/hyperlink" Target="https://www.businessperspectives.org/images/pdf/applications/publishing/templates/article/assets/3959/ee_2011_01_Pazienza.pdf" TargetMode="External"/><Relationship Id="rId149" Type="http://schemas.openxmlformats.org/officeDocument/2006/relationships/hyperlink" Target="https://www.sciencedirect.com/science/article/pii/S0166046224000310" TargetMode="External"/><Relationship Id="rId5" Type="http://schemas.openxmlformats.org/officeDocument/2006/relationships/hyperlink" Target="https://news.airbnb.com/about-us/" TargetMode="External"/><Relationship Id="rId95" Type="http://schemas.openxmlformats.org/officeDocument/2006/relationships/hyperlink" Target="https://doi.org/10.1080/13683500.2020.1857348" TargetMode="External"/><Relationship Id="rId160" Type="http://schemas.openxmlformats.org/officeDocument/2006/relationships/hyperlink" Target="https://valtioneuvosto.fi/-/1410903/ymparistoministerio-pyytaa-lausuntoja-lyhytvuokraukseen-liittyen-asumisen-ja-majoittumisen-maaritelmista-seka-asuin-majoitus-ja-tyotila-asetuksesta" TargetMode="External"/><Relationship Id="rId181" Type="http://schemas.openxmlformats.org/officeDocument/2006/relationships/hyperlink" Target="https://www.hel.fi/static/rakvv/ohjeet/Luvaton-majoitus-eng.pdf" TargetMode="External"/><Relationship Id="rId216" Type="http://schemas.openxmlformats.org/officeDocument/2006/relationships/hyperlink" Target="https://www.bwo.admin.ch/bwo/de/home/Wohnungsmarkt/buchungsplattformen.html" TargetMode="External"/><Relationship Id="rId22" Type="http://schemas.openxmlformats.org/officeDocument/2006/relationships/hyperlink" Target="https://www.riigiteataja.ee/akt/122042021011?tegevus=telli-tolge" TargetMode="External"/><Relationship Id="rId43" Type="http://schemas.openxmlformats.org/officeDocument/2006/relationships/hyperlink" Target="https://ec.europa.eu/eurostat/documents/7894008/12961561/CETOUR-Methodological-note.pdf/1dee049f-5612-1b47-c7ce-75eacaf49790?t=1624886311053" TargetMode="External"/><Relationship Id="rId64" Type="http://schemas.openxmlformats.org/officeDocument/2006/relationships/hyperlink" Target="https://www.mylighthouse.com/resources/blog/ota-short-term-rental-travel-trends" TargetMode="External"/><Relationship Id="rId118" Type="http://schemas.openxmlformats.org/officeDocument/2006/relationships/hyperlink" Target="https://vanalinnaselts.ee/wp-content/uploads/2025/04/2016-Vanalinna-pysielanike-uuring.pdf" TargetMode="External"/><Relationship Id="rId139" Type="http://schemas.openxmlformats.org/officeDocument/2006/relationships/hyperlink" Target="https://sko.legal/kurzzeitvermietung/" TargetMode="External"/><Relationship Id="rId85" Type="http://schemas.openxmlformats.org/officeDocument/2006/relationships/hyperlink" Target="https://comercioturismo.cm-porto.pt/turismo/taxa-municipal-turistica-do-porto" TargetMode="External"/><Relationship Id="rId150" Type="http://schemas.openxmlformats.org/officeDocument/2006/relationships/hyperlink" Target="https://service.berlin.de/dienstleistung/326217/" TargetMode="External"/><Relationship Id="rId171" Type="http://schemas.openxmlformats.org/officeDocument/2006/relationships/hyperlink" Target="https://valtioneuvosto.fi/-/1410903/ymparistoministerio-pyytaa-lausuntoja-lyhytvuokraukseen-liittyen-asumisen-ja-majoittumisen-maaritelmista-seka-asuin-majoitus-ja-tyotila-asetuksesta" TargetMode="External"/><Relationship Id="rId192" Type="http://schemas.openxmlformats.org/officeDocument/2006/relationships/hyperlink" Target="https://www.tandfonline.com/doi/full/10.1080/15022250.2020.1774412" TargetMode="External"/><Relationship Id="rId206" Type="http://schemas.openxmlformats.org/officeDocument/2006/relationships/hyperlink" Target="https://assets.airbnb.com/help/Airbnb-Tax-Guide-2023-Czech-Republic.pdf" TargetMode="External"/><Relationship Id="rId12" Type="http://schemas.openxmlformats.org/officeDocument/2006/relationships/hyperlink" Target="https://doi.org/10.1016/j.ifacol.2022.09.441" TargetMode="External"/><Relationship Id="rId33" Type="http://schemas.openxmlformats.org/officeDocument/2006/relationships/hyperlink" Target="https://www.riigiteataja.ee/akt/105062015001" TargetMode="External"/><Relationship Id="rId108" Type="http://schemas.openxmlformats.org/officeDocument/2006/relationships/hyperlink" Target="https://www.ki.ee/publikatsioonid/valmis/Kultuuri-_ja_spordisundmuste_majanduslik_moju.pdf" TargetMode="External"/><Relationship Id="rId129" Type="http://schemas.openxmlformats.org/officeDocument/2006/relationships/hyperlink" Target="https://www.amsterdam.nl/en/housing/holiday-rentals/" TargetMode="External"/><Relationship Id="rId54" Type="http://schemas.openxmlformats.org/officeDocument/2006/relationships/hyperlink" Target="https://www.kinnisvaraweb.ee/blog/kv-ee-korterite-uuripakkumine-on-aastaga-kasvanud-kolmandiku-vorra/" TargetMode="External"/><Relationship Id="rId75" Type="http://schemas.openxmlformats.org/officeDocument/2006/relationships/hyperlink" Target="https://www.euronews.com/travel/2024/12/03/italy-bans-key-boxes-on-holiday-rental-accommodation-what-does-it-mean-for-travellers" TargetMode="External"/><Relationship Id="rId96" Type="http://schemas.openxmlformats.org/officeDocument/2006/relationships/hyperlink" Target="https://www.oecd.org/en/data/indicators/tax-wedge.html" TargetMode="External"/><Relationship Id="rId140" Type="http://schemas.openxmlformats.org/officeDocument/2006/relationships/hyperlink" Target="https://www.erfolgreicher-vermieten.de/gesetze-fuer-vermieter/" TargetMode="External"/><Relationship Id="rId161" Type="http://schemas.openxmlformats.org/officeDocument/2006/relationships/hyperlink" Target="https://yle.fi/a/74-20034042" TargetMode="External"/><Relationship Id="rId182" Type="http://schemas.openxmlformats.org/officeDocument/2006/relationships/hyperlink" Target="https://www.hel.fi/static/rakvv/ohjeet/Luvaton-majoitus-eng.pdf" TargetMode="External"/><Relationship Id="rId217" Type="http://schemas.openxmlformats.org/officeDocument/2006/relationships/hyperlink" Target="https://www.moneyland.ch/en/earn-income-airbnb-home-sharing-switzerland-guide" TargetMode="External"/><Relationship Id="rId6" Type="http://schemas.openxmlformats.org/officeDocument/2006/relationships/hyperlink" Target="https://doi.org/10.1080/02673037.2023.2176829" TargetMode="External"/><Relationship Id="rId23" Type="http://schemas.openxmlformats.org/officeDocument/2006/relationships/hyperlink" Target="https://www.riigikogu.ee/tegevus/eelnoud/eelnou/f8c28784-fc52-4eaa-a02c-555b2369a55c/turismiseaduse-ja-tarbijakaitseseaduse-muutmise-seadus/" TargetMode="External"/><Relationship Id="rId119" Type="http://schemas.openxmlformats.org/officeDocument/2006/relationships/hyperlink" Target="https://www.emta.ee/maksu-ja-tolliameti-aastaraamat/toojoumaksud" TargetMode="External"/><Relationship Id="rId44" Type="http://schemas.openxmlformats.org/officeDocument/2006/relationships/hyperlink" Target="https://doorbll.com/about" TargetMode="External"/><Relationship Id="rId65" Type="http://schemas.openxmlformats.org/officeDocument/2006/relationships/hyperlink" Target="https://www.kv.ee/hinnastatistika" TargetMode="External"/><Relationship Id="rId86" Type="http://schemas.openxmlformats.org/officeDocument/2006/relationships/hyperlink" Target="https://www.airbnb.com.ee/help/article/3755" TargetMode="External"/><Relationship Id="rId130" Type="http://schemas.openxmlformats.org/officeDocument/2006/relationships/hyperlink" Target="https://zoek.officielebekendmakingen.nl/stb-2020-460.html" TargetMode="External"/><Relationship Id="rId151" Type="http://schemas.openxmlformats.org/officeDocument/2006/relationships/hyperlink" Target="https://gesetze.berlin.de/bsbe/document/jlr-WoZwEntfrGBErahmen" TargetMode="External"/><Relationship Id="rId172" Type="http://schemas.openxmlformats.org/officeDocument/2006/relationships/hyperlink" Target="https://toptenrava.fi/tulkintakortti/asunnoissa-tapahtuva-majoitustoiminta/" TargetMode="External"/><Relationship Id="rId193" Type="http://schemas.openxmlformats.org/officeDocument/2006/relationships/hyperlink" Target="https://aaltodoc.aalto.fi/items/29281dbc-b807-4f6c-a263-a1e9967a1dbd?gad_source=1&amp;gclid=Cj0KCQiAs5i8BhDmARIsAGE4xHz0PpJH65HSsSWzce6xVyo9pH4oIZmkitTQl51Fg6dNCxRWp6hhmb0aAkofEALw_wcB" TargetMode="External"/><Relationship Id="rId207" Type="http://schemas.openxmlformats.org/officeDocument/2006/relationships/hyperlink" Target="https://tvpworld.com/83417848/half-of-prague-residents-want-restrictions-on-short-term-airbnb-rentals-survey-shows" TargetMode="External"/><Relationship Id="rId13" Type="http://schemas.openxmlformats.org/officeDocument/2006/relationships/hyperlink" Target="https://www.fastcoexist.com/3058203/making-sense-of-the-many-business-models-in-the-sharing-economy" TargetMode="External"/><Relationship Id="rId109" Type="http://schemas.openxmlformats.org/officeDocument/2006/relationships/hyperlink" Target="https://www.ilo.org/sites/default/files/2025-09/MIGRANT%E2%80%93%20ILO%20Global%20Estimates%20on%20International%20Migrant%20Workers.pdf" TargetMode="External"/><Relationship Id="rId34" Type="http://schemas.openxmlformats.org/officeDocument/2006/relationships/hyperlink" Target="https://www.riigiteataja.ee/akt/122042021011" TargetMode="External"/><Relationship Id="rId55" Type="http://schemas.openxmlformats.org/officeDocument/2006/relationships/hyperlink" Target="https://arileht.delfi.ee/artikkel/120335669/tallinna-suured-hotellid-teenivad-kumneid-miljoneid-eurosid-kahjumit-kuid-juurde-tuleb-sadu-uusi-numbritube" TargetMode="External"/><Relationship Id="rId76" Type="http://schemas.openxmlformats.org/officeDocument/2006/relationships/hyperlink" Target="https://airbtics.com/airbnb-rules-in-amsterdam-netherlands/" TargetMode="External"/><Relationship Id="rId97" Type="http://schemas.openxmlformats.org/officeDocument/2006/relationships/hyperlink" Target="https://doi-org.ezproxy.tlu.ee/10.1016/j.retrec.2015.04.004" TargetMode="External"/><Relationship Id="rId120" Type="http://schemas.openxmlformats.org/officeDocument/2006/relationships/hyperlink" Target="https://doi-org.ezproxy.tlu.ee/10.1016/j.eneco.2024.107335" TargetMode="External"/><Relationship Id="rId141" Type="http://schemas.openxmlformats.org/officeDocument/2006/relationships/hyperlink" Target="https://hub.wunderflats.com/an-overview-of-the-misuse-of-residential-space-temporary-furnished-housing/" TargetMode="External"/><Relationship Id="rId7" Type="http://schemas.openxmlformats.org/officeDocument/2006/relationships/hyperlink" Target="https://ec.europa.eu/eurostat/databrowser/view/TOUR_CE_OMR/default/table?lang=en" TargetMode="External"/><Relationship Id="rId162" Type="http://schemas.openxmlformats.org/officeDocument/2006/relationships/hyperlink" Target="https://shorttermrentalz.com/news/finland-permits-short-term-rental-hosts/" TargetMode="External"/><Relationship Id="rId183" Type="http://schemas.openxmlformats.org/officeDocument/2006/relationships/hyperlink" Target="https://finlex.fi/api/media/statute-foreign-language-translation/178179/mainPdf/main.pdf?timestamp=2006-04-28T00%3A00%3A00.000Z" TargetMode="External"/><Relationship Id="rId218" Type="http://schemas.openxmlformats.org/officeDocument/2006/relationships/hyperlink" Target="https://assets.airbnb.com/help/AirbnbTaxGuide2024_Switzerland_ENGLISH.pdf" TargetMode="External"/><Relationship Id="rId24" Type="http://schemas.openxmlformats.org/officeDocument/2006/relationships/hyperlink" Target="https://eur-lex.europa.eu/eli/convention/2000/922/oj/eng?utm_source=chatgpt.com" TargetMode="External"/><Relationship Id="rId45" Type="http://schemas.openxmlformats.org/officeDocument/2006/relationships/hyperlink" Target="https://revistaseug.ugr.es/index.php/cuadgeo/article/view/26124/25066" TargetMode="External"/><Relationship Id="rId66" Type="http://schemas.openxmlformats.org/officeDocument/2006/relationships/hyperlink" Target="https://ec.europa.eu/eurostat/databrowser/view/prc_hicp_midx/default/table?lang=en&amp;category=prc.prc_hicp" TargetMode="External"/><Relationship Id="rId87" Type="http://schemas.openxmlformats.org/officeDocument/2006/relationships/hyperlink" Target="https://andmed.stat.ee/et/stat/majandus__turism-ja-majutus__majutus/TU131" TargetMode="External"/><Relationship Id="rId110" Type="http://schemas.openxmlformats.org/officeDocument/2006/relationships/hyperlink" Target="https://www.unodc.org/documents/data-and-analysis/tocta/TOCTA_Report_2010_low_res.pdf" TargetMode="External"/><Relationship Id="rId131" Type="http://schemas.openxmlformats.org/officeDocument/2006/relationships/hyperlink" Target="https://www.amsterdam.nl/en/housing/holiday-rentals/applying-permit/" TargetMode="External"/><Relationship Id="rId152" Type="http://schemas.openxmlformats.org/officeDocument/2006/relationships/hyperlink" Target="https://www.deutscher-ferienhausverband.de/wp-content/uploads/2024/03/2024-02_Studie_Der-Ferienhausmarkt-in-Deutschland.pdf" TargetMode="External"/><Relationship Id="rId173" Type="http://schemas.openxmlformats.org/officeDocument/2006/relationships/hyperlink" Target="https://lieke.com/en/short-term-rentals-and-accommodation-activities-new-directions-for-legislation/?utm_source=chatgpt.com" TargetMode="External"/><Relationship Id="rId194" Type="http://schemas.openxmlformats.org/officeDocument/2006/relationships/hyperlink" Target="https://lieke.com/en/short-term-rentals-and-accommodation-activities-new-directions-for-legislation/?utm_source=chatgpt.com" TargetMode="External"/><Relationship Id="rId208" Type="http://schemas.openxmlformats.org/officeDocument/2006/relationships/hyperlink" Target="https://www.seznamzpravy.cz/clanek/domaci-zivot-v-cesku-problem-pro-airbnb-kratkodobe-pronajmy-dostaly-nekolik-direktu-od-uradu-220984" TargetMode="External"/><Relationship Id="rId14" Type="http://schemas.openxmlformats.org/officeDocument/2006/relationships/hyperlink" Target="https://documents1.worldbank.org/curated/en/161471537537641836/pdf/Tourism-and-the-Sharing-Economy-Policy-Potential-of-Sustainable-Peer-to-Peer-Accommodation.pdf" TargetMode="External"/><Relationship Id="rId35" Type="http://schemas.openxmlformats.org/officeDocument/2006/relationships/hyperlink" Target="https://www.riigiteataja.ee/akt/119122017011" TargetMode="External"/><Relationship Id="rId56" Type="http://schemas.openxmlformats.org/officeDocument/2006/relationships/hyperlink" Target="https://majandus.postimees.ee/8262587/hotellide-ja-restoranide-liit-arvasime-et-tuleb-parem-algus" TargetMode="External"/><Relationship Id="rId77" Type="http://schemas.openxmlformats.org/officeDocument/2006/relationships/hyperlink" Target="https://onderzoek.amsterdam.nl/publicatie/toerisme-mra-2024-2025" TargetMode="External"/><Relationship Id="rId100" Type="http://schemas.openxmlformats.org/officeDocument/2006/relationships/hyperlink" Target="https://stat.ee/et/uudised/peaaegu-veerand-eesti-eluruumidest-pusielaniketa" TargetMode="External"/><Relationship Id="rId8" Type="http://schemas.openxmlformats.org/officeDocument/2006/relationships/hyperlink" Target="https://public.tableau.com/app/profile/enterprise.estonia/viz/ripindadetlaud/Vrdlusmajutusstatistikaga" TargetMode="External"/><Relationship Id="rId98" Type="http://schemas.openxmlformats.org/officeDocument/2006/relationships/hyperlink" Target="https://doi.org/10.1016/j.regsciurbeco.2024.104007" TargetMode="External"/><Relationship Id="rId121" Type="http://schemas.openxmlformats.org/officeDocument/2006/relationships/hyperlink" Target="https://www.ey.com/content/dam/ey-unified-site/ey-com/en-gl/insights/tax/documents/ey-gl-shadow-economy-report-02-2025.pdf" TargetMode="External"/><Relationship Id="rId142" Type="http://schemas.openxmlformats.org/officeDocument/2006/relationships/hyperlink" Target="https://hub.wunderflats.com/temporary-furnished-rentals-all-you-need-to-know-about-the-legal-aspects/" TargetMode="External"/><Relationship Id="rId163" Type="http://schemas.openxmlformats.org/officeDocument/2006/relationships/hyperlink" Target="https://valtioneuvosto.fi/-/1410903/ymparistoministerio-pyytaa-lausuntoja-lyhytvuokraukseen-liittyen-asumisen-ja-majoittumisen-maaritelmista-seka-asuin-majoitus-ja-tyotila-asetuksesta" TargetMode="External"/><Relationship Id="rId184" Type="http://schemas.openxmlformats.org/officeDocument/2006/relationships/hyperlink" Target="https://www.hel.fi/static/rakvv/ohjeet/Luvaton-majoitus-eng.pdf" TargetMode="External"/><Relationship Id="rId219" Type="http://schemas.openxmlformats.org/officeDocument/2006/relationships/hyperlink" Target="https://www.bwo.admin.ch/bwo/de/home/Wohnungsmarkt/buchungsplattformen.html" TargetMode="External"/><Relationship Id="rId3" Type="http://schemas.openxmlformats.org/officeDocument/2006/relationships/hyperlink" Target="https://unece.org/sites/default/files/2025-02/ECE-HBP-216_SharingEconomy.pdf" TargetMode="External"/><Relationship Id="rId214" Type="http://schemas.openxmlformats.org/officeDocument/2006/relationships/hyperlink" Target="https://www.researchgate.net/publication/326106312_International_sharing_economy_The_case_of_airbnb_in_the_Czech_Republic" TargetMode="External"/><Relationship Id="rId25" Type="http://schemas.openxmlformats.org/officeDocument/2006/relationships/hyperlink" Target="https://www.stat.ee/et/esita-andmeid/kusimustikud" TargetMode="External"/><Relationship Id="rId46" Type="http://schemas.openxmlformats.org/officeDocument/2006/relationships/hyperlink" Target="https://ojs.zrc-sazu.si/ags/article/view/769" TargetMode="External"/><Relationship Id="rId67" Type="http://schemas.openxmlformats.org/officeDocument/2006/relationships/hyperlink" Target="https://andmed.stat.ee/et/stat/sotsiaalelu__tooturg__tootud__luhiajastatistika/TT064" TargetMode="External"/><Relationship Id="rId116" Type="http://schemas.openxmlformats.org/officeDocument/2006/relationships/hyperlink" Target="https://doi.org/10.1108/jchmsd-03-2022-0046" TargetMode="External"/><Relationship Id="rId137" Type="http://schemas.openxmlformats.org/officeDocument/2006/relationships/hyperlink" Target="https://opendata.cbs.nl/statline/" TargetMode="External"/><Relationship Id="rId158" Type="http://schemas.openxmlformats.org/officeDocument/2006/relationships/hyperlink" Target="https://www.diw.de/documents/publikationen/73/diw_01.c.808950.de/dp1928.pdf" TargetMode="External"/><Relationship Id="rId20" Type="http://schemas.openxmlformats.org/officeDocument/2006/relationships/hyperlink" Target="https://eur-lex.europa.eu/legal-content/ET/TXT/?uri=CELEX%3A52016DC0356" TargetMode="External"/><Relationship Id="rId41" Type="http://schemas.openxmlformats.org/officeDocument/2006/relationships/hyperlink" Target="https://public.tableau.com/app/profile/enterprise.estonia/viz/ripindadetlaud/Vrdlusmajutusstatistikaga" TargetMode="External"/><Relationship Id="rId62" Type="http://schemas.openxmlformats.org/officeDocument/2006/relationships/hyperlink" Target="https://puhkaeestis.ee/et/traveltrade/luhiajaliste-uuripindade-pakkumine-ja-noudlus-eestis-2019-2024" TargetMode="External"/><Relationship Id="rId83" Type="http://schemas.openxmlformats.org/officeDocument/2006/relationships/hyperlink" Target="https://doi.org/10.1108/jchmsd-03-2022-0046" TargetMode="External"/><Relationship Id="rId88" Type="http://schemas.openxmlformats.org/officeDocument/2006/relationships/hyperlink" Target="https://andmed.stat.ee/et/stat/majandus__turism-ja-majutus__majutus/TU122" TargetMode="External"/><Relationship Id="rId111" Type="http://schemas.openxmlformats.org/officeDocument/2006/relationships/hyperlink" Target="https://www.europarl.europa.eu/RegData/etudes/ATAG/2022/729334/EPRS_ATA(2022)729334_EN.pdf" TargetMode="External"/><Relationship Id="rId132" Type="http://schemas.openxmlformats.org/officeDocument/2006/relationships/hyperlink" Target="https://opendata.cbs.nl/statline/" TargetMode="External"/><Relationship Id="rId153" Type="http://schemas.openxmlformats.org/officeDocument/2006/relationships/hyperlink" Target="https://www.dw.com/en/airbnb-berlin-court-deals-blow-to-holiday-home-platform/a-68510966" TargetMode="External"/><Relationship Id="rId174" Type="http://schemas.openxmlformats.org/officeDocument/2006/relationships/hyperlink" Target="https://www.hel.fi/static/rakvv/ohjeet/Luvaton-majoitus-eng.pdf" TargetMode="External"/><Relationship Id="rId179" Type="http://schemas.openxmlformats.org/officeDocument/2006/relationships/hyperlink" Target="https://www.vero.fi/en/individuals/property/rental_income/what-is-considered-rental-income/occasional-rental-income-from-property" TargetMode="External"/><Relationship Id="rId195" Type="http://schemas.openxmlformats.org/officeDocument/2006/relationships/hyperlink" Target="https://www.theseus.fi/handle/10024/870522" TargetMode="External"/><Relationship Id="rId209" Type="http://schemas.openxmlformats.org/officeDocument/2006/relationships/hyperlink" Target="https://news.airbnb.com/wp-content/uploads/sites/4/2024/09/Airbnb-Prague-Study.pdf" TargetMode="External"/><Relationship Id="rId190" Type="http://schemas.openxmlformats.org/officeDocument/2006/relationships/hyperlink" Target="https://www.tandfonline.com/doi/full/10.1080/15022250.2020.1774412" TargetMode="External"/><Relationship Id="rId204" Type="http://schemas.openxmlformats.org/officeDocument/2006/relationships/hyperlink" Target="https://shorttermrentalz.com/news/czech-prague-details-legislation-2025/" TargetMode="External"/><Relationship Id="rId220" Type="http://schemas.openxmlformats.org/officeDocument/2006/relationships/hyperlink" Target="https://www.moneyland.ch/en/earn-income-airbnb-home-sharing-switzerland-guide?utm_source=chatgpt.com" TargetMode="External"/><Relationship Id="rId225" Type="http://schemas.openxmlformats.org/officeDocument/2006/relationships/hyperlink" Target="https://www.bwo.admin.ch/bwo/de/home/Wohnungsmarkt/buchungsplattformen.html" TargetMode="External"/><Relationship Id="rId15" Type="http://schemas.openxmlformats.org/officeDocument/2006/relationships/hyperlink" Target="https://doi.org/10.1016/j.jbusres.2023.114186" TargetMode="External"/><Relationship Id="rId36" Type="http://schemas.openxmlformats.org/officeDocument/2006/relationships/hyperlink" Target="https://www.riigiteataja.ee/akt/122042021011" TargetMode="External"/><Relationship Id="rId57" Type="http://schemas.openxmlformats.org/officeDocument/2006/relationships/hyperlink" Target="https://arileht.delfi.ee/artikkel/120386723/kuurortlinnade-uurivoidujooks-kuressaare-teeb-parnule-ja-haapsalule-tuule-alla" TargetMode="External"/><Relationship Id="rId106" Type="http://schemas.openxmlformats.org/officeDocument/2006/relationships/hyperlink" Target="https://andmed.stat.ee/et/stat/majandus__turism-ja-majutus__eesti-elanike-reisimine/TU56" TargetMode="External"/><Relationship Id="rId127" Type="http://schemas.openxmlformats.org/officeDocument/2006/relationships/hyperlink" Target="https://conference.nber.org/conf_papers/f220648.pdf" TargetMode="External"/><Relationship Id="rId10" Type="http://schemas.openxmlformats.org/officeDocument/2006/relationships/hyperlink" Target="https://doi.org/10.1177/01600176211059981" TargetMode="External"/><Relationship Id="rId31" Type="http://schemas.openxmlformats.org/officeDocument/2006/relationships/hyperlink" Target="https://www.riigiteataja.ee/akt/122042021011" TargetMode="External"/><Relationship Id="rId52" Type="http://schemas.openxmlformats.org/officeDocument/2006/relationships/hyperlink" Target="https://public.tableau.com/app/profile/enterprise.estonia/viz/ripindadetlaud/Vrdlusmajutusstatistikaga" TargetMode="External"/><Relationship Id="rId73" Type="http://schemas.openxmlformats.org/officeDocument/2006/relationships/hyperlink" Target="https://www.nyc.gov/site/specialenforcement/registration-law/registration.page" TargetMode="External"/><Relationship Id="rId78" Type="http://schemas.openxmlformats.org/officeDocument/2006/relationships/hyperlink" Target="https://onderzoek.amsterdam.nl/publicatie/toeristische-draagkracht-van-wijken-in-amsterdam-in-2023" TargetMode="External"/><Relationship Id="rId94" Type="http://schemas.openxmlformats.org/officeDocument/2006/relationships/hyperlink" Target="https://andmed.stat.ee/et/stat/majandus__ettevetete-majandusnaitajad__ettevetete-tulud-kulud-kasum__aastastatistika/EM006" TargetMode="External"/><Relationship Id="rId99" Type="http://schemas.openxmlformats.org/officeDocument/2006/relationships/hyperlink" Target="https://andmed.stat.ee/et/stat/majandus__hinnad/IA028" TargetMode="External"/><Relationship Id="rId101" Type="http://schemas.openxmlformats.org/officeDocument/2006/relationships/hyperlink" Target="https://scholar.harvard.edu/files/sophie-qingzhen-wang/files/calder-wang_sophie_harvard_airbnb_housing.pdf" TargetMode="External"/><Relationship Id="rId122" Type="http://schemas.openxmlformats.org/officeDocument/2006/relationships/hyperlink" Target="https://www.emta.ee/uudised/mta-algav-kampaania-makse-makstes-hoiame-eestit-koos" TargetMode="External"/><Relationship Id="rId143" Type="http://schemas.openxmlformats.org/officeDocument/2006/relationships/hyperlink" Target="https://www.diw.de/de/diw_01.c.833179.de/publikationen/roundup/2022_0139/rent_control_effects_through_the_lens_of_empirical_research.html" TargetMode="External"/><Relationship Id="rId148" Type="http://schemas.openxmlformats.org/officeDocument/2006/relationships/hyperlink" Target="https://www.diw.de/documents/publikationen/73/diw_01.c.808950.de/dp1928.pdf" TargetMode="External"/><Relationship Id="rId164" Type="http://schemas.openxmlformats.org/officeDocument/2006/relationships/hyperlink" Target="https://valtioneuvosto.fi/-/1410903/ymparistoministerio-pyytaa-lausuntoja-lyhytvuokraukseen-liittyen-asumisen-ja-majoittumisen-maaritelmista-seka-asuin-majoitus-ja-tyotila-asetuksesta" TargetMode="External"/><Relationship Id="rId169" Type="http://schemas.openxmlformats.org/officeDocument/2006/relationships/hyperlink" Target="https://yle.fi/a/74-20034042" TargetMode="External"/><Relationship Id="rId185" Type="http://schemas.openxmlformats.org/officeDocument/2006/relationships/hyperlink" Target="https://lieke.com/en/short-term-rentals-and-accommodation-activities-new-directions-for-legislation/?utm_source=chatgpt.com" TargetMode="External"/><Relationship Id="rId4" Type="http://schemas.openxmlformats.org/officeDocument/2006/relationships/hyperlink" Target="https://papers.ssrn.com/sol3/papers.cfm?abstract_id=4068526" TargetMode="External"/><Relationship Id="rId9" Type="http://schemas.openxmlformats.org/officeDocument/2006/relationships/hyperlink" Target="https://doi.org/10.1016/j.techsoc.2024.102586" TargetMode="External"/><Relationship Id="rId180" Type="http://schemas.openxmlformats.org/officeDocument/2006/relationships/hyperlink" Target="https://www.hel.fi/static/rakvv/ohjeet/Luvaton-majoitus-eng.pdf" TargetMode="External"/><Relationship Id="rId210" Type="http://schemas.openxmlformats.org/officeDocument/2006/relationships/hyperlink" Target="https://news.airbnb.com/wp-content/uploads/sites/4/2024/09/Airbnb-Prague-Study.pdf" TargetMode="External"/><Relationship Id="rId215" Type="http://schemas.openxmlformats.org/officeDocument/2006/relationships/hyperlink" Target="https://tvpworld.com/83417848/half-of-prague-residents-want-restrictions-on-short-term-airbnb-rentals-survey-shows" TargetMode="External"/><Relationship Id="rId26" Type="http://schemas.openxmlformats.org/officeDocument/2006/relationships/hyperlink" Target="https://www.riigiteataja.ee/akt/107032023082" TargetMode="External"/><Relationship Id="rId47" Type="http://schemas.openxmlformats.org/officeDocument/2006/relationships/hyperlink" Target="https://app.airdna.co/data/ee/30907?tab=performance" TargetMode="External"/><Relationship Id="rId68" Type="http://schemas.openxmlformats.org/officeDocument/2006/relationships/hyperlink" Target="https://www.politsei.ee/et/juhend/politseitoeoega-seotud-avaandmed/varavastased-suuteod" TargetMode="External"/><Relationship Id="rId89" Type="http://schemas.openxmlformats.org/officeDocument/2006/relationships/hyperlink" Target="https://ec.europa.eu/eurostat/en/web/products-datasets/-/TOUR_CE_OMR" TargetMode="External"/><Relationship Id="rId112" Type="http://schemas.openxmlformats.org/officeDocument/2006/relationships/hyperlink" Target="https://www.rescue.ee/et/tulekahjudes-hukkunud" TargetMode="External"/><Relationship Id="rId133" Type="http://schemas.openxmlformats.org/officeDocument/2006/relationships/hyperlink" Target="https://onderzoek.amsterdam.nl/publicatie/toerisme-mra-2024-2025" TargetMode="External"/><Relationship Id="rId154" Type="http://schemas.openxmlformats.org/officeDocument/2006/relationships/hyperlink" Target="https://www.dw.com/en/gentrification-battle-berlin-tenants-fight-to-save-their-homes-from-new-buyers/a-50167555" TargetMode="External"/><Relationship Id="rId175" Type="http://schemas.openxmlformats.org/officeDocument/2006/relationships/hyperlink" Target="https://www.finlex.fi/fi/oikeus/kho/vuosikirjat/2024/202401382?search%5Btype%5D=pika&amp;search%5Bpika%5D=KHO%3A2024%3A75" TargetMode="External"/><Relationship Id="rId196" Type="http://schemas.openxmlformats.org/officeDocument/2006/relationships/hyperlink" Target="https://www.ecovislegal.cz/en/czech-legal-news/airbnb-the-issue-of-the-legal-framework-of-short-term-rentals-and-possible-defences-against-their-operators/" TargetMode="External"/><Relationship Id="rId200" Type="http://schemas.openxmlformats.org/officeDocument/2006/relationships/hyperlink" Target="https://www.grantthornton.cz/en/news/finally-there-is-regulation-of-short-term-rentals/" TargetMode="External"/><Relationship Id="rId16" Type="http://schemas.openxmlformats.org/officeDocument/2006/relationships/hyperlink" Target="https://doi.org/10.1080/13683500.2019.1638892" TargetMode="External"/><Relationship Id="rId221" Type="http://schemas.openxmlformats.org/officeDocument/2006/relationships/hyperlink" Target="https://www.ge.ch/louer-mon-logement-plateforme-hebergement-type-airbnb" TargetMode="External"/><Relationship Id="rId37" Type="http://schemas.openxmlformats.org/officeDocument/2006/relationships/hyperlink" Target="https://www.riigikohus.ee/et/lahendid/?asjaNr=2-18-15391/41" TargetMode="External"/><Relationship Id="rId58" Type="http://schemas.openxmlformats.org/officeDocument/2006/relationships/hyperlink" Target="https://doorbll.com/about" TargetMode="External"/><Relationship Id="rId79" Type="http://schemas.openxmlformats.org/officeDocument/2006/relationships/hyperlink" Target="https://finlex.fi/api/media/statute-foreign-language-translation/178179/mainPdf/main.pdf?timestamp=2006-04-28T00%3A00%3A00.000Z" TargetMode="External"/><Relationship Id="rId102" Type="http://schemas.openxmlformats.org/officeDocument/2006/relationships/hyperlink" Target="https://ec.europa.eu/eurostat/databrowser/view/tour_ce_omr/default/table?lang=en" TargetMode="External"/><Relationship Id="rId123" Type="http://schemas.openxmlformats.org/officeDocument/2006/relationships/hyperlink" Target="https://toitumine.ee/toidulisandid" TargetMode="External"/><Relationship Id="rId144" Type="http://schemas.openxmlformats.org/officeDocument/2006/relationships/hyperlink" Target="https://theweekinhousing.substack.com/p/germanys-rent-brake-and-the-impact" TargetMode="External"/><Relationship Id="rId90" Type="http://schemas.openxmlformats.org/officeDocument/2006/relationships/hyperlink" Target="https://ec.europa.eu/eurostat/statistics-explained/index.php?title=Short-stay_accommodation_offered_via_online_collaborative_economy_platforms" TargetMode="External"/><Relationship Id="rId165" Type="http://schemas.openxmlformats.org/officeDocument/2006/relationships/hyperlink" Target="https://www.helsinkitimes.fi/finland/finland-news/domestic/25294-finland-could-allow-municipalities-to-decide-on-short-term-rental-bans.html" TargetMode="External"/><Relationship Id="rId186" Type="http://schemas.openxmlformats.org/officeDocument/2006/relationships/hyperlink" Target="https://valtioneuvosto.fi/-/1410903/ymparistoministerio-pyytaa-lausuntoja-lyhytvuokraukseen-liittyen-asumisen-ja-majoittumisen-maaritelmista-seka-asuin-majoitus-ja-tyotila-asetuksesta" TargetMode="External"/><Relationship Id="rId211" Type="http://schemas.openxmlformats.org/officeDocument/2006/relationships/hyperlink" Target="https://news.airbnb.com/wp-content/uploads/sites/4/2024/09/Airbnb-Prague-Study.pdf" TargetMode="External"/><Relationship Id="rId27" Type="http://schemas.openxmlformats.org/officeDocument/2006/relationships/hyperlink" Target="https://digiteek.artun.ee/static/files/006/1.parand_ja_kogukond_30.03.2021.pdf" TargetMode="External"/><Relationship Id="rId48" Type="http://schemas.openxmlformats.org/officeDocument/2006/relationships/hyperlink" Target="https://ekspress.delfi.ee/artikkel/75036203/airbnb-on-eestis-muutunud-suureks-ariks" TargetMode="External"/><Relationship Id="rId69" Type="http://schemas.openxmlformats.org/officeDocument/2006/relationships/hyperlink" Target="https://www.amsterdam.nl/en/housing/holiday-rentals/applying-permit/" TargetMode="External"/><Relationship Id="rId113" Type="http://schemas.openxmlformats.org/officeDocument/2006/relationships/hyperlink" Target="https://doi.org/10.1371/journal.pone.0253315" TargetMode="External"/><Relationship Id="rId134" Type="http://schemas.openxmlformats.org/officeDocument/2006/relationships/hyperlink" Target="https://www.amsterdam.nl/bestuur-organisatie/organisatie/ruimte-en-economie/wonen/wonen-in-amsterdam/" TargetMode="External"/><Relationship Id="rId80" Type="http://schemas.openxmlformats.org/officeDocument/2006/relationships/hyperlink" Target="https://spanishsolicitors.com/obligatory-registration-rental-properties-spain" TargetMode="External"/><Relationship Id="rId155" Type="http://schemas.openxmlformats.org/officeDocument/2006/relationships/hyperlink" Target="https://tourismusnetzwerk-brandenburg.de/sites/default/files/medien/dokumente/studie-der-ferienhausmarkt-in-deutschland-2024.pdf" TargetMode="External"/><Relationship Id="rId176" Type="http://schemas.openxmlformats.org/officeDocument/2006/relationships/hyperlink" Target="https://www.finlex.fi/fi/oikeus/kho/vuosikirjat/2014/201402865" TargetMode="External"/><Relationship Id="rId197" Type="http://schemas.openxmlformats.org/officeDocument/2006/relationships/hyperlink" Target="https://journals.sagepub.com/doi/10.1177/09697764231155386" TargetMode="External"/><Relationship Id="rId201" Type="http://schemas.openxmlformats.org/officeDocument/2006/relationships/hyperlink" Target="https://mmr.gov.cz/cs/ministerstvo/urad/projektova-kancelar/narodni-plan-obnovy/1-1-digitalni-sluzby-obcanum-a-firmam/e-turista-%E2%80%93-online-registr-ubytovanych-hostu-v-cr" TargetMode="External"/><Relationship Id="rId222" Type="http://schemas.openxmlformats.org/officeDocument/2006/relationships/hyperlink" Target="https://www.swissstats.bfs.admin.ch/collection/ch.admin.bfs.swissstat.en.issue21000252100/article/issue21000252100-13" TargetMode="External"/><Relationship Id="rId17" Type="http://schemas.openxmlformats.org/officeDocument/2006/relationships/hyperlink" Target="https://doi.org/10.1080/13683500.2018.1504899" TargetMode="External"/><Relationship Id="rId38" Type="http://schemas.openxmlformats.org/officeDocument/2006/relationships/hyperlink" Target="https://www.riigiteataja.ee/akt/107072017002" TargetMode="External"/><Relationship Id="rId59" Type="http://schemas.openxmlformats.org/officeDocument/2006/relationships/hyperlink" Target="https://doorbll.com/report?location=Tallinn&amp;country=Estonia" TargetMode="External"/><Relationship Id="rId103" Type="http://schemas.openxmlformats.org/officeDocument/2006/relationships/hyperlink" Target="https://ec.europa.eu/eurostat/databrowser/view/tps00001/default/table?lang=en&amp;category=t_demo.t_demo_pop" TargetMode="External"/><Relationship Id="rId124" Type="http://schemas.openxmlformats.org/officeDocument/2006/relationships/hyperlink" Target="https://www.riigiteataja.ee/aktilisa/4210/6202/5017/Tallinna%20vanalinna%20arengukava%2020354.pdf" TargetMode="External"/><Relationship Id="rId70" Type="http://schemas.openxmlformats.org/officeDocument/2006/relationships/hyperlink" Target="https://www.edinburgh.gov.uk/licences-permits/short-term-let-licence-application-fees-202324" TargetMode="External"/><Relationship Id="rId91" Type="http://schemas.openxmlformats.org/officeDocument/2006/relationships/hyperlink" Target="https://andmed.stat.ee/et/stat/majandus__turism-ja-majutus__majutus/TU112" TargetMode="External"/><Relationship Id="rId145" Type="http://schemas.openxmlformats.org/officeDocument/2006/relationships/hyperlink" Target="https://www.diw.de/documents/publikationen/73/diw_01.c.808950.de/dp1928.pdf" TargetMode="External"/><Relationship Id="rId166" Type="http://schemas.openxmlformats.org/officeDocument/2006/relationships/hyperlink" Target="https://yle.fi/a/74-20034042" TargetMode="External"/><Relationship Id="rId187" Type="http://schemas.openxmlformats.org/officeDocument/2006/relationships/hyperlink" Target="https://yle.fi/a/74-20034042" TargetMode="External"/><Relationship Id="rId1" Type="http://schemas.openxmlformats.org/officeDocument/2006/relationships/hyperlink" Target="https://ec.europa.eu/eurostat/web/nuts" TargetMode="External"/><Relationship Id="rId212" Type="http://schemas.openxmlformats.org/officeDocument/2006/relationships/hyperlink" Target="https://news.airbnb.com/wp-content/uploads/sites/4/2024/09/Airbnb-Prague-Study.pdf" TargetMode="External"/><Relationship Id="rId28" Type="http://schemas.openxmlformats.org/officeDocument/2006/relationships/hyperlink" Target="https://www.riigiteataja.ee/akt/105062015001" TargetMode="External"/><Relationship Id="rId49" Type="http://schemas.openxmlformats.org/officeDocument/2006/relationships/hyperlink" Target="https://meedia.internet.ee/files/DVK%20otsus%20nr%2014-1a-300%20airbnb.ee.pdf" TargetMode="External"/><Relationship Id="rId114" Type="http://schemas.openxmlformats.org/officeDocument/2006/relationships/hyperlink" Target="https://doi.org/10.1016/j.cities.2021.103241" TargetMode="External"/><Relationship Id="rId60" Type="http://schemas.openxmlformats.org/officeDocument/2006/relationships/hyperlink" Target="https://parnu.postimees.ee/8070940/graafik-parnus-teenib-suvekuudega-kahe-aasta-uuritulu" TargetMode="External"/><Relationship Id="rId81" Type="http://schemas.openxmlformats.org/officeDocument/2006/relationships/hyperlink" Target="https://vancouver.ca/doing-business/short-term-rentals.aspx" TargetMode="External"/><Relationship Id="rId135" Type="http://schemas.openxmlformats.org/officeDocument/2006/relationships/hyperlink" Target="https://onderzoek.amsterdam.nl/publicatie/toeristische-draagkracht-van-wijken-in-amsterdam-in-2023" TargetMode="External"/><Relationship Id="rId156" Type="http://schemas.openxmlformats.org/officeDocument/2006/relationships/hyperlink" Target="https://www.diw.de/de/diw_01.c.796644.de/publikationen/diskussionspapiere/2020_1890/airbnb_and_rents__evidence_from_berlin.html" TargetMode="External"/><Relationship Id="rId177" Type="http://schemas.openxmlformats.org/officeDocument/2006/relationships/hyperlink" Target="https://www.finlex.fi/fi/oikeus/kho/vuosikirjat/2024/202401382?search%5Btype%5D=pika&amp;search%5Bpika%5D=KHO%3A2024%3A75" TargetMode="External"/><Relationship Id="rId198" Type="http://schemas.openxmlformats.org/officeDocument/2006/relationships/hyperlink" Target="https://praguemorning.cz/airbnb-faces-new-regulations-in-czechia-what-hosts-need-to-know/" TargetMode="External"/><Relationship Id="rId202" Type="http://schemas.openxmlformats.org/officeDocument/2006/relationships/hyperlink" Target="https://shorttermrentalz.com/news/czechia-legislation-amendment-2025/" TargetMode="External"/><Relationship Id="rId223" Type="http://schemas.openxmlformats.org/officeDocument/2006/relationships/hyperlink" Target="https://airbtics.com/best-airbnb-markets-switzerland/" TargetMode="External"/><Relationship Id="rId18" Type="http://schemas.openxmlformats.org/officeDocument/2006/relationships/hyperlink" Target="https://eur-lex.europa.eu/legal-content/ET/TXT/?uri=CELEX%3A52022PC0571" TargetMode="External"/><Relationship Id="rId39" Type="http://schemas.openxmlformats.org/officeDocument/2006/relationships/hyperlink" Target="https://www.europarl.europa.eu/legislative-train/theme-internal-market-and-consumer-protection-imco/file-short-term-accommodation-rental-services?utm_source=chatgpt.com" TargetMode="External"/><Relationship Id="rId50" Type="http://schemas.openxmlformats.org/officeDocument/2006/relationships/hyperlink" Target="https://www.mkm.ee/sites/default/files/documents/2022-03/lisa_b_majutus_ja_reisikorraldus.pdf" TargetMode="External"/><Relationship Id="rId104" Type="http://schemas.openxmlformats.org/officeDocument/2006/relationships/hyperlink" Target="https://doi.org/10.1111/jors.12685" TargetMode="External"/><Relationship Id="rId125" Type="http://schemas.openxmlformats.org/officeDocument/2006/relationships/hyperlink" Target="https://digiteek.artun.ee/static/files/030/preview_vanalinn_parand_elukeskkond_turism.pdf" TargetMode="External"/><Relationship Id="rId146" Type="http://schemas.openxmlformats.org/officeDocument/2006/relationships/hyperlink" Target="https://www.sciencedirect.com/science/article/pii/S0166046224000310" TargetMode="External"/><Relationship Id="rId167" Type="http://schemas.openxmlformats.org/officeDocument/2006/relationships/hyperlink" Target="https://shorttermrentalz.com/news/finland-permits-short-term-rental-hosts/" TargetMode="External"/><Relationship Id="rId188" Type="http://schemas.openxmlformats.org/officeDocument/2006/relationships/hyperlink" Target="https://www.theseus.fi/handle/10024/870522" TargetMode="External"/><Relationship Id="rId71" Type="http://schemas.openxmlformats.org/officeDocument/2006/relationships/hyperlink" Target="https://vv.potsdam.de/vv/produkte/173010100000028078.php" TargetMode="External"/><Relationship Id="rId92" Type="http://schemas.openxmlformats.org/officeDocument/2006/relationships/hyperlink" Target=",%20http:/www.nber.org/papers/w24361" TargetMode="External"/><Relationship Id="rId213" Type="http://schemas.openxmlformats.org/officeDocument/2006/relationships/hyperlink" Target="https://www.oecd.org/en/publications/housing-affordability-in-cities-in-the-czech-republic_bcddcf4a-en.html" TargetMode="External"/><Relationship Id="rId2" Type="http://schemas.openxmlformats.org/officeDocument/2006/relationships/hyperlink" Target="https://www.airdna.co/blog/vacation-rental-metrics-revpar" TargetMode="External"/><Relationship Id="rId29" Type="http://schemas.openxmlformats.org/officeDocument/2006/relationships/hyperlink" Target="https://www.riigiteataja.ee/akt/109072020017" TargetMode="External"/><Relationship Id="rId40" Type="http://schemas.openxmlformats.org/officeDocument/2006/relationships/hyperlink" Target="https://www.riigikohus.ee/et/lahendid/?asjaNr=3-3-1-47-15" TargetMode="External"/><Relationship Id="rId115" Type="http://schemas.openxmlformats.org/officeDocument/2006/relationships/hyperlink" Target="https://doi.org/10.1016/j.cities.2024.105285" TargetMode="External"/><Relationship Id="rId136" Type="http://schemas.openxmlformats.org/officeDocument/2006/relationships/hyperlink" Target="https://www.sciencedirect.com/science/article/pii/S0264275123000641" TargetMode="External"/><Relationship Id="rId157" Type="http://schemas.openxmlformats.org/officeDocument/2006/relationships/hyperlink" Target="https://www.diw.de/de/diw_01.c.796644.de/publikationen/diskussionspapiere/2020_1890/airbnb_and_rents__evidence_from_berlin.html" TargetMode="External"/><Relationship Id="rId178" Type="http://schemas.openxmlformats.org/officeDocument/2006/relationships/hyperlink" Target="https://www.hel.fi/static/rakvv/ohjeet/Luvaton-majoitus-eng.pdf" TargetMode="External"/><Relationship Id="rId61" Type="http://schemas.openxmlformats.org/officeDocument/2006/relationships/hyperlink" Target="https://arileht.delfi.ee/artikkel/120093528/arendaja-kinnisvara-uuriturg-on-pea-peale-pooratud" TargetMode="External"/><Relationship Id="rId82" Type="http://schemas.openxmlformats.org/officeDocument/2006/relationships/hyperlink" Target="https://europa.eu/eurobarometer/surveys/detail/2279" TargetMode="External"/><Relationship Id="rId199" Type="http://schemas.openxmlformats.org/officeDocument/2006/relationships/hyperlink" Target="https://shorttermrentalz.com/news/czech-prague-details-legislation-2025/" TargetMode="External"/><Relationship Id="rId203" Type="http://schemas.openxmlformats.org/officeDocument/2006/relationships/hyperlink" Target="https://praguemorning.cz/airbnb-faces-new-regulations-in-czechia-what-hosts-need-to-know/" TargetMode="External"/><Relationship Id="rId19" Type="http://schemas.openxmlformats.org/officeDocument/2006/relationships/hyperlink" Target="https://eur-lex.europa.eu/legal-content/ET/ALL/?uri=CELEX:32024R1028" TargetMode="External"/><Relationship Id="rId224" Type="http://schemas.openxmlformats.org/officeDocument/2006/relationships/hyperlink" Target="https://www.sab.ch/wp-content/uploads/2024/11/Studie-Aktuelle-Ansaetze-zur-Regulierung-von-Airbnb-in-der-Schweiz_def.pdf" TargetMode="External"/><Relationship Id="rId30" Type="http://schemas.openxmlformats.org/officeDocument/2006/relationships/hyperlink" Target="https://www.riigiteataja.ee/akt/104042017014?leiaKehtiv" TargetMode="External"/><Relationship Id="rId105" Type="http://schemas.openxmlformats.org/officeDocument/2006/relationships/hyperlink" Target="https://www.eestipank.ee/press/statistikateade-valisturistide-arv-kasvab-tasapisi-09052025" TargetMode="External"/><Relationship Id="rId126" Type="http://schemas.openxmlformats.org/officeDocument/2006/relationships/hyperlink" Target="https://www.tallinn.ee/et/uudis/tallinn-asub-koostama-vanalinna-arengukava-aastani-2035" TargetMode="External"/><Relationship Id="rId147" Type="http://schemas.openxmlformats.org/officeDocument/2006/relationships/hyperlink" Target="https://vv.potsdam.de/vv/produkte/173010100000028078.php" TargetMode="External"/><Relationship Id="rId168" Type="http://schemas.openxmlformats.org/officeDocument/2006/relationships/hyperlink" Target="https://lieke.com/en/short-term-rentals-and-accommodation-activities-new-directions-for-legislation/?utm_source=chatgpt.com" TargetMode="External"/><Relationship Id="rId51" Type="http://schemas.openxmlformats.org/officeDocument/2006/relationships/hyperlink" Target="https://static.visitestonia.com/docs/3475238_piret-kallas2019-aasta-statistiline-kokkuvote.pdf%20slaid%20" TargetMode="External"/><Relationship Id="rId72" Type="http://schemas.openxmlformats.org/officeDocument/2006/relationships/hyperlink" Target="https://www.yourairhost.co.uk/blogs/airbnb-90-day-rule/" TargetMode="External"/><Relationship Id="rId93" Type="http://schemas.openxmlformats.org/officeDocument/2006/relationships/hyperlink" Target="https://doi.org/10.1177/1354816620918769" TargetMode="External"/><Relationship Id="rId189" Type="http://schemas.openxmlformats.org/officeDocument/2006/relationships/hyperlink" Target="https://aaltodoc.aalto.fi/items/29281dbc-b807-4f6c-a263-a1e9967a1dbd?gad_source=1&amp;gclid=Cj0KCQiAs5i8BhDmARIsAGE4xHz0PpJH65HSsSWzce6xVyo9pH4oIZmkitTQl51Fg6dNCxRWp6hhmb0aAkofEALw_wc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Sheet1!$G$1</c:f>
              <c:strCache>
                <c:ptCount val="1"/>
                <c:pt idx="0">
                  <c:v>Ööbimised (lühiajaline)</c:v>
                </c:pt>
              </c:strCache>
            </c:strRef>
          </c:tx>
          <c:spPr>
            <a:ln w="15875" cap="rnd">
              <a:solidFill>
                <a:schemeClr val="bg1">
                  <a:lumMod val="50000"/>
                </a:schemeClr>
              </a:solidFill>
              <a:prstDash val="dashDot"/>
              <a:round/>
            </a:ln>
            <a:effectLst/>
          </c:spPr>
          <c:marker>
            <c:symbol val="none"/>
          </c:marker>
          <c:cat>
            <c:numRef>
              <c:f>Sheet1!$A$2:$A$61</c:f>
              <c:numCache>
                <c:formatCode>General</c:formatCode>
                <c:ptCount val="60"/>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pt idx="45">
                  <c:v>202210</c:v>
                </c:pt>
                <c:pt idx="46">
                  <c:v>202211</c:v>
                </c:pt>
                <c:pt idx="47">
                  <c:v>202212</c:v>
                </c:pt>
                <c:pt idx="48">
                  <c:v>202301</c:v>
                </c:pt>
                <c:pt idx="49">
                  <c:v>202302</c:v>
                </c:pt>
                <c:pt idx="50">
                  <c:v>202303</c:v>
                </c:pt>
                <c:pt idx="51">
                  <c:v>202304</c:v>
                </c:pt>
                <c:pt idx="52">
                  <c:v>202305</c:v>
                </c:pt>
                <c:pt idx="53">
                  <c:v>202306</c:v>
                </c:pt>
                <c:pt idx="54">
                  <c:v>202307</c:v>
                </c:pt>
                <c:pt idx="55">
                  <c:v>202308</c:v>
                </c:pt>
                <c:pt idx="56">
                  <c:v>202309</c:v>
                </c:pt>
                <c:pt idx="57">
                  <c:v>202310</c:v>
                </c:pt>
                <c:pt idx="58">
                  <c:v>202311</c:v>
                </c:pt>
                <c:pt idx="59">
                  <c:v>202312</c:v>
                </c:pt>
              </c:numCache>
            </c:numRef>
          </c:cat>
          <c:val>
            <c:numRef>
              <c:f>Sheet1!$G$2:$G$61</c:f>
              <c:numCache>
                <c:formatCode>General</c:formatCode>
                <c:ptCount val="60"/>
                <c:pt idx="0">
                  <c:v>72959</c:v>
                </c:pt>
                <c:pt idx="1">
                  <c:v>58198</c:v>
                </c:pt>
                <c:pt idx="2">
                  <c:v>66444</c:v>
                </c:pt>
                <c:pt idx="3">
                  <c:v>86211</c:v>
                </c:pt>
                <c:pt idx="4">
                  <c:v>120192</c:v>
                </c:pt>
                <c:pt idx="5">
                  <c:v>173043</c:v>
                </c:pt>
                <c:pt idx="6">
                  <c:v>300215</c:v>
                </c:pt>
                <c:pt idx="7">
                  <c:v>240803</c:v>
                </c:pt>
                <c:pt idx="8">
                  <c:v>102446</c:v>
                </c:pt>
                <c:pt idx="9">
                  <c:v>99836</c:v>
                </c:pt>
                <c:pt idx="10">
                  <c:v>87231</c:v>
                </c:pt>
                <c:pt idx="11">
                  <c:v>115760</c:v>
                </c:pt>
                <c:pt idx="12">
                  <c:v>95742</c:v>
                </c:pt>
                <c:pt idx="13">
                  <c:v>80492</c:v>
                </c:pt>
                <c:pt idx="14">
                  <c:v>45832</c:v>
                </c:pt>
                <c:pt idx="15">
                  <c:v>19614</c:v>
                </c:pt>
                <c:pt idx="16">
                  <c:v>27210</c:v>
                </c:pt>
                <c:pt idx="17">
                  <c:v>69049</c:v>
                </c:pt>
                <c:pt idx="18">
                  <c:v>168581</c:v>
                </c:pt>
                <c:pt idx="19">
                  <c:v>133070</c:v>
                </c:pt>
                <c:pt idx="20">
                  <c:v>48384</c:v>
                </c:pt>
                <c:pt idx="21">
                  <c:v>41708</c:v>
                </c:pt>
                <c:pt idx="22">
                  <c:v>33367</c:v>
                </c:pt>
                <c:pt idx="23">
                  <c:v>43042</c:v>
                </c:pt>
                <c:pt idx="24">
                  <c:v>35884</c:v>
                </c:pt>
                <c:pt idx="25">
                  <c:v>37237</c:v>
                </c:pt>
                <c:pt idx="26">
                  <c:v>31260</c:v>
                </c:pt>
                <c:pt idx="27">
                  <c:v>38129</c:v>
                </c:pt>
                <c:pt idx="28">
                  <c:v>44287</c:v>
                </c:pt>
                <c:pt idx="29">
                  <c:v>83688</c:v>
                </c:pt>
                <c:pt idx="30">
                  <c:v>177537</c:v>
                </c:pt>
                <c:pt idx="31">
                  <c:v>139859</c:v>
                </c:pt>
                <c:pt idx="32">
                  <c:v>64271</c:v>
                </c:pt>
                <c:pt idx="33">
                  <c:v>68279</c:v>
                </c:pt>
                <c:pt idx="34">
                  <c:v>53922</c:v>
                </c:pt>
                <c:pt idx="35">
                  <c:v>73163</c:v>
                </c:pt>
                <c:pt idx="36">
                  <c:v>54955</c:v>
                </c:pt>
                <c:pt idx="37">
                  <c:v>56792</c:v>
                </c:pt>
                <c:pt idx="38">
                  <c:v>65464</c:v>
                </c:pt>
                <c:pt idx="39">
                  <c:v>81098</c:v>
                </c:pt>
                <c:pt idx="40">
                  <c:v>84222</c:v>
                </c:pt>
                <c:pt idx="41">
                  <c:v>140843</c:v>
                </c:pt>
                <c:pt idx="42">
                  <c:v>258128</c:v>
                </c:pt>
                <c:pt idx="43">
                  <c:v>194679</c:v>
                </c:pt>
                <c:pt idx="44">
                  <c:v>90273</c:v>
                </c:pt>
                <c:pt idx="45">
                  <c:v>92034</c:v>
                </c:pt>
                <c:pt idx="46">
                  <c:v>68624</c:v>
                </c:pt>
                <c:pt idx="47">
                  <c:v>99089</c:v>
                </c:pt>
                <c:pt idx="48">
                  <c:v>62998</c:v>
                </c:pt>
                <c:pt idx="49">
                  <c:v>69424</c:v>
                </c:pt>
                <c:pt idx="50">
                  <c:v>67314</c:v>
                </c:pt>
                <c:pt idx="51">
                  <c:v>92489</c:v>
                </c:pt>
                <c:pt idx="52">
                  <c:v>101437</c:v>
                </c:pt>
                <c:pt idx="53">
                  <c:v>171310</c:v>
                </c:pt>
                <c:pt idx="54">
                  <c:v>302642</c:v>
                </c:pt>
                <c:pt idx="55">
                  <c:v>226433</c:v>
                </c:pt>
                <c:pt idx="56">
                  <c:v>99836</c:v>
                </c:pt>
                <c:pt idx="57">
                  <c:v>96222</c:v>
                </c:pt>
                <c:pt idx="58">
                  <c:v>73074</c:v>
                </c:pt>
                <c:pt idx="59">
                  <c:v>119048</c:v>
                </c:pt>
              </c:numCache>
            </c:numRef>
          </c:val>
          <c:smooth val="0"/>
          <c:extLst>
            <c:ext xmlns:c16="http://schemas.microsoft.com/office/drawing/2014/chart" uri="{C3380CC4-5D6E-409C-BE32-E72D297353CC}">
              <c16:uniqueId val="{00000000-FCC8-451B-9B5C-6E10C066AED8}"/>
            </c:ext>
          </c:extLst>
        </c:ser>
        <c:ser>
          <c:idx val="2"/>
          <c:order val="1"/>
          <c:tx>
            <c:strRef>
              <c:f>Sheet1!$H$1</c:f>
              <c:strCache>
                <c:ptCount val="1"/>
                <c:pt idx="0">
                  <c:v>Ööbimised (traditsiooniline)</c:v>
                </c:pt>
              </c:strCache>
            </c:strRef>
          </c:tx>
          <c:spPr>
            <a:ln w="19050" cap="rnd">
              <a:solidFill>
                <a:schemeClr val="accent3"/>
              </a:solidFill>
              <a:round/>
            </a:ln>
            <a:effectLst/>
          </c:spPr>
          <c:marker>
            <c:symbol val="none"/>
          </c:marker>
          <c:cat>
            <c:numRef>
              <c:f>Sheet1!$A$2:$A$61</c:f>
              <c:numCache>
                <c:formatCode>General</c:formatCode>
                <c:ptCount val="60"/>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pt idx="45">
                  <c:v>202210</c:v>
                </c:pt>
                <c:pt idx="46">
                  <c:v>202211</c:v>
                </c:pt>
                <c:pt idx="47">
                  <c:v>202212</c:v>
                </c:pt>
                <c:pt idx="48">
                  <c:v>202301</c:v>
                </c:pt>
                <c:pt idx="49">
                  <c:v>202302</c:v>
                </c:pt>
                <c:pt idx="50">
                  <c:v>202303</c:v>
                </c:pt>
                <c:pt idx="51">
                  <c:v>202304</c:v>
                </c:pt>
                <c:pt idx="52">
                  <c:v>202305</c:v>
                </c:pt>
                <c:pt idx="53">
                  <c:v>202306</c:v>
                </c:pt>
                <c:pt idx="54">
                  <c:v>202307</c:v>
                </c:pt>
                <c:pt idx="55">
                  <c:v>202308</c:v>
                </c:pt>
                <c:pt idx="56">
                  <c:v>202309</c:v>
                </c:pt>
                <c:pt idx="57">
                  <c:v>202310</c:v>
                </c:pt>
                <c:pt idx="58">
                  <c:v>202311</c:v>
                </c:pt>
                <c:pt idx="59">
                  <c:v>202312</c:v>
                </c:pt>
              </c:numCache>
            </c:numRef>
          </c:cat>
          <c:val>
            <c:numRef>
              <c:f>Sheet1!$H$2:$H$61</c:f>
              <c:numCache>
                <c:formatCode>General</c:formatCode>
                <c:ptCount val="60"/>
                <c:pt idx="0">
                  <c:v>394683</c:v>
                </c:pt>
                <c:pt idx="1">
                  <c:v>379649</c:v>
                </c:pt>
                <c:pt idx="2">
                  <c:v>420897</c:v>
                </c:pt>
                <c:pt idx="3">
                  <c:v>481794</c:v>
                </c:pt>
                <c:pt idx="4">
                  <c:v>587683</c:v>
                </c:pt>
                <c:pt idx="5">
                  <c:v>743547</c:v>
                </c:pt>
                <c:pt idx="6">
                  <c:v>1000612</c:v>
                </c:pt>
                <c:pt idx="7">
                  <c:v>885139</c:v>
                </c:pt>
                <c:pt idx="8">
                  <c:v>544075</c:v>
                </c:pt>
                <c:pt idx="9">
                  <c:v>545030</c:v>
                </c:pt>
                <c:pt idx="10">
                  <c:v>478596</c:v>
                </c:pt>
                <c:pt idx="11">
                  <c:v>505342</c:v>
                </c:pt>
                <c:pt idx="12">
                  <c:v>411047</c:v>
                </c:pt>
                <c:pt idx="13">
                  <c:v>414584</c:v>
                </c:pt>
                <c:pt idx="14">
                  <c:v>177167</c:v>
                </c:pt>
                <c:pt idx="15">
                  <c:v>43078</c:v>
                </c:pt>
                <c:pt idx="16">
                  <c:v>83417</c:v>
                </c:pt>
                <c:pt idx="17">
                  <c:v>301351</c:v>
                </c:pt>
                <c:pt idx="18">
                  <c:v>652213</c:v>
                </c:pt>
                <c:pt idx="19">
                  <c:v>591183</c:v>
                </c:pt>
                <c:pt idx="20">
                  <c:v>284855</c:v>
                </c:pt>
                <c:pt idx="21">
                  <c:v>283959</c:v>
                </c:pt>
                <c:pt idx="22">
                  <c:v>224428</c:v>
                </c:pt>
                <c:pt idx="23">
                  <c:v>206730</c:v>
                </c:pt>
                <c:pt idx="24">
                  <c:v>183803</c:v>
                </c:pt>
                <c:pt idx="25">
                  <c:v>187189</c:v>
                </c:pt>
                <c:pt idx="26">
                  <c:v>119652</c:v>
                </c:pt>
                <c:pt idx="27">
                  <c:v>129304</c:v>
                </c:pt>
                <c:pt idx="28">
                  <c:v>179836</c:v>
                </c:pt>
                <c:pt idx="29">
                  <c:v>383890</c:v>
                </c:pt>
                <c:pt idx="30">
                  <c:v>700899</c:v>
                </c:pt>
                <c:pt idx="31">
                  <c:v>626713</c:v>
                </c:pt>
                <c:pt idx="32">
                  <c:v>392782</c:v>
                </c:pt>
                <c:pt idx="33">
                  <c:v>420383</c:v>
                </c:pt>
                <c:pt idx="34">
                  <c:v>319535</c:v>
                </c:pt>
                <c:pt idx="35">
                  <c:v>355011</c:v>
                </c:pt>
                <c:pt idx="36">
                  <c:v>293558</c:v>
                </c:pt>
                <c:pt idx="37">
                  <c:v>301746</c:v>
                </c:pt>
                <c:pt idx="38">
                  <c:v>353034</c:v>
                </c:pt>
                <c:pt idx="39">
                  <c:v>425588</c:v>
                </c:pt>
                <c:pt idx="40">
                  <c:v>445382</c:v>
                </c:pt>
                <c:pt idx="41">
                  <c:v>603995</c:v>
                </c:pt>
                <c:pt idx="42">
                  <c:v>899495</c:v>
                </c:pt>
                <c:pt idx="43">
                  <c:v>776111</c:v>
                </c:pt>
                <c:pt idx="44">
                  <c:v>472465</c:v>
                </c:pt>
                <c:pt idx="45">
                  <c:v>501217</c:v>
                </c:pt>
                <c:pt idx="46">
                  <c:v>417767</c:v>
                </c:pt>
                <c:pt idx="47">
                  <c:v>460515</c:v>
                </c:pt>
                <c:pt idx="48">
                  <c:v>363554</c:v>
                </c:pt>
                <c:pt idx="49">
                  <c:v>409525</c:v>
                </c:pt>
                <c:pt idx="50">
                  <c:v>428037</c:v>
                </c:pt>
                <c:pt idx="51">
                  <c:v>463233</c:v>
                </c:pt>
                <c:pt idx="52">
                  <c:v>495374</c:v>
                </c:pt>
                <c:pt idx="53">
                  <c:v>626343</c:v>
                </c:pt>
                <c:pt idx="54">
                  <c:v>925565</c:v>
                </c:pt>
                <c:pt idx="55">
                  <c:v>793345</c:v>
                </c:pt>
                <c:pt idx="56">
                  <c:v>498247</c:v>
                </c:pt>
                <c:pt idx="57">
                  <c:v>478388</c:v>
                </c:pt>
                <c:pt idx="58">
                  <c:v>404179</c:v>
                </c:pt>
                <c:pt idx="59">
                  <c:v>489072</c:v>
                </c:pt>
              </c:numCache>
            </c:numRef>
          </c:val>
          <c:smooth val="0"/>
          <c:extLst>
            <c:ext xmlns:c16="http://schemas.microsoft.com/office/drawing/2014/chart" uri="{C3380CC4-5D6E-409C-BE32-E72D297353CC}">
              <c16:uniqueId val="{00000001-FCC8-451B-9B5C-6E10C066AED8}"/>
            </c:ext>
          </c:extLst>
        </c:ser>
        <c:dLbls>
          <c:showLegendKey val="0"/>
          <c:showVal val="0"/>
          <c:showCatName val="0"/>
          <c:showSerName val="0"/>
          <c:showPercent val="0"/>
          <c:showBubbleSize val="0"/>
        </c:dLbls>
        <c:marker val="1"/>
        <c:smooth val="0"/>
        <c:axId val="1407573711"/>
        <c:axId val="1407574191"/>
      </c:lineChart>
      <c:lineChart>
        <c:grouping val="standard"/>
        <c:varyColors val="0"/>
        <c:ser>
          <c:idx val="3"/>
          <c:order val="2"/>
          <c:tx>
            <c:strRef>
              <c:f>Sheet1!$I$1</c:f>
              <c:strCache>
                <c:ptCount val="1"/>
                <c:pt idx="0">
                  <c:v>Voodikohad (traditsiooniline)</c:v>
                </c:pt>
              </c:strCache>
            </c:strRef>
          </c:tx>
          <c:spPr>
            <a:ln w="19050" cap="rnd">
              <a:solidFill>
                <a:schemeClr val="tx1"/>
              </a:solidFill>
              <a:prstDash val="sysDash"/>
              <a:round/>
            </a:ln>
            <a:effectLst/>
          </c:spPr>
          <c:marker>
            <c:symbol val="none"/>
          </c:marker>
          <c:val>
            <c:numRef>
              <c:f>Sheet1!$I$2:$I$61</c:f>
              <c:numCache>
                <c:formatCode>General</c:formatCode>
                <c:ptCount val="60"/>
                <c:pt idx="0">
                  <c:v>46569</c:v>
                </c:pt>
                <c:pt idx="1">
                  <c:v>45411</c:v>
                </c:pt>
                <c:pt idx="2">
                  <c:v>45896</c:v>
                </c:pt>
                <c:pt idx="3">
                  <c:v>46477</c:v>
                </c:pt>
                <c:pt idx="4">
                  <c:v>50839</c:v>
                </c:pt>
                <c:pt idx="5">
                  <c:v>57140</c:v>
                </c:pt>
                <c:pt idx="6">
                  <c:v>58553</c:v>
                </c:pt>
                <c:pt idx="7">
                  <c:v>58460</c:v>
                </c:pt>
                <c:pt idx="8">
                  <c:v>52844</c:v>
                </c:pt>
                <c:pt idx="9">
                  <c:v>48631</c:v>
                </c:pt>
                <c:pt idx="10">
                  <c:v>47641</c:v>
                </c:pt>
                <c:pt idx="11">
                  <c:v>47039</c:v>
                </c:pt>
                <c:pt idx="12">
                  <c:v>47619</c:v>
                </c:pt>
                <c:pt idx="13">
                  <c:v>46385</c:v>
                </c:pt>
                <c:pt idx="14">
                  <c:v>46701</c:v>
                </c:pt>
                <c:pt idx="15">
                  <c:v>43032</c:v>
                </c:pt>
                <c:pt idx="16">
                  <c:v>47384</c:v>
                </c:pt>
                <c:pt idx="17">
                  <c:v>54284</c:v>
                </c:pt>
                <c:pt idx="18">
                  <c:v>55778</c:v>
                </c:pt>
                <c:pt idx="19">
                  <c:v>57381</c:v>
                </c:pt>
                <c:pt idx="20">
                  <c:v>51839</c:v>
                </c:pt>
                <c:pt idx="21">
                  <c:v>47168</c:v>
                </c:pt>
                <c:pt idx="22">
                  <c:v>45478</c:v>
                </c:pt>
                <c:pt idx="23">
                  <c:v>45372</c:v>
                </c:pt>
                <c:pt idx="24">
                  <c:v>43911</c:v>
                </c:pt>
                <c:pt idx="25">
                  <c:v>42937</c:v>
                </c:pt>
                <c:pt idx="26">
                  <c:v>42776</c:v>
                </c:pt>
                <c:pt idx="27">
                  <c:v>43904</c:v>
                </c:pt>
                <c:pt idx="28">
                  <c:v>48401</c:v>
                </c:pt>
                <c:pt idx="29">
                  <c:v>52618</c:v>
                </c:pt>
                <c:pt idx="30">
                  <c:v>54256</c:v>
                </c:pt>
                <c:pt idx="31">
                  <c:v>54830</c:v>
                </c:pt>
                <c:pt idx="32">
                  <c:v>52929</c:v>
                </c:pt>
                <c:pt idx="33">
                  <c:v>47623</c:v>
                </c:pt>
                <c:pt idx="34">
                  <c:v>46276</c:v>
                </c:pt>
                <c:pt idx="35">
                  <c:v>45297</c:v>
                </c:pt>
                <c:pt idx="36">
                  <c:v>45288</c:v>
                </c:pt>
                <c:pt idx="37">
                  <c:v>45541</c:v>
                </c:pt>
                <c:pt idx="38">
                  <c:v>45725</c:v>
                </c:pt>
                <c:pt idx="39">
                  <c:v>45990</c:v>
                </c:pt>
                <c:pt idx="40">
                  <c:v>50280</c:v>
                </c:pt>
                <c:pt idx="41">
                  <c:v>53272</c:v>
                </c:pt>
                <c:pt idx="42">
                  <c:v>54959</c:v>
                </c:pt>
                <c:pt idx="43">
                  <c:v>56289</c:v>
                </c:pt>
                <c:pt idx="44">
                  <c:v>53484</c:v>
                </c:pt>
                <c:pt idx="45">
                  <c:v>49732</c:v>
                </c:pt>
                <c:pt idx="46">
                  <c:v>48412</c:v>
                </c:pt>
                <c:pt idx="47">
                  <c:v>48392</c:v>
                </c:pt>
                <c:pt idx="48">
                  <c:v>46801</c:v>
                </c:pt>
                <c:pt idx="49">
                  <c:v>46747</c:v>
                </c:pt>
                <c:pt idx="50">
                  <c:v>47216</c:v>
                </c:pt>
                <c:pt idx="51">
                  <c:v>48184</c:v>
                </c:pt>
                <c:pt idx="52">
                  <c:v>51967</c:v>
                </c:pt>
                <c:pt idx="53">
                  <c:v>56565</c:v>
                </c:pt>
                <c:pt idx="54">
                  <c:v>57457</c:v>
                </c:pt>
                <c:pt idx="55">
                  <c:v>57977</c:v>
                </c:pt>
                <c:pt idx="56">
                  <c:v>53544</c:v>
                </c:pt>
                <c:pt idx="57">
                  <c:v>49598</c:v>
                </c:pt>
                <c:pt idx="58">
                  <c:v>48678</c:v>
                </c:pt>
                <c:pt idx="59">
                  <c:v>48076</c:v>
                </c:pt>
              </c:numCache>
            </c:numRef>
          </c:val>
          <c:smooth val="0"/>
          <c:extLst>
            <c:ext xmlns:c16="http://schemas.microsoft.com/office/drawing/2014/chart" uri="{C3380CC4-5D6E-409C-BE32-E72D297353CC}">
              <c16:uniqueId val="{00000002-FCC8-451B-9B5C-6E10C066AED8}"/>
            </c:ext>
          </c:extLst>
        </c:ser>
        <c:dLbls>
          <c:showLegendKey val="0"/>
          <c:showVal val="0"/>
          <c:showCatName val="0"/>
          <c:showSerName val="0"/>
          <c:showPercent val="0"/>
          <c:showBubbleSize val="0"/>
        </c:dLbls>
        <c:marker val="1"/>
        <c:smooth val="0"/>
        <c:axId val="750095103"/>
        <c:axId val="1404912895"/>
      </c:lineChart>
      <c:catAx>
        <c:axId val="1407573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407574191"/>
        <c:crosses val="autoZero"/>
        <c:auto val="1"/>
        <c:lblAlgn val="ctr"/>
        <c:lblOffset val="100"/>
        <c:noMultiLvlLbl val="0"/>
      </c:catAx>
      <c:valAx>
        <c:axId val="1407574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t-EE"/>
                  <a:t>Ööbimised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t-E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407573711"/>
        <c:crosses val="autoZero"/>
        <c:crossBetween val="between"/>
      </c:valAx>
      <c:valAx>
        <c:axId val="140491289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t-EE"/>
                  <a:t>Voodikohad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t-E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750095103"/>
        <c:crosses val="max"/>
        <c:crossBetween val="between"/>
      </c:valAx>
      <c:catAx>
        <c:axId val="750095103"/>
        <c:scaling>
          <c:orientation val="minMax"/>
        </c:scaling>
        <c:delete val="1"/>
        <c:axPos val="b"/>
        <c:majorTickMark val="out"/>
        <c:minorTickMark val="none"/>
        <c:tickLblPos val="nextTo"/>
        <c:crossAx val="140491289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t-E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Leht4!$C$5</c:f>
              <c:strCache>
                <c:ptCount val="1"/>
                <c:pt idx="0">
                  <c:v>Majutatute arv</c:v>
                </c:pt>
              </c:strCache>
            </c:strRef>
          </c:tx>
          <c:spPr>
            <a:ln w="12700" cap="rnd">
              <a:solidFill>
                <a:schemeClr val="tx1"/>
              </a:solidFill>
              <a:prstDash val="dash"/>
              <a:round/>
            </a:ln>
            <a:effectLst/>
          </c:spPr>
          <c:marker>
            <c:symbol val="none"/>
          </c:marker>
          <c:cat>
            <c:numRef>
              <c:f>Leht4!$D$4:$Z$4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Leht4!$D$5:$Z$5</c:f>
              <c:numCache>
                <c:formatCode>#,##0</c:formatCode>
                <c:ptCount val="23"/>
                <c:pt idx="0">
                  <c:v>1223901</c:v>
                </c:pt>
                <c:pt idx="1">
                  <c:v>1473902</c:v>
                </c:pt>
                <c:pt idx="2">
                  <c:v>1922126</c:v>
                </c:pt>
                <c:pt idx="3" formatCode="General">
                  <c:v>2072586</c:v>
                </c:pt>
                <c:pt idx="4" formatCode="General">
                  <c:v>2259087</c:v>
                </c:pt>
                <c:pt idx="5" formatCode="General">
                  <c:v>2343044</c:v>
                </c:pt>
                <c:pt idx="6" formatCode="General">
                  <c:v>2377671</c:v>
                </c:pt>
                <c:pt idx="7" formatCode="General">
                  <c:v>2147133</c:v>
                </c:pt>
                <c:pt idx="8" formatCode="General">
                  <c:v>2401763</c:v>
                </c:pt>
                <c:pt idx="9" formatCode="General">
                  <c:v>2725937</c:v>
                </c:pt>
                <c:pt idx="10" formatCode="General">
                  <c:v>2839895</c:v>
                </c:pt>
                <c:pt idx="11" formatCode="General">
                  <c:v>2980865</c:v>
                </c:pt>
                <c:pt idx="12" formatCode="General">
                  <c:v>3087070</c:v>
                </c:pt>
                <c:pt idx="13" formatCode="General">
                  <c:v>3112143</c:v>
                </c:pt>
                <c:pt idx="14" formatCode="General">
                  <c:v>3324914</c:v>
                </c:pt>
                <c:pt idx="15" formatCode="General">
                  <c:v>3544932</c:v>
                </c:pt>
                <c:pt idx="16" formatCode="General">
                  <c:v>3591495</c:v>
                </c:pt>
                <c:pt idx="17" formatCode="General">
                  <c:v>3789955</c:v>
                </c:pt>
                <c:pt idx="18" formatCode="General">
                  <c:v>1972131</c:v>
                </c:pt>
                <c:pt idx="19" formatCode="General">
                  <c:v>2138346</c:v>
                </c:pt>
                <c:pt idx="20" formatCode="General">
                  <c:v>3252898</c:v>
                </c:pt>
                <c:pt idx="21" formatCode="General">
                  <c:v>3425730</c:v>
                </c:pt>
                <c:pt idx="22" formatCode="General">
                  <c:v>3610390</c:v>
                </c:pt>
              </c:numCache>
            </c:numRef>
          </c:val>
          <c:smooth val="0"/>
          <c:extLst>
            <c:ext xmlns:c16="http://schemas.microsoft.com/office/drawing/2014/chart" uri="{C3380CC4-5D6E-409C-BE32-E72D297353CC}">
              <c16:uniqueId val="{00000000-A5C5-4A1E-9384-1C21EBF3729A}"/>
            </c:ext>
          </c:extLst>
        </c:ser>
        <c:ser>
          <c:idx val="1"/>
          <c:order val="1"/>
          <c:tx>
            <c:strRef>
              <c:f>Leht4!$C$6</c:f>
              <c:strCache>
                <c:ptCount val="1"/>
                <c:pt idx="0">
                  <c:v>Ööbimiste arv</c:v>
                </c:pt>
              </c:strCache>
            </c:strRef>
          </c:tx>
          <c:spPr>
            <a:ln w="12700" cap="rnd">
              <a:solidFill>
                <a:schemeClr val="tx1"/>
              </a:solidFill>
              <a:round/>
            </a:ln>
            <a:effectLst/>
          </c:spPr>
          <c:marker>
            <c:symbol val="none"/>
          </c:marker>
          <c:cat>
            <c:numRef>
              <c:f>Leht4!$D$4:$Z$4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Leht4!$D$6:$Z$6</c:f>
              <c:numCache>
                <c:formatCode>#,##0</c:formatCode>
                <c:ptCount val="23"/>
                <c:pt idx="0">
                  <c:v>2002574</c:v>
                </c:pt>
                <c:pt idx="1">
                  <c:v>2964587</c:v>
                </c:pt>
                <c:pt idx="2">
                  <c:v>3757715</c:v>
                </c:pt>
                <c:pt idx="3" formatCode="General">
                  <c:v>4111577</c:v>
                </c:pt>
                <c:pt idx="4" formatCode="General">
                  <c:v>4543330</c:v>
                </c:pt>
                <c:pt idx="5" formatCode="General">
                  <c:v>4674501</c:v>
                </c:pt>
                <c:pt idx="6" formatCode="General">
                  <c:v>4602212</c:v>
                </c:pt>
                <c:pt idx="7" formatCode="General">
                  <c:v>4122526</c:v>
                </c:pt>
                <c:pt idx="8" formatCode="General">
                  <c:v>4700680</c:v>
                </c:pt>
                <c:pt idx="9" formatCode="General">
                  <c:v>5399392</c:v>
                </c:pt>
                <c:pt idx="10" formatCode="General">
                  <c:v>5544537</c:v>
                </c:pt>
                <c:pt idx="11" formatCode="General">
                  <c:v>5734033</c:v>
                </c:pt>
                <c:pt idx="12" formatCode="General">
                  <c:v>5809464</c:v>
                </c:pt>
                <c:pt idx="13" formatCode="General">
                  <c:v>5781870</c:v>
                </c:pt>
                <c:pt idx="14" formatCode="General">
                  <c:v>6228128</c:v>
                </c:pt>
                <c:pt idx="15" formatCode="General">
                  <c:v>6509299</c:v>
                </c:pt>
                <c:pt idx="16" formatCode="General">
                  <c:v>6630315</c:v>
                </c:pt>
                <c:pt idx="17" formatCode="General">
                  <c:v>6967047</c:v>
                </c:pt>
                <c:pt idx="18" formatCode="General">
                  <c:v>3674012</c:v>
                </c:pt>
                <c:pt idx="19" formatCode="General">
                  <c:v>3998997</c:v>
                </c:pt>
                <c:pt idx="20" formatCode="General">
                  <c:v>5950873</c:v>
                </c:pt>
                <c:pt idx="21" formatCode="General">
                  <c:v>6374862</c:v>
                </c:pt>
                <c:pt idx="22" formatCode="General">
                  <c:v>6645908</c:v>
                </c:pt>
              </c:numCache>
            </c:numRef>
          </c:val>
          <c:smooth val="0"/>
          <c:extLst>
            <c:ext xmlns:c16="http://schemas.microsoft.com/office/drawing/2014/chart" uri="{C3380CC4-5D6E-409C-BE32-E72D297353CC}">
              <c16:uniqueId val="{00000001-A5C5-4A1E-9384-1C21EBF3729A}"/>
            </c:ext>
          </c:extLst>
        </c:ser>
        <c:dLbls>
          <c:showLegendKey val="0"/>
          <c:showVal val="0"/>
          <c:showCatName val="0"/>
          <c:showSerName val="0"/>
          <c:showPercent val="0"/>
          <c:showBubbleSize val="0"/>
        </c:dLbls>
        <c:smooth val="0"/>
        <c:axId val="1342075696"/>
        <c:axId val="1362811072"/>
      </c:lineChart>
      <c:catAx>
        <c:axId val="134207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t-EE"/>
          </a:p>
        </c:txPr>
        <c:crossAx val="1362811072"/>
        <c:crosses val="autoZero"/>
        <c:auto val="1"/>
        <c:lblAlgn val="ctr"/>
        <c:lblOffset val="100"/>
        <c:noMultiLvlLbl val="0"/>
      </c:catAx>
      <c:valAx>
        <c:axId val="1362811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t-EE"/>
          </a:p>
        </c:txPr>
        <c:crossAx val="134207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t-E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t-E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Sheet1!$G$3</c:f>
              <c:strCache>
                <c:ptCount val="1"/>
                <c:pt idx="0">
                  <c:v>Korterid</c:v>
                </c:pt>
              </c:strCache>
            </c:strRef>
          </c:tx>
          <c:spPr>
            <a:ln w="19050" cap="rnd">
              <a:solidFill>
                <a:schemeClr val="tx1"/>
              </a:solidFill>
              <a:prstDash val="sysDash"/>
              <a:round/>
            </a:ln>
            <a:effectLst/>
          </c:spPr>
          <c:marker>
            <c:symbol val="none"/>
          </c:marker>
          <c:cat>
            <c:numRef>
              <c:f>Sheet1!$F$4:$F$83</c:f>
              <c:numCache>
                <c:formatCode>General</c:formatCode>
                <c:ptCount val="80"/>
                <c:pt idx="0">
                  <c:v>2005</c:v>
                </c:pt>
                <c:pt idx="4">
                  <c:v>2006</c:v>
                </c:pt>
                <c:pt idx="8">
                  <c:v>2007</c:v>
                </c:pt>
                <c:pt idx="12">
                  <c:v>2008</c:v>
                </c:pt>
                <c:pt idx="16">
                  <c:v>2009</c:v>
                </c:pt>
                <c:pt idx="20">
                  <c:v>2010</c:v>
                </c:pt>
                <c:pt idx="24">
                  <c:v>2011</c:v>
                </c:pt>
                <c:pt idx="28">
                  <c:v>2012</c:v>
                </c:pt>
                <c:pt idx="32">
                  <c:v>2013</c:v>
                </c:pt>
                <c:pt idx="36">
                  <c:v>2014</c:v>
                </c:pt>
                <c:pt idx="40">
                  <c:v>2015</c:v>
                </c:pt>
                <c:pt idx="44">
                  <c:v>2016</c:v>
                </c:pt>
                <c:pt idx="48">
                  <c:v>2017</c:v>
                </c:pt>
                <c:pt idx="52">
                  <c:v>2018</c:v>
                </c:pt>
                <c:pt idx="56">
                  <c:v>2019</c:v>
                </c:pt>
                <c:pt idx="60">
                  <c:v>2020</c:v>
                </c:pt>
                <c:pt idx="64">
                  <c:v>2021</c:v>
                </c:pt>
                <c:pt idx="68">
                  <c:v>2022</c:v>
                </c:pt>
                <c:pt idx="72">
                  <c:v>2023</c:v>
                </c:pt>
                <c:pt idx="76">
                  <c:v>2024</c:v>
                </c:pt>
              </c:numCache>
            </c:numRef>
          </c:cat>
          <c:val>
            <c:numRef>
              <c:f>Sheet1!$G$4:$G$83</c:f>
              <c:numCache>
                <c:formatCode>General</c:formatCode>
                <c:ptCount val="80"/>
                <c:pt idx="0">
                  <c:v>6.0548119821542379</c:v>
                </c:pt>
                <c:pt idx="1">
                  <c:v>5.8712750636977962</c:v>
                </c:pt>
                <c:pt idx="2">
                  <c:v>5.299563690539534</c:v>
                </c:pt>
                <c:pt idx="3">
                  <c:v>5.0606364548190026</c:v>
                </c:pt>
                <c:pt idx="4">
                  <c:v>4.2505419634561781</c:v>
                </c:pt>
                <c:pt idx="5">
                  <c:v>4.5074383835393377</c:v>
                </c:pt>
                <c:pt idx="6">
                  <c:v>3.9878987898789879</c:v>
                </c:pt>
                <c:pt idx="7">
                  <c:v>4.0843132349261948</c:v>
                </c:pt>
                <c:pt idx="8">
                  <c:v>3.9044013251301468</c:v>
                </c:pt>
                <c:pt idx="9">
                  <c:v>4.0176384125428708</c:v>
                </c:pt>
                <c:pt idx="10">
                  <c:v>4.0803184638801078</c:v>
                </c:pt>
                <c:pt idx="11">
                  <c:v>4.7228915662650603</c:v>
                </c:pt>
                <c:pt idx="12">
                  <c:v>4.7949373250578065</c:v>
                </c:pt>
                <c:pt idx="13">
                  <c:v>5.5023303987571213</c:v>
                </c:pt>
                <c:pt idx="14">
                  <c:v>5.1763183435781297</c:v>
                </c:pt>
                <c:pt idx="15">
                  <c:v>6.1114352392065339</c:v>
                </c:pt>
                <c:pt idx="16">
                  <c:v>7.3575424291267657</c:v>
                </c:pt>
                <c:pt idx="17">
                  <c:v>8.499738630423419</c:v>
                </c:pt>
                <c:pt idx="18">
                  <c:v>8.6606011747092015</c:v>
                </c:pt>
                <c:pt idx="19">
                  <c:v>9.1514726507713888</c:v>
                </c:pt>
                <c:pt idx="20">
                  <c:v>7.7983539094650203</c:v>
                </c:pt>
                <c:pt idx="21">
                  <c:v>8.1661037154778473</c:v>
                </c:pt>
                <c:pt idx="22">
                  <c:v>7.517828843106181</c:v>
                </c:pt>
                <c:pt idx="23">
                  <c:v>8.0458633982405843</c:v>
                </c:pt>
                <c:pt idx="24">
                  <c:v>7.7510275983558419</c:v>
                </c:pt>
                <c:pt idx="25">
                  <c:v>7.9906759906759905</c:v>
                </c:pt>
                <c:pt idx="26">
                  <c:v>7.1542270958613372</c:v>
                </c:pt>
                <c:pt idx="27">
                  <c:v>7.7641145319091649</c:v>
                </c:pt>
                <c:pt idx="28">
                  <c:v>7.5841690544412605</c:v>
                </c:pt>
                <c:pt idx="29">
                  <c:v>7.6316458916306278</c:v>
                </c:pt>
                <c:pt idx="30">
                  <c:v>7.1297531687791862</c:v>
                </c:pt>
                <c:pt idx="31">
                  <c:v>7.8572653971521706</c:v>
                </c:pt>
                <c:pt idx="32">
                  <c:v>7.249879168680522</c:v>
                </c:pt>
                <c:pt idx="33">
                  <c:v>7.576463282099053</c:v>
                </c:pt>
                <c:pt idx="34">
                  <c:v>6.880224901975291</c:v>
                </c:pt>
                <c:pt idx="35">
                  <c:v>7.0343154740672045</c:v>
                </c:pt>
                <c:pt idx="36">
                  <c:v>6.4554931836407388</c:v>
                </c:pt>
                <c:pt idx="37">
                  <c:v>6.7996011964107685</c:v>
                </c:pt>
                <c:pt idx="38">
                  <c:v>6.2664357642229493</c:v>
                </c:pt>
                <c:pt idx="39">
                  <c:v>6.7284030565988866</c:v>
                </c:pt>
                <c:pt idx="40">
                  <c:v>6.3105279600124957</c:v>
                </c:pt>
                <c:pt idx="41">
                  <c:v>6.5369743837602705</c:v>
                </c:pt>
                <c:pt idx="42">
                  <c:v>6.3914373088685013</c:v>
                </c:pt>
                <c:pt idx="43">
                  <c:v>6.6819858499123175</c:v>
                </c:pt>
                <c:pt idx="44">
                  <c:v>6.6089168887811969</c:v>
                </c:pt>
                <c:pt idx="45">
                  <c:v>6.918500892325997</c:v>
                </c:pt>
                <c:pt idx="46">
                  <c:v>6.3724373576309796</c:v>
                </c:pt>
                <c:pt idx="47">
                  <c:v>6.747345587395821</c:v>
                </c:pt>
                <c:pt idx="48">
                  <c:v>6.5336884456281519</c:v>
                </c:pt>
                <c:pt idx="49">
                  <c:v>7.028464716201686</c:v>
                </c:pt>
                <c:pt idx="50">
                  <c:v>6.5642763445561867</c:v>
                </c:pt>
                <c:pt idx="51">
                  <c:v>6.8788223196406335</c:v>
                </c:pt>
                <c:pt idx="52">
                  <c:v>6.5969086949593665</c:v>
                </c:pt>
                <c:pt idx="53">
                  <c:v>6.87770083823606</c:v>
                </c:pt>
                <c:pt idx="54">
                  <c:v>6.7408103592314115</c:v>
                </c:pt>
                <c:pt idx="55">
                  <c:v>7.0836318968164607</c:v>
                </c:pt>
                <c:pt idx="56">
                  <c:v>6.7898734177215188</c:v>
                </c:pt>
                <c:pt idx="57">
                  <c:v>6.9894591665845729</c:v>
                </c:pt>
                <c:pt idx="58">
                  <c:v>6.7621859722154989</c:v>
                </c:pt>
                <c:pt idx="59">
                  <c:v>6.8975212033175577</c:v>
                </c:pt>
                <c:pt idx="60">
                  <c:v>6.3847203274215554</c:v>
                </c:pt>
                <c:pt idx="61">
                  <c:v>6.6511951728939431</c:v>
                </c:pt>
                <c:pt idx="62">
                  <c:v>6.5853212686226126</c:v>
                </c:pt>
                <c:pt idx="63">
                  <c:v>6.8203304371314095</c:v>
                </c:pt>
                <c:pt idx="64">
                  <c:v>6.1660178324751982</c:v>
                </c:pt>
                <c:pt idx="65">
                  <c:v>6.2581380208333339</c:v>
                </c:pt>
                <c:pt idx="66">
                  <c:v>6.0882860279128117</c:v>
                </c:pt>
                <c:pt idx="67">
                  <c:v>6.1071858087793149</c:v>
                </c:pt>
                <c:pt idx="68">
                  <c:v>5.5458849742375715</c:v>
                </c:pt>
                <c:pt idx="69">
                  <c:v>5.4096370143149288</c:v>
                </c:pt>
                <c:pt idx="70">
                  <c:v>5.2494997498749383</c:v>
                </c:pt>
                <c:pt idx="71">
                  <c:v>5.6311665239046986</c:v>
                </c:pt>
                <c:pt idx="72">
                  <c:v>5.0055399856612137</c:v>
                </c:pt>
                <c:pt idx="73">
                  <c:v>5.0374939525882914</c:v>
                </c:pt>
                <c:pt idx="74">
                  <c:v>4.9842060502976553</c:v>
                </c:pt>
                <c:pt idx="75">
                  <c:v>5.1508134425840169</c:v>
                </c:pt>
                <c:pt idx="76">
                  <c:v>5.1088678913081758</c:v>
                </c:pt>
                <c:pt idx="77">
                  <c:v>5.3383522970313964</c:v>
                </c:pt>
                <c:pt idx="78">
                  <c:v>5.202262352502081</c:v>
                </c:pt>
                <c:pt idx="79">
                  <c:v>5.5384257373901917</c:v>
                </c:pt>
              </c:numCache>
            </c:numRef>
          </c:val>
          <c:smooth val="0"/>
          <c:extLst>
            <c:ext xmlns:c16="http://schemas.microsoft.com/office/drawing/2014/chart" uri="{C3380CC4-5D6E-409C-BE32-E72D297353CC}">
              <c16:uniqueId val="{00000000-4D28-4B78-AC4E-24F19122E63A}"/>
            </c:ext>
          </c:extLst>
        </c:ser>
        <c:ser>
          <c:idx val="1"/>
          <c:order val="1"/>
          <c:tx>
            <c:strRef>
              <c:f>Sheet1!$H$3</c:f>
              <c:strCache>
                <c:ptCount val="1"/>
                <c:pt idx="0">
                  <c:v>Majad</c:v>
                </c:pt>
              </c:strCache>
            </c:strRef>
          </c:tx>
          <c:spPr>
            <a:ln w="19050" cap="rnd">
              <a:solidFill>
                <a:schemeClr val="tx1"/>
              </a:solidFill>
              <a:round/>
            </a:ln>
            <a:effectLst/>
          </c:spPr>
          <c:marker>
            <c:symbol val="none"/>
          </c:marker>
          <c:cat>
            <c:numRef>
              <c:f>Sheet1!$F$4:$F$83</c:f>
              <c:numCache>
                <c:formatCode>General</c:formatCode>
                <c:ptCount val="80"/>
                <c:pt idx="0">
                  <c:v>2005</c:v>
                </c:pt>
                <c:pt idx="4">
                  <c:v>2006</c:v>
                </c:pt>
                <c:pt idx="8">
                  <c:v>2007</c:v>
                </c:pt>
                <c:pt idx="12">
                  <c:v>2008</c:v>
                </c:pt>
                <c:pt idx="16">
                  <c:v>2009</c:v>
                </c:pt>
                <c:pt idx="20">
                  <c:v>2010</c:v>
                </c:pt>
                <c:pt idx="24">
                  <c:v>2011</c:v>
                </c:pt>
                <c:pt idx="28">
                  <c:v>2012</c:v>
                </c:pt>
                <c:pt idx="32">
                  <c:v>2013</c:v>
                </c:pt>
                <c:pt idx="36">
                  <c:v>2014</c:v>
                </c:pt>
                <c:pt idx="40">
                  <c:v>2015</c:v>
                </c:pt>
                <c:pt idx="44">
                  <c:v>2016</c:v>
                </c:pt>
                <c:pt idx="48">
                  <c:v>2017</c:v>
                </c:pt>
                <c:pt idx="52">
                  <c:v>2018</c:v>
                </c:pt>
                <c:pt idx="56">
                  <c:v>2019</c:v>
                </c:pt>
                <c:pt idx="60">
                  <c:v>2020</c:v>
                </c:pt>
                <c:pt idx="64">
                  <c:v>2021</c:v>
                </c:pt>
                <c:pt idx="68">
                  <c:v>2022</c:v>
                </c:pt>
                <c:pt idx="72">
                  <c:v>2023</c:v>
                </c:pt>
                <c:pt idx="76">
                  <c:v>2024</c:v>
                </c:pt>
              </c:numCache>
            </c:numRef>
          </c:cat>
          <c:val>
            <c:numRef>
              <c:f>Sheet1!$H$4:$H$83</c:f>
              <c:numCache>
                <c:formatCode>General</c:formatCode>
                <c:ptCount val="80"/>
                <c:pt idx="0">
                  <c:v>5.8641975308641978</c:v>
                </c:pt>
                <c:pt idx="1">
                  <c:v>6.1534889121096024</c:v>
                </c:pt>
                <c:pt idx="2">
                  <c:v>5.2476290832455215</c:v>
                </c:pt>
                <c:pt idx="3">
                  <c:v>5.7063541024059221</c:v>
                </c:pt>
                <c:pt idx="4">
                  <c:v>5.7366771159874608</c:v>
                </c:pt>
                <c:pt idx="5">
                  <c:v>4.8743396830478627</c:v>
                </c:pt>
                <c:pt idx="6">
                  <c:v>4.4173648134044168</c:v>
                </c:pt>
                <c:pt idx="7">
                  <c:v>4.4337316675719718</c:v>
                </c:pt>
                <c:pt idx="8">
                  <c:v>4.6403712296983759</c:v>
                </c:pt>
                <c:pt idx="9">
                  <c:v>5.2012122066389459</c:v>
                </c:pt>
                <c:pt idx="10">
                  <c:v>4.4502617801047117</c:v>
                </c:pt>
                <c:pt idx="11">
                  <c:v>4.8935771799513139</c:v>
                </c:pt>
                <c:pt idx="12">
                  <c:v>5.4002192982456148</c:v>
                </c:pt>
                <c:pt idx="13">
                  <c:v>5.48033526756931</c:v>
                </c:pt>
                <c:pt idx="14">
                  <c:v>5.1897502432695424</c:v>
                </c:pt>
                <c:pt idx="15">
                  <c:v>7.0705366182922713</c:v>
                </c:pt>
                <c:pt idx="16">
                  <c:v>7.8478964401294498</c:v>
                </c:pt>
                <c:pt idx="17">
                  <c:v>8.2613555532974292</c:v>
                </c:pt>
                <c:pt idx="18">
                  <c:v>7.8513259553142616</c:v>
                </c:pt>
                <c:pt idx="19">
                  <c:v>8.3662784485521957</c:v>
                </c:pt>
                <c:pt idx="20">
                  <c:v>7.5138778747026169</c:v>
                </c:pt>
                <c:pt idx="21">
                  <c:v>8.5518102372034956</c:v>
                </c:pt>
                <c:pt idx="22">
                  <c:v>7.0591517857142856</c:v>
                </c:pt>
                <c:pt idx="23">
                  <c:v>8.5253456221198149</c:v>
                </c:pt>
                <c:pt idx="24">
                  <c:v>7.1706654594839296</c:v>
                </c:pt>
                <c:pt idx="25">
                  <c:v>7.8443935926773456</c:v>
                </c:pt>
                <c:pt idx="26">
                  <c:v>7.8292848156392143</c:v>
                </c:pt>
                <c:pt idx="27">
                  <c:v>7.8479404826710217</c:v>
                </c:pt>
                <c:pt idx="28">
                  <c:v>7.4187614960147146</c:v>
                </c:pt>
                <c:pt idx="29">
                  <c:v>8.0042689434365002</c:v>
                </c:pt>
                <c:pt idx="30">
                  <c:v>7.2790737272262902</c:v>
                </c:pt>
                <c:pt idx="31">
                  <c:v>7.6652719665271967</c:v>
                </c:pt>
                <c:pt idx="32">
                  <c:v>7.9002808988764039</c:v>
                </c:pt>
                <c:pt idx="33">
                  <c:v>8.2817140432753504</c:v>
                </c:pt>
                <c:pt idx="34">
                  <c:v>7.4162679425837315</c:v>
                </c:pt>
                <c:pt idx="35">
                  <c:v>7.8678582827960426</c:v>
                </c:pt>
                <c:pt idx="36">
                  <c:v>7.7187375149820214</c:v>
                </c:pt>
                <c:pt idx="37">
                  <c:v>7.9753644655804159</c:v>
                </c:pt>
                <c:pt idx="38">
                  <c:v>7.2236598890942698</c:v>
                </c:pt>
                <c:pt idx="39">
                  <c:v>7.5486777099680333</c:v>
                </c:pt>
                <c:pt idx="40">
                  <c:v>7.2593976856177678</c:v>
                </c:pt>
                <c:pt idx="41">
                  <c:v>7.5363933969492241</c:v>
                </c:pt>
                <c:pt idx="42">
                  <c:v>7.5543989011783408</c:v>
                </c:pt>
                <c:pt idx="43">
                  <c:v>7.9817971684484252</c:v>
                </c:pt>
                <c:pt idx="44">
                  <c:v>7.8823784408641</c:v>
                </c:pt>
                <c:pt idx="45">
                  <c:v>7.8959875076379937</c:v>
                </c:pt>
                <c:pt idx="46">
                  <c:v>7.5353535353535355</c:v>
                </c:pt>
                <c:pt idx="47">
                  <c:v>7.6066670956947045</c:v>
                </c:pt>
                <c:pt idx="48">
                  <c:v>7.5830318974021695</c:v>
                </c:pt>
                <c:pt idx="49">
                  <c:v>8.1070496083550925</c:v>
                </c:pt>
                <c:pt idx="50">
                  <c:v>7.6171751125769021</c:v>
                </c:pt>
                <c:pt idx="51">
                  <c:v>7.9042288557213922</c:v>
                </c:pt>
                <c:pt idx="52">
                  <c:v>7.6904024767801857</c:v>
                </c:pt>
                <c:pt idx="53">
                  <c:v>8.2821316614420066</c:v>
                </c:pt>
                <c:pt idx="54">
                  <c:v>7.9652023692003944</c:v>
                </c:pt>
                <c:pt idx="55">
                  <c:v>8.1512456563990821</c:v>
                </c:pt>
                <c:pt idx="56">
                  <c:v>7.6602307780189651</c:v>
                </c:pt>
                <c:pt idx="57">
                  <c:v>8.3805811481218999</c:v>
                </c:pt>
                <c:pt idx="58">
                  <c:v>7.9235437581532526</c:v>
                </c:pt>
                <c:pt idx="59">
                  <c:v>8.1964474636672424</c:v>
                </c:pt>
                <c:pt idx="60">
                  <c:v>7.1801166001841059</c:v>
                </c:pt>
                <c:pt idx="61">
                  <c:v>8.5485891546859154</c:v>
                </c:pt>
                <c:pt idx="62">
                  <c:v>8.2427639858139798</c:v>
                </c:pt>
                <c:pt idx="63">
                  <c:v>7.9232257727106319</c:v>
                </c:pt>
                <c:pt idx="64">
                  <c:v>7.3708967173738991</c:v>
                </c:pt>
                <c:pt idx="65">
                  <c:v>7.545873810224708</c:v>
                </c:pt>
                <c:pt idx="66">
                  <c:v>7.4345349226865816</c:v>
                </c:pt>
                <c:pt idx="67">
                  <c:v>6.9808402783744308</c:v>
                </c:pt>
                <c:pt idx="68">
                  <c:v>6.4906490649064903</c:v>
                </c:pt>
                <c:pt idx="69">
                  <c:v>6.5005375518353556</c:v>
                </c:pt>
                <c:pt idx="70">
                  <c:v>6.5668022528160197</c:v>
                </c:pt>
                <c:pt idx="71">
                  <c:v>6.6976077277186636</c:v>
                </c:pt>
                <c:pt idx="72">
                  <c:v>5.4564831261101245</c:v>
                </c:pt>
                <c:pt idx="73">
                  <c:v>6.197225012089425</c:v>
                </c:pt>
                <c:pt idx="74">
                  <c:v>6.0938022206543128</c:v>
                </c:pt>
                <c:pt idx="75">
                  <c:v>6.3436928702010968</c:v>
                </c:pt>
                <c:pt idx="76">
                  <c:v>6.1203684173521768</c:v>
                </c:pt>
                <c:pt idx="77">
                  <c:v>6.4239387804124766</c:v>
                </c:pt>
                <c:pt idx="78">
                  <c:v>6.2227411655620042</c:v>
                </c:pt>
                <c:pt idx="79">
                  <c:v>6.4779531845400102</c:v>
                </c:pt>
              </c:numCache>
            </c:numRef>
          </c:val>
          <c:smooth val="0"/>
          <c:extLst>
            <c:ext xmlns:c16="http://schemas.microsoft.com/office/drawing/2014/chart" uri="{C3380CC4-5D6E-409C-BE32-E72D297353CC}">
              <c16:uniqueId val="{00000001-4D28-4B78-AC4E-24F19122E63A}"/>
            </c:ext>
          </c:extLst>
        </c:ser>
        <c:dLbls>
          <c:showLegendKey val="0"/>
          <c:showVal val="0"/>
          <c:showCatName val="0"/>
          <c:showSerName val="0"/>
          <c:showPercent val="0"/>
          <c:showBubbleSize val="0"/>
        </c:dLbls>
        <c:smooth val="0"/>
        <c:axId val="1326957584"/>
        <c:axId val="1334322560"/>
      </c:lineChart>
      <c:catAx>
        <c:axId val="132695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t-EE"/>
          </a:p>
        </c:txPr>
        <c:crossAx val="1334322560"/>
        <c:crosses val="autoZero"/>
        <c:auto val="1"/>
        <c:lblAlgn val="ctr"/>
        <c:lblOffset val="100"/>
        <c:noMultiLvlLbl val="0"/>
      </c:catAx>
      <c:valAx>
        <c:axId val="1334322560"/>
        <c:scaling>
          <c:orientation val="minMax"/>
          <c:min val="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t-EE" sz="1050"/>
                  <a:t>Keskmine</a:t>
                </a:r>
                <a:r>
                  <a:rPr lang="et-EE" sz="1050" baseline="0"/>
                  <a:t> brutokuupalk/eluaseme hinnaindeks</a:t>
                </a:r>
                <a:endParaRPr lang="et-EE" sz="1050"/>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t-E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326957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t-E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t-E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Leht3!$A$2:$A$32</c:f>
              <c:strCache>
                <c:ptCount val="31"/>
                <c:pt idx="0">
                  <c:v>Horvaatia</c:v>
                </c:pt>
                <c:pt idx="1">
                  <c:v>Malta</c:v>
                </c:pt>
                <c:pt idx="2">
                  <c:v>Island</c:v>
                </c:pt>
                <c:pt idx="3">
                  <c:v>Küpros</c:v>
                </c:pt>
                <c:pt idx="4">
                  <c:v>Portugal</c:v>
                </c:pt>
                <c:pt idx="5">
                  <c:v>Kreeka</c:v>
                </c:pt>
                <c:pt idx="6">
                  <c:v>Hispaania</c:v>
                </c:pt>
                <c:pt idx="7">
                  <c:v>Prantsusmaa</c:v>
                </c:pt>
                <c:pt idx="8">
                  <c:v>Austria</c:v>
                </c:pt>
                <c:pt idx="9">
                  <c:v>Itaalia</c:v>
                </c:pt>
                <c:pt idx="10">
                  <c:v>Sloveenia</c:v>
                </c:pt>
                <c:pt idx="11">
                  <c:v>Iirimaa</c:v>
                </c:pt>
                <c:pt idx="12">
                  <c:v>Norra</c:v>
                </c:pt>
                <c:pt idx="13">
                  <c:v>Eesti</c:v>
                </c:pt>
                <c:pt idx="14">
                  <c:v>Taani</c:v>
                </c:pt>
                <c:pt idx="15">
                  <c:v>Ungari</c:v>
                </c:pt>
                <c:pt idx="16">
                  <c:v>Šveits</c:v>
                </c:pt>
                <c:pt idx="17">
                  <c:v>Belgia</c:v>
                </c:pt>
                <c:pt idx="18">
                  <c:v>Poola</c:v>
                </c:pt>
                <c:pt idx="19">
                  <c:v>Tšehhi</c:v>
                </c:pt>
                <c:pt idx="20">
                  <c:v>Läti</c:v>
                </c:pt>
                <c:pt idx="21">
                  <c:v>Soome</c:v>
                </c:pt>
                <c:pt idx="22">
                  <c:v>Leedu</c:v>
                </c:pt>
                <c:pt idx="23">
                  <c:v>Luksemburg</c:v>
                </c:pt>
                <c:pt idx="24">
                  <c:v>Rootsi</c:v>
                </c:pt>
                <c:pt idx="25">
                  <c:v>Bulgaaria</c:v>
                </c:pt>
                <c:pt idx="26">
                  <c:v>Saksamaa</c:v>
                </c:pt>
                <c:pt idx="27">
                  <c:v>Slovakkia</c:v>
                </c:pt>
                <c:pt idx="28">
                  <c:v>Liechtenstein</c:v>
                </c:pt>
                <c:pt idx="29">
                  <c:v>Holland</c:v>
                </c:pt>
                <c:pt idx="30">
                  <c:v>Rumeenia</c:v>
                </c:pt>
              </c:strCache>
            </c:strRef>
          </c:cat>
          <c:val>
            <c:numRef>
              <c:f>Leht3!$B$2:$B$32</c:f>
              <c:numCache>
                <c:formatCode>General</c:formatCode>
                <c:ptCount val="31"/>
                <c:pt idx="0">
                  <c:v>8.9586999797968989</c:v>
                </c:pt>
                <c:pt idx="1">
                  <c:v>7.6455185951137441</c:v>
                </c:pt>
                <c:pt idx="2">
                  <c:v>6.2607038410555038</c:v>
                </c:pt>
                <c:pt idx="3">
                  <c:v>5.6423393503630868</c:v>
                </c:pt>
                <c:pt idx="4">
                  <c:v>3.7582309945371235</c:v>
                </c:pt>
                <c:pt idx="5">
                  <c:v>3.6917980077169328</c:v>
                </c:pt>
                <c:pt idx="6">
                  <c:v>2.9334546328975257</c:v>
                </c:pt>
                <c:pt idx="7">
                  <c:v>2.3303730483421923</c:v>
                </c:pt>
                <c:pt idx="8">
                  <c:v>2.2959293214591208</c:v>
                </c:pt>
                <c:pt idx="9">
                  <c:v>1.8182788197019719</c:v>
                </c:pt>
                <c:pt idx="10">
                  <c:v>1.645066632907757</c:v>
                </c:pt>
                <c:pt idx="11">
                  <c:v>1.2282638656370848</c:v>
                </c:pt>
                <c:pt idx="12">
                  <c:v>1.1708634967782745</c:v>
                </c:pt>
                <c:pt idx="13">
                  <c:v>1.0851778042644911</c:v>
                </c:pt>
                <c:pt idx="14">
                  <c:v>1.0312416668829836</c:v>
                </c:pt>
                <c:pt idx="15">
                  <c:v>1.0161211590642416</c:v>
                </c:pt>
                <c:pt idx="16">
                  <c:v>1.0080822335042656</c:v>
                </c:pt>
                <c:pt idx="17">
                  <c:v>0.94307386418021744</c:v>
                </c:pt>
                <c:pt idx="18">
                  <c:v>0.89080331860684858</c:v>
                </c:pt>
                <c:pt idx="19">
                  <c:v>0.81980948746477611</c:v>
                </c:pt>
                <c:pt idx="20">
                  <c:v>0.8165886708925294</c:v>
                </c:pt>
                <c:pt idx="21">
                  <c:v>0.77780954965609084</c:v>
                </c:pt>
                <c:pt idx="22">
                  <c:v>0.72204254467274631</c:v>
                </c:pt>
                <c:pt idx="23">
                  <c:v>0.64792852397591438</c:v>
                </c:pt>
                <c:pt idx="24">
                  <c:v>0.60640251308836834</c:v>
                </c:pt>
                <c:pt idx="25">
                  <c:v>0.60211873672978466</c:v>
                </c:pt>
                <c:pt idx="26">
                  <c:v>0.59286970297984565</c:v>
                </c:pt>
                <c:pt idx="27">
                  <c:v>0.57450920941528061</c:v>
                </c:pt>
                <c:pt idx="28">
                  <c:v>0.56672631499357307</c:v>
                </c:pt>
                <c:pt idx="29">
                  <c:v>0.56389752994322528</c:v>
                </c:pt>
                <c:pt idx="30">
                  <c:v>0.39927165944844245</c:v>
                </c:pt>
              </c:numCache>
            </c:numRef>
          </c:val>
          <c:extLst>
            <c:ext xmlns:c16="http://schemas.microsoft.com/office/drawing/2014/chart" uri="{C3380CC4-5D6E-409C-BE32-E72D297353CC}">
              <c16:uniqueId val="{00000000-5B10-4DD9-A8A1-EC0E2F88BC3B}"/>
            </c:ext>
          </c:extLst>
        </c:ser>
        <c:dLbls>
          <c:showLegendKey val="0"/>
          <c:showVal val="0"/>
          <c:showCatName val="0"/>
          <c:showSerName val="0"/>
          <c:showPercent val="0"/>
          <c:showBubbleSize val="0"/>
        </c:dLbls>
        <c:gapWidth val="219"/>
        <c:overlap val="-27"/>
        <c:axId val="1414846720"/>
        <c:axId val="1414848640"/>
      </c:barChart>
      <c:catAx>
        <c:axId val="141484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414848640"/>
        <c:crosses val="autoZero"/>
        <c:auto val="1"/>
        <c:lblAlgn val="ctr"/>
        <c:lblOffset val="100"/>
        <c:noMultiLvlLbl val="0"/>
      </c:catAx>
      <c:valAx>
        <c:axId val="1414848640"/>
        <c:scaling>
          <c:orientation val="minMax"/>
          <c:max val="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t-EE"/>
                  <a:t>Külastusööd/rahvaarv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t-E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4148467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t-E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ivitta">
      <a:dk1>
        <a:srgbClr val="232323"/>
      </a:dk1>
      <a:lt1>
        <a:srgbClr val="FEFEFE"/>
      </a:lt1>
      <a:dk2>
        <a:srgbClr val="232323"/>
      </a:dk2>
      <a:lt2>
        <a:srgbClr val="FEFEFE"/>
      </a:lt2>
      <a:accent1>
        <a:srgbClr val="232323"/>
      </a:accent1>
      <a:accent2>
        <a:srgbClr val="ACAEAC"/>
      </a:accent2>
      <a:accent3>
        <a:srgbClr val="E6E6E6"/>
      </a:accent3>
      <a:accent4>
        <a:srgbClr val="EBFE41"/>
      </a:accent4>
      <a:accent5>
        <a:srgbClr val="3CEB9D"/>
      </a:accent5>
      <a:accent6>
        <a:srgbClr val="82009B"/>
      </a:accent6>
      <a:hlink>
        <a:srgbClr val="82009B"/>
      </a:hlink>
      <a:folHlink>
        <a:srgbClr val="82009B"/>
      </a:folHlink>
    </a:clrScheme>
    <a:fontScheme name="Civitta Arial">
      <a:majorFont>
        <a:latin typeface="Arial Bold"/>
        <a:ea typeface=""/>
        <a:cs typeface="Arial Bold"/>
      </a:majorFont>
      <a:minorFont>
        <a:latin typeface="Arial"/>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Märts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ad826c-5e31-45c9-9b04-6c25910456e1">
      <Terms xmlns="http://schemas.microsoft.com/office/infopath/2007/PartnerControls"/>
    </lcf76f155ced4ddcb4097134ff3c332f>
    <TaxCatchAll xmlns="94dcc8db-136e-4eb2-8a3f-636953334c1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D4240AB1AECA45B30C5571D8135F53" ma:contentTypeVersion="14" ma:contentTypeDescription="Create a new document." ma:contentTypeScope="" ma:versionID="0b200110aac9b45aeacee4d98b397bfc">
  <xsd:schema xmlns:xsd="http://www.w3.org/2001/XMLSchema" xmlns:xs="http://www.w3.org/2001/XMLSchema" xmlns:p="http://schemas.microsoft.com/office/2006/metadata/properties" xmlns:ns2="b2ad826c-5e31-45c9-9b04-6c25910456e1" xmlns:ns3="94dcc8db-136e-4eb2-8a3f-636953334c12" targetNamespace="http://schemas.microsoft.com/office/2006/metadata/properties" ma:root="true" ma:fieldsID="168206adf6f34e6c472d7b9feb36ccda" ns2:_="" ns3:_="">
    <xsd:import namespace="b2ad826c-5e31-45c9-9b04-6c25910456e1"/>
    <xsd:import namespace="94dcc8db-136e-4eb2-8a3f-636953334c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826c-5e31-45c9-9b04-6c2591045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cc8db-136e-4eb2-8a3f-636953334c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bc13e3-ca1e-4cab-891a-f58f3baf7b3d}" ma:internalName="TaxCatchAll" ma:showField="CatchAllData" ma:web="94dcc8db-136e-4eb2-8a3f-636953334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D2C36B-49AE-45DF-8646-C6D9CD046B44}">
  <ds:schemaRefs>
    <ds:schemaRef ds:uri="http://schemas.openxmlformats.org/officeDocument/2006/bibliography"/>
  </ds:schemaRefs>
</ds:datastoreItem>
</file>

<file path=customXml/itemProps3.xml><?xml version="1.0" encoding="utf-8"?>
<ds:datastoreItem xmlns:ds="http://schemas.openxmlformats.org/officeDocument/2006/customXml" ds:itemID="{1BFBB37F-EC2E-48E7-8314-D17EB6C1FF2C}">
  <ds:schemaRefs>
    <ds:schemaRef ds:uri="http://schemas.microsoft.com/office/2006/metadata/properties"/>
    <ds:schemaRef ds:uri="http://schemas.microsoft.com/office/infopath/2007/PartnerControls"/>
    <ds:schemaRef ds:uri="b2ad826c-5e31-45c9-9b04-6c25910456e1"/>
    <ds:schemaRef ds:uri="94dcc8db-136e-4eb2-8a3f-636953334c12"/>
  </ds:schemaRefs>
</ds:datastoreItem>
</file>

<file path=customXml/itemProps4.xml><?xml version="1.0" encoding="utf-8"?>
<ds:datastoreItem xmlns:ds="http://schemas.openxmlformats.org/officeDocument/2006/customXml" ds:itemID="{CB1065DC-45C7-41A0-9C50-CD560189E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826c-5e31-45c9-9b04-6c25910456e1"/>
    <ds:schemaRef ds:uri="94dcc8db-136e-4eb2-8a3f-636953334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6D17FE-833E-479C-9082-EE18946411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2906</TotalTime>
  <Pages>247</Pages>
  <Words>93401</Words>
  <Characters>541729</Characters>
  <Application>Microsoft Office Word</Application>
  <DocSecurity>0</DocSecurity>
  <Lines>4514</Lines>
  <Paragraphs>1267</Paragraphs>
  <ScaleCrop>false</ScaleCrop>
  <Company/>
  <LinksUpToDate>false</LinksUpToDate>
  <CharactersWithSpaces>633863</CharactersWithSpaces>
  <SharedDoc>false</SharedDoc>
  <HLinks>
    <vt:vector size="1848" baseType="variant">
      <vt:variant>
        <vt:i4>8323074</vt:i4>
      </vt:variant>
      <vt:variant>
        <vt:i4>513</vt:i4>
      </vt:variant>
      <vt:variant>
        <vt:i4>0</vt:i4>
      </vt:variant>
      <vt:variant>
        <vt:i4>5</vt:i4>
      </vt:variant>
      <vt:variant>
        <vt:lpwstr>https://www.exchange-rates.org/exchange-rate-history/usd-eur-2023?utm_source=chatgpt.com</vt:lpwstr>
      </vt:variant>
      <vt:variant>
        <vt:lpwstr/>
      </vt:variant>
      <vt:variant>
        <vt:i4>8323074</vt:i4>
      </vt:variant>
      <vt:variant>
        <vt:i4>510</vt:i4>
      </vt:variant>
      <vt:variant>
        <vt:i4>0</vt:i4>
      </vt:variant>
      <vt:variant>
        <vt:i4>5</vt:i4>
      </vt:variant>
      <vt:variant>
        <vt:lpwstr>https://www.exchange-rates.org/exchange-rate-history/usd-eur-2023?utm_source=chatgpt.com</vt:lpwstr>
      </vt:variant>
      <vt:variant>
        <vt:lpwstr/>
      </vt:variant>
      <vt:variant>
        <vt:i4>5111884</vt:i4>
      </vt:variant>
      <vt:variant>
        <vt:i4>504</vt:i4>
      </vt:variant>
      <vt:variant>
        <vt:i4>0</vt:i4>
      </vt:variant>
      <vt:variant>
        <vt:i4>5</vt:i4>
      </vt:variant>
      <vt:variant>
        <vt:lpwstr>https://www.amsterdam.nl/en/housing/holiday-rentals/apply-holiday-rental-registration-number/</vt:lpwstr>
      </vt:variant>
      <vt:variant>
        <vt:lpwstr/>
      </vt:variant>
      <vt:variant>
        <vt:i4>2556009</vt:i4>
      </vt:variant>
      <vt:variant>
        <vt:i4>486</vt:i4>
      </vt:variant>
      <vt:variant>
        <vt:i4>0</vt:i4>
      </vt:variant>
      <vt:variant>
        <vt:i4>5</vt:i4>
      </vt:variant>
      <vt:variant>
        <vt:lpwstr>https://www.diw.de/de/diw_01.c.833179.de/publikationen/roundup/2022_0139/rent_control_effects_through_the_lens_of_empirical_research.html</vt:lpwstr>
      </vt:variant>
      <vt:variant>
        <vt:lpwstr/>
      </vt:variant>
      <vt:variant>
        <vt:i4>4063234</vt:i4>
      </vt:variant>
      <vt:variant>
        <vt:i4>483</vt:i4>
      </vt:variant>
      <vt:variant>
        <vt:i4>0</vt:i4>
      </vt:variant>
      <vt:variant>
        <vt:i4>5</vt:i4>
      </vt:variant>
      <vt:variant>
        <vt:lpwstr>https://www.destatis.de/DE/Themen/Gesellschaft-Umwelt/Wohnen/_inhalt.html</vt:lpwstr>
      </vt:variant>
      <vt:variant>
        <vt:lpwstr/>
      </vt:variant>
      <vt:variant>
        <vt:i4>852034</vt:i4>
      </vt:variant>
      <vt:variant>
        <vt:i4>480</vt:i4>
      </vt:variant>
      <vt:variant>
        <vt:i4>0</vt:i4>
      </vt:variant>
      <vt:variant>
        <vt:i4>5</vt:i4>
      </vt:variant>
      <vt:variant>
        <vt:lpwstr>https://www.immowelt.de/immobilienpreise/deutschland</vt:lpwstr>
      </vt:variant>
      <vt:variant>
        <vt:lpwstr/>
      </vt:variant>
      <vt:variant>
        <vt:i4>3080200</vt:i4>
      </vt:variant>
      <vt:variant>
        <vt:i4>453</vt:i4>
      </vt:variant>
      <vt:variant>
        <vt:i4>0</vt:i4>
      </vt:variant>
      <vt:variant>
        <vt:i4>5</vt:i4>
      </vt:variant>
      <vt:variant>
        <vt:lpwstr>https://www.hugedomains.com/domain_profile.cfm?d=visitsaaremaa.com</vt:lpwstr>
      </vt:variant>
      <vt:variant>
        <vt:lpwstr/>
      </vt:variant>
      <vt:variant>
        <vt:i4>1703989</vt:i4>
      </vt:variant>
      <vt:variant>
        <vt:i4>446</vt:i4>
      </vt:variant>
      <vt:variant>
        <vt:i4>0</vt:i4>
      </vt:variant>
      <vt:variant>
        <vt:i4>5</vt:i4>
      </vt:variant>
      <vt:variant>
        <vt:lpwstr/>
      </vt:variant>
      <vt:variant>
        <vt:lpwstr>_Toc208991651</vt:lpwstr>
      </vt:variant>
      <vt:variant>
        <vt:i4>1703989</vt:i4>
      </vt:variant>
      <vt:variant>
        <vt:i4>440</vt:i4>
      </vt:variant>
      <vt:variant>
        <vt:i4>0</vt:i4>
      </vt:variant>
      <vt:variant>
        <vt:i4>5</vt:i4>
      </vt:variant>
      <vt:variant>
        <vt:lpwstr/>
      </vt:variant>
      <vt:variant>
        <vt:lpwstr>_Toc208991650</vt:lpwstr>
      </vt:variant>
      <vt:variant>
        <vt:i4>1769525</vt:i4>
      </vt:variant>
      <vt:variant>
        <vt:i4>434</vt:i4>
      </vt:variant>
      <vt:variant>
        <vt:i4>0</vt:i4>
      </vt:variant>
      <vt:variant>
        <vt:i4>5</vt:i4>
      </vt:variant>
      <vt:variant>
        <vt:lpwstr/>
      </vt:variant>
      <vt:variant>
        <vt:lpwstr>_Toc208991649</vt:lpwstr>
      </vt:variant>
      <vt:variant>
        <vt:i4>1769525</vt:i4>
      </vt:variant>
      <vt:variant>
        <vt:i4>428</vt:i4>
      </vt:variant>
      <vt:variant>
        <vt:i4>0</vt:i4>
      </vt:variant>
      <vt:variant>
        <vt:i4>5</vt:i4>
      </vt:variant>
      <vt:variant>
        <vt:lpwstr/>
      </vt:variant>
      <vt:variant>
        <vt:lpwstr>_Toc208991648</vt:lpwstr>
      </vt:variant>
      <vt:variant>
        <vt:i4>1769525</vt:i4>
      </vt:variant>
      <vt:variant>
        <vt:i4>422</vt:i4>
      </vt:variant>
      <vt:variant>
        <vt:i4>0</vt:i4>
      </vt:variant>
      <vt:variant>
        <vt:i4>5</vt:i4>
      </vt:variant>
      <vt:variant>
        <vt:lpwstr/>
      </vt:variant>
      <vt:variant>
        <vt:lpwstr>_Toc208991647</vt:lpwstr>
      </vt:variant>
      <vt:variant>
        <vt:i4>1769525</vt:i4>
      </vt:variant>
      <vt:variant>
        <vt:i4>416</vt:i4>
      </vt:variant>
      <vt:variant>
        <vt:i4>0</vt:i4>
      </vt:variant>
      <vt:variant>
        <vt:i4>5</vt:i4>
      </vt:variant>
      <vt:variant>
        <vt:lpwstr/>
      </vt:variant>
      <vt:variant>
        <vt:lpwstr>_Toc208991646</vt:lpwstr>
      </vt:variant>
      <vt:variant>
        <vt:i4>1769525</vt:i4>
      </vt:variant>
      <vt:variant>
        <vt:i4>410</vt:i4>
      </vt:variant>
      <vt:variant>
        <vt:i4>0</vt:i4>
      </vt:variant>
      <vt:variant>
        <vt:i4>5</vt:i4>
      </vt:variant>
      <vt:variant>
        <vt:lpwstr/>
      </vt:variant>
      <vt:variant>
        <vt:lpwstr>_Toc208991645</vt:lpwstr>
      </vt:variant>
      <vt:variant>
        <vt:i4>1769525</vt:i4>
      </vt:variant>
      <vt:variant>
        <vt:i4>404</vt:i4>
      </vt:variant>
      <vt:variant>
        <vt:i4>0</vt:i4>
      </vt:variant>
      <vt:variant>
        <vt:i4>5</vt:i4>
      </vt:variant>
      <vt:variant>
        <vt:lpwstr/>
      </vt:variant>
      <vt:variant>
        <vt:lpwstr>_Toc208991644</vt:lpwstr>
      </vt:variant>
      <vt:variant>
        <vt:i4>1769525</vt:i4>
      </vt:variant>
      <vt:variant>
        <vt:i4>398</vt:i4>
      </vt:variant>
      <vt:variant>
        <vt:i4>0</vt:i4>
      </vt:variant>
      <vt:variant>
        <vt:i4>5</vt:i4>
      </vt:variant>
      <vt:variant>
        <vt:lpwstr/>
      </vt:variant>
      <vt:variant>
        <vt:lpwstr>_Toc208991643</vt:lpwstr>
      </vt:variant>
      <vt:variant>
        <vt:i4>1769525</vt:i4>
      </vt:variant>
      <vt:variant>
        <vt:i4>392</vt:i4>
      </vt:variant>
      <vt:variant>
        <vt:i4>0</vt:i4>
      </vt:variant>
      <vt:variant>
        <vt:i4>5</vt:i4>
      </vt:variant>
      <vt:variant>
        <vt:lpwstr/>
      </vt:variant>
      <vt:variant>
        <vt:lpwstr>_Toc208991642</vt:lpwstr>
      </vt:variant>
      <vt:variant>
        <vt:i4>1769525</vt:i4>
      </vt:variant>
      <vt:variant>
        <vt:i4>386</vt:i4>
      </vt:variant>
      <vt:variant>
        <vt:i4>0</vt:i4>
      </vt:variant>
      <vt:variant>
        <vt:i4>5</vt:i4>
      </vt:variant>
      <vt:variant>
        <vt:lpwstr/>
      </vt:variant>
      <vt:variant>
        <vt:lpwstr>_Toc208991641</vt:lpwstr>
      </vt:variant>
      <vt:variant>
        <vt:i4>1769525</vt:i4>
      </vt:variant>
      <vt:variant>
        <vt:i4>380</vt:i4>
      </vt:variant>
      <vt:variant>
        <vt:i4>0</vt:i4>
      </vt:variant>
      <vt:variant>
        <vt:i4>5</vt:i4>
      </vt:variant>
      <vt:variant>
        <vt:lpwstr/>
      </vt:variant>
      <vt:variant>
        <vt:lpwstr>_Toc208991640</vt:lpwstr>
      </vt:variant>
      <vt:variant>
        <vt:i4>1835061</vt:i4>
      </vt:variant>
      <vt:variant>
        <vt:i4>374</vt:i4>
      </vt:variant>
      <vt:variant>
        <vt:i4>0</vt:i4>
      </vt:variant>
      <vt:variant>
        <vt:i4>5</vt:i4>
      </vt:variant>
      <vt:variant>
        <vt:lpwstr/>
      </vt:variant>
      <vt:variant>
        <vt:lpwstr>_Toc208991639</vt:lpwstr>
      </vt:variant>
      <vt:variant>
        <vt:i4>1835061</vt:i4>
      </vt:variant>
      <vt:variant>
        <vt:i4>368</vt:i4>
      </vt:variant>
      <vt:variant>
        <vt:i4>0</vt:i4>
      </vt:variant>
      <vt:variant>
        <vt:i4>5</vt:i4>
      </vt:variant>
      <vt:variant>
        <vt:lpwstr/>
      </vt:variant>
      <vt:variant>
        <vt:lpwstr>_Toc208991638</vt:lpwstr>
      </vt:variant>
      <vt:variant>
        <vt:i4>1835061</vt:i4>
      </vt:variant>
      <vt:variant>
        <vt:i4>362</vt:i4>
      </vt:variant>
      <vt:variant>
        <vt:i4>0</vt:i4>
      </vt:variant>
      <vt:variant>
        <vt:i4>5</vt:i4>
      </vt:variant>
      <vt:variant>
        <vt:lpwstr/>
      </vt:variant>
      <vt:variant>
        <vt:lpwstr>_Toc208991637</vt:lpwstr>
      </vt:variant>
      <vt:variant>
        <vt:i4>1835061</vt:i4>
      </vt:variant>
      <vt:variant>
        <vt:i4>356</vt:i4>
      </vt:variant>
      <vt:variant>
        <vt:i4>0</vt:i4>
      </vt:variant>
      <vt:variant>
        <vt:i4>5</vt:i4>
      </vt:variant>
      <vt:variant>
        <vt:lpwstr/>
      </vt:variant>
      <vt:variant>
        <vt:lpwstr>_Toc208991636</vt:lpwstr>
      </vt:variant>
      <vt:variant>
        <vt:i4>1835061</vt:i4>
      </vt:variant>
      <vt:variant>
        <vt:i4>350</vt:i4>
      </vt:variant>
      <vt:variant>
        <vt:i4>0</vt:i4>
      </vt:variant>
      <vt:variant>
        <vt:i4>5</vt:i4>
      </vt:variant>
      <vt:variant>
        <vt:lpwstr/>
      </vt:variant>
      <vt:variant>
        <vt:lpwstr>_Toc208991635</vt:lpwstr>
      </vt:variant>
      <vt:variant>
        <vt:i4>1835061</vt:i4>
      </vt:variant>
      <vt:variant>
        <vt:i4>344</vt:i4>
      </vt:variant>
      <vt:variant>
        <vt:i4>0</vt:i4>
      </vt:variant>
      <vt:variant>
        <vt:i4>5</vt:i4>
      </vt:variant>
      <vt:variant>
        <vt:lpwstr/>
      </vt:variant>
      <vt:variant>
        <vt:lpwstr>_Toc208991634</vt:lpwstr>
      </vt:variant>
      <vt:variant>
        <vt:i4>1835061</vt:i4>
      </vt:variant>
      <vt:variant>
        <vt:i4>338</vt:i4>
      </vt:variant>
      <vt:variant>
        <vt:i4>0</vt:i4>
      </vt:variant>
      <vt:variant>
        <vt:i4>5</vt:i4>
      </vt:variant>
      <vt:variant>
        <vt:lpwstr/>
      </vt:variant>
      <vt:variant>
        <vt:lpwstr>_Toc208991633</vt:lpwstr>
      </vt:variant>
      <vt:variant>
        <vt:i4>1835061</vt:i4>
      </vt:variant>
      <vt:variant>
        <vt:i4>332</vt:i4>
      </vt:variant>
      <vt:variant>
        <vt:i4>0</vt:i4>
      </vt:variant>
      <vt:variant>
        <vt:i4>5</vt:i4>
      </vt:variant>
      <vt:variant>
        <vt:lpwstr/>
      </vt:variant>
      <vt:variant>
        <vt:lpwstr>_Toc208991632</vt:lpwstr>
      </vt:variant>
      <vt:variant>
        <vt:i4>1835061</vt:i4>
      </vt:variant>
      <vt:variant>
        <vt:i4>326</vt:i4>
      </vt:variant>
      <vt:variant>
        <vt:i4>0</vt:i4>
      </vt:variant>
      <vt:variant>
        <vt:i4>5</vt:i4>
      </vt:variant>
      <vt:variant>
        <vt:lpwstr/>
      </vt:variant>
      <vt:variant>
        <vt:lpwstr>_Toc208991631</vt:lpwstr>
      </vt:variant>
      <vt:variant>
        <vt:i4>1835061</vt:i4>
      </vt:variant>
      <vt:variant>
        <vt:i4>320</vt:i4>
      </vt:variant>
      <vt:variant>
        <vt:i4>0</vt:i4>
      </vt:variant>
      <vt:variant>
        <vt:i4>5</vt:i4>
      </vt:variant>
      <vt:variant>
        <vt:lpwstr/>
      </vt:variant>
      <vt:variant>
        <vt:lpwstr>_Toc208991630</vt:lpwstr>
      </vt:variant>
      <vt:variant>
        <vt:i4>1900597</vt:i4>
      </vt:variant>
      <vt:variant>
        <vt:i4>314</vt:i4>
      </vt:variant>
      <vt:variant>
        <vt:i4>0</vt:i4>
      </vt:variant>
      <vt:variant>
        <vt:i4>5</vt:i4>
      </vt:variant>
      <vt:variant>
        <vt:lpwstr/>
      </vt:variant>
      <vt:variant>
        <vt:lpwstr>_Toc208991629</vt:lpwstr>
      </vt:variant>
      <vt:variant>
        <vt:i4>1900597</vt:i4>
      </vt:variant>
      <vt:variant>
        <vt:i4>308</vt:i4>
      </vt:variant>
      <vt:variant>
        <vt:i4>0</vt:i4>
      </vt:variant>
      <vt:variant>
        <vt:i4>5</vt:i4>
      </vt:variant>
      <vt:variant>
        <vt:lpwstr/>
      </vt:variant>
      <vt:variant>
        <vt:lpwstr>_Toc208991628</vt:lpwstr>
      </vt:variant>
      <vt:variant>
        <vt:i4>1900597</vt:i4>
      </vt:variant>
      <vt:variant>
        <vt:i4>302</vt:i4>
      </vt:variant>
      <vt:variant>
        <vt:i4>0</vt:i4>
      </vt:variant>
      <vt:variant>
        <vt:i4>5</vt:i4>
      </vt:variant>
      <vt:variant>
        <vt:lpwstr/>
      </vt:variant>
      <vt:variant>
        <vt:lpwstr>_Toc208991627</vt:lpwstr>
      </vt:variant>
      <vt:variant>
        <vt:i4>1900597</vt:i4>
      </vt:variant>
      <vt:variant>
        <vt:i4>296</vt:i4>
      </vt:variant>
      <vt:variant>
        <vt:i4>0</vt:i4>
      </vt:variant>
      <vt:variant>
        <vt:i4>5</vt:i4>
      </vt:variant>
      <vt:variant>
        <vt:lpwstr/>
      </vt:variant>
      <vt:variant>
        <vt:lpwstr>_Toc208991626</vt:lpwstr>
      </vt:variant>
      <vt:variant>
        <vt:i4>1900597</vt:i4>
      </vt:variant>
      <vt:variant>
        <vt:i4>290</vt:i4>
      </vt:variant>
      <vt:variant>
        <vt:i4>0</vt:i4>
      </vt:variant>
      <vt:variant>
        <vt:i4>5</vt:i4>
      </vt:variant>
      <vt:variant>
        <vt:lpwstr/>
      </vt:variant>
      <vt:variant>
        <vt:lpwstr>_Toc208991625</vt:lpwstr>
      </vt:variant>
      <vt:variant>
        <vt:i4>1900597</vt:i4>
      </vt:variant>
      <vt:variant>
        <vt:i4>284</vt:i4>
      </vt:variant>
      <vt:variant>
        <vt:i4>0</vt:i4>
      </vt:variant>
      <vt:variant>
        <vt:i4>5</vt:i4>
      </vt:variant>
      <vt:variant>
        <vt:lpwstr/>
      </vt:variant>
      <vt:variant>
        <vt:lpwstr>_Toc208991624</vt:lpwstr>
      </vt:variant>
      <vt:variant>
        <vt:i4>1900597</vt:i4>
      </vt:variant>
      <vt:variant>
        <vt:i4>278</vt:i4>
      </vt:variant>
      <vt:variant>
        <vt:i4>0</vt:i4>
      </vt:variant>
      <vt:variant>
        <vt:i4>5</vt:i4>
      </vt:variant>
      <vt:variant>
        <vt:lpwstr/>
      </vt:variant>
      <vt:variant>
        <vt:lpwstr>_Toc208991623</vt:lpwstr>
      </vt:variant>
      <vt:variant>
        <vt:i4>1900597</vt:i4>
      </vt:variant>
      <vt:variant>
        <vt:i4>272</vt:i4>
      </vt:variant>
      <vt:variant>
        <vt:i4>0</vt:i4>
      </vt:variant>
      <vt:variant>
        <vt:i4>5</vt:i4>
      </vt:variant>
      <vt:variant>
        <vt:lpwstr/>
      </vt:variant>
      <vt:variant>
        <vt:lpwstr>_Toc208991622</vt:lpwstr>
      </vt:variant>
      <vt:variant>
        <vt:i4>1900597</vt:i4>
      </vt:variant>
      <vt:variant>
        <vt:i4>266</vt:i4>
      </vt:variant>
      <vt:variant>
        <vt:i4>0</vt:i4>
      </vt:variant>
      <vt:variant>
        <vt:i4>5</vt:i4>
      </vt:variant>
      <vt:variant>
        <vt:lpwstr/>
      </vt:variant>
      <vt:variant>
        <vt:lpwstr>_Toc208991621</vt:lpwstr>
      </vt:variant>
      <vt:variant>
        <vt:i4>1900597</vt:i4>
      </vt:variant>
      <vt:variant>
        <vt:i4>260</vt:i4>
      </vt:variant>
      <vt:variant>
        <vt:i4>0</vt:i4>
      </vt:variant>
      <vt:variant>
        <vt:i4>5</vt:i4>
      </vt:variant>
      <vt:variant>
        <vt:lpwstr/>
      </vt:variant>
      <vt:variant>
        <vt:lpwstr>_Toc208991620</vt:lpwstr>
      </vt:variant>
      <vt:variant>
        <vt:i4>1966133</vt:i4>
      </vt:variant>
      <vt:variant>
        <vt:i4>254</vt:i4>
      </vt:variant>
      <vt:variant>
        <vt:i4>0</vt:i4>
      </vt:variant>
      <vt:variant>
        <vt:i4>5</vt:i4>
      </vt:variant>
      <vt:variant>
        <vt:lpwstr/>
      </vt:variant>
      <vt:variant>
        <vt:lpwstr>_Toc208991619</vt:lpwstr>
      </vt:variant>
      <vt:variant>
        <vt:i4>1966133</vt:i4>
      </vt:variant>
      <vt:variant>
        <vt:i4>248</vt:i4>
      </vt:variant>
      <vt:variant>
        <vt:i4>0</vt:i4>
      </vt:variant>
      <vt:variant>
        <vt:i4>5</vt:i4>
      </vt:variant>
      <vt:variant>
        <vt:lpwstr/>
      </vt:variant>
      <vt:variant>
        <vt:lpwstr>_Toc208991618</vt:lpwstr>
      </vt:variant>
      <vt:variant>
        <vt:i4>1966133</vt:i4>
      </vt:variant>
      <vt:variant>
        <vt:i4>242</vt:i4>
      </vt:variant>
      <vt:variant>
        <vt:i4>0</vt:i4>
      </vt:variant>
      <vt:variant>
        <vt:i4>5</vt:i4>
      </vt:variant>
      <vt:variant>
        <vt:lpwstr/>
      </vt:variant>
      <vt:variant>
        <vt:lpwstr>_Toc208991617</vt:lpwstr>
      </vt:variant>
      <vt:variant>
        <vt:i4>1966133</vt:i4>
      </vt:variant>
      <vt:variant>
        <vt:i4>236</vt:i4>
      </vt:variant>
      <vt:variant>
        <vt:i4>0</vt:i4>
      </vt:variant>
      <vt:variant>
        <vt:i4>5</vt:i4>
      </vt:variant>
      <vt:variant>
        <vt:lpwstr/>
      </vt:variant>
      <vt:variant>
        <vt:lpwstr>_Toc208991616</vt:lpwstr>
      </vt:variant>
      <vt:variant>
        <vt:i4>1966133</vt:i4>
      </vt:variant>
      <vt:variant>
        <vt:i4>230</vt:i4>
      </vt:variant>
      <vt:variant>
        <vt:i4>0</vt:i4>
      </vt:variant>
      <vt:variant>
        <vt:i4>5</vt:i4>
      </vt:variant>
      <vt:variant>
        <vt:lpwstr/>
      </vt:variant>
      <vt:variant>
        <vt:lpwstr>_Toc208991615</vt:lpwstr>
      </vt:variant>
      <vt:variant>
        <vt:i4>1966133</vt:i4>
      </vt:variant>
      <vt:variant>
        <vt:i4>224</vt:i4>
      </vt:variant>
      <vt:variant>
        <vt:i4>0</vt:i4>
      </vt:variant>
      <vt:variant>
        <vt:i4>5</vt:i4>
      </vt:variant>
      <vt:variant>
        <vt:lpwstr/>
      </vt:variant>
      <vt:variant>
        <vt:lpwstr>_Toc208991614</vt:lpwstr>
      </vt:variant>
      <vt:variant>
        <vt:i4>1966133</vt:i4>
      </vt:variant>
      <vt:variant>
        <vt:i4>218</vt:i4>
      </vt:variant>
      <vt:variant>
        <vt:i4>0</vt:i4>
      </vt:variant>
      <vt:variant>
        <vt:i4>5</vt:i4>
      </vt:variant>
      <vt:variant>
        <vt:lpwstr/>
      </vt:variant>
      <vt:variant>
        <vt:lpwstr>_Toc208991613</vt:lpwstr>
      </vt:variant>
      <vt:variant>
        <vt:i4>1966133</vt:i4>
      </vt:variant>
      <vt:variant>
        <vt:i4>212</vt:i4>
      </vt:variant>
      <vt:variant>
        <vt:i4>0</vt:i4>
      </vt:variant>
      <vt:variant>
        <vt:i4>5</vt:i4>
      </vt:variant>
      <vt:variant>
        <vt:lpwstr/>
      </vt:variant>
      <vt:variant>
        <vt:lpwstr>_Toc208991612</vt:lpwstr>
      </vt:variant>
      <vt:variant>
        <vt:i4>1966133</vt:i4>
      </vt:variant>
      <vt:variant>
        <vt:i4>206</vt:i4>
      </vt:variant>
      <vt:variant>
        <vt:i4>0</vt:i4>
      </vt:variant>
      <vt:variant>
        <vt:i4>5</vt:i4>
      </vt:variant>
      <vt:variant>
        <vt:lpwstr/>
      </vt:variant>
      <vt:variant>
        <vt:lpwstr>_Toc208991611</vt:lpwstr>
      </vt:variant>
      <vt:variant>
        <vt:i4>1966133</vt:i4>
      </vt:variant>
      <vt:variant>
        <vt:i4>200</vt:i4>
      </vt:variant>
      <vt:variant>
        <vt:i4>0</vt:i4>
      </vt:variant>
      <vt:variant>
        <vt:i4>5</vt:i4>
      </vt:variant>
      <vt:variant>
        <vt:lpwstr/>
      </vt:variant>
      <vt:variant>
        <vt:lpwstr>_Toc208991610</vt:lpwstr>
      </vt:variant>
      <vt:variant>
        <vt:i4>2031669</vt:i4>
      </vt:variant>
      <vt:variant>
        <vt:i4>194</vt:i4>
      </vt:variant>
      <vt:variant>
        <vt:i4>0</vt:i4>
      </vt:variant>
      <vt:variant>
        <vt:i4>5</vt:i4>
      </vt:variant>
      <vt:variant>
        <vt:lpwstr/>
      </vt:variant>
      <vt:variant>
        <vt:lpwstr>_Toc208991609</vt:lpwstr>
      </vt:variant>
      <vt:variant>
        <vt:i4>2031669</vt:i4>
      </vt:variant>
      <vt:variant>
        <vt:i4>188</vt:i4>
      </vt:variant>
      <vt:variant>
        <vt:i4>0</vt:i4>
      </vt:variant>
      <vt:variant>
        <vt:i4>5</vt:i4>
      </vt:variant>
      <vt:variant>
        <vt:lpwstr/>
      </vt:variant>
      <vt:variant>
        <vt:lpwstr>_Toc208991608</vt:lpwstr>
      </vt:variant>
      <vt:variant>
        <vt:i4>2031669</vt:i4>
      </vt:variant>
      <vt:variant>
        <vt:i4>182</vt:i4>
      </vt:variant>
      <vt:variant>
        <vt:i4>0</vt:i4>
      </vt:variant>
      <vt:variant>
        <vt:i4>5</vt:i4>
      </vt:variant>
      <vt:variant>
        <vt:lpwstr/>
      </vt:variant>
      <vt:variant>
        <vt:lpwstr>_Toc208991607</vt:lpwstr>
      </vt:variant>
      <vt:variant>
        <vt:i4>2031669</vt:i4>
      </vt:variant>
      <vt:variant>
        <vt:i4>176</vt:i4>
      </vt:variant>
      <vt:variant>
        <vt:i4>0</vt:i4>
      </vt:variant>
      <vt:variant>
        <vt:i4>5</vt:i4>
      </vt:variant>
      <vt:variant>
        <vt:lpwstr/>
      </vt:variant>
      <vt:variant>
        <vt:lpwstr>_Toc208991606</vt:lpwstr>
      </vt:variant>
      <vt:variant>
        <vt:i4>2031669</vt:i4>
      </vt:variant>
      <vt:variant>
        <vt:i4>170</vt:i4>
      </vt:variant>
      <vt:variant>
        <vt:i4>0</vt:i4>
      </vt:variant>
      <vt:variant>
        <vt:i4>5</vt:i4>
      </vt:variant>
      <vt:variant>
        <vt:lpwstr/>
      </vt:variant>
      <vt:variant>
        <vt:lpwstr>_Toc208991605</vt:lpwstr>
      </vt:variant>
      <vt:variant>
        <vt:i4>2031669</vt:i4>
      </vt:variant>
      <vt:variant>
        <vt:i4>164</vt:i4>
      </vt:variant>
      <vt:variant>
        <vt:i4>0</vt:i4>
      </vt:variant>
      <vt:variant>
        <vt:i4>5</vt:i4>
      </vt:variant>
      <vt:variant>
        <vt:lpwstr/>
      </vt:variant>
      <vt:variant>
        <vt:lpwstr>_Toc208991604</vt:lpwstr>
      </vt:variant>
      <vt:variant>
        <vt:i4>2031669</vt:i4>
      </vt:variant>
      <vt:variant>
        <vt:i4>158</vt:i4>
      </vt:variant>
      <vt:variant>
        <vt:i4>0</vt:i4>
      </vt:variant>
      <vt:variant>
        <vt:i4>5</vt:i4>
      </vt:variant>
      <vt:variant>
        <vt:lpwstr/>
      </vt:variant>
      <vt:variant>
        <vt:lpwstr>_Toc208991603</vt:lpwstr>
      </vt:variant>
      <vt:variant>
        <vt:i4>2031669</vt:i4>
      </vt:variant>
      <vt:variant>
        <vt:i4>152</vt:i4>
      </vt:variant>
      <vt:variant>
        <vt:i4>0</vt:i4>
      </vt:variant>
      <vt:variant>
        <vt:i4>5</vt:i4>
      </vt:variant>
      <vt:variant>
        <vt:lpwstr/>
      </vt:variant>
      <vt:variant>
        <vt:lpwstr>_Toc208991602</vt:lpwstr>
      </vt:variant>
      <vt:variant>
        <vt:i4>2031669</vt:i4>
      </vt:variant>
      <vt:variant>
        <vt:i4>146</vt:i4>
      </vt:variant>
      <vt:variant>
        <vt:i4>0</vt:i4>
      </vt:variant>
      <vt:variant>
        <vt:i4>5</vt:i4>
      </vt:variant>
      <vt:variant>
        <vt:lpwstr/>
      </vt:variant>
      <vt:variant>
        <vt:lpwstr>_Toc208991601</vt:lpwstr>
      </vt:variant>
      <vt:variant>
        <vt:i4>2031669</vt:i4>
      </vt:variant>
      <vt:variant>
        <vt:i4>140</vt:i4>
      </vt:variant>
      <vt:variant>
        <vt:i4>0</vt:i4>
      </vt:variant>
      <vt:variant>
        <vt:i4>5</vt:i4>
      </vt:variant>
      <vt:variant>
        <vt:lpwstr/>
      </vt:variant>
      <vt:variant>
        <vt:lpwstr>_Toc208991600</vt:lpwstr>
      </vt:variant>
      <vt:variant>
        <vt:i4>1441846</vt:i4>
      </vt:variant>
      <vt:variant>
        <vt:i4>134</vt:i4>
      </vt:variant>
      <vt:variant>
        <vt:i4>0</vt:i4>
      </vt:variant>
      <vt:variant>
        <vt:i4>5</vt:i4>
      </vt:variant>
      <vt:variant>
        <vt:lpwstr/>
      </vt:variant>
      <vt:variant>
        <vt:lpwstr>_Toc208991599</vt:lpwstr>
      </vt:variant>
      <vt:variant>
        <vt:i4>1441846</vt:i4>
      </vt:variant>
      <vt:variant>
        <vt:i4>128</vt:i4>
      </vt:variant>
      <vt:variant>
        <vt:i4>0</vt:i4>
      </vt:variant>
      <vt:variant>
        <vt:i4>5</vt:i4>
      </vt:variant>
      <vt:variant>
        <vt:lpwstr/>
      </vt:variant>
      <vt:variant>
        <vt:lpwstr>_Toc208991598</vt:lpwstr>
      </vt:variant>
      <vt:variant>
        <vt:i4>1441846</vt:i4>
      </vt:variant>
      <vt:variant>
        <vt:i4>122</vt:i4>
      </vt:variant>
      <vt:variant>
        <vt:i4>0</vt:i4>
      </vt:variant>
      <vt:variant>
        <vt:i4>5</vt:i4>
      </vt:variant>
      <vt:variant>
        <vt:lpwstr/>
      </vt:variant>
      <vt:variant>
        <vt:lpwstr>_Toc208991597</vt:lpwstr>
      </vt:variant>
      <vt:variant>
        <vt:i4>1441846</vt:i4>
      </vt:variant>
      <vt:variant>
        <vt:i4>116</vt:i4>
      </vt:variant>
      <vt:variant>
        <vt:i4>0</vt:i4>
      </vt:variant>
      <vt:variant>
        <vt:i4>5</vt:i4>
      </vt:variant>
      <vt:variant>
        <vt:lpwstr/>
      </vt:variant>
      <vt:variant>
        <vt:lpwstr>_Toc208991596</vt:lpwstr>
      </vt:variant>
      <vt:variant>
        <vt:i4>1441846</vt:i4>
      </vt:variant>
      <vt:variant>
        <vt:i4>110</vt:i4>
      </vt:variant>
      <vt:variant>
        <vt:i4>0</vt:i4>
      </vt:variant>
      <vt:variant>
        <vt:i4>5</vt:i4>
      </vt:variant>
      <vt:variant>
        <vt:lpwstr/>
      </vt:variant>
      <vt:variant>
        <vt:lpwstr>_Toc208991595</vt:lpwstr>
      </vt:variant>
      <vt:variant>
        <vt:i4>1441846</vt:i4>
      </vt:variant>
      <vt:variant>
        <vt:i4>104</vt:i4>
      </vt:variant>
      <vt:variant>
        <vt:i4>0</vt:i4>
      </vt:variant>
      <vt:variant>
        <vt:i4>5</vt:i4>
      </vt:variant>
      <vt:variant>
        <vt:lpwstr/>
      </vt:variant>
      <vt:variant>
        <vt:lpwstr>_Toc208991594</vt:lpwstr>
      </vt:variant>
      <vt:variant>
        <vt:i4>1441846</vt:i4>
      </vt:variant>
      <vt:variant>
        <vt:i4>98</vt:i4>
      </vt:variant>
      <vt:variant>
        <vt:i4>0</vt:i4>
      </vt:variant>
      <vt:variant>
        <vt:i4>5</vt:i4>
      </vt:variant>
      <vt:variant>
        <vt:lpwstr/>
      </vt:variant>
      <vt:variant>
        <vt:lpwstr>_Toc208991593</vt:lpwstr>
      </vt:variant>
      <vt:variant>
        <vt:i4>1441846</vt:i4>
      </vt:variant>
      <vt:variant>
        <vt:i4>92</vt:i4>
      </vt:variant>
      <vt:variant>
        <vt:i4>0</vt:i4>
      </vt:variant>
      <vt:variant>
        <vt:i4>5</vt:i4>
      </vt:variant>
      <vt:variant>
        <vt:lpwstr/>
      </vt:variant>
      <vt:variant>
        <vt:lpwstr>_Toc208991592</vt:lpwstr>
      </vt:variant>
      <vt:variant>
        <vt:i4>1441846</vt:i4>
      </vt:variant>
      <vt:variant>
        <vt:i4>86</vt:i4>
      </vt:variant>
      <vt:variant>
        <vt:i4>0</vt:i4>
      </vt:variant>
      <vt:variant>
        <vt:i4>5</vt:i4>
      </vt:variant>
      <vt:variant>
        <vt:lpwstr/>
      </vt:variant>
      <vt:variant>
        <vt:lpwstr>_Toc208991591</vt:lpwstr>
      </vt:variant>
      <vt:variant>
        <vt:i4>1441846</vt:i4>
      </vt:variant>
      <vt:variant>
        <vt:i4>80</vt:i4>
      </vt:variant>
      <vt:variant>
        <vt:i4>0</vt:i4>
      </vt:variant>
      <vt:variant>
        <vt:i4>5</vt:i4>
      </vt:variant>
      <vt:variant>
        <vt:lpwstr/>
      </vt:variant>
      <vt:variant>
        <vt:lpwstr>_Toc208991590</vt:lpwstr>
      </vt:variant>
      <vt:variant>
        <vt:i4>1507382</vt:i4>
      </vt:variant>
      <vt:variant>
        <vt:i4>74</vt:i4>
      </vt:variant>
      <vt:variant>
        <vt:i4>0</vt:i4>
      </vt:variant>
      <vt:variant>
        <vt:i4>5</vt:i4>
      </vt:variant>
      <vt:variant>
        <vt:lpwstr/>
      </vt:variant>
      <vt:variant>
        <vt:lpwstr>_Toc208991589</vt:lpwstr>
      </vt:variant>
      <vt:variant>
        <vt:i4>1507382</vt:i4>
      </vt:variant>
      <vt:variant>
        <vt:i4>68</vt:i4>
      </vt:variant>
      <vt:variant>
        <vt:i4>0</vt:i4>
      </vt:variant>
      <vt:variant>
        <vt:i4>5</vt:i4>
      </vt:variant>
      <vt:variant>
        <vt:lpwstr/>
      </vt:variant>
      <vt:variant>
        <vt:lpwstr>_Toc208991588</vt:lpwstr>
      </vt:variant>
      <vt:variant>
        <vt:i4>1507382</vt:i4>
      </vt:variant>
      <vt:variant>
        <vt:i4>62</vt:i4>
      </vt:variant>
      <vt:variant>
        <vt:i4>0</vt:i4>
      </vt:variant>
      <vt:variant>
        <vt:i4>5</vt:i4>
      </vt:variant>
      <vt:variant>
        <vt:lpwstr/>
      </vt:variant>
      <vt:variant>
        <vt:lpwstr>_Toc208991587</vt:lpwstr>
      </vt:variant>
      <vt:variant>
        <vt:i4>1507382</vt:i4>
      </vt:variant>
      <vt:variant>
        <vt:i4>56</vt:i4>
      </vt:variant>
      <vt:variant>
        <vt:i4>0</vt:i4>
      </vt:variant>
      <vt:variant>
        <vt:i4>5</vt:i4>
      </vt:variant>
      <vt:variant>
        <vt:lpwstr/>
      </vt:variant>
      <vt:variant>
        <vt:lpwstr>_Toc208991586</vt:lpwstr>
      </vt:variant>
      <vt:variant>
        <vt:i4>1507382</vt:i4>
      </vt:variant>
      <vt:variant>
        <vt:i4>50</vt:i4>
      </vt:variant>
      <vt:variant>
        <vt:i4>0</vt:i4>
      </vt:variant>
      <vt:variant>
        <vt:i4>5</vt:i4>
      </vt:variant>
      <vt:variant>
        <vt:lpwstr/>
      </vt:variant>
      <vt:variant>
        <vt:lpwstr>_Toc208991585</vt:lpwstr>
      </vt:variant>
      <vt:variant>
        <vt:i4>1507382</vt:i4>
      </vt:variant>
      <vt:variant>
        <vt:i4>44</vt:i4>
      </vt:variant>
      <vt:variant>
        <vt:i4>0</vt:i4>
      </vt:variant>
      <vt:variant>
        <vt:i4>5</vt:i4>
      </vt:variant>
      <vt:variant>
        <vt:lpwstr/>
      </vt:variant>
      <vt:variant>
        <vt:lpwstr>_Toc208991584</vt:lpwstr>
      </vt:variant>
      <vt:variant>
        <vt:i4>1507382</vt:i4>
      </vt:variant>
      <vt:variant>
        <vt:i4>38</vt:i4>
      </vt:variant>
      <vt:variant>
        <vt:i4>0</vt:i4>
      </vt:variant>
      <vt:variant>
        <vt:i4>5</vt:i4>
      </vt:variant>
      <vt:variant>
        <vt:lpwstr/>
      </vt:variant>
      <vt:variant>
        <vt:lpwstr>_Toc208991583</vt:lpwstr>
      </vt:variant>
      <vt:variant>
        <vt:i4>1507382</vt:i4>
      </vt:variant>
      <vt:variant>
        <vt:i4>32</vt:i4>
      </vt:variant>
      <vt:variant>
        <vt:i4>0</vt:i4>
      </vt:variant>
      <vt:variant>
        <vt:i4>5</vt:i4>
      </vt:variant>
      <vt:variant>
        <vt:lpwstr/>
      </vt:variant>
      <vt:variant>
        <vt:lpwstr>_Toc208991582</vt:lpwstr>
      </vt:variant>
      <vt:variant>
        <vt:i4>1507382</vt:i4>
      </vt:variant>
      <vt:variant>
        <vt:i4>26</vt:i4>
      </vt:variant>
      <vt:variant>
        <vt:i4>0</vt:i4>
      </vt:variant>
      <vt:variant>
        <vt:i4>5</vt:i4>
      </vt:variant>
      <vt:variant>
        <vt:lpwstr/>
      </vt:variant>
      <vt:variant>
        <vt:lpwstr>_Toc208991581</vt:lpwstr>
      </vt:variant>
      <vt:variant>
        <vt:i4>1507382</vt:i4>
      </vt:variant>
      <vt:variant>
        <vt:i4>20</vt:i4>
      </vt:variant>
      <vt:variant>
        <vt:i4>0</vt:i4>
      </vt:variant>
      <vt:variant>
        <vt:i4>5</vt:i4>
      </vt:variant>
      <vt:variant>
        <vt:lpwstr/>
      </vt:variant>
      <vt:variant>
        <vt:lpwstr>_Toc208991580</vt:lpwstr>
      </vt:variant>
      <vt:variant>
        <vt:i4>1572918</vt:i4>
      </vt:variant>
      <vt:variant>
        <vt:i4>14</vt:i4>
      </vt:variant>
      <vt:variant>
        <vt:i4>0</vt:i4>
      </vt:variant>
      <vt:variant>
        <vt:i4>5</vt:i4>
      </vt:variant>
      <vt:variant>
        <vt:lpwstr/>
      </vt:variant>
      <vt:variant>
        <vt:lpwstr>_Toc208991571</vt:lpwstr>
      </vt:variant>
      <vt:variant>
        <vt:i4>1638454</vt:i4>
      </vt:variant>
      <vt:variant>
        <vt:i4>8</vt:i4>
      </vt:variant>
      <vt:variant>
        <vt:i4>0</vt:i4>
      </vt:variant>
      <vt:variant>
        <vt:i4>5</vt:i4>
      </vt:variant>
      <vt:variant>
        <vt:lpwstr/>
      </vt:variant>
      <vt:variant>
        <vt:lpwstr>_Toc208991562</vt:lpwstr>
      </vt:variant>
      <vt:variant>
        <vt:i4>1638454</vt:i4>
      </vt:variant>
      <vt:variant>
        <vt:i4>2</vt:i4>
      </vt:variant>
      <vt:variant>
        <vt:i4>0</vt:i4>
      </vt:variant>
      <vt:variant>
        <vt:i4>5</vt:i4>
      </vt:variant>
      <vt:variant>
        <vt:lpwstr/>
      </vt:variant>
      <vt:variant>
        <vt:lpwstr>_Toc208991561</vt:lpwstr>
      </vt:variant>
      <vt:variant>
        <vt:i4>1507396</vt:i4>
      </vt:variant>
      <vt:variant>
        <vt:i4>675</vt:i4>
      </vt:variant>
      <vt:variant>
        <vt:i4>0</vt:i4>
      </vt:variant>
      <vt:variant>
        <vt:i4>5</vt:i4>
      </vt:variant>
      <vt:variant>
        <vt:lpwstr>https://www.bazonline.ch/airbnb-wird-in-der-schweiz-zum-milliardengeschaeft-849383456817</vt:lpwstr>
      </vt:variant>
      <vt:variant>
        <vt:lpwstr/>
      </vt:variant>
      <vt:variant>
        <vt:i4>7274622</vt:i4>
      </vt:variant>
      <vt:variant>
        <vt:i4>672</vt:i4>
      </vt:variant>
      <vt:variant>
        <vt:i4>0</vt:i4>
      </vt:variant>
      <vt:variant>
        <vt:i4>5</vt:i4>
      </vt:variant>
      <vt:variant>
        <vt:lpwstr>https://www.bwo.admin.ch/bwo/de/home/Wohnungsmarkt/buchungsplattformen.html</vt:lpwstr>
      </vt:variant>
      <vt:variant>
        <vt:lpwstr/>
      </vt:variant>
      <vt:variant>
        <vt:i4>6094891</vt:i4>
      </vt:variant>
      <vt:variant>
        <vt:i4>669</vt:i4>
      </vt:variant>
      <vt:variant>
        <vt:i4>0</vt:i4>
      </vt:variant>
      <vt:variant>
        <vt:i4>5</vt:i4>
      </vt:variant>
      <vt:variant>
        <vt:lpwstr>https://www.sab.ch/wp-content/uploads/2024/11/Studie-Aktuelle-Ansaetze-zur-Regulierung-von-Airbnb-in-der-Schweiz_def.pdf</vt:lpwstr>
      </vt:variant>
      <vt:variant>
        <vt:lpwstr/>
      </vt:variant>
      <vt:variant>
        <vt:i4>4522076</vt:i4>
      </vt:variant>
      <vt:variant>
        <vt:i4>666</vt:i4>
      </vt:variant>
      <vt:variant>
        <vt:i4>0</vt:i4>
      </vt:variant>
      <vt:variant>
        <vt:i4>5</vt:i4>
      </vt:variant>
      <vt:variant>
        <vt:lpwstr>https://airbtics.com/best-airbnb-markets-switzerland/</vt:lpwstr>
      </vt:variant>
      <vt:variant>
        <vt:lpwstr/>
      </vt:variant>
      <vt:variant>
        <vt:i4>851987</vt:i4>
      </vt:variant>
      <vt:variant>
        <vt:i4>663</vt:i4>
      </vt:variant>
      <vt:variant>
        <vt:i4>0</vt:i4>
      </vt:variant>
      <vt:variant>
        <vt:i4>5</vt:i4>
      </vt:variant>
      <vt:variant>
        <vt:lpwstr>https://www.swissstats.bfs.admin.ch/collection/ch.admin.bfs.swissstat.en.issue21000252100/article/issue21000252100-13</vt:lpwstr>
      </vt:variant>
      <vt:variant>
        <vt:lpwstr/>
      </vt:variant>
      <vt:variant>
        <vt:i4>7077995</vt:i4>
      </vt:variant>
      <vt:variant>
        <vt:i4>660</vt:i4>
      </vt:variant>
      <vt:variant>
        <vt:i4>0</vt:i4>
      </vt:variant>
      <vt:variant>
        <vt:i4>5</vt:i4>
      </vt:variant>
      <vt:variant>
        <vt:lpwstr>https://www.ge.ch/louer-mon-logement-plateforme-hebergement-type-airbnb</vt:lpwstr>
      </vt:variant>
      <vt:variant>
        <vt:lpwstr/>
      </vt:variant>
      <vt:variant>
        <vt:i4>3801108</vt:i4>
      </vt:variant>
      <vt:variant>
        <vt:i4>657</vt:i4>
      </vt:variant>
      <vt:variant>
        <vt:i4>0</vt:i4>
      </vt:variant>
      <vt:variant>
        <vt:i4>5</vt:i4>
      </vt:variant>
      <vt:variant>
        <vt:lpwstr>https://www.moneyland.ch/en/earn-income-airbnb-home-sharing-switzerland-guide?utm_source=chatgpt.com</vt:lpwstr>
      </vt:variant>
      <vt:variant>
        <vt:lpwstr/>
      </vt:variant>
      <vt:variant>
        <vt:i4>7274622</vt:i4>
      </vt:variant>
      <vt:variant>
        <vt:i4>654</vt:i4>
      </vt:variant>
      <vt:variant>
        <vt:i4>0</vt:i4>
      </vt:variant>
      <vt:variant>
        <vt:i4>5</vt:i4>
      </vt:variant>
      <vt:variant>
        <vt:lpwstr>https://www.bwo.admin.ch/bwo/de/home/Wohnungsmarkt/buchungsplattformen.html</vt:lpwstr>
      </vt:variant>
      <vt:variant>
        <vt:lpwstr/>
      </vt:variant>
      <vt:variant>
        <vt:i4>5046343</vt:i4>
      </vt:variant>
      <vt:variant>
        <vt:i4>651</vt:i4>
      </vt:variant>
      <vt:variant>
        <vt:i4>0</vt:i4>
      </vt:variant>
      <vt:variant>
        <vt:i4>5</vt:i4>
      </vt:variant>
      <vt:variant>
        <vt:lpwstr>https://assets.airbnb.com/help/AirbnbTaxGuide2024_Switzerland_ENGLISH.pdf</vt:lpwstr>
      </vt:variant>
      <vt:variant>
        <vt:lpwstr/>
      </vt:variant>
      <vt:variant>
        <vt:i4>4784156</vt:i4>
      </vt:variant>
      <vt:variant>
        <vt:i4>648</vt:i4>
      </vt:variant>
      <vt:variant>
        <vt:i4>0</vt:i4>
      </vt:variant>
      <vt:variant>
        <vt:i4>5</vt:i4>
      </vt:variant>
      <vt:variant>
        <vt:lpwstr>https://www.moneyland.ch/en/earn-income-airbnb-home-sharing-switzerland-guide</vt:lpwstr>
      </vt:variant>
      <vt:variant>
        <vt:lpwstr/>
      </vt:variant>
      <vt:variant>
        <vt:i4>7274622</vt:i4>
      </vt:variant>
      <vt:variant>
        <vt:i4>645</vt:i4>
      </vt:variant>
      <vt:variant>
        <vt:i4>0</vt:i4>
      </vt:variant>
      <vt:variant>
        <vt:i4>5</vt:i4>
      </vt:variant>
      <vt:variant>
        <vt:lpwstr>https://www.bwo.admin.ch/bwo/de/home/Wohnungsmarkt/buchungsplattformen.html</vt:lpwstr>
      </vt:variant>
      <vt:variant>
        <vt:lpwstr/>
      </vt:variant>
      <vt:variant>
        <vt:i4>2687022</vt:i4>
      </vt:variant>
      <vt:variant>
        <vt:i4>642</vt:i4>
      </vt:variant>
      <vt:variant>
        <vt:i4>0</vt:i4>
      </vt:variant>
      <vt:variant>
        <vt:i4>5</vt:i4>
      </vt:variant>
      <vt:variant>
        <vt:lpwstr>https://tvpworld.com/83417848/half-of-prague-residents-want-restrictions-on-short-term-airbnb-rentals-survey-shows</vt:lpwstr>
      </vt:variant>
      <vt:variant>
        <vt:lpwstr/>
      </vt:variant>
      <vt:variant>
        <vt:i4>131108</vt:i4>
      </vt:variant>
      <vt:variant>
        <vt:i4>639</vt:i4>
      </vt:variant>
      <vt:variant>
        <vt:i4>0</vt:i4>
      </vt:variant>
      <vt:variant>
        <vt:i4>5</vt:i4>
      </vt:variant>
      <vt:variant>
        <vt:lpwstr>https://www.researchgate.net/publication/326106312_International_sharing_economy_The_case_of_airbnb_in_the_Czech_Republic</vt:lpwstr>
      </vt:variant>
      <vt:variant>
        <vt:lpwstr/>
      </vt:variant>
      <vt:variant>
        <vt:i4>7143503</vt:i4>
      </vt:variant>
      <vt:variant>
        <vt:i4>636</vt:i4>
      </vt:variant>
      <vt:variant>
        <vt:i4>0</vt:i4>
      </vt:variant>
      <vt:variant>
        <vt:i4>5</vt:i4>
      </vt:variant>
      <vt:variant>
        <vt:lpwstr>https://www.oecd.org/en/publications/housing-affordability-in-cities-in-the-czech-republic_bcddcf4a-en.html</vt:lpwstr>
      </vt:variant>
      <vt:variant>
        <vt:lpwstr/>
      </vt:variant>
      <vt:variant>
        <vt:i4>7077929</vt:i4>
      </vt:variant>
      <vt:variant>
        <vt:i4>633</vt:i4>
      </vt:variant>
      <vt:variant>
        <vt:i4>0</vt:i4>
      </vt:variant>
      <vt:variant>
        <vt:i4>5</vt:i4>
      </vt:variant>
      <vt:variant>
        <vt:lpwstr>https://news.airbnb.com/wp-content/uploads/sites/4/2024/09/Airbnb-Prague-Study.pdf</vt:lpwstr>
      </vt:variant>
      <vt:variant>
        <vt:lpwstr/>
      </vt:variant>
      <vt:variant>
        <vt:i4>7077929</vt:i4>
      </vt:variant>
      <vt:variant>
        <vt:i4>630</vt:i4>
      </vt:variant>
      <vt:variant>
        <vt:i4>0</vt:i4>
      </vt:variant>
      <vt:variant>
        <vt:i4>5</vt:i4>
      </vt:variant>
      <vt:variant>
        <vt:lpwstr>https://news.airbnb.com/wp-content/uploads/sites/4/2024/09/Airbnb-Prague-Study.pdf</vt:lpwstr>
      </vt:variant>
      <vt:variant>
        <vt:lpwstr/>
      </vt:variant>
      <vt:variant>
        <vt:i4>7077929</vt:i4>
      </vt:variant>
      <vt:variant>
        <vt:i4>627</vt:i4>
      </vt:variant>
      <vt:variant>
        <vt:i4>0</vt:i4>
      </vt:variant>
      <vt:variant>
        <vt:i4>5</vt:i4>
      </vt:variant>
      <vt:variant>
        <vt:lpwstr>https://news.airbnb.com/wp-content/uploads/sites/4/2024/09/Airbnb-Prague-Study.pdf</vt:lpwstr>
      </vt:variant>
      <vt:variant>
        <vt:lpwstr/>
      </vt:variant>
      <vt:variant>
        <vt:i4>7077929</vt:i4>
      </vt:variant>
      <vt:variant>
        <vt:i4>624</vt:i4>
      </vt:variant>
      <vt:variant>
        <vt:i4>0</vt:i4>
      </vt:variant>
      <vt:variant>
        <vt:i4>5</vt:i4>
      </vt:variant>
      <vt:variant>
        <vt:lpwstr>https://news.airbnb.com/wp-content/uploads/sites/4/2024/09/Airbnb-Prague-Study.pdf</vt:lpwstr>
      </vt:variant>
      <vt:variant>
        <vt:lpwstr/>
      </vt:variant>
      <vt:variant>
        <vt:i4>6881332</vt:i4>
      </vt:variant>
      <vt:variant>
        <vt:i4>621</vt:i4>
      </vt:variant>
      <vt:variant>
        <vt:i4>0</vt:i4>
      </vt:variant>
      <vt:variant>
        <vt:i4>5</vt:i4>
      </vt:variant>
      <vt:variant>
        <vt:lpwstr>https://www.seznamzpravy.cz/clanek/domaci-zivot-v-cesku-problem-pro-airbnb-kratkodobe-pronajmy-dostaly-nekolik-direktu-od-uradu-220984</vt:lpwstr>
      </vt:variant>
      <vt:variant>
        <vt:lpwstr/>
      </vt:variant>
      <vt:variant>
        <vt:i4>2687022</vt:i4>
      </vt:variant>
      <vt:variant>
        <vt:i4>618</vt:i4>
      </vt:variant>
      <vt:variant>
        <vt:i4>0</vt:i4>
      </vt:variant>
      <vt:variant>
        <vt:i4>5</vt:i4>
      </vt:variant>
      <vt:variant>
        <vt:lpwstr>https://tvpworld.com/83417848/half-of-prague-residents-want-restrictions-on-short-term-airbnb-rentals-survey-shows</vt:lpwstr>
      </vt:variant>
      <vt:variant>
        <vt:lpwstr/>
      </vt:variant>
      <vt:variant>
        <vt:i4>8126524</vt:i4>
      </vt:variant>
      <vt:variant>
        <vt:i4>615</vt:i4>
      </vt:variant>
      <vt:variant>
        <vt:i4>0</vt:i4>
      </vt:variant>
      <vt:variant>
        <vt:i4>5</vt:i4>
      </vt:variant>
      <vt:variant>
        <vt:lpwstr>https://assets.airbnb.com/help/Airbnb-Tax-Guide-2023-Czech-Republic.pdf</vt:lpwstr>
      </vt:variant>
      <vt:variant>
        <vt:lpwstr/>
      </vt:variant>
      <vt:variant>
        <vt:i4>2359338</vt:i4>
      </vt:variant>
      <vt:variant>
        <vt:i4>612</vt:i4>
      </vt:variant>
      <vt:variant>
        <vt:i4>0</vt:i4>
      </vt:variant>
      <vt:variant>
        <vt:i4>5</vt:i4>
      </vt:variant>
      <vt:variant>
        <vt:lpwstr>https://csu.gov.cz/produkty/online-accommodation-platforms-data</vt:lpwstr>
      </vt:variant>
      <vt:variant>
        <vt:lpwstr/>
      </vt:variant>
      <vt:variant>
        <vt:i4>5046292</vt:i4>
      </vt:variant>
      <vt:variant>
        <vt:i4>609</vt:i4>
      </vt:variant>
      <vt:variant>
        <vt:i4>0</vt:i4>
      </vt:variant>
      <vt:variant>
        <vt:i4>5</vt:i4>
      </vt:variant>
      <vt:variant>
        <vt:lpwstr>https://shorttermrentalz.com/news/czech-prague-details-legislation-2025/</vt:lpwstr>
      </vt:variant>
      <vt:variant>
        <vt:lpwstr/>
      </vt:variant>
      <vt:variant>
        <vt:i4>1900622</vt:i4>
      </vt:variant>
      <vt:variant>
        <vt:i4>606</vt:i4>
      </vt:variant>
      <vt:variant>
        <vt:i4>0</vt:i4>
      </vt:variant>
      <vt:variant>
        <vt:i4>5</vt:i4>
      </vt:variant>
      <vt:variant>
        <vt:lpwstr>https://praguemorning.cz/airbnb-faces-new-regulations-in-czechia-what-hosts-need-to-know/</vt:lpwstr>
      </vt:variant>
      <vt:variant>
        <vt:lpwstr/>
      </vt:variant>
      <vt:variant>
        <vt:i4>1114181</vt:i4>
      </vt:variant>
      <vt:variant>
        <vt:i4>603</vt:i4>
      </vt:variant>
      <vt:variant>
        <vt:i4>0</vt:i4>
      </vt:variant>
      <vt:variant>
        <vt:i4>5</vt:i4>
      </vt:variant>
      <vt:variant>
        <vt:lpwstr>https://shorttermrentalz.com/news/czechia-legislation-amendment-2025/</vt:lpwstr>
      </vt:variant>
      <vt:variant>
        <vt:lpwstr/>
      </vt:variant>
      <vt:variant>
        <vt:i4>2883690</vt:i4>
      </vt:variant>
      <vt:variant>
        <vt:i4>600</vt:i4>
      </vt:variant>
      <vt:variant>
        <vt:i4>0</vt:i4>
      </vt:variant>
      <vt:variant>
        <vt:i4>5</vt:i4>
      </vt:variant>
      <vt:variant>
        <vt:lpwstr>https://mmr.gov.cz/cs/ministerstvo/urad/projektova-kancelar/narodni-plan-obnovy/1-1-digitalni-sluzby-obcanum-a-firmam/e-turista-%E2%80%93-online-registr-ubytovanych-hostu-v-cr</vt:lpwstr>
      </vt:variant>
      <vt:variant>
        <vt:lpwstr/>
      </vt:variant>
      <vt:variant>
        <vt:i4>7209020</vt:i4>
      </vt:variant>
      <vt:variant>
        <vt:i4>597</vt:i4>
      </vt:variant>
      <vt:variant>
        <vt:i4>0</vt:i4>
      </vt:variant>
      <vt:variant>
        <vt:i4>5</vt:i4>
      </vt:variant>
      <vt:variant>
        <vt:lpwstr>https://www.grantthornton.cz/en/news/finally-there-is-regulation-of-short-term-rentals/</vt:lpwstr>
      </vt:variant>
      <vt:variant>
        <vt:lpwstr/>
      </vt:variant>
      <vt:variant>
        <vt:i4>5046292</vt:i4>
      </vt:variant>
      <vt:variant>
        <vt:i4>594</vt:i4>
      </vt:variant>
      <vt:variant>
        <vt:i4>0</vt:i4>
      </vt:variant>
      <vt:variant>
        <vt:i4>5</vt:i4>
      </vt:variant>
      <vt:variant>
        <vt:lpwstr>https://shorttermrentalz.com/news/czech-prague-details-legislation-2025/</vt:lpwstr>
      </vt:variant>
      <vt:variant>
        <vt:lpwstr/>
      </vt:variant>
      <vt:variant>
        <vt:i4>1900622</vt:i4>
      </vt:variant>
      <vt:variant>
        <vt:i4>591</vt:i4>
      </vt:variant>
      <vt:variant>
        <vt:i4>0</vt:i4>
      </vt:variant>
      <vt:variant>
        <vt:i4>5</vt:i4>
      </vt:variant>
      <vt:variant>
        <vt:lpwstr>https://praguemorning.cz/airbnb-faces-new-regulations-in-czechia-what-hosts-need-to-know/</vt:lpwstr>
      </vt:variant>
      <vt:variant>
        <vt:lpwstr/>
      </vt:variant>
      <vt:variant>
        <vt:i4>3539001</vt:i4>
      </vt:variant>
      <vt:variant>
        <vt:i4>588</vt:i4>
      </vt:variant>
      <vt:variant>
        <vt:i4>0</vt:i4>
      </vt:variant>
      <vt:variant>
        <vt:i4>5</vt:i4>
      </vt:variant>
      <vt:variant>
        <vt:lpwstr>https://journals.sagepub.com/doi/10.1177/09697764231155386</vt:lpwstr>
      </vt:variant>
      <vt:variant>
        <vt:lpwstr/>
      </vt:variant>
      <vt:variant>
        <vt:i4>3407926</vt:i4>
      </vt:variant>
      <vt:variant>
        <vt:i4>585</vt:i4>
      </vt:variant>
      <vt:variant>
        <vt:i4>0</vt:i4>
      </vt:variant>
      <vt:variant>
        <vt:i4>5</vt:i4>
      </vt:variant>
      <vt:variant>
        <vt:lpwstr>https://www.ecovislegal.cz/en/czech-legal-news/airbnb-the-issue-of-the-legal-framework-of-short-term-rentals-and-possible-defences-against-their-operators/</vt:lpwstr>
      </vt:variant>
      <vt:variant>
        <vt:lpwstr/>
      </vt:variant>
      <vt:variant>
        <vt:i4>3735649</vt:i4>
      </vt:variant>
      <vt:variant>
        <vt:i4>582</vt:i4>
      </vt:variant>
      <vt:variant>
        <vt:i4>0</vt:i4>
      </vt:variant>
      <vt:variant>
        <vt:i4>5</vt:i4>
      </vt:variant>
      <vt:variant>
        <vt:lpwstr>https://www.theseus.fi/handle/10024/870522</vt:lpwstr>
      </vt:variant>
      <vt:variant>
        <vt:lpwstr/>
      </vt:variant>
      <vt:variant>
        <vt:i4>3407965</vt:i4>
      </vt:variant>
      <vt:variant>
        <vt:i4>579</vt:i4>
      </vt:variant>
      <vt:variant>
        <vt:i4>0</vt:i4>
      </vt:variant>
      <vt:variant>
        <vt:i4>5</vt:i4>
      </vt:variant>
      <vt:variant>
        <vt:lpwstr>https://lieke.com/en/short-term-rentals-and-accommodation-activities-new-directions-for-legislation/?utm_source=chatgpt.com</vt:lpwstr>
      </vt:variant>
      <vt:variant>
        <vt:lpwstr/>
      </vt:variant>
      <vt:variant>
        <vt:i4>5242948</vt:i4>
      </vt:variant>
      <vt:variant>
        <vt:i4>576</vt:i4>
      </vt:variant>
      <vt:variant>
        <vt:i4>0</vt:i4>
      </vt:variant>
      <vt:variant>
        <vt:i4>5</vt:i4>
      </vt:variant>
      <vt:variant>
        <vt:lpwstr>https://aaltodoc.aalto.fi/items/29281dbc-b807-4f6c-a263-a1e9967a1dbd?gad_source=1&amp;gclid=Cj0KCQiAs5i8BhDmARIsAGE4xHz0PpJH65HSsSWzce6xVyo9pH4oIZmkitTQl51Fg6dNCxRWp6hhmb0aAkofEALw_wcB</vt:lpwstr>
      </vt:variant>
      <vt:variant>
        <vt:lpwstr/>
      </vt:variant>
      <vt:variant>
        <vt:i4>2097271</vt:i4>
      </vt:variant>
      <vt:variant>
        <vt:i4>573</vt:i4>
      </vt:variant>
      <vt:variant>
        <vt:i4>0</vt:i4>
      </vt:variant>
      <vt:variant>
        <vt:i4>5</vt:i4>
      </vt:variant>
      <vt:variant>
        <vt:lpwstr>https://www.tandfonline.com/doi/full/10.1080/15022250.2020.1774412</vt:lpwstr>
      </vt:variant>
      <vt:variant>
        <vt:lpwstr/>
      </vt:variant>
      <vt:variant>
        <vt:i4>5242966</vt:i4>
      </vt:variant>
      <vt:variant>
        <vt:i4>570</vt:i4>
      </vt:variant>
      <vt:variant>
        <vt:i4>0</vt:i4>
      </vt:variant>
      <vt:variant>
        <vt:i4>5</vt:i4>
      </vt:variant>
      <vt:variant>
        <vt:lpwstr>https://assets.airbnb.com/help/airbnb-pwc-taxguide-finland-en.pdf</vt:lpwstr>
      </vt:variant>
      <vt:variant>
        <vt:lpwstr/>
      </vt:variant>
      <vt:variant>
        <vt:i4>2097271</vt:i4>
      </vt:variant>
      <vt:variant>
        <vt:i4>567</vt:i4>
      </vt:variant>
      <vt:variant>
        <vt:i4>0</vt:i4>
      </vt:variant>
      <vt:variant>
        <vt:i4>5</vt:i4>
      </vt:variant>
      <vt:variant>
        <vt:lpwstr>https://www.tandfonline.com/doi/full/10.1080/15022250.2020.1774412</vt:lpwstr>
      </vt:variant>
      <vt:variant>
        <vt:lpwstr/>
      </vt:variant>
      <vt:variant>
        <vt:i4>5242948</vt:i4>
      </vt:variant>
      <vt:variant>
        <vt:i4>564</vt:i4>
      </vt:variant>
      <vt:variant>
        <vt:i4>0</vt:i4>
      </vt:variant>
      <vt:variant>
        <vt:i4>5</vt:i4>
      </vt:variant>
      <vt:variant>
        <vt:lpwstr>https://aaltodoc.aalto.fi/items/29281dbc-b807-4f6c-a263-a1e9967a1dbd?gad_source=1&amp;gclid=Cj0KCQiAs5i8BhDmARIsAGE4xHz0PpJH65HSsSWzce6xVyo9pH4oIZmkitTQl51Fg6dNCxRWp6hhmb0aAkofEALw_wcB</vt:lpwstr>
      </vt:variant>
      <vt:variant>
        <vt:lpwstr/>
      </vt:variant>
      <vt:variant>
        <vt:i4>3735649</vt:i4>
      </vt:variant>
      <vt:variant>
        <vt:i4>561</vt:i4>
      </vt:variant>
      <vt:variant>
        <vt:i4>0</vt:i4>
      </vt:variant>
      <vt:variant>
        <vt:i4>5</vt:i4>
      </vt:variant>
      <vt:variant>
        <vt:lpwstr>https://www.theseus.fi/handle/10024/870522</vt:lpwstr>
      </vt:variant>
      <vt:variant>
        <vt:lpwstr/>
      </vt:variant>
      <vt:variant>
        <vt:i4>4194316</vt:i4>
      </vt:variant>
      <vt:variant>
        <vt:i4>558</vt:i4>
      </vt:variant>
      <vt:variant>
        <vt:i4>0</vt:i4>
      </vt:variant>
      <vt:variant>
        <vt:i4>5</vt:i4>
      </vt:variant>
      <vt:variant>
        <vt:lpwstr>https://yle.fi/a/74-20034042</vt:lpwstr>
      </vt:variant>
      <vt:variant>
        <vt:lpwstr/>
      </vt:variant>
      <vt:variant>
        <vt:i4>7929894</vt:i4>
      </vt:variant>
      <vt:variant>
        <vt:i4>555</vt:i4>
      </vt:variant>
      <vt:variant>
        <vt:i4>0</vt:i4>
      </vt:variant>
      <vt:variant>
        <vt:i4>5</vt:i4>
      </vt:variant>
      <vt:variant>
        <vt:lpwstr>https://valtioneuvosto.fi/-/1410903/ymparistoministerio-pyytaa-lausuntoja-lyhytvuokraukseen-liittyen-asumisen-ja-majoittumisen-maaritelmista-seka-asuin-majoitus-ja-tyotila-asetuksesta</vt:lpwstr>
      </vt:variant>
      <vt:variant>
        <vt:lpwstr/>
      </vt:variant>
      <vt:variant>
        <vt:i4>3407965</vt:i4>
      </vt:variant>
      <vt:variant>
        <vt:i4>552</vt:i4>
      </vt:variant>
      <vt:variant>
        <vt:i4>0</vt:i4>
      </vt:variant>
      <vt:variant>
        <vt:i4>5</vt:i4>
      </vt:variant>
      <vt:variant>
        <vt:lpwstr>https://lieke.com/en/short-term-rentals-and-accommodation-activities-new-directions-for-legislation/?utm_source=chatgpt.com</vt:lpwstr>
      </vt:variant>
      <vt:variant>
        <vt:lpwstr/>
      </vt:variant>
      <vt:variant>
        <vt:i4>7143523</vt:i4>
      </vt:variant>
      <vt:variant>
        <vt:i4>549</vt:i4>
      </vt:variant>
      <vt:variant>
        <vt:i4>0</vt:i4>
      </vt:variant>
      <vt:variant>
        <vt:i4>5</vt:i4>
      </vt:variant>
      <vt:variant>
        <vt:lpwstr>https://www.hel.fi/static/rakvv/ohjeet/Luvaton-majoitus-eng.pdf</vt:lpwstr>
      </vt:variant>
      <vt:variant>
        <vt:lpwstr/>
      </vt:variant>
      <vt:variant>
        <vt:i4>7274604</vt:i4>
      </vt:variant>
      <vt:variant>
        <vt:i4>546</vt:i4>
      </vt:variant>
      <vt:variant>
        <vt:i4>0</vt:i4>
      </vt:variant>
      <vt:variant>
        <vt:i4>5</vt:i4>
      </vt:variant>
      <vt:variant>
        <vt:lpwstr>https://finlex.fi/api/media/statute-foreign-language-translation/178179/mainPdf/main.pdf?timestamp=2006-04-28T00%3A00%3A00.000Z</vt:lpwstr>
      </vt:variant>
      <vt:variant>
        <vt:lpwstr/>
      </vt:variant>
      <vt:variant>
        <vt:i4>7143523</vt:i4>
      </vt:variant>
      <vt:variant>
        <vt:i4>543</vt:i4>
      </vt:variant>
      <vt:variant>
        <vt:i4>0</vt:i4>
      </vt:variant>
      <vt:variant>
        <vt:i4>5</vt:i4>
      </vt:variant>
      <vt:variant>
        <vt:lpwstr>https://www.hel.fi/static/rakvv/ohjeet/Luvaton-majoitus-eng.pdf</vt:lpwstr>
      </vt:variant>
      <vt:variant>
        <vt:lpwstr/>
      </vt:variant>
      <vt:variant>
        <vt:i4>7143523</vt:i4>
      </vt:variant>
      <vt:variant>
        <vt:i4>540</vt:i4>
      </vt:variant>
      <vt:variant>
        <vt:i4>0</vt:i4>
      </vt:variant>
      <vt:variant>
        <vt:i4>5</vt:i4>
      </vt:variant>
      <vt:variant>
        <vt:lpwstr>https://www.hel.fi/static/rakvv/ohjeet/Luvaton-majoitus-eng.pdf</vt:lpwstr>
      </vt:variant>
      <vt:variant>
        <vt:lpwstr/>
      </vt:variant>
      <vt:variant>
        <vt:i4>7143523</vt:i4>
      </vt:variant>
      <vt:variant>
        <vt:i4>537</vt:i4>
      </vt:variant>
      <vt:variant>
        <vt:i4>0</vt:i4>
      </vt:variant>
      <vt:variant>
        <vt:i4>5</vt:i4>
      </vt:variant>
      <vt:variant>
        <vt:lpwstr>https://www.hel.fi/static/rakvv/ohjeet/Luvaton-majoitus-eng.pdf</vt:lpwstr>
      </vt:variant>
      <vt:variant>
        <vt:lpwstr/>
      </vt:variant>
      <vt:variant>
        <vt:i4>262243</vt:i4>
      </vt:variant>
      <vt:variant>
        <vt:i4>534</vt:i4>
      </vt:variant>
      <vt:variant>
        <vt:i4>0</vt:i4>
      </vt:variant>
      <vt:variant>
        <vt:i4>5</vt:i4>
      </vt:variant>
      <vt:variant>
        <vt:lpwstr>https://www.vero.fi/en/individuals/property/rental_income/what-is-considered-rental-income/occasional-rental-income-from-property</vt:lpwstr>
      </vt:variant>
      <vt:variant>
        <vt:lpwstr/>
      </vt:variant>
      <vt:variant>
        <vt:i4>7143523</vt:i4>
      </vt:variant>
      <vt:variant>
        <vt:i4>531</vt:i4>
      </vt:variant>
      <vt:variant>
        <vt:i4>0</vt:i4>
      </vt:variant>
      <vt:variant>
        <vt:i4>5</vt:i4>
      </vt:variant>
      <vt:variant>
        <vt:lpwstr>https://www.hel.fi/static/rakvv/ohjeet/Luvaton-majoitus-eng.pdf</vt:lpwstr>
      </vt:variant>
      <vt:variant>
        <vt:lpwstr/>
      </vt:variant>
      <vt:variant>
        <vt:i4>5767187</vt:i4>
      </vt:variant>
      <vt:variant>
        <vt:i4>528</vt:i4>
      </vt:variant>
      <vt:variant>
        <vt:i4>0</vt:i4>
      </vt:variant>
      <vt:variant>
        <vt:i4>5</vt:i4>
      </vt:variant>
      <vt:variant>
        <vt:lpwstr>https://www.finlex.fi/fi/oikeus/kho/vuosikirjat/2024/202401382?search%5Btype%5D=pika&amp;search%5Bpika%5D=KHO%3A2024%3A75</vt:lpwstr>
      </vt:variant>
      <vt:variant>
        <vt:lpwstr/>
      </vt:variant>
      <vt:variant>
        <vt:i4>6750323</vt:i4>
      </vt:variant>
      <vt:variant>
        <vt:i4>525</vt:i4>
      </vt:variant>
      <vt:variant>
        <vt:i4>0</vt:i4>
      </vt:variant>
      <vt:variant>
        <vt:i4>5</vt:i4>
      </vt:variant>
      <vt:variant>
        <vt:lpwstr>https://www.finlex.fi/fi/oikeus/kho/vuosikirjat/2014/201402865</vt:lpwstr>
      </vt:variant>
      <vt:variant>
        <vt:lpwstr/>
      </vt:variant>
      <vt:variant>
        <vt:i4>5767187</vt:i4>
      </vt:variant>
      <vt:variant>
        <vt:i4>522</vt:i4>
      </vt:variant>
      <vt:variant>
        <vt:i4>0</vt:i4>
      </vt:variant>
      <vt:variant>
        <vt:i4>5</vt:i4>
      </vt:variant>
      <vt:variant>
        <vt:lpwstr>https://www.finlex.fi/fi/oikeus/kho/vuosikirjat/2024/202401382?search%5Btype%5D=pika&amp;search%5Bpika%5D=KHO%3A2024%3A75</vt:lpwstr>
      </vt:variant>
      <vt:variant>
        <vt:lpwstr/>
      </vt:variant>
      <vt:variant>
        <vt:i4>7143523</vt:i4>
      </vt:variant>
      <vt:variant>
        <vt:i4>519</vt:i4>
      </vt:variant>
      <vt:variant>
        <vt:i4>0</vt:i4>
      </vt:variant>
      <vt:variant>
        <vt:i4>5</vt:i4>
      </vt:variant>
      <vt:variant>
        <vt:lpwstr>https://www.hel.fi/static/rakvv/ohjeet/Luvaton-majoitus-eng.pdf</vt:lpwstr>
      </vt:variant>
      <vt:variant>
        <vt:lpwstr/>
      </vt:variant>
      <vt:variant>
        <vt:i4>3407965</vt:i4>
      </vt:variant>
      <vt:variant>
        <vt:i4>516</vt:i4>
      </vt:variant>
      <vt:variant>
        <vt:i4>0</vt:i4>
      </vt:variant>
      <vt:variant>
        <vt:i4>5</vt:i4>
      </vt:variant>
      <vt:variant>
        <vt:lpwstr>https://lieke.com/en/short-term-rentals-and-accommodation-activities-new-directions-for-legislation/?utm_source=chatgpt.com</vt:lpwstr>
      </vt:variant>
      <vt:variant>
        <vt:lpwstr/>
      </vt:variant>
      <vt:variant>
        <vt:i4>2621478</vt:i4>
      </vt:variant>
      <vt:variant>
        <vt:i4>513</vt:i4>
      </vt:variant>
      <vt:variant>
        <vt:i4>0</vt:i4>
      </vt:variant>
      <vt:variant>
        <vt:i4>5</vt:i4>
      </vt:variant>
      <vt:variant>
        <vt:lpwstr>https://toptenrava.fi/tulkintakortti/asunnoissa-tapahtuva-majoitustoiminta/</vt:lpwstr>
      </vt:variant>
      <vt:variant>
        <vt:lpwstr/>
      </vt:variant>
      <vt:variant>
        <vt:i4>7929894</vt:i4>
      </vt:variant>
      <vt:variant>
        <vt:i4>510</vt:i4>
      </vt:variant>
      <vt:variant>
        <vt:i4>0</vt:i4>
      </vt:variant>
      <vt:variant>
        <vt:i4>5</vt:i4>
      </vt:variant>
      <vt:variant>
        <vt:lpwstr>https://valtioneuvosto.fi/-/1410903/ymparistoministerio-pyytaa-lausuntoja-lyhytvuokraukseen-liittyen-asumisen-ja-majoittumisen-maaritelmista-seka-asuin-majoitus-ja-tyotila-asetuksesta</vt:lpwstr>
      </vt:variant>
      <vt:variant>
        <vt:lpwstr/>
      </vt:variant>
      <vt:variant>
        <vt:i4>8257638</vt:i4>
      </vt:variant>
      <vt:variant>
        <vt:i4>507</vt:i4>
      </vt:variant>
      <vt:variant>
        <vt:i4>0</vt:i4>
      </vt:variant>
      <vt:variant>
        <vt:i4>5</vt:i4>
      </vt:variant>
      <vt:variant>
        <vt:lpwstr>https://shorttermrentalz.com/news/finland-permits-short-term-rental-hosts/</vt:lpwstr>
      </vt:variant>
      <vt:variant>
        <vt:lpwstr/>
      </vt:variant>
      <vt:variant>
        <vt:i4>4194316</vt:i4>
      </vt:variant>
      <vt:variant>
        <vt:i4>504</vt:i4>
      </vt:variant>
      <vt:variant>
        <vt:i4>0</vt:i4>
      </vt:variant>
      <vt:variant>
        <vt:i4>5</vt:i4>
      </vt:variant>
      <vt:variant>
        <vt:lpwstr>https://yle.fi/a/74-20034042</vt:lpwstr>
      </vt:variant>
      <vt:variant>
        <vt:lpwstr/>
      </vt:variant>
      <vt:variant>
        <vt:i4>3407965</vt:i4>
      </vt:variant>
      <vt:variant>
        <vt:i4>501</vt:i4>
      </vt:variant>
      <vt:variant>
        <vt:i4>0</vt:i4>
      </vt:variant>
      <vt:variant>
        <vt:i4>5</vt:i4>
      </vt:variant>
      <vt:variant>
        <vt:lpwstr>https://lieke.com/en/short-term-rentals-and-accommodation-activities-new-directions-for-legislation/?utm_source=chatgpt.com</vt:lpwstr>
      </vt:variant>
      <vt:variant>
        <vt:lpwstr/>
      </vt:variant>
      <vt:variant>
        <vt:i4>8257638</vt:i4>
      </vt:variant>
      <vt:variant>
        <vt:i4>498</vt:i4>
      </vt:variant>
      <vt:variant>
        <vt:i4>0</vt:i4>
      </vt:variant>
      <vt:variant>
        <vt:i4>5</vt:i4>
      </vt:variant>
      <vt:variant>
        <vt:lpwstr>https://shorttermrentalz.com/news/finland-permits-short-term-rental-hosts/</vt:lpwstr>
      </vt:variant>
      <vt:variant>
        <vt:lpwstr/>
      </vt:variant>
      <vt:variant>
        <vt:i4>4194316</vt:i4>
      </vt:variant>
      <vt:variant>
        <vt:i4>495</vt:i4>
      </vt:variant>
      <vt:variant>
        <vt:i4>0</vt:i4>
      </vt:variant>
      <vt:variant>
        <vt:i4>5</vt:i4>
      </vt:variant>
      <vt:variant>
        <vt:lpwstr>https://yle.fi/a/74-20034042</vt:lpwstr>
      </vt:variant>
      <vt:variant>
        <vt:lpwstr/>
      </vt:variant>
      <vt:variant>
        <vt:i4>196679</vt:i4>
      </vt:variant>
      <vt:variant>
        <vt:i4>492</vt:i4>
      </vt:variant>
      <vt:variant>
        <vt:i4>0</vt:i4>
      </vt:variant>
      <vt:variant>
        <vt:i4>5</vt:i4>
      </vt:variant>
      <vt:variant>
        <vt:lpwstr>https://www.helsinkitimes.fi/finland/finland-news/domestic/25294-finland-could-allow-municipalities-to-decide-on-short-term-rental-bans.html</vt:lpwstr>
      </vt:variant>
      <vt:variant>
        <vt:lpwstr/>
      </vt:variant>
      <vt:variant>
        <vt:i4>7929894</vt:i4>
      </vt:variant>
      <vt:variant>
        <vt:i4>489</vt:i4>
      </vt:variant>
      <vt:variant>
        <vt:i4>0</vt:i4>
      </vt:variant>
      <vt:variant>
        <vt:i4>5</vt:i4>
      </vt:variant>
      <vt:variant>
        <vt:lpwstr>https://valtioneuvosto.fi/-/1410903/ymparistoministerio-pyytaa-lausuntoja-lyhytvuokraukseen-liittyen-asumisen-ja-majoittumisen-maaritelmista-seka-asuin-majoitus-ja-tyotila-asetuksesta</vt:lpwstr>
      </vt:variant>
      <vt:variant>
        <vt:lpwstr/>
      </vt:variant>
      <vt:variant>
        <vt:i4>7929894</vt:i4>
      </vt:variant>
      <vt:variant>
        <vt:i4>486</vt:i4>
      </vt:variant>
      <vt:variant>
        <vt:i4>0</vt:i4>
      </vt:variant>
      <vt:variant>
        <vt:i4>5</vt:i4>
      </vt:variant>
      <vt:variant>
        <vt:lpwstr>https://valtioneuvosto.fi/-/1410903/ymparistoministerio-pyytaa-lausuntoja-lyhytvuokraukseen-liittyen-asumisen-ja-majoittumisen-maaritelmista-seka-asuin-majoitus-ja-tyotila-asetuksesta</vt:lpwstr>
      </vt:variant>
      <vt:variant>
        <vt:lpwstr/>
      </vt:variant>
      <vt:variant>
        <vt:i4>8257638</vt:i4>
      </vt:variant>
      <vt:variant>
        <vt:i4>483</vt:i4>
      </vt:variant>
      <vt:variant>
        <vt:i4>0</vt:i4>
      </vt:variant>
      <vt:variant>
        <vt:i4>5</vt:i4>
      </vt:variant>
      <vt:variant>
        <vt:lpwstr>https://shorttermrentalz.com/news/finland-permits-short-term-rental-hosts/</vt:lpwstr>
      </vt:variant>
      <vt:variant>
        <vt:lpwstr/>
      </vt:variant>
      <vt:variant>
        <vt:i4>4194316</vt:i4>
      </vt:variant>
      <vt:variant>
        <vt:i4>480</vt:i4>
      </vt:variant>
      <vt:variant>
        <vt:i4>0</vt:i4>
      </vt:variant>
      <vt:variant>
        <vt:i4>5</vt:i4>
      </vt:variant>
      <vt:variant>
        <vt:lpwstr>https://yle.fi/a/74-20034042</vt:lpwstr>
      </vt:variant>
      <vt:variant>
        <vt:lpwstr/>
      </vt:variant>
      <vt:variant>
        <vt:i4>7929894</vt:i4>
      </vt:variant>
      <vt:variant>
        <vt:i4>477</vt:i4>
      </vt:variant>
      <vt:variant>
        <vt:i4>0</vt:i4>
      </vt:variant>
      <vt:variant>
        <vt:i4>5</vt:i4>
      </vt:variant>
      <vt:variant>
        <vt:lpwstr>https://valtioneuvosto.fi/-/1410903/ymparistoministerio-pyytaa-lausuntoja-lyhytvuokraukseen-liittyen-asumisen-ja-majoittumisen-maaritelmista-seka-asuin-majoitus-ja-tyotila-asetuksesta</vt:lpwstr>
      </vt:variant>
      <vt:variant>
        <vt:lpwstr/>
      </vt:variant>
      <vt:variant>
        <vt:i4>8060986</vt:i4>
      </vt:variant>
      <vt:variant>
        <vt:i4>474</vt:i4>
      </vt:variant>
      <vt:variant>
        <vt:i4>0</vt:i4>
      </vt:variant>
      <vt:variant>
        <vt:i4>5</vt:i4>
      </vt:variant>
      <vt:variant>
        <vt:lpwstr>https://www.sciencedirect.com/science/article/pii/S0166046224000310</vt:lpwstr>
      </vt:variant>
      <vt:variant>
        <vt:lpwstr>:~:text=Policy%20changes%20in%20Berlin%20in,and%20higher%20rents%20on%20average.</vt:lpwstr>
      </vt:variant>
      <vt:variant>
        <vt:i4>4259964</vt:i4>
      </vt:variant>
      <vt:variant>
        <vt:i4>471</vt:i4>
      </vt:variant>
      <vt:variant>
        <vt:i4>0</vt:i4>
      </vt:variant>
      <vt:variant>
        <vt:i4>5</vt:i4>
      </vt:variant>
      <vt:variant>
        <vt:lpwstr>https://www.diw.de/documents/publikationen/73/diw_01.c.808950.de/dp1928.pdf</vt:lpwstr>
      </vt:variant>
      <vt:variant>
        <vt:lpwstr/>
      </vt:variant>
      <vt:variant>
        <vt:i4>4587544</vt:i4>
      </vt:variant>
      <vt:variant>
        <vt:i4>468</vt:i4>
      </vt:variant>
      <vt:variant>
        <vt:i4>0</vt:i4>
      </vt:variant>
      <vt:variant>
        <vt:i4>5</vt:i4>
      </vt:variant>
      <vt:variant>
        <vt:lpwstr>https://www.diw.de/de/diw_01.c.796644.de/publikationen/diskussionspapiere/2020_1890/airbnb_and_rents__evidence_from_berlin.html</vt:lpwstr>
      </vt:variant>
      <vt:variant>
        <vt:lpwstr/>
      </vt:variant>
      <vt:variant>
        <vt:i4>4587544</vt:i4>
      </vt:variant>
      <vt:variant>
        <vt:i4>465</vt:i4>
      </vt:variant>
      <vt:variant>
        <vt:i4>0</vt:i4>
      </vt:variant>
      <vt:variant>
        <vt:i4>5</vt:i4>
      </vt:variant>
      <vt:variant>
        <vt:lpwstr>https://www.diw.de/de/diw_01.c.796644.de/publikationen/diskussionspapiere/2020_1890/airbnb_and_rents__evidence_from_berlin.html</vt:lpwstr>
      </vt:variant>
      <vt:variant>
        <vt:lpwstr/>
      </vt:variant>
      <vt:variant>
        <vt:i4>1835085</vt:i4>
      </vt:variant>
      <vt:variant>
        <vt:i4>462</vt:i4>
      </vt:variant>
      <vt:variant>
        <vt:i4>0</vt:i4>
      </vt:variant>
      <vt:variant>
        <vt:i4>5</vt:i4>
      </vt:variant>
      <vt:variant>
        <vt:lpwstr>https://tourismusnetzwerk-brandenburg.de/sites/default/files/medien/dokumente/studie-der-ferienhausmarkt-in-deutschland-2024.pdf</vt:lpwstr>
      </vt:variant>
      <vt:variant>
        <vt:lpwstr/>
      </vt:variant>
      <vt:variant>
        <vt:i4>7209003</vt:i4>
      </vt:variant>
      <vt:variant>
        <vt:i4>459</vt:i4>
      </vt:variant>
      <vt:variant>
        <vt:i4>0</vt:i4>
      </vt:variant>
      <vt:variant>
        <vt:i4>5</vt:i4>
      </vt:variant>
      <vt:variant>
        <vt:lpwstr>https://www.dw.com/en/gentrification-battle-berlin-tenants-fight-to-save-their-homes-from-new-buyers/a-50167555</vt:lpwstr>
      </vt:variant>
      <vt:variant>
        <vt:lpwstr/>
      </vt:variant>
      <vt:variant>
        <vt:i4>5308423</vt:i4>
      </vt:variant>
      <vt:variant>
        <vt:i4>456</vt:i4>
      </vt:variant>
      <vt:variant>
        <vt:i4>0</vt:i4>
      </vt:variant>
      <vt:variant>
        <vt:i4>5</vt:i4>
      </vt:variant>
      <vt:variant>
        <vt:lpwstr>https://www.dw.com/en/airbnb-berlin-court-deals-blow-to-holiday-home-platform/a-68510966</vt:lpwstr>
      </vt:variant>
      <vt:variant>
        <vt:lpwstr/>
      </vt:variant>
      <vt:variant>
        <vt:i4>1966148</vt:i4>
      </vt:variant>
      <vt:variant>
        <vt:i4>453</vt:i4>
      </vt:variant>
      <vt:variant>
        <vt:i4>0</vt:i4>
      </vt:variant>
      <vt:variant>
        <vt:i4>5</vt:i4>
      </vt:variant>
      <vt:variant>
        <vt:lpwstr>https://www.deutscher-ferienhausverband.de/wp-content/uploads/2024/03/2024-02_Studie_Der-Ferienhausmarkt-in-Deutschland.pdf</vt:lpwstr>
      </vt:variant>
      <vt:variant>
        <vt:lpwstr/>
      </vt:variant>
      <vt:variant>
        <vt:i4>6619192</vt:i4>
      </vt:variant>
      <vt:variant>
        <vt:i4>450</vt:i4>
      </vt:variant>
      <vt:variant>
        <vt:i4>0</vt:i4>
      </vt:variant>
      <vt:variant>
        <vt:i4>5</vt:i4>
      </vt:variant>
      <vt:variant>
        <vt:lpwstr>https://gesetze.berlin.de/bsbe/document/jlr-WoZwEntfrGBErahmen</vt:lpwstr>
      </vt:variant>
      <vt:variant>
        <vt:lpwstr/>
      </vt:variant>
      <vt:variant>
        <vt:i4>983050</vt:i4>
      </vt:variant>
      <vt:variant>
        <vt:i4>447</vt:i4>
      </vt:variant>
      <vt:variant>
        <vt:i4>0</vt:i4>
      </vt:variant>
      <vt:variant>
        <vt:i4>5</vt:i4>
      </vt:variant>
      <vt:variant>
        <vt:lpwstr>https://service.berlin.de/dienstleistung/326217/</vt:lpwstr>
      </vt:variant>
      <vt:variant>
        <vt:lpwstr/>
      </vt:variant>
      <vt:variant>
        <vt:i4>8060986</vt:i4>
      </vt:variant>
      <vt:variant>
        <vt:i4>444</vt:i4>
      </vt:variant>
      <vt:variant>
        <vt:i4>0</vt:i4>
      </vt:variant>
      <vt:variant>
        <vt:i4>5</vt:i4>
      </vt:variant>
      <vt:variant>
        <vt:lpwstr>https://www.sciencedirect.com/science/article/pii/S0166046224000310</vt:lpwstr>
      </vt:variant>
      <vt:variant>
        <vt:lpwstr>:~:text=Policy%20changes%20in%20Berlin%20in,and%20higher%20rents%20on%20average.</vt:lpwstr>
      </vt:variant>
      <vt:variant>
        <vt:i4>4259964</vt:i4>
      </vt:variant>
      <vt:variant>
        <vt:i4>441</vt:i4>
      </vt:variant>
      <vt:variant>
        <vt:i4>0</vt:i4>
      </vt:variant>
      <vt:variant>
        <vt:i4>5</vt:i4>
      </vt:variant>
      <vt:variant>
        <vt:lpwstr>https://www.diw.de/documents/publikationen/73/diw_01.c.808950.de/dp1928.pdf</vt:lpwstr>
      </vt:variant>
      <vt:variant>
        <vt:lpwstr/>
      </vt:variant>
      <vt:variant>
        <vt:i4>5963796</vt:i4>
      </vt:variant>
      <vt:variant>
        <vt:i4>438</vt:i4>
      </vt:variant>
      <vt:variant>
        <vt:i4>0</vt:i4>
      </vt:variant>
      <vt:variant>
        <vt:i4>5</vt:i4>
      </vt:variant>
      <vt:variant>
        <vt:lpwstr>https://vv.potsdam.de/vv/produkte/173010100000028078.php</vt:lpwstr>
      </vt:variant>
      <vt:variant>
        <vt:lpwstr/>
      </vt:variant>
      <vt:variant>
        <vt:i4>8060986</vt:i4>
      </vt:variant>
      <vt:variant>
        <vt:i4>435</vt:i4>
      </vt:variant>
      <vt:variant>
        <vt:i4>0</vt:i4>
      </vt:variant>
      <vt:variant>
        <vt:i4>5</vt:i4>
      </vt:variant>
      <vt:variant>
        <vt:lpwstr>https://www.sciencedirect.com/science/article/pii/S0166046224000310</vt:lpwstr>
      </vt:variant>
      <vt:variant>
        <vt:lpwstr>:~:text=Policy%20changes%20in%20Berlin%20in,and%20higher%20rents%20on%20average.</vt:lpwstr>
      </vt:variant>
      <vt:variant>
        <vt:i4>4259964</vt:i4>
      </vt:variant>
      <vt:variant>
        <vt:i4>432</vt:i4>
      </vt:variant>
      <vt:variant>
        <vt:i4>0</vt:i4>
      </vt:variant>
      <vt:variant>
        <vt:i4>5</vt:i4>
      </vt:variant>
      <vt:variant>
        <vt:lpwstr>https://www.diw.de/documents/publikationen/73/diw_01.c.808950.de/dp1928.pdf</vt:lpwstr>
      </vt:variant>
      <vt:variant>
        <vt:lpwstr/>
      </vt:variant>
      <vt:variant>
        <vt:i4>3670054</vt:i4>
      </vt:variant>
      <vt:variant>
        <vt:i4>429</vt:i4>
      </vt:variant>
      <vt:variant>
        <vt:i4>0</vt:i4>
      </vt:variant>
      <vt:variant>
        <vt:i4>5</vt:i4>
      </vt:variant>
      <vt:variant>
        <vt:lpwstr>https://theweekinhousing.substack.com/p/germanys-rent-brake-and-the-impact</vt:lpwstr>
      </vt:variant>
      <vt:variant>
        <vt:lpwstr/>
      </vt:variant>
      <vt:variant>
        <vt:i4>2556009</vt:i4>
      </vt:variant>
      <vt:variant>
        <vt:i4>426</vt:i4>
      </vt:variant>
      <vt:variant>
        <vt:i4>0</vt:i4>
      </vt:variant>
      <vt:variant>
        <vt:i4>5</vt:i4>
      </vt:variant>
      <vt:variant>
        <vt:lpwstr>https://www.diw.de/de/diw_01.c.833179.de/publikationen/roundup/2022_0139/rent_control_effects_through_the_lens_of_empirical_research.html</vt:lpwstr>
      </vt:variant>
      <vt:variant>
        <vt:lpwstr/>
      </vt:variant>
      <vt:variant>
        <vt:i4>5767176</vt:i4>
      </vt:variant>
      <vt:variant>
        <vt:i4>423</vt:i4>
      </vt:variant>
      <vt:variant>
        <vt:i4>0</vt:i4>
      </vt:variant>
      <vt:variant>
        <vt:i4>5</vt:i4>
      </vt:variant>
      <vt:variant>
        <vt:lpwstr>https://hub.wunderflats.com/temporary-furnished-rentals-all-you-need-to-know-about-the-legal-aspects/</vt:lpwstr>
      </vt:variant>
      <vt:variant>
        <vt:lpwstr/>
      </vt:variant>
      <vt:variant>
        <vt:i4>2162723</vt:i4>
      </vt:variant>
      <vt:variant>
        <vt:i4>420</vt:i4>
      </vt:variant>
      <vt:variant>
        <vt:i4>0</vt:i4>
      </vt:variant>
      <vt:variant>
        <vt:i4>5</vt:i4>
      </vt:variant>
      <vt:variant>
        <vt:lpwstr>https://hub.wunderflats.com/an-overview-of-the-misuse-of-residential-space-temporary-furnished-housing/</vt:lpwstr>
      </vt:variant>
      <vt:variant>
        <vt:lpwstr/>
      </vt:variant>
      <vt:variant>
        <vt:i4>3342377</vt:i4>
      </vt:variant>
      <vt:variant>
        <vt:i4>417</vt:i4>
      </vt:variant>
      <vt:variant>
        <vt:i4>0</vt:i4>
      </vt:variant>
      <vt:variant>
        <vt:i4>5</vt:i4>
      </vt:variant>
      <vt:variant>
        <vt:lpwstr>https://www.erfolgreicher-vermieten.de/gesetze-fuer-vermieter/</vt:lpwstr>
      </vt:variant>
      <vt:variant>
        <vt:lpwstr/>
      </vt:variant>
      <vt:variant>
        <vt:i4>1966150</vt:i4>
      </vt:variant>
      <vt:variant>
        <vt:i4>414</vt:i4>
      </vt:variant>
      <vt:variant>
        <vt:i4>0</vt:i4>
      </vt:variant>
      <vt:variant>
        <vt:i4>5</vt:i4>
      </vt:variant>
      <vt:variant>
        <vt:lpwstr>https://sko.legal/kurzzeitvermietung/</vt:lpwstr>
      </vt:variant>
      <vt:variant>
        <vt:lpwstr/>
      </vt:variant>
      <vt:variant>
        <vt:i4>6291582</vt:i4>
      </vt:variant>
      <vt:variant>
        <vt:i4>411</vt:i4>
      </vt:variant>
      <vt:variant>
        <vt:i4>0</vt:i4>
      </vt:variant>
      <vt:variant>
        <vt:i4>5</vt:i4>
      </vt:variant>
      <vt:variant>
        <vt:lpwstr>https://www.gesetze-im-internet.de/bgb/index.html</vt:lpwstr>
      </vt:variant>
      <vt:variant>
        <vt:lpwstr>BJNR001950896BJNE054503360</vt:lpwstr>
      </vt:variant>
      <vt:variant>
        <vt:i4>7798880</vt:i4>
      </vt:variant>
      <vt:variant>
        <vt:i4>408</vt:i4>
      </vt:variant>
      <vt:variant>
        <vt:i4>0</vt:i4>
      </vt:variant>
      <vt:variant>
        <vt:i4>5</vt:i4>
      </vt:variant>
      <vt:variant>
        <vt:lpwstr>https://opendata.cbs.nl/statline/</vt:lpwstr>
      </vt:variant>
      <vt:variant>
        <vt:lpwstr>/CBS/en/dataset/82062ENG/table?ts=1736761801175</vt:lpwstr>
      </vt:variant>
      <vt:variant>
        <vt:i4>6619258</vt:i4>
      </vt:variant>
      <vt:variant>
        <vt:i4>405</vt:i4>
      </vt:variant>
      <vt:variant>
        <vt:i4>0</vt:i4>
      </vt:variant>
      <vt:variant>
        <vt:i4>5</vt:i4>
      </vt:variant>
      <vt:variant>
        <vt:lpwstr>https://www.sciencedirect.com/science/article/pii/S0264275123000641</vt:lpwstr>
      </vt:variant>
      <vt:variant>
        <vt:lpwstr/>
      </vt:variant>
      <vt:variant>
        <vt:i4>2293794</vt:i4>
      </vt:variant>
      <vt:variant>
        <vt:i4>402</vt:i4>
      </vt:variant>
      <vt:variant>
        <vt:i4>0</vt:i4>
      </vt:variant>
      <vt:variant>
        <vt:i4>5</vt:i4>
      </vt:variant>
      <vt:variant>
        <vt:lpwstr>https://onderzoek.amsterdam.nl/publicatie/toeristische-draagkracht-van-wijken-in-amsterdam-in-2023</vt:lpwstr>
      </vt:variant>
      <vt:variant>
        <vt:lpwstr/>
      </vt:variant>
      <vt:variant>
        <vt:i4>720968</vt:i4>
      </vt:variant>
      <vt:variant>
        <vt:i4>399</vt:i4>
      </vt:variant>
      <vt:variant>
        <vt:i4>0</vt:i4>
      </vt:variant>
      <vt:variant>
        <vt:i4>5</vt:i4>
      </vt:variant>
      <vt:variant>
        <vt:lpwstr>https://www.amsterdam.nl/bestuur-organisatie/organisatie/ruimte-en-economie/wonen/wonen-in-amsterdam/</vt:lpwstr>
      </vt:variant>
      <vt:variant>
        <vt:lpwstr/>
      </vt:variant>
      <vt:variant>
        <vt:i4>1048586</vt:i4>
      </vt:variant>
      <vt:variant>
        <vt:i4>396</vt:i4>
      </vt:variant>
      <vt:variant>
        <vt:i4>0</vt:i4>
      </vt:variant>
      <vt:variant>
        <vt:i4>5</vt:i4>
      </vt:variant>
      <vt:variant>
        <vt:lpwstr>https://onderzoek.amsterdam.nl/publicatie/toerisme-mra-2024-2025</vt:lpwstr>
      </vt:variant>
      <vt:variant>
        <vt:lpwstr/>
      </vt:variant>
      <vt:variant>
        <vt:i4>7798880</vt:i4>
      </vt:variant>
      <vt:variant>
        <vt:i4>393</vt:i4>
      </vt:variant>
      <vt:variant>
        <vt:i4>0</vt:i4>
      </vt:variant>
      <vt:variant>
        <vt:i4>5</vt:i4>
      </vt:variant>
      <vt:variant>
        <vt:lpwstr>https://opendata.cbs.nl/statline/</vt:lpwstr>
      </vt:variant>
      <vt:variant>
        <vt:lpwstr>/CBS/en/dataset/82062ENG/table?ts=1736761801175</vt:lpwstr>
      </vt:variant>
      <vt:variant>
        <vt:i4>5832770</vt:i4>
      </vt:variant>
      <vt:variant>
        <vt:i4>390</vt:i4>
      </vt:variant>
      <vt:variant>
        <vt:i4>0</vt:i4>
      </vt:variant>
      <vt:variant>
        <vt:i4>5</vt:i4>
      </vt:variant>
      <vt:variant>
        <vt:lpwstr>https://www.amsterdam.nl/en/housing/holiday-rentals/applying-permit/</vt:lpwstr>
      </vt:variant>
      <vt:variant>
        <vt:lpwstr/>
      </vt:variant>
      <vt:variant>
        <vt:i4>196611</vt:i4>
      </vt:variant>
      <vt:variant>
        <vt:i4>387</vt:i4>
      </vt:variant>
      <vt:variant>
        <vt:i4>0</vt:i4>
      </vt:variant>
      <vt:variant>
        <vt:i4>5</vt:i4>
      </vt:variant>
      <vt:variant>
        <vt:lpwstr>https://zoek.officielebekendmakingen.nl/stb-2020-460.html</vt:lpwstr>
      </vt:variant>
      <vt:variant>
        <vt:lpwstr/>
      </vt:variant>
      <vt:variant>
        <vt:i4>983061</vt:i4>
      </vt:variant>
      <vt:variant>
        <vt:i4>384</vt:i4>
      </vt:variant>
      <vt:variant>
        <vt:i4>0</vt:i4>
      </vt:variant>
      <vt:variant>
        <vt:i4>5</vt:i4>
      </vt:variant>
      <vt:variant>
        <vt:lpwstr>https://www.amsterdam.nl/en/housing/holiday-rentals/</vt:lpwstr>
      </vt:variant>
      <vt:variant>
        <vt:lpwstr/>
      </vt:variant>
      <vt:variant>
        <vt:i4>7929875</vt:i4>
      </vt:variant>
      <vt:variant>
        <vt:i4>381</vt:i4>
      </vt:variant>
      <vt:variant>
        <vt:i4>0</vt:i4>
      </vt:variant>
      <vt:variant>
        <vt:i4>5</vt:i4>
      </vt:variant>
      <vt:variant>
        <vt:lpwstr>https://www.businessperspectives.org/images/pdf/applications/publishing/templates/article/assets/3959/ee_2011_01_Pazienza.pdf</vt:lpwstr>
      </vt:variant>
      <vt:variant>
        <vt:lpwstr/>
      </vt:variant>
      <vt:variant>
        <vt:i4>3211287</vt:i4>
      </vt:variant>
      <vt:variant>
        <vt:i4>378</vt:i4>
      </vt:variant>
      <vt:variant>
        <vt:i4>0</vt:i4>
      </vt:variant>
      <vt:variant>
        <vt:i4>5</vt:i4>
      </vt:variant>
      <vt:variant>
        <vt:lpwstr>https://conference.nber.org/conf_papers/f220648.pdf</vt:lpwstr>
      </vt:variant>
      <vt:variant>
        <vt:lpwstr/>
      </vt:variant>
      <vt:variant>
        <vt:i4>3014775</vt:i4>
      </vt:variant>
      <vt:variant>
        <vt:i4>375</vt:i4>
      </vt:variant>
      <vt:variant>
        <vt:i4>0</vt:i4>
      </vt:variant>
      <vt:variant>
        <vt:i4>5</vt:i4>
      </vt:variant>
      <vt:variant>
        <vt:lpwstr>https://www.tallinn.ee/et/uudis/tallinn-asub-koostama-vanalinna-arengukava-aastani-2035</vt:lpwstr>
      </vt:variant>
      <vt:variant>
        <vt:lpwstr/>
      </vt:variant>
      <vt:variant>
        <vt:i4>3407998</vt:i4>
      </vt:variant>
      <vt:variant>
        <vt:i4>372</vt:i4>
      </vt:variant>
      <vt:variant>
        <vt:i4>0</vt:i4>
      </vt:variant>
      <vt:variant>
        <vt:i4>5</vt:i4>
      </vt:variant>
      <vt:variant>
        <vt:lpwstr>https://digiteek.artun.ee/static/files/030/preview_vanalinn_parand_elukeskkond_turism.pdf</vt:lpwstr>
      </vt:variant>
      <vt:variant>
        <vt:lpwstr/>
      </vt:variant>
      <vt:variant>
        <vt:i4>7995455</vt:i4>
      </vt:variant>
      <vt:variant>
        <vt:i4>369</vt:i4>
      </vt:variant>
      <vt:variant>
        <vt:i4>0</vt:i4>
      </vt:variant>
      <vt:variant>
        <vt:i4>5</vt:i4>
      </vt:variant>
      <vt:variant>
        <vt:lpwstr>https://www.riigiteataja.ee/aktilisa/4210/6202/5017/Tallinna vanalinna arengukava 20354.pdf</vt:lpwstr>
      </vt:variant>
      <vt:variant>
        <vt:lpwstr/>
      </vt:variant>
      <vt:variant>
        <vt:i4>2228349</vt:i4>
      </vt:variant>
      <vt:variant>
        <vt:i4>366</vt:i4>
      </vt:variant>
      <vt:variant>
        <vt:i4>0</vt:i4>
      </vt:variant>
      <vt:variant>
        <vt:i4>5</vt:i4>
      </vt:variant>
      <vt:variant>
        <vt:lpwstr>https://toitumine.ee/toidulisandid</vt:lpwstr>
      </vt:variant>
      <vt:variant>
        <vt:lpwstr/>
      </vt:variant>
      <vt:variant>
        <vt:i4>5570634</vt:i4>
      </vt:variant>
      <vt:variant>
        <vt:i4>363</vt:i4>
      </vt:variant>
      <vt:variant>
        <vt:i4>0</vt:i4>
      </vt:variant>
      <vt:variant>
        <vt:i4>5</vt:i4>
      </vt:variant>
      <vt:variant>
        <vt:lpwstr>https://www.emta.ee/uudised/mta-algav-kampaania-makse-makstes-hoiame-eestit-koos</vt:lpwstr>
      </vt:variant>
      <vt:variant>
        <vt:lpwstr/>
      </vt:variant>
      <vt:variant>
        <vt:i4>3014769</vt:i4>
      </vt:variant>
      <vt:variant>
        <vt:i4>360</vt:i4>
      </vt:variant>
      <vt:variant>
        <vt:i4>0</vt:i4>
      </vt:variant>
      <vt:variant>
        <vt:i4>5</vt:i4>
      </vt:variant>
      <vt:variant>
        <vt:lpwstr>https://www.ey.com/content/dam/ey-unified-site/ey-com/en-gl/insights/tax/documents/ey-gl-shadow-economy-report-02-2025.pdf</vt:lpwstr>
      </vt:variant>
      <vt:variant>
        <vt:lpwstr/>
      </vt:variant>
      <vt:variant>
        <vt:i4>7471150</vt:i4>
      </vt:variant>
      <vt:variant>
        <vt:i4>357</vt:i4>
      </vt:variant>
      <vt:variant>
        <vt:i4>0</vt:i4>
      </vt:variant>
      <vt:variant>
        <vt:i4>5</vt:i4>
      </vt:variant>
      <vt:variant>
        <vt:lpwstr>https://doi-org.ezproxy.tlu.ee/10.1016/j.eneco.2024.107335</vt:lpwstr>
      </vt:variant>
      <vt:variant>
        <vt:lpwstr/>
      </vt:variant>
      <vt:variant>
        <vt:i4>5963852</vt:i4>
      </vt:variant>
      <vt:variant>
        <vt:i4>354</vt:i4>
      </vt:variant>
      <vt:variant>
        <vt:i4>0</vt:i4>
      </vt:variant>
      <vt:variant>
        <vt:i4>5</vt:i4>
      </vt:variant>
      <vt:variant>
        <vt:lpwstr>https://www.emta.ee/maksu-ja-tolliameti-aastaraamat/toojoumaksud</vt:lpwstr>
      </vt:variant>
      <vt:variant>
        <vt:lpwstr/>
      </vt:variant>
      <vt:variant>
        <vt:i4>7405690</vt:i4>
      </vt:variant>
      <vt:variant>
        <vt:i4>351</vt:i4>
      </vt:variant>
      <vt:variant>
        <vt:i4>0</vt:i4>
      </vt:variant>
      <vt:variant>
        <vt:i4>5</vt:i4>
      </vt:variant>
      <vt:variant>
        <vt:lpwstr>https://vanalinnaselts.ee/wp-content/uploads/2025/04/2016-Vanalinna-pysielanike-uuring.pdf</vt:lpwstr>
      </vt:variant>
      <vt:variant>
        <vt:lpwstr/>
      </vt:variant>
      <vt:variant>
        <vt:i4>6422561</vt:i4>
      </vt:variant>
      <vt:variant>
        <vt:i4>348</vt:i4>
      </vt:variant>
      <vt:variant>
        <vt:i4>0</vt:i4>
      </vt:variant>
      <vt:variant>
        <vt:i4>5</vt:i4>
      </vt:variant>
      <vt:variant>
        <vt:lpwstr>https://doi.org/10.1108/jchmsd-03-2022-0046</vt:lpwstr>
      </vt:variant>
      <vt:variant>
        <vt:lpwstr/>
      </vt:variant>
      <vt:variant>
        <vt:i4>6422561</vt:i4>
      </vt:variant>
      <vt:variant>
        <vt:i4>345</vt:i4>
      </vt:variant>
      <vt:variant>
        <vt:i4>0</vt:i4>
      </vt:variant>
      <vt:variant>
        <vt:i4>5</vt:i4>
      </vt:variant>
      <vt:variant>
        <vt:lpwstr>https://doi.org/10.1108/jchmsd-03-2022-0046</vt:lpwstr>
      </vt:variant>
      <vt:variant>
        <vt:lpwstr/>
      </vt:variant>
      <vt:variant>
        <vt:i4>5636178</vt:i4>
      </vt:variant>
      <vt:variant>
        <vt:i4>342</vt:i4>
      </vt:variant>
      <vt:variant>
        <vt:i4>0</vt:i4>
      </vt:variant>
      <vt:variant>
        <vt:i4>5</vt:i4>
      </vt:variant>
      <vt:variant>
        <vt:lpwstr>https://doi.org/10.1016/j.cities.2024.105285</vt:lpwstr>
      </vt:variant>
      <vt:variant>
        <vt:lpwstr/>
      </vt:variant>
      <vt:variant>
        <vt:i4>5374045</vt:i4>
      </vt:variant>
      <vt:variant>
        <vt:i4>339</vt:i4>
      </vt:variant>
      <vt:variant>
        <vt:i4>0</vt:i4>
      </vt:variant>
      <vt:variant>
        <vt:i4>5</vt:i4>
      </vt:variant>
      <vt:variant>
        <vt:lpwstr>https://doi.org/10.1016/j.cities.2021.103241</vt:lpwstr>
      </vt:variant>
      <vt:variant>
        <vt:lpwstr/>
      </vt:variant>
      <vt:variant>
        <vt:i4>5177413</vt:i4>
      </vt:variant>
      <vt:variant>
        <vt:i4>336</vt:i4>
      </vt:variant>
      <vt:variant>
        <vt:i4>0</vt:i4>
      </vt:variant>
      <vt:variant>
        <vt:i4>5</vt:i4>
      </vt:variant>
      <vt:variant>
        <vt:lpwstr>https://doi.org/10.1371/journal.pone.0253315</vt:lpwstr>
      </vt:variant>
      <vt:variant>
        <vt:lpwstr/>
      </vt:variant>
      <vt:variant>
        <vt:i4>2555962</vt:i4>
      </vt:variant>
      <vt:variant>
        <vt:i4>333</vt:i4>
      </vt:variant>
      <vt:variant>
        <vt:i4>0</vt:i4>
      </vt:variant>
      <vt:variant>
        <vt:i4>5</vt:i4>
      </vt:variant>
      <vt:variant>
        <vt:lpwstr>https://www.rescue.ee/et/tulekahjudes-hukkunud</vt:lpwstr>
      </vt:variant>
      <vt:variant>
        <vt:lpwstr/>
      </vt:variant>
      <vt:variant>
        <vt:i4>2687100</vt:i4>
      </vt:variant>
      <vt:variant>
        <vt:i4>330</vt:i4>
      </vt:variant>
      <vt:variant>
        <vt:i4>0</vt:i4>
      </vt:variant>
      <vt:variant>
        <vt:i4>5</vt:i4>
      </vt:variant>
      <vt:variant>
        <vt:lpwstr>https://www.europarl.europa.eu/RegData/etudes/ATAG/2022/729334/EPRS_ATA(2022)729334_EN.pdf</vt:lpwstr>
      </vt:variant>
      <vt:variant>
        <vt:lpwstr/>
      </vt:variant>
      <vt:variant>
        <vt:i4>6422655</vt:i4>
      </vt:variant>
      <vt:variant>
        <vt:i4>327</vt:i4>
      </vt:variant>
      <vt:variant>
        <vt:i4>0</vt:i4>
      </vt:variant>
      <vt:variant>
        <vt:i4>5</vt:i4>
      </vt:variant>
      <vt:variant>
        <vt:lpwstr>https://www.unodc.org/documents/data-and-analysis/tocta/TOCTA_Report_2010_low_res.pdf</vt:lpwstr>
      </vt:variant>
      <vt:variant>
        <vt:lpwstr/>
      </vt:variant>
      <vt:variant>
        <vt:i4>2490478</vt:i4>
      </vt:variant>
      <vt:variant>
        <vt:i4>324</vt:i4>
      </vt:variant>
      <vt:variant>
        <vt:i4>0</vt:i4>
      </vt:variant>
      <vt:variant>
        <vt:i4>5</vt:i4>
      </vt:variant>
      <vt:variant>
        <vt:lpwstr>https://www.ilo.org/sites/default/files/2025-09/MIGRANT%E2%80%93 ILO Global Estimates on International Migrant Workers.pdf</vt:lpwstr>
      </vt:variant>
      <vt:variant>
        <vt:lpwstr/>
      </vt:variant>
      <vt:variant>
        <vt:i4>4391003</vt:i4>
      </vt:variant>
      <vt:variant>
        <vt:i4>321</vt:i4>
      </vt:variant>
      <vt:variant>
        <vt:i4>0</vt:i4>
      </vt:variant>
      <vt:variant>
        <vt:i4>5</vt:i4>
      </vt:variant>
      <vt:variant>
        <vt:lpwstr>https://www.ki.ee/publikatsioonid/valmis/Kultuuri-_ja_spordisundmuste_majanduslik_moju.pdf</vt:lpwstr>
      </vt:variant>
      <vt:variant>
        <vt:lpwstr/>
      </vt:variant>
      <vt:variant>
        <vt:i4>8192041</vt:i4>
      </vt:variant>
      <vt:variant>
        <vt:i4>318</vt:i4>
      </vt:variant>
      <vt:variant>
        <vt:i4>0</vt:i4>
      </vt:variant>
      <vt:variant>
        <vt:i4>5</vt:i4>
      </vt:variant>
      <vt:variant>
        <vt:lpwstr>https://andmed.stat.ee/et/stat/majandus__ettevetete-majandusnaitajad__ettevetete-tulud-kulud-kasum__aastastatistika/EM001</vt:lpwstr>
      </vt:variant>
      <vt:variant>
        <vt:lpwstr/>
      </vt:variant>
      <vt:variant>
        <vt:i4>4259845</vt:i4>
      </vt:variant>
      <vt:variant>
        <vt:i4>315</vt:i4>
      </vt:variant>
      <vt:variant>
        <vt:i4>0</vt:i4>
      </vt:variant>
      <vt:variant>
        <vt:i4>5</vt:i4>
      </vt:variant>
      <vt:variant>
        <vt:lpwstr>https://andmed.stat.ee/et/stat/majandus__turism-ja-majutus__eesti-elanike-reisimine/TU56</vt:lpwstr>
      </vt:variant>
      <vt:variant>
        <vt:lpwstr/>
      </vt:variant>
      <vt:variant>
        <vt:i4>3932212</vt:i4>
      </vt:variant>
      <vt:variant>
        <vt:i4>312</vt:i4>
      </vt:variant>
      <vt:variant>
        <vt:i4>0</vt:i4>
      </vt:variant>
      <vt:variant>
        <vt:i4>5</vt:i4>
      </vt:variant>
      <vt:variant>
        <vt:lpwstr>https://www.eestipank.ee/press/statistikateade-valisturistide-arv-kasvab-tasapisi-09052025</vt:lpwstr>
      </vt:variant>
      <vt:variant>
        <vt:lpwstr/>
      </vt:variant>
      <vt:variant>
        <vt:i4>3932262</vt:i4>
      </vt:variant>
      <vt:variant>
        <vt:i4>309</vt:i4>
      </vt:variant>
      <vt:variant>
        <vt:i4>0</vt:i4>
      </vt:variant>
      <vt:variant>
        <vt:i4>5</vt:i4>
      </vt:variant>
      <vt:variant>
        <vt:lpwstr>https://doi.org/10.1111/jors.12685</vt:lpwstr>
      </vt:variant>
      <vt:variant>
        <vt:lpwstr/>
      </vt:variant>
      <vt:variant>
        <vt:i4>3735623</vt:i4>
      </vt:variant>
      <vt:variant>
        <vt:i4>306</vt:i4>
      </vt:variant>
      <vt:variant>
        <vt:i4>0</vt:i4>
      </vt:variant>
      <vt:variant>
        <vt:i4>5</vt:i4>
      </vt:variant>
      <vt:variant>
        <vt:lpwstr>https://ec.europa.eu/eurostat/databrowser/view/tps00001/default/table?lang=en&amp;category=t_demo.t_demo_pop</vt:lpwstr>
      </vt:variant>
      <vt:variant>
        <vt:lpwstr/>
      </vt:variant>
      <vt:variant>
        <vt:i4>3276917</vt:i4>
      </vt:variant>
      <vt:variant>
        <vt:i4>303</vt:i4>
      </vt:variant>
      <vt:variant>
        <vt:i4>0</vt:i4>
      </vt:variant>
      <vt:variant>
        <vt:i4>5</vt:i4>
      </vt:variant>
      <vt:variant>
        <vt:lpwstr>https://ec.europa.eu/eurostat/databrowser/view/tour_ce_omr/default/table?lang=en</vt:lpwstr>
      </vt:variant>
      <vt:variant>
        <vt:lpwstr/>
      </vt:variant>
      <vt:variant>
        <vt:i4>6488127</vt:i4>
      </vt:variant>
      <vt:variant>
        <vt:i4>300</vt:i4>
      </vt:variant>
      <vt:variant>
        <vt:i4>0</vt:i4>
      </vt:variant>
      <vt:variant>
        <vt:i4>5</vt:i4>
      </vt:variant>
      <vt:variant>
        <vt:lpwstr>https://scholar.harvard.edu/files/sophie-qingzhen-wang/files/calder-wang_sophie_harvard_airbnb_housing.pdf</vt:lpwstr>
      </vt:variant>
      <vt:variant>
        <vt:lpwstr/>
      </vt:variant>
      <vt:variant>
        <vt:i4>7471163</vt:i4>
      </vt:variant>
      <vt:variant>
        <vt:i4>297</vt:i4>
      </vt:variant>
      <vt:variant>
        <vt:i4>0</vt:i4>
      </vt:variant>
      <vt:variant>
        <vt:i4>5</vt:i4>
      </vt:variant>
      <vt:variant>
        <vt:lpwstr>https://stat.ee/et/uudised/peaaegu-veerand-eesti-eluruumidest-pusielaniketa</vt:lpwstr>
      </vt:variant>
      <vt:variant>
        <vt:lpwstr/>
      </vt:variant>
      <vt:variant>
        <vt:i4>3997823</vt:i4>
      </vt:variant>
      <vt:variant>
        <vt:i4>294</vt:i4>
      </vt:variant>
      <vt:variant>
        <vt:i4>0</vt:i4>
      </vt:variant>
      <vt:variant>
        <vt:i4>5</vt:i4>
      </vt:variant>
      <vt:variant>
        <vt:lpwstr>https://andmed.stat.ee/et/stat/majandus__hinnad/IA028</vt:lpwstr>
      </vt:variant>
      <vt:variant>
        <vt:lpwstr/>
      </vt:variant>
      <vt:variant>
        <vt:i4>2228267</vt:i4>
      </vt:variant>
      <vt:variant>
        <vt:i4>291</vt:i4>
      </vt:variant>
      <vt:variant>
        <vt:i4>0</vt:i4>
      </vt:variant>
      <vt:variant>
        <vt:i4>5</vt:i4>
      </vt:variant>
      <vt:variant>
        <vt:lpwstr>https://doi.org/10.1016/j.regsciurbeco.2024.104007</vt:lpwstr>
      </vt:variant>
      <vt:variant>
        <vt:lpwstr/>
      </vt:variant>
      <vt:variant>
        <vt:i4>6488161</vt:i4>
      </vt:variant>
      <vt:variant>
        <vt:i4>288</vt:i4>
      </vt:variant>
      <vt:variant>
        <vt:i4>0</vt:i4>
      </vt:variant>
      <vt:variant>
        <vt:i4>5</vt:i4>
      </vt:variant>
      <vt:variant>
        <vt:lpwstr>https://doi-org.ezproxy.tlu.ee/10.1016/j.retrec.2015.04.004</vt:lpwstr>
      </vt:variant>
      <vt:variant>
        <vt:lpwstr/>
      </vt:variant>
      <vt:variant>
        <vt:i4>3211314</vt:i4>
      </vt:variant>
      <vt:variant>
        <vt:i4>285</vt:i4>
      </vt:variant>
      <vt:variant>
        <vt:i4>0</vt:i4>
      </vt:variant>
      <vt:variant>
        <vt:i4>5</vt:i4>
      </vt:variant>
      <vt:variant>
        <vt:lpwstr>https://www.oecd.org/en/data/indicators/tax-wedge.html</vt:lpwstr>
      </vt:variant>
      <vt:variant>
        <vt:lpwstr>:~:text=Tax%20wedge%20is%20defined%20as,on%20labour%20income%20discourages%20employment.</vt:lpwstr>
      </vt:variant>
      <vt:variant>
        <vt:i4>71</vt:i4>
      </vt:variant>
      <vt:variant>
        <vt:i4>282</vt:i4>
      </vt:variant>
      <vt:variant>
        <vt:i4>0</vt:i4>
      </vt:variant>
      <vt:variant>
        <vt:i4>5</vt:i4>
      </vt:variant>
      <vt:variant>
        <vt:lpwstr>https://doi.org/10.1080/13683500.2020.1857348</vt:lpwstr>
      </vt:variant>
      <vt:variant>
        <vt:lpwstr/>
      </vt:variant>
      <vt:variant>
        <vt:i4>8192041</vt:i4>
      </vt:variant>
      <vt:variant>
        <vt:i4>279</vt:i4>
      </vt:variant>
      <vt:variant>
        <vt:i4>0</vt:i4>
      </vt:variant>
      <vt:variant>
        <vt:i4>5</vt:i4>
      </vt:variant>
      <vt:variant>
        <vt:lpwstr>https://andmed.stat.ee/et/stat/majandus__ettevetete-majandusnaitajad__ettevetete-tulud-kulud-kasum__aastastatistika/EM006</vt:lpwstr>
      </vt:variant>
      <vt:variant>
        <vt:lpwstr/>
      </vt:variant>
      <vt:variant>
        <vt:i4>1769555</vt:i4>
      </vt:variant>
      <vt:variant>
        <vt:i4>276</vt:i4>
      </vt:variant>
      <vt:variant>
        <vt:i4>0</vt:i4>
      </vt:variant>
      <vt:variant>
        <vt:i4>5</vt:i4>
      </vt:variant>
      <vt:variant>
        <vt:lpwstr>https://doi.org/10.1177/1354816620918769</vt:lpwstr>
      </vt:variant>
      <vt:variant>
        <vt:lpwstr/>
      </vt:variant>
      <vt:variant>
        <vt:i4>2556016</vt:i4>
      </vt:variant>
      <vt:variant>
        <vt:i4>273</vt:i4>
      </vt:variant>
      <vt:variant>
        <vt:i4>0</vt:i4>
      </vt:variant>
      <vt:variant>
        <vt:i4>5</vt:i4>
      </vt:variant>
      <vt:variant>
        <vt:lpwstr>, http:/www.nber.org/papers/w24361</vt:lpwstr>
      </vt:variant>
      <vt:variant>
        <vt:lpwstr/>
      </vt:variant>
      <vt:variant>
        <vt:i4>4849672</vt:i4>
      </vt:variant>
      <vt:variant>
        <vt:i4>270</vt:i4>
      </vt:variant>
      <vt:variant>
        <vt:i4>0</vt:i4>
      </vt:variant>
      <vt:variant>
        <vt:i4>5</vt:i4>
      </vt:variant>
      <vt:variant>
        <vt:lpwstr>https://andmed.stat.ee/et/stat/majandus__turism-ja-majutus__majutus/TU112</vt:lpwstr>
      </vt:variant>
      <vt:variant>
        <vt:lpwstr/>
      </vt:variant>
      <vt:variant>
        <vt:i4>7077905</vt:i4>
      </vt:variant>
      <vt:variant>
        <vt:i4>267</vt:i4>
      </vt:variant>
      <vt:variant>
        <vt:i4>0</vt:i4>
      </vt:variant>
      <vt:variant>
        <vt:i4>5</vt:i4>
      </vt:variant>
      <vt:variant>
        <vt:lpwstr>https://ec.europa.eu/eurostat/statistics-explained/index.php?title=Short-stay_accommodation_offered_via_online_collaborative_economy_platforms</vt:lpwstr>
      </vt:variant>
      <vt:variant>
        <vt:lpwstr/>
      </vt:variant>
      <vt:variant>
        <vt:i4>3211389</vt:i4>
      </vt:variant>
      <vt:variant>
        <vt:i4>264</vt:i4>
      </vt:variant>
      <vt:variant>
        <vt:i4>0</vt:i4>
      </vt:variant>
      <vt:variant>
        <vt:i4>5</vt:i4>
      </vt:variant>
      <vt:variant>
        <vt:lpwstr>https://ec.europa.eu/eurostat/en/web/products-datasets/-/TOUR_CE_OMR</vt:lpwstr>
      </vt:variant>
      <vt:variant>
        <vt:lpwstr/>
      </vt:variant>
      <vt:variant>
        <vt:i4>4784136</vt:i4>
      </vt:variant>
      <vt:variant>
        <vt:i4>261</vt:i4>
      </vt:variant>
      <vt:variant>
        <vt:i4>0</vt:i4>
      </vt:variant>
      <vt:variant>
        <vt:i4>5</vt:i4>
      </vt:variant>
      <vt:variant>
        <vt:lpwstr>https://andmed.stat.ee/et/stat/majandus__turism-ja-majutus__majutus/TU122</vt:lpwstr>
      </vt:variant>
      <vt:variant>
        <vt:lpwstr/>
      </vt:variant>
      <vt:variant>
        <vt:i4>4718600</vt:i4>
      </vt:variant>
      <vt:variant>
        <vt:i4>258</vt:i4>
      </vt:variant>
      <vt:variant>
        <vt:i4>0</vt:i4>
      </vt:variant>
      <vt:variant>
        <vt:i4>5</vt:i4>
      </vt:variant>
      <vt:variant>
        <vt:lpwstr>https://andmed.stat.ee/et/stat/majandus__turism-ja-majutus__majutus/TU131</vt:lpwstr>
      </vt:variant>
      <vt:variant>
        <vt:lpwstr/>
      </vt:variant>
      <vt:variant>
        <vt:i4>6619251</vt:i4>
      </vt:variant>
      <vt:variant>
        <vt:i4>255</vt:i4>
      </vt:variant>
      <vt:variant>
        <vt:i4>0</vt:i4>
      </vt:variant>
      <vt:variant>
        <vt:i4>5</vt:i4>
      </vt:variant>
      <vt:variant>
        <vt:lpwstr>https://www.airbnb.com.ee/help/article/3755</vt:lpwstr>
      </vt:variant>
      <vt:variant>
        <vt:lpwstr/>
      </vt:variant>
      <vt:variant>
        <vt:i4>1703945</vt:i4>
      </vt:variant>
      <vt:variant>
        <vt:i4>252</vt:i4>
      </vt:variant>
      <vt:variant>
        <vt:i4>0</vt:i4>
      </vt:variant>
      <vt:variant>
        <vt:i4>5</vt:i4>
      </vt:variant>
      <vt:variant>
        <vt:lpwstr>https://comercioturismo.cm-porto.pt/turismo/taxa-municipal-turistica-do-porto</vt:lpwstr>
      </vt:variant>
      <vt:variant>
        <vt:lpwstr/>
      </vt:variant>
      <vt:variant>
        <vt:i4>2555996</vt:i4>
      </vt:variant>
      <vt:variant>
        <vt:i4>249</vt:i4>
      </vt:variant>
      <vt:variant>
        <vt:i4>0</vt:i4>
      </vt:variant>
      <vt:variant>
        <vt:i4>5</vt:i4>
      </vt:variant>
      <vt:variant>
        <vt:lpwstr>chrome-extension://efaidnbmnnnibpcajpcglclefindmkaj/https:/informacoeseservicos.lisboa.pt/fileadmin/informacoes_servicos/pedidos/pagamentos_taxas_tarifas/taxa_turistica_flyer_2024_EN.pdf</vt:lpwstr>
      </vt:variant>
      <vt:variant>
        <vt:lpwstr/>
      </vt:variant>
      <vt:variant>
        <vt:i4>6422561</vt:i4>
      </vt:variant>
      <vt:variant>
        <vt:i4>246</vt:i4>
      </vt:variant>
      <vt:variant>
        <vt:i4>0</vt:i4>
      </vt:variant>
      <vt:variant>
        <vt:i4>5</vt:i4>
      </vt:variant>
      <vt:variant>
        <vt:lpwstr>https://doi.org/10.1108/jchmsd-03-2022-0046</vt:lpwstr>
      </vt:variant>
      <vt:variant>
        <vt:lpwstr/>
      </vt:variant>
      <vt:variant>
        <vt:i4>2293859</vt:i4>
      </vt:variant>
      <vt:variant>
        <vt:i4>243</vt:i4>
      </vt:variant>
      <vt:variant>
        <vt:i4>0</vt:i4>
      </vt:variant>
      <vt:variant>
        <vt:i4>5</vt:i4>
      </vt:variant>
      <vt:variant>
        <vt:lpwstr>https://europa.eu/eurobarometer/surveys/detail/2279</vt:lpwstr>
      </vt:variant>
      <vt:variant>
        <vt:lpwstr/>
      </vt:variant>
      <vt:variant>
        <vt:i4>2424890</vt:i4>
      </vt:variant>
      <vt:variant>
        <vt:i4>240</vt:i4>
      </vt:variant>
      <vt:variant>
        <vt:i4>0</vt:i4>
      </vt:variant>
      <vt:variant>
        <vt:i4>5</vt:i4>
      </vt:variant>
      <vt:variant>
        <vt:lpwstr>https://vancouver.ca/doing-business/short-term-rentals.aspx</vt:lpwstr>
      </vt:variant>
      <vt:variant>
        <vt:lpwstr/>
      </vt:variant>
      <vt:variant>
        <vt:i4>1310807</vt:i4>
      </vt:variant>
      <vt:variant>
        <vt:i4>237</vt:i4>
      </vt:variant>
      <vt:variant>
        <vt:i4>0</vt:i4>
      </vt:variant>
      <vt:variant>
        <vt:i4>5</vt:i4>
      </vt:variant>
      <vt:variant>
        <vt:lpwstr>https://spanishsolicitors.com/obligatory-registration-rental-properties-spain</vt:lpwstr>
      </vt:variant>
      <vt:variant>
        <vt:lpwstr/>
      </vt:variant>
      <vt:variant>
        <vt:i4>7274604</vt:i4>
      </vt:variant>
      <vt:variant>
        <vt:i4>234</vt:i4>
      </vt:variant>
      <vt:variant>
        <vt:i4>0</vt:i4>
      </vt:variant>
      <vt:variant>
        <vt:i4>5</vt:i4>
      </vt:variant>
      <vt:variant>
        <vt:lpwstr>https://finlex.fi/api/media/statute-foreign-language-translation/178179/mainPdf/main.pdf?timestamp=2006-04-28T00%3A00%3A00.000Z</vt:lpwstr>
      </vt:variant>
      <vt:variant>
        <vt:lpwstr/>
      </vt:variant>
      <vt:variant>
        <vt:i4>2293794</vt:i4>
      </vt:variant>
      <vt:variant>
        <vt:i4>231</vt:i4>
      </vt:variant>
      <vt:variant>
        <vt:i4>0</vt:i4>
      </vt:variant>
      <vt:variant>
        <vt:i4>5</vt:i4>
      </vt:variant>
      <vt:variant>
        <vt:lpwstr>https://onderzoek.amsterdam.nl/publicatie/toeristische-draagkracht-van-wijken-in-amsterdam-in-2023</vt:lpwstr>
      </vt:variant>
      <vt:variant>
        <vt:lpwstr/>
      </vt:variant>
      <vt:variant>
        <vt:i4>1048586</vt:i4>
      </vt:variant>
      <vt:variant>
        <vt:i4>228</vt:i4>
      </vt:variant>
      <vt:variant>
        <vt:i4>0</vt:i4>
      </vt:variant>
      <vt:variant>
        <vt:i4>5</vt:i4>
      </vt:variant>
      <vt:variant>
        <vt:lpwstr>https://onderzoek.amsterdam.nl/publicatie/toerisme-mra-2024-2025</vt:lpwstr>
      </vt:variant>
      <vt:variant>
        <vt:lpwstr/>
      </vt:variant>
      <vt:variant>
        <vt:i4>8192055</vt:i4>
      </vt:variant>
      <vt:variant>
        <vt:i4>225</vt:i4>
      </vt:variant>
      <vt:variant>
        <vt:i4>0</vt:i4>
      </vt:variant>
      <vt:variant>
        <vt:i4>5</vt:i4>
      </vt:variant>
      <vt:variant>
        <vt:lpwstr>https://airbtics.com/airbnb-rules-in-amsterdam-netherlands/</vt:lpwstr>
      </vt:variant>
      <vt:variant>
        <vt:lpwstr/>
      </vt:variant>
      <vt:variant>
        <vt:i4>5111831</vt:i4>
      </vt:variant>
      <vt:variant>
        <vt:i4>222</vt:i4>
      </vt:variant>
      <vt:variant>
        <vt:i4>0</vt:i4>
      </vt:variant>
      <vt:variant>
        <vt:i4>5</vt:i4>
      </vt:variant>
      <vt:variant>
        <vt:lpwstr>https://www.euronews.com/travel/2024/12/03/italy-bans-key-boxes-on-holiday-rental-accommodation-what-does-it-mean-for-travellers</vt:lpwstr>
      </vt:variant>
      <vt:variant>
        <vt:lpwstr/>
      </vt:variant>
      <vt:variant>
        <vt:i4>8060977</vt:i4>
      </vt:variant>
      <vt:variant>
        <vt:i4>219</vt:i4>
      </vt:variant>
      <vt:variant>
        <vt:i4>0</vt:i4>
      </vt:variant>
      <vt:variant>
        <vt:i4>5</vt:i4>
      </vt:variant>
      <vt:variant>
        <vt:lpwstr>https://www.nyc.gov/site/specialenforcement/stay-in-the-know/about-illegal-short-term-rentals.page</vt:lpwstr>
      </vt:variant>
      <vt:variant>
        <vt:lpwstr/>
      </vt:variant>
      <vt:variant>
        <vt:i4>3014758</vt:i4>
      </vt:variant>
      <vt:variant>
        <vt:i4>216</vt:i4>
      </vt:variant>
      <vt:variant>
        <vt:i4>0</vt:i4>
      </vt:variant>
      <vt:variant>
        <vt:i4>5</vt:i4>
      </vt:variant>
      <vt:variant>
        <vt:lpwstr>https://www.nyc.gov/site/specialenforcement/registration-law/registration.page</vt:lpwstr>
      </vt:variant>
      <vt:variant>
        <vt:lpwstr/>
      </vt:variant>
      <vt:variant>
        <vt:i4>3735679</vt:i4>
      </vt:variant>
      <vt:variant>
        <vt:i4>213</vt:i4>
      </vt:variant>
      <vt:variant>
        <vt:i4>0</vt:i4>
      </vt:variant>
      <vt:variant>
        <vt:i4>5</vt:i4>
      </vt:variant>
      <vt:variant>
        <vt:lpwstr>https://www.yourairhost.co.uk/blogs/airbnb-90-day-rule/</vt:lpwstr>
      </vt:variant>
      <vt:variant>
        <vt:lpwstr/>
      </vt:variant>
      <vt:variant>
        <vt:i4>5963796</vt:i4>
      </vt:variant>
      <vt:variant>
        <vt:i4>210</vt:i4>
      </vt:variant>
      <vt:variant>
        <vt:i4>0</vt:i4>
      </vt:variant>
      <vt:variant>
        <vt:i4>5</vt:i4>
      </vt:variant>
      <vt:variant>
        <vt:lpwstr>https://vv.potsdam.de/vv/produkte/173010100000028078.php</vt:lpwstr>
      </vt:variant>
      <vt:variant>
        <vt:lpwstr/>
      </vt:variant>
      <vt:variant>
        <vt:i4>655455</vt:i4>
      </vt:variant>
      <vt:variant>
        <vt:i4>207</vt:i4>
      </vt:variant>
      <vt:variant>
        <vt:i4>0</vt:i4>
      </vt:variant>
      <vt:variant>
        <vt:i4>5</vt:i4>
      </vt:variant>
      <vt:variant>
        <vt:lpwstr>https://www.edinburgh.gov.uk/licences-permits/short-term-let-licence-application-fees-202324</vt:lpwstr>
      </vt:variant>
      <vt:variant>
        <vt:lpwstr/>
      </vt:variant>
      <vt:variant>
        <vt:i4>5832770</vt:i4>
      </vt:variant>
      <vt:variant>
        <vt:i4>204</vt:i4>
      </vt:variant>
      <vt:variant>
        <vt:i4>0</vt:i4>
      </vt:variant>
      <vt:variant>
        <vt:i4>5</vt:i4>
      </vt:variant>
      <vt:variant>
        <vt:lpwstr>https://www.amsterdam.nl/en/housing/holiday-rentals/applying-permit/</vt:lpwstr>
      </vt:variant>
      <vt:variant>
        <vt:lpwstr/>
      </vt:variant>
      <vt:variant>
        <vt:i4>2818108</vt:i4>
      </vt:variant>
      <vt:variant>
        <vt:i4>201</vt:i4>
      </vt:variant>
      <vt:variant>
        <vt:i4>0</vt:i4>
      </vt:variant>
      <vt:variant>
        <vt:i4>5</vt:i4>
      </vt:variant>
      <vt:variant>
        <vt:lpwstr>https://www.politsei.ee/et/juhend/politseitoeoega-seotud-avaandmed/varavastased-suuteod</vt:lpwstr>
      </vt:variant>
      <vt:variant>
        <vt:lpwstr/>
      </vt:variant>
      <vt:variant>
        <vt:i4>2949158</vt:i4>
      </vt:variant>
      <vt:variant>
        <vt:i4>198</vt:i4>
      </vt:variant>
      <vt:variant>
        <vt:i4>0</vt:i4>
      </vt:variant>
      <vt:variant>
        <vt:i4>5</vt:i4>
      </vt:variant>
      <vt:variant>
        <vt:lpwstr>https://andmed.stat.ee/et/stat/sotsiaalelu__tooturg__tootud__luhiajastatistika/TT064</vt:lpwstr>
      </vt:variant>
      <vt:variant>
        <vt:lpwstr/>
      </vt:variant>
      <vt:variant>
        <vt:i4>1376315</vt:i4>
      </vt:variant>
      <vt:variant>
        <vt:i4>195</vt:i4>
      </vt:variant>
      <vt:variant>
        <vt:i4>0</vt:i4>
      </vt:variant>
      <vt:variant>
        <vt:i4>5</vt:i4>
      </vt:variant>
      <vt:variant>
        <vt:lpwstr>https://ec.europa.eu/eurostat/databrowser/view/prc_hicp_midx/default/table?lang=en&amp;category=prc.prc_hicp</vt:lpwstr>
      </vt:variant>
      <vt:variant>
        <vt:lpwstr/>
      </vt:variant>
      <vt:variant>
        <vt:i4>1507357</vt:i4>
      </vt:variant>
      <vt:variant>
        <vt:i4>192</vt:i4>
      </vt:variant>
      <vt:variant>
        <vt:i4>0</vt:i4>
      </vt:variant>
      <vt:variant>
        <vt:i4>5</vt:i4>
      </vt:variant>
      <vt:variant>
        <vt:lpwstr>https://www.kv.ee/hinnastatistika</vt:lpwstr>
      </vt:variant>
      <vt:variant>
        <vt:lpwstr/>
      </vt:variant>
      <vt:variant>
        <vt:i4>2818152</vt:i4>
      </vt:variant>
      <vt:variant>
        <vt:i4>189</vt:i4>
      </vt:variant>
      <vt:variant>
        <vt:i4>0</vt:i4>
      </vt:variant>
      <vt:variant>
        <vt:i4>5</vt:i4>
      </vt:variant>
      <vt:variant>
        <vt:lpwstr>https://www.mylighthouse.com/resources/blog/ota-short-term-rental-travel-trends</vt:lpwstr>
      </vt:variant>
      <vt:variant>
        <vt:lpwstr/>
      </vt:variant>
      <vt:variant>
        <vt:i4>7274607</vt:i4>
      </vt:variant>
      <vt:variant>
        <vt:i4>186</vt:i4>
      </vt:variant>
      <vt:variant>
        <vt:i4>0</vt:i4>
      </vt:variant>
      <vt:variant>
        <vt:i4>5</vt:i4>
      </vt:variant>
      <vt:variant>
        <vt:lpwstr>https://reldor.ee/kulaliskorterid/</vt:lpwstr>
      </vt:variant>
      <vt:variant>
        <vt:lpwstr/>
      </vt:variant>
      <vt:variant>
        <vt:i4>983059</vt:i4>
      </vt:variant>
      <vt:variant>
        <vt:i4>183</vt:i4>
      </vt:variant>
      <vt:variant>
        <vt:i4>0</vt:i4>
      </vt:variant>
      <vt:variant>
        <vt:i4>5</vt:i4>
      </vt:variant>
      <vt:variant>
        <vt:lpwstr>https://puhkaeestis.ee/et/traveltrade/luhiajaliste-uuripindade-pakkumine-ja-noudlus-eestis-2019-2024</vt:lpwstr>
      </vt:variant>
      <vt:variant>
        <vt:lpwstr/>
      </vt:variant>
      <vt:variant>
        <vt:i4>7143460</vt:i4>
      </vt:variant>
      <vt:variant>
        <vt:i4>180</vt:i4>
      </vt:variant>
      <vt:variant>
        <vt:i4>0</vt:i4>
      </vt:variant>
      <vt:variant>
        <vt:i4>5</vt:i4>
      </vt:variant>
      <vt:variant>
        <vt:lpwstr>https://arileht.delfi.ee/artikkel/120093528/arendaja-kinnisvara-uuriturg-on-pea-peale-pooratud</vt:lpwstr>
      </vt:variant>
      <vt:variant>
        <vt:lpwstr/>
      </vt:variant>
      <vt:variant>
        <vt:i4>4390983</vt:i4>
      </vt:variant>
      <vt:variant>
        <vt:i4>177</vt:i4>
      </vt:variant>
      <vt:variant>
        <vt:i4>0</vt:i4>
      </vt:variant>
      <vt:variant>
        <vt:i4>5</vt:i4>
      </vt:variant>
      <vt:variant>
        <vt:lpwstr>https://parnu.postimees.ee/8070940/graafik-parnus-teenib-suvekuudega-kahe-aasta-uuritulu</vt:lpwstr>
      </vt:variant>
      <vt:variant>
        <vt:lpwstr/>
      </vt:variant>
      <vt:variant>
        <vt:i4>2556022</vt:i4>
      </vt:variant>
      <vt:variant>
        <vt:i4>174</vt:i4>
      </vt:variant>
      <vt:variant>
        <vt:i4>0</vt:i4>
      </vt:variant>
      <vt:variant>
        <vt:i4>5</vt:i4>
      </vt:variant>
      <vt:variant>
        <vt:lpwstr>https://doorbll.com/report?location=Tallinn&amp;country=Estonia</vt:lpwstr>
      </vt:variant>
      <vt:variant>
        <vt:lpwstr/>
      </vt:variant>
      <vt:variant>
        <vt:i4>1638469</vt:i4>
      </vt:variant>
      <vt:variant>
        <vt:i4>171</vt:i4>
      </vt:variant>
      <vt:variant>
        <vt:i4>0</vt:i4>
      </vt:variant>
      <vt:variant>
        <vt:i4>5</vt:i4>
      </vt:variant>
      <vt:variant>
        <vt:lpwstr>https://doorbll.com/about</vt:lpwstr>
      </vt:variant>
      <vt:variant>
        <vt:lpwstr/>
      </vt:variant>
      <vt:variant>
        <vt:i4>3276918</vt:i4>
      </vt:variant>
      <vt:variant>
        <vt:i4>168</vt:i4>
      </vt:variant>
      <vt:variant>
        <vt:i4>0</vt:i4>
      </vt:variant>
      <vt:variant>
        <vt:i4>5</vt:i4>
      </vt:variant>
      <vt:variant>
        <vt:lpwstr>https://arileht.delfi.ee/artikkel/120386723/kuurortlinnade-uurivoidujooks-kuressaare-teeb-parnule-ja-haapsalule-tuule-alla</vt:lpwstr>
      </vt:variant>
      <vt:variant>
        <vt:lpwstr/>
      </vt:variant>
      <vt:variant>
        <vt:i4>1572871</vt:i4>
      </vt:variant>
      <vt:variant>
        <vt:i4>165</vt:i4>
      </vt:variant>
      <vt:variant>
        <vt:i4>0</vt:i4>
      </vt:variant>
      <vt:variant>
        <vt:i4>5</vt:i4>
      </vt:variant>
      <vt:variant>
        <vt:lpwstr>https://majandus.postimees.ee/8262587/hotellide-ja-restoranide-liit-arvasime-et-tuleb-parem-algus</vt:lpwstr>
      </vt:variant>
      <vt:variant>
        <vt:lpwstr/>
      </vt:variant>
      <vt:variant>
        <vt:i4>3014715</vt:i4>
      </vt:variant>
      <vt:variant>
        <vt:i4>162</vt:i4>
      </vt:variant>
      <vt:variant>
        <vt:i4>0</vt:i4>
      </vt:variant>
      <vt:variant>
        <vt:i4>5</vt:i4>
      </vt:variant>
      <vt:variant>
        <vt:lpwstr>https://arileht.delfi.ee/artikkel/120335669/tallinna-suured-hotellid-teenivad-kumneid-miljoneid-eurosid-kahjumit-kuid-juurde-tuleb-sadu-uusi-numbritube</vt:lpwstr>
      </vt:variant>
      <vt:variant>
        <vt:lpwstr/>
      </vt:variant>
      <vt:variant>
        <vt:i4>5111827</vt:i4>
      </vt:variant>
      <vt:variant>
        <vt:i4>159</vt:i4>
      </vt:variant>
      <vt:variant>
        <vt:i4>0</vt:i4>
      </vt:variant>
      <vt:variant>
        <vt:i4>5</vt:i4>
      </vt:variant>
      <vt:variant>
        <vt:lpwstr>https://www.kinnisvaraweb.ee/blog/kv-ee-korterite-uuripakkumine-on-aastaga-kasvanud-kolmandiku-vorra/</vt:lpwstr>
      </vt:variant>
      <vt:variant>
        <vt:lpwstr/>
      </vt:variant>
      <vt:variant>
        <vt:i4>917505</vt:i4>
      </vt:variant>
      <vt:variant>
        <vt:i4>156</vt:i4>
      </vt:variant>
      <vt:variant>
        <vt:i4>0</vt:i4>
      </vt:variant>
      <vt:variant>
        <vt:i4>5</vt:i4>
      </vt:variant>
      <vt:variant>
        <vt:lpwstr>https://puhkaeestis.ee/et/traveltrade/eestisse-lisandub-kamaluga-uusi-kohti-kus-puhata-oobida-einestada-ja-lahutada-meelt</vt:lpwstr>
      </vt:variant>
      <vt:variant>
        <vt:lpwstr/>
      </vt:variant>
      <vt:variant>
        <vt:i4>3997739</vt:i4>
      </vt:variant>
      <vt:variant>
        <vt:i4>153</vt:i4>
      </vt:variant>
      <vt:variant>
        <vt:i4>0</vt:i4>
      </vt:variant>
      <vt:variant>
        <vt:i4>5</vt:i4>
      </vt:variant>
      <vt:variant>
        <vt:lpwstr>https://public.tableau.com/app/profile/enterprise.estonia/viz/ripindadetlaud/Vrdlusmajutusstatistikaga</vt:lpwstr>
      </vt:variant>
      <vt:variant>
        <vt:lpwstr/>
      </vt:variant>
      <vt:variant>
        <vt:i4>3276829</vt:i4>
      </vt:variant>
      <vt:variant>
        <vt:i4>150</vt:i4>
      </vt:variant>
      <vt:variant>
        <vt:i4>0</vt:i4>
      </vt:variant>
      <vt:variant>
        <vt:i4>5</vt:i4>
      </vt:variant>
      <vt:variant>
        <vt:lpwstr>https://static.visitestonia.com/docs/3475238_piret-kallas2019-aasta-statistiline-kokkuvote.pdf slaid</vt:lpwstr>
      </vt:variant>
      <vt:variant>
        <vt:lpwstr>17</vt:lpwstr>
      </vt:variant>
      <vt:variant>
        <vt:i4>7536674</vt:i4>
      </vt:variant>
      <vt:variant>
        <vt:i4>147</vt:i4>
      </vt:variant>
      <vt:variant>
        <vt:i4>0</vt:i4>
      </vt:variant>
      <vt:variant>
        <vt:i4>5</vt:i4>
      </vt:variant>
      <vt:variant>
        <vt:lpwstr>https://www.mkm.ee/sites/default/files/documents/2022-03/lisa_b_majutus_ja_reisikorraldus.pdf</vt:lpwstr>
      </vt:variant>
      <vt:variant>
        <vt:lpwstr/>
      </vt:variant>
      <vt:variant>
        <vt:i4>1638474</vt:i4>
      </vt:variant>
      <vt:variant>
        <vt:i4>144</vt:i4>
      </vt:variant>
      <vt:variant>
        <vt:i4>0</vt:i4>
      </vt:variant>
      <vt:variant>
        <vt:i4>5</vt:i4>
      </vt:variant>
      <vt:variant>
        <vt:lpwstr>https://meedia.internet.ee/files/DVK otsus nr 14-1a-300 airbnb.ee.pdf</vt:lpwstr>
      </vt:variant>
      <vt:variant>
        <vt:lpwstr/>
      </vt:variant>
      <vt:variant>
        <vt:i4>2162813</vt:i4>
      </vt:variant>
      <vt:variant>
        <vt:i4>141</vt:i4>
      </vt:variant>
      <vt:variant>
        <vt:i4>0</vt:i4>
      </vt:variant>
      <vt:variant>
        <vt:i4>5</vt:i4>
      </vt:variant>
      <vt:variant>
        <vt:lpwstr>https://ekspress.delfi.ee/artikkel/75036203/airbnb-on-eestis-muutunud-suureks-ariks</vt:lpwstr>
      </vt:variant>
      <vt:variant>
        <vt:lpwstr/>
      </vt:variant>
      <vt:variant>
        <vt:i4>3473522</vt:i4>
      </vt:variant>
      <vt:variant>
        <vt:i4>138</vt:i4>
      </vt:variant>
      <vt:variant>
        <vt:i4>0</vt:i4>
      </vt:variant>
      <vt:variant>
        <vt:i4>5</vt:i4>
      </vt:variant>
      <vt:variant>
        <vt:lpwstr>https://app.airdna.co/data/ee/30907?tab=performance</vt:lpwstr>
      </vt:variant>
      <vt:variant>
        <vt:lpwstr/>
      </vt:variant>
      <vt:variant>
        <vt:i4>4325376</vt:i4>
      </vt:variant>
      <vt:variant>
        <vt:i4>135</vt:i4>
      </vt:variant>
      <vt:variant>
        <vt:i4>0</vt:i4>
      </vt:variant>
      <vt:variant>
        <vt:i4>5</vt:i4>
      </vt:variant>
      <vt:variant>
        <vt:lpwstr>https://ojs.zrc-sazu.si/ags/article/view/769</vt:lpwstr>
      </vt:variant>
      <vt:variant>
        <vt:lpwstr/>
      </vt:variant>
      <vt:variant>
        <vt:i4>196691</vt:i4>
      </vt:variant>
      <vt:variant>
        <vt:i4>132</vt:i4>
      </vt:variant>
      <vt:variant>
        <vt:i4>0</vt:i4>
      </vt:variant>
      <vt:variant>
        <vt:i4>5</vt:i4>
      </vt:variant>
      <vt:variant>
        <vt:lpwstr>https://revistaseug.ugr.es/index.php/cuadgeo/article/view/26124/25066</vt:lpwstr>
      </vt:variant>
      <vt:variant>
        <vt:lpwstr/>
      </vt:variant>
      <vt:variant>
        <vt:i4>1638469</vt:i4>
      </vt:variant>
      <vt:variant>
        <vt:i4>129</vt:i4>
      </vt:variant>
      <vt:variant>
        <vt:i4>0</vt:i4>
      </vt:variant>
      <vt:variant>
        <vt:i4>5</vt:i4>
      </vt:variant>
      <vt:variant>
        <vt:lpwstr>https://doorbll.com/about</vt:lpwstr>
      </vt:variant>
      <vt:variant>
        <vt:lpwstr/>
      </vt:variant>
      <vt:variant>
        <vt:i4>4259856</vt:i4>
      </vt:variant>
      <vt:variant>
        <vt:i4>126</vt:i4>
      </vt:variant>
      <vt:variant>
        <vt:i4>0</vt:i4>
      </vt:variant>
      <vt:variant>
        <vt:i4>5</vt:i4>
      </vt:variant>
      <vt:variant>
        <vt:lpwstr>https://ec.europa.eu/eurostat/documents/7894008/12961561/CETOUR-Methodological-note.pdf/1dee049f-5612-1b47-c7ce-75eacaf49790?t=1624886311053</vt:lpwstr>
      </vt:variant>
      <vt:variant>
        <vt:lpwstr/>
      </vt:variant>
      <vt:variant>
        <vt:i4>4259856</vt:i4>
      </vt:variant>
      <vt:variant>
        <vt:i4>123</vt:i4>
      </vt:variant>
      <vt:variant>
        <vt:i4>0</vt:i4>
      </vt:variant>
      <vt:variant>
        <vt:i4>5</vt:i4>
      </vt:variant>
      <vt:variant>
        <vt:lpwstr>https://ec.europa.eu/eurostat/documents/7894008/12961561/CETOUR-Methodological-note.pdf/1dee049f-5612-1b47-c7ce-75eacaf49790?t=1624886311053</vt:lpwstr>
      </vt:variant>
      <vt:variant>
        <vt:lpwstr/>
      </vt:variant>
      <vt:variant>
        <vt:i4>3997739</vt:i4>
      </vt:variant>
      <vt:variant>
        <vt:i4>120</vt:i4>
      </vt:variant>
      <vt:variant>
        <vt:i4>0</vt:i4>
      </vt:variant>
      <vt:variant>
        <vt:i4>5</vt:i4>
      </vt:variant>
      <vt:variant>
        <vt:lpwstr>https://public.tableau.com/app/profile/enterprise.estonia/viz/ripindadetlaud/Vrdlusmajutusstatistikaga</vt:lpwstr>
      </vt:variant>
      <vt:variant>
        <vt:lpwstr/>
      </vt:variant>
      <vt:variant>
        <vt:i4>5701722</vt:i4>
      </vt:variant>
      <vt:variant>
        <vt:i4>117</vt:i4>
      </vt:variant>
      <vt:variant>
        <vt:i4>0</vt:i4>
      </vt:variant>
      <vt:variant>
        <vt:i4>5</vt:i4>
      </vt:variant>
      <vt:variant>
        <vt:lpwstr>https://www.riigikohus.ee/et/lahendid/?asjaNr=3-3-1-47-15</vt:lpwstr>
      </vt:variant>
      <vt:variant>
        <vt:lpwstr/>
      </vt:variant>
      <vt:variant>
        <vt:i4>2686985</vt:i4>
      </vt:variant>
      <vt:variant>
        <vt:i4>114</vt:i4>
      </vt:variant>
      <vt:variant>
        <vt:i4>0</vt:i4>
      </vt:variant>
      <vt:variant>
        <vt:i4>5</vt:i4>
      </vt:variant>
      <vt:variant>
        <vt:lpwstr>https://www.europarl.europa.eu/legislative-train/theme-internal-market-and-consumer-protection-imco/file-short-term-accommodation-rental-services?utm_source=chatgpt.com</vt:lpwstr>
      </vt:variant>
      <vt:variant>
        <vt:lpwstr/>
      </vt:variant>
      <vt:variant>
        <vt:i4>6029329</vt:i4>
      </vt:variant>
      <vt:variant>
        <vt:i4>111</vt:i4>
      </vt:variant>
      <vt:variant>
        <vt:i4>0</vt:i4>
      </vt:variant>
      <vt:variant>
        <vt:i4>5</vt:i4>
      </vt:variant>
      <vt:variant>
        <vt:lpwstr>https://www.riigiteataja.ee/akt/107072017002</vt:lpwstr>
      </vt:variant>
      <vt:variant>
        <vt:lpwstr/>
      </vt:variant>
      <vt:variant>
        <vt:i4>7209087</vt:i4>
      </vt:variant>
      <vt:variant>
        <vt:i4>108</vt:i4>
      </vt:variant>
      <vt:variant>
        <vt:i4>0</vt:i4>
      </vt:variant>
      <vt:variant>
        <vt:i4>5</vt:i4>
      </vt:variant>
      <vt:variant>
        <vt:lpwstr>https://www.riigikohus.ee/et/lahendid/?asjaNr=2-18-15391/41</vt:lpwstr>
      </vt:variant>
      <vt:variant>
        <vt:lpwstr/>
      </vt:variant>
      <vt:variant>
        <vt:i4>6160400</vt:i4>
      </vt:variant>
      <vt:variant>
        <vt:i4>105</vt:i4>
      </vt:variant>
      <vt:variant>
        <vt:i4>0</vt:i4>
      </vt:variant>
      <vt:variant>
        <vt:i4>5</vt:i4>
      </vt:variant>
      <vt:variant>
        <vt:lpwstr>https://www.riigiteataja.ee/akt/122042021011</vt:lpwstr>
      </vt:variant>
      <vt:variant>
        <vt:lpwstr/>
      </vt:variant>
      <vt:variant>
        <vt:i4>6225947</vt:i4>
      </vt:variant>
      <vt:variant>
        <vt:i4>102</vt:i4>
      </vt:variant>
      <vt:variant>
        <vt:i4>0</vt:i4>
      </vt:variant>
      <vt:variant>
        <vt:i4>5</vt:i4>
      </vt:variant>
      <vt:variant>
        <vt:lpwstr>https://www.riigiteataja.ee/akt/119122017011</vt:lpwstr>
      </vt:variant>
      <vt:variant>
        <vt:lpwstr/>
      </vt:variant>
      <vt:variant>
        <vt:i4>6160400</vt:i4>
      </vt:variant>
      <vt:variant>
        <vt:i4>99</vt:i4>
      </vt:variant>
      <vt:variant>
        <vt:i4>0</vt:i4>
      </vt:variant>
      <vt:variant>
        <vt:i4>5</vt:i4>
      </vt:variant>
      <vt:variant>
        <vt:lpwstr>https://www.riigiteataja.ee/akt/122042021011</vt:lpwstr>
      </vt:variant>
      <vt:variant>
        <vt:lpwstr/>
      </vt:variant>
      <vt:variant>
        <vt:i4>6225936</vt:i4>
      </vt:variant>
      <vt:variant>
        <vt:i4>96</vt:i4>
      </vt:variant>
      <vt:variant>
        <vt:i4>0</vt:i4>
      </vt:variant>
      <vt:variant>
        <vt:i4>5</vt:i4>
      </vt:variant>
      <vt:variant>
        <vt:lpwstr>https://www.riigiteataja.ee/akt/105062015001</vt:lpwstr>
      </vt:variant>
      <vt:variant>
        <vt:lpwstr/>
      </vt:variant>
      <vt:variant>
        <vt:i4>3473466</vt:i4>
      </vt:variant>
      <vt:variant>
        <vt:i4>93</vt:i4>
      </vt:variant>
      <vt:variant>
        <vt:i4>0</vt:i4>
      </vt:variant>
      <vt:variant>
        <vt:i4>5</vt:i4>
      </vt:variant>
      <vt:variant>
        <vt:lpwstr>https://www.riigiteataja.ee/akt/104042017014?leiaKehtiv</vt:lpwstr>
      </vt:variant>
      <vt:variant>
        <vt:lpwstr/>
      </vt:variant>
      <vt:variant>
        <vt:i4>6160400</vt:i4>
      </vt:variant>
      <vt:variant>
        <vt:i4>90</vt:i4>
      </vt:variant>
      <vt:variant>
        <vt:i4>0</vt:i4>
      </vt:variant>
      <vt:variant>
        <vt:i4>5</vt:i4>
      </vt:variant>
      <vt:variant>
        <vt:lpwstr>https://www.riigiteataja.ee/akt/122042021011</vt:lpwstr>
      </vt:variant>
      <vt:variant>
        <vt:lpwstr/>
      </vt:variant>
      <vt:variant>
        <vt:i4>3473466</vt:i4>
      </vt:variant>
      <vt:variant>
        <vt:i4>87</vt:i4>
      </vt:variant>
      <vt:variant>
        <vt:i4>0</vt:i4>
      </vt:variant>
      <vt:variant>
        <vt:i4>5</vt:i4>
      </vt:variant>
      <vt:variant>
        <vt:lpwstr>https://www.riigiteataja.ee/akt/104042017014?leiaKehtiv</vt:lpwstr>
      </vt:variant>
      <vt:variant>
        <vt:lpwstr/>
      </vt:variant>
      <vt:variant>
        <vt:i4>5898265</vt:i4>
      </vt:variant>
      <vt:variant>
        <vt:i4>84</vt:i4>
      </vt:variant>
      <vt:variant>
        <vt:i4>0</vt:i4>
      </vt:variant>
      <vt:variant>
        <vt:i4>5</vt:i4>
      </vt:variant>
      <vt:variant>
        <vt:lpwstr>https://www.riigiteataja.ee/akt/109072020017</vt:lpwstr>
      </vt:variant>
      <vt:variant>
        <vt:lpwstr/>
      </vt:variant>
      <vt:variant>
        <vt:i4>6225936</vt:i4>
      </vt:variant>
      <vt:variant>
        <vt:i4>81</vt:i4>
      </vt:variant>
      <vt:variant>
        <vt:i4>0</vt:i4>
      </vt:variant>
      <vt:variant>
        <vt:i4>5</vt:i4>
      </vt:variant>
      <vt:variant>
        <vt:lpwstr>https://www.riigiteataja.ee/akt/105062015001</vt:lpwstr>
      </vt:variant>
      <vt:variant>
        <vt:lpwstr/>
      </vt:variant>
      <vt:variant>
        <vt:i4>4063314</vt:i4>
      </vt:variant>
      <vt:variant>
        <vt:i4>78</vt:i4>
      </vt:variant>
      <vt:variant>
        <vt:i4>0</vt:i4>
      </vt:variant>
      <vt:variant>
        <vt:i4>5</vt:i4>
      </vt:variant>
      <vt:variant>
        <vt:lpwstr>https://digiteek.artun.ee/static/files/006/1.parand_ja_kogukond_30.03.2021.pdf</vt:lpwstr>
      </vt:variant>
      <vt:variant>
        <vt:lpwstr/>
      </vt:variant>
      <vt:variant>
        <vt:i4>6225945</vt:i4>
      </vt:variant>
      <vt:variant>
        <vt:i4>75</vt:i4>
      </vt:variant>
      <vt:variant>
        <vt:i4>0</vt:i4>
      </vt:variant>
      <vt:variant>
        <vt:i4>5</vt:i4>
      </vt:variant>
      <vt:variant>
        <vt:lpwstr>https://www.riigiteataja.ee/akt/107032023082</vt:lpwstr>
      </vt:variant>
      <vt:variant>
        <vt:lpwstr/>
      </vt:variant>
      <vt:variant>
        <vt:i4>327754</vt:i4>
      </vt:variant>
      <vt:variant>
        <vt:i4>72</vt:i4>
      </vt:variant>
      <vt:variant>
        <vt:i4>0</vt:i4>
      </vt:variant>
      <vt:variant>
        <vt:i4>5</vt:i4>
      </vt:variant>
      <vt:variant>
        <vt:lpwstr>https://www.stat.ee/et/esita-andmeid/kusimustikud</vt:lpwstr>
      </vt:variant>
      <vt:variant>
        <vt:lpwstr/>
      </vt:variant>
      <vt:variant>
        <vt:i4>3473428</vt:i4>
      </vt:variant>
      <vt:variant>
        <vt:i4>69</vt:i4>
      </vt:variant>
      <vt:variant>
        <vt:i4>0</vt:i4>
      </vt:variant>
      <vt:variant>
        <vt:i4>5</vt:i4>
      </vt:variant>
      <vt:variant>
        <vt:lpwstr>https://eur-lex.europa.eu/eli/convention/2000/922/oj/eng?utm_source=chatgpt.com</vt:lpwstr>
      </vt:variant>
      <vt:variant>
        <vt:lpwstr/>
      </vt:variant>
      <vt:variant>
        <vt:i4>1835085</vt:i4>
      </vt:variant>
      <vt:variant>
        <vt:i4>66</vt:i4>
      </vt:variant>
      <vt:variant>
        <vt:i4>0</vt:i4>
      </vt:variant>
      <vt:variant>
        <vt:i4>5</vt:i4>
      </vt:variant>
      <vt:variant>
        <vt:lpwstr>https://www.riigikogu.ee/tegevus/eelnoud/eelnou/f8c28784-fc52-4eaa-a02c-555b2369a55c/turismiseaduse-ja-tarbijakaitseseaduse-muutmise-seadus/</vt:lpwstr>
      </vt:variant>
      <vt:variant>
        <vt:lpwstr/>
      </vt:variant>
      <vt:variant>
        <vt:i4>4456523</vt:i4>
      </vt:variant>
      <vt:variant>
        <vt:i4>63</vt:i4>
      </vt:variant>
      <vt:variant>
        <vt:i4>0</vt:i4>
      </vt:variant>
      <vt:variant>
        <vt:i4>5</vt:i4>
      </vt:variant>
      <vt:variant>
        <vt:lpwstr>https://www.riigiteataja.ee/akt/122042021011?tegevus=telli-tolge</vt:lpwstr>
      </vt:variant>
      <vt:variant>
        <vt:lpwstr/>
      </vt:variant>
      <vt:variant>
        <vt:i4>4980744</vt:i4>
      </vt:variant>
      <vt:variant>
        <vt:i4>60</vt:i4>
      </vt:variant>
      <vt:variant>
        <vt:i4>0</vt:i4>
      </vt:variant>
      <vt:variant>
        <vt:i4>5</vt:i4>
      </vt:variant>
      <vt:variant>
        <vt:lpwstr>https://www.eesc.europa.eu/et/news-media/eesc-info/042023</vt:lpwstr>
      </vt:variant>
      <vt:variant>
        <vt:lpwstr/>
      </vt:variant>
      <vt:variant>
        <vt:i4>6422562</vt:i4>
      </vt:variant>
      <vt:variant>
        <vt:i4>57</vt:i4>
      </vt:variant>
      <vt:variant>
        <vt:i4>0</vt:i4>
      </vt:variant>
      <vt:variant>
        <vt:i4>5</vt:i4>
      </vt:variant>
      <vt:variant>
        <vt:lpwstr>https://eur-lex.europa.eu/legal-content/ET/TXT/?uri=CELEX%3A52016DC0356</vt:lpwstr>
      </vt:variant>
      <vt:variant>
        <vt:lpwstr/>
      </vt:variant>
      <vt:variant>
        <vt:i4>589906</vt:i4>
      </vt:variant>
      <vt:variant>
        <vt:i4>54</vt:i4>
      </vt:variant>
      <vt:variant>
        <vt:i4>0</vt:i4>
      </vt:variant>
      <vt:variant>
        <vt:i4>5</vt:i4>
      </vt:variant>
      <vt:variant>
        <vt:lpwstr>https://eur-lex.europa.eu/legal-content/ET/ALL/?uri=CELEX:32024R1028</vt:lpwstr>
      </vt:variant>
      <vt:variant>
        <vt:lpwstr/>
      </vt:variant>
      <vt:variant>
        <vt:i4>7798816</vt:i4>
      </vt:variant>
      <vt:variant>
        <vt:i4>51</vt:i4>
      </vt:variant>
      <vt:variant>
        <vt:i4>0</vt:i4>
      </vt:variant>
      <vt:variant>
        <vt:i4>5</vt:i4>
      </vt:variant>
      <vt:variant>
        <vt:lpwstr>https://eur-lex.europa.eu/legal-content/ET/TXT/?uri=CELEX%3A52022PC0571</vt:lpwstr>
      </vt:variant>
      <vt:variant>
        <vt:lpwstr/>
      </vt:variant>
      <vt:variant>
        <vt:i4>65</vt:i4>
      </vt:variant>
      <vt:variant>
        <vt:i4>48</vt:i4>
      </vt:variant>
      <vt:variant>
        <vt:i4>0</vt:i4>
      </vt:variant>
      <vt:variant>
        <vt:i4>5</vt:i4>
      </vt:variant>
      <vt:variant>
        <vt:lpwstr>https://doi.org/10.1080/13683500.2018.1504899</vt:lpwstr>
      </vt:variant>
      <vt:variant>
        <vt:lpwstr/>
      </vt:variant>
      <vt:variant>
        <vt:i4>983107</vt:i4>
      </vt:variant>
      <vt:variant>
        <vt:i4>45</vt:i4>
      </vt:variant>
      <vt:variant>
        <vt:i4>0</vt:i4>
      </vt:variant>
      <vt:variant>
        <vt:i4>5</vt:i4>
      </vt:variant>
      <vt:variant>
        <vt:lpwstr>https://doi.org/10.1080/13683500.2019.1638892</vt:lpwstr>
      </vt:variant>
      <vt:variant>
        <vt:lpwstr/>
      </vt:variant>
      <vt:variant>
        <vt:i4>5767174</vt:i4>
      </vt:variant>
      <vt:variant>
        <vt:i4>42</vt:i4>
      </vt:variant>
      <vt:variant>
        <vt:i4>0</vt:i4>
      </vt:variant>
      <vt:variant>
        <vt:i4>5</vt:i4>
      </vt:variant>
      <vt:variant>
        <vt:lpwstr>https://doi.org/10.1016/j.jbusres.2023.114186</vt:lpwstr>
      </vt:variant>
      <vt:variant>
        <vt:lpwstr/>
      </vt:variant>
      <vt:variant>
        <vt:i4>589831</vt:i4>
      </vt:variant>
      <vt:variant>
        <vt:i4>39</vt:i4>
      </vt:variant>
      <vt:variant>
        <vt:i4>0</vt:i4>
      </vt:variant>
      <vt:variant>
        <vt:i4>5</vt:i4>
      </vt:variant>
      <vt:variant>
        <vt:lpwstr>https://documents1.worldbank.org/curated/en/161471537537641836/pdf/Tourism-and-the-Sharing-Economy-Policy-Potential-of-Sustainable-Peer-to-Peer-Accommodation.pdf</vt:lpwstr>
      </vt:variant>
      <vt:variant>
        <vt:lpwstr/>
      </vt:variant>
      <vt:variant>
        <vt:i4>2621476</vt:i4>
      </vt:variant>
      <vt:variant>
        <vt:i4>36</vt:i4>
      </vt:variant>
      <vt:variant>
        <vt:i4>0</vt:i4>
      </vt:variant>
      <vt:variant>
        <vt:i4>5</vt:i4>
      </vt:variant>
      <vt:variant>
        <vt:lpwstr>https://www.fastcoexist.com/3058203/making-sense-of-the-many-business-models-in-the-sharing-economy</vt:lpwstr>
      </vt:variant>
      <vt:variant>
        <vt:lpwstr/>
      </vt:variant>
      <vt:variant>
        <vt:i4>4653143</vt:i4>
      </vt:variant>
      <vt:variant>
        <vt:i4>33</vt:i4>
      </vt:variant>
      <vt:variant>
        <vt:i4>0</vt:i4>
      </vt:variant>
      <vt:variant>
        <vt:i4>5</vt:i4>
      </vt:variant>
      <vt:variant>
        <vt:lpwstr>https://doi.org/10.1016/j.ifacol.2022.09.441</vt:lpwstr>
      </vt:variant>
      <vt:variant>
        <vt:lpwstr/>
      </vt:variant>
      <vt:variant>
        <vt:i4>4391000</vt:i4>
      </vt:variant>
      <vt:variant>
        <vt:i4>30</vt:i4>
      </vt:variant>
      <vt:variant>
        <vt:i4>0</vt:i4>
      </vt:variant>
      <vt:variant>
        <vt:i4>5</vt:i4>
      </vt:variant>
      <vt:variant>
        <vt:lpwstr>https://ec.europa.eu/eurostat/statistics-explained/index.php?title=Short-stay_accommodation_offered_via_online_collaborative_economy_platforms_-_monthly_data</vt:lpwstr>
      </vt:variant>
      <vt:variant>
        <vt:lpwstr/>
      </vt:variant>
      <vt:variant>
        <vt:i4>1179730</vt:i4>
      </vt:variant>
      <vt:variant>
        <vt:i4>27</vt:i4>
      </vt:variant>
      <vt:variant>
        <vt:i4>0</vt:i4>
      </vt:variant>
      <vt:variant>
        <vt:i4>5</vt:i4>
      </vt:variant>
      <vt:variant>
        <vt:lpwstr>https://doi.org/10.1177/01600176211059981</vt:lpwstr>
      </vt:variant>
      <vt:variant>
        <vt:lpwstr/>
      </vt:variant>
      <vt:variant>
        <vt:i4>5177370</vt:i4>
      </vt:variant>
      <vt:variant>
        <vt:i4>24</vt:i4>
      </vt:variant>
      <vt:variant>
        <vt:i4>0</vt:i4>
      </vt:variant>
      <vt:variant>
        <vt:i4>5</vt:i4>
      </vt:variant>
      <vt:variant>
        <vt:lpwstr>https://doi.org/10.1016/j.techsoc.2024.102586</vt:lpwstr>
      </vt:variant>
      <vt:variant>
        <vt:lpwstr/>
      </vt:variant>
      <vt:variant>
        <vt:i4>3997739</vt:i4>
      </vt:variant>
      <vt:variant>
        <vt:i4>21</vt:i4>
      </vt:variant>
      <vt:variant>
        <vt:i4>0</vt:i4>
      </vt:variant>
      <vt:variant>
        <vt:i4>5</vt:i4>
      </vt:variant>
      <vt:variant>
        <vt:lpwstr>https://public.tableau.com/app/profile/enterprise.estonia/viz/ripindadetlaud/Vrdlusmajutusstatistikaga</vt:lpwstr>
      </vt:variant>
      <vt:variant>
        <vt:lpwstr/>
      </vt:variant>
      <vt:variant>
        <vt:i4>3276917</vt:i4>
      </vt:variant>
      <vt:variant>
        <vt:i4>18</vt:i4>
      </vt:variant>
      <vt:variant>
        <vt:i4>0</vt:i4>
      </vt:variant>
      <vt:variant>
        <vt:i4>5</vt:i4>
      </vt:variant>
      <vt:variant>
        <vt:lpwstr>https://ec.europa.eu/eurostat/databrowser/view/TOUR_CE_OMR/default/table?lang=en</vt:lpwstr>
      </vt:variant>
      <vt:variant>
        <vt:lpwstr/>
      </vt:variant>
      <vt:variant>
        <vt:i4>131148</vt:i4>
      </vt:variant>
      <vt:variant>
        <vt:i4>15</vt:i4>
      </vt:variant>
      <vt:variant>
        <vt:i4>0</vt:i4>
      </vt:variant>
      <vt:variant>
        <vt:i4>5</vt:i4>
      </vt:variant>
      <vt:variant>
        <vt:lpwstr>https://doi.org/10.1080/02673037.2023.2176829</vt:lpwstr>
      </vt:variant>
      <vt:variant>
        <vt:lpwstr/>
      </vt:variant>
      <vt:variant>
        <vt:i4>6094879</vt:i4>
      </vt:variant>
      <vt:variant>
        <vt:i4>12</vt:i4>
      </vt:variant>
      <vt:variant>
        <vt:i4>0</vt:i4>
      </vt:variant>
      <vt:variant>
        <vt:i4>5</vt:i4>
      </vt:variant>
      <vt:variant>
        <vt:lpwstr>https://news.airbnb.com/about-us/</vt:lpwstr>
      </vt:variant>
      <vt:variant>
        <vt:lpwstr/>
      </vt:variant>
      <vt:variant>
        <vt:i4>3997769</vt:i4>
      </vt:variant>
      <vt:variant>
        <vt:i4>9</vt:i4>
      </vt:variant>
      <vt:variant>
        <vt:i4>0</vt:i4>
      </vt:variant>
      <vt:variant>
        <vt:i4>5</vt:i4>
      </vt:variant>
      <vt:variant>
        <vt:lpwstr>https://papers.ssrn.com/sol3/papers.cfm?abstract_id=4068526</vt:lpwstr>
      </vt:variant>
      <vt:variant>
        <vt:lpwstr/>
      </vt:variant>
      <vt:variant>
        <vt:i4>2293766</vt:i4>
      </vt:variant>
      <vt:variant>
        <vt:i4>6</vt:i4>
      </vt:variant>
      <vt:variant>
        <vt:i4>0</vt:i4>
      </vt:variant>
      <vt:variant>
        <vt:i4>5</vt:i4>
      </vt:variant>
      <vt:variant>
        <vt:lpwstr>https://unece.org/sites/default/files/2025-02/ECE-HBP-216_SharingEconomy.pdf</vt:lpwstr>
      </vt:variant>
      <vt:variant>
        <vt:lpwstr/>
      </vt:variant>
      <vt:variant>
        <vt:i4>5963845</vt:i4>
      </vt:variant>
      <vt:variant>
        <vt:i4>3</vt:i4>
      </vt:variant>
      <vt:variant>
        <vt:i4>0</vt:i4>
      </vt:variant>
      <vt:variant>
        <vt:i4>5</vt:i4>
      </vt:variant>
      <vt:variant>
        <vt:lpwstr>https://www.airdna.co/blog/vacation-rental-metrics-revpar</vt:lpwstr>
      </vt:variant>
      <vt:variant>
        <vt:lpwstr/>
      </vt:variant>
      <vt:variant>
        <vt:i4>2621487</vt:i4>
      </vt:variant>
      <vt:variant>
        <vt:i4>0</vt:i4>
      </vt:variant>
      <vt:variant>
        <vt:i4>0</vt:i4>
      </vt:variant>
      <vt:variant>
        <vt:i4>5</vt:i4>
      </vt:variant>
      <vt:variant>
        <vt:lpwstr>https://ec.europa.eu/eurostat/web/nuts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Rakendusuuring „Lühiajalise üüri turg Eestis“</dc:title>
  <dc:subject/>
  <dc:creator>Kerttu-Liis Kõks</dc:creator>
  <cp:keywords/>
  <dc:description/>
  <cp:lastModifiedBy>Piia Viks-Binsol</cp:lastModifiedBy>
  <cp:revision>12238</cp:revision>
  <cp:lastPrinted>2026-01-06T09:11:00Z</cp:lastPrinted>
  <dcterms:created xsi:type="dcterms:W3CDTF">2025-05-10T01:05:00Z</dcterms:created>
  <dcterms:modified xsi:type="dcterms:W3CDTF">2026-01-06T09:11:00Z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2025-03-31T11:13:30Z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1534a141-09a1-4346-ad13-1b4f26e72d4b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0x010100AED4240AB1AECA45B30C5571D8135F53</vt:lpwstr>
  </property>
  <property fmtid="{D5CDD505-2E9C-101B-9397-08002B2CF9AE}" pid="11" name="MediaServiceImageTags">
    <vt:lpwstr/>
  </property>
  <property fmtid="{D5CDD505-2E9C-101B-9397-08002B2CF9AE}" pid="12" name="GrammarlyDocumentId">
    <vt:lpwstr>c777f8d5-658d-49fe-ac4e-c00109da5d2d</vt:lpwstr>
  </property>
  <property fmtid="{D5CDD505-2E9C-101B-9397-08002B2CF9AE}" pid="13" name="docLang">
    <vt:lpwstr>et</vt:lpwstr>
  </property>
</Properties>
</file>